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FC7F43" w:rsidRPr="00D3639B" w:rsidRDefault="00FC7F4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2D2A00"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易方达沪深</w:t>
      </w:r>
      <w:r w:rsidRPr="00D3639B">
        <w:rPr>
          <w:rFonts w:eastAsiaTheme="minorEastAsia"/>
          <w:b/>
          <w:color w:val="000000" w:themeColor="text1"/>
          <w:sz w:val="36"/>
          <w:szCs w:val="36"/>
        </w:rPr>
        <w:t>300</w:t>
      </w:r>
      <w:r w:rsidRPr="00D3639B">
        <w:rPr>
          <w:rFonts w:eastAsiaTheme="minorEastAsia"/>
          <w:b/>
          <w:color w:val="000000" w:themeColor="text1"/>
          <w:sz w:val="36"/>
          <w:szCs w:val="36"/>
        </w:rPr>
        <w:t>交易型开放式指数发起式证券投资基金联接基金</w:t>
      </w:r>
    </w:p>
    <w:p w:rsidR="002D2A00" w:rsidRPr="00D3639B" w:rsidRDefault="002D2A00"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2020</w:t>
      </w:r>
      <w:r w:rsidRPr="00D3639B">
        <w:rPr>
          <w:rFonts w:eastAsiaTheme="minorEastAsia"/>
          <w:b/>
          <w:color w:val="000000" w:themeColor="text1"/>
          <w:sz w:val="36"/>
          <w:szCs w:val="36"/>
        </w:rPr>
        <w:t>年第</w:t>
      </w:r>
      <w:r w:rsidRPr="00D3639B">
        <w:rPr>
          <w:rFonts w:eastAsiaTheme="minorEastAsia"/>
          <w:b/>
          <w:color w:val="000000" w:themeColor="text1"/>
          <w:sz w:val="36"/>
          <w:szCs w:val="36"/>
        </w:rPr>
        <w:t>1</w:t>
      </w:r>
      <w:r w:rsidRPr="00D3639B">
        <w:rPr>
          <w:rFonts w:eastAsiaTheme="minorEastAsia"/>
          <w:b/>
          <w:color w:val="000000" w:themeColor="text1"/>
          <w:sz w:val="36"/>
          <w:szCs w:val="36"/>
        </w:rPr>
        <w:t>季度报告</w:t>
      </w:r>
    </w:p>
    <w:p w:rsidR="009A2283" w:rsidRPr="00D3639B" w:rsidRDefault="00121533"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2020</w:t>
      </w:r>
      <w:r w:rsidRPr="00D3639B">
        <w:rPr>
          <w:rFonts w:eastAsiaTheme="minorEastAsia"/>
          <w:b/>
          <w:color w:val="000000" w:themeColor="text1"/>
          <w:sz w:val="36"/>
          <w:szCs w:val="36"/>
        </w:rPr>
        <w:t>年</w:t>
      </w:r>
      <w:r w:rsidRPr="00D3639B">
        <w:rPr>
          <w:rFonts w:eastAsiaTheme="minorEastAsia"/>
          <w:b/>
          <w:color w:val="000000" w:themeColor="text1"/>
          <w:sz w:val="36"/>
          <w:szCs w:val="36"/>
        </w:rPr>
        <w:t>3</w:t>
      </w:r>
      <w:r w:rsidRPr="00D3639B">
        <w:rPr>
          <w:rFonts w:eastAsiaTheme="minorEastAsia"/>
          <w:b/>
          <w:color w:val="000000" w:themeColor="text1"/>
          <w:sz w:val="36"/>
          <w:szCs w:val="36"/>
        </w:rPr>
        <w:t>月</w:t>
      </w:r>
      <w:r w:rsidRPr="00D3639B">
        <w:rPr>
          <w:rFonts w:eastAsiaTheme="minorEastAsia"/>
          <w:b/>
          <w:color w:val="000000" w:themeColor="text1"/>
          <w:sz w:val="36"/>
          <w:szCs w:val="36"/>
        </w:rPr>
        <w:t>31</w:t>
      </w:r>
      <w:r w:rsidRPr="00D3639B">
        <w:rPr>
          <w:rFonts w:eastAsiaTheme="minorEastAsia"/>
          <w:b/>
          <w:color w:val="000000" w:themeColor="text1"/>
          <w:sz w:val="36"/>
          <w:szCs w:val="36"/>
        </w:rPr>
        <w:t>日</w:t>
      </w: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E27360">
      <w:pPr>
        <w:spacing w:line="360" w:lineRule="auto"/>
        <w:jc w:val="center"/>
        <w:rPr>
          <w:rFonts w:eastAsiaTheme="minorEastAsia"/>
          <w:b/>
          <w:color w:val="000000" w:themeColor="text1"/>
          <w:szCs w:val="21"/>
        </w:rPr>
      </w:pPr>
    </w:p>
    <w:p w:rsidR="00E27360" w:rsidRPr="00D3639B" w:rsidRDefault="00E27360" w:rsidP="00E27360">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rPr>
          <w:rFonts w:eastAsiaTheme="minorEastAsia"/>
          <w:b/>
          <w:color w:val="000000" w:themeColor="text1"/>
          <w:szCs w:val="21"/>
        </w:rPr>
      </w:pPr>
    </w:p>
    <w:p w:rsidR="009A2283" w:rsidRPr="00D3639B" w:rsidRDefault="009A2283" w:rsidP="004B54B8">
      <w:pPr>
        <w:spacing w:line="360" w:lineRule="auto"/>
        <w:ind w:firstLineChars="900" w:firstLine="2168"/>
        <w:rPr>
          <w:rFonts w:eastAsiaTheme="minorEastAsia"/>
          <w:b/>
          <w:color w:val="000000" w:themeColor="text1"/>
          <w:sz w:val="24"/>
        </w:rPr>
      </w:pPr>
      <w:r w:rsidRPr="00D3639B">
        <w:rPr>
          <w:rFonts w:eastAsiaTheme="minorEastAsia"/>
          <w:b/>
          <w:color w:val="000000" w:themeColor="text1"/>
          <w:sz w:val="24"/>
        </w:rPr>
        <w:t>基金管理人：</w:t>
      </w:r>
      <w:r w:rsidR="00BF377F" w:rsidRPr="00D3639B">
        <w:rPr>
          <w:rFonts w:eastAsiaTheme="minorEastAsia"/>
          <w:b/>
          <w:color w:val="000000" w:themeColor="text1"/>
          <w:sz w:val="24"/>
        </w:rPr>
        <w:t>易方达基金管理有限公司</w:t>
      </w:r>
    </w:p>
    <w:p w:rsidR="009A2283" w:rsidRPr="00D3639B" w:rsidRDefault="009A2283" w:rsidP="004B54B8">
      <w:pPr>
        <w:spacing w:line="360" w:lineRule="auto"/>
        <w:ind w:firstLineChars="900" w:firstLine="2168"/>
        <w:rPr>
          <w:rFonts w:eastAsiaTheme="minorEastAsia"/>
          <w:b/>
          <w:color w:val="000000" w:themeColor="text1"/>
          <w:sz w:val="24"/>
        </w:rPr>
      </w:pPr>
      <w:r w:rsidRPr="00D3639B">
        <w:rPr>
          <w:rFonts w:eastAsiaTheme="minorEastAsia"/>
          <w:b/>
          <w:color w:val="000000" w:themeColor="text1"/>
          <w:sz w:val="24"/>
        </w:rPr>
        <w:t>基金托管人：</w:t>
      </w:r>
      <w:r w:rsidR="00BF377F" w:rsidRPr="00D3639B">
        <w:rPr>
          <w:rFonts w:eastAsiaTheme="minorEastAsia"/>
          <w:b/>
          <w:color w:val="000000" w:themeColor="text1"/>
          <w:sz w:val="24"/>
        </w:rPr>
        <w:t>中国建设银行股份有限公司</w:t>
      </w:r>
    </w:p>
    <w:p w:rsidR="009A2283" w:rsidRPr="00D3639B" w:rsidRDefault="009A2283" w:rsidP="004B54B8">
      <w:pPr>
        <w:spacing w:line="360" w:lineRule="auto"/>
        <w:ind w:firstLineChars="900" w:firstLine="2168"/>
        <w:rPr>
          <w:rFonts w:eastAsiaTheme="minorEastAsia"/>
          <w:color w:val="000000" w:themeColor="text1"/>
          <w:sz w:val="24"/>
        </w:rPr>
        <w:sectPr w:rsidR="009A2283" w:rsidRPr="00D3639B" w:rsidSect="00F7094A">
          <w:headerReference w:type="default" r:id="rId8"/>
          <w:footerReference w:type="default" r:id="rId9"/>
          <w:pgSz w:w="11926" w:h="15840"/>
          <w:pgMar w:top="1418" w:right="1418" w:bottom="851" w:left="1418" w:header="851" w:footer="992" w:gutter="0"/>
          <w:cols w:space="720"/>
          <w:noEndnote/>
        </w:sectPr>
      </w:pPr>
      <w:r w:rsidRPr="00D3639B">
        <w:rPr>
          <w:rFonts w:eastAsiaTheme="minorEastAsia"/>
          <w:b/>
          <w:color w:val="000000" w:themeColor="text1"/>
          <w:sz w:val="24"/>
        </w:rPr>
        <w:t>报告送出日期：</w:t>
      </w:r>
      <w:r w:rsidR="00D04410" w:rsidRPr="00D3639B">
        <w:rPr>
          <w:rFonts w:eastAsiaTheme="minorEastAsia"/>
          <w:b/>
          <w:color w:val="000000" w:themeColor="text1"/>
          <w:sz w:val="24"/>
        </w:rPr>
        <w:t>二〇二〇年四月二十一日</w:t>
      </w:r>
    </w:p>
    <w:p w:rsidR="009238DB" w:rsidRPr="00B34368" w:rsidRDefault="009238DB" w:rsidP="00C544B8">
      <w:pPr>
        <w:pStyle w:val="1"/>
        <w:spacing w:beforeLines="100" w:before="312" w:afterLines="100" w:after="312" w:line="360" w:lineRule="auto"/>
        <w:jc w:val="center"/>
        <w:rPr>
          <w:rFonts w:eastAsiaTheme="minorEastAsia"/>
          <w:b w:val="0"/>
          <w:color w:val="000000" w:themeColor="text1"/>
          <w:kern w:val="0"/>
          <w:sz w:val="24"/>
          <w:szCs w:val="24"/>
        </w:rPr>
      </w:pPr>
      <w:r w:rsidRPr="00B34368">
        <w:rPr>
          <w:rFonts w:eastAsiaTheme="minorEastAsia"/>
          <w:color w:val="000000" w:themeColor="text1"/>
          <w:kern w:val="0"/>
          <w:sz w:val="24"/>
          <w:szCs w:val="24"/>
        </w:rPr>
        <w:lastRenderedPageBreak/>
        <w:t xml:space="preserve">§1  </w:t>
      </w:r>
      <w:r w:rsidRPr="00B34368">
        <w:rPr>
          <w:rFonts w:eastAsiaTheme="minorEastAsia" w:hAnsiTheme="minorEastAsia"/>
          <w:color w:val="000000" w:themeColor="text1"/>
          <w:kern w:val="0"/>
          <w:sz w:val="24"/>
          <w:szCs w:val="24"/>
        </w:rPr>
        <w:t>重要提示</w:t>
      </w:r>
    </w:p>
    <w:p w:rsidR="0024428D" w:rsidRDefault="001B42CF">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24428D" w:rsidRDefault="001B42CF">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基金托管人中国建设银行股份有限公司根据本基金合同规定，于</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w:t>
      </w:r>
      <w:r>
        <w:rPr>
          <w:rFonts w:eastAsiaTheme="minorEastAsia"/>
          <w:color w:val="000000" w:themeColor="text1"/>
          <w:sz w:val="24"/>
        </w:rPr>
        <w:t>17</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24428D" w:rsidRDefault="001B42CF">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24428D" w:rsidRDefault="001B42CF">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24428D" w:rsidRDefault="001B42CF">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9238DB" w:rsidRPr="00B34368" w:rsidRDefault="00267DA9"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本报告期自</w:t>
      </w:r>
      <w:r w:rsidRPr="00B34368">
        <w:rPr>
          <w:rFonts w:eastAsiaTheme="minorEastAsia"/>
          <w:color w:val="000000" w:themeColor="text1"/>
          <w:sz w:val="24"/>
        </w:rPr>
        <w:t>2020</w:t>
      </w:r>
      <w:r w:rsidRPr="00B34368">
        <w:rPr>
          <w:rFonts w:eastAsiaTheme="minorEastAsia"/>
          <w:color w:val="000000" w:themeColor="text1"/>
          <w:sz w:val="24"/>
        </w:rPr>
        <w:t>年</w:t>
      </w:r>
      <w:r w:rsidRPr="00B34368">
        <w:rPr>
          <w:rFonts w:eastAsiaTheme="minorEastAsia"/>
          <w:color w:val="000000" w:themeColor="text1"/>
          <w:sz w:val="24"/>
        </w:rPr>
        <w:t>1</w:t>
      </w:r>
      <w:r w:rsidRPr="00B34368">
        <w:rPr>
          <w:rFonts w:eastAsiaTheme="minorEastAsia"/>
          <w:color w:val="000000" w:themeColor="text1"/>
          <w:sz w:val="24"/>
        </w:rPr>
        <w:t>月</w:t>
      </w:r>
      <w:r w:rsidRPr="00B34368">
        <w:rPr>
          <w:rFonts w:eastAsiaTheme="minorEastAsia"/>
          <w:color w:val="000000" w:themeColor="text1"/>
          <w:sz w:val="24"/>
        </w:rPr>
        <w:t>1</w:t>
      </w:r>
      <w:r w:rsidRPr="00B34368">
        <w:rPr>
          <w:rFonts w:eastAsiaTheme="minorEastAsia"/>
          <w:color w:val="000000" w:themeColor="text1"/>
          <w:sz w:val="24"/>
        </w:rPr>
        <w:t>日起至</w:t>
      </w:r>
      <w:r w:rsidRPr="00B34368">
        <w:rPr>
          <w:rFonts w:eastAsiaTheme="minorEastAsia"/>
          <w:color w:val="000000" w:themeColor="text1"/>
          <w:sz w:val="24"/>
        </w:rPr>
        <w:t>3</w:t>
      </w:r>
      <w:r w:rsidRPr="00B34368">
        <w:rPr>
          <w:rFonts w:eastAsiaTheme="minorEastAsia"/>
          <w:color w:val="000000" w:themeColor="text1"/>
          <w:sz w:val="24"/>
        </w:rPr>
        <w:t>月</w:t>
      </w:r>
      <w:r w:rsidRPr="00B34368">
        <w:rPr>
          <w:rFonts w:eastAsiaTheme="minorEastAsia"/>
          <w:color w:val="000000" w:themeColor="text1"/>
          <w:sz w:val="24"/>
        </w:rPr>
        <w:t>31</w:t>
      </w:r>
      <w:r w:rsidRPr="00B34368">
        <w:rPr>
          <w:rFonts w:eastAsiaTheme="minorEastAsia"/>
          <w:color w:val="000000" w:themeColor="text1"/>
          <w:sz w:val="24"/>
        </w:rPr>
        <w:t>日止。</w:t>
      </w: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§2  </w:t>
      </w:r>
      <w:r w:rsidRPr="00B34368">
        <w:rPr>
          <w:rFonts w:eastAsiaTheme="minorEastAsia" w:hAnsiTheme="minorEastAsia"/>
          <w:color w:val="000000" w:themeColor="text1"/>
          <w:kern w:val="0"/>
          <w:sz w:val="24"/>
          <w:szCs w:val="24"/>
        </w:rPr>
        <w:t>基金产品概况</w:t>
      </w:r>
    </w:p>
    <w:p w:rsidR="002C32ED" w:rsidRPr="00B34368" w:rsidRDefault="002C32ED" w:rsidP="002C32ED">
      <w:pPr>
        <w:pStyle w:val="2"/>
        <w:keepNext w:val="0"/>
        <w:keepLines w:val="0"/>
        <w:spacing w:before="0" w:after="0"/>
        <w:rPr>
          <w:rFonts w:ascii="Times New Roman" w:eastAsiaTheme="minorEastAsia" w:hAnsi="Times New Roman" w:cs="Times New Roman"/>
          <w:color w:val="000000" w:themeColor="text1"/>
          <w:szCs w:val="24"/>
        </w:rPr>
      </w:pPr>
      <w:bookmarkStart w:id="1" w:name="_Toc245193810"/>
      <w:r w:rsidRPr="00B34368">
        <w:rPr>
          <w:rFonts w:ascii="Times New Roman" w:eastAsiaTheme="minorEastAsia" w:hAnsi="Times New Roman" w:cs="Times New Roman"/>
          <w:color w:val="000000" w:themeColor="text1"/>
          <w:szCs w:val="24"/>
        </w:rPr>
        <w:t>2.1</w:t>
      </w:r>
      <w:r w:rsidRPr="00B34368">
        <w:rPr>
          <w:rFonts w:ascii="Times New Roman" w:eastAsiaTheme="minorEastAsia" w:hAnsiTheme="minorEastAsia" w:cs="Times New Roman"/>
          <w:color w:val="000000" w:themeColor="text1"/>
          <w:szCs w:val="24"/>
        </w:rPr>
        <w:t>基金产品概况</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基金简称</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易方达沪深</w:t>
            </w:r>
            <w:r w:rsidRPr="00B34368">
              <w:rPr>
                <w:rFonts w:eastAsiaTheme="minorEastAsia"/>
                <w:color w:val="000000" w:themeColor="text1"/>
                <w:kern w:val="0"/>
                <w:sz w:val="24"/>
              </w:rPr>
              <w:t>300ETF</w:t>
            </w:r>
            <w:r w:rsidRPr="00B34368">
              <w:rPr>
                <w:rFonts w:eastAsiaTheme="minorEastAsia"/>
                <w:color w:val="000000" w:themeColor="text1"/>
                <w:kern w:val="0"/>
                <w:sz w:val="24"/>
              </w:rPr>
              <w:t>发起式联接</w:t>
            </w:r>
          </w:p>
        </w:tc>
      </w:tr>
      <w:tr w:rsidR="00D3639B" w:rsidRPr="00B34368" w:rsidTr="00AA7EBD">
        <w:tc>
          <w:tcPr>
            <w:tcW w:w="2835" w:type="dxa"/>
          </w:tcPr>
          <w:p w:rsidR="00B95753" w:rsidRPr="00B34368" w:rsidRDefault="00B95753"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基金主代码</w:t>
            </w:r>
          </w:p>
        </w:tc>
        <w:tc>
          <w:tcPr>
            <w:tcW w:w="5479" w:type="dxa"/>
            <w:gridSpan w:val="2"/>
            <w:tcBorders>
              <w:bottom w:val="single" w:sz="4" w:space="0" w:color="auto"/>
            </w:tcBorders>
          </w:tcPr>
          <w:p w:rsidR="00B95753" w:rsidRPr="00B34368" w:rsidRDefault="00B95753"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110020</w:t>
            </w:r>
          </w:p>
        </w:tc>
      </w:tr>
      <w:tr w:rsidR="00D3639B" w:rsidRPr="00B34368" w:rsidTr="00AA7EBD">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基金运作方式</w:t>
            </w:r>
          </w:p>
        </w:tc>
        <w:tc>
          <w:tcPr>
            <w:tcW w:w="5479" w:type="dxa"/>
            <w:gridSpan w:val="2"/>
            <w:tcBorders>
              <w:top w:val="single" w:sz="4" w:space="0" w:color="auto"/>
            </w:tcBorders>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契约型开放式</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基金合同生效日</w:t>
            </w:r>
          </w:p>
        </w:tc>
        <w:tc>
          <w:tcPr>
            <w:tcW w:w="5479" w:type="dxa"/>
            <w:gridSpan w:val="2"/>
          </w:tcPr>
          <w:p w:rsidR="00A6200E" w:rsidRPr="00B34368" w:rsidRDefault="00121533" w:rsidP="00121533">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2009</w:t>
            </w:r>
            <w:r w:rsidRPr="00B34368">
              <w:rPr>
                <w:rFonts w:eastAsiaTheme="minorEastAsia"/>
                <w:color w:val="000000" w:themeColor="text1"/>
                <w:kern w:val="0"/>
                <w:sz w:val="24"/>
              </w:rPr>
              <w:t>年</w:t>
            </w:r>
            <w:r w:rsidRPr="00B34368">
              <w:rPr>
                <w:rFonts w:eastAsiaTheme="minorEastAsia"/>
                <w:color w:val="000000" w:themeColor="text1"/>
                <w:kern w:val="0"/>
                <w:sz w:val="24"/>
              </w:rPr>
              <w:t>8</w:t>
            </w:r>
            <w:r w:rsidRPr="00B34368">
              <w:rPr>
                <w:rFonts w:eastAsiaTheme="minorEastAsia"/>
                <w:color w:val="000000" w:themeColor="text1"/>
                <w:kern w:val="0"/>
                <w:sz w:val="24"/>
              </w:rPr>
              <w:t>月</w:t>
            </w:r>
            <w:r w:rsidRPr="00B34368">
              <w:rPr>
                <w:rFonts w:eastAsiaTheme="minorEastAsia"/>
                <w:color w:val="000000" w:themeColor="text1"/>
                <w:kern w:val="0"/>
                <w:sz w:val="24"/>
              </w:rPr>
              <w:t>26</w:t>
            </w:r>
            <w:r w:rsidRPr="00B34368">
              <w:rPr>
                <w:rFonts w:eastAsiaTheme="minorEastAsia"/>
                <w:color w:val="000000" w:themeColor="text1"/>
                <w:kern w:val="0"/>
                <w:sz w:val="24"/>
              </w:rPr>
              <w:t>日</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报告期末基金份额总额</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4,625,883,787.82</w:t>
            </w:r>
            <w:r w:rsidR="0060758A" w:rsidRPr="00B34368">
              <w:rPr>
                <w:rFonts w:eastAsiaTheme="minorEastAsia" w:hAnsiTheme="minorEastAsia"/>
                <w:color w:val="000000" w:themeColor="text1"/>
                <w:kern w:val="0"/>
                <w:sz w:val="24"/>
              </w:rPr>
              <w:t>份</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投资目标</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紧密跟踪业绩比较基准，追求跟踪偏离度及跟踪误差的最小化。</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投资策略</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本基金主要通过投资于目标</w:t>
            </w:r>
            <w:r w:rsidRPr="00B34368">
              <w:rPr>
                <w:rFonts w:eastAsiaTheme="minorEastAsia"/>
                <w:color w:val="000000" w:themeColor="text1"/>
                <w:kern w:val="0"/>
                <w:sz w:val="24"/>
              </w:rPr>
              <w:t>ETF</w:t>
            </w:r>
            <w:r w:rsidRPr="00B34368">
              <w:rPr>
                <w:rFonts w:eastAsiaTheme="minorEastAsia"/>
                <w:color w:val="000000" w:themeColor="text1"/>
                <w:kern w:val="0"/>
                <w:sz w:val="24"/>
              </w:rPr>
              <w:t>实现对业绩比较基准的紧密跟踪，本基金投资于目标</w:t>
            </w:r>
            <w:r w:rsidRPr="00B34368">
              <w:rPr>
                <w:rFonts w:eastAsiaTheme="minorEastAsia"/>
                <w:color w:val="000000" w:themeColor="text1"/>
                <w:kern w:val="0"/>
                <w:sz w:val="24"/>
              </w:rPr>
              <w:t xml:space="preserve">ETF </w:t>
            </w:r>
            <w:r w:rsidRPr="00B34368">
              <w:rPr>
                <w:rFonts w:eastAsiaTheme="minorEastAsia"/>
                <w:color w:val="000000" w:themeColor="text1"/>
                <w:kern w:val="0"/>
                <w:sz w:val="24"/>
              </w:rPr>
              <w:t>的比例不低于基金资产净值的</w:t>
            </w:r>
            <w:r w:rsidRPr="00B34368">
              <w:rPr>
                <w:rFonts w:eastAsiaTheme="minorEastAsia"/>
                <w:color w:val="000000" w:themeColor="text1"/>
                <w:kern w:val="0"/>
                <w:sz w:val="24"/>
              </w:rPr>
              <w:t>90%</w:t>
            </w:r>
            <w:r w:rsidRPr="00B34368">
              <w:rPr>
                <w:rFonts w:eastAsiaTheme="minorEastAsia"/>
                <w:color w:val="000000" w:themeColor="text1"/>
                <w:kern w:val="0"/>
                <w:sz w:val="24"/>
              </w:rPr>
              <w:t>。在综合考虑合规、风险、效率、成本等因素的基础上，本基金决定采用申赎的方式或证券二级市场交易的方式进行目标</w:t>
            </w:r>
            <w:r w:rsidRPr="00B34368">
              <w:rPr>
                <w:rFonts w:eastAsiaTheme="minorEastAsia"/>
                <w:color w:val="000000" w:themeColor="text1"/>
                <w:kern w:val="0"/>
                <w:sz w:val="24"/>
              </w:rPr>
              <w:lastRenderedPageBreak/>
              <w:t xml:space="preserve">ETF </w:t>
            </w:r>
            <w:r w:rsidRPr="00B34368">
              <w:rPr>
                <w:rFonts w:eastAsiaTheme="minorEastAsia"/>
                <w:color w:val="000000" w:themeColor="text1"/>
                <w:kern w:val="0"/>
                <w:sz w:val="24"/>
              </w:rPr>
              <w:t>的买卖。本基金还可适度参与目标</w:t>
            </w:r>
            <w:r w:rsidRPr="00B34368">
              <w:rPr>
                <w:rFonts w:eastAsiaTheme="minorEastAsia"/>
                <w:color w:val="000000" w:themeColor="text1"/>
                <w:kern w:val="0"/>
                <w:sz w:val="24"/>
              </w:rPr>
              <w:t xml:space="preserve">ETF </w:t>
            </w:r>
            <w:r w:rsidRPr="00B34368">
              <w:rPr>
                <w:rFonts w:eastAsiaTheme="minorEastAsia"/>
                <w:color w:val="000000" w:themeColor="text1"/>
                <w:kern w:val="0"/>
                <w:sz w:val="24"/>
              </w:rPr>
              <w:t>基金份额交易和申购、赎回之间的套利，以增强基金收益。在正常市场情况下，力争将年化跟踪误差控制在</w:t>
            </w:r>
            <w:r w:rsidRPr="00B34368">
              <w:rPr>
                <w:rFonts w:eastAsiaTheme="minorEastAsia"/>
                <w:color w:val="000000" w:themeColor="text1"/>
                <w:kern w:val="0"/>
                <w:sz w:val="24"/>
              </w:rPr>
              <w:t>4%</w:t>
            </w:r>
            <w:r w:rsidRPr="00B34368">
              <w:rPr>
                <w:rFonts w:eastAsiaTheme="minorEastAsia"/>
                <w:color w:val="000000" w:themeColor="text1"/>
                <w:kern w:val="0"/>
                <w:sz w:val="24"/>
              </w:rPr>
              <w:t>以内。如因标的指数编制规则调整或其他因素导致跟踪误差超过上述范围，基金管理人应采取合理措施避免跟踪误差进一步扩大。</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lastRenderedPageBreak/>
              <w:t>业绩比较基准</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沪深</w:t>
            </w:r>
            <w:r w:rsidRPr="00B34368">
              <w:rPr>
                <w:rFonts w:eastAsiaTheme="minorEastAsia"/>
                <w:color w:val="000000" w:themeColor="text1"/>
                <w:kern w:val="0"/>
                <w:sz w:val="24"/>
              </w:rPr>
              <w:t>300</w:t>
            </w:r>
            <w:r w:rsidRPr="00B34368">
              <w:rPr>
                <w:rFonts w:eastAsiaTheme="minorEastAsia"/>
                <w:color w:val="000000" w:themeColor="text1"/>
                <w:kern w:val="0"/>
                <w:sz w:val="24"/>
              </w:rPr>
              <w:t>指数收益率</w:t>
            </w:r>
            <w:r w:rsidRPr="00B34368">
              <w:rPr>
                <w:rFonts w:eastAsiaTheme="minorEastAsia"/>
                <w:color w:val="000000" w:themeColor="text1"/>
                <w:kern w:val="0"/>
                <w:sz w:val="24"/>
              </w:rPr>
              <w:t>X95%+</w:t>
            </w:r>
            <w:r w:rsidRPr="00B34368">
              <w:rPr>
                <w:rFonts w:eastAsiaTheme="minorEastAsia"/>
                <w:color w:val="000000" w:themeColor="text1"/>
                <w:kern w:val="0"/>
                <w:sz w:val="24"/>
              </w:rPr>
              <w:t>活期存款利率</w:t>
            </w:r>
            <w:r w:rsidRPr="00B34368">
              <w:rPr>
                <w:rFonts w:eastAsiaTheme="minorEastAsia"/>
                <w:color w:val="000000" w:themeColor="text1"/>
                <w:kern w:val="0"/>
                <w:sz w:val="24"/>
              </w:rPr>
              <w:t>(</w:t>
            </w:r>
            <w:r w:rsidRPr="00B34368">
              <w:rPr>
                <w:rFonts w:eastAsiaTheme="minorEastAsia"/>
                <w:color w:val="000000" w:themeColor="text1"/>
                <w:kern w:val="0"/>
                <w:sz w:val="24"/>
              </w:rPr>
              <w:t>税后</w:t>
            </w:r>
            <w:r w:rsidRPr="00B34368">
              <w:rPr>
                <w:rFonts w:eastAsiaTheme="minorEastAsia"/>
                <w:color w:val="000000" w:themeColor="text1"/>
                <w:kern w:val="0"/>
                <w:sz w:val="24"/>
              </w:rPr>
              <w:t>)X5%</w:t>
            </w:r>
          </w:p>
        </w:tc>
      </w:tr>
      <w:tr w:rsidR="00D3639B" w:rsidRPr="00B34368" w:rsidTr="009A045B">
        <w:tc>
          <w:tcPr>
            <w:tcW w:w="2835" w:type="dxa"/>
          </w:tcPr>
          <w:p w:rsidR="00846C2B" w:rsidRPr="00B34368" w:rsidRDefault="00846C2B"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风险收益特征</w:t>
            </w:r>
          </w:p>
        </w:tc>
        <w:tc>
          <w:tcPr>
            <w:tcW w:w="5479" w:type="dxa"/>
            <w:gridSpan w:val="2"/>
          </w:tcPr>
          <w:p w:rsidR="00846C2B" w:rsidRPr="00B34368" w:rsidRDefault="00846C2B"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本基金为沪深</w:t>
            </w:r>
            <w:r w:rsidRPr="00B34368">
              <w:rPr>
                <w:rFonts w:eastAsiaTheme="minorEastAsia"/>
                <w:color w:val="000000" w:themeColor="text1"/>
                <w:kern w:val="0"/>
                <w:sz w:val="24"/>
              </w:rPr>
              <w:t>300ETF</w:t>
            </w:r>
            <w:r w:rsidRPr="00B34368">
              <w:rPr>
                <w:rFonts w:eastAsiaTheme="minorEastAsia"/>
                <w:color w:val="000000" w:themeColor="text1"/>
                <w:kern w:val="0"/>
                <w:sz w:val="24"/>
              </w:rPr>
              <w:t>的联接基金，其预期风险收益水平高于混合型基金、债券基金和货币市场基金；本基金主要通过投资沪深</w:t>
            </w:r>
            <w:r w:rsidRPr="00B34368">
              <w:rPr>
                <w:rFonts w:eastAsiaTheme="minorEastAsia"/>
                <w:color w:val="000000" w:themeColor="text1"/>
                <w:kern w:val="0"/>
                <w:sz w:val="24"/>
              </w:rPr>
              <w:t>300ETF</w:t>
            </w:r>
            <w:r w:rsidRPr="00B34368">
              <w:rPr>
                <w:rFonts w:eastAsiaTheme="minorEastAsia"/>
                <w:color w:val="000000" w:themeColor="text1"/>
                <w:kern w:val="0"/>
                <w:sz w:val="24"/>
              </w:rPr>
              <w:t>实现对业绩比较基准的紧密跟踪，具有与业绩比较基准相似的风险收益特征。</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基金管理人</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易方达基金管理有限公司</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基金托管人</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中国建设银行股份有限公司</w:t>
            </w:r>
          </w:p>
        </w:tc>
      </w:tr>
      <w:tr w:rsidR="00D3639B" w:rsidRPr="00B34368" w:rsidTr="00950413">
        <w:tc>
          <w:tcPr>
            <w:tcW w:w="2835" w:type="dxa"/>
          </w:tcPr>
          <w:p w:rsidR="00950413" w:rsidRPr="00B34368" w:rsidRDefault="00075E4E" w:rsidP="00E205AA">
            <w:pPr>
              <w:adjustRightInd w:val="0"/>
              <w:spacing w:before="29" w:line="360" w:lineRule="auto"/>
              <w:ind w:left="17"/>
              <w:jc w:val="left"/>
              <w:rPr>
                <w:rFonts w:eastAsiaTheme="minorEastAsia"/>
                <w:color w:val="000000" w:themeColor="text1"/>
                <w:kern w:val="0"/>
                <w:sz w:val="24"/>
              </w:rPr>
            </w:pPr>
            <w:r>
              <w:rPr>
                <w:rFonts w:eastAsiaTheme="minorEastAsia" w:hAnsiTheme="minorEastAsia"/>
                <w:color w:val="000000" w:themeColor="text1"/>
                <w:sz w:val="24"/>
              </w:rPr>
              <w:t>下属</w:t>
            </w:r>
            <w:r>
              <w:rPr>
                <w:rFonts w:eastAsiaTheme="minorEastAsia" w:hAnsiTheme="minorEastAsia" w:hint="eastAsia"/>
                <w:color w:val="000000" w:themeColor="text1"/>
                <w:sz w:val="24"/>
              </w:rPr>
              <w:t>分</w:t>
            </w:r>
            <w:r w:rsidR="00950413" w:rsidRPr="00B34368">
              <w:rPr>
                <w:rFonts w:eastAsiaTheme="minorEastAsia" w:hAnsiTheme="minorEastAsia"/>
                <w:color w:val="000000" w:themeColor="text1"/>
                <w:sz w:val="24"/>
              </w:rPr>
              <w:t>级基金的基金简称</w:t>
            </w:r>
          </w:p>
        </w:tc>
        <w:tc>
          <w:tcPr>
            <w:tcW w:w="2739"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易方达沪深</w:t>
            </w:r>
            <w:r w:rsidRPr="00B34368">
              <w:rPr>
                <w:rFonts w:eastAsiaTheme="minorEastAsia"/>
                <w:color w:val="000000" w:themeColor="text1"/>
                <w:sz w:val="24"/>
              </w:rPr>
              <w:t>300ETF</w:t>
            </w:r>
            <w:r w:rsidRPr="00B34368">
              <w:rPr>
                <w:rFonts w:eastAsiaTheme="minorEastAsia"/>
                <w:color w:val="000000" w:themeColor="text1"/>
                <w:sz w:val="24"/>
              </w:rPr>
              <w:t>发起式联接</w:t>
            </w:r>
            <w:r w:rsidRPr="00B34368">
              <w:rPr>
                <w:rFonts w:eastAsiaTheme="minorEastAsia"/>
                <w:color w:val="000000" w:themeColor="text1"/>
                <w:sz w:val="24"/>
              </w:rPr>
              <w:t>A</w:t>
            </w:r>
          </w:p>
        </w:tc>
        <w:tc>
          <w:tcPr>
            <w:tcW w:w="2740"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易方达沪深</w:t>
            </w:r>
            <w:r w:rsidRPr="00B34368">
              <w:rPr>
                <w:rFonts w:eastAsiaTheme="minorEastAsia"/>
                <w:color w:val="000000" w:themeColor="text1"/>
                <w:sz w:val="24"/>
              </w:rPr>
              <w:t>300ETF</w:t>
            </w:r>
            <w:r w:rsidRPr="00B34368">
              <w:rPr>
                <w:rFonts w:eastAsiaTheme="minorEastAsia"/>
                <w:color w:val="000000" w:themeColor="text1"/>
                <w:sz w:val="24"/>
              </w:rPr>
              <w:t>发起式联接</w:t>
            </w:r>
            <w:r w:rsidRPr="00B34368">
              <w:rPr>
                <w:rFonts w:eastAsiaTheme="minorEastAsia"/>
                <w:color w:val="000000" w:themeColor="text1"/>
                <w:sz w:val="24"/>
              </w:rPr>
              <w:t>C</w:t>
            </w:r>
          </w:p>
        </w:tc>
      </w:tr>
      <w:tr w:rsidR="00D3639B" w:rsidRPr="00B34368" w:rsidTr="00950413">
        <w:tc>
          <w:tcPr>
            <w:tcW w:w="2835" w:type="dxa"/>
          </w:tcPr>
          <w:p w:rsidR="00950413" w:rsidRPr="00B34368" w:rsidRDefault="00950413"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下属</w:t>
            </w:r>
            <w:r w:rsidR="00075E4E">
              <w:rPr>
                <w:rFonts w:eastAsiaTheme="minorEastAsia" w:hAnsiTheme="minorEastAsia" w:hint="eastAsia"/>
                <w:color w:val="000000" w:themeColor="text1"/>
                <w:sz w:val="24"/>
              </w:rPr>
              <w:t>分</w:t>
            </w:r>
            <w:r w:rsidRPr="00B34368">
              <w:rPr>
                <w:rFonts w:eastAsiaTheme="minorEastAsia" w:hAnsiTheme="minorEastAsia"/>
                <w:color w:val="000000" w:themeColor="text1"/>
                <w:sz w:val="24"/>
              </w:rPr>
              <w:t>级基金的交易代码</w:t>
            </w:r>
          </w:p>
        </w:tc>
        <w:tc>
          <w:tcPr>
            <w:tcW w:w="2739"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110020</w:t>
            </w:r>
          </w:p>
        </w:tc>
        <w:tc>
          <w:tcPr>
            <w:tcW w:w="2740" w:type="dxa"/>
            <w:vAlign w:val="center"/>
          </w:tcPr>
          <w:p w:rsidR="00950413" w:rsidRPr="00B34368" w:rsidRDefault="00FE7FBD" w:rsidP="00950413">
            <w:pPr>
              <w:jc w:val="left"/>
              <w:rPr>
                <w:rFonts w:eastAsiaTheme="minorEastAsia"/>
                <w:color w:val="000000" w:themeColor="text1"/>
                <w:sz w:val="24"/>
              </w:rPr>
            </w:pPr>
            <w:r w:rsidRPr="00B34368">
              <w:rPr>
                <w:rFonts w:eastAsiaTheme="minorEastAsia"/>
                <w:color w:val="000000" w:themeColor="text1"/>
                <w:sz w:val="24"/>
              </w:rPr>
              <w:t>007339</w:t>
            </w:r>
          </w:p>
        </w:tc>
      </w:tr>
      <w:tr w:rsidR="00D3639B" w:rsidRPr="00B34368" w:rsidTr="00950413">
        <w:tc>
          <w:tcPr>
            <w:tcW w:w="2835" w:type="dxa"/>
          </w:tcPr>
          <w:p w:rsidR="00950413" w:rsidRPr="00B34368" w:rsidRDefault="00950413"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报告期末下属</w:t>
            </w:r>
            <w:r w:rsidR="00075E4E">
              <w:rPr>
                <w:rFonts w:eastAsiaTheme="minorEastAsia" w:hAnsiTheme="minorEastAsia" w:hint="eastAsia"/>
                <w:color w:val="000000" w:themeColor="text1"/>
                <w:sz w:val="24"/>
              </w:rPr>
              <w:t>分</w:t>
            </w:r>
            <w:r w:rsidRPr="00B34368">
              <w:rPr>
                <w:rFonts w:eastAsiaTheme="minorEastAsia" w:hAnsiTheme="minorEastAsia"/>
                <w:color w:val="000000" w:themeColor="text1"/>
                <w:sz w:val="24"/>
              </w:rPr>
              <w:t>级基金的份额总额</w:t>
            </w:r>
          </w:p>
        </w:tc>
        <w:tc>
          <w:tcPr>
            <w:tcW w:w="2739"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4,048,701,428.41</w:t>
            </w:r>
            <w:r w:rsidR="00D305C9" w:rsidRPr="00B34368">
              <w:rPr>
                <w:rFonts w:eastAsiaTheme="minorEastAsia" w:hAnsiTheme="minorEastAsia"/>
                <w:color w:val="000000" w:themeColor="text1"/>
                <w:kern w:val="0"/>
                <w:sz w:val="24"/>
              </w:rPr>
              <w:t>份</w:t>
            </w:r>
          </w:p>
        </w:tc>
        <w:tc>
          <w:tcPr>
            <w:tcW w:w="2740" w:type="dxa"/>
            <w:vAlign w:val="center"/>
          </w:tcPr>
          <w:p w:rsidR="00950413" w:rsidRPr="00B34368" w:rsidRDefault="00FE7FBD" w:rsidP="00950413">
            <w:pPr>
              <w:jc w:val="left"/>
              <w:rPr>
                <w:rFonts w:eastAsiaTheme="minorEastAsia"/>
                <w:color w:val="000000" w:themeColor="text1"/>
                <w:sz w:val="24"/>
              </w:rPr>
            </w:pPr>
            <w:r w:rsidRPr="00B34368">
              <w:rPr>
                <w:rFonts w:eastAsiaTheme="minorEastAsia"/>
                <w:color w:val="000000" w:themeColor="text1"/>
                <w:sz w:val="24"/>
              </w:rPr>
              <w:t>577,182,359.41</w:t>
            </w:r>
            <w:r w:rsidR="00D305C9" w:rsidRPr="00B34368">
              <w:rPr>
                <w:rFonts w:eastAsiaTheme="minorEastAsia" w:hAnsiTheme="minorEastAsia"/>
                <w:color w:val="000000" w:themeColor="text1"/>
                <w:kern w:val="0"/>
                <w:sz w:val="24"/>
              </w:rPr>
              <w:t>份</w:t>
            </w:r>
          </w:p>
        </w:tc>
      </w:tr>
    </w:tbl>
    <w:p w:rsidR="002C32ED" w:rsidRPr="00B34368" w:rsidRDefault="00A6200E"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注：自</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4</w:t>
      </w:r>
      <w:r w:rsidRPr="00B34368">
        <w:rPr>
          <w:rFonts w:eastAsiaTheme="minorEastAsia"/>
          <w:color w:val="000000" w:themeColor="text1"/>
          <w:sz w:val="24"/>
        </w:rPr>
        <w:t>月</w:t>
      </w:r>
      <w:r w:rsidRPr="00B34368">
        <w:rPr>
          <w:rFonts w:eastAsiaTheme="minorEastAsia"/>
          <w:color w:val="000000" w:themeColor="text1"/>
          <w:sz w:val="24"/>
        </w:rPr>
        <w:t>25</w:t>
      </w:r>
      <w:r w:rsidRPr="00B34368">
        <w:rPr>
          <w:rFonts w:eastAsiaTheme="minorEastAsia"/>
          <w:color w:val="000000" w:themeColor="text1"/>
          <w:sz w:val="24"/>
        </w:rPr>
        <w:t>日起，本基金增设</w:t>
      </w:r>
      <w:r w:rsidRPr="00B34368">
        <w:rPr>
          <w:rFonts w:eastAsiaTheme="minorEastAsia"/>
          <w:color w:val="000000" w:themeColor="text1"/>
          <w:sz w:val="24"/>
        </w:rPr>
        <w:t>C</w:t>
      </w:r>
      <w:r w:rsidRPr="00B34368">
        <w:rPr>
          <w:rFonts w:eastAsiaTheme="minorEastAsia"/>
          <w:color w:val="000000" w:themeColor="text1"/>
          <w:sz w:val="24"/>
        </w:rPr>
        <w:t>类份额类别，份额首次确认日为</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4</w:t>
      </w:r>
      <w:r w:rsidRPr="00B34368">
        <w:rPr>
          <w:rFonts w:eastAsiaTheme="minorEastAsia"/>
          <w:color w:val="000000" w:themeColor="text1"/>
          <w:sz w:val="24"/>
        </w:rPr>
        <w:t>月</w:t>
      </w:r>
      <w:r w:rsidRPr="00B34368">
        <w:rPr>
          <w:rFonts w:eastAsiaTheme="minorEastAsia"/>
          <w:color w:val="000000" w:themeColor="text1"/>
          <w:sz w:val="24"/>
        </w:rPr>
        <w:t>26</w:t>
      </w:r>
      <w:r w:rsidRPr="00B34368">
        <w:rPr>
          <w:rFonts w:eastAsiaTheme="minorEastAsia"/>
          <w:color w:val="000000" w:themeColor="text1"/>
          <w:sz w:val="24"/>
        </w:rPr>
        <w:t>日。</w:t>
      </w:r>
    </w:p>
    <w:p w:rsidR="002C32ED" w:rsidRPr="00B34368" w:rsidRDefault="002C32ED" w:rsidP="00C544B8">
      <w:pPr>
        <w:pStyle w:val="2"/>
        <w:keepNext w:val="0"/>
        <w:keepLines w:val="0"/>
        <w:spacing w:beforeLines="100" w:before="312" w:after="0"/>
        <w:rPr>
          <w:rFonts w:ascii="Times New Roman" w:eastAsiaTheme="minorEastAsia" w:hAnsi="Times New Roman" w:cs="Times New Roman"/>
          <w:color w:val="000000" w:themeColor="text1"/>
          <w:szCs w:val="24"/>
        </w:rPr>
      </w:pPr>
      <w:r w:rsidRPr="00B34368">
        <w:rPr>
          <w:rFonts w:ascii="Times New Roman" w:eastAsiaTheme="minorEastAsia" w:hAnsi="Times New Roman" w:cs="Times New Roman"/>
          <w:color w:val="000000" w:themeColor="text1"/>
          <w:szCs w:val="24"/>
        </w:rPr>
        <w:t>2.1.1</w:t>
      </w:r>
      <w:r w:rsidRPr="00B34368">
        <w:rPr>
          <w:rFonts w:ascii="Times New Roman" w:eastAsiaTheme="minorEastAsia" w:hAnsiTheme="minorEastAsia" w:cs="Times New Roman"/>
          <w:color w:val="000000" w:themeColor="text1"/>
          <w:szCs w:val="24"/>
        </w:rPr>
        <w:t>目标基金基本情况</w:t>
      </w:r>
    </w:p>
    <w:tbl>
      <w:tblPr>
        <w:tblW w:w="8460" w:type="dxa"/>
        <w:tblInd w:w="108" w:type="dxa"/>
        <w:tblLayout w:type="fixed"/>
        <w:tblLook w:val="0000" w:firstRow="0" w:lastRow="0" w:firstColumn="0" w:lastColumn="0" w:noHBand="0" w:noVBand="0"/>
      </w:tblPr>
      <w:tblGrid>
        <w:gridCol w:w="2724"/>
        <w:gridCol w:w="5736"/>
      </w:tblGrid>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易方达沪深</w:t>
            </w:r>
            <w:r w:rsidRPr="00B34368">
              <w:rPr>
                <w:rFonts w:eastAsiaTheme="minorEastAsia"/>
                <w:color w:val="000000" w:themeColor="text1"/>
                <w:sz w:val="24"/>
              </w:rPr>
              <w:t>300</w:t>
            </w:r>
            <w:r w:rsidRPr="00B34368">
              <w:rPr>
                <w:rFonts w:eastAsiaTheme="minorEastAsia"/>
                <w:color w:val="000000" w:themeColor="text1"/>
                <w:sz w:val="24"/>
              </w:rPr>
              <w:t>交易型开放式指数发起式证券投资基金</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510310</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交易型开放式（</w:t>
            </w:r>
            <w:r w:rsidRPr="00B34368">
              <w:rPr>
                <w:rFonts w:eastAsiaTheme="minorEastAsia"/>
                <w:color w:val="000000" w:themeColor="text1"/>
                <w:sz w:val="24"/>
              </w:rPr>
              <w:t>ETF</w:t>
            </w:r>
            <w:r w:rsidRPr="00B34368">
              <w:rPr>
                <w:rFonts w:eastAsiaTheme="minorEastAsia"/>
                <w:color w:val="000000" w:themeColor="text1"/>
                <w:sz w:val="24"/>
              </w:rPr>
              <w:t>）、发起式</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lastRenderedPageBreak/>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2013</w:t>
            </w:r>
            <w:r w:rsidRPr="00B34368">
              <w:rPr>
                <w:rFonts w:eastAsiaTheme="minorEastAsia"/>
                <w:color w:val="000000" w:themeColor="text1"/>
                <w:sz w:val="24"/>
              </w:rPr>
              <w:t>年</w:t>
            </w:r>
            <w:r w:rsidRPr="00B34368">
              <w:rPr>
                <w:rFonts w:eastAsiaTheme="minorEastAsia"/>
                <w:color w:val="000000" w:themeColor="text1"/>
                <w:sz w:val="24"/>
              </w:rPr>
              <w:t>3</w:t>
            </w:r>
            <w:r w:rsidRPr="00B34368">
              <w:rPr>
                <w:rFonts w:eastAsiaTheme="minorEastAsia"/>
                <w:color w:val="000000" w:themeColor="text1"/>
                <w:sz w:val="24"/>
              </w:rPr>
              <w:t>月</w:t>
            </w:r>
            <w:r w:rsidRPr="00B34368">
              <w:rPr>
                <w:rFonts w:eastAsiaTheme="minorEastAsia"/>
                <w:color w:val="000000" w:themeColor="text1"/>
                <w:sz w:val="24"/>
              </w:rPr>
              <w:t>6</w:t>
            </w:r>
            <w:r w:rsidRPr="00B34368">
              <w:rPr>
                <w:rFonts w:eastAsiaTheme="minorEastAsia"/>
                <w:color w:val="000000" w:themeColor="text1"/>
                <w:sz w:val="24"/>
              </w:rPr>
              <w:t>日</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上海证券交易所</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2013</w:t>
            </w:r>
            <w:r w:rsidRPr="00B34368">
              <w:rPr>
                <w:rFonts w:eastAsiaTheme="minorEastAsia"/>
                <w:color w:val="000000" w:themeColor="text1"/>
                <w:sz w:val="24"/>
              </w:rPr>
              <w:t>年</w:t>
            </w:r>
            <w:r w:rsidRPr="00B34368">
              <w:rPr>
                <w:rFonts w:eastAsiaTheme="minorEastAsia"/>
                <w:color w:val="000000" w:themeColor="text1"/>
                <w:sz w:val="24"/>
              </w:rPr>
              <w:t>3</w:t>
            </w:r>
            <w:r w:rsidRPr="00B34368">
              <w:rPr>
                <w:rFonts w:eastAsiaTheme="minorEastAsia"/>
                <w:color w:val="000000" w:themeColor="text1"/>
                <w:sz w:val="24"/>
              </w:rPr>
              <w:t>月</w:t>
            </w:r>
            <w:r w:rsidRPr="00B34368">
              <w:rPr>
                <w:rFonts w:eastAsiaTheme="minorEastAsia"/>
                <w:color w:val="000000" w:themeColor="text1"/>
                <w:sz w:val="24"/>
              </w:rPr>
              <w:t>25</w:t>
            </w:r>
            <w:r w:rsidRPr="00B34368">
              <w:rPr>
                <w:rFonts w:eastAsiaTheme="minorEastAsia"/>
                <w:color w:val="000000" w:themeColor="text1"/>
                <w:sz w:val="24"/>
              </w:rPr>
              <w:t>日</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易方达基金管理有限公司</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中国建设银行股份有限公司</w:t>
            </w:r>
          </w:p>
        </w:tc>
      </w:tr>
    </w:tbl>
    <w:p w:rsidR="002C32ED" w:rsidRPr="00B34368" w:rsidRDefault="002C32ED" w:rsidP="00C544B8">
      <w:pPr>
        <w:pStyle w:val="2"/>
        <w:keepNext w:val="0"/>
        <w:keepLines w:val="0"/>
        <w:spacing w:beforeLines="100" w:before="312" w:after="0"/>
        <w:rPr>
          <w:rFonts w:ascii="Times New Roman" w:eastAsiaTheme="minorEastAsia" w:hAnsi="Times New Roman" w:cs="Times New Roman"/>
          <w:color w:val="000000" w:themeColor="text1"/>
          <w:szCs w:val="24"/>
        </w:rPr>
      </w:pPr>
      <w:r w:rsidRPr="00B34368">
        <w:rPr>
          <w:rFonts w:ascii="Times New Roman" w:eastAsiaTheme="minorEastAsia" w:hAnsi="Times New Roman" w:cs="Times New Roman"/>
          <w:color w:val="000000" w:themeColor="text1"/>
          <w:szCs w:val="24"/>
        </w:rPr>
        <w:t>2.1.2</w:t>
      </w:r>
      <w:r w:rsidRPr="00B34368">
        <w:rPr>
          <w:rFonts w:ascii="Times New Roman" w:eastAsiaTheme="minorEastAsia" w:hAnsiTheme="minorEastAsia" w:cs="Times New Roman"/>
          <w:color w:val="000000" w:themeColor="text1"/>
          <w:szCs w:val="24"/>
        </w:rPr>
        <w:t>目标基金产品说明</w:t>
      </w:r>
    </w:p>
    <w:tbl>
      <w:tblPr>
        <w:tblW w:w="8460" w:type="dxa"/>
        <w:tblInd w:w="108" w:type="dxa"/>
        <w:tblLook w:val="0000" w:firstRow="0" w:lastRow="0" w:firstColumn="0" w:lastColumn="0" w:noHBand="0" w:noVBand="0"/>
      </w:tblPr>
      <w:tblGrid>
        <w:gridCol w:w="2820"/>
        <w:gridCol w:w="5640"/>
      </w:tblGrid>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紧密跟踪标的指数，追求跟踪偏离度和跟踪误差的最小化。</w:t>
            </w:r>
          </w:p>
        </w:tc>
      </w:tr>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本基金主要采取完全复制法，即完全按照标的指数的成份股组成及其权重构建基金股票投资组合，并根据标的指数成份股及其权重的变动进行相应调整。但在因特殊情形导致基金无法完全投资于标的指数成份股时，基金管理人将采取其他指数投资技术适当调整基金投资组合，以达到紧密跟踪标的指数的目的。本基金可投资股指期货和其他经中国证监会允许的衍生金融产品。本基金投资股指期货将根据风险管理的原则，以套期保值为目的，主要选择流动性好、交易活跃的股指期货合约。在正常市场情况下，本基金日均跟踪偏离度的绝对值不超过</w:t>
            </w:r>
            <w:r w:rsidRPr="00B34368">
              <w:rPr>
                <w:rFonts w:eastAsiaTheme="minorEastAsia"/>
                <w:color w:val="000000" w:themeColor="text1"/>
                <w:sz w:val="24"/>
              </w:rPr>
              <w:t>0.2%</w:t>
            </w:r>
            <w:r w:rsidRPr="00B34368">
              <w:rPr>
                <w:rFonts w:eastAsiaTheme="minorEastAsia"/>
                <w:color w:val="000000" w:themeColor="text1"/>
                <w:sz w:val="24"/>
              </w:rPr>
              <w:t>，年化跟踪误差不超过</w:t>
            </w:r>
            <w:r w:rsidRPr="00B34368">
              <w:rPr>
                <w:rFonts w:eastAsiaTheme="minorEastAsia"/>
                <w:color w:val="000000" w:themeColor="text1"/>
                <w:sz w:val="24"/>
              </w:rPr>
              <w:t>2%</w:t>
            </w:r>
            <w:r w:rsidRPr="00B34368">
              <w:rPr>
                <w:rFonts w:eastAsiaTheme="minorEastAsia"/>
                <w:color w:val="000000" w:themeColor="text1"/>
                <w:sz w:val="24"/>
              </w:rPr>
              <w:t>。</w:t>
            </w:r>
          </w:p>
        </w:tc>
      </w:tr>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沪深</w:t>
            </w:r>
            <w:r w:rsidRPr="00B34368">
              <w:rPr>
                <w:rFonts w:eastAsiaTheme="minorEastAsia"/>
                <w:color w:val="000000" w:themeColor="text1"/>
                <w:sz w:val="24"/>
              </w:rPr>
              <w:t>300</w:t>
            </w:r>
            <w:r w:rsidRPr="00B34368">
              <w:rPr>
                <w:rFonts w:eastAsiaTheme="minorEastAsia"/>
                <w:color w:val="000000" w:themeColor="text1"/>
                <w:sz w:val="24"/>
              </w:rPr>
              <w:t>指数</w:t>
            </w:r>
          </w:p>
        </w:tc>
      </w:tr>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本基金属股票型基金，预期风险与预期收益水平高于混合型基金、债券型基金与货币市场基金。本基金为指数型基金，主要采用完全复制法跟踪标的指数的表现，具有与标的指数所代表的市场组合相似的风险收益特征。</w:t>
            </w:r>
          </w:p>
        </w:tc>
      </w:tr>
    </w:tbl>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§3  </w:t>
      </w:r>
      <w:r w:rsidRPr="00B34368">
        <w:rPr>
          <w:rFonts w:eastAsiaTheme="minorEastAsia" w:hAnsiTheme="minorEastAsia"/>
          <w:color w:val="000000" w:themeColor="text1"/>
          <w:kern w:val="0"/>
          <w:sz w:val="24"/>
          <w:szCs w:val="24"/>
        </w:rPr>
        <w:t>主要财务指标和基金净值表现</w:t>
      </w:r>
    </w:p>
    <w:p w:rsidR="009238DB" w:rsidRPr="00B34368" w:rsidRDefault="009238DB"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3.1 </w:t>
      </w:r>
      <w:r w:rsidRPr="00B34368">
        <w:rPr>
          <w:rFonts w:eastAsiaTheme="minorEastAsia" w:hAnsiTheme="minorEastAsia"/>
          <w:b/>
          <w:color w:val="000000" w:themeColor="text1"/>
          <w:kern w:val="0"/>
          <w:sz w:val="24"/>
        </w:rPr>
        <w:t>主要财务指标</w:t>
      </w:r>
    </w:p>
    <w:p w:rsidR="009238DB" w:rsidRPr="00B34368" w:rsidRDefault="009238DB" w:rsidP="00E27360">
      <w:pPr>
        <w:autoSpaceDE w:val="0"/>
        <w:autoSpaceDN w:val="0"/>
        <w:adjustRightInd w:val="0"/>
        <w:spacing w:before="29" w:line="288" w:lineRule="auto"/>
        <w:ind w:left="15" w:right="480"/>
        <w:jc w:val="right"/>
        <w:rPr>
          <w:rFonts w:eastAsiaTheme="minorEastAsia"/>
          <w:color w:val="000000" w:themeColor="text1"/>
          <w:kern w:val="0"/>
          <w:sz w:val="24"/>
        </w:rPr>
      </w:pPr>
      <w:r w:rsidRPr="00B34368">
        <w:rPr>
          <w:rFonts w:eastAsiaTheme="minorEastAsia" w:hAnsi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D3639B" w:rsidRPr="00B34368" w:rsidTr="008B5312">
        <w:tc>
          <w:tcPr>
            <w:tcW w:w="3402" w:type="dxa"/>
            <w:vMerge w:val="restart"/>
            <w:vAlign w:val="center"/>
          </w:tcPr>
          <w:p w:rsidR="009E549D" w:rsidRPr="00B34368" w:rsidRDefault="009E549D" w:rsidP="00E205AA">
            <w:pPr>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主要财务指标</w:t>
            </w:r>
          </w:p>
        </w:tc>
        <w:tc>
          <w:tcPr>
            <w:tcW w:w="4962" w:type="dxa"/>
            <w:gridSpan w:val="2"/>
            <w:vAlign w:val="center"/>
          </w:tcPr>
          <w:p w:rsidR="002976E5" w:rsidRPr="00B34368" w:rsidRDefault="009E549D" w:rsidP="00E205AA">
            <w:pPr>
              <w:adjustRightInd w:val="0"/>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报告期</w:t>
            </w:r>
          </w:p>
          <w:p w:rsidR="009E549D" w:rsidRPr="00B34368" w:rsidRDefault="009E549D"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(2020</w:t>
            </w:r>
            <w:r w:rsidRPr="00B34368">
              <w:rPr>
                <w:rFonts w:eastAsiaTheme="minorEastAsia"/>
                <w:color w:val="000000" w:themeColor="text1"/>
                <w:sz w:val="24"/>
              </w:rPr>
              <w:t>年</w:t>
            </w:r>
            <w:r w:rsidRPr="00B34368">
              <w:rPr>
                <w:rFonts w:eastAsiaTheme="minorEastAsia"/>
                <w:color w:val="000000" w:themeColor="text1"/>
                <w:sz w:val="24"/>
              </w:rPr>
              <w:t>1</w:t>
            </w:r>
            <w:r w:rsidRPr="00B34368">
              <w:rPr>
                <w:rFonts w:eastAsiaTheme="minorEastAsia"/>
                <w:color w:val="000000" w:themeColor="text1"/>
                <w:sz w:val="24"/>
              </w:rPr>
              <w:t>月</w:t>
            </w:r>
            <w:r w:rsidRPr="00B34368">
              <w:rPr>
                <w:rFonts w:eastAsiaTheme="minorEastAsia"/>
                <w:color w:val="000000" w:themeColor="text1"/>
                <w:sz w:val="24"/>
              </w:rPr>
              <w:t>1</w:t>
            </w:r>
            <w:r w:rsidRPr="00B34368">
              <w:rPr>
                <w:rFonts w:eastAsiaTheme="minorEastAsia"/>
                <w:color w:val="000000" w:themeColor="text1"/>
                <w:sz w:val="24"/>
              </w:rPr>
              <w:t>日</w:t>
            </w:r>
            <w:r w:rsidRPr="00B34368">
              <w:rPr>
                <w:rFonts w:eastAsiaTheme="minorEastAsia"/>
                <w:color w:val="000000" w:themeColor="text1"/>
                <w:sz w:val="24"/>
              </w:rPr>
              <w:t>-2020</w:t>
            </w:r>
            <w:r w:rsidRPr="00B34368">
              <w:rPr>
                <w:rFonts w:eastAsiaTheme="minorEastAsia"/>
                <w:color w:val="000000" w:themeColor="text1"/>
                <w:sz w:val="24"/>
              </w:rPr>
              <w:t>年</w:t>
            </w:r>
            <w:r w:rsidRPr="00B34368">
              <w:rPr>
                <w:rFonts w:eastAsiaTheme="minorEastAsia"/>
                <w:color w:val="000000" w:themeColor="text1"/>
                <w:sz w:val="24"/>
              </w:rPr>
              <w:t>3</w:t>
            </w:r>
            <w:r w:rsidRPr="00B34368">
              <w:rPr>
                <w:rFonts w:eastAsiaTheme="minorEastAsia"/>
                <w:color w:val="000000" w:themeColor="text1"/>
                <w:sz w:val="24"/>
              </w:rPr>
              <w:t>月</w:t>
            </w:r>
            <w:r w:rsidRPr="00B34368">
              <w:rPr>
                <w:rFonts w:eastAsiaTheme="minorEastAsia"/>
                <w:color w:val="000000" w:themeColor="text1"/>
                <w:sz w:val="24"/>
              </w:rPr>
              <w:t>31</w:t>
            </w:r>
            <w:r w:rsidRPr="00B34368">
              <w:rPr>
                <w:rFonts w:eastAsiaTheme="minorEastAsia"/>
                <w:color w:val="000000" w:themeColor="text1"/>
                <w:sz w:val="24"/>
              </w:rPr>
              <w:t>日</w:t>
            </w:r>
            <w:r w:rsidRPr="00B34368">
              <w:rPr>
                <w:rFonts w:eastAsiaTheme="minorEastAsia"/>
                <w:color w:val="000000" w:themeColor="text1"/>
                <w:sz w:val="24"/>
              </w:rPr>
              <w:t>)</w:t>
            </w:r>
          </w:p>
        </w:tc>
      </w:tr>
      <w:tr w:rsidR="00D3639B" w:rsidRPr="00B34368" w:rsidTr="008B5312">
        <w:tc>
          <w:tcPr>
            <w:tcW w:w="3402" w:type="dxa"/>
            <w:vMerge/>
            <w:vAlign w:val="center"/>
          </w:tcPr>
          <w:p w:rsidR="009E549D" w:rsidRPr="00B34368" w:rsidRDefault="009E549D" w:rsidP="00E205AA">
            <w:pPr>
              <w:adjustRightInd w:val="0"/>
              <w:spacing w:before="29" w:line="360" w:lineRule="auto"/>
              <w:ind w:left="17"/>
              <w:jc w:val="center"/>
              <w:rPr>
                <w:rFonts w:eastAsiaTheme="minorEastAsia"/>
                <w:color w:val="000000" w:themeColor="text1"/>
                <w:kern w:val="0"/>
                <w:sz w:val="24"/>
              </w:rPr>
            </w:pPr>
          </w:p>
        </w:tc>
        <w:tc>
          <w:tcPr>
            <w:tcW w:w="2481" w:type="dxa"/>
            <w:vAlign w:val="center"/>
          </w:tcPr>
          <w:p w:rsidR="009E549D" w:rsidRPr="00B34368" w:rsidRDefault="009E549D"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易方达沪深</w:t>
            </w:r>
            <w:r w:rsidRPr="00B34368">
              <w:rPr>
                <w:rFonts w:eastAsiaTheme="minorEastAsia"/>
                <w:color w:val="000000" w:themeColor="text1"/>
                <w:sz w:val="24"/>
              </w:rPr>
              <w:t>300ETF</w:t>
            </w:r>
            <w:r w:rsidRPr="00B34368">
              <w:rPr>
                <w:rFonts w:eastAsiaTheme="minorEastAsia"/>
                <w:color w:val="000000" w:themeColor="text1"/>
                <w:sz w:val="24"/>
              </w:rPr>
              <w:lastRenderedPageBreak/>
              <w:t>发起式联接</w:t>
            </w:r>
            <w:r w:rsidRPr="00B34368">
              <w:rPr>
                <w:rFonts w:eastAsiaTheme="minorEastAsia"/>
                <w:color w:val="000000" w:themeColor="text1"/>
                <w:sz w:val="24"/>
              </w:rPr>
              <w:t>A</w:t>
            </w:r>
          </w:p>
        </w:tc>
        <w:tc>
          <w:tcPr>
            <w:tcW w:w="2481" w:type="dxa"/>
            <w:vAlign w:val="center"/>
          </w:tcPr>
          <w:p w:rsidR="009E549D" w:rsidRPr="00B34368" w:rsidRDefault="00FE7FBD"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lastRenderedPageBreak/>
              <w:t>易方达沪深</w:t>
            </w:r>
            <w:r w:rsidRPr="00B34368">
              <w:rPr>
                <w:rFonts w:eastAsiaTheme="minorEastAsia"/>
                <w:color w:val="000000" w:themeColor="text1"/>
                <w:sz w:val="24"/>
              </w:rPr>
              <w:t>300ETF</w:t>
            </w:r>
            <w:r w:rsidRPr="00B34368">
              <w:rPr>
                <w:rFonts w:eastAsiaTheme="minorEastAsia"/>
                <w:color w:val="000000" w:themeColor="text1"/>
                <w:sz w:val="24"/>
              </w:rPr>
              <w:lastRenderedPageBreak/>
              <w:t>发起式联接</w:t>
            </w:r>
            <w:r w:rsidRPr="00B34368">
              <w:rPr>
                <w:rFonts w:eastAsiaTheme="minorEastAsia"/>
                <w:color w:val="000000" w:themeColor="text1"/>
                <w:sz w:val="24"/>
              </w:rPr>
              <w:t>C</w:t>
            </w:r>
          </w:p>
        </w:tc>
      </w:tr>
      <w:tr w:rsidR="00D3639B" w:rsidRPr="00B34368" w:rsidTr="00973B57">
        <w:tc>
          <w:tcPr>
            <w:tcW w:w="3402" w:type="dxa"/>
          </w:tcPr>
          <w:p w:rsidR="005F293E" w:rsidRPr="00B34368" w:rsidRDefault="005F293E" w:rsidP="00973B57">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lastRenderedPageBreak/>
              <w:t>1.</w:t>
            </w:r>
            <w:r w:rsidRPr="00B34368">
              <w:rPr>
                <w:rFonts w:eastAsiaTheme="minorEastAsia" w:hAnsiTheme="minorEastAsia"/>
                <w:color w:val="000000" w:themeColor="text1"/>
                <w:kern w:val="0"/>
                <w:sz w:val="24"/>
              </w:rPr>
              <w:t>本期已实现收益</w:t>
            </w:r>
          </w:p>
        </w:tc>
        <w:tc>
          <w:tcPr>
            <w:tcW w:w="2481" w:type="dxa"/>
            <w:vAlign w:val="bottom"/>
          </w:tcPr>
          <w:p w:rsidR="005F293E" w:rsidRPr="00B34368" w:rsidRDefault="005F293E" w:rsidP="00973B57">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135,673,814.18</w:t>
            </w:r>
          </w:p>
        </w:tc>
        <w:tc>
          <w:tcPr>
            <w:tcW w:w="2481" w:type="dxa"/>
            <w:vAlign w:val="bottom"/>
          </w:tcPr>
          <w:p w:rsidR="005F293E" w:rsidRPr="00B34368" w:rsidRDefault="00FE7FBD" w:rsidP="0037768B">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22,375,030.72</w:t>
            </w:r>
          </w:p>
        </w:tc>
      </w:tr>
      <w:tr w:rsidR="00D3639B" w:rsidRPr="00B34368" w:rsidTr="009A5C1D">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2.</w:t>
            </w:r>
            <w:r w:rsidRPr="00B34368">
              <w:rPr>
                <w:rFonts w:eastAsiaTheme="minorEastAsia" w:hAnsiTheme="minorEastAsia"/>
                <w:color w:val="000000" w:themeColor="text1"/>
                <w:kern w:val="0"/>
                <w:sz w:val="24"/>
              </w:rPr>
              <w:t>本期利润</w:t>
            </w:r>
          </w:p>
        </w:tc>
        <w:tc>
          <w:tcPr>
            <w:tcW w:w="2481" w:type="dxa"/>
            <w:vAlign w:val="bottom"/>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-468,453,368.51</w:t>
            </w:r>
          </w:p>
        </w:tc>
        <w:tc>
          <w:tcPr>
            <w:tcW w:w="2481" w:type="dxa"/>
            <w:vAlign w:val="bottom"/>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-79,233,143.76</w:t>
            </w:r>
          </w:p>
        </w:tc>
      </w:tr>
      <w:tr w:rsidR="00D3639B" w:rsidRPr="00B34368" w:rsidTr="009A5C1D">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3.</w:t>
            </w:r>
            <w:r w:rsidRPr="00B34368">
              <w:rPr>
                <w:rFonts w:eastAsiaTheme="minorEastAsia" w:hAnsiTheme="minorEastAsia"/>
                <w:color w:val="000000" w:themeColor="text1"/>
                <w:kern w:val="0"/>
                <w:sz w:val="24"/>
              </w:rPr>
              <w:t>加权平均基金份额本期利润</w:t>
            </w:r>
          </w:p>
        </w:tc>
        <w:tc>
          <w:tcPr>
            <w:tcW w:w="2481" w:type="dxa"/>
            <w:vAlign w:val="bottom"/>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-0.1188</w:t>
            </w:r>
          </w:p>
        </w:tc>
        <w:tc>
          <w:tcPr>
            <w:tcW w:w="2481" w:type="dxa"/>
            <w:vAlign w:val="bottom"/>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-0.1118</w:t>
            </w:r>
          </w:p>
        </w:tc>
      </w:tr>
      <w:tr w:rsidR="00D3639B" w:rsidRPr="00B34368" w:rsidTr="009A5C1D">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4.</w:t>
            </w:r>
            <w:r w:rsidRPr="00B34368">
              <w:rPr>
                <w:rFonts w:eastAsiaTheme="minorEastAsia" w:hAnsiTheme="minorEastAsia"/>
                <w:color w:val="000000" w:themeColor="text1"/>
                <w:kern w:val="0"/>
                <w:sz w:val="24"/>
              </w:rPr>
              <w:t>期末基金资产净值</w:t>
            </w:r>
          </w:p>
        </w:tc>
        <w:tc>
          <w:tcPr>
            <w:tcW w:w="2481" w:type="dxa"/>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5,234,404,836.32</w:t>
            </w:r>
          </w:p>
        </w:tc>
        <w:tc>
          <w:tcPr>
            <w:tcW w:w="2481" w:type="dxa"/>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744,796,085.35</w:t>
            </w:r>
          </w:p>
        </w:tc>
      </w:tr>
      <w:tr w:rsidR="00D3639B" w:rsidRPr="00B34368" w:rsidTr="009A5C1D">
        <w:trPr>
          <w:trHeight w:val="158"/>
        </w:trPr>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5.</w:t>
            </w:r>
            <w:r w:rsidRPr="00B34368">
              <w:rPr>
                <w:rFonts w:eastAsiaTheme="minorEastAsia" w:hAnsiTheme="minorEastAsia"/>
                <w:color w:val="000000" w:themeColor="text1"/>
                <w:kern w:val="0"/>
                <w:sz w:val="24"/>
              </w:rPr>
              <w:t>期末基金份额净值</w:t>
            </w:r>
          </w:p>
        </w:tc>
        <w:tc>
          <w:tcPr>
            <w:tcW w:w="2481" w:type="dxa"/>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1.2929</w:t>
            </w:r>
          </w:p>
        </w:tc>
        <w:tc>
          <w:tcPr>
            <w:tcW w:w="2481" w:type="dxa"/>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1.2904</w:t>
            </w:r>
          </w:p>
        </w:tc>
      </w:tr>
    </w:tbl>
    <w:p w:rsidR="0024428D" w:rsidRDefault="001B42C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所述基金业绩指标不包括持有人认购或交易基金的各项费用，计入费用后实际收益水平要低于所列数字。</w:t>
      </w:r>
    </w:p>
    <w:p w:rsidR="009238DB" w:rsidRPr="00B34368" w:rsidRDefault="005E01A3"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2.</w:t>
      </w:r>
      <w:r w:rsidRPr="00B34368">
        <w:rPr>
          <w:rFonts w:eastAsiaTheme="minorEastAsia"/>
          <w:color w:val="000000" w:themeColor="text1"/>
          <w:sz w:val="24"/>
        </w:rPr>
        <w:t>本期已实现收益指基金本期利息收入、投资收益、其他收入（不含公允价值变动收益）扣除相关费用后的余额，本期利润为本期已实现收益加上本期公允价值变动收益。</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3.2 </w:t>
      </w:r>
      <w:r w:rsidRPr="00B34368">
        <w:rPr>
          <w:rFonts w:eastAsiaTheme="minorEastAsia" w:hAnsiTheme="minorEastAsia"/>
          <w:b/>
          <w:color w:val="000000" w:themeColor="text1"/>
          <w:kern w:val="0"/>
          <w:sz w:val="24"/>
        </w:rPr>
        <w:t>基金净值表现</w:t>
      </w:r>
    </w:p>
    <w:p w:rsidR="009238DB" w:rsidRPr="00B34368" w:rsidRDefault="009238DB"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3.2.1</w:t>
      </w:r>
      <w:r w:rsidRPr="00B34368">
        <w:rPr>
          <w:rFonts w:eastAsiaTheme="minorEastAsia" w:hAnsiTheme="minorEastAsia"/>
          <w:b/>
          <w:color w:val="000000" w:themeColor="text1"/>
          <w:kern w:val="0"/>
          <w:sz w:val="24"/>
        </w:rPr>
        <w:t>本报告期基金份额净值增长率及其与同期业绩比较基准收益率的比较</w:t>
      </w:r>
    </w:p>
    <w:p w:rsidR="009238DB" w:rsidRPr="00B34368" w:rsidRDefault="00A5643A" w:rsidP="00FC13C8">
      <w:pPr>
        <w:spacing w:line="360" w:lineRule="auto"/>
        <w:rPr>
          <w:rFonts w:eastAsiaTheme="minorEastAsia"/>
          <w:b/>
          <w:color w:val="000000" w:themeColor="text1"/>
          <w:sz w:val="24"/>
        </w:rPr>
      </w:pPr>
      <w:r w:rsidRPr="00B34368">
        <w:rPr>
          <w:rFonts w:eastAsiaTheme="minorEastAsia"/>
          <w:b/>
          <w:color w:val="000000" w:themeColor="text1"/>
          <w:kern w:val="0"/>
          <w:sz w:val="24"/>
        </w:rPr>
        <w:t>易方达沪深</w:t>
      </w:r>
      <w:r w:rsidRPr="00B34368">
        <w:rPr>
          <w:rFonts w:eastAsiaTheme="minorEastAsia"/>
          <w:b/>
          <w:color w:val="000000" w:themeColor="text1"/>
          <w:kern w:val="0"/>
          <w:sz w:val="24"/>
        </w:rPr>
        <w:t>300ETF</w:t>
      </w:r>
      <w:r w:rsidRPr="00B34368">
        <w:rPr>
          <w:rFonts w:eastAsiaTheme="minorEastAsia"/>
          <w:b/>
          <w:color w:val="000000" w:themeColor="text1"/>
          <w:kern w:val="0"/>
          <w:sz w:val="24"/>
        </w:rPr>
        <w:t>发起式联接</w:t>
      </w:r>
      <w:r w:rsidRPr="00B34368">
        <w:rPr>
          <w:rFonts w:eastAsiaTheme="minorEastAsia"/>
          <w:b/>
          <w:color w:val="000000" w:themeColor="text1"/>
          <w:kern w:val="0"/>
          <w:sz w:val="24"/>
        </w:rPr>
        <w:t>A</w:t>
      </w:r>
      <w:r w:rsidR="009238DB" w:rsidRPr="00B34368">
        <w:rPr>
          <w:rFonts w:eastAsiaTheme="minorEastAsia" w:hAnsiTheme="minorEastAsia"/>
          <w:b/>
          <w:color w:val="000000" w:themeColor="text1"/>
          <w:sz w:val="24"/>
        </w:rPr>
        <w:t>：</w:t>
      </w:r>
    </w:p>
    <w:tbl>
      <w:tblPr>
        <w:tblStyle w:val="af2"/>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3639B" w:rsidRPr="00B34368" w:rsidTr="00975D18">
        <w:tc>
          <w:tcPr>
            <w:tcW w:w="1290"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阶段</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净值增长率①</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净值增长率标准差②</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业绩比较基准收益率标准差④</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①－③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②－④</w:t>
            </w:r>
          </w:p>
        </w:tc>
      </w:tr>
      <w:tr w:rsidR="0024428D">
        <w:tc>
          <w:tcPr>
            <w:tcW w:w="1290" w:type="dxa"/>
            <w:vAlign w:val="center"/>
          </w:tcPr>
          <w:p w:rsidR="0024428D" w:rsidRDefault="001B42CF">
            <w:pPr>
              <w:jc w:val="left"/>
            </w:pPr>
            <w:r>
              <w:rPr>
                <w:rFonts w:eastAsiaTheme="minorEastAsia"/>
                <w:color w:val="000000" w:themeColor="text1"/>
                <w:sz w:val="24"/>
              </w:rPr>
              <w:t>过去三个月</w:t>
            </w:r>
          </w:p>
        </w:tc>
        <w:tc>
          <w:tcPr>
            <w:tcW w:w="1291" w:type="dxa"/>
            <w:vAlign w:val="center"/>
          </w:tcPr>
          <w:p w:rsidR="0024428D" w:rsidRDefault="001B42CF">
            <w:pPr>
              <w:jc w:val="right"/>
            </w:pPr>
            <w:r>
              <w:rPr>
                <w:rFonts w:eastAsiaTheme="minorEastAsia"/>
                <w:color w:val="000000" w:themeColor="text1"/>
                <w:sz w:val="24"/>
              </w:rPr>
              <w:t>-9.21%</w:t>
            </w:r>
          </w:p>
        </w:tc>
        <w:tc>
          <w:tcPr>
            <w:tcW w:w="1291" w:type="dxa"/>
            <w:vAlign w:val="center"/>
          </w:tcPr>
          <w:p w:rsidR="0024428D" w:rsidRDefault="001B42CF">
            <w:pPr>
              <w:jc w:val="right"/>
            </w:pPr>
            <w:r>
              <w:rPr>
                <w:rFonts w:eastAsiaTheme="minorEastAsia"/>
                <w:color w:val="000000" w:themeColor="text1"/>
                <w:sz w:val="24"/>
              </w:rPr>
              <w:t>1.84%</w:t>
            </w:r>
          </w:p>
        </w:tc>
        <w:tc>
          <w:tcPr>
            <w:tcW w:w="1291" w:type="dxa"/>
            <w:vAlign w:val="center"/>
          </w:tcPr>
          <w:p w:rsidR="0024428D" w:rsidRDefault="001B42CF">
            <w:pPr>
              <w:jc w:val="right"/>
            </w:pPr>
            <w:r>
              <w:rPr>
                <w:rFonts w:eastAsiaTheme="minorEastAsia"/>
                <w:color w:val="000000" w:themeColor="text1"/>
                <w:sz w:val="24"/>
              </w:rPr>
              <w:t>-9.49%</w:t>
            </w:r>
          </w:p>
        </w:tc>
        <w:tc>
          <w:tcPr>
            <w:tcW w:w="1291" w:type="dxa"/>
            <w:vAlign w:val="center"/>
          </w:tcPr>
          <w:p w:rsidR="0024428D" w:rsidRDefault="001B42CF">
            <w:pPr>
              <w:jc w:val="right"/>
            </w:pPr>
            <w:r>
              <w:rPr>
                <w:rFonts w:eastAsiaTheme="minorEastAsia"/>
                <w:color w:val="000000" w:themeColor="text1"/>
                <w:sz w:val="24"/>
              </w:rPr>
              <w:t>1.86%</w:t>
            </w:r>
          </w:p>
        </w:tc>
        <w:tc>
          <w:tcPr>
            <w:tcW w:w="1291" w:type="dxa"/>
            <w:vAlign w:val="center"/>
          </w:tcPr>
          <w:p w:rsidR="0024428D" w:rsidRDefault="001B42CF">
            <w:pPr>
              <w:jc w:val="right"/>
            </w:pPr>
            <w:r>
              <w:rPr>
                <w:rFonts w:eastAsiaTheme="minorEastAsia"/>
                <w:color w:val="000000" w:themeColor="text1"/>
                <w:sz w:val="24"/>
              </w:rPr>
              <w:t>0.28%</w:t>
            </w:r>
          </w:p>
        </w:tc>
        <w:tc>
          <w:tcPr>
            <w:tcW w:w="1291" w:type="dxa"/>
            <w:vAlign w:val="center"/>
          </w:tcPr>
          <w:p w:rsidR="0024428D" w:rsidRDefault="001B42CF">
            <w:pPr>
              <w:jc w:val="right"/>
            </w:pPr>
            <w:r>
              <w:rPr>
                <w:rFonts w:eastAsiaTheme="minorEastAsia"/>
                <w:color w:val="000000" w:themeColor="text1"/>
                <w:sz w:val="24"/>
              </w:rPr>
              <w:t>-0.02%</w:t>
            </w:r>
          </w:p>
        </w:tc>
      </w:tr>
    </w:tbl>
    <w:p w:rsidR="009238DB" w:rsidRPr="00B34368" w:rsidRDefault="00FE7FBD" w:rsidP="00C544B8">
      <w:pPr>
        <w:adjustRightInd w:val="0"/>
        <w:spacing w:beforeLines="100" w:before="312" w:line="360" w:lineRule="auto"/>
        <w:rPr>
          <w:rFonts w:eastAsiaTheme="minorEastAsia"/>
          <w:b/>
          <w:color w:val="000000" w:themeColor="text1"/>
          <w:kern w:val="0"/>
          <w:sz w:val="24"/>
        </w:rPr>
      </w:pPr>
      <w:r w:rsidRPr="00B34368">
        <w:rPr>
          <w:rFonts w:eastAsiaTheme="minorEastAsia"/>
          <w:b/>
          <w:color w:val="000000" w:themeColor="text1"/>
          <w:kern w:val="0"/>
          <w:sz w:val="24"/>
        </w:rPr>
        <w:t>易方达沪深</w:t>
      </w:r>
      <w:r w:rsidRPr="00B34368">
        <w:rPr>
          <w:rFonts w:eastAsiaTheme="minorEastAsia"/>
          <w:b/>
          <w:color w:val="000000" w:themeColor="text1"/>
          <w:kern w:val="0"/>
          <w:sz w:val="24"/>
        </w:rPr>
        <w:t>300ETF</w:t>
      </w:r>
      <w:r w:rsidRPr="00B34368">
        <w:rPr>
          <w:rFonts w:eastAsiaTheme="minorEastAsia"/>
          <w:b/>
          <w:color w:val="000000" w:themeColor="text1"/>
          <w:kern w:val="0"/>
          <w:sz w:val="24"/>
        </w:rPr>
        <w:t>发起式联接</w:t>
      </w:r>
      <w:r w:rsidRPr="00B34368">
        <w:rPr>
          <w:rFonts w:eastAsiaTheme="minorEastAsia"/>
          <w:b/>
          <w:color w:val="000000" w:themeColor="text1"/>
          <w:kern w:val="0"/>
          <w:sz w:val="24"/>
        </w:rPr>
        <w:t>C</w:t>
      </w:r>
      <w:r w:rsidR="009238DB" w:rsidRPr="00B34368">
        <w:rPr>
          <w:rFonts w:eastAsiaTheme="minorEastAsia" w:hAnsiTheme="minorEastAsia"/>
          <w:b/>
          <w:color w:val="000000" w:themeColor="text1"/>
          <w:kern w:val="0"/>
          <w:sz w:val="24"/>
        </w:rPr>
        <w:t>：</w:t>
      </w:r>
    </w:p>
    <w:tbl>
      <w:tblPr>
        <w:tblStyle w:val="af2"/>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3639B" w:rsidRPr="00B34368" w:rsidTr="00975D18">
        <w:tc>
          <w:tcPr>
            <w:tcW w:w="1290"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阶段</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highlight w:val="green"/>
              </w:rPr>
            </w:pPr>
            <w:r w:rsidRPr="00B34368">
              <w:rPr>
                <w:rFonts w:eastAsiaTheme="minorEastAsia" w:hAnsiTheme="minorEastAsia"/>
                <w:color w:val="000000" w:themeColor="text1"/>
                <w:sz w:val="24"/>
              </w:rPr>
              <w:t>净值增长率①</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highlight w:val="green"/>
              </w:rPr>
            </w:pPr>
            <w:r w:rsidRPr="00B34368">
              <w:rPr>
                <w:rFonts w:eastAsiaTheme="minorEastAsia" w:hAnsiTheme="minorEastAsia"/>
                <w:color w:val="000000" w:themeColor="text1"/>
                <w:sz w:val="24"/>
              </w:rPr>
              <w:t>净值增长率标准差②</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业绩比较基准收益率标准差④</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①－③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②－④</w:t>
            </w:r>
          </w:p>
        </w:tc>
      </w:tr>
      <w:tr w:rsidR="0024428D">
        <w:tc>
          <w:tcPr>
            <w:tcW w:w="1290" w:type="dxa"/>
            <w:vAlign w:val="center"/>
          </w:tcPr>
          <w:p w:rsidR="0024428D" w:rsidRDefault="001B42CF">
            <w:pPr>
              <w:jc w:val="left"/>
            </w:pPr>
            <w:r>
              <w:rPr>
                <w:rFonts w:eastAsiaTheme="minorEastAsia"/>
                <w:color w:val="000000" w:themeColor="text1"/>
                <w:sz w:val="24"/>
              </w:rPr>
              <w:t>过去三个月</w:t>
            </w:r>
          </w:p>
        </w:tc>
        <w:tc>
          <w:tcPr>
            <w:tcW w:w="1291" w:type="dxa"/>
            <w:vAlign w:val="center"/>
          </w:tcPr>
          <w:p w:rsidR="0024428D" w:rsidRDefault="001B42CF">
            <w:pPr>
              <w:jc w:val="right"/>
            </w:pPr>
            <w:r>
              <w:rPr>
                <w:rFonts w:eastAsiaTheme="minorEastAsia"/>
                <w:color w:val="000000" w:themeColor="text1"/>
                <w:sz w:val="24"/>
              </w:rPr>
              <w:t>-9.27%</w:t>
            </w:r>
          </w:p>
        </w:tc>
        <w:tc>
          <w:tcPr>
            <w:tcW w:w="1291" w:type="dxa"/>
            <w:vAlign w:val="center"/>
          </w:tcPr>
          <w:p w:rsidR="0024428D" w:rsidRDefault="001B42CF">
            <w:pPr>
              <w:jc w:val="right"/>
            </w:pPr>
            <w:r>
              <w:rPr>
                <w:rFonts w:eastAsiaTheme="minorEastAsia"/>
                <w:color w:val="000000" w:themeColor="text1"/>
                <w:sz w:val="24"/>
              </w:rPr>
              <w:t>1.84%</w:t>
            </w:r>
          </w:p>
        </w:tc>
        <w:tc>
          <w:tcPr>
            <w:tcW w:w="1291" w:type="dxa"/>
            <w:vAlign w:val="center"/>
          </w:tcPr>
          <w:p w:rsidR="0024428D" w:rsidRDefault="001B42CF">
            <w:pPr>
              <w:jc w:val="right"/>
            </w:pPr>
            <w:r>
              <w:rPr>
                <w:rFonts w:eastAsiaTheme="minorEastAsia"/>
                <w:color w:val="000000" w:themeColor="text1"/>
                <w:sz w:val="24"/>
              </w:rPr>
              <w:t>-9.49%</w:t>
            </w:r>
          </w:p>
        </w:tc>
        <w:tc>
          <w:tcPr>
            <w:tcW w:w="1291" w:type="dxa"/>
            <w:vAlign w:val="center"/>
          </w:tcPr>
          <w:p w:rsidR="0024428D" w:rsidRDefault="001B42CF">
            <w:pPr>
              <w:jc w:val="right"/>
            </w:pPr>
            <w:r>
              <w:rPr>
                <w:rFonts w:eastAsiaTheme="minorEastAsia"/>
                <w:color w:val="000000" w:themeColor="text1"/>
                <w:sz w:val="24"/>
              </w:rPr>
              <w:t>1.86%</w:t>
            </w:r>
          </w:p>
        </w:tc>
        <w:tc>
          <w:tcPr>
            <w:tcW w:w="1291" w:type="dxa"/>
            <w:vAlign w:val="center"/>
          </w:tcPr>
          <w:p w:rsidR="0024428D" w:rsidRDefault="001B42CF">
            <w:pPr>
              <w:jc w:val="right"/>
            </w:pPr>
            <w:r>
              <w:rPr>
                <w:rFonts w:eastAsiaTheme="minorEastAsia"/>
                <w:color w:val="000000" w:themeColor="text1"/>
                <w:sz w:val="24"/>
              </w:rPr>
              <w:t>0.22%</w:t>
            </w:r>
          </w:p>
        </w:tc>
        <w:tc>
          <w:tcPr>
            <w:tcW w:w="1291" w:type="dxa"/>
            <w:vAlign w:val="center"/>
          </w:tcPr>
          <w:p w:rsidR="0024428D" w:rsidRDefault="001B42CF">
            <w:pPr>
              <w:jc w:val="right"/>
            </w:pPr>
            <w:r>
              <w:rPr>
                <w:rFonts w:eastAsiaTheme="minorEastAsia"/>
                <w:color w:val="000000" w:themeColor="text1"/>
                <w:sz w:val="24"/>
              </w:rPr>
              <w:t>-0.02%</w:t>
            </w:r>
          </w:p>
        </w:tc>
      </w:tr>
    </w:tbl>
    <w:p w:rsidR="009238DB" w:rsidRPr="00B34368" w:rsidRDefault="009238DB" w:rsidP="00C544B8">
      <w:pPr>
        <w:spacing w:beforeLines="100" w:before="312" w:line="360" w:lineRule="auto"/>
        <w:rPr>
          <w:rFonts w:eastAsiaTheme="minorEastAsia"/>
          <w:b/>
          <w:color w:val="000000" w:themeColor="text1"/>
          <w:kern w:val="0"/>
          <w:sz w:val="24"/>
        </w:rPr>
      </w:pPr>
      <w:r w:rsidRPr="00B34368">
        <w:rPr>
          <w:rFonts w:eastAsiaTheme="minorEastAsia"/>
          <w:b/>
          <w:color w:val="000000" w:themeColor="text1"/>
          <w:kern w:val="0"/>
          <w:sz w:val="24"/>
        </w:rPr>
        <w:t>3.2.2</w:t>
      </w:r>
      <w:r w:rsidRPr="00B34368">
        <w:rPr>
          <w:rFonts w:eastAsiaTheme="minorEastAsia" w:hAnsiTheme="minorEastAsia"/>
          <w:b/>
          <w:color w:val="000000" w:themeColor="text1"/>
          <w:kern w:val="0"/>
          <w:sz w:val="24"/>
        </w:rPr>
        <w:t xml:space="preserve">　</w:t>
      </w:r>
      <w:r w:rsidR="00FE0C8B" w:rsidRPr="00B34368">
        <w:rPr>
          <w:rStyle w:val="af6"/>
          <w:rFonts w:eastAsiaTheme="minorEastAsia"/>
          <w:color w:val="000000" w:themeColor="text1"/>
          <w:sz w:val="24"/>
          <w:shd w:val="clear" w:color="auto" w:fill="FFFFFF"/>
        </w:rPr>
        <w:t>自基金合同生效以来</w:t>
      </w:r>
      <w:r w:rsidR="00BF57BE" w:rsidRPr="00B34368">
        <w:rPr>
          <w:rFonts w:eastAsiaTheme="minorEastAsia" w:hAnsiTheme="minorEastAsia"/>
          <w:b/>
          <w:color w:val="000000" w:themeColor="text1"/>
          <w:sz w:val="24"/>
        </w:rPr>
        <w:t>基金累计净值增长率变动及其与同期业绩比较基准收益率变动的比较</w:t>
      </w:r>
    </w:p>
    <w:p w:rsidR="009A045B" w:rsidRPr="00B34368" w:rsidRDefault="009A045B" w:rsidP="00FC13C8">
      <w:pPr>
        <w:spacing w:line="360" w:lineRule="auto"/>
        <w:jc w:val="center"/>
        <w:rPr>
          <w:rFonts w:eastAsiaTheme="minorEastAsia"/>
          <w:color w:val="000000" w:themeColor="text1"/>
          <w:sz w:val="24"/>
        </w:rPr>
      </w:pPr>
      <w:r w:rsidRPr="00B34368">
        <w:rPr>
          <w:rFonts w:eastAsiaTheme="minorEastAsia"/>
          <w:color w:val="000000" w:themeColor="text1"/>
          <w:sz w:val="24"/>
        </w:rPr>
        <w:t>易方达沪深</w:t>
      </w:r>
      <w:r w:rsidRPr="00B34368">
        <w:rPr>
          <w:rFonts w:eastAsiaTheme="minorEastAsia"/>
          <w:color w:val="000000" w:themeColor="text1"/>
          <w:sz w:val="24"/>
        </w:rPr>
        <w:t>300</w:t>
      </w:r>
      <w:r w:rsidRPr="00B34368">
        <w:rPr>
          <w:rFonts w:eastAsiaTheme="minorEastAsia"/>
          <w:color w:val="000000" w:themeColor="text1"/>
          <w:sz w:val="24"/>
        </w:rPr>
        <w:t>交易型开放式指数发起式证券投资基金联接基金</w:t>
      </w:r>
    </w:p>
    <w:p w:rsidR="00F84D52" w:rsidRDefault="00022396" w:rsidP="00F84D52">
      <w:pPr>
        <w:pStyle w:val="a5"/>
        <w:snapToGrid w:val="0"/>
        <w:spacing w:line="360" w:lineRule="auto"/>
        <w:ind w:firstLine="480"/>
        <w:jc w:val="center"/>
        <w:rPr>
          <w:rFonts w:ascii="Times New Roman" w:eastAsiaTheme="minorEastAsia" w:hAnsi="Times New Roman"/>
          <w:color w:val="000000" w:themeColor="text1"/>
          <w:sz w:val="24"/>
          <w:szCs w:val="24"/>
        </w:rPr>
      </w:pPr>
      <w:r w:rsidRPr="00B34368">
        <w:rPr>
          <w:rFonts w:ascii="Times New Roman" w:eastAsiaTheme="minorEastAsia" w:hAnsiTheme="minorEastAsia"/>
          <w:color w:val="000000" w:themeColor="text1"/>
          <w:sz w:val="24"/>
          <w:szCs w:val="24"/>
        </w:rPr>
        <w:lastRenderedPageBreak/>
        <w:t>累计净值增长率与业绩比较基准收益率的历史走势对比图</w:t>
      </w:r>
    </w:p>
    <w:p w:rsidR="00F84D52" w:rsidRDefault="0042785F" w:rsidP="00F84D52">
      <w:pPr>
        <w:snapToGrid w:val="0"/>
        <w:spacing w:line="360" w:lineRule="auto"/>
        <w:rPr>
          <w:rFonts w:eastAsiaTheme="minorEastAsia" w:hAnsiTheme="minorEastAsia"/>
          <w:color w:val="000000" w:themeColor="text1"/>
          <w:sz w:val="24"/>
        </w:rPr>
      </w:pPr>
      <w:r w:rsidRPr="00B34368">
        <w:rPr>
          <w:rFonts w:eastAsiaTheme="minorEastAsia"/>
          <w:color w:val="000000" w:themeColor="text1"/>
          <w:sz w:val="24"/>
        </w:rPr>
        <w:t>易方达沪深</w:t>
      </w:r>
      <w:r w:rsidRPr="00B34368">
        <w:rPr>
          <w:rFonts w:eastAsiaTheme="minorEastAsia"/>
          <w:color w:val="000000" w:themeColor="text1"/>
          <w:sz w:val="24"/>
        </w:rPr>
        <w:t>300ETF</w:t>
      </w:r>
      <w:r w:rsidRPr="00B34368">
        <w:rPr>
          <w:rFonts w:eastAsiaTheme="minorEastAsia"/>
          <w:color w:val="000000" w:themeColor="text1"/>
          <w:sz w:val="24"/>
        </w:rPr>
        <w:t>发起式联接</w:t>
      </w:r>
      <w:r w:rsidRPr="00B34368">
        <w:rPr>
          <w:rFonts w:eastAsiaTheme="minorEastAsia"/>
          <w:color w:val="000000" w:themeColor="text1"/>
          <w:sz w:val="24"/>
        </w:rPr>
        <w:t>A</w:t>
      </w:r>
      <w:r w:rsidR="009238DB" w:rsidRPr="00B34368">
        <w:rPr>
          <w:rFonts w:eastAsiaTheme="minorEastAsia" w:hAnsiTheme="minorEastAsia"/>
          <w:color w:val="000000" w:themeColor="text1"/>
          <w:sz w:val="24"/>
        </w:rPr>
        <w:t>：</w:t>
      </w:r>
    </w:p>
    <w:p w:rsidR="009238DB" w:rsidRPr="00F84D52" w:rsidRDefault="00F84D52" w:rsidP="00937445">
      <w:pPr>
        <w:pStyle w:val="a5"/>
        <w:snapToGrid w:val="0"/>
        <w:spacing w:line="360" w:lineRule="auto"/>
        <w:jc w:val="center"/>
        <w:rPr>
          <w:rFonts w:ascii="Times New Roman" w:hAnsi="Times New Roman"/>
          <w:sz w:val="24"/>
          <w:szCs w:val="24"/>
        </w:rPr>
      </w:pPr>
      <w:r w:rsidRPr="00F84D52">
        <w:rPr>
          <w:rFonts w:ascii="Times New Roman" w:hAnsi="Times New Roman"/>
          <w:sz w:val="24"/>
          <w:szCs w:val="24"/>
        </w:rPr>
        <w:t>（</w:t>
      </w:r>
      <w:r w:rsidRPr="00F84D52">
        <w:rPr>
          <w:rFonts w:ascii="Times New Roman" w:hAnsi="Times New Roman"/>
          <w:sz w:val="24"/>
          <w:szCs w:val="24"/>
        </w:rPr>
        <w:t>2009</w:t>
      </w:r>
      <w:r w:rsidRPr="00F84D52">
        <w:rPr>
          <w:rFonts w:ascii="Times New Roman" w:hAnsi="Times New Roman"/>
          <w:sz w:val="24"/>
          <w:szCs w:val="24"/>
        </w:rPr>
        <w:t>年</w:t>
      </w:r>
      <w:r w:rsidRPr="00F84D52">
        <w:rPr>
          <w:rFonts w:ascii="Times New Roman" w:hAnsi="Times New Roman"/>
          <w:sz w:val="24"/>
          <w:szCs w:val="24"/>
        </w:rPr>
        <w:t>8</w:t>
      </w:r>
      <w:r w:rsidRPr="00F84D52">
        <w:rPr>
          <w:rFonts w:ascii="Times New Roman" w:hAnsi="Times New Roman"/>
          <w:sz w:val="24"/>
          <w:szCs w:val="24"/>
        </w:rPr>
        <w:t>月</w:t>
      </w:r>
      <w:r w:rsidRPr="00F84D52">
        <w:rPr>
          <w:rFonts w:ascii="Times New Roman" w:hAnsi="Times New Roman"/>
          <w:sz w:val="24"/>
          <w:szCs w:val="24"/>
        </w:rPr>
        <w:t>26</w:t>
      </w:r>
      <w:r w:rsidRPr="00F84D52">
        <w:rPr>
          <w:rFonts w:ascii="Times New Roman" w:hAnsi="Times New Roman"/>
          <w:sz w:val="24"/>
          <w:szCs w:val="24"/>
        </w:rPr>
        <w:t>日至</w:t>
      </w:r>
      <w:r w:rsidRPr="00F84D52">
        <w:rPr>
          <w:rFonts w:ascii="Times New Roman" w:hAnsi="Times New Roman"/>
          <w:sz w:val="24"/>
          <w:szCs w:val="24"/>
        </w:rPr>
        <w:t>2020</w:t>
      </w:r>
      <w:r w:rsidRPr="00F84D52">
        <w:rPr>
          <w:rFonts w:ascii="Times New Roman" w:hAnsi="Times New Roman"/>
          <w:sz w:val="24"/>
          <w:szCs w:val="24"/>
        </w:rPr>
        <w:t>年</w:t>
      </w:r>
      <w:r w:rsidRPr="00F84D52">
        <w:rPr>
          <w:rFonts w:ascii="Times New Roman" w:hAnsi="Times New Roman"/>
          <w:sz w:val="24"/>
          <w:szCs w:val="24"/>
        </w:rPr>
        <w:t>3</w:t>
      </w:r>
      <w:r w:rsidRPr="00F84D52">
        <w:rPr>
          <w:rFonts w:ascii="Times New Roman" w:hAnsi="Times New Roman"/>
          <w:sz w:val="24"/>
          <w:szCs w:val="24"/>
        </w:rPr>
        <w:t>月</w:t>
      </w:r>
      <w:r w:rsidRPr="00F84D52">
        <w:rPr>
          <w:rFonts w:ascii="Times New Roman" w:hAnsi="Times New Roman"/>
          <w:sz w:val="24"/>
          <w:szCs w:val="24"/>
        </w:rPr>
        <w:t>31</w:t>
      </w:r>
      <w:r w:rsidRPr="00F84D52">
        <w:rPr>
          <w:rFonts w:ascii="Times New Roman" w:hAnsi="Times New Roman"/>
          <w:sz w:val="24"/>
          <w:szCs w:val="24"/>
        </w:rPr>
        <w:t>日）</w:t>
      </w:r>
    </w:p>
    <w:p w:rsidR="00FC7F43" w:rsidRPr="00B34368" w:rsidRDefault="006F5B4C" w:rsidP="00FC7F43">
      <w:pPr>
        <w:pStyle w:val="20"/>
        <w:spacing w:line="288" w:lineRule="auto"/>
        <w:ind w:firstLineChars="0" w:firstLine="0"/>
        <w:jc w:val="center"/>
        <w:rPr>
          <w:rFonts w:ascii="Times New Roman" w:eastAsiaTheme="minorEastAsia" w:hAnsi="Times New Roman"/>
          <w:color w:val="000000" w:themeColor="text1"/>
        </w:rPr>
      </w:pPr>
      <w:r w:rsidRPr="00B34368">
        <w:rPr>
          <w:rFonts w:ascii="Times New Roman" w:eastAsiaTheme="minorEastAsia" w:hAnsi="Times New Roman"/>
          <w:noProof/>
          <w:color w:val="000000" w:themeColor="text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F84D52" w:rsidRDefault="00FE7FBD" w:rsidP="00F84D52">
      <w:pPr>
        <w:snapToGrid w:val="0"/>
        <w:spacing w:beforeLines="100" w:before="312" w:line="360" w:lineRule="auto"/>
        <w:rPr>
          <w:rFonts w:eastAsiaTheme="minorEastAsia" w:hAnsiTheme="minorEastAsia"/>
          <w:color w:val="000000" w:themeColor="text1"/>
          <w:sz w:val="24"/>
        </w:rPr>
      </w:pPr>
      <w:r w:rsidRPr="00B34368">
        <w:rPr>
          <w:rFonts w:eastAsiaTheme="minorEastAsia"/>
          <w:color w:val="000000" w:themeColor="text1"/>
          <w:sz w:val="24"/>
        </w:rPr>
        <w:t>易方达沪深</w:t>
      </w:r>
      <w:r w:rsidRPr="00B34368">
        <w:rPr>
          <w:rFonts w:eastAsiaTheme="minorEastAsia"/>
          <w:color w:val="000000" w:themeColor="text1"/>
          <w:sz w:val="24"/>
        </w:rPr>
        <w:t>300ETF</w:t>
      </w:r>
      <w:r w:rsidRPr="00B34368">
        <w:rPr>
          <w:rFonts w:eastAsiaTheme="minorEastAsia"/>
          <w:color w:val="000000" w:themeColor="text1"/>
          <w:sz w:val="24"/>
        </w:rPr>
        <w:t>发起式联接</w:t>
      </w:r>
      <w:r w:rsidRPr="00B34368">
        <w:rPr>
          <w:rFonts w:eastAsiaTheme="minorEastAsia"/>
          <w:color w:val="000000" w:themeColor="text1"/>
          <w:sz w:val="24"/>
        </w:rPr>
        <w:t>C</w:t>
      </w:r>
      <w:r w:rsidR="0042785F" w:rsidRPr="00B34368">
        <w:rPr>
          <w:rFonts w:eastAsiaTheme="minorEastAsia" w:hAnsiTheme="minorEastAsia"/>
          <w:color w:val="000000" w:themeColor="text1"/>
          <w:sz w:val="24"/>
        </w:rPr>
        <w:t>：</w:t>
      </w:r>
    </w:p>
    <w:p w:rsidR="009238DB" w:rsidRPr="00F84D52" w:rsidRDefault="00F84D52" w:rsidP="00937445">
      <w:pPr>
        <w:pStyle w:val="a5"/>
        <w:snapToGrid w:val="0"/>
        <w:spacing w:line="360" w:lineRule="auto"/>
        <w:jc w:val="center"/>
        <w:rPr>
          <w:rFonts w:ascii="Times New Roman" w:hAnsi="Times New Roman"/>
          <w:sz w:val="24"/>
          <w:szCs w:val="24"/>
        </w:rPr>
      </w:pPr>
      <w:r w:rsidRPr="00F84D52">
        <w:rPr>
          <w:rFonts w:ascii="Times New Roman" w:hAnsi="Times New Roman"/>
          <w:sz w:val="24"/>
          <w:szCs w:val="24"/>
        </w:rPr>
        <w:t>（</w:t>
      </w:r>
      <w:r w:rsidRPr="00F84D52">
        <w:rPr>
          <w:rFonts w:ascii="Times New Roman" w:hAnsi="Times New Roman"/>
          <w:sz w:val="24"/>
          <w:szCs w:val="24"/>
        </w:rPr>
        <w:t>2019</w:t>
      </w:r>
      <w:r w:rsidRPr="00F84D52">
        <w:rPr>
          <w:rFonts w:ascii="Times New Roman" w:hAnsi="Times New Roman"/>
          <w:sz w:val="24"/>
          <w:szCs w:val="24"/>
        </w:rPr>
        <w:t>年</w:t>
      </w:r>
      <w:r w:rsidRPr="00F84D52">
        <w:rPr>
          <w:rFonts w:ascii="Times New Roman" w:hAnsi="Times New Roman"/>
          <w:sz w:val="24"/>
          <w:szCs w:val="24"/>
        </w:rPr>
        <w:t>4</w:t>
      </w:r>
      <w:r w:rsidRPr="00F84D52">
        <w:rPr>
          <w:rFonts w:ascii="Times New Roman" w:hAnsi="Times New Roman"/>
          <w:sz w:val="24"/>
          <w:szCs w:val="24"/>
        </w:rPr>
        <w:t>月</w:t>
      </w:r>
      <w:r w:rsidRPr="00F84D52">
        <w:rPr>
          <w:rFonts w:ascii="Times New Roman" w:hAnsi="Times New Roman"/>
          <w:sz w:val="24"/>
          <w:szCs w:val="24"/>
        </w:rPr>
        <w:t>26</w:t>
      </w:r>
      <w:r w:rsidRPr="00F84D52">
        <w:rPr>
          <w:rFonts w:ascii="Times New Roman" w:hAnsi="Times New Roman"/>
          <w:sz w:val="24"/>
          <w:szCs w:val="24"/>
        </w:rPr>
        <w:t>日至</w:t>
      </w:r>
      <w:r w:rsidRPr="00F84D52">
        <w:rPr>
          <w:rFonts w:ascii="Times New Roman" w:hAnsi="Times New Roman"/>
          <w:sz w:val="24"/>
          <w:szCs w:val="24"/>
        </w:rPr>
        <w:t>2020</w:t>
      </w:r>
      <w:r w:rsidRPr="00F84D52">
        <w:rPr>
          <w:rFonts w:ascii="Times New Roman" w:hAnsi="Times New Roman"/>
          <w:sz w:val="24"/>
          <w:szCs w:val="24"/>
        </w:rPr>
        <w:t>年</w:t>
      </w:r>
      <w:r w:rsidRPr="00F84D52">
        <w:rPr>
          <w:rFonts w:ascii="Times New Roman" w:hAnsi="Times New Roman"/>
          <w:sz w:val="24"/>
          <w:szCs w:val="24"/>
        </w:rPr>
        <w:t>3</w:t>
      </w:r>
      <w:r w:rsidRPr="00F84D52">
        <w:rPr>
          <w:rFonts w:ascii="Times New Roman" w:hAnsi="Times New Roman"/>
          <w:sz w:val="24"/>
          <w:szCs w:val="24"/>
        </w:rPr>
        <w:t>月</w:t>
      </w:r>
      <w:r w:rsidRPr="00F84D52">
        <w:rPr>
          <w:rFonts w:ascii="Times New Roman" w:hAnsi="Times New Roman"/>
          <w:sz w:val="24"/>
          <w:szCs w:val="24"/>
        </w:rPr>
        <w:t>31</w:t>
      </w:r>
      <w:r w:rsidRPr="00F84D52">
        <w:rPr>
          <w:rFonts w:ascii="Times New Roman" w:hAnsi="Times New Roman"/>
          <w:sz w:val="24"/>
          <w:szCs w:val="24"/>
        </w:rPr>
        <w:t>日）</w:t>
      </w:r>
    </w:p>
    <w:p w:rsidR="00FC7F43" w:rsidRPr="00B34368" w:rsidRDefault="00B70229" w:rsidP="00FC7F43">
      <w:pPr>
        <w:pStyle w:val="20"/>
        <w:spacing w:line="288" w:lineRule="auto"/>
        <w:ind w:firstLineChars="0" w:firstLine="0"/>
        <w:jc w:val="center"/>
        <w:rPr>
          <w:rFonts w:ascii="Times New Roman" w:eastAsiaTheme="minorEastAsia" w:hAnsi="Times New Roman"/>
          <w:color w:val="000000" w:themeColor="text1"/>
        </w:rPr>
      </w:pPr>
      <w:r w:rsidRPr="00B34368">
        <w:rPr>
          <w:rFonts w:ascii="Times New Roman" w:eastAsiaTheme="minorEastAsia" w:hAnsi="Times New Roman"/>
          <w:noProof/>
          <w:color w:val="000000" w:themeColor="text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24428D" w:rsidRDefault="001B42CF">
      <w:pPr>
        <w:spacing w:line="360" w:lineRule="auto"/>
        <w:ind w:firstLineChars="200" w:firstLine="480"/>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自</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w:t>
      </w:r>
      <w:r>
        <w:rPr>
          <w:rFonts w:eastAsiaTheme="minorEastAsia"/>
          <w:color w:val="000000" w:themeColor="text1"/>
          <w:sz w:val="24"/>
        </w:rPr>
        <w:t>25</w:t>
      </w:r>
      <w:r>
        <w:rPr>
          <w:rFonts w:eastAsiaTheme="minorEastAsia"/>
          <w:color w:val="000000" w:themeColor="text1"/>
          <w:sz w:val="24"/>
        </w:rPr>
        <w:t>日起，本基金增设</w:t>
      </w:r>
      <w:r>
        <w:rPr>
          <w:rFonts w:eastAsiaTheme="minorEastAsia"/>
          <w:color w:val="000000" w:themeColor="text1"/>
          <w:sz w:val="24"/>
        </w:rPr>
        <w:t>C</w:t>
      </w:r>
      <w:r>
        <w:rPr>
          <w:rFonts w:eastAsiaTheme="minorEastAsia"/>
          <w:color w:val="000000" w:themeColor="text1"/>
          <w:sz w:val="24"/>
        </w:rPr>
        <w:t>类份额类别，份额首次确认日为</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w:t>
      </w:r>
      <w:r>
        <w:rPr>
          <w:rFonts w:eastAsiaTheme="minorEastAsia"/>
          <w:color w:val="000000" w:themeColor="text1"/>
          <w:sz w:val="24"/>
        </w:rPr>
        <w:t>26</w:t>
      </w:r>
      <w:r>
        <w:rPr>
          <w:rFonts w:eastAsiaTheme="minorEastAsia"/>
          <w:color w:val="000000" w:themeColor="text1"/>
          <w:sz w:val="24"/>
        </w:rPr>
        <w:t>日，增设当期的相关数据和指标按实际存续期计算。</w:t>
      </w:r>
    </w:p>
    <w:p w:rsidR="00973B57" w:rsidRPr="00B34368" w:rsidRDefault="00757FD7"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2.</w:t>
      </w:r>
      <w:r w:rsidRPr="00B34368">
        <w:rPr>
          <w:rFonts w:eastAsiaTheme="minorEastAsia"/>
          <w:color w:val="000000" w:themeColor="text1"/>
          <w:sz w:val="24"/>
        </w:rPr>
        <w:t>自基金合同生效至报告期末，</w:t>
      </w:r>
      <w:r w:rsidRPr="00B34368">
        <w:rPr>
          <w:rFonts w:eastAsiaTheme="minorEastAsia"/>
          <w:color w:val="000000" w:themeColor="text1"/>
          <w:sz w:val="24"/>
        </w:rPr>
        <w:t>A</w:t>
      </w:r>
      <w:r w:rsidRPr="00B34368">
        <w:rPr>
          <w:rFonts w:eastAsiaTheme="minorEastAsia"/>
          <w:color w:val="000000" w:themeColor="text1"/>
          <w:sz w:val="24"/>
        </w:rPr>
        <w:t>类基金份额净值增长率为</w:t>
      </w:r>
      <w:r w:rsidRPr="00B34368">
        <w:rPr>
          <w:rFonts w:eastAsiaTheme="minorEastAsia"/>
          <w:color w:val="000000" w:themeColor="text1"/>
          <w:sz w:val="24"/>
        </w:rPr>
        <w:t>29.29%</w:t>
      </w:r>
      <w:r w:rsidRPr="00B34368">
        <w:rPr>
          <w:rFonts w:eastAsiaTheme="minorEastAsia"/>
          <w:color w:val="000000" w:themeColor="text1"/>
          <w:sz w:val="24"/>
        </w:rPr>
        <w:t>，同期业绩比较基准收益率为</w:t>
      </w:r>
      <w:r w:rsidRPr="00B34368">
        <w:rPr>
          <w:rFonts w:eastAsiaTheme="minorEastAsia"/>
          <w:color w:val="000000" w:themeColor="text1"/>
          <w:sz w:val="24"/>
        </w:rPr>
        <w:t>19.39%</w:t>
      </w:r>
      <w:r w:rsidRPr="00B34368">
        <w:rPr>
          <w:rFonts w:eastAsiaTheme="minorEastAsia"/>
          <w:color w:val="000000" w:themeColor="text1"/>
          <w:sz w:val="24"/>
        </w:rPr>
        <w:t>。</w:t>
      </w:r>
      <w:r w:rsidRPr="00B34368">
        <w:rPr>
          <w:rFonts w:eastAsiaTheme="minorEastAsia"/>
          <w:color w:val="000000" w:themeColor="text1"/>
          <w:sz w:val="24"/>
        </w:rPr>
        <w:t>C</w:t>
      </w:r>
      <w:r w:rsidRPr="00B34368">
        <w:rPr>
          <w:rFonts w:eastAsiaTheme="minorEastAsia"/>
          <w:color w:val="000000" w:themeColor="text1"/>
          <w:sz w:val="24"/>
        </w:rPr>
        <w:t>类基金份额净值增长率为</w:t>
      </w:r>
      <w:r w:rsidRPr="00B34368">
        <w:rPr>
          <w:rFonts w:eastAsiaTheme="minorEastAsia"/>
          <w:color w:val="000000" w:themeColor="text1"/>
          <w:sz w:val="24"/>
        </w:rPr>
        <w:t>-4.21%</w:t>
      </w:r>
      <w:r w:rsidRPr="00B34368">
        <w:rPr>
          <w:rFonts w:eastAsiaTheme="minorEastAsia"/>
          <w:color w:val="000000" w:themeColor="text1"/>
          <w:sz w:val="24"/>
        </w:rPr>
        <w:t>，同期业绩比较基准收益率为</w:t>
      </w:r>
      <w:r w:rsidRPr="00B34368">
        <w:rPr>
          <w:rFonts w:eastAsiaTheme="minorEastAsia"/>
          <w:color w:val="000000" w:themeColor="text1"/>
          <w:sz w:val="24"/>
        </w:rPr>
        <w:t>-6.06%</w:t>
      </w:r>
      <w:r w:rsidRPr="00B34368">
        <w:rPr>
          <w:rFonts w:eastAsiaTheme="minorEastAsia"/>
          <w:color w:val="000000" w:themeColor="text1"/>
          <w:sz w:val="24"/>
        </w:rPr>
        <w:t>。</w:t>
      </w:r>
      <w:r w:rsidRPr="00B34368">
        <w:rPr>
          <w:rFonts w:eastAsiaTheme="minorEastAsia"/>
          <w:color w:val="000000" w:themeColor="text1"/>
          <w:sz w:val="24"/>
        </w:rPr>
        <w:t xml:space="preserve"> </w:t>
      </w:r>
    </w:p>
    <w:p w:rsidR="00E561F9" w:rsidRPr="00B34368" w:rsidRDefault="00E561F9" w:rsidP="00E561F9">
      <w:pPr>
        <w:tabs>
          <w:tab w:val="left" w:pos="1800"/>
        </w:tabs>
        <w:spacing w:line="288" w:lineRule="auto"/>
        <w:rPr>
          <w:rFonts w:eastAsiaTheme="minorEastAsia"/>
          <w:color w:val="000000" w:themeColor="text1"/>
          <w:sz w:val="24"/>
        </w:rPr>
      </w:pP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§4  </w:t>
      </w:r>
      <w:r w:rsidRPr="00B34368">
        <w:rPr>
          <w:rFonts w:eastAsiaTheme="minorEastAsia" w:hAnsiTheme="minorEastAsia"/>
          <w:color w:val="000000" w:themeColor="text1"/>
          <w:kern w:val="0"/>
          <w:sz w:val="24"/>
          <w:szCs w:val="24"/>
        </w:rPr>
        <w:t>管理人报告</w:t>
      </w:r>
    </w:p>
    <w:p w:rsidR="00C544B8" w:rsidRDefault="009238DB" w:rsidP="00C544B8">
      <w:pPr>
        <w:autoSpaceDE w:val="0"/>
        <w:autoSpaceDN w:val="0"/>
        <w:adjustRightInd w:val="0"/>
        <w:spacing w:line="360" w:lineRule="auto"/>
        <w:jc w:val="left"/>
        <w:rPr>
          <w:rFonts w:ascii="宋体" w:cs="Arial"/>
          <w:b/>
          <w:color w:val="000000"/>
          <w:kern w:val="0"/>
          <w:sz w:val="24"/>
        </w:rPr>
      </w:pPr>
      <w:r w:rsidRPr="00B34368">
        <w:rPr>
          <w:rFonts w:eastAsiaTheme="minorEastAsia"/>
          <w:b/>
          <w:color w:val="000000" w:themeColor="text1"/>
          <w:kern w:val="0"/>
          <w:sz w:val="24"/>
        </w:rPr>
        <w:t xml:space="preserve">4.1 </w:t>
      </w:r>
      <w:r w:rsidRPr="00B34368">
        <w:rPr>
          <w:rFonts w:eastAsiaTheme="minorEastAsia" w:hAnsiTheme="minorEastAsia"/>
          <w:b/>
          <w:color w:val="000000" w:themeColor="text1"/>
          <w:kern w:val="0"/>
          <w:sz w:val="24"/>
        </w:rPr>
        <w:t>基金经理（或基金经理小组）简介</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832"/>
        <w:gridCol w:w="851"/>
        <w:gridCol w:w="850"/>
        <w:gridCol w:w="851"/>
        <w:gridCol w:w="2975"/>
      </w:tblGrid>
      <w:tr w:rsidR="00C544B8" w:rsidTr="00C544B8">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职务</w:t>
            </w:r>
          </w:p>
        </w:tc>
        <w:tc>
          <w:tcPr>
            <w:tcW w:w="1701" w:type="dxa"/>
            <w:gridSpan w:val="2"/>
            <w:tcBorders>
              <w:top w:val="single" w:sz="4" w:space="0" w:color="auto"/>
              <w:left w:val="single" w:sz="4" w:space="0" w:color="auto"/>
              <w:bottom w:val="single" w:sz="4" w:space="0" w:color="auto"/>
              <w:right w:val="single" w:sz="4" w:space="0" w:color="auto"/>
            </w:tcBorders>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任本基金的基金经理期限</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证券从业年限</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说明</w:t>
            </w:r>
          </w:p>
        </w:tc>
      </w:tr>
      <w:tr w:rsidR="00C544B8" w:rsidTr="00C544B8">
        <w:trPr>
          <w:cantSplit/>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任职日期</w:t>
            </w:r>
          </w:p>
        </w:tc>
        <w:tc>
          <w:tcPr>
            <w:tcW w:w="850" w:type="dxa"/>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离任日期</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r>
      <w:tr w:rsidR="0024428D">
        <w:tc>
          <w:tcPr>
            <w:tcW w:w="566" w:type="dxa"/>
            <w:vAlign w:val="center"/>
          </w:tcPr>
          <w:p w:rsidR="0024428D" w:rsidRDefault="001B42CF">
            <w:pPr>
              <w:jc w:val="center"/>
            </w:pPr>
            <w:r>
              <w:rPr>
                <w:color w:val="000000"/>
                <w:sz w:val="24"/>
              </w:rPr>
              <w:t>余海燕</w:t>
            </w:r>
          </w:p>
        </w:tc>
        <w:tc>
          <w:tcPr>
            <w:tcW w:w="2832" w:type="dxa"/>
            <w:vAlign w:val="center"/>
          </w:tcPr>
          <w:p w:rsidR="0024428D" w:rsidRDefault="001B42CF">
            <w:pPr>
              <w:jc w:val="left"/>
            </w:pPr>
            <w:r>
              <w:rPr>
                <w:color w:val="000000"/>
                <w:sz w:val="24"/>
              </w:rPr>
              <w:t>本基金的基金经理、易方达沪深</w:t>
            </w:r>
            <w:r>
              <w:rPr>
                <w:color w:val="000000"/>
                <w:sz w:val="24"/>
              </w:rPr>
              <w:t>300</w:t>
            </w:r>
            <w:r>
              <w:rPr>
                <w:color w:val="000000"/>
                <w:sz w:val="24"/>
              </w:rPr>
              <w:t>医药卫生交易型开放式指数证券投资基金的基金经理、易方达沪深</w:t>
            </w:r>
            <w:r>
              <w:rPr>
                <w:color w:val="000000"/>
                <w:sz w:val="24"/>
              </w:rPr>
              <w:t>300</w:t>
            </w:r>
            <w:r>
              <w:rPr>
                <w:color w:val="000000"/>
                <w:sz w:val="24"/>
              </w:rPr>
              <w:t>非银行金融交易型开放式指数证券投资基金的基金经理、易方达沪深</w:t>
            </w:r>
            <w:r>
              <w:rPr>
                <w:color w:val="000000"/>
                <w:sz w:val="24"/>
              </w:rPr>
              <w:t>300</w:t>
            </w:r>
            <w:r>
              <w:rPr>
                <w:color w:val="000000"/>
                <w:sz w:val="24"/>
              </w:rPr>
              <w:t>非银行金融交易型开放式指数证券投资基金联接基金的基金经理、易方达上证</w:t>
            </w:r>
            <w:r>
              <w:rPr>
                <w:color w:val="000000"/>
                <w:sz w:val="24"/>
              </w:rPr>
              <w:t>50</w:t>
            </w:r>
            <w:r>
              <w:rPr>
                <w:color w:val="000000"/>
                <w:sz w:val="24"/>
              </w:rPr>
              <w:t>指数分级证券投资基金的基金经理、易方达国企改革指数分级证券投资基金的基金经理、易方达证券公司指数分级证券投资基金的基金经理、易方达军工指数分级证券投资基金的基金经理、易方达沪深</w:t>
            </w:r>
            <w:r>
              <w:rPr>
                <w:color w:val="000000"/>
                <w:sz w:val="24"/>
              </w:rPr>
              <w:t>300</w:t>
            </w:r>
            <w:r>
              <w:rPr>
                <w:color w:val="000000"/>
                <w:sz w:val="24"/>
              </w:rPr>
              <w:t>交易型开放式指数发起式证券投资基金的基金经理、易方达中证</w:t>
            </w:r>
            <w:r>
              <w:rPr>
                <w:color w:val="000000"/>
                <w:sz w:val="24"/>
              </w:rPr>
              <w:t>500</w:t>
            </w:r>
            <w:r>
              <w:rPr>
                <w:color w:val="000000"/>
                <w:sz w:val="24"/>
              </w:rPr>
              <w:t>交易型开放式指数证券投资基金的基金经理、易方达中证海外中国互联网</w:t>
            </w:r>
            <w:r>
              <w:rPr>
                <w:color w:val="000000"/>
                <w:sz w:val="24"/>
              </w:rPr>
              <w:t>50</w:t>
            </w:r>
            <w:r>
              <w:rPr>
                <w:color w:val="000000"/>
                <w:sz w:val="24"/>
              </w:rPr>
              <w:t>交易型开放式指数证券投资基金的基金经理、易方达中证军工交易型开放式指数证券投资基金的基金经理、易方达中证全指证券公司交易型开放式指数证券投资基金的基金经理、易方达沪深</w:t>
            </w:r>
            <w:r>
              <w:rPr>
                <w:color w:val="000000"/>
                <w:sz w:val="24"/>
              </w:rPr>
              <w:t>300</w:t>
            </w:r>
            <w:r>
              <w:rPr>
                <w:color w:val="000000"/>
                <w:sz w:val="24"/>
              </w:rPr>
              <w:t>医药卫生交易型开放式指数证券投资基金联接基金的基金经理、易方达恒生中国企业交易型开放式指数证券投资基金的基金经理、易方达黄金交易型开放式证券投资基金的基金经理、易方达恒生中国企业交易型开放式指数证券投资基金联接基金的基金经理、易方达黄金交易型开放式证券投资基金联接基金的基金经理、易方达中证海外中国互联网</w:t>
            </w:r>
            <w:r>
              <w:rPr>
                <w:color w:val="000000"/>
                <w:sz w:val="24"/>
              </w:rPr>
              <w:t>50</w:t>
            </w:r>
            <w:r>
              <w:rPr>
                <w:color w:val="000000"/>
                <w:sz w:val="24"/>
              </w:rPr>
              <w:t>交易型开放式指数证券投资基金联接基金的基金经理、易方达中证</w:t>
            </w:r>
            <w:r>
              <w:rPr>
                <w:color w:val="000000"/>
                <w:sz w:val="24"/>
              </w:rPr>
              <w:t>500</w:t>
            </w:r>
            <w:r>
              <w:rPr>
                <w:color w:val="000000"/>
                <w:sz w:val="24"/>
              </w:rPr>
              <w:t>交易型开放式指数证券投资基金发起式联接基金的基金经理、易方达日兴资管日经</w:t>
            </w:r>
            <w:r>
              <w:rPr>
                <w:color w:val="000000"/>
                <w:sz w:val="24"/>
              </w:rPr>
              <w:t>225</w:t>
            </w:r>
            <w:r>
              <w:rPr>
                <w:color w:val="000000"/>
                <w:sz w:val="24"/>
              </w:rPr>
              <w:t>交易型开放式指数证券投资基金（</w:t>
            </w:r>
            <w:r>
              <w:rPr>
                <w:color w:val="000000"/>
                <w:sz w:val="24"/>
              </w:rPr>
              <w:t>QDII</w:t>
            </w:r>
            <w:r>
              <w:rPr>
                <w:color w:val="000000"/>
                <w:sz w:val="24"/>
              </w:rPr>
              <w:t>）的基金经理、易方达上证</w:t>
            </w:r>
            <w:r>
              <w:rPr>
                <w:color w:val="000000"/>
                <w:sz w:val="24"/>
              </w:rPr>
              <w:t>50</w:t>
            </w:r>
            <w:r>
              <w:rPr>
                <w:color w:val="000000"/>
                <w:sz w:val="24"/>
              </w:rPr>
              <w:t>交易型开放式指数证券投资基金的基金经理、易方达上证</w:t>
            </w:r>
            <w:r>
              <w:rPr>
                <w:color w:val="000000"/>
                <w:sz w:val="24"/>
              </w:rPr>
              <w:t>50</w:t>
            </w:r>
            <w:r>
              <w:rPr>
                <w:color w:val="000000"/>
                <w:sz w:val="24"/>
              </w:rPr>
              <w:t>交易型开放式指数证券投资基金发起式联接基金的基金经理、指数投资部副总经理</w:t>
            </w:r>
          </w:p>
        </w:tc>
        <w:tc>
          <w:tcPr>
            <w:tcW w:w="851" w:type="dxa"/>
            <w:vAlign w:val="center"/>
          </w:tcPr>
          <w:p w:rsidR="0024428D" w:rsidRDefault="001B42CF">
            <w:pPr>
              <w:jc w:val="center"/>
            </w:pPr>
            <w:r>
              <w:rPr>
                <w:color w:val="000000"/>
                <w:sz w:val="24"/>
              </w:rPr>
              <w:t>2016-04-16</w:t>
            </w:r>
          </w:p>
        </w:tc>
        <w:tc>
          <w:tcPr>
            <w:tcW w:w="850" w:type="dxa"/>
            <w:vAlign w:val="center"/>
          </w:tcPr>
          <w:p w:rsidR="0024428D" w:rsidRDefault="001B42CF">
            <w:pPr>
              <w:jc w:val="center"/>
            </w:pPr>
            <w:r>
              <w:rPr>
                <w:color w:val="000000"/>
                <w:sz w:val="24"/>
              </w:rPr>
              <w:t>-</w:t>
            </w:r>
          </w:p>
        </w:tc>
        <w:tc>
          <w:tcPr>
            <w:tcW w:w="851" w:type="dxa"/>
            <w:vAlign w:val="center"/>
          </w:tcPr>
          <w:p w:rsidR="0024428D" w:rsidRDefault="001B42CF">
            <w:pPr>
              <w:jc w:val="center"/>
            </w:pPr>
            <w:r>
              <w:rPr>
                <w:color w:val="000000"/>
                <w:sz w:val="24"/>
              </w:rPr>
              <w:t>15</w:t>
            </w:r>
            <w:r>
              <w:rPr>
                <w:color w:val="000000"/>
                <w:sz w:val="24"/>
              </w:rPr>
              <w:t>年</w:t>
            </w:r>
          </w:p>
        </w:tc>
        <w:tc>
          <w:tcPr>
            <w:tcW w:w="2975" w:type="dxa"/>
            <w:vAlign w:val="center"/>
          </w:tcPr>
          <w:p w:rsidR="0024428D" w:rsidRDefault="001B42CF">
            <w:r>
              <w:rPr>
                <w:color w:val="000000"/>
                <w:sz w:val="24"/>
              </w:rPr>
              <w:t>硕士研究生，具有基金从业资格。曾任汇丰银行</w:t>
            </w:r>
            <w:r>
              <w:rPr>
                <w:color w:val="000000"/>
                <w:sz w:val="24"/>
              </w:rPr>
              <w:t>Consumer Credit Risk</w:t>
            </w:r>
            <w:r>
              <w:rPr>
                <w:color w:val="000000"/>
                <w:sz w:val="24"/>
              </w:rPr>
              <w:t>信用风险分析师，华宝兴业基金管理有限公司分析师、基金经理助理、基金经理，易方达基金管理有限公司投资发展部产品经理。</w:t>
            </w:r>
          </w:p>
        </w:tc>
      </w:tr>
      <w:tr w:rsidR="0024428D">
        <w:tc>
          <w:tcPr>
            <w:tcW w:w="566" w:type="dxa"/>
            <w:vAlign w:val="center"/>
          </w:tcPr>
          <w:p w:rsidR="0024428D" w:rsidRDefault="001B42CF">
            <w:pPr>
              <w:jc w:val="center"/>
            </w:pPr>
            <w:r>
              <w:rPr>
                <w:color w:val="000000"/>
                <w:sz w:val="24"/>
              </w:rPr>
              <w:t>杨俊</w:t>
            </w:r>
          </w:p>
        </w:tc>
        <w:tc>
          <w:tcPr>
            <w:tcW w:w="2832" w:type="dxa"/>
            <w:vAlign w:val="center"/>
          </w:tcPr>
          <w:p w:rsidR="0024428D" w:rsidRDefault="001B42CF">
            <w:pPr>
              <w:jc w:val="left"/>
            </w:pPr>
            <w:r>
              <w:rPr>
                <w:color w:val="000000"/>
                <w:sz w:val="24"/>
              </w:rPr>
              <w:t>本基金的基金经理、易方达中证</w:t>
            </w:r>
            <w:r>
              <w:rPr>
                <w:color w:val="000000"/>
                <w:sz w:val="24"/>
              </w:rPr>
              <w:t>500</w:t>
            </w:r>
            <w:r>
              <w:rPr>
                <w:color w:val="000000"/>
                <w:sz w:val="24"/>
              </w:rPr>
              <w:t>交易型开放式指数证券投资基金的基金经理（自</w:t>
            </w:r>
            <w:r>
              <w:rPr>
                <w:color w:val="000000"/>
                <w:sz w:val="24"/>
              </w:rPr>
              <w:t>2017</w:t>
            </w:r>
            <w:r>
              <w:rPr>
                <w:color w:val="000000"/>
                <w:sz w:val="24"/>
              </w:rPr>
              <w:t>年</w:t>
            </w:r>
            <w:r>
              <w:rPr>
                <w:color w:val="000000"/>
                <w:sz w:val="24"/>
              </w:rPr>
              <w:t>06</w:t>
            </w:r>
            <w:r>
              <w:rPr>
                <w:color w:val="000000"/>
                <w:sz w:val="24"/>
              </w:rPr>
              <w:t>月</w:t>
            </w:r>
            <w:r>
              <w:rPr>
                <w:color w:val="000000"/>
                <w:sz w:val="24"/>
              </w:rPr>
              <w:t>23</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17</w:t>
            </w:r>
            <w:r>
              <w:rPr>
                <w:color w:val="000000"/>
                <w:sz w:val="24"/>
              </w:rPr>
              <w:t>日）、易方达沪深</w:t>
            </w:r>
            <w:r>
              <w:rPr>
                <w:color w:val="000000"/>
                <w:sz w:val="24"/>
              </w:rPr>
              <w:t>300</w:t>
            </w:r>
            <w:r>
              <w:rPr>
                <w:color w:val="000000"/>
                <w:sz w:val="24"/>
              </w:rPr>
              <w:t>交易型开放式指数发起式证券投资基金的基金经理（自</w:t>
            </w:r>
            <w:r>
              <w:rPr>
                <w:color w:val="000000"/>
                <w:sz w:val="24"/>
              </w:rPr>
              <w:t>2017</w:t>
            </w:r>
            <w:r>
              <w:rPr>
                <w:color w:val="000000"/>
                <w:sz w:val="24"/>
              </w:rPr>
              <w:t>年</w:t>
            </w:r>
            <w:r>
              <w:rPr>
                <w:color w:val="000000"/>
                <w:sz w:val="24"/>
              </w:rPr>
              <w:t>06</w:t>
            </w:r>
            <w:r>
              <w:rPr>
                <w:color w:val="000000"/>
                <w:sz w:val="24"/>
              </w:rPr>
              <w:t>月</w:t>
            </w:r>
            <w:r>
              <w:rPr>
                <w:color w:val="000000"/>
                <w:sz w:val="24"/>
              </w:rPr>
              <w:t>23</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17</w:t>
            </w:r>
            <w:r>
              <w:rPr>
                <w:color w:val="000000"/>
                <w:sz w:val="24"/>
              </w:rPr>
              <w:t>日）、易方达国企改革指数分级证券投资基金的基金经理（自</w:t>
            </w:r>
            <w:r>
              <w:rPr>
                <w:color w:val="000000"/>
                <w:sz w:val="24"/>
              </w:rPr>
              <w:t>2017</w:t>
            </w:r>
            <w:r>
              <w:rPr>
                <w:color w:val="000000"/>
                <w:sz w:val="24"/>
              </w:rPr>
              <w:t>年</w:t>
            </w:r>
            <w:r>
              <w:rPr>
                <w:color w:val="000000"/>
                <w:sz w:val="24"/>
              </w:rPr>
              <w:t>06</w:t>
            </w:r>
            <w:r>
              <w:rPr>
                <w:color w:val="000000"/>
                <w:sz w:val="24"/>
              </w:rPr>
              <w:t>月</w:t>
            </w:r>
            <w:r>
              <w:rPr>
                <w:color w:val="000000"/>
                <w:sz w:val="24"/>
              </w:rPr>
              <w:t>23</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17</w:t>
            </w:r>
            <w:r>
              <w:rPr>
                <w:color w:val="000000"/>
                <w:sz w:val="24"/>
              </w:rPr>
              <w:t>日）、易方达中证</w:t>
            </w:r>
            <w:r>
              <w:rPr>
                <w:color w:val="000000"/>
                <w:sz w:val="24"/>
              </w:rPr>
              <w:t>500</w:t>
            </w:r>
            <w:r>
              <w:rPr>
                <w:color w:val="000000"/>
                <w:sz w:val="24"/>
              </w:rPr>
              <w:t>交易型开放式指数证券投资基金发起式联接基金的基金经理（自</w:t>
            </w:r>
            <w:r>
              <w:rPr>
                <w:color w:val="000000"/>
                <w:sz w:val="24"/>
              </w:rPr>
              <w:t>2019</w:t>
            </w:r>
            <w:r>
              <w:rPr>
                <w:color w:val="000000"/>
                <w:sz w:val="24"/>
              </w:rPr>
              <w:t>年</w:t>
            </w:r>
            <w:r>
              <w:rPr>
                <w:color w:val="000000"/>
                <w:sz w:val="24"/>
              </w:rPr>
              <w:t>03</w:t>
            </w:r>
            <w:r>
              <w:rPr>
                <w:color w:val="000000"/>
                <w:sz w:val="24"/>
              </w:rPr>
              <w:t>月</w:t>
            </w:r>
            <w:r>
              <w:rPr>
                <w:color w:val="000000"/>
                <w:sz w:val="24"/>
              </w:rPr>
              <w:t>20</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25</w:t>
            </w:r>
            <w:r>
              <w:rPr>
                <w:color w:val="000000"/>
                <w:sz w:val="24"/>
              </w:rPr>
              <w:t>日）、易方达中证国企一带一路交易型开放式指数证券投资基金的基金经理、易方达中证国企一带一路交易型开放式指数证券投资基金联接基金的基金经理、指数增强投资部总经理助理</w:t>
            </w:r>
          </w:p>
        </w:tc>
        <w:tc>
          <w:tcPr>
            <w:tcW w:w="851" w:type="dxa"/>
            <w:vAlign w:val="center"/>
          </w:tcPr>
          <w:p w:rsidR="0024428D" w:rsidRDefault="001B42CF">
            <w:pPr>
              <w:jc w:val="center"/>
            </w:pPr>
            <w:r>
              <w:rPr>
                <w:color w:val="000000"/>
                <w:sz w:val="24"/>
              </w:rPr>
              <w:t>2017-06-23</w:t>
            </w:r>
          </w:p>
        </w:tc>
        <w:tc>
          <w:tcPr>
            <w:tcW w:w="850" w:type="dxa"/>
            <w:vAlign w:val="center"/>
          </w:tcPr>
          <w:p w:rsidR="0024428D" w:rsidRDefault="001B42CF">
            <w:pPr>
              <w:jc w:val="center"/>
            </w:pPr>
            <w:r>
              <w:rPr>
                <w:color w:val="000000"/>
                <w:sz w:val="24"/>
              </w:rPr>
              <w:t>2020-03-18</w:t>
            </w:r>
          </w:p>
        </w:tc>
        <w:tc>
          <w:tcPr>
            <w:tcW w:w="851" w:type="dxa"/>
            <w:vAlign w:val="center"/>
          </w:tcPr>
          <w:p w:rsidR="0024428D" w:rsidRDefault="001B42CF">
            <w:pPr>
              <w:jc w:val="center"/>
            </w:pPr>
            <w:r>
              <w:rPr>
                <w:color w:val="000000"/>
                <w:sz w:val="24"/>
              </w:rPr>
              <w:t>11</w:t>
            </w:r>
            <w:r>
              <w:rPr>
                <w:color w:val="000000"/>
                <w:sz w:val="24"/>
              </w:rPr>
              <w:t>年</w:t>
            </w:r>
          </w:p>
        </w:tc>
        <w:tc>
          <w:tcPr>
            <w:tcW w:w="2975" w:type="dxa"/>
            <w:vAlign w:val="center"/>
          </w:tcPr>
          <w:p w:rsidR="0024428D" w:rsidRDefault="001B42CF">
            <w:r>
              <w:rPr>
                <w:color w:val="000000"/>
                <w:sz w:val="24"/>
              </w:rPr>
              <w:t>硕士研究生，具有基金从业资格。曾任易方达基金管理有限公司北京分公司渠道经理、指数与量化投资部高级账户经理、解决方案部总经理助理。</w:t>
            </w:r>
          </w:p>
        </w:tc>
      </w:tr>
    </w:tbl>
    <w:p w:rsidR="0024428D" w:rsidRDefault="001B42CF">
      <w:pPr>
        <w:autoSpaceDE w:val="0"/>
        <w:autoSpaceDN w:val="0"/>
        <w:adjustRightInd w:val="0"/>
        <w:spacing w:line="360" w:lineRule="auto"/>
        <w:ind w:firstLineChars="200" w:firstLine="480"/>
        <w:jc w:val="left"/>
        <w:rPr>
          <w:rFonts w:eastAsiaTheme="minorEastAsia"/>
          <w:color w:val="000000" w:themeColor="text1"/>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5C7D00" w:rsidRPr="00B34368" w:rsidRDefault="00C544B8" w:rsidP="00547A9A">
      <w:pPr>
        <w:autoSpaceDE w:val="0"/>
        <w:autoSpaceDN w:val="0"/>
        <w:adjustRightInd w:val="0"/>
        <w:spacing w:line="360" w:lineRule="auto"/>
        <w:ind w:firstLineChars="200" w:firstLine="480"/>
        <w:jc w:val="left"/>
        <w:rPr>
          <w:rFonts w:eastAsiaTheme="minorEastAsia"/>
          <w:color w:val="000000" w:themeColor="text1"/>
          <w:sz w:val="24"/>
        </w:rPr>
      </w:pPr>
      <w:r>
        <w:rPr>
          <w:color w:val="000000"/>
          <w:sz w:val="24"/>
        </w:rPr>
        <w:t>2.</w:t>
      </w:r>
      <w:r>
        <w:rPr>
          <w:color w:val="000000"/>
          <w:sz w:val="24"/>
        </w:rPr>
        <w:t>证券从业的含义遵从《证券业从业人员资格管理办法》的相关规定。</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4.2</w:t>
      </w:r>
      <w:r w:rsidR="00B34368" w:rsidRPr="00B34368">
        <w:rPr>
          <w:rFonts w:eastAsiaTheme="minorEastAsia" w:hAnsiTheme="minorEastAsia"/>
          <w:b/>
          <w:color w:val="000000" w:themeColor="text1"/>
          <w:kern w:val="0"/>
          <w:sz w:val="24"/>
        </w:rPr>
        <w:t>管理人对</w:t>
      </w:r>
      <w:r w:rsidRPr="00B34368">
        <w:rPr>
          <w:rFonts w:eastAsiaTheme="minorEastAsia" w:hAnsiTheme="minorEastAsia"/>
          <w:b/>
          <w:color w:val="000000" w:themeColor="text1"/>
          <w:kern w:val="0"/>
          <w:sz w:val="24"/>
        </w:rPr>
        <w:t>报告期内本基金运作遵规守信情况</w:t>
      </w:r>
      <w:r w:rsidR="002F7889" w:rsidRPr="002F7889">
        <w:rPr>
          <w:rFonts w:eastAsiaTheme="minorEastAsia" w:hAnsiTheme="minorEastAsia"/>
          <w:b/>
          <w:color w:val="000000" w:themeColor="text1"/>
          <w:kern w:val="0"/>
          <w:sz w:val="24"/>
        </w:rPr>
        <w:t>的</w:t>
      </w:r>
      <w:r w:rsidRPr="00B34368">
        <w:rPr>
          <w:rFonts w:eastAsiaTheme="minorEastAsia" w:hAnsiTheme="minorEastAsia"/>
          <w:b/>
          <w:color w:val="000000" w:themeColor="text1"/>
          <w:kern w:val="0"/>
          <w:sz w:val="24"/>
        </w:rPr>
        <w:t>说明</w:t>
      </w:r>
    </w:p>
    <w:p w:rsidR="009238DB"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4.3 </w:t>
      </w:r>
      <w:r w:rsidRPr="00B34368">
        <w:rPr>
          <w:rFonts w:eastAsiaTheme="minorEastAsia" w:hAnsiTheme="minorEastAsia"/>
          <w:b/>
          <w:color w:val="000000" w:themeColor="text1"/>
          <w:kern w:val="0"/>
          <w:sz w:val="24"/>
        </w:rPr>
        <w:t>公平交易专项说明</w:t>
      </w:r>
    </w:p>
    <w:p w:rsidR="00D15733" w:rsidRPr="00B34368" w:rsidRDefault="00D15733" w:rsidP="00FC13C8">
      <w:pPr>
        <w:spacing w:line="360" w:lineRule="auto"/>
        <w:rPr>
          <w:rFonts w:eastAsiaTheme="minorEastAsia"/>
          <w:color w:val="000000" w:themeColor="text1"/>
          <w:sz w:val="24"/>
        </w:rPr>
      </w:pPr>
      <w:r w:rsidRPr="00B34368">
        <w:rPr>
          <w:rFonts w:eastAsiaTheme="minorEastAsia"/>
          <w:color w:val="000000" w:themeColor="text1"/>
          <w:sz w:val="24"/>
        </w:rPr>
        <w:t xml:space="preserve">4.3.1 </w:t>
      </w:r>
      <w:r w:rsidRPr="00B34368">
        <w:rPr>
          <w:rFonts w:eastAsiaTheme="minorEastAsia" w:hAnsiTheme="minorEastAsia"/>
          <w:color w:val="000000" w:themeColor="text1"/>
          <w:sz w:val="24"/>
        </w:rPr>
        <w:t>公平交易制度的执行情况</w:t>
      </w:r>
    </w:p>
    <w:p w:rsidR="00D15733"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B34368">
        <w:rPr>
          <w:rFonts w:eastAsiaTheme="minorEastAsia"/>
          <w:color w:val="000000" w:themeColor="text1"/>
          <w:sz w:val="24"/>
        </w:rPr>
        <w:t>“</w:t>
      </w:r>
      <w:r w:rsidRPr="00B34368">
        <w:rPr>
          <w:rFonts w:eastAsiaTheme="minorEastAsia"/>
          <w:color w:val="000000" w:themeColor="text1"/>
          <w:sz w:val="24"/>
        </w:rPr>
        <w:t>时间优先、价格优先</w:t>
      </w:r>
      <w:r w:rsidRPr="00B34368">
        <w:rPr>
          <w:rFonts w:eastAsiaTheme="minorEastAsia"/>
          <w:color w:val="000000" w:themeColor="text1"/>
          <w:sz w:val="24"/>
        </w:rPr>
        <w:t>”</w:t>
      </w:r>
      <w:r w:rsidRPr="00B34368">
        <w:rPr>
          <w:rFonts w:eastAsiaTheme="minorEastAsia"/>
          <w:color w:val="000000" w:themeColor="text1"/>
          <w:sz w:val="24"/>
        </w:rPr>
        <w:t>作为执行指令的基本原则，通过投资交易系统中的公平交易模块，以尽可能确保公平对待各投资组合。本报告期内，公平交易制度总体执行情况良好。</w:t>
      </w:r>
    </w:p>
    <w:p w:rsidR="00D15733" w:rsidRPr="00B34368" w:rsidRDefault="00D15733" w:rsidP="00FC13C8">
      <w:pPr>
        <w:spacing w:line="360" w:lineRule="auto"/>
        <w:rPr>
          <w:rFonts w:eastAsiaTheme="minorEastAsia"/>
          <w:color w:val="000000" w:themeColor="text1"/>
          <w:sz w:val="24"/>
        </w:rPr>
      </w:pPr>
      <w:r w:rsidRPr="00B34368">
        <w:rPr>
          <w:rFonts w:eastAsiaTheme="minorEastAsia"/>
          <w:color w:val="000000" w:themeColor="text1"/>
          <w:sz w:val="24"/>
        </w:rPr>
        <w:t>4.3.</w:t>
      </w:r>
      <w:r w:rsidR="005B6047" w:rsidRPr="00B34368">
        <w:rPr>
          <w:rFonts w:eastAsiaTheme="minorEastAsia"/>
          <w:color w:val="000000" w:themeColor="text1"/>
          <w:sz w:val="24"/>
        </w:rPr>
        <w:t>2</w:t>
      </w:r>
      <w:r w:rsidRPr="00B34368">
        <w:rPr>
          <w:rFonts w:eastAsiaTheme="minorEastAsia"/>
          <w:color w:val="000000" w:themeColor="text1"/>
          <w:sz w:val="24"/>
        </w:rPr>
        <w:t xml:space="preserve"> </w:t>
      </w:r>
      <w:r w:rsidRPr="00B34368">
        <w:rPr>
          <w:rFonts w:eastAsiaTheme="minorEastAsia" w:hAnsiTheme="minorEastAsia"/>
          <w:color w:val="000000" w:themeColor="text1"/>
          <w:sz w:val="24"/>
        </w:rPr>
        <w:t>异常交易行为的专项说明</w:t>
      </w:r>
    </w:p>
    <w:p w:rsidR="0024428D" w:rsidRDefault="001B42CF">
      <w:pPr>
        <w:spacing w:line="360" w:lineRule="auto"/>
        <w:ind w:firstLineChars="200" w:firstLine="480"/>
        <w:rPr>
          <w:rFonts w:eastAsiaTheme="minorEastAsia"/>
          <w:color w:val="000000" w:themeColor="text1"/>
          <w:sz w:val="24"/>
        </w:rPr>
      </w:pPr>
      <w:r>
        <w:rPr>
          <w:rFonts w:eastAsiaTheme="minorEastAsia"/>
          <w:color w:val="000000" w:themeColor="text1"/>
          <w:sz w:val="24"/>
        </w:rPr>
        <w:t>本报告期内，公司旗下所有投资组合参与的交易所公开竞价交易中，同日反向交易成交较少的单边交易量超过该证券当日成交量的</w:t>
      </w:r>
      <w:r>
        <w:rPr>
          <w:rFonts w:eastAsiaTheme="minorEastAsia"/>
          <w:color w:val="000000" w:themeColor="text1"/>
          <w:sz w:val="24"/>
        </w:rPr>
        <w:t>5%</w:t>
      </w:r>
      <w:r>
        <w:rPr>
          <w:rFonts w:eastAsiaTheme="minorEastAsia"/>
          <w:color w:val="000000" w:themeColor="text1"/>
          <w:sz w:val="24"/>
        </w:rPr>
        <w:t>的交易共</w:t>
      </w:r>
      <w:r>
        <w:rPr>
          <w:rFonts w:eastAsiaTheme="minorEastAsia"/>
          <w:color w:val="000000" w:themeColor="text1"/>
          <w:sz w:val="24"/>
        </w:rPr>
        <w:t>17</w:t>
      </w:r>
      <w:r>
        <w:rPr>
          <w:rFonts w:eastAsiaTheme="minorEastAsia"/>
          <w:color w:val="000000" w:themeColor="text1"/>
          <w:sz w:val="24"/>
        </w:rPr>
        <w:t>次，全部为指数量化投资组合因投资策略需要和其他组合发生的反向交易。</w:t>
      </w:r>
    </w:p>
    <w:p w:rsidR="009238DB"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本报告期内，未发现本基金有可能导致不公平交易和利益输送的异常交易。</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4.4 </w:t>
      </w:r>
      <w:r w:rsidRPr="00B34368">
        <w:rPr>
          <w:rFonts w:eastAsiaTheme="minorEastAsia" w:hAnsiTheme="minorEastAsia"/>
          <w:b/>
          <w:color w:val="000000" w:themeColor="text1"/>
          <w:kern w:val="0"/>
          <w:sz w:val="24"/>
        </w:rPr>
        <w:t>报告期内基金的投资策略和业绩表现说明</w:t>
      </w:r>
    </w:p>
    <w:p w:rsidR="00952A72" w:rsidRPr="00B34368" w:rsidRDefault="00952A72" w:rsidP="00FC13C8">
      <w:pPr>
        <w:spacing w:line="360" w:lineRule="auto"/>
        <w:rPr>
          <w:rFonts w:eastAsiaTheme="minorEastAsia"/>
          <w:color w:val="000000" w:themeColor="text1"/>
          <w:sz w:val="24"/>
        </w:rPr>
      </w:pPr>
      <w:r w:rsidRPr="00B34368">
        <w:rPr>
          <w:rFonts w:eastAsiaTheme="minorEastAsia"/>
          <w:color w:val="000000" w:themeColor="text1"/>
          <w:sz w:val="24"/>
        </w:rPr>
        <w:t>4.4.1</w:t>
      </w:r>
      <w:r w:rsidRPr="00B34368">
        <w:rPr>
          <w:rFonts w:eastAsiaTheme="minorEastAsia" w:hAnsiTheme="minorEastAsia"/>
          <w:color w:val="000000" w:themeColor="text1"/>
          <w:sz w:val="24"/>
        </w:rPr>
        <w:t>报告期内基金投资策略和运作分析</w:t>
      </w:r>
    </w:p>
    <w:p w:rsidR="0024428D" w:rsidRDefault="001B42CF">
      <w:pPr>
        <w:spacing w:line="360" w:lineRule="auto"/>
        <w:ind w:firstLineChars="200" w:firstLine="480"/>
        <w:rPr>
          <w:rFonts w:eastAsiaTheme="minorEastAsia"/>
          <w:color w:val="000000" w:themeColor="text1"/>
          <w:sz w:val="24"/>
        </w:rPr>
      </w:pPr>
      <w:r>
        <w:rPr>
          <w:rFonts w:eastAsiaTheme="minorEastAsia"/>
          <w:color w:val="000000" w:themeColor="text1"/>
          <w:sz w:val="24"/>
        </w:rPr>
        <w:t>2020</w:t>
      </w:r>
      <w:r>
        <w:rPr>
          <w:rFonts w:eastAsiaTheme="minorEastAsia"/>
          <w:color w:val="000000" w:themeColor="text1"/>
          <w:sz w:val="24"/>
        </w:rPr>
        <w:t>年一季度国内宏观经济面临新冠疫情的明显冲击，企业复工复产进度明显放缓，生产、销售受阻，导致</w:t>
      </w:r>
      <w:r>
        <w:rPr>
          <w:rFonts w:eastAsiaTheme="minorEastAsia"/>
          <w:color w:val="000000" w:themeColor="text1"/>
          <w:sz w:val="24"/>
        </w:rPr>
        <w:t>1-2</w:t>
      </w:r>
      <w:r>
        <w:rPr>
          <w:rFonts w:eastAsiaTheme="minorEastAsia"/>
          <w:color w:val="000000" w:themeColor="text1"/>
          <w:sz w:val="24"/>
        </w:rPr>
        <w:t>月份规模以上工业增加值、企业利润分别同比下降</w:t>
      </w:r>
      <w:r>
        <w:rPr>
          <w:rFonts w:eastAsiaTheme="minorEastAsia"/>
          <w:color w:val="000000" w:themeColor="text1"/>
          <w:sz w:val="24"/>
        </w:rPr>
        <w:t>13.5%</w:t>
      </w:r>
      <w:r>
        <w:rPr>
          <w:rFonts w:eastAsiaTheme="minorEastAsia"/>
          <w:color w:val="000000" w:themeColor="text1"/>
          <w:sz w:val="24"/>
        </w:rPr>
        <w:t>、</w:t>
      </w:r>
      <w:r>
        <w:rPr>
          <w:rFonts w:eastAsiaTheme="minorEastAsia"/>
          <w:color w:val="000000" w:themeColor="text1"/>
          <w:sz w:val="24"/>
        </w:rPr>
        <w:t>38.3%</w:t>
      </w:r>
      <w:r>
        <w:rPr>
          <w:rFonts w:eastAsiaTheme="minorEastAsia"/>
          <w:color w:val="000000" w:themeColor="text1"/>
          <w:sz w:val="24"/>
        </w:rPr>
        <w:t>。受到海外疫情不确定的影响，出口、生产恢复仍然需要时间，</w:t>
      </w:r>
      <w:r>
        <w:rPr>
          <w:rFonts w:eastAsiaTheme="minorEastAsia"/>
          <w:color w:val="000000" w:themeColor="text1"/>
          <w:sz w:val="24"/>
        </w:rPr>
        <w:t>2020</w:t>
      </w:r>
      <w:r>
        <w:rPr>
          <w:rFonts w:eastAsiaTheme="minorEastAsia"/>
          <w:color w:val="000000" w:themeColor="text1"/>
          <w:sz w:val="24"/>
        </w:rPr>
        <w:t>年一季度的经济增长回升势头将暂时停止，原先已表现出的经济内在动力回升趋势将受阻，整体经济增速将受到较大挑战。尽管新冠疫情在中国境内得到了有效控制，但其全球蔓延的态势自</w:t>
      </w:r>
      <w:r>
        <w:rPr>
          <w:rFonts w:eastAsiaTheme="minorEastAsia"/>
          <w:color w:val="000000" w:themeColor="text1"/>
          <w:sz w:val="24"/>
        </w:rPr>
        <w:t>3</w:t>
      </w:r>
      <w:r>
        <w:rPr>
          <w:rFonts w:eastAsiaTheme="minorEastAsia"/>
          <w:color w:val="000000" w:themeColor="text1"/>
          <w:sz w:val="24"/>
        </w:rPr>
        <w:t>月份以来则日渐严峻，面对疫情对经济信心的显著打击，全球各主要经济体先后采取大力度的货币宽松政策加以对冲，然而担忧情绪依旧没有消散，而且疫情发展态势也仍不明朗，疫情所带来的现实性冲击和政策性对冲的较量仍将是中短期主导全球乃至国内经济走向的关键力量。资本市场方面，海外疫情的超预期发展引起了金融市场巨震，美元流动性紧张又导致大类资产普跌，美股出现创纪录的</w:t>
      </w:r>
      <w:r>
        <w:rPr>
          <w:rFonts w:eastAsiaTheme="minorEastAsia"/>
          <w:color w:val="000000" w:themeColor="text1"/>
          <w:sz w:val="24"/>
        </w:rPr>
        <w:t>4</w:t>
      </w:r>
      <w:r>
        <w:rPr>
          <w:rFonts w:eastAsiaTheme="minorEastAsia"/>
          <w:color w:val="000000" w:themeColor="text1"/>
          <w:sz w:val="24"/>
        </w:rPr>
        <w:t>次熔断，美债收益率也下探至历史最低点。美联储祭出</w:t>
      </w:r>
      <w:r>
        <w:rPr>
          <w:rFonts w:eastAsiaTheme="minorEastAsia"/>
          <w:color w:val="000000" w:themeColor="text1"/>
          <w:sz w:val="24"/>
        </w:rPr>
        <w:t>“</w:t>
      </w:r>
      <w:r>
        <w:rPr>
          <w:rFonts w:eastAsiaTheme="minorEastAsia"/>
          <w:color w:val="000000" w:themeColor="text1"/>
          <w:sz w:val="24"/>
        </w:rPr>
        <w:t>零利率</w:t>
      </w:r>
      <w:r>
        <w:rPr>
          <w:rFonts w:eastAsiaTheme="minorEastAsia"/>
          <w:color w:val="000000" w:themeColor="text1"/>
          <w:sz w:val="24"/>
        </w:rPr>
        <w:t>”</w:t>
      </w:r>
      <w:r>
        <w:rPr>
          <w:rFonts w:eastAsiaTheme="minorEastAsia"/>
          <w:color w:val="000000" w:themeColor="text1"/>
          <w:sz w:val="24"/>
        </w:rPr>
        <w:t>后又推出无限</w:t>
      </w:r>
      <w:r>
        <w:rPr>
          <w:rFonts w:eastAsiaTheme="minorEastAsia"/>
          <w:color w:val="000000" w:themeColor="text1"/>
          <w:sz w:val="24"/>
        </w:rPr>
        <w:t>QE</w:t>
      </w:r>
      <w:r>
        <w:rPr>
          <w:rFonts w:eastAsiaTheme="minorEastAsia"/>
          <w:color w:val="000000" w:themeColor="text1"/>
          <w:sz w:val="24"/>
        </w:rPr>
        <w:t>，美国国会推出历史最大规模的</w:t>
      </w:r>
      <w:r>
        <w:rPr>
          <w:rFonts w:eastAsiaTheme="minorEastAsia"/>
          <w:color w:val="000000" w:themeColor="text1"/>
          <w:sz w:val="24"/>
        </w:rPr>
        <w:t>2.2</w:t>
      </w:r>
      <w:r>
        <w:rPr>
          <w:rFonts w:eastAsiaTheme="minorEastAsia"/>
          <w:color w:val="000000" w:themeColor="text1"/>
          <w:sz w:val="24"/>
        </w:rPr>
        <w:t>万亿美元经济刺激法案。相比之下国内资产在全球金融动荡中表现出了韧性。在流动性得到缓解后，全球股市明显反弹，</w:t>
      </w:r>
      <w:r>
        <w:rPr>
          <w:rFonts w:eastAsiaTheme="minorEastAsia"/>
          <w:color w:val="000000" w:themeColor="text1"/>
          <w:sz w:val="24"/>
        </w:rPr>
        <w:t>A</w:t>
      </w:r>
      <w:r>
        <w:rPr>
          <w:rFonts w:eastAsiaTheme="minorEastAsia"/>
          <w:color w:val="000000" w:themeColor="text1"/>
          <w:sz w:val="24"/>
        </w:rPr>
        <w:t>股也随之结束自</w:t>
      </w:r>
      <w:r>
        <w:rPr>
          <w:rFonts w:eastAsiaTheme="minorEastAsia"/>
          <w:color w:val="000000" w:themeColor="text1"/>
          <w:sz w:val="24"/>
        </w:rPr>
        <w:t>3</w:t>
      </w:r>
      <w:r>
        <w:rPr>
          <w:rFonts w:eastAsiaTheme="minorEastAsia"/>
          <w:color w:val="000000" w:themeColor="text1"/>
          <w:sz w:val="24"/>
        </w:rPr>
        <w:t>月初的剧烈下跌并开始反弹，一季度上证综指以下跌</w:t>
      </w:r>
      <w:r>
        <w:rPr>
          <w:rFonts w:eastAsiaTheme="minorEastAsia"/>
          <w:color w:val="000000" w:themeColor="text1"/>
          <w:sz w:val="24"/>
        </w:rPr>
        <w:t>9.83%</w:t>
      </w:r>
      <w:r>
        <w:rPr>
          <w:rFonts w:eastAsiaTheme="minorEastAsia"/>
          <w:color w:val="000000" w:themeColor="text1"/>
          <w:sz w:val="24"/>
        </w:rPr>
        <w:t>收官。风格主题方面，结构分化显著，在科技类板块表现领先的背景下，创业板表现优于主板，上证</w:t>
      </w:r>
      <w:r>
        <w:rPr>
          <w:rFonts w:eastAsiaTheme="minorEastAsia"/>
          <w:color w:val="000000" w:themeColor="text1"/>
          <w:sz w:val="24"/>
        </w:rPr>
        <w:t>50</w:t>
      </w:r>
      <w:r>
        <w:rPr>
          <w:rFonts w:eastAsiaTheme="minorEastAsia"/>
          <w:color w:val="000000" w:themeColor="text1"/>
          <w:sz w:val="24"/>
        </w:rPr>
        <w:t>指数、沪深</w:t>
      </w:r>
      <w:r>
        <w:rPr>
          <w:rFonts w:eastAsiaTheme="minorEastAsia"/>
          <w:color w:val="000000" w:themeColor="text1"/>
          <w:sz w:val="24"/>
        </w:rPr>
        <w:t>300</w:t>
      </w:r>
      <w:r>
        <w:rPr>
          <w:rFonts w:eastAsiaTheme="minorEastAsia"/>
          <w:color w:val="000000" w:themeColor="text1"/>
          <w:sz w:val="24"/>
        </w:rPr>
        <w:t>指数分别下跌</w:t>
      </w:r>
      <w:r>
        <w:rPr>
          <w:rFonts w:eastAsiaTheme="minorEastAsia"/>
          <w:color w:val="000000" w:themeColor="text1"/>
          <w:sz w:val="24"/>
        </w:rPr>
        <w:t>12.20%</w:t>
      </w:r>
      <w:r>
        <w:rPr>
          <w:rFonts w:eastAsiaTheme="minorEastAsia"/>
          <w:color w:val="000000" w:themeColor="text1"/>
          <w:sz w:val="24"/>
        </w:rPr>
        <w:t>、</w:t>
      </w:r>
      <w:r>
        <w:rPr>
          <w:rFonts w:eastAsiaTheme="minorEastAsia"/>
          <w:color w:val="000000" w:themeColor="text1"/>
          <w:sz w:val="24"/>
        </w:rPr>
        <w:t>10.02%</w:t>
      </w:r>
      <w:r>
        <w:rPr>
          <w:rFonts w:eastAsiaTheme="minorEastAsia"/>
          <w:color w:val="000000" w:themeColor="text1"/>
          <w:sz w:val="24"/>
        </w:rPr>
        <w:t>，而创业板指上涨</w:t>
      </w:r>
      <w:r>
        <w:rPr>
          <w:rFonts w:eastAsiaTheme="minorEastAsia"/>
          <w:color w:val="000000" w:themeColor="text1"/>
          <w:sz w:val="24"/>
        </w:rPr>
        <w:t>4.10%</w:t>
      </w:r>
      <w:r>
        <w:rPr>
          <w:rFonts w:eastAsiaTheme="minorEastAsia"/>
          <w:color w:val="000000" w:themeColor="text1"/>
          <w:sz w:val="24"/>
        </w:rPr>
        <w:t>；行业方面，农林牧渔、医药生物、计算机、通信等板块涨幅居前，休闲服务、保险、采掘、家用电器、交通运输、银行、房地产等板块跌幅较大。</w:t>
      </w:r>
    </w:p>
    <w:p w:rsidR="00952A72"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本基金是易方达沪深</w:t>
      </w:r>
      <w:r w:rsidRPr="00B34368">
        <w:rPr>
          <w:rFonts w:eastAsiaTheme="minorEastAsia"/>
          <w:color w:val="000000" w:themeColor="text1"/>
          <w:sz w:val="24"/>
        </w:rPr>
        <w:t>300ETF</w:t>
      </w:r>
      <w:r w:rsidRPr="00B34368">
        <w:rPr>
          <w:rFonts w:eastAsiaTheme="minorEastAsia"/>
          <w:color w:val="000000" w:themeColor="text1"/>
          <w:sz w:val="24"/>
        </w:rPr>
        <w:t>的联接基金，主要投资于沪深</w:t>
      </w:r>
      <w:r w:rsidRPr="00B34368">
        <w:rPr>
          <w:rFonts w:eastAsiaTheme="minorEastAsia"/>
          <w:color w:val="000000" w:themeColor="text1"/>
          <w:sz w:val="24"/>
        </w:rPr>
        <w:t>300ETF</w:t>
      </w:r>
      <w:r w:rsidRPr="00B34368">
        <w:rPr>
          <w:rFonts w:eastAsiaTheme="minorEastAsia"/>
          <w:color w:val="000000" w:themeColor="text1"/>
          <w:sz w:val="24"/>
        </w:rPr>
        <w:t>。报告期内本基金为正常运作期，在操作中，我们严格遵守基金合同，依据基金申购赎回变动的情况进行日常操作，控制跟踪误差和跟踪偏离度在较低水平上。</w:t>
      </w:r>
    </w:p>
    <w:p w:rsidR="00952A72" w:rsidRPr="00B34368" w:rsidRDefault="00952A72" w:rsidP="00FC13C8">
      <w:pPr>
        <w:spacing w:line="360" w:lineRule="auto"/>
        <w:rPr>
          <w:rFonts w:eastAsiaTheme="minorEastAsia"/>
          <w:color w:val="000000" w:themeColor="text1"/>
          <w:sz w:val="24"/>
        </w:rPr>
      </w:pPr>
      <w:r w:rsidRPr="00B34368">
        <w:rPr>
          <w:rFonts w:eastAsiaTheme="minorEastAsia"/>
          <w:color w:val="000000" w:themeColor="text1"/>
          <w:sz w:val="24"/>
        </w:rPr>
        <w:t>4.4.2</w:t>
      </w:r>
      <w:r w:rsidRPr="00B34368">
        <w:rPr>
          <w:rFonts w:eastAsiaTheme="minorEastAsia" w:hAnsiTheme="minorEastAsia"/>
          <w:color w:val="000000" w:themeColor="text1"/>
          <w:sz w:val="24"/>
        </w:rPr>
        <w:t>报告期内基金的业绩表现</w:t>
      </w:r>
    </w:p>
    <w:p w:rsidR="0024428D" w:rsidRDefault="001B42CF">
      <w:pPr>
        <w:spacing w:line="360" w:lineRule="auto"/>
        <w:ind w:firstLineChars="200" w:firstLine="480"/>
        <w:rPr>
          <w:rFonts w:eastAsiaTheme="minorEastAsia"/>
          <w:color w:val="000000" w:themeColor="text1"/>
          <w:sz w:val="24"/>
        </w:rPr>
      </w:pPr>
      <w:r>
        <w:rPr>
          <w:rFonts w:eastAsiaTheme="minorEastAsia"/>
          <w:color w:val="000000" w:themeColor="text1"/>
          <w:sz w:val="24"/>
        </w:rPr>
        <w:t>截至报告期末，本基金</w:t>
      </w:r>
      <w:r>
        <w:rPr>
          <w:rFonts w:eastAsiaTheme="minorEastAsia"/>
          <w:color w:val="000000" w:themeColor="text1"/>
          <w:sz w:val="24"/>
        </w:rPr>
        <w:t>A</w:t>
      </w:r>
      <w:r>
        <w:rPr>
          <w:rFonts w:eastAsiaTheme="minorEastAsia"/>
          <w:color w:val="000000" w:themeColor="text1"/>
          <w:sz w:val="24"/>
        </w:rPr>
        <w:t>类基金份额净值为</w:t>
      </w:r>
      <w:r>
        <w:rPr>
          <w:rFonts w:eastAsiaTheme="minorEastAsia"/>
          <w:color w:val="000000" w:themeColor="text1"/>
          <w:sz w:val="24"/>
        </w:rPr>
        <w:t>1.2929</w:t>
      </w:r>
      <w:r>
        <w:rPr>
          <w:rFonts w:eastAsiaTheme="minorEastAsia"/>
          <w:color w:val="000000" w:themeColor="text1"/>
          <w:sz w:val="24"/>
        </w:rPr>
        <w:t>元，本报告期份额净值增长率为</w:t>
      </w:r>
      <w:r>
        <w:rPr>
          <w:rFonts w:eastAsiaTheme="minorEastAsia"/>
          <w:color w:val="000000" w:themeColor="text1"/>
          <w:sz w:val="24"/>
        </w:rPr>
        <w:t>-9.21%</w:t>
      </w:r>
      <w:r>
        <w:rPr>
          <w:rFonts w:eastAsiaTheme="minorEastAsia"/>
          <w:color w:val="000000" w:themeColor="text1"/>
          <w:sz w:val="24"/>
        </w:rPr>
        <w:t>；</w:t>
      </w:r>
      <w:r>
        <w:rPr>
          <w:rFonts w:eastAsiaTheme="minorEastAsia"/>
          <w:color w:val="000000" w:themeColor="text1"/>
          <w:sz w:val="24"/>
        </w:rPr>
        <w:t>C</w:t>
      </w:r>
      <w:r>
        <w:rPr>
          <w:rFonts w:eastAsiaTheme="minorEastAsia"/>
          <w:color w:val="000000" w:themeColor="text1"/>
          <w:sz w:val="24"/>
        </w:rPr>
        <w:t>类基金份额净值为</w:t>
      </w:r>
      <w:r>
        <w:rPr>
          <w:rFonts w:eastAsiaTheme="minorEastAsia"/>
          <w:color w:val="000000" w:themeColor="text1"/>
          <w:sz w:val="24"/>
        </w:rPr>
        <w:t>1.2904</w:t>
      </w:r>
      <w:r>
        <w:rPr>
          <w:rFonts w:eastAsiaTheme="minorEastAsia"/>
          <w:color w:val="000000" w:themeColor="text1"/>
          <w:sz w:val="24"/>
        </w:rPr>
        <w:t>元，本报告期份额净值增长率为</w:t>
      </w:r>
      <w:r>
        <w:rPr>
          <w:rFonts w:eastAsiaTheme="minorEastAsia"/>
          <w:color w:val="000000" w:themeColor="text1"/>
          <w:sz w:val="24"/>
        </w:rPr>
        <w:t>-9.27%</w:t>
      </w:r>
      <w:r>
        <w:rPr>
          <w:rFonts w:eastAsiaTheme="minorEastAsia"/>
          <w:color w:val="000000" w:themeColor="text1"/>
          <w:sz w:val="24"/>
        </w:rPr>
        <w:t>；同期业绩比较基准收益率为</w:t>
      </w:r>
      <w:r>
        <w:rPr>
          <w:rFonts w:eastAsiaTheme="minorEastAsia"/>
          <w:color w:val="000000" w:themeColor="text1"/>
          <w:sz w:val="24"/>
        </w:rPr>
        <w:t>-9.49%</w:t>
      </w:r>
      <w:r>
        <w:rPr>
          <w:rFonts w:eastAsiaTheme="minorEastAsia"/>
          <w:color w:val="000000" w:themeColor="text1"/>
          <w:sz w:val="24"/>
        </w:rPr>
        <w:t>。</w:t>
      </w:r>
    </w:p>
    <w:p w:rsidR="008129C0" w:rsidRPr="00F405D4" w:rsidRDefault="00323F25" w:rsidP="00F405D4">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报告期内本基金日跟踪偏离度的均值为</w:t>
      </w:r>
      <w:r w:rsidRPr="00B34368">
        <w:rPr>
          <w:rFonts w:eastAsiaTheme="minorEastAsia"/>
          <w:color w:val="000000" w:themeColor="text1"/>
          <w:sz w:val="24"/>
        </w:rPr>
        <w:t>0.02%</w:t>
      </w:r>
      <w:r w:rsidRPr="00B34368">
        <w:rPr>
          <w:rFonts w:eastAsiaTheme="minorEastAsia"/>
          <w:color w:val="000000" w:themeColor="text1"/>
          <w:sz w:val="24"/>
        </w:rPr>
        <w:t>，年化跟踪误差为</w:t>
      </w:r>
      <w:r w:rsidRPr="00B34368">
        <w:rPr>
          <w:rFonts w:eastAsiaTheme="minorEastAsia"/>
          <w:color w:val="000000" w:themeColor="text1"/>
          <w:sz w:val="24"/>
        </w:rPr>
        <w:t>0.415%</w:t>
      </w:r>
      <w:r w:rsidRPr="00B34368">
        <w:rPr>
          <w:rFonts w:eastAsiaTheme="minorEastAsia"/>
          <w:color w:val="000000" w:themeColor="text1"/>
          <w:sz w:val="24"/>
        </w:rPr>
        <w:t>，各项指标均在合同规定的目标控制范围之内。</w:t>
      </w: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§5  </w:t>
      </w:r>
      <w:r w:rsidRPr="00B34368">
        <w:rPr>
          <w:rFonts w:eastAsiaTheme="minorEastAsia" w:hAnsiTheme="minorEastAsia"/>
          <w:color w:val="000000" w:themeColor="text1"/>
          <w:kern w:val="0"/>
          <w:sz w:val="24"/>
          <w:szCs w:val="24"/>
        </w:rPr>
        <w:t>投资组合报告</w:t>
      </w:r>
    </w:p>
    <w:p w:rsidR="009238DB" w:rsidRPr="00B34368" w:rsidRDefault="009238DB"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5.1 </w:t>
      </w:r>
      <w:r w:rsidRPr="00B34368">
        <w:rPr>
          <w:rFonts w:eastAsiaTheme="minorEastAsia" w:hAnsiTheme="minorEastAsia"/>
          <w:b/>
          <w:color w:val="000000" w:themeColor="text1"/>
          <w:kern w:val="0"/>
          <w:sz w:val="24"/>
        </w:rPr>
        <w:t>报告期末基金资产组合情况</w:t>
      </w:r>
    </w:p>
    <w:tbl>
      <w:tblPr>
        <w:tblStyle w:val="af2"/>
        <w:tblW w:w="0" w:type="auto"/>
        <w:tblInd w:w="108" w:type="dxa"/>
        <w:tblLayout w:type="fixed"/>
        <w:tblLook w:val="04A0" w:firstRow="1" w:lastRow="0" w:firstColumn="1" w:lastColumn="0" w:noHBand="0" w:noVBand="1"/>
      </w:tblPr>
      <w:tblGrid>
        <w:gridCol w:w="720"/>
        <w:gridCol w:w="3357"/>
        <w:gridCol w:w="2694"/>
        <w:gridCol w:w="1757"/>
      </w:tblGrid>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序号</w:t>
            </w:r>
          </w:p>
        </w:tc>
        <w:tc>
          <w:tcPr>
            <w:tcW w:w="3357"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项目</w:t>
            </w:r>
          </w:p>
        </w:tc>
        <w:tc>
          <w:tcPr>
            <w:tcW w:w="2694"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金额</w:t>
            </w:r>
            <w:r w:rsidRPr="00B34368">
              <w:rPr>
                <w:rFonts w:eastAsiaTheme="minorEastAsia"/>
                <w:color w:val="000000" w:themeColor="text1"/>
                <w:sz w:val="24"/>
              </w:rPr>
              <w:t>(</w:t>
            </w:r>
            <w:r w:rsidRPr="00B34368">
              <w:rPr>
                <w:rFonts w:eastAsiaTheme="minorEastAsia" w:hAnsiTheme="minorEastAsia"/>
                <w:color w:val="000000" w:themeColor="text1"/>
                <w:sz w:val="24"/>
              </w:rPr>
              <w:t>元</w:t>
            </w:r>
            <w:r w:rsidRPr="00B34368">
              <w:rPr>
                <w:rFonts w:eastAsiaTheme="minorEastAsia"/>
                <w:color w:val="000000" w:themeColor="text1"/>
                <w:sz w:val="24"/>
              </w:rPr>
              <w:t>)</w:t>
            </w:r>
          </w:p>
        </w:tc>
        <w:tc>
          <w:tcPr>
            <w:tcW w:w="1757"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占基金总资产的比例</w:t>
            </w:r>
            <w:r w:rsidRPr="00B34368">
              <w:rPr>
                <w:rFonts w:eastAsiaTheme="minorEastAsia"/>
                <w:color w:val="000000" w:themeColor="text1"/>
                <w:sz w:val="24"/>
              </w:rPr>
              <w:t>(%)</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1</w:t>
            </w: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权益投资</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71,531,384.47</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1.19</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其中：股票</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71,531,384.47</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1.19</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2</w:t>
            </w: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基金投资</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5,579,420,828.33</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92.87</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3</w:t>
            </w: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固定收益投资</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100,280,000.00</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1.67</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其中：债券</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100,280,000.00</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1.67</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B20F47" w:rsidP="00B34368">
            <w:pPr>
              <w:autoSpaceDE w:val="0"/>
              <w:autoSpaceDN w:val="0"/>
              <w:adjustRightInd w:val="0"/>
              <w:spacing w:before="29" w:line="360" w:lineRule="auto"/>
              <w:ind w:left="17" w:firstLineChars="300" w:firstLine="720"/>
              <w:jc w:val="left"/>
              <w:rPr>
                <w:rFonts w:eastAsiaTheme="minorEastAsia"/>
                <w:color w:val="000000" w:themeColor="text1"/>
                <w:sz w:val="24"/>
              </w:rPr>
            </w:pPr>
            <w:r w:rsidRPr="00B34368">
              <w:rPr>
                <w:rFonts w:eastAsiaTheme="minorEastAsia" w:hAnsiTheme="minorEastAsia"/>
                <w:color w:val="000000" w:themeColor="text1"/>
                <w:sz w:val="24"/>
              </w:rPr>
              <w:t>资产支持证券</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tcPr>
          <w:p w:rsidR="00B007B6" w:rsidRPr="00B34368" w:rsidRDefault="00B007B6" w:rsidP="00DD272F">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4</w:t>
            </w:r>
          </w:p>
        </w:tc>
        <w:tc>
          <w:tcPr>
            <w:tcW w:w="3357" w:type="dxa"/>
          </w:tcPr>
          <w:p w:rsidR="00B007B6" w:rsidRPr="00B34368" w:rsidRDefault="00B007B6" w:rsidP="00DD272F">
            <w:pPr>
              <w:spacing w:before="29" w:line="360" w:lineRule="auto"/>
              <w:ind w:leftChars="50" w:left="105"/>
              <w:rPr>
                <w:rFonts w:eastAsiaTheme="minorEastAsia"/>
                <w:color w:val="000000" w:themeColor="text1"/>
                <w:sz w:val="24"/>
              </w:rPr>
            </w:pPr>
            <w:r w:rsidRPr="00B34368">
              <w:rPr>
                <w:rFonts w:eastAsiaTheme="minorEastAsia" w:hAnsiTheme="minorEastAsia"/>
                <w:color w:val="000000" w:themeColor="text1"/>
                <w:sz w:val="24"/>
              </w:rPr>
              <w:t>贵金属投资</w:t>
            </w:r>
          </w:p>
        </w:tc>
        <w:tc>
          <w:tcPr>
            <w:tcW w:w="2694" w:type="dxa"/>
            <w:vAlign w:val="center"/>
          </w:tcPr>
          <w:p w:rsidR="00B007B6" w:rsidRPr="00B34368" w:rsidRDefault="00B007B6" w:rsidP="00DD272F">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DD272F">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5</w:t>
            </w: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金融衍生品投资</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6</w:t>
            </w: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买入返售金融资产</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其中：买断式回购的买入返售金融资产</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7</w:t>
            </w: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银行存款和结算备付金合计</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224,151,309.10</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3.73</w:t>
            </w:r>
          </w:p>
        </w:tc>
      </w:tr>
      <w:tr w:rsidR="00D3639B" w:rsidRPr="00B34368" w:rsidTr="00975D18">
        <w:tc>
          <w:tcPr>
            <w:tcW w:w="720" w:type="dxa"/>
            <w:vAlign w:val="center"/>
          </w:tcPr>
          <w:p w:rsidR="00B007B6" w:rsidRPr="00B34368" w:rsidRDefault="00B007B6" w:rsidP="00B007B6">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8</w:t>
            </w:r>
          </w:p>
        </w:tc>
        <w:tc>
          <w:tcPr>
            <w:tcW w:w="3357" w:type="dxa"/>
            <w:vAlign w:val="center"/>
          </w:tcPr>
          <w:p w:rsidR="00B007B6" w:rsidRPr="00B34368" w:rsidRDefault="00E57CD3" w:rsidP="00A3193E">
            <w:pPr>
              <w:jc w:val="left"/>
              <w:rPr>
                <w:rFonts w:eastAsiaTheme="minorEastAsia"/>
                <w:color w:val="000000" w:themeColor="text1"/>
                <w:sz w:val="24"/>
              </w:rPr>
            </w:pPr>
            <w:r>
              <w:rPr>
                <w:rFonts w:eastAsiaTheme="minorEastAsia" w:hAnsiTheme="minorEastAsia"/>
                <w:color w:val="000000" w:themeColor="text1"/>
                <w:sz w:val="24"/>
              </w:rPr>
              <w:t>其他</w:t>
            </w:r>
            <w:r w:rsidR="00B007B6" w:rsidRPr="00B34368">
              <w:rPr>
                <w:rFonts w:eastAsiaTheme="minorEastAsia" w:hAnsiTheme="minorEastAsia"/>
                <w:color w:val="000000" w:themeColor="text1"/>
                <w:sz w:val="24"/>
              </w:rPr>
              <w:t>资产</w:t>
            </w:r>
          </w:p>
        </w:tc>
        <w:tc>
          <w:tcPr>
            <w:tcW w:w="2694"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32,128,331.37</w:t>
            </w:r>
          </w:p>
        </w:tc>
        <w:tc>
          <w:tcPr>
            <w:tcW w:w="1757"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0.53</w:t>
            </w:r>
          </w:p>
        </w:tc>
      </w:tr>
      <w:tr w:rsidR="00D3639B" w:rsidRPr="00B34368" w:rsidTr="00975D18">
        <w:tc>
          <w:tcPr>
            <w:tcW w:w="720" w:type="dxa"/>
            <w:vAlign w:val="center"/>
          </w:tcPr>
          <w:p w:rsidR="00B007B6" w:rsidRPr="00B34368" w:rsidRDefault="00B007B6" w:rsidP="00B007B6">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9</w:t>
            </w:r>
          </w:p>
        </w:tc>
        <w:tc>
          <w:tcPr>
            <w:tcW w:w="3357" w:type="dxa"/>
            <w:vAlign w:val="center"/>
          </w:tcPr>
          <w:p w:rsidR="00B007B6" w:rsidRPr="00B34368" w:rsidRDefault="00B007B6" w:rsidP="00A3193E">
            <w:pPr>
              <w:jc w:val="left"/>
              <w:rPr>
                <w:rFonts w:eastAsiaTheme="minorEastAsia"/>
                <w:color w:val="000000" w:themeColor="text1"/>
                <w:sz w:val="24"/>
              </w:rPr>
            </w:pPr>
            <w:r w:rsidRPr="00B34368">
              <w:rPr>
                <w:rFonts w:eastAsiaTheme="minorEastAsia" w:hAnsiTheme="minorEastAsia"/>
                <w:color w:val="000000" w:themeColor="text1"/>
                <w:sz w:val="24"/>
              </w:rPr>
              <w:t>合计</w:t>
            </w:r>
          </w:p>
        </w:tc>
        <w:tc>
          <w:tcPr>
            <w:tcW w:w="2694"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6,007,511,853.27</w:t>
            </w:r>
          </w:p>
        </w:tc>
        <w:tc>
          <w:tcPr>
            <w:tcW w:w="1757"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100.00</w:t>
            </w:r>
          </w:p>
        </w:tc>
      </w:tr>
    </w:tbl>
    <w:p w:rsidR="0040218E" w:rsidRPr="00B34368" w:rsidRDefault="0040218E"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5.2</w:t>
      </w:r>
      <w:r w:rsidRPr="00B34368">
        <w:rPr>
          <w:rFonts w:eastAsiaTheme="minorEastAsia" w:hAnsiTheme="minorEastAsia"/>
          <w:b/>
          <w:color w:val="000000" w:themeColor="text1"/>
          <w:kern w:val="0"/>
          <w:sz w:val="24"/>
        </w:rPr>
        <w:t>期末投资目标基金明细</w:t>
      </w:r>
    </w:p>
    <w:tbl>
      <w:tblPr>
        <w:tblStyle w:val="af2"/>
        <w:tblW w:w="0" w:type="auto"/>
        <w:tblInd w:w="108" w:type="dxa"/>
        <w:tblLook w:val="04A0" w:firstRow="1" w:lastRow="0" w:firstColumn="1" w:lastColumn="0" w:noHBand="0" w:noVBand="1"/>
      </w:tblPr>
      <w:tblGrid>
        <w:gridCol w:w="654"/>
        <w:gridCol w:w="1905"/>
        <w:gridCol w:w="654"/>
        <w:gridCol w:w="1775"/>
        <w:gridCol w:w="1058"/>
        <w:gridCol w:w="1896"/>
        <w:gridCol w:w="986"/>
      </w:tblGrid>
      <w:tr w:rsidR="00D3639B" w:rsidRPr="00B34368" w:rsidTr="00975D18">
        <w:tc>
          <w:tcPr>
            <w:tcW w:w="1215"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序号</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基金名称</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基金类型</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运作方式</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管理人</w:t>
            </w:r>
          </w:p>
        </w:tc>
        <w:tc>
          <w:tcPr>
            <w:tcW w:w="1217"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公允价值</w:t>
            </w:r>
            <w:r w:rsidR="00A22E07" w:rsidRPr="00B34368">
              <w:rPr>
                <w:rFonts w:eastAsiaTheme="minorEastAsia" w:hAnsiTheme="minorEastAsia"/>
                <w:color w:val="000000" w:themeColor="text1"/>
                <w:sz w:val="24"/>
              </w:rPr>
              <w:t>（元）</w:t>
            </w:r>
          </w:p>
        </w:tc>
        <w:tc>
          <w:tcPr>
            <w:tcW w:w="1217"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占基金资产净值比例（</w:t>
            </w:r>
            <w:r w:rsidRPr="00B34368">
              <w:rPr>
                <w:rFonts w:eastAsiaTheme="minorEastAsia"/>
                <w:color w:val="000000" w:themeColor="text1"/>
                <w:kern w:val="0"/>
                <w:sz w:val="24"/>
              </w:rPr>
              <w:t>%</w:t>
            </w:r>
            <w:r w:rsidRPr="00B34368">
              <w:rPr>
                <w:rFonts w:eastAsiaTheme="minorEastAsia" w:hAnsiTheme="minorEastAsia"/>
                <w:color w:val="000000" w:themeColor="text1"/>
                <w:kern w:val="0"/>
                <w:sz w:val="24"/>
              </w:rPr>
              <w:t>）</w:t>
            </w:r>
          </w:p>
        </w:tc>
      </w:tr>
      <w:tr w:rsidR="0024428D">
        <w:tc>
          <w:tcPr>
            <w:tcW w:w="0" w:type="auto"/>
            <w:vAlign w:val="center"/>
          </w:tcPr>
          <w:p w:rsidR="0024428D" w:rsidRDefault="001B42CF">
            <w:pPr>
              <w:jc w:val="center"/>
            </w:pPr>
            <w:r>
              <w:rPr>
                <w:rFonts w:eastAsiaTheme="minorEastAsia"/>
                <w:color w:val="000000" w:themeColor="text1"/>
                <w:sz w:val="24"/>
              </w:rPr>
              <w:t>1</w:t>
            </w:r>
          </w:p>
        </w:tc>
        <w:tc>
          <w:tcPr>
            <w:tcW w:w="0" w:type="auto"/>
            <w:vAlign w:val="center"/>
          </w:tcPr>
          <w:p w:rsidR="0024428D" w:rsidRDefault="001B42CF">
            <w:pPr>
              <w:jc w:val="center"/>
            </w:pPr>
            <w:r>
              <w:rPr>
                <w:rFonts w:eastAsiaTheme="minorEastAsia"/>
                <w:color w:val="000000" w:themeColor="text1"/>
                <w:sz w:val="24"/>
              </w:rPr>
              <w:t>易方达沪深</w:t>
            </w:r>
            <w:r>
              <w:rPr>
                <w:rFonts w:eastAsiaTheme="minorEastAsia"/>
                <w:color w:val="000000" w:themeColor="text1"/>
                <w:sz w:val="24"/>
              </w:rPr>
              <w:t>300</w:t>
            </w:r>
            <w:r>
              <w:rPr>
                <w:rFonts w:eastAsiaTheme="minorEastAsia"/>
                <w:color w:val="000000" w:themeColor="text1"/>
                <w:sz w:val="24"/>
              </w:rPr>
              <w:t>交易型开放式指数发起式证券投资基金</w:t>
            </w:r>
          </w:p>
        </w:tc>
        <w:tc>
          <w:tcPr>
            <w:tcW w:w="0" w:type="auto"/>
            <w:vAlign w:val="center"/>
          </w:tcPr>
          <w:p w:rsidR="0024428D" w:rsidRDefault="001B42CF">
            <w:pPr>
              <w:jc w:val="center"/>
            </w:pPr>
            <w:r>
              <w:rPr>
                <w:rFonts w:eastAsiaTheme="minorEastAsia"/>
                <w:color w:val="000000" w:themeColor="text1"/>
                <w:sz w:val="24"/>
              </w:rPr>
              <w:t>股票型</w:t>
            </w:r>
          </w:p>
        </w:tc>
        <w:tc>
          <w:tcPr>
            <w:tcW w:w="0" w:type="auto"/>
            <w:vAlign w:val="center"/>
          </w:tcPr>
          <w:p w:rsidR="0024428D" w:rsidRDefault="001B42CF">
            <w:pPr>
              <w:jc w:val="center"/>
            </w:pPr>
            <w:r>
              <w:rPr>
                <w:rFonts w:eastAsiaTheme="minorEastAsia"/>
                <w:color w:val="000000" w:themeColor="text1"/>
                <w:sz w:val="24"/>
              </w:rPr>
              <w:t>交易型开放式（</w:t>
            </w:r>
            <w:r>
              <w:rPr>
                <w:rFonts w:eastAsiaTheme="minorEastAsia"/>
                <w:color w:val="000000" w:themeColor="text1"/>
                <w:sz w:val="24"/>
              </w:rPr>
              <w:t>ETF</w:t>
            </w:r>
            <w:r>
              <w:rPr>
                <w:rFonts w:eastAsiaTheme="minorEastAsia"/>
                <w:color w:val="000000" w:themeColor="text1"/>
                <w:sz w:val="24"/>
              </w:rPr>
              <w:t>）、发起式</w:t>
            </w:r>
          </w:p>
        </w:tc>
        <w:tc>
          <w:tcPr>
            <w:tcW w:w="0" w:type="auto"/>
            <w:vAlign w:val="center"/>
          </w:tcPr>
          <w:p w:rsidR="0024428D" w:rsidRDefault="001B42CF">
            <w:pPr>
              <w:jc w:val="center"/>
            </w:pPr>
            <w:r>
              <w:rPr>
                <w:rFonts w:eastAsiaTheme="minorEastAsia"/>
                <w:color w:val="000000" w:themeColor="text1"/>
                <w:sz w:val="24"/>
              </w:rPr>
              <w:t>易方达基金管理有限公司</w:t>
            </w:r>
          </w:p>
        </w:tc>
        <w:tc>
          <w:tcPr>
            <w:tcW w:w="0" w:type="auto"/>
            <w:vAlign w:val="center"/>
          </w:tcPr>
          <w:p w:rsidR="0024428D" w:rsidRDefault="001B42CF">
            <w:pPr>
              <w:jc w:val="right"/>
            </w:pPr>
            <w:r>
              <w:rPr>
                <w:rFonts w:eastAsiaTheme="minorEastAsia"/>
                <w:color w:val="000000" w:themeColor="text1"/>
                <w:sz w:val="24"/>
              </w:rPr>
              <w:t>5,579,420,828.33</w:t>
            </w:r>
          </w:p>
        </w:tc>
        <w:tc>
          <w:tcPr>
            <w:tcW w:w="0" w:type="auto"/>
            <w:vAlign w:val="center"/>
          </w:tcPr>
          <w:p w:rsidR="0024428D" w:rsidRDefault="001B42CF">
            <w:pPr>
              <w:jc w:val="right"/>
            </w:pPr>
            <w:r>
              <w:rPr>
                <w:rFonts w:eastAsiaTheme="minorEastAsia"/>
                <w:color w:val="000000" w:themeColor="text1"/>
                <w:sz w:val="24"/>
              </w:rPr>
              <w:t>93.31</w:t>
            </w:r>
          </w:p>
        </w:tc>
      </w:tr>
    </w:tbl>
    <w:p w:rsidR="0054389B" w:rsidRPr="00B34368" w:rsidRDefault="0054389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5.3 </w:t>
      </w:r>
      <w:r w:rsidRPr="00B34368">
        <w:rPr>
          <w:rFonts w:eastAsiaTheme="minorEastAsia" w:hAnsiTheme="minorEastAsia"/>
          <w:b/>
          <w:color w:val="000000" w:themeColor="text1"/>
          <w:kern w:val="0"/>
          <w:sz w:val="24"/>
        </w:rPr>
        <w:t>报告期末按行业分类的股票投资组合</w:t>
      </w:r>
    </w:p>
    <w:p w:rsidR="0054389B" w:rsidRPr="00B34368" w:rsidRDefault="0054389B" w:rsidP="0054389B">
      <w:pPr>
        <w:rPr>
          <w:rFonts w:eastAsiaTheme="minorEastAsia"/>
          <w:b/>
          <w:sz w:val="24"/>
        </w:rPr>
      </w:pPr>
      <w:r w:rsidRPr="00B34368">
        <w:rPr>
          <w:rFonts w:eastAsiaTheme="minorEastAsia"/>
          <w:b/>
          <w:color w:val="000000" w:themeColor="text1"/>
          <w:kern w:val="0"/>
          <w:sz w:val="24"/>
        </w:rPr>
        <w:t>5.3.1</w:t>
      </w:r>
      <w:r w:rsidRPr="00B34368">
        <w:rPr>
          <w:rFonts w:eastAsiaTheme="minorEastAsia" w:hAnsiTheme="minorEastAsia"/>
          <w:b/>
          <w:color w:val="000000" w:themeColor="text1"/>
          <w:kern w:val="0"/>
          <w:sz w:val="24"/>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3135"/>
        <w:gridCol w:w="1365"/>
      </w:tblGrid>
      <w:tr w:rsidR="00D3639B" w:rsidRPr="00B34368" w:rsidTr="00975D1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hAnsi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hAnsiTheme="minorEastAsia"/>
                <w:color w:val="000000" w:themeColor="text1"/>
                <w:sz w:val="24"/>
              </w:rPr>
              <w:t>行业类别</w:t>
            </w:r>
          </w:p>
        </w:tc>
        <w:tc>
          <w:tcPr>
            <w:tcW w:w="3135" w:type="dxa"/>
            <w:tcBorders>
              <w:top w:val="single" w:sz="4" w:space="0" w:color="000000"/>
              <w:left w:val="single" w:sz="4" w:space="0" w:color="auto"/>
              <w:bottom w:val="single" w:sz="4" w:space="0" w:color="000000"/>
              <w:right w:val="single" w:sz="4" w:space="0" w:color="000000"/>
            </w:tcBorders>
            <w:vAlign w:val="cente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hAnsiTheme="minorEastAsia"/>
                <w:color w:val="000000" w:themeColor="text1"/>
                <w:sz w:val="24"/>
              </w:rPr>
              <w:t>公允价值（元）</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hAnsiTheme="minorEastAsia"/>
                <w:color w:val="000000" w:themeColor="text1"/>
                <w:sz w:val="24"/>
              </w:rPr>
              <w:t>占基金资产净值比例（％）</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农、林、牧、渔业</w:t>
            </w:r>
          </w:p>
        </w:tc>
        <w:tc>
          <w:tcPr>
            <w:tcW w:w="3135" w:type="dxa"/>
            <w:tcBorders>
              <w:top w:val="single" w:sz="4" w:space="0" w:color="000000"/>
              <w:left w:val="single" w:sz="4" w:space="0" w:color="auto"/>
              <w:bottom w:val="single" w:sz="4" w:space="0" w:color="000000"/>
              <w:right w:val="single" w:sz="4" w:space="0" w:color="000000"/>
            </w:tcBorders>
            <w:vAlign w:val="center"/>
          </w:tcPr>
          <w:p w:rsidR="005F458B" w:rsidRPr="00B34368" w:rsidRDefault="005F458B" w:rsidP="00724F6D">
            <w:pPr>
              <w:autoSpaceDE w:val="0"/>
              <w:autoSpaceDN w:val="0"/>
              <w:adjustRightInd w:val="0"/>
              <w:spacing w:before="29" w:line="360" w:lineRule="auto"/>
              <w:ind w:left="15"/>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B34368" w:rsidRDefault="005F458B" w:rsidP="00724F6D">
            <w:pPr>
              <w:autoSpaceDE w:val="0"/>
              <w:autoSpaceDN w:val="0"/>
              <w:adjustRightInd w:val="0"/>
              <w:spacing w:before="29" w:line="360" w:lineRule="auto"/>
              <w:ind w:left="15"/>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采矿业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2,746,532.00</w:t>
            </w:r>
          </w:p>
          <w:p w:rsidR="005F458B" w:rsidRPr="00B34368" w:rsidRDefault="005F458B" w:rsidP="00724F6D">
            <w:pPr>
              <w:jc w:val="right"/>
              <w:rPr>
                <w:rFonts w:eastAsiaTheme="minorEastAsia"/>
                <w:color w:val="000000" w:themeColor="text1"/>
                <w:sz w:val="24"/>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0.05</w:t>
            </w:r>
          </w:p>
          <w:p w:rsidR="005F458B" w:rsidRPr="00B34368" w:rsidRDefault="005F458B" w:rsidP="00724F6D">
            <w:pPr>
              <w:jc w:val="right"/>
              <w:rPr>
                <w:rFonts w:eastAsiaTheme="minorEastAsia"/>
                <w:color w:val="000000" w:themeColor="text1"/>
                <w:sz w:val="24"/>
              </w:rPr>
            </w:pP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制造业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23,571,737.81</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0.39</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电力、热力、燃气及水生产和供应业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2,294,712.00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0.04</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建筑业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2,384,177.00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0.04</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批发和零售业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814,907.31</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0.01</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交通运输、仓储和邮政业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7,216,261.32</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0.12</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住宿和餐饮业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信息传输、软件和信息技术服务业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2,252,553.97</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0.04</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金融业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27,242,130.06</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0.46</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房地产业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1,803,452.00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0.03</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租赁和商务服务业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611,639.00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0.01</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科学研究和技术服务业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524,842.00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0.01</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水利、环境和公共设施管理业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居民服务、修理和其他服务业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教育</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卫生和社会工作</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文化、体育和娱乐业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68,440.00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0.00</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综合</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合计</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71,531,384.47</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1.20</w:t>
            </w:r>
          </w:p>
        </w:tc>
      </w:tr>
    </w:tbl>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4</w:t>
      </w:r>
      <w:r w:rsidRPr="00B34368">
        <w:rPr>
          <w:rFonts w:eastAsiaTheme="minorEastAsia"/>
          <w:b/>
          <w:color w:val="000000" w:themeColor="text1"/>
          <w:kern w:val="0"/>
          <w:sz w:val="24"/>
        </w:rPr>
        <w:t xml:space="preserve"> </w:t>
      </w:r>
      <w:r w:rsidRPr="00B34368">
        <w:rPr>
          <w:rFonts w:eastAsiaTheme="minorEastAsia" w:hAnsiTheme="minorEastAsia"/>
          <w:b/>
          <w:color w:val="000000" w:themeColor="text1"/>
          <w:kern w:val="0"/>
          <w:sz w:val="24"/>
        </w:rPr>
        <w:t>报告期末按公允价值占基金资产净值比例大小排序的前十名股票投资明细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D3639B" w:rsidRPr="00B34368" w:rsidTr="00975D18">
        <w:tc>
          <w:tcPr>
            <w:tcW w:w="817"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序号</w:t>
            </w:r>
          </w:p>
        </w:tc>
        <w:tc>
          <w:tcPr>
            <w:tcW w:w="1276"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股票代码</w:t>
            </w:r>
          </w:p>
        </w:tc>
        <w:tc>
          <w:tcPr>
            <w:tcW w:w="1701"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股票名称</w:t>
            </w:r>
          </w:p>
        </w:tc>
        <w:tc>
          <w:tcPr>
            <w:tcW w:w="1276"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数量</w:t>
            </w:r>
            <w:r w:rsidRPr="00B34368">
              <w:rPr>
                <w:rFonts w:eastAsiaTheme="minorEastAsia"/>
                <w:color w:val="000000" w:themeColor="text1"/>
                <w:sz w:val="24"/>
              </w:rPr>
              <w:t>(</w:t>
            </w:r>
            <w:r w:rsidRPr="00B34368">
              <w:rPr>
                <w:rFonts w:eastAsiaTheme="minorEastAsia" w:hAnsiTheme="minorEastAsia"/>
                <w:color w:val="000000" w:themeColor="text1"/>
                <w:sz w:val="24"/>
              </w:rPr>
              <w:t>股</w:t>
            </w:r>
            <w:r w:rsidRPr="00B34368">
              <w:rPr>
                <w:rFonts w:eastAsiaTheme="minorEastAsia"/>
                <w:color w:val="000000" w:themeColor="text1"/>
                <w:sz w:val="24"/>
              </w:rPr>
              <w:t>)</w:t>
            </w:r>
          </w:p>
        </w:tc>
        <w:tc>
          <w:tcPr>
            <w:tcW w:w="1842" w:type="dxa"/>
            <w:vAlign w:val="center"/>
          </w:tcPr>
          <w:p w:rsidR="000871DB" w:rsidRPr="00B34368" w:rsidRDefault="000871DB" w:rsidP="000871DB">
            <w:pPr>
              <w:autoSpaceDE w:val="0"/>
              <w:autoSpaceDN w:val="0"/>
              <w:adjustRightInd w:val="0"/>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公允价值</w:t>
            </w:r>
            <w:r w:rsidRPr="00B34368">
              <w:rPr>
                <w:rFonts w:eastAsiaTheme="minorEastAsia"/>
                <w:color w:val="000000" w:themeColor="text1"/>
                <w:sz w:val="24"/>
              </w:rPr>
              <w:t>(</w:t>
            </w:r>
            <w:r w:rsidRPr="00B34368">
              <w:rPr>
                <w:rFonts w:eastAsiaTheme="minorEastAsia" w:hAnsiTheme="minorEastAsia"/>
                <w:color w:val="000000" w:themeColor="text1"/>
                <w:sz w:val="24"/>
              </w:rPr>
              <w:t>元</w:t>
            </w:r>
            <w:r w:rsidRPr="00B34368">
              <w:rPr>
                <w:rFonts w:eastAsiaTheme="minorEastAsia"/>
                <w:color w:val="000000" w:themeColor="text1"/>
                <w:sz w:val="24"/>
              </w:rPr>
              <w:t>)</w:t>
            </w:r>
          </w:p>
        </w:tc>
        <w:tc>
          <w:tcPr>
            <w:tcW w:w="1616"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占基金资产净值比例</w:t>
            </w:r>
            <w:r w:rsidRPr="00B34368">
              <w:rPr>
                <w:rFonts w:eastAsiaTheme="minorEastAsia"/>
                <w:color w:val="000000" w:themeColor="text1"/>
                <w:sz w:val="24"/>
              </w:rPr>
              <w:t>(</w:t>
            </w:r>
            <w:r w:rsidRPr="00B34368">
              <w:rPr>
                <w:rFonts w:eastAsiaTheme="minorEastAsia" w:hAnsiTheme="minorEastAsia"/>
                <w:color w:val="000000" w:themeColor="text1"/>
                <w:sz w:val="24"/>
              </w:rPr>
              <w:t>％</w:t>
            </w:r>
            <w:r w:rsidRPr="00B34368">
              <w:rPr>
                <w:rFonts w:eastAsiaTheme="minorEastAsia"/>
                <w:color w:val="000000" w:themeColor="text1"/>
                <w:sz w:val="24"/>
              </w:rPr>
              <w:t>)</w:t>
            </w:r>
          </w:p>
        </w:tc>
      </w:tr>
      <w:tr w:rsidR="0024428D">
        <w:tc>
          <w:tcPr>
            <w:tcW w:w="817" w:type="dxa"/>
            <w:vAlign w:val="center"/>
          </w:tcPr>
          <w:p w:rsidR="0024428D" w:rsidRDefault="001B42CF">
            <w:pPr>
              <w:jc w:val="center"/>
            </w:pPr>
            <w:r>
              <w:rPr>
                <w:rFonts w:eastAsiaTheme="minorEastAsia"/>
                <w:color w:val="000000" w:themeColor="text1"/>
                <w:sz w:val="24"/>
              </w:rPr>
              <w:t>1</w:t>
            </w:r>
          </w:p>
        </w:tc>
        <w:tc>
          <w:tcPr>
            <w:tcW w:w="1276" w:type="dxa"/>
            <w:vAlign w:val="center"/>
          </w:tcPr>
          <w:p w:rsidR="0024428D" w:rsidRDefault="001B42CF">
            <w:pPr>
              <w:jc w:val="center"/>
            </w:pPr>
            <w:r>
              <w:rPr>
                <w:rFonts w:eastAsiaTheme="minorEastAsia"/>
                <w:color w:val="000000" w:themeColor="text1"/>
                <w:sz w:val="24"/>
              </w:rPr>
              <w:t>601318</w:t>
            </w:r>
          </w:p>
        </w:tc>
        <w:tc>
          <w:tcPr>
            <w:tcW w:w="1701" w:type="dxa"/>
            <w:vAlign w:val="center"/>
          </w:tcPr>
          <w:p w:rsidR="0024428D" w:rsidRDefault="001B42CF">
            <w:pPr>
              <w:jc w:val="center"/>
            </w:pPr>
            <w:r>
              <w:rPr>
                <w:rFonts w:eastAsiaTheme="minorEastAsia"/>
                <w:color w:val="000000" w:themeColor="text1"/>
                <w:sz w:val="24"/>
              </w:rPr>
              <w:t>中国平安</w:t>
            </w:r>
          </w:p>
        </w:tc>
        <w:tc>
          <w:tcPr>
            <w:tcW w:w="1276" w:type="dxa"/>
            <w:vAlign w:val="center"/>
          </w:tcPr>
          <w:p w:rsidR="0024428D" w:rsidRDefault="001B42CF">
            <w:pPr>
              <w:jc w:val="right"/>
            </w:pPr>
            <w:r>
              <w:rPr>
                <w:rFonts w:eastAsiaTheme="minorEastAsia"/>
                <w:color w:val="000000" w:themeColor="text1"/>
                <w:sz w:val="24"/>
              </w:rPr>
              <w:t>85,237</w:t>
            </w:r>
          </w:p>
        </w:tc>
        <w:tc>
          <w:tcPr>
            <w:tcW w:w="1842" w:type="dxa"/>
            <w:vAlign w:val="center"/>
          </w:tcPr>
          <w:p w:rsidR="0024428D" w:rsidRDefault="001B42CF">
            <w:pPr>
              <w:jc w:val="right"/>
            </w:pPr>
            <w:r>
              <w:rPr>
                <w:rFonts w:eastAsiaTheme="minorEastAsia"/>
                <w:color w:val="000000" w:themeColor="text1"/>
                <w:sz w:val="24"/>
              </w:rPr>
              <w:t>5,895,843.29</w:t>
            </w:r>
          </w:p>
        </w:tc>
        <w:tc>
          <w:tcPr>
            <w:tcW w:w="1616" w:type="dxa"/>
            <w:vAlign w:val="center"/>
          </w:tcPr>
          <w:p w:rsidR="0024428D" w:rsidRDefault="001B42CF">
            <w:pPr>
              <w:jc w:val="right"/>
            </w:pPr>
            <w:r>
              <w:rPr>
                <w:rFonts w:eastAsiaTheme="minorEastAsia"/>
                <w:color w:val="000000" w:themeColor="text1"/>
                <w:sz w:val="24"/>
              </w:rPr>
              <w:t>0.10</w:t>
            </w:r>
          </w:p>
        </w:tc>
      </w:tr>
      <w:tr w:rsidR="0024428D">
        <w:tc>
          <w:tcPr>
            <w:tcW w:w="817" w:type="dxa"/>
            <w:vAlign w:val="center"/>
          </w:tcPr>
          <w:p w:rsidR="0024428D" w:rsidRDefault="001B42CF">
            <w:pPr>
              <w:jc w:val="center"/>
            </w:pPr>
            <w:r>
              <w:rPr>
                <w:rFonts w:eastAsiaTheme="minorEastAsia"/>
                <w:color w:val="000000" w:themeColor="text1"/>
                <w:sz w:val="24"/>
              </w:rPr>
              <w:t>2</w:t>
            </w:r>
          </w:p>
        </w:tc>
        <w:tc>
          <w:tcPr>
            <w:tcW w:w="1276" w:type="dxa"/>
            <w:vAlign w:val="center"/>
          </w:tcPr>
          <w:p w:rsidR="0024428D" w:rsidRDefault="001B42CF">
            <w:pPr>
              <w:jc w:val="center"/>
            </w:pPr>
            <w:r>
              <w:rPr>
                <w:rFonts w:eastAsiaTheme="minorEastAsia"/>
                <w:color w:val="000000" w:themeColor="text1"/>
                <w:sz w:val="24"/>
              </w:rPr>
              <w:t>601816</w:t>
            </w:r>
          </w:p>
        </w:tc>
        <w:tc>
          <w:tcPr>
            <w:tcW w:w="1701" w:type="dxa"/>
            <w:vAlign w:val="center"/>
          </w:tcPr>
          <w:p w:rsidR="0024428D" w:rsidRDefault="001B42CF">
            <w:pPr>
              <w:jc w:val="center"/>
            </w:pPr>
            <w:r>
              <w:rPr>
                <w:rFonts w:eastAsiaTheme="minorEastAsia"/>
                <w:color w:val="000000" w:themeColor="text1"/>
                <w:sz w:val="24"/>
              </w:rPr>
              <w:t>京沪高铁</w:t>
            </w:r>
          </w:p>
        </w:tc>
        <w:tc>
          <w:tcPr>
            <w:tcW w:w="1276" w:type="dxa"/>
            <w:vAlign w:val="center"/>
          </w:tcPr>
          <w:p w:rsidR="0024428D" w:rsidRDefault="001B42CF">
            <w:pPr>
              <w:jc w:val="right"/>
            </w:pPr>
            <w:r>
              <w:rPr>
                <w:rFonts w:eastAsiaTheme="minorEastAsia"/>
                <w:color w:val="000000" w:themeColor="text1"/>
                <w:sz w:val="24"/>
              </w:rPr>
              <w:t>906,536</w:t>
            </w:r>
          </w:p>
        </w:tc>
        <w:tc>
          <w:tcPr>
            <w:tcW w:w="1842" w:type="dxa"/>
            <w:vAlign w:val="center"/>
          </w:tcPr>
          <w:p w:rsidR="0024428D" w:rsidRDefault="001B42CF">
            <w:pPr>
              <w:jc w:val="right"/>
            </w:pPr>
            <w:r>
              <w:rPr>
                <w:rFonts w:eastAsiaTheme="minorEastAsia"/>
                <w:color w:val="000000" w:themeColor="text1"/>
                <w:sz w:val="24"/>
              </w:rPr>
              <w:t>5,094,732.32</w:t>
            </w:r>
          </w:p>
        </w:tc>
        <w:tc>
          <w:tcPr>
            <w:tcW w:w="1616" w:type="dxa"/>
            <w:vAlign w:val="center"/>
          </w:tcPr>
          <w:p w:rsidR="0024428D" w:rsidRDefault="001B42CF">
            <w:pPr>
              <w:jc w:val="right"/>
            </w:pPr>
            <w:r>
              <w:rPr>
                <w:rFonts w:eastAsiaTheme="minorEastAsia"/>
                <w:color w:val="000000" w:themeColor="text1"/>
                <w:sz w:val="24"/>
              </w:rPr>
              <w:t>0.09</w:t>
            </w:r>
          </w:p>
        </w:tc>
      </w:tr>
      <w:tr w:rsidR="0024428D">
        <w:tc>
          <w:tcPr>
            <w:tcW w:w="817" w:type="dxa"/>
            <w:vAlign w:val="center"/>
          </w:tcPr>
          <w:p w:rsidR="0024428D" w:rsidRDefault="001B42CF">
            <w:pPr>
              <w:jc w:val="center"/>
            </w:pPr>
            <w:r>
              <w:rPr>
                <w:rFonts w:eastAsiaTheme="minorEastAsia"/>
                <w:color w:val="000000" w:themeColor="text1"/>
                <w:sz w:val="24"/>
              </w:rPr>
              <w:t>3</w:t>
            </w:r>
          </w:p>
        </w:tc>
        <w:tc>
          <w:tcPr>
            <w:tcW w:w="1276" w:type="dxa"/>
            <w:vAlign w:val="center"/>
          </w:tcPr>
          <w:p w:rsidR="0024428D" w:rsidRDefault="001B42CF">
            <w:pPr>
              <w:jc w:val="center"/>
            </w:pPr>
            <w:r>
              <w:rPr>
                <w:rFonts w:eastAsiaTheme="minorEastAsia"/>
                <w:color w:val="000000" w:themeColor="text1"/>
                <w:sz w:val="24"/>
              </w:rPr>
              <w:t>600519</w:t>
            </w:r>
          </w:p>
        </w:tc>
        <w:tc>
          <w:tcPr>
            <w:tcW w:w="1701" w:type="dxa"/>
            <w:vAlign w:val="center"/>
          </w:tcPr>
          <w:p w:rsidR="0024428D" w:rsidRDefault="001B42CF">
            <w:pPr>
              <w:jc w:val="center"/>
            </w:pPr>
            <w:r>
              <w:rPr>
                <w:rFonts w:eastAsiaTheme="minorEastAsia"/>
                <w:color w:val="000000" w:themeColor="text1"/>
                <w:sz w:val="24"/>
              </w:rPr>
              <w:t>贵州茅台</w:t>
            </w:r>
          </w:p>
        </w:tc>
        <w:tc>
          <w:tcPr>
            <w:tcW w:w="1276" w:type="dxa"/>
            <w:vAlign w:val="center"/>
          </w:tcPr>
          <w:p w:rsidR="0024428D" w:rsidRDefault="001B42CF">
            <w:pPr>
              <w:jc w:val="right"/>
            </w:pPr>
            <w:r>
              <w:rPr>
                <w:rFonts w:eastAsiaTheme="minorEastAsia"/>
                <w:color w:val="000000" w:themeColor="text1"/>
                <w:sz w:val="24"/>
              </w:rPr>
              <w:t>2,925</w:t>
            </w:r>
          </w:p>
        </w:tc>
        <w:tc>
          <w:tcPr>
            <w:tcW w:w="1842" w:type="dxa"/>
            <w:vAlign w:val="center"/>
          </w:tcPr>
          <w:p w:rsidR="0024428D" w:rsidRDefault="001B42CF">
            <w:pPr>
              <w:jc w:val="right"/>
            </w:pPr>
            <w:r>
              <w:rPr>
                <w:rFonts w:eastAsiaTheme="minorEastAsia"/>
                <w:color w:val="000000" w:themeColor="text1"/>
                <w:sz w:val="24"/>
              </w:rPr>
              <w:t>3,249,675.00</w:t>
            </w:r>
          </w:p>
        </w:tc>
        <w:tc>
          <w:tcPr>
            <w:tcW w:w="1616" w:type="dxa"/>
            <w:vAlign w:val="center"/>
          </w:tcPr>
          <w:p w:rsidR="0024428D" w:rsidRDefault="001B42CF">
            <w:pPr>
              <w:jc w:val="right"/>
            </w:pPr>
            <w:r>
              <w:rPr>
                <w:rFonts w:eastAsiaTheme="minorEastAsia"/>
                <w:color w:val="000000" w:themeColor="text1"/>
                <w:sz w:val="24"/>
              </w:rPr>
              <w:t>0.05</w:t>
            </w:r>
          </w:p>
        </w:tc>
      </w:tr>
      <w:tr w:rsidR="0024428D">
        <w:tc>
          <w:tcPr>
            <w:tcW w:w="817" w:type="dxa"/>
            <w:vAlign w:val="center"/>
          </w:tcPr>
          <w:p w:rsidR="0024428D" w:rsidRDefault="001B42CF">
            <w:pPr>
              <w:jc w:val="center"/>
            </w:pPr>
            <w:r>
              <w:rPr>
                <w:rFonts w:eastAsiaTheme="minorEastAsia"/>
                <w:color w:val="000000" w:themeColor="text1"/>
                <w:sz w:val="24"/>
              </w:rPr>
              <w:t>4</w:t>
            </w:r>
          </w:p>
        </w:tc>
        <w:tc>
          <w:tcPr>
            <w:tcW w:w="1276" w:type="dxa"/>
            <w:vAlign w:val="center"/>
          </w:tcPr>
          <w:p w:rsidR="0024428D" w:rsidRDefault="001B42CF">
            <w:pPr>
              <w:jc w:val="center"/>
            </w:pPr>
            <w:r>
              <w:rPr>
                <w:rFonts w:eastAsiaTheme="minorEastAsia"/>
                <w:color w:val="000000" w:themeColor="text1"/>
                <w:sz w:val="24"/>
              </w:rPr>
              <w:t>600036</w:t>
            </w:r>
          </w:p>
        </w:tc>
        <w:tc>
          <w:tcPr>
            <w:tcW w:w="1701" w:type="dxa"/>
            <w:vAlign w:val="center"/>
          </w:tcPr>
          <w:p w:rsidR="0024428D" w:rsidRDefault="001B42CF">
            <w:pPr>
              <w:jc w:val="center"/>
            </w:pPr>
            <w:r>
              <w:rPr>
                <w:rFonts w:eastAsiaTheme="minorEastAsia"/>
                <w:color w:val="000000" w:themeColor="text1"/>
                <w:sz w:val="24"/>
              </w:rPr>
              <w:t>招商银行</w:t>
            </w:r>
          </w:p>
        </w:tc>
        <w:tc>
          <w:tcPr>
            <w:tcW w:w="1276" w:type="dxa"/>
            <w:vAlign w:val="center"/>
          </w:tcPr>
          <w:p w:rsidR="0024428D" w:rsidRDefault="001B42CF">
            <w:pPr>
              <w:jc w:val="right"/>
            </w:pPr>
            <w:r>
              <w:rPr>
                <w:rFonts w:eastAsiaTheme="minorEastAsia"/>
                <w:color w:val="000000" w:themeColor="text1"/>
                <w:sz w:val="24"/>
              </w:rPr>
              <w:t>78,265</w:t>
            </w:r>
          </w:p>
        </w:tc>
        <w:tc>
          <w:tcPr>
            <w:tcW w:w="1842" w:type="dxa"/>
            <w:vAlign w:val="center"/>
          </w:tcPr>
          <w:p w:rsidR="0024428D" w:rsidRDefault="001B42CF">
            <w:pPr>
              <w:jc w:val="right"/>
            </w:pPr>
            <w:r>
              <w:rPr>
                <w:rFonts w:eastAsiaTheme="minorEastAsia"/>
                <w:color w:val="000000" w:themeColor="text1"/>
                <w:sz w:val="24"/>
              </w:rPr>
              <w:t>2,526,394.20</w:t>
            </w:r>
          </w:p>
        </w:tc>
        <w:tc>
          <w:tcPr>
            <w:tcW w:w="1616" w:type="dxa"/>
            <w:vAlign w:val="center"/>
          </w:tcPr>
          <w:p w:rsidR="0024428D" w:rsidRDefault="001B42CF">
            <w:pPr>
              <w:jc w:val="right"/>
            </w:pPr>
            <w:r>
              <w:rPr>
                <w:rFonts w:eastAsiaTheme="minorEastAsia"/>
                <w:color w:val="000000" w:themeColor="text1"/>
                <w:sz w:val="24"/>
              </w:rPr>
              <w:t>0.04</w:t>
            </w:r>
          </w:p>
        </w:tc>
      </w:tr>
      <w:tr w:rsidR="0024428D">
        <w:tc>
          <w:tcPr>
            <w:tcW w:w="817" w:type="dxa"/>
            <w:vAlign w:val="center"/>
          </w:tcPr>
          <w:p w:rsidR="0024428D" w:rsidRDefault="001B42CF">
            <w:pPr>
              <w:jc w:val="center"/>
            </w:pPr>
            <w:r>
              <w:rPr>
                <w:rFonts w:eastAsiaTheme="minorEastAsia"/>
                <w:color w:val="000000" w:themeColor="text1"/>
                <w:sz w:val="24"/>
              </w:rPr>
              <w:t>5</w:t>
            </w:r>
          </w:p>
        </w:tc>
        <w:tc>
          <w:tcPr>
            <w:tcW w:w="1276" w:type="dxa"/>
            <w:vAlign w:val="center"/>
          </w:tcPr>
          <w:p w:rsidR="0024428D" w:rsidRDefault="001B42CF">
            <w:pPr>
              <w:jc w:val="center"/>
            </w:pPr>
            <w:r>
              <w:rPr>
                <w:rFonts w:eastAsiaTheme="minorEastAsia"/>
                <w:color w:val="000000" w:themeColor="text1"/>
                <w:sz w:val="24"/>
              </w:rPr>
              <w:t>600276</w:t>
            </w:r>
          </w:p>
        </w:tc>
        <w:tc>
          <w:tcPr>
            <w:tcW w:w="1701" w:type="dxa"/>
            <w:vAlign w:val="center"/>
          </w:tcPr>
          <w:p w:rsidR="0024428D" w:rsidRDefault="001B42CF">
            <w:pPr>
              <w:jc w:val="center"/>
            </w:pPr>
            <w:r>
              <w:rPr>
                <w:rFonts w:eastAsiaTheme="minorEastAsia"/>
                <w:color w:val="000000" w:themeColor="text1"/>
                <w:sz w:val="24"/>
              </w:rPr>
              <w:t>恒瑞医药</w:t>
            </w:r>
          </w:p>
        </w:tc>
        <w:tc>
          <w:tcPr>
            <w:tcW w:w="1276" w:type="dxa"/>
            <w:vAlign w:val="center"/>
          </w:tcPr>
          <w:p w:rsidR="0024428D" w:rsidRDefault="001B42CF">
            <w:pPr>
              <w:jc w:val="right"/>
            </w:pPr>
            <w:r>
              <w:rPr>
                <w:rFonts w:eastAsiaTheme="minorEastAsia"/>
                <w:color w:val="000000" w:themeColor="text1"/>
                <w:sz w:val="24"/>
              </w:rPr>
              <w:t>23,212</w:t>
            </w:r>
          </w:p>
        </w:tc>
        <w:tc>
          <w:tcPr>
            <w:tcW w:w="1842" w:type="dxa"/>
            <w:vAlign w:val="center"/>
          </w:tcPr>
          <w:p w:rsidR="0024428D" w:rsidRDefault="001B42CF">
            <w:pPr>
              <w:jc w:val="right"/>
            </w:pPr>
            <w:r>
              <w:rPr>
                <w:rFonts w:eastAsiaTheme="minorEastAsia"/>
                <w:color w:val="000000" w:themeColor="text1"/>
                <w:sz w:val="24"/>
              </w:rPr>
              <w:t>2,136,200.36</w:t>
            </w:r>
          </w:p>
        </w:tc>
        <w:tc>
          <w:tcPr>
            <w:tcW w:w="1616" w:type="dxa"/>
            <w:vAlign w:val="center"/>
          </w:tcPr>
          <w:p w:rsidR="0024428D" w:rsidRDefault="001B42CF">
            <w:pPr>
              <w:jc w:val="right"/>
            </w:pPr>
            <w:r>
              <w:rPr>
                <w:rFonts w:eastAsiaTheme="minorEastAsia"/>
                <w:color w:val="000000" w:themeColor="text1"/>
                <w:sz w:val="24"/>
              </w:rPr>
              <w:t>0.04</w:t>
            </w:r>
          </w:p>
        </w:tc>
      </w:tr>
      <w:tr w:rsidR="0024428D">
        <w:tc>
          <w:tcPr>
            <w:tcW w:w="817" w:type="dxa"/>
            <w:vAlign w:val="center"/>
          </w:tcPr>
          <w:p w:rsidR="0024428D" w:rsidRDefault="001B42CF">
            <w:pPr>
              <w:jc w:val="center"/>
            </w:pPr>
            <w:r>
              <w:rPr>
                <w:rFonts w:eastAsiaTheme="minorEastAsia"/>
                <w:color w:val="000000" w:themeColor="text1"/>
                <w:sz w:val="24"/>
              </w:rPr>
              <w:t>6</w:t>
            </w:r>
          </w:p>
        </w:tc>
        <w:tc>
          <w:tcPr>
            <w:tcW w:w="1276" w:type="dxa"/>
            <w:vAlign w:val="center"/>
          </w:tcPr>
          <w:p w:rsidR="0024428D" w:rsidRDefault="001B42CF">
            <w:pPr>
              <w:jc w:val="center"/>
            </w:pPr>
            <w:r>
              <w:rPr>
                <w:rFonts w:eastAsiaTheme="minorEastAsia"/>
                <w:color w:val="000000" w:themeColor="text1"/>
                <w:sz w:val="24"/>
              </w:rPr>
              <w:t>601166</w:t>
            </w:r>
          </w:p>
        </w:tc>
        <w:tc>
          <w:tcPr>
            <w:tcW w:w="1701" w:type="dxa"/>
            <w:vAlign w:val="center"/>
          </w:tcPr>
          <w:p w:rsidR="0024428D" w:rsidRDefault="001B42CF">
            <w:pPr>
              <w:jc w:val="center"/>
            </w:pPr>
            <w:r>
              <w:rPr>
                <w:rFonts w:eastAsiaTheme="minorEastAsia"/>
                <w:color w:val="000000" w:themeColor="text1"/>
                <w:sz w:val="24"/>
              </w:rPr>
              <w:t>兴业银行</w:t>
            </w:r>
          </w:p>
        </w:tc>
        <w:tc>
          <w:tcPr>
            <w:tcW w:w="1276" w:type="dxa"/>
            <w:vAlign w:val="center"/>
          </w:tcPr>
          <w:p w:rsidR="0024428D" w:rsidRDefault="001B42CF">
            <w:pPr>
              <w:jc w:val="right"/>
            </w:pPr>
            <w:r>
              <w:rPr>
                <w:rFonts w:eastAsiaTheme="minorEastAsia"/>
                <w:color w:val="000000" w:themeColor="text1"/>
                <w:sz w:val="24"/>
              </w:rPr>
              <w:t>110,200</w:t>
            </w:r>
          </w:p>
        </w:tc>
        <w:tc>
          <w:tcPr>
            <w:tcW w:w="1842" w:type="dxa"/>
            <w:vAlign w:val="center"/>
          </w:tcPr>
          <w:p w:rsidR="0024428D" w:rsidRDefault="001B42CF">
            <w:pPr>
              <w:jc w:val="right"/>
            </w:pPr>
            <w:r>
              <w:rPr>
                <w:rFonts w:eastAsiaTheme="minorEastAsia"/>
                <w:color w:val="000000" w:themeColor="text1"/>
                <w:sz w:val="24"/>
              </w:rPr>
              <w:t>1,753,282.00</w:t>
            </w:r>
          </w:p>
        </w:tc>
        <w:tc>
          <w:tcPr>
            <w:tcW w:w="1616" w:type="dxa"/>
            <w:vAlign w:val="center"/>
          </w:tcPr>
          <w:p w:rsidR="0024428D" w:rsidRDefault="001B42CF">
            <w:pPr>
              <w:jc w:val="right"/>
            </w:pPr>
            <w:r>
              <w:rPr>
                <w:rFonts w:eastAsiaTheme="minorEastAsia"/>
                <w:color w:val="000000" w:themeColor="text1"/>
                <w:sz w:val="24"/>
              </w:rPr>
              <w:t>0.03</w:t>
            </w:r>
          </w:p>
        </w:tc>
      </w:tr>
      <w:tr w:rsidR="0024428D">
        <w:tc>
          <w:tcPr>
            <w:tcW w:w="817" w:type="dxa"/>
            <w:vAlign w:val="center"/>
          </w:tcPr>
          <w:p w:rsidR="0024428D" w:rsidRDefault="001B42CF">
            <w:pPr>
              <w:jc w:val="center"/>
            </w:pPr>
            <w:r>
              <w:rPr>
                <w:rFonts w:eastAsiaTheme="minorEastAsia"/>
                <w:color w:val="000000" w:themeColor="text1"/>
                <w:sz w:val="24"/>
              </w:rPr>
              <w:t>7</w:t>
            </w:r>
          </w:p>
        </w:tc>
        <w:tc>
          <w:tcPr>
            <w:tcW w:w="1276" w:type="dxa"/>
            <w:vAlign w:val="center"/>
          </w:tcPr>
          <w:p w:rsidR="0024428D" w:rsidRDefault="001B42CF">
            <w:pPr>
              <w:jc w:val="center"/>
            </w:pPr>
            <w:r>
              <w:rPr>
                <w:rFonts w:eastAsiaTheme="minorEastAsia"/>
                <w:color w:val="000000" w:themeColor="text1"/>
                <w:sz w:val="24"/>
              </w:rPr>
              <w:t>600030</w:t>
            </w:r>
          </w:p>
        </w:tc>
        <w:tc>
          <w:tcPr>
            <w:tcW w:w="1701" w:type="dxa"/>
            <w:vAlign w:val="center"/>
          </w:tcPr>
          <w:p w:rsidR="0024428D" w:rsidRDefault="001B42CF">
            <w:pPr>
              <w:jc w:val="center"/>
            </w:pPr>
            <w:r>
              <w:rPr>
                <w:rFonts w:eastAsiaTheme="minorEastAsia"/>
                <w:color w:val="000000" w:themeColor="text1"/>
                <w:sz w:val="24"/>
              </w:rPr>
              <w:t>中信证券</w:t>
            </w:r>
          </w:p>
        </w:tc>
        <w:tc>
          <w:tcPr>
            <w:tcW w:w="1276" w:type="dxa"/>
            <w:vAlign w:val="center"/>
          </w:tcPr>
          <w:p w:rsidR="0024428D" w:rsidRDefault="001B42CF">
            <w:pPr>
              <w:jc w:val="right"/>
            </w:pPr>
            <w:r>
              <w:rPr>
                <w:rFonts w:eastAsiaTheme="minorEastAsia"/>
                <w:color w:val="000000" w:themeColor="text1"/>
                <w:sz w:val="24"/>
              </w:rPr>
              <w:t>63,800</w:t>
            </w:r>
          </w:p>
        </w:tc>
        <w:tc>
          <w:tcPr>
            <w:tcW w:w="1842" w:type="dxa"/>
            <w:vAlign w:val="center"/>
          </w:tcPr>
          <w:p w:rsidR="0024428D" w:rsidRDefault="001B42CF">
            <w:pPr>
              <w:jc w:val="right"/>
            </w:pPr>
            <w:r>
              <w:rPr>
                <w:rFonts w:eastAsiaTheme="minorEastAsia"/>
                <w:color w:val="000000" w:themeColor="text1"/>
                <w:sz w:val="24"/>
              </w:rPr>
              <w:t>1,413,808.00</w:t>
            </w:r>
          </w:p>
        </w:tc>
        <w:tc>
          <w:tcPr>
            <w:tcW w:w="1616" w:type="dxa"/>
            <w:vAlign w:val="center"/>
          </w:tcPr>
          <w:p w:rsidR="0024428D" w:rsidRDefault="001B42CF">
            <w:pPr>
              <w:jc w:val="right"/>
            </w:pPr>
            <w:r>
              <w:rPr>
                <w:rFonts w:eastAsiaTheme="minorEastAsia"/>
                <w:color w:val="000000" w:themeColor="text1"/>
                <w:sz w:val="24"/>
              </w:rPr>
              <w:t>0.02</w:t>
            </w:r>
          </w:p>
        </w:tc>
      </w:tr>
      <w:tr w:rsidR="0024428D">
        <w:tc>
          <w:tcPr>
            <w:tcW w:w="817" w:type="dxa"/>
            <w:vAlign w:val="center"/>
          </w:tcPr>
          <w:p w:rsidR="0024428D" w:rsidRDefault="001B42CF">
            <w:pPr>
              <w:jc w:val="center"/>
            </w:pPr>
            <w:r>
              <w:rPr>
                <w:rFonts w:eastAsiaTheme="minorEastAsia"/>
                <w:color w:val="000000" w:themeColor="text1"/>
                <w:sz w:val="24"/>
              </w:rPr>
              <w:t>8</w:t>
            </w:r>
          </w:p>
        </w:tc>
        <w:tc>
          <w:tcPr>
            <w:tcW w:w="1276" w:type="dxa"/>
            <w:vAlign w:val="center"/>
          </w:tcPr>
          <w:p w:rsidR="0024428D" w:rsidRDefault="001B42CF">
            <w:pPr>
              <w:jc w:val="center"/>
            </w:pPr>
            <w:r>
              <w:rPr>
                <w:rFonts w:eastAsiaTheme="minorEastAsia"/>
                <w:color w:val="000000" w:themeColor="text1"/>
                <w:sz w:val="24"/>
              </w:rPr>
              <w:t>600887</w:t>
            </w:r>
          </w:p>
        </w:tc>
        <w:tc>
          <w:tcPr>
            <w:tcW w:w="1701" w:type="dxa"/>
            <w:vAlign w:val="center"/>
          </w:tcPr>
          <w:p w:rsidR="0024428D" w:rsidRDefault="001B42CF">
            <w:pPr>
              <w:jc w:val="center"/>
            </w:pPr>
            <w:r>
              <w:rPr>
                <w:rFonts w:eastAsiaTheme="minorEastAsia"/>
                <w:color w:val="000000" w:themeColor="text1"/>
                <w:sz w:val="24"/>
              </w:rPr>
              <w:t>伊利股份</w:t>
            </w:r>
          </w:p>
        </w:tc>
        <w:tc>
          <w:tcPr>
            <w:tcW w:w="1276" w:type="dxa"/>
            <w:vAlign w:val="center"/>
          </w:tcPr>
          <w:p w:rsidR="0024428D" w:rsidRDefault="001B42CF">
            <w:pPr>
              <w:jc w:val="right"/>
            </w:pPr>
            <w:r>
              <w:rPr>
                <w:rFonts w:eastAsiaTheme="minorEastAsia"/>
                <w:color w:val="000000" w:themeColor="text1"/>
                <w:sz w:val="24"/>
              </w:rPr>
              <w:t>46,357</w:t>
            </w:r>
          </w:p>
        </w:tc>
        <w:tc>
          <w:tcPr>
            <w:tcW w:w="1842" w:type="dxa"/>
            <w:vAlign w:val="center"/>
          </w:tcPr>
          <w:p w:rsidR="0024428D" w:rsidRDefault="001B42CF">
            <w:pPr>
              <w:jc w:val="right"/>
            </w:pPr>
            <w:r>
              <w:rPr>
                <w:rFonts w:eastAsiaTheme="minorEastAsia"/>
                <w:color w:val="000000" w:themeColor="text1"/>
                <w:sz w:val="24"/>
              </w:rPr>
              <w:t>1,384,220.02</w:t>
            </w:r>
          </w:p>
        </w:tc>
        <w:tc>
          <w:tcPr>
            <w:tcW w:w="1616" w:type="dxa"/>
            <w:vAlign w:val="center"/>
          </w:tcPr>
          <w:p w:rsidR="0024428D" w:rsidRDefault="001B42CF">
            <w:pPr>
              <w:jc w:val="right"/>
            </w:pPr>
            <w:r>
              <w:rPr>
                <w:rFonts w:eastAsiaTheme="minorEastAsia"/>
                <w:color w:val="000000" w:themeColor="text1"/>
                <w:sz w:val="24"/>
              </w:rPr>
              <w:t>0.02</w:t>
            </w:r>
          </w:p>
        </w:tc>
      </w:tr>
      <w:tr w:rsidR="0024428D">
        <w:tc>
          <w:tcPr>
            <w:tcW w:w="817" w:type="dxa"/>
            <w:vAlign w:val="center"/>
          </w:tcPr>
          <w:p w:rsidR="0024428D" w:rsidRDefault="001B42CF">
            <w:pPr>
              <w:jc w:val="center"/>
            </w:pPr>
            <w:r>
              <w:rPr>
                <w:rFonts w:eastAsiaTheme="minorEastAsia"/>
                <w:color w:val="000000" w:themeColor="text1"/>
                <w:sz w:val="24"/>
              </w:rPr>
              <w:t>9</w:t>
            </w:r>
          </w:p>
        </w:tc>
        <w:tc>
          <w:tcPr>
            <w:tcW w:w="1276" w:type="dxa"/>
            <w:vAlign w:val="center"/>
          </w:tcPr>
          <w:p w:rsidR="0024428D" w:rsidRDefault="001B42CF">
            <w:pPr>
              <w:jc w:val="center"/>
            </w:pPr>
            <w:r>
              <w:rPr>
                <w:rFonts w:eastAsiaTheme="minorEastAsia"/>
                <w:color w:val="000000" w:themeColor="text1"/>
                <w:sz w:val="24"/>
              </w:rPr>
              <w:t>601916</w:t>
            </w:r>
          </w:p>
        </w:tc>
        <w:tc>
          <w:tcPr>
            <w:tcW w:w="1701" w:type="dxa"/>
            <w:vAlign w:val="center"/>
          </w:tcPr>
          <w:p w:rsidR="0024428D" w:rsidRDefault="001B42CF">
            <w:pPr>
              <w:jc w:val="center"/>
            </w:pPr>
            <w:r>
              <w:rPr>
                <w:rFonts w:eastAsiaTheme="minorEastAsia"/>
                <w:color w:val="000000" w:themeColor="text1"/>
                <w:sz w:val="24"/>
              </w:rPr>
              <w:t>浙商银行</w:t>
            </w:r>
          </w:p>
        </w:tc>
        <w:tc>
          <w:tcPr>
            <w:tcW w:w="1276" w:type="dxa"/>
            <w:vAlign w:val="center"/>
          </w:tcPr>
          <w:p w:rsidR="0024428D" w:rsidRDefault="001B42CF">
            <w:pPr>
              <w:jc w:val="right"/>
            </w:pPr>
            <w:r>
              <w:rPr>
                <w:rFonts w:eastAsiaTheme="minorEastAsia"/>
                <w:color w:val="000000" w:themeColor="text1"/>
                <w:sz w:val="24"/>
              </w:rPr>
              <w:t>294,195</w:t>
            </w:r>
          </w:p>
        </w:tc>
        <w:tc>
          <w:tcPr>
            <w:tcW w:w="1842" w:type="dxa"/>
            <w:vAlign w:val="center"/>
          </w:tcPr>
          <w:p w:rsidR="0024428D" w:rsidRDefault="001B42CF">
            <w:pPr>
              <w:jc w:val="right"/>
            </w:pPr>
            <w:r>
              <w:rPr>
                <w:rFonts w:eastAsiaTheme="minorEastAsia"/>
                <w:color w:val="000000" w:themeColor="text1"/>
                <w:sz w:val="24"/>
              </w:rPr>
              <w:t>1,167,954.15</w:t>
            </w:r>
          </w:p>
        </w:tc>
        <w:tc>
          <w:tcPr>
            <w:tcW w:w="1616" w:type="dxa"/>
            <w:vAlign w:val="center"/>
          </w:tcPr>
          <w:p w:rsidR="0024428D" w:rsidRDefault="001B42CF">
            <w:pPr>
              <w:jc w:val="right"/>
            </w:pPr>
            <w:r>
              <w:rPr>
                <w:rFonts w:eastAsiaTheme="minorEastAsia"/>
                <w:color w:val="000000" w:themeColor="text1"/>
                <w:sz w:val="24"/>
              </w:rPr>
              <w:t>0.02</w:t>
            </w:r>
          </w:p>
        </w:tc>
      </w:tr>
      <w:tr w:rsidR="0024428D">
        <w:tc>
          <w:tcPr>
            <w:tcW w:w="817" w:type="dxa"/>
            <w:vAlign w:val="center"/>
          </w:tcPr>
          <w:p w:rsidR="0024428D" w:rsidRDefault="001B42CF">
            <w:pPr>
              <w:jc w:val="center"/>
            </w:pPr>
            <w:r>
              <w:rPr>
                <w:rFonts w:eastAsiaTheme="minorEastAsia"/>
                <w:color w:val="000000" w:themeColor="text1"/>
                <w:sz w:val="24"/>
              </w:rPr>
              <w:t>10</w:t>
            </w:r>
          </w:p>
        </w:tc>
        <w:tc>
          <w:tcPr>
            <w:tcW w:w="1276" w:type="dxa"/>
            <w:vAlign w:val="center"/>
          </w:tcPr>
          <w:p w:rsidR="0024428D" w:rsidRDefault="001B42CF">
            <w:pPr>
              <w:jc w:val="center"/>
            </w:pPr>
            <w:r>
              <w:rPr>
                <w:rFonts w:eastAsiaTheme="minorEastAsia"/>
                <w:color w:val="000000" w:themeColor="text1"/>
                <w:sz w:val="24"/>
              </w:rPr>
              <w:t>600900</w:t>
            </w:r>
          </w:p>
        </w:tc>
        <w:tc>
          <w:tcPr>
            <w:tcW w:w="1701" w:type="dxa"/>
            <w:vAlign w:val="center"/>
          </w:tcPr>
          <w:p w:rsidR="0024428D" w:rsidRDefault="001B42CF">
            <w:pPr>
              <w:jc w:val="center"/>
            </w:pPr>
            <w:r>
              <w:rPr>
                <w:rFonts w:eastAsiaTheme="minorEastAsia"/>
                <w:color w:val="000000" w:themeColor="text1"/>
                <w:sz w:val="24"/>
              </w:rPr>
              <w:t>长江电力</w:t>
            </w:r>
          </w:p>
        </w:tc>
        <w:tc>
          <w:tcPr>
            <w:tcW w:w="1276" w:type="dxa"/>
            <w:vAlign w:val="center"/>
          </w:tcPr>
          <w:p w:rsidR="0024428D" w:rsidRDefault="001B42CF">
            <w:pPr>
              <w:jc w:val="right"/>
            </w:pPr>
            <w:r>
              <w:rPr>
                <w:rFonts w:eastAsiaTheme="minorEastAsia"/>
                <w:color w:val="000000" w:themeColor="text1"/>
                <w:sz w:val="24"/>
              </w:rPr>
              <w:t>66,700</w:t>
            </w:r>
          </w:p>
        </w:tc>
        <w:tc>
          <w:tcPr>
            <w:tcW w:w="1842" w:type="dxa"/>
            <w:vAlign w:val="center"/>
          </w:tcPr>
          <w:p w:rsidR="0024428D" w:rsidRDefault="001B42CF">
            <w:pPr>
              <w:jc w:val="right"/>
            </w:pPr>
            <w:r>
              <w:rPr>
                <w:rFonts w:eastAsiaTheme="minorEastAsia"/>
                <w:color w:val="000000" w:themeColor="text1"/>
                <w:sz w:val="24"/>
              </w:rPr>
              <w:t>1,153,243.00</w:t>
            </w:r>
          </w:p>
        </w:tc>
        <w:tc>
          <w:tcPr>
            <w:tcW w:w="1616" w:type="dxa"/>
            <w:vAlign w:val="center"/>
          </w:tcPr>
          <w:p w:rsidR="0024428D" w:rsidRDefault="001B42CF">
            <w:pPr>
              <w:jc w:val="right"/>
            </w:pPr>
            <w:r>
              <w:rPr>
                <w:rFonts w:eastAsiaTheme="minorEastAsia"/>
                <w:color w:val="000000" w:themeColor="text1"/>
                <w:sz w:val="24"/>
              </w:rPr>
              <w:t>0.02</w:t>
            </w:r>
          </w:p>
        </w:tc>
      </w:tr>
    </w:tbl>
    <w:p w:rsidR="00F21B6D"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5</w:t>
      </w:r>
      <w:r w:rsidRPr="00B34368">
        <w:rPr>
          <w:rFonts w:eastAsiaTheme="minorEastAsia"/>
          <w:b/>
          <w:color w:val="000000" w:themeColor="text1"/>
          <w:kern w:val="0"/>
          <w:sz w:val="24"/>
        </w:rPr>
        <w:t xml:space="preserve"> </w:t>
      </w:r>
      <w:r w:rsidRPr="00B34368">
        <w:rPr>
          <w:rFonts w:eastAsiaTheme="minorEastAsia" w:hAnsiTheme="minorEastAsia"/>
          <w:b/>
          <w:color w:val="000000" w:themeColor="text1"/>
          <w:kern w:val="0"/>
          <w:sz w:val="24"/>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序号</w:t>
            </w:r>
          </w:p>
        </w:tc>
        <w:tc>
          <w:tcPr>
            <w:tcW w:w="3260"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债券品种</w:t>
            </w:r>
          </w:p>
        </w:tc>
        <w:tc>
          <w:tcPr>
            <w:tcW w:w="2410"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公允价值</w:t>
            </w:r>
            <w:r w:rsidRPr="00B34368">
              <w:rPr>
                <w:rFonts w:eastAsiaTheme="minorEastAsia"/>
                <w:color w:val="000000" w:themeColor="text1"/>
                <w:sz w:val="24"/>
              </w:rPr>
              <w:t>(</w:t>
            </w:r>
            <w:r w:rsidRPr="00B34368">
              <w:rPr>
                <w:rFonts w:eastAsiaTheme="minorEastAsia" w:hAnsiTheme="minorEastAsia"/>
                <w:color w:val="000000" w:themeColor="text1"/>
                <w:sz w:val="24"/>
              </w:rPr>
              <w:t>元</w:t>
            </w: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占基金资产净值比例</w:t>
            </w:r>
            <w:r w:rsidRPr="00B34368">
              <w:rPr>
                <w:rFonts w:eastAsiaTheme="minorEastAsia"/>
                <w:color w:val="000000" w:themeColor="text1"/>
                <w:sz w:val="24"/>
              </w:rPr>
              <w:t>(</w:t>
            </w:r>
            <w:r w:rsidRPr="00B34368">
              <w:rPr>
                <w:rFonts w:eastAsiaTheme="minorEastAsia" w:hAnsiTheme="minorEastAsia"/>
                <w:color w:val="000000" w:themeColor="text1"/>
                <w:sz w:val="24"/>
              </w:rPr>
              <w:t>％</w:t>
            </w: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1</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国家债券</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2</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央行票据</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3</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金融债券</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100,280,000.00</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1.68</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其中：政策性金融债</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100,280,000.00</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1.68</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4</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企业债券</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5</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企业短期融资券</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6</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中期票据</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7</w:t>
            </w:r>
          </w:p>
        </w:tc>
        <w:tc>
          <w:tcPr>
            <w:tcW w:w="3260" w:type="dxa"/>
            <w:vAlign w:val="center"/>
          </w:tcPr>
          <w:p w:rsidR="00F21B6D" w:rsidRPr="00B34368" w:rsidRDefault="0054389B"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可转债（可交换债）</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8</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同业存单</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9</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其他</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10</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合计</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100,280,000.00</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1.68</w:t>
            </w:r>
          </w:p>
        </w:tc>
      </w:tr>
    </w:tbl>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6</w:t>
      </w:r>
      <w:r w:rsidRPr="00B34368">
        <w:rPr>
          <w:rFonts w:eastAsiaTheme="minorEastAsia"/>
          <w:b/>
          <w:color w:val="000000" w:themeColor="text1"/>
          <w:kern w:val="0"/>
          <w:sz w:val="24"/>
        </w:rPr>
        <w:t xml:space="preserve"> </w:t>
      </w:r>
      <w:r w:rsidRPr="00B34368">
        <w:rPr>
          <w:rFonts w:eastAsiaTheme="minorEastAsia" w:hAnsiTheme="minorEastAsia"/>
          <w:b/>
          <w:color w:val="000000" w:themeColor="text1"/>
          <w:kern w:val="0"/>
          <w:sz w:val="24"/>
        </w:rPr>
        <w:t>报告期末按公允价值占基金资产净值比例大小排</w:t>
      </w:r>
      <w:r w:rsidR="00E15FD1" w:rsidRPr="00B34368">
        <w:rPr>
          <w:rFonts w:eastAsiaTheme="minorEastAsia" w:hAnsiTheme="minorEastAsia"/>
          <w:b/>
          <w:color w:val="000000" w:themeColor="text1"/>
          <w:kern w:val="0"/>
          <w:sz w:val="24"/>
        </w:rPr>
        <w:t>序</w:t>
      </w:r>
      <w:r w:rsidRPr="00B34368">
        <w:rPr>
          <w:rFonts w:eastAsiaTheme="minorEastAsia" w:hAnsiTheme="minorEastAsia"/>
          <w:b/>
          <w:color w:val="000000" w:themeColor="text1"/>
          <w:kern w:val="0"/>
          <w:sz w:val="24"/>
        </w:rPr>
        <w:t>的前五名债券投资明细</w:t>
      </w:r>
    </w:p>
    <w:tbl>
      <w:tblPr>
        <w:tblStyle w:val="af2"/>
        <w:tblW w:w="0" w:type="auto"/>
        <w:tblInd w:w="108" w:type="dxa"/>
        <w:tblLayout w:type="fixed"/>
        <w:tblLook w:val="04A0" w:firstRow="1" w:lastRow="0" w:firstColumn="1" w:lastColumn="0" w:noHBand="0" w:noVBand="1"/>
      </w:tblPr>
      <w:tblGrid>
        <w:gridCol w:w="1504"/>
        <w:gridCol w:w="1504"/>
        <w:gridCol w:w="1504"/>
        <w:gridCol w:w="1503"/>
        <w:gridCol w:w="1503"/>
        <w:gridCol w:w="1503"/>
      </w:tblGrid>
      <w:tr w:rsidR="00D3639B" w:rsidRPr="00B34368" w:rsidTr="00975D18">
        <w:tc>
          <w:tcPr>
            <w:tcW w:w="1504"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序号</w:t>
            </w:r>
          </w:p>
        </w:tc>
        <w:tc>
          <w:tcPr>
            <w:tcW w:w="1504"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债券代码</w:t>
            </w:r>
          </w:p>
        </w:tc>
        <w:tc>
          <w:tcPr>
            <w:tcW w:w="1504"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债券名称</w:t>
            </w:r>
          </w:p>
        </w:tc>
        <w:tc>
          <w:tcPr>
            <w:tcW w:w="1503"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数量（张）</w:t>
            </w:r>
          </w:p>
        </w:tc>
        <w:tc>
          <w:tcPr>
            <w:tcW w:w="1503"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公允价值</w:t>
            </w:r>
            <w:r w:rsidRPr="00B34368">
              <w:rPr>
                <w:rFonts w:eastAsiaTheme="minorEastAsia"/>
                <w:color w:val="000000" w:themeColor="text1"/>
                <w:kern w:val="0"/>
                <w:sz w:val="24"/>
              </w:rPr>
              <w:t>(</w:t>
            </w:r>
            <w:r w:rsidRPr="00B34368">
              <w:rPr>
                <w:rFonts w:eastAsiaTheme="minorEastAsia" w:hAnsiTheme="minorEastAsia"/>
                <w:color w:val="000000" w:themeColor="text1"/>
                <w:kern w:val="0"/>
                <w:sz w:val="24"/>
              </w:rPr>
              <w:t>元</w:t>
            </w:r>
            <w:r w:rsidRPr="00B34368">
              <w:rPr>
                <w:rFonts w:eastAsiaTheme="minorEastAsia"/>
                <w:color w:val="000000" w:themeColor="text1"/>
                <w:kern w:val="0"/>
                <w:sz w:val="24"/>
              </w:rPr>
              <w:t>)</w:t>
            </w:r>
          </w:p>
        </w:tc>
        <w:tc>
          <w:tcPr>
            <w:tcW w:w="1503"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占基金资产净值比</w:t>
            </w:r>
            <w:r w:rsidR="00334656" w:rsidRPr="00B34368">
              <w:rPr>
                <w:rFonts w:eastAsiaTheme="minorEastAsia" w:hAnsiTheme="minorEastAsia"/>
                <w:color w:val="000000" w:themeColor="text1"/>
                <w:kern w:val="0"/>
                <w:sz w:val="24"/>
              </w:rPr>
              <w:t>例</w:t>
            </w:r>
            <w:r w:rsidRPr="00B34368">
              <w:rPr>
                <w:rFonts w:eastAsiaTheme="minorEastAsia" w:hAnsiTheme="minorEastAsia"/>
                <w:color w:val="000000" w:themeColor="text1"/>
                <w:kern w:val="0"/>
                <w:sz w:val="24"/>
              </w:rPr>
              <w:t>（％）</w:t>
            </w:r>
          </w:p>
        </w:tc>
      </w:tr>
      <w:tr w:rsidR="0024428D">
        <w:tc>
          <w:tcPr>
            <w:tcW w:w="1504" w:type="dxa"/>
            <w:vAlign w:val="center"/>
          </w:tcPr>
          <w:p w:rsidR="0024428D" w:rsidRDefault="001B42CF">
            <w:pPr>
              <w:jc w:val="center"/>
            </w:pPr>
            <w:r>
              <w:rPr>
                <w:rFonts w:eastAsiaTheme="minorEastAsia"/>
                <w:color w:val="000000" w:themeColor="text1"/>
                <w:sz w:val="24"/>
              </w:rPr>
              <w:t>1</w:t>
            </w:r>
          </w:p>
        </w:tc>
        <w:tc>
          <w:tcPr>
            <w:tcW w:w="1504" w:type="dxa"/>
            <w:vAlign w:val="center"/>
          </w:tcPr>
          <w:p w:rsidR="0024428D" w:rsidRDefault="001B42CF">
            <w:pPr>
              <w:jc w:val="center"/>
            </w:pPr>
            <w:r>
              <w:rPr>
                <w:rFonts w:eastAsiaTheme="minorEastAsia"/>
                <w:color w:val="000000" w:themeColor="text1"/>
                <w:sz w:val="24"/>
              </w:rPr>
              <w:t>130310</w:t>
            </w:r>
          </w:p>
        </w:tc>
        <w:tc>
          <w:tcPr>
            <w:tcW w:w="1504" w:type="dxa"/>
            <w:vAlign w:val="center"/>
          </w:tcPr>
          <w:p w:rsidR="0024428D" w:rsidRDefault="001B42CF">
            <w:pPr>
              <w:jc w:val="center"/>
            </w:pPr>
            <w:r>
              <w:rPr>
                <w:rFonts w:eastAsiaTheme="minorEastAsia"/>
                <w:color w:val="000000" w:themeColor="text1"/>
                <w:sz w:val="24"/>
              </w:rPr>
              <w:t>13</w:t>
            </w:r>
            <w:r>
              <w:rPr>
                <w:rFonts w:eastAsiaTheme="minorEastAsia"/>
                <w:color w:val="000000" w:themeColor="text1"/>
                <w:sz w:val="24"/>
              </w:rPr>
              <w:t>进出</w:t>
            </w:r>
            <w:r>
              <w:rPr>
                <w:rFonts w:eastAsiaTheme="minorEastAsia"/>
                <w:color w:val="000000" w:themeColor="text1"/>
                <w:sz w:val="24"/>
              </w:rPr>
              <w:t>10</w:t>
            </w:r>
          </w:p>
        </w:tc>
        <w:tc>
          <w:tcPr>
            <w:tcW w:w="1503" w:type="dxa"/>
            <w:vAlign w:val="center"/>
          </w:tcPr>
          <w:p w:rsidR="0024428D" w:rsidRDefault="001B42CF">
            <w:pPr>
              <w:jc w:val="right"/>
            </w:pPr>
            <w:r>
              <w:rPr>
                <w:rFonts w:eastAsiaTheme="minorEastAsia"/>
                <w:color w:val="000000" w:themeColor="text1"/>
                <w:sz w:val="24"/>
              </w:rPr>
              <w:t>600,000</w:t>
            </w:r>
          </w:p>
        </w:tc>
        <w:tc>
          <w:tcPr>
            <w:tcW w:w="1503" w:type="dxa"/>
            <w:vAlign w:val="center"/>
          </w:tcPr>
          <w:p w:rsidR="0024428D" w:rsidRDefault="001B42CF">
            <w:pPr>
              <w:jc w:val="right"/>
            </w:pPr>
            <w:r>
              <w:rPr>
                <w:rFonts w:eastAsiaTheme="minorEastAsia"/>
                <w:color w:val="000000" w:themeColor="text1"/>
                <w:sz w:val="24"/>
              </w:rPr>
              <w:t>60,228,000.00</w:t>
            </w:r>
          </w:p>
        </w:tc>
        <w:tc>
          <w:tcPr>
            <w:tcW w:w="1503" w:type="dxa"/>
            <w:vAlign w:val="center"/>
          </w:tcPr>
          <w:p w:rsidR="0024428D" w:rsidRDefault="001B42CF">
            <w:pPr>
              <w:jc w:val="right"/>
            </w:pPr>
            <w:r>
              <w:rPr>
                <w:rFonts w:eastAsiaTheme="minorEastAsia"/>
                <w:color w:val="000000" w:themeColor="text1"/>
                <w:sz w:val="24"/>
              </w:rPr>
              <w:t>1.01</w:t>
            </w:r>
          </w:p>
        </w:tc>
      </w:tr>
      <w:tr w:rsidR="0024428D">
        <w:tc>
          <w:tcPr>
            <w:tcW w:w="1504" w:type="dxa"/>
            <w:vAlign w:val="center"/>
          </w:tcPr>
          <w:p w:rsidR="0024428D" w:rsidRDefault="001B42CF">
            <w:pPr>
              <w:jc w:val="center"/>
            </w:pPr>
            <w:r>
              <w:rPr>
                <w:rFonts w:eastAsiaTheme="minorEastAsia"/>
                <w:color w:val="000000" w:themeColor="text1"/>
                <w:sz w:val="24"/>
              </w:rPr>
              <w:t>2</w:t>
            </w:r>
          </w:p>
        </w:tc>
        <w:tc>
          <w:tcPr>
            <w:tcW w:w="1504" w:type="dxa"/>
            <w:vAlign w:val="center"/>
          </w:tcPr>
          <w:p w:rsidR="0024428D" w:rsidRDefault="001B42CF">
            <w:pPr>
              <w:jc w:val="center"/>
            </w:pPr>
            <w:r>
              <w:rPr>
                <w:rFonts w:eastAsiaTheme="minorEastAsia"/>
                <w:color w:val="000000" w:themeColor="text1"/>
                <w:sz w:val="24"/>
              </w:rPr>
              <w:t>170205</w:t>
            </w:r>
          </w:p>
        </w:tc>
        <w:tc>
          <w:tcPr>
            <w:tcW w:w="1504" w:type="dxa"/>
            <w:vAlign w:val="center"/>
          </w:tcPr>
          <w:p w:rsidR="0024428D" w:rsidRDefault="001B42CF">
            <w:pPr>
              <w:jc w:val="center"/>
            </w:pPr>
            <w:r>
              <w:rPr>
                <w:rFonts w:eastAsiaTheme="minorEastAsia"/>
                <w:color w:val="000000" w:themeColor="text1"/>
                <w:sz w:val="24"/>
              </w:rPr>
              <w:t>17</w:t>
            </w:r>
            <w:r>
              <w:rPr>
                <w:rFonts w:eastAsiaTheme="minorEastAsia"/>
                <w:color w:val="000000" w:themeColor="text1"/>
                <w:sz w:val="24"/>
              </w:rPr>
              <w:t>国开</w:t>
            </w:r>
            <w:r>
              <w:rPr>
                <w:rFonts w:eastAsiaTheme="minorEastAsia"/>
                <w:color w:val="000000" w:themeColor="text1"/>
                <w:sz w:val="24"/>
              </w:rPr>
              <w:t>05</w:t>
            </w:r>
          </w:p>
        </w:tc>
        <w:tc>
          <w:tcPr>
            <w:tcW w:w="1503" w:type="dxa"/>
            <w:vAlign w:val="center"/>
          </w:tcPr>
          <w:p w:rsidR="0024428D" w:rsidRDefault="001B42CF">
            <w:pPr>
              <w:jc w:val="right"/>
            </w:pPr>
            <w:r>
              <w:rPr>
                <w:rFonts w:eastAsiaTheme="minorEastAsia"/>
                <w:color w:val="000000" w:themeColor="text1"/>
                <w:sz w:val="24"/>
              </w:rPr>
              <w:t>400,000</w:t>
            </w:r>
          </w:p>
        </w:tc>
        <w:tc>
          <w:tcPr>
            <w:tcW w:w="1503" w:type="dxa"/>
            <w:vAlign w:val="center"/>
          </w:tcPr>
          <w:p w:rsidR="0024428D" w:rsidRDefault="001B42CF">
            <w:pPr>
              <w:jc w:val="right"/>
            </w:pPr>
            <w:r>
              <w:rPr>
                <w:rFonts w:eastAsiaTheme="minorEastAsia"/>
                <w:color w:val="000000" w:themeColor="text1"/>
                <w:sz w:val="24"/>
              </w:rPr>
              <w:t>40,052,000.00</w:t>
            </w:r>
          </w:p>
        </w:tc>
        <w:tc>
          <w:tcPr>
            <w:tcW w:w="1503" w:type="dxa"/>
            <w:vAlign w:val="center"/>
          </w:tcPr>
          <w:p w:rsidR="0024428D" w:rsidRDefault="001B42CF">
            <w:pPr>
              <w:jc w:val="right"/>
            </w:pPr>
            <w:r>
              <w:rPr>
                <w:rFonts w:eastAsiaTheme="minorEastAsia"/>
                <w:color w:val="000000" w:themeColor="text1"/>
                <w:sz w:val="24"/>
              </w:rPr>
              <w:t>0.67</w:t>
            </w:r>
          </w:p>
        </w:tc>
      </w:tr>
    </w:tbl>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7</w:t>
      </w:r>
      <w:r w:rsidRPr="00B34368">
        <w:rPr>
          <w:rFonts w:eastAsiaTheme="minorEastAsia" w:hAnsiTheme="minorEastAsia"/>
          <w:b/>
          <w:color w:val="000000" w:themeColor="text1"/>
          <w:kern w:val="0"/>
          <w:sz w:val="24"/>
        </w:rPr>
        <w:t xml:space="preserve">　报告期末按公允价值占基金资产净值比例大小排</w:t>
      </w:r>
      <w:r w:rsidR="00E15FD1" w:rsidRPr="00B34368">
        <w:rPr>
          <w:rFonts w:eastAsiaTheme="minorEastAsia" w:hAnsiTheme="minorEastAsia"/>
          <w:b/>
          <w:color w:val="000000" w:themeColor="text1"/>
          <w:kern w:val="0"/>
          <w:sz w:val="24"/>
        </w:rPr>
        <w:t>序</w:t>
      </w:r>
      <w:r w:rsidRPr="00B34368">
        <w:rPr>
          <w:rFonts w:eastAsiaTheme="minorEastAsia" w:hAnsiTheme="minorEastAsia"/>
          <w:b/>
          <w:color w:val="000000" w:themeColor="text1"/>
          <w:kern w:val="0"/>
          <w:sz w:val="24"/>
        </w:rPr>
        <w:t>的前十名资产支持证券投资明细</w:t>
      </w:r>
    </w:p>
    <w:p w:rsidR="009238DB" w:rsidRPr="00B34368" w:rsidRDefault="00C260A2"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本基金本报告期末未持有资产支持证券。</w:t>
      </w:r>
    </w:p>
    <w:p w:rsidR="00E15FD1" w:rsidRPr="00B34368" w:rsidRDefault="00E15FD1"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 xml:space="preserve">5.8 </w:t>
      </w:r>
      <w:r w:rsidRPr="00B34368">
        <w:rPr>
          <w:rFonts w:eastAsiaTheme="minorEastAsia" w:hAnsiTheme="minorEastAsia"/>
          <w:b/>
          <w:bCs/>
          <w:color w:val="000000" w:themeColor="text1"/>
          <w:kern w:val="0"/>
          <w:sz w:val="24"/>
        </w:rPr>
        <w:t>报告期末按公允价值占基金资产净值比例大小排序的前五名贵金属投资明细</w:t>
      </w:r>
    </w:p>
    <w:p w:rsidR="00E15FD1" w:rsidRPr="00B34368" w:rsidRDefault="00E15FD1" w:rsidP="00B34368">
      <w:pPr>
        <w:widowControl/>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本基金本报告期末未持有贵金属。</w:t>
      </w:r>
    </w:p>
    <w:p w:rsidR="009238DB" w:rsidRPr="00B34368" w:rsidRDefault="001D5CD0"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9238DB" w:rsidRPr="00B34368">
        <w:rPr>
          <w:rFonts w:eastAsiaTheme="minorEastAsia"/>
          <w:b/>
          <w:color w:val="000000" w:themeColor="text1"/>
          <w:kern w:val="0"/>
          <w:sz w:val="24"/>
        </w:rPr>
        <w:t>.</w:t>
      </w:r>
      <w:r w:rsidRPr="00B34368">
        <w:rPr>
          <w:rFonts w:eastAsiaTheme="minorEastAsia"/>
          <w:b/>
          <w:color w:val="000000" w:themeColor="text1"/>
          <w:kern w:val="0"/>
          <w:sz w:val="24"/>
        </w:rPr>
        <w:t>9</w:t>
      </w:r>
      <w:r w:rsidR="009238DB" w:rsidRPr="00B34368">
        <w:rPr>
          <w:rFonts w:eastAsiaTheme="minorEastAsia"/>
          <w:b/>
          <w:color w:val="000000" w:themeColor="text1"/>
          <w:kern w:val="0"/>
          <w:sz w:val="24"/>
        </w:rPr>
        <w:t xml:space="preserve"> </w:t>
      </w:r>
      <w:r w:rsidR="009238DB" w:rsidRPr="00B34368">
        <w:rPr>
          <w:rFonts w:eastAsiaTheme="minorEastAsia" w:hAnsiTheme="minorEastAsia"/>
          <w:b/>
          <w:color w:val="000000" w:themeColor="text1"/>
          <w:kern w:val="0"/>
          <w:sz w:val="24"/>
        </w:rPr>
        <w:t>报告</w:t>
      </w:r>
      <w:r w:rsidR="009238DB" w:rsidRPr="00B34368">
        <w:rPr>
          <w:rFonts w:eastAsiaTheme="minorEastAsia" w:hAnsiTheme="minorEastAsia"/>
          <w:b/>
          <w:bCs/>
          <w:color w:val="000000" w:themeColor="text1"/>
          <w:kern w:val="0"/>
          <w:sz w:val="24"/>
        </w:rPr>
        <w:t>期末</w:t>
      </w:r>
      <w:r w:rsidR="009238DB" w:rsidRPr="00B34368">
        <w:rPr>
          <w:rFonts w:eastAsiaTheme="minorEastAsia" w:hAnsiTheme="minorEastAsia"/>
          <w:b/>
          <w:color w:val="000000" w:themeColor="text1"/>
          <w:kern w:val="0"/>
          <w:sz w:val="24"/>
        </w:rPr>
        <w:t>按公允价值占基金资产净值比例大小排</w:t>
      </w:r>
      <w:r w:rsidR="006B3FDB" w:rsidRPr="00B34368">
        <w:rPr>
          <w:rFonts w:eastAsiaTheme="minorEastAsia" w:hAnsiTheme="minorEastAsia"/>
          <w:b/>
          <w:color w:val="000000" w:themeColor="text1"/>
          <w:kern w:val="0"/>
          <w:sz w:val="24"/>
        </w:rPr>
        <w:t>序</w:t>
      </w:r>
      <w:r w:rsidR="009238DB" w:rsidRPr="00B34368">
        <w:rPr>
          <w:rFonts w:eastAsiaTheme="minorEastAsia" w:hAnsiTheme="minorEastAsia"/>
          <w:b/>
          <w:color w:val="000000" w:themeColor="text1"/>
          <w:kern w:val="0"/>
          <w:sz w:val="24"/>
        </w:rPr>
        <w:t>的前五名权证投资明细</w:t>
      </w:r>
    </w:p>
    <w:p w:rsidR="001D5CD0" w:rsidRPr="00B34368" w:rsidRDefault="00C260A2"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本基金本报告期末未持有权证。</w:t>
      </w:r>
    </w:p>
    <w:p w:rsidR="001D5CD0" w:rsidRPr="00B34368" w:rsidRDefault="001D5CD0" w:rsidP="00C544B8">
      <w:pPr>
        <w:autoSpaceDE w:val="0"/>
        <w:autoSpaceDN w:val="0"/>
        <w:adjustRightInd w:val="0"/>
        <w:spacing w:beforeLines="100" w:before="312" w:line="360" w:lineRule="auto"/>
        <w:jc w:val="left"/>
        <w:rPr>
          <w:rFonts w:eastAsiaTheme="minorEastAsia"/>
          <w:b/>
          <w:color w:val="000000" w:themeColor="text1"/>
          <w:sz w:val="24"/>
        </w:rPr>
      </w:pPr>
      <w:r w:rsidRPr="00B34368">
        <w:rPr>
          <w:rFonts w:eastAsiaTheme="minorEastAsia"/>
          <w:b/>
          <w:color w:val="000000" w:themeColor="text1"/>
          <w:sz w:val="24"/>
        </w:rPr>
        <w:t xml:space="preserve">5.10 </w:t>
      </w:r>
      <w:r w:rsidRPr="00B34368">
        <w:rPr>
          <w:rFonts w:eastAsiaTheme="minorEastAsia" w:hAnsiTheme="minorEastAsia"/>
          <w:b/>
          <w:color w:val="000000" w:themeColor="text1"/>
          <w:sz w:val="24"/>
        </w:rPr>
        <w:t>报告期末本基金投资的股指期货交易情况说明</w:t>
      </w:r>
    </w:p>
    <w:p w:rsidR="00D27EA0" w:rsidRPr="001B0A62" w:rsidRDefault="001D5CD0" w:rsidP="00D27EA0">
      <w:pPr>
        <w:autoSpaceDE w:val="0"/>
        <w:autoSpaceDN w:val="0"/>
        <w:adjustRightInd w:val="0"/>
        <w:spacing w:line="360" w:lineRule="auto"/>
        <w:jc w:val="left"/>
        <w:rPr>
          <w:rFonts w:ascii="宋体"/>
          <w:b/>
          <w:bCs/>
          <w:color w:val="000000"/>
          <w:kern w:val="0"/>
          <w:sz w:val="24"/>
        </w:rPr>
      </w:pPr>
      <w:r w:rsidRPr="00B34368">
        <w:rPr>
          <w:rFonts w:eastAsiaTheme="minorEastAsia"/>
          <w:b/>
          <w:color w:val="000000" w:themeColor="text1"/>
          <w:sz w:val="24"/>
        </w:rPr>
        <w:t xml:space="preserve">5.10.1 </w:t>
      </w:r>
      <w:r w:rsidRPr="00B34368">
        <w:rPr>
          <w:rFonts w:eastAsiaTheme="minorEastAsia" w:hAnsiTheme="minorEastAsia"/>
          <w:b/>
          <w:color w:val="000000" w:themeColor="text1"/>
          <w:sz w:val="24"/>
        </w:rPr>
        <w:t>报告期末本基金投资的股指期货持仓和损益明细</w:t>
      </w:r>
      <w:r w:rsidR="00D27EA0" w:rsidRPr="00D27EA0">
        <w:rPr>
          <w:rFonts w:ascii="宋体"/>
          <w:b/>
          <w:bCs/>
          <w:color w:val="000000"/>
          <w:kern w:val="0"/>
          <w:sz w:val="24"/>
        </w:rPr>
        <w:t xml:space="preserve"> </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303"/>
        <w:gridCol w:w="993"/>
        <w:gridCol w:w="1700"/>
        <w:gridCol w:w="1641"/>
        <w:gridCol w:w="2074"/>
      </w:tblGrid>
      <w:tr w:rsidR="00D27EA0" w:rsidRPr="00264E55" w:rsidTr="00BA7532">
        <w:trPr>
          <w:trHeight w:val="105"/>
          <w:jc w:val="center"/>
        </w:trPr>
        <w:tc>
          <w:tcPr>
            <w:tcW w:w="1134" w:type="dxa"/>
          </w:tcPr>
          <w:p w:rsidR="00D27EA0" w:rsidRPr="00FA472B" w:rsidRDefault="00D27EA0" w:rsidP="003F0E6C">
            <w:pPr>
              <w:pStyle w:val="Default"/>
              <w:rPr>
                <w:rFonts w:ascii="Times New Roman" w:hAnsi="Times New Roman" w:cs="Times New Roman"/>
              </w:rPr>
            </w:pPr>
            <w:r w:rsidRPr="00FA472B">
              <w:rPr>
                <w:rFonts w:ascii="Times New Roman" w:hAnsi="Times New Roman" w:cs="Times New Roman"/>
              </w:rPr>
              <w:t>代码</w:t>
            </w:r>
          </w:p>
        </w:tc>
        <w:tc>
          <w:tcPr>
            <w:tcW w:w="1303" w:type="dxa"/>
          </w:tcPr>
          <w:p w:rsidR="00D27EA0" w:rsidRPr="00FA472B" w:rsidRDefault="00D27EA0" w:rsidP="003F0E6C">
            <w:pPr>
              <w:pStyle w:val="Default"/>
              <w:rPr>
                <w:rFonts w:ascii="Times New Roman" w:hAnsi="Times New Roman" w:cs="Times New Roman"/>
              </w:rPr>
            </w:pPr>
            <w:r w:rsidRPr="00FA472B">
              <w:rPr>
                <w:rFonts w:ascii="Times New Roman" w:hAnsi="Times New Roman" w:cs="Times New Roman"/>
              </w:rPr>
              <w:t>名称</w:t>
            </w:r>
          </w:p>
        </w:tc>
        <w:tc>
          <w:tcPr>
            <w:tcW w:w="993" w:type="dxa"/>
          </w:tcPr>
          <w:p w:rsidR="00D27EA0" w:rsidRPr="00B227EA" w:rsidRDefault="00D27EA0" w:rsidP="003F0E6C">
            <w:pPr>
              <w:pStyle w:val="Default"/>
              <w:rPr>
                <w:rFonts w:ascii="Times New Roman" w:hAnsi="Times New Roman" w:cs="Times New Roman"/>
              </w:rPr>
            </w:pPr>
            <w:r w:rsidRPr="00B227EA">
              <w:rPr>
                <w:rFonts w:ascii="Times New Roman" w:hAnsi="Times New Roman" w:cs="Times New Roman"/>
              </w:rPr>
              <w:t>持仓量</w:t>
            </w:r>
          </w:p>
        </w:tc>
        <w:tc>
          <w:tcPr>
            <w:tcW w:w="1700" w:type="dxa"/>
          </w:tcPr>
          <w:p w:rsidR="00D27EA0" w:rsidRPr="00B227EA" w:rsidRDefault="00D27EA0" w:rsidP="003F0E6C">
            <w:pPr>
              <w:pStyle w:val="Default"/>
              <w:rPr>
                <w:rFonts w:ascii="Times New Roman" w:hAnsi="Times New Roman" w:cs="Times New Roman"/>
              </w:rPr>
            </w:pPr>
            <w:r w:rsidRPr="00B227EA">
              <w:rPr>
                <w:rFonts w:ascii="Times New Roman" w:hAnsi="Times New Roman" w:cs="Times New Roman"/>
              </w:rPr>
              <w:t>合约市值（元）</w:t>
            </w:r>
          </w:p>
        </w:tc>
        <w:tc>
          <w:tcPr>
            <w:tcW w:w="1641" w:type="dxa"/>
          </w:tcPr>
          <w:p w:rsidR="00D27EA0" w:rsidRPr="00B227EA" w:rsidRDefault="00D27EA0" w:rsidP="003F0E6C">
            <w:pPr>
              <w:pStyle w:val="Default"/>
              <w:rPr>
                <w:rFonts w:ascii="Times New Roman" w:hAnsi="Times New Roman" w:cs="Times New Roman"/>
              </w:rPr>
            </w:pPr>
            <w:r w:rsidRPr="00B227EA">
              <w:rPr>
                <w:rFonts w:ascii="Times New Roman" w:hAnsi="Times New Roman" w:cs="Times New Roman"/>
              </w:rPr>
              <w:t>公允价值变动（元）</w:t>
            </w:r>
          </w:p>
        </w:tc>
        <w:tc>
          <w:tcPr>
            <w:tcW w:w="2074" w:type="dxa"/>
          </w:tcPr>
          <w:p w:rsidR="00D27EA0" w:rsidRPr="00B227EA" w:rsidRDefault="00D27EA0" w:rsidP="003F0E6C">
            <w:pPr>
              <w:pStyle w:val="Default"/>
              <w:jc w:val="center"/>
              <w:rPr>
                <w:rFonts w:ascii="Times New Roman" w:hAnsi="Times New Roman" w:cs="Times New Roman"/>
                <w:color w:val="auto"/>
              </w:rPr>
            </w:pPr>
            <w:r w:rsidRPr="00B227EA">
              <w:rPr>
                <w:rFonts w:ascii="Times New Roman" w:hAnsi="Times New Roman" w:cs="Times New Roman"/>
                <w:color w:val="auto"/>
              </w:rPr>
              <w:t>风险说明</w:t>
            </w:r>
          </w:p>
        </w:tc>
      </w:tr>
      <w:tr w:rsidR="0024428D">
        <w:trPr>
          <w:jc w:val="center"/>
        </w:trPr>
        <w:tc>
          <w:tcPr>
            <w:tcW w:w="1134" w:type="dxa"/>
            <w:vAlign w:val="center"/>
          </w:tcPr>
          <w:p w:rsidR="0024428D" w:rsidRDefault="001B42CF">
            <w:pPr>
              <w:jc w:val="center"/>
            </w:pPr>
            <w:r>
              <w:t>IF2004</w:t>
            </w:r>
          </w:p>
        </w:tc>
        <w:tc>
          <w:tcPr>
            <w:tcW w:w="1303" w:type="dxa"/>
            <w:vAlign w:val="center"/>
          </w:tcPr>
          <w:p w:rsidR="0024428D" w:rsidRDefault="001B42CF">
            <w:pPr>
              <w:jc w:val="left"/>
            </w:pPr>
            <w:r>
              <w:t>IF2004</w:t>
            </w:r>
          </w:p>
        </w:tc>
        <w:tc>
          <w:tcPr>
            <w:tcW w:w="993" w:type="dxa"/>
            <w:vAlign w:val="center"/>
          </w:tcPr>
          <w:p w:rsidR="0024428D" w:rsidRDefault="001B42CF">
            <w:pPr>
              <w:jc w:val="right"/>
            </w:pPr>
            <w:r>
              <w:t>15</w:t>
            </w:r>
          </w:p>
        </w:tc>
        <w:tc>
          <w:tcPr>
            <w:tcW w:w="1700" w:type="dxa"/>
            <w:vAlign w:val="center"/>
          </w:tcPr>
          <w:p w:rsidR="0024428D" w:rsidRDefault="001B42CF">
            <w:pPr>
              <w:jc w:val="right"/>
            </w:pPr>
            <w:r>
              <w:t>16,474,500.00</w:t>
            </w:r>
          </w:p>
        </w:tc>
        <w:tc>
          <w:tcPr>
            <w:tcW w:w="1641" w:type="dxa"/>
            <w:vAlign w:val="center"/>
          </w:tcPr>
          <w:p w:rsidR="0024428D" w:rsidRDefault="001B42CF">
            <w:pPr>
              <w:jc w:val="right"/>
            </w:pPr>
            <w:r>
              <w:t>319,500.00</w:t>
            </w:r>
          </w:p>
        </w:tc>
        <w:tc>
          <w:tcPr>
            <w:tcW w:w="2074" w:type="dxa"/>
            <w:vAlign w:val="center"/>
          </w:tcPr>
          <w:p w:rsidR="0024428D" w:rsidRDefault="001B42CF">
            <w:pPr>
              <w:jc w:val="left"/>
            </w:pPr>
            <w:r>
              <w:t>在本报告期内，基金利用股指期货进行套期保值操作，以应对基金由于大额净申赎等需要及时调整组合市场暴露情况时，通过股指期货套保交易满足基金的投资替代需求和风险对冲需求，利用股指期货的杠杆作用，降低股票仓位频繁调整的交易成本和跟踪误差，达到有效跟踪标的指数的目的。</w:t>
            </w:r>
            <w:r>
              <w:t xml:space="preserve"> </w:t>
            </w:r>
          </w:p>
        </w:tc>
      </w:tr>
      <w:tr w:rsidR="0024428D">
        <w:trPr>
          <w:jc w:val="center"/>
        </w:trPr>
        <w:tc>
          <w:tcPr>
            <w:tcW w:w="1134" w:type="dxa"/>
            <w:vAlign w:val="center"/>
          </w:tcPr>
          <w:p w:rsidR="0024428D" w:rsidRDefault="001B42CF">
            <w:pPr>
              <w:jc w:val="center"/>
            </w:pPr>
            <w:r>
              <w:t>IF2005</w:t>
            </w:r>
          </w:p>
        </w:tc>
        <w:tc>
          <w:tcPr>
            <w:tcW w:w="1303" w:type="dxa"/>
            <w:vAlign w:val="center"/>
          </w:tcPr>
          <w:p w:rsidR="0024428D" w:rsidRDefault="001B42CF">
            <w:pPr>
              <w:jc w:val="left"/>
            </w:pPr>
            <w:r>
              <w:t>IF2005</w:t>
            </w:r>
          </w:p>
        </w:tc>
        <w:tc>
          <w:tcPr>
            <w:tcW w:w="993" w:type="dxa"/>
            <w:vAlign w:val="center"/>
          </w:tcPr>
          <w:p w:rsidR="0024428D" w:rsidRDefault="001B42CF">
            <w:pPr>
              <w:jc w:val="right"/>
            </w:pPr>
            <w:r>
              <w:t>2</w:t>
            </w:r>
          </w:p>
        </w:tc>
        <w:tc>
          <w:tcPr>
            <w:tcW w:w="1700" w:type="dxa"/>
            <w:vAlign w:val="center"/>
          </w:tcPr>
          <w:p w:rsidR="0024428D" w:rsidRDefault="001B42CF">
            <w:pPr>
              <w:jc w:val="right"/>
            </w:pPr>
            <w:r>
              <w:t>2,188,080.00</w:t>
            </w:r>
          </w:p>
        </w:tc>
        <w:tc>
          <w:tcPr>
            <w:tcW w:w="1641" w:type="dxa"/>
            <w:vAlign w:val="center"/>
          </w:tcPr>
          <w:p w:rsidR="0024428D" w:rsidRDefault="001B42CF">
            <w:pPr>
              <w:jc w:val="right"/>
            </w:pPr>
            <w:r>
              <w:t>90,480.00</w:t>
            </w:r>
          </w:p>
        </w:tc>
        <w:tc>
          <w:tcPr>
            <w:tcW w:w="2074" w:type="dxa"/>
            <w:vAlign w:val="center"/>
          </w:tcPr>
          <w:p w:rsidR="0024428D" w:rsidRDefault="001B42CF">
            <w:pPr>
              <w:jc w:val="left"/>
            </w:pPr>
            <w:r>
              <w:t>在本报告期内，基金利用股指期货进行套期保值操作，以应对基金由于大额净申赎等需要及时调整组合市场暴露情况时，通过股指期货套保交易满足基金的投资替代需求和风险对冲需求，利用股指期货的杠杆作用，降低股票仓位频繁调整的交易成本和跟踪误差，达到有效跟踪标的指数的目的。</w:t>
            </w:r>
            <w:r>
              <w:t xml:space="preserve"> </w:t>
            </w:r>
          </w:p>
        </w:tc>
      </w:tr>
      <w:tr w:rsidR="00D27EA0" w:rsidRPr="00264E55" w:rsidTr="00BA7532">
        <w:trPr>
          <w:trHeight w:val="105"/>
          <w:jc w:val="center"/>
        </w:trPr>
        <w:tc>
          <w:tcPr>
            <w:tcW w:w="6771" w:type="dxa"/>
            <w:gridSpan w:val="5"/>
          </w:tcPr>
          <w:p w:rsidR="00D27EA0" w:rsidRPr="00FA472B" w:rsidRDefault="00D27EA0" w:rsidP="003F0E6C">
            <w:pPr>
              <w:pStyle w:val="Default"/>
              <w:rPr>
                <w:rFonts w:ascii="Times New Roman" w:hAnsi="Times New Roman" w:cs="Times New Roman"/>
              </w:rPr>
            </w:pPr>
            <w:r w:rsidRPr="00FA472B">
              <w:rPr>
                <w:rFonts w:ascii="Times New Roman" w:hAnsi="Times New Roman" w:cs="Times New Roman"/>
              </w:rPr>
              <w:t>公允价值变动总额合计</w:t>
            </w:r>
            <w:r w:rsidRPr="00FA472B">
              <w:rPr>
                <w:rFonts w:ascii="Times New Roman" w:hAnsi="Times New Roman" w:cs="Times New Roman"/>
              </w:rPr>
              <w:t>(</w:t>
            </w:r>
            <w:r w:rsidRPr="00FA472B">
              <w:rPr>
                <w:rFonts w:ascii="Times New Roman" w:hAnsi="Times New Roman" w:cs="Times New Roman"/>
              </w:rPr>
              <w:t>元</w:t>
            </w:r>
            <w:r w:rsidRPr="00FA472B">
              <w:rPr>
                <w:rFonts w:ascii="Times New Roman" w:hAnsi="Times New Roman" w:cs="Times New Roman"/>
              </w:rPr>
              <w:t>)</w:t>
            </w:r>
          </w:p>
        </w:tc>
        <w:tc>
          <w:tcPr>
            <w:tcW w:w="2074" w:type="dxa"/>
          </w:tcPr>
          <w:p w:rsidR="00D27EA0" w:rsidRPr="00FA472B" w:rsidRDefault="00D27EA0" w:rsidP="003F0E6C">
            <w:pPr>
              <w:pStyle w:val="Default"/>
              <w:jc w:val="right"/>
              <w:rPr>
                <w:rFonts w:ascii="Times New Roman" w:hAnsi="Times New Roman" w:cs="Times New Roman"/>
                <w:color w:val="auto"/>
              </w:rPr>
            </w:pPr>
            <w:r w:rsidRPr="00FA472B">
              <w:rPr>
                <w:rFonts w:ascii="Times New Roman" w:hAnsi="Times New Roman" w:cs="Times New Roman"/>
                <w:color w:val="auto"/>
              </w:rPr>
              <w:t>409,980.00</w:t>
            </w:r>
          </w:p>
        </w:tc>
      </w:tr>
      <w:tr w:rsidR="00D27EA0" w:rsidRPr="00264E55" w:rsidTr="00BA7532">
        <w:trPr>
          <w:trHeight w:val="105"/>
          <w:jc w:val="center"/>
        </w:trPr>
        <w:tc>
          <w:tcPr>
            <w:tcW w:w="6771" w:type="dxa"/>
            <w:gridSpan w:val="5"/>
          </w:tcPr>
          <w:p w:rsidR="00D27EA0" w:rsidRPr="00FA472B" w:rsidRDefault="00D27EA0" w:rsidP="003F0E6C">
            <w:pPr>
              <w:pStyle w:val="Default"/>
              <w:rPr>
                <w:rFonts w:ascii="Times New Roman" w:hAnsi="Times New Roman" w:cs="Times New Roman"/>
                <w:color w:val="auto"/>
              </w:rPr>
            </w:pPr>
            <w:r w:rsidRPr="00FA472B">
              <w:rPr>
                <w:rFonts w:ascii="Times New Roman" w:hAnsi="Times New Roman" w:cs="Times New Roman"/>
                <w:color w:val="auto"/>
              </w:rPr>
              <w:t>股指期货投资本期收益</w:t>
            </w:r>
            <w:r w:rsidRPr="00FA472B">
              <w:rPr>
                <w:rFonts w:ascii="Times New Roman" w:hAnsi="Times New Roman" w:cs="Times New Roman"/>
              </w:rPr>
              <w:t>(</w:t>
            </w:r>
            <w:r w:rsidRPr="00FA472B">
              <w:rPr>
                <w:rFonts w:ascii="Times New Roman" w:hAnsi="Times New Roman" w:cs="Times New Roman"/>
              </w:rPr>
              <w:t>元</w:t>
            </w:r>
            <w:r w:rsidRPr="00FA472B">
              <w:rPr>
                <w:rFonts w:ascii="Times New Roman" w:hAnsi="Times New Roman" w:cs="Times New Roman"/>
              </w:rPr>
              <w:t>)</w:t>
            </w:r>
          </w:p>
        </w:tc>
        <w:tc>
          <w:tcPr>
            <w:tcW w:w="2074" w:type="dxa"/>
          </w:tcPr>
          <w:p w:rsidR="00D27EA0" w:rsidRPr="00FA472B" w:rsidRDefault="00D27EA0" w:rsidP="003F0E6C">
            <w:pPr>
              <w:pStyle w:val="Default"/>
              <w:jc w:val="right"/>
              <w:rPr>
                <w:rFonts w:ascii="Times New Roman" w:hAnsi="Times New Roman" w:cs="Times New Roman"/>
                <w:color w:val="auto"/>
              </w:rPr>
            </w:pPr>
            <w:r w:rsidRPr="00FA472B">
              <w:rPr>
                <w:rFonts w:ascii="Times New Roman" w:hAnsi="Times New Roman" w:cs="Times New Roman"/>
                <w:color w:val="auto"/>
              </w:rPr>
              <w:t>-2,223,786.41</w:t>
            </w:r>
          </w:p>
        </w:tc>
      </w:tr>
      <w:tr w:rsidR="00D27EA0" w:rsidRPr="00264E55" w:rsidTr="00BA7532">
        <w:trPr>
          <w:trHeight w:val="105"/>
          <w:jc w:val="center"/>
        </w:trPr>
        <w:tc>
          <w:tcPr>
            <w:tcW w:w="6771" w:type="dxa"/>
            <w:gridSpan w:val="5"/>
          </w:tcPr>
          <w:p w:rsidR="00D27EA0" w:rsidRPr="00FA472B" w:rsidRDefault="00D27EA0" w:rsidP="003F0E6C">
            <w:pPr>
              <w:pStyle w:val="Default"/>
              <w:rPr>
                <w:rFonts w:ascii="Times New Roman" w:hAnsi="Times New Roman" w:cs="Times New Roman"/>
                <w:color w:val="auto"/>
              </w:rPr>
            </w:pPr>
            <w:r w:rsidRPr="00FA472B">
              <w:rPr>
                <w:rFonts w:ascii="Times New Roman" w:hAnsi="Times New Roman" w:cs="Times New Roman"/>
                <w:color w:val="auto"/>
              </w:rPr>
              <w:t>股指期货投资本期公允价值变动</w:t>
            </w:r>
            <w:r w:rsidRPr="00FA472B">
              <w:rPr>
                <w:rFonts w:ascii="Times New Roman" w:hAnsi="Times New Roman" w:cs="Times New Roman"/>
              </w:rPr>
              <w:t>(</w:t>
            </w:r>
            <w:r w:rsidRPr="00FA472B">
              <w:rPr>
                <w:rFonts w:ascii="Times New Roman" w:hAnsi="Times New Roman" w:cs="Times New Roman"/>
              </w:rPr>
              <w:t>元</w:t>
            </w:r>
            <w:r w:rsidRPr="00FA472B">
              <w:rPr>
                <w:rFonts w:ascii="Times New Roman" w:hAnsi="Times New Roman" w:cs="Times New Roman"/>
              </w:rPr>
              <w:t>)</w:t>
            </w:r>
          </w:p>
        </w:tc>
        <w:tc>
          <w:tcPr>
            <w:tcW w:w="2074" w:type="dxa"/>
          </w:tcPr>
          <w:p w:rsidR="00D27EA0" w:rsidRPr="00FA472B" w:rsidRDefault="00D27EA0" w:rsidP="003F0E6C">
            <w:pPr>
              <w:pStyle w:val="Default"/>
              <w:jc w:val="right"/>
              <w:rPr>
                <w:rFonts w:ascii="Times New Roman" w:hAnsi="Times New Roman" w:cs="Times New Roman"/>
                <w:color w:val="auto"/>
              </w:rPr>
            </w:pPr>
            <w:r w:rsidRPr="00FA472B">
              <w:rPr>
                <w:rFonts w:ascii="Times New Roman" w:hAnsi="Times New Roman" w:cs="Times New Roman"/>
                <w:color w:val="auto"/>
              </w:rPr>
              <w:t>409,980.00</w:t>
            </w:r>
          </w:p>
        </w:tc>
      </w:tr>
    </w:tbl>
    <w:p w:rsidR="001D5CD0" w:rsidRPr="00B34368" w:rsidRDefault="001D5CD0" w:rsidP="00C544B8">
      <w:pPr>
        <w:adjustRightInd w:val="0"/>
        <w:snapToGrid w:val="0"/>
        <w:spacing w:beforeLines="100" w:before="312" w:line="360" w:lineRule="auto"/>
        <w:rPr>
          <w:rFonts w:eastAsiaTheme="minorEastAsia"/>
          <w:b/>
          <w:color w:val="000000" w:themeColor="text1"/>
          <w:sz w:val="24"/>
        </w:rPr>
      </w:pPr>
      <w:r w:rsidRPr="00B34368">
        <w:rPr>
          <w:rFonts w:eastAsiaTheme="minorEastAsia"/>
          <w:b/>
          <w:color w:val="000000" w:themeColor="text1"/>
          <w:sz w:val="24"/>
        </w:rPr>
        <w:t xml:space="preserve">5.10.2 </w:t>
      </w:r>
      <w:r w:rsidRPr="00B34368">
        <w:rPr>
          <w:rFonts w:eastAsiaTheme="minorEastAsia" w:hAnsiTheme="minorEastAsia"/>
          <w:b/>
          <w:color w:val="000000" w:themeColor="text1"/>
          <w:sz w:val="24"/>
        </w:rPr>
        <w:t>本基金投资股指期货的投资政策</w:t>
      </w:r>
    </w:p>
    <w:p w:rsidR="001D5CD0" w:rsidRPr="00B34368" w:rsidRDefault="001D5CD0"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基金可投资股指期货和其他经中国证监会允许的衍生金融产品。本基金将根据风险管理的原则，以套期保值为目的，按照相关法律法规的有关规定，主要选择流动性好、交易活跃的股指期货合约来进行投资。本基金在出现大额净申赎等需要及时调整组合市场暴露情况时，通过股指期货套保交易满足基金的投资替代需求和风险管理需求。本基金力争利用股指期货的杠杆作用，降低股票仓位频繁调整的交易成本和跟踪误差，达到有效跟踪标的指数的目的。本报告期内，本基金投资股指期货符合既定的投资政策和投资目的。</w:t>
      </w:r>
    </w:p>
    <w:p w:rsidR="001D5CD0" w:rsidRPr="00B34368" w:rsidRDefault="001D5CD0" w:rsidP="00C544B8">
      <w:pPr>
        <w:adjustRightInd w:val="0"/>
        <w:snapToGrid w:val="0"/>
        <w:spacing w:beforeLines="100" w:before="312" w:line="360" w:lineRule="auto"/>
        <w:rPr>
          <w:rFonts w:eastAsiaTheme="minorEastAsia"/>
          <w:b/>
          <w:color w:val="000000" w:themeColor="text1"/>
          <w:sz w:val="24"/>
        </w:rPr>
      </w:pPr>
      <w:r w:rsidRPr="00B34368">
        <w:rPr>
          <w:rFonts w:eastAsiaTheme="minorEastAsia"/>
          <w:b/>
          <w:color w:val="000000" w:themeColor="text1"/>
          <w:sz w:val="24"/>
        </w:rPr>
        <w:t>5.11</w:t>
      </w:r>
      <w:r w:rsidRPr="00B34368">
        <w:rPr>
          <w:rFonts w:eastAsiaTheme="minorEastAsia" w:hAnsiTheme="minorEastAsia"/>
          <w:b/>
          <w:color w:val="000000" w:themeColor="text1"/>
          <w:sz w:val="24"/>
        </w:rPr>
        <w:t>报告期末本基金投资的国债期货交易情况说明</w:t>
      </w:r>
    </w:p>
    <w:p w:rsidR="00985F0E" w:rsidRDefault="00985F0E" w:rsidP="00985F0E">
      <w:pPr>
        <w:spacing w:line="360" w:lineRule="auto"/>
        <w:ind w:firstLineChars="200" w:firstLine="480"/>
      </w:pPr>
      <w:r w:rsidRPr="00DF18FE">
        <w:rPr>
          <w:color w:val="000000"/>
          <w:sz w:val="24"/>
        </w:rPr>
        <w:t>本基金本报告期末未投资国债期货。</w:t>
      </w:r>
    </w:p>
    <w:p w:rsidR="001D5CD0" w:rsidRPr="00B34368" w:rsidRDefault="001D5CD0"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5.12</w:t>
      </w:r>
      <w:r w:rsidRPr="00B34368">
        <w:rPr>
          <w:rFonts w:eastAsiaTheme="minorEastAsia" w:hAnsiTheme="minorEastAsia"/>
          <w:b/>
          <w:color w:val="000000" w:themeColor="text1"/>
          <w:kern w:val="0"/>
          <w:sz w:val="24"/>
        </w:rPr>
        <w:t>投资组合报告附注</w:t>
      </w:r>
    </w:p>
    <w:p w:rsidR="000C3452" w:rsidRPr="00B34368" w:rsidRDefault="000C3452" w:rsidP="000C3452">
      <w:pPr>
        <w:widowControl/>
        <w:spacing w:line="360" w:lineRule="auto"/>
        <w:rPr>
          <w:rFonts w:eastAsiaTheme="minorEastAsia"/>
          <w:color w:val="000000" w:themeColor="text1"/>
          <w:sz w:val="24"/>
        </w:rPr>
      </w:pPr>
      <w:r w:rsidRPr="00B34368">
        <w:rPr>
          <w:rFonts w:eastAsiaTheme="minorEastAsia"/>
          <w:color w:val="000000" w:themeColor="text1"/>
          <w:sz w:val="24"/>
        </w:rPr>
        <w:t>5.12.1</w:t>
      </w:r>
      <w:r w:rsidR="00BD1AD9">
        <w:rPr>
          <w:rFonts w:eastAsiaTheme="minorEastAsia" w:hint="eastAsia"/>
          <w:color w:val="000000" w:themeColor="text1"/>
          <w:sz w:val="24"/>
        </w:rPr>
        <w:t xml:space="preserve"> </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7</w:t>
      </w:r>
      <w:r w:rsidRPr="00B34368">
        <w:rPr>
          <w:rFonts w:eastAsiaTheme="minorEastAsia"/>
          <w:color w:val="000000" w:themeColor="text1"/>
          <w:sz w:val="24"/>
        </w:rPr>
        <w:t>月</w:t>
      </w:r>
      <w:r w:rsidRPr="00B34368">
        <w:rPr>
          <w:rFonts w:eastAsiaTheme="minorEastAsia"/>
          <w:color w:val="000000" w:themeColor="text1"/>
          <w:sz w:val="24"/>
        </w:rPr>
        <w:t>8</w:t>
      </w:r>
      <w:r w:rsidRPr="00B34368">
        <w:rPr>
          <w:rFonts w:eastAsiaTheme="minorEastAsia"/>
          <w:color w:val="000000" w:themeColor="text1"/>
          <w:sz w:val="24"/>
        </w:rPr>
        <w:t>日，中国银行保险监督管理委员会上海监管局针对兴业银行股份有限公司信用卡中心</w:t>
      </w:r>
      <w:r w:rsidRPr="00B34368">
        <w:rPr>
          <w:rFonts w:eastAsiaTheme="minorEastAsia"/>
          <w:color w:val="000000" w:themeColor="text1"/>
          <w:sz w:val="24"/>
        </w:rPr>
        <w:t>1</w:t>
      </w:r>
      <w:r w:rsidRPr="00B34368">
        <w:rPr>
          <w:rFonts w:eastAsiaTheme="minorEastAsia"/>
          <w:color w:val="000000" w:themeColor="text1"/>
          <w:sz w:val="24"/>
        </w:rPr>
        <w:t>、</w:t>
      </w:r>
      <w:r w:rsidRPr="00B34368">
        <w:rPr>
          <w:rFonts w:eastAsiaTheme="minorEastAsia"/>
          <w:color w:val="000000" w:themeColor="text1"/>
          <w:sz w:val="24"/>
        </w:rPr>
        <w:t>2016</w:t>
      </w:r>
      <w:r w:rsidRPr="00B34368">
        <w:rPr>
          <w:rFonts w:eastAsiaTheme="minorEastAsia"/>
          <w:color w:val="000000" w:themeColor="text1"/>
          <w:sz w:val="24"/>
        </w:rPr>
        <w:t>年</w:t>
      </w:r>
      <w:r w:rsidRPr="00B34368">
        <w:rPr>
          <w:rFonts w:eastAsiaTheme="minorEastAsia"/>
          <w:color w:val="000000" w:themeColor="text1"/>
          <w:sz w:val="24"/>
        </w:rPr>
        <w:t>1</w:t>
      </w:r>
      <w:r w:rsidRPr="00B34368">
        <w:rPr>
          <w:rFonts w:eastAsiaTheme="minorEastAsia"/>
          <w:color w:val="000000" w:themeColor="text1"/>
          <w:sz w:val="24"/>
        </w:rPr>
        <w:t>月至</w:t>
      </w:r>
      <w:r w:rsidRPr="00B34368">
        <w:rPr>
          <w:rFonts w:eastAsiaTheme="minorEastAsia"/>
          <w:color w:val="000000" w:themeColor="text1"/>
          <w:sz w:val="24"/>
        </w:rPr>
        <w:t>2018</w:t>
      </w:r>
      <w:r w:rsidRPr="00B34368">
        <w:rPr>
          <w:rFonts w:eastAsiaTheme="minorEastAsia"/>
          <w:color w:val="000000" w:themeColor="text1"/>
          <w:sz w:val="24"/>
        </w:rPr>
        <w:t>年</w:t>
      </w:r>
      <w:r w:rsidRPr="00B34368">
        <w:rPr>
          <w:rFonts w:eastAsiaTheme="minorEastAsia"/>
          <w:color w:val="000000" w:themeColor="text1"/>
          <w:sz w:val="24"/>
        </w:rPr>
        <w:t>1</w:t>
      </w:r>
      <w:r w:rsidRPr="00B34368">
        <w:rPr>
          <w:rFonts w:eastAsiaTheme="minorEastAsia"/>
          <w:color w:val="000000" w:themeColor="text1"/>
          <w:sz w:val="24"/>
        </w:rPr>
        <w:t>月在为部分客户办理信用卡业务时未遵守总授信额度管理制度；</w:t>
      </w:r>
      <w:r w:rsidRPr="00B34368">
        <w:rPr>
          <w:rFonts w:eastAsiaTheme="minorEastAsia"/>
          <w:color w:val="000000" w:themeColor="text1"/>
          <w:sz w:val="24"/>
        </w:rPr>
        <w:t>2</w:t>
      </w:r>
      <w:r w:rsidRPr="00B34368">
        <w:rPr>
          <w:rFonts w:eastAsiaTheme="minorEastAsia"/>
          <w:color w:val="000000" w:themeColor="text1"/>
          <w:sz w:val="24"/>
        </w:rPr>
        <w:t>、</w:t>
      </w:r>
      <w:r w:rsidRPr="00B34368">
        <w:rPr>
          <w:rFonts w:eastAsiaTheme="minorEastAsia"/>
          <w:color w:val="000000" w:themeColor="text1"/>
          <w:sz w:val="24"/>
        </w:rPr>
        <w:t>2016</w:t>
      </w:r>
      <w:r w:rsidRPr="00B34368">
        <w:rPr>
          <w:rFonts w:eastAsiaTheme="minorEastAsia"/>
          <w:color w:val="000000" w:themeColor="text1"/>
          <w:sz w:val="24"/>
        </w:rPr>
        <w:t>年至</w:t>
      </w:r>
      <w:r w:rsidRPr="00B34368">
        <w:rPr>
          <w:rFonts w:eastAsiaTheme="minorEastAsia"/>
          <w:color w:val="000000" w:themeColor="text1"/>
          <w:sz w:val="24"/>
        </w:rPr>
        <w:t>2018</w:t>
      </w:r>
      <w:r w:rsidRPr="00B34368">
        <w:rPr>
          <w:rFonts w:eastAsiaTheme="minorEastAsia"/>
          <w:color w:val="000000" w:themeColor="text1"/>
          <w:sz w:val="24"/>
        </w:rPr>
        <w:t>年</w:t>
      </w:r>
      <w:r w:rsidRPr="00B34368">
        <w:rPr>
          <w:rFonts w:eastAsiaTheme="minorEastAsia"/>
          <w:color w:val="000000" w:themeColor="text1"/>
          <w:sz w:val="24"/>
        </w:rPr>
        <w:t>8</w:t>
      </w:r>
      <w:r w:rsidRPr="00B34368">
        <w:rPr>
          <w:rFonts w:eastAsiaTheme="minorEastAsia"/>
          <w:color w:val="000000" w:themeColor="text1"/>
          <w:sz w:val="24"/>
        </w:rPr>
        <w:t>月对部分信用卡申请人资信水平调查严重不尽职的违法违规行为，责令改正，并处罚款</w:t>
      </w:r>
      <w:r w:rsidRPr="00B34368">
        <w:rPr>
          <w:rFonts w:eastAsiaTheme="minorEastAsia"/>
          <w:color w:val="000000" w:themeColor="text1"/>
          <w:sz w:val="24"/>
        </w:rPr>
        <w:t>40</w:t>
      </w:r>
      <w:r w:rsidRPr="00B34368">
        <w:rPr>
          <w:rFonts w:eastAsiaTheme="minorEastAsia"/>
          <w:color w:val="000000" w:themeColor="text1"/>
          <w:sz w:val="24"/>
        </w:rPr>
        <w:t>万元。</w:t>
      </w:r>
    </w:p>
    <w:p w:rsidR="0024428D" w:rsidRDefault="001B42CF">
      <w:pPr>
        <w:widowControl/>
        <w:spacing w:line="360" w:lineRule="auto"/>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8</w:t>
      </w:r>
      <w:r>
        <w:rPr>
          <w:rFonts w:eastAsiaTheme="minorEastAsia"/>
          <w:color w:val="000000" w:themeColor="text1"/>
          <w:sz w:val="24"/>
        </w:rPr>
        <w:t>日，中国银行保险监督管理委员会上海监管局对招商银行股份有限公司信用卡中心</w:t>
      </w:r>
      <w:r>
        <w:rPr>
          <w:rFonts w:eastAsiaTheme="minorEastAsia"/>
          <w:color w:val="000000" w:themeColor="text1"/>
          <w:sz w:val="24"/>
        </w:rPr>
        <w:t>2016</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月至</w:t>
      </w:r>
      <w:r>
        <w:rPr>
          <w:rFonts w:eastAsiaTheme="minorEastAsia"/>
          <w:color w:val="000000" w:themeColor="text1"/>
          <w:sz w:val="24"/>
        </w:rPr>
        <w:t>2018</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月在为部分客户办理信用卡业务时，未遵守总授信额度管理制度的违法违规事实，责令改正，并处罚款</w:t>
      </w:r>
      <w:r>
        <w:rPr>
          <w:rFonts w:eastAsiaTheme="minorEastAsia"/>
          <w:color w:val="000000" w:themeColor="text1"/>
          <w:sz w:val="24"/>
        </w:rPr>
        <w:t>20</w:t>
      </w:r>
      <w:r>
        <w:rPr>
          <w:rFonts w:eastAsiaTheme="minorEastAsia"/>
          <w:color w:val="000000" w:themeColor="text1"/>
          <w:sz w:val="24"/>
        </w:rPr>
        <w:t>万元。</w:t>
      </w:r>
    </w:p>
    <w:p w:rsidR="008F4A45" w:rsidRPr="008C41C3" w:rsidRDefault="008F4A45" w:rsidP="008C41C3">
      <w:pPr>
        <w:widowControl/>
        <w:spacing w:line="360" w:lineRule="auto"/>
        <w:rPr>
          <w:rFonts w:eastAsiaTheme="minorEastAsia"/>
          <w:color w:val="000000" w:themeColor="text1"/>
          <w:sz w:val="24"/>
        </w:rPr>
      </w:pPr>
      <w:r w:rsidRPr="008C41C3">
        <w:rPr>
          <w:rFonts w:eastAsiaTheme="minorEastAsia"/>
          <w:color w:val="000000" w:themeColor="text1"/>
          <w:sz w:val="24"/>
        </w:rPr>
        <w:t>2019</w:t>
      </w:r>
      <w:r w:rsidRPr="008C41C3">
        <w:rPr>
          <w:rFonts w:eastAsiaTheme="minorEastAsia" w:hint="eastAsia"/>
          <w:color w:val="000000" w:themeColor="text1"/>
          <w:sz w:val="24"/>
        </w:rPr>
        <w:t>年</w:t>
      </w:r>
      <w:r w:rsidRPr="008C41C3">
        <w:rPr>
          <w:rFonts w:eastAsiaTheme="minorEastAsia"/>
          <w:color w:val="000000" w:themeColor="text1"/>
          <w:sz w:val="24"/>
        </w:rPr>
        <w:t>11</w:t>
      </w:r>
      <w:r w:rsidRPr="008C41C3">
        <w:rPr>
          <w:rFonts w:eastAsiaTheme="minorEastAsia" w:hint="eastAsia"/>
          <w:color w:val="000000" w:themeColor="text1"/>
          <w:sz w:val="24"/>
        </w:rPr>
        <w:t>月</w:t>
      </w:r>
      <w:r w:rsidRPr="008C41C3">
        <w:rPr>
          <w:rFonts w:eastAsiaTheme="minorEastAsia"/>
          <w:color w:val="000000" w:themeColor="text1"/>
          <w:sz w:val="24"/>
        </w:rPr>
        <w:t>18</w:t>
      </w:r>
      <w:r w:rsidRPr="008C41C3">
        <w:rPr>
          <w:rFonts w:eastAsiaTheme="minorEastAsia" w:hint="eastAsia"/>
          <w:color w:val="000000" w:themeColor="text1"/>
          <w:sz w:val="24"/>
        </w:rPr>
        <w:t>日，珠海市交通运输局对珠海格力电器股份有限公司违反《超限运输车辆行驶公路管理规定》第四十三条的行为作出“罚款</w:t>
      </w:r>
      <w:r w:rsidRPr="008C41C3">
        <w:rPr>
          <w:rFonts w:eastAsiaTheme="minorEastAsia"/>
          <w:color w:val="000000" w:themeColor="text1"/>
          <w:sz w:val="24"/>
        </w:rPr>
        <w:t>4000</w:t>
      </w:r>
      <w:r w:rsidRPr="008C41C3">
        <w:rPr>
          <w:rFonts w:eastAsiaTheme="minorEastAsia" w:hint="eastAsia"/>
          <w:color w:val="000000" w:themeColor="text1"/>
          <w:sz w:val="24"/>
        </w:rPr>
        <w:t>元”的行政处罚决定。</w:t>
      </w:r>
    </w:p>
    <w:p w:rsidR="008F4A45" w:rsidRPr="008F4A45" w:rsidRDefault="008F4A45">
      <w:pPr>
        <w:widowControl/>
        <w:spacing w:line="360" w:lineRule="auto"/>
        <w:rPr>
          <w:rFonts w:eastAsiaTheme="minorEastAsia"/>
          <w:color w:val="000000" w:themeColor="text1"/>
          <w:sz w:val="24"/>
        </w:rPr>
      </w:pPr>
      <w:r w:rsidRPr="008C41C3">
        <w:rPr>
          <w:rFonts w:eastAsiaTheme="minorEastAsia"/>
          <w:color w:val="000000" w:themeColor="text1"/>
          <w:sz w:val="24"/>
        </w:rPr>
        <w:t>2019</w:t>
      </w:r>
      <w:r w:rsidRPr="008C41C3">
        <w:rPr>
          <w:rFonts w:eastAsiaTheme="minorEastAsia" w:hint="eastAsia"/>
          <w:color w:val="000000" w:themeColor="text1"/>
          <w:sz w:val="24"/>
        </w:rPr>
        <w:t>年</w:t>
      </w:r>
      <w:r w:rsidRPr="008C41C3">
        <w:rPr>
          <w:rFonts w:eastAsiaTheme="minorEastAsia"/>
          <w:color w:val="000000" w:themeColor="text1"/>
          <w:sz w:val="24"/>
        </w:rPr>
        <w:t>12</w:t>
      </w:r>
      <w:r w:rsidRPr="008C41C3">
        <w:rPr>
          <w:rFonts w:eastAsiaTheme="minorEastAsia" w:hint="eastAsia"/>
          <w:color w:val="000000" w:themeColor="text1"/>
          <w:sz w:val="24"/>
        </w:rPr>
        <w:t>月</w:t>
      </w:r>
      <w:r w:rsidRPr="008C41C3">
        <w:rPr>
          <w:rFonts w:eastAsiaTheme="minorEastAsia"/>
          <w:color w:val="000000" w:themeColor="text1"/>
          <w:sz w:val="24"/>
        </w:rPr>
        <w:t>4</w:t>
      </w:r>
      <w:r w:rsidRPr="008C41C3">
        <w:rPr>
          <w:rFonts w:eastAsiaTheme="minorEastAsia" w:hint="eastAsia"/>
          <w:color w:val="000000" w:themeColor="text1"/>
          <w:sz w:val="24"/>
        </w:rPr>
        <w:t>日，珠海市交通运输局对珠海格力电器股份有限公司违反《超限运输车辆行驶公路管理规定》第四十三条的行为作出“罚款</w:t>
      </w:r>
      <w:r w:rsidRPr="008C41C3">
        <w:rPr>
          <w:rFonts w:eastAsiaTheme="minorEastAsia"/>
          <w:color w:val="000000" w:themeColor="text1"/>
          <w:sz w:val="24"/>
        </w:rPr>
        <w:t>4000</w:t>
      </w:r>
      <w:r w:rsidRPr="008C41C3">
        <w:rPr>
          <w:rFonts w:eastAsiaTheme="minorEastAsia" w:hint="eastAsia"/>
          <w:color w:val="000000" w:themeColor="text1"/>
          <w:sz w:val="24"/>
        </w:rPr>
        <w:t>元”的行政处罚决定。</w:t>
      </w:r>
    </w:p>
    <w:p w:rsidR="0024428D" w:rsidRDefault="001B42CF">
      <w:pPr>
        <w:widowControl/>
        <w:spacing w:line="360" w:lineRule="auto"/>
        <w:rPr>
          <w:rFonts w:eastAsiaTheme="minorEastAsia"/>
          <w:color w:val="000000" w:themeColor="text1"/>
          <w:sz w:val="24"/>
        </w:rPr>
      </w:pPr>
      <w:r>
        <w:rPr>
          <w:rFonts w:eastAsiaTheme="minorEastAsia"/>
          <w:color w:val="000000" w:themeColor="text1"/>
          <w:sz w:val="24"/>
        </w:rPr>
        <w:t>本基金为目标</w:t>
      </w:r>
      <w:r>
        <w:rPr>
          <w:rFonts w:eastAsiaTheme="minorEastAsia"/>
          <w:color w:val="000000" w:themeColor="text1"/>
          <w:sz w:val="24"/>
        </w:rPr>
        <w:t>ETF</w:t>
      </w:r>
      <w:r>
        <w:rPr>
          <w:rFonts w:eastAsiaTheme="minorEastAsia"/>
          <w:color w:val="000000" w:themeColor="text1"/>
          <w:sz w:val="24"/>
        </w:rPr>
        <w:t>的联接基金，上述股票系标的指数成份股，上述股票的投资决策程序符合公司投资制度的规定。除招商银行、兴业银行</w:t>
      </w:r>
      <w:r w:rsidR="00C735C1">
        <w:rPr>
          <w:rFonts w:eastAsiaTheme="minorEastAsia"/>
          <w:color w:val="000000" w:themeColor="text1"/>
          <w:sz w:val="24"/>
        </w:rPr>
        <w:t>、</w:t>
      </w:r>
      <w:r w:rsidR="00C735C1">
        <w:rPr>
          <w:rFonts w:eastAsiaTheme="minorEastAsia" w:hint="eastAsia"/>
          <w:color w:val="000000" w:themeColor="text1"/>
          <w:sz w:val="24"/>
        </w:rPr>
        <w:t>格力电器</w:t>
      </w:r>
      <w:r>
        <w:rPr>
          <w:rFonts w:eastAsiaTheme="minorEastAsia"/>
          <w:color w:val="000000" w:themeColor="text1"/>
          <w:sz w:val="24"/>
        </w:rPr>
        <w:t>外，本基金的目标</w:t>
      </w:r>
      <w:r>
        <w:rPr>
          <w:rFonts w:eastAsiaTheme="minorEastAsia"/>
          <w:color w:val="000000" w:themeColor="text1"/>
          <w:sz w:val="24"/>
        </w:rPr>
        <w:t>ETF</w:t>
      </w:r>
      <w:r>
        <w:rPr>
          <w:rFonts w:eastAsiaTheme="minorEastAsia"/>
          <w:color w:val="000000" w:themeColor="text1"/>
          <w:sz w:val="24"/>
        </w:rPr>
        <w:t>投资的前十名证券的发行主体本期没有出现被监管部门立案调查，或在报告编制日前一年内受到公开谴责、处罚的情形。除招商银行、兴业银行外，本基金投资的前十名证券的发行主体本期没有出现被监管部门立案调查，或在报告编制日前一年内受到公开谴责、处罚的情形。</w:t>
      </w:r>
    </w:p>
    <w:p w:rsidR="000C3452" w:rsidRPr="00B34368" w:rsidRDefault="000C3452" w:rsidP="000C3452">
      <w:pPr>
        <w:widowControl/>
        <w:spacing w:line="360" w:lineRule="auto"/>
        <w:rPr>
          <w:rFonts w:eastAsiaTheme="minorEastAsia"/>
          <w:color w:val="000000" w:themeColor="text1"/>
          <w:sz w:val="24"/>
        </w:rPr>
      </w:pPr>
      <w:r w:rsidRPr="00B34368">
        <w:rPr>
          <w:rFonts w:eastAsiaTheme="minorEastAsia"/>
          <w:color w:val="000000" w:themeColor="text1"/>
          <w:sz w:val="24"/>
        </w:rPr>
        <w:t>5.12.2</w:t>
      </w:r>
      <w:r w:rsidR="00BD1AD9">
        <w:rPr>
          <w:rFonts w:eastAsiaTheme="minorEastAsia" w:hint="eastAsia"/>
          <w:color w:val="000000" w:themeColor="text1"/>
          <w:sz w:val="24"/>
        </w:rPr>
        <w:t xml:space="preserve"> </w:t>
      </w:r>
      <w:r w:rsidRPr="00B34368">
        <w:rPr>
          <w:rFonts w:eastAsiaTheme="minorEastAsia"/>
          <w:color w:val="000000" w:themeColor="text1"/>
          <w:sz w:val="24"/>
        </w:rPr>
        <w:t>本基金投资的前十名股票没有超出基金合同规定的备选股票库。</w:t>
      </w:r>
    </w:p>
    <w:p w:rsidR="001D5CD0" w:rsidRPr="00B34368" w:rsidRDefault="001D5CD0" w:rsidP="001D5CD0">
      <w:pPr>
        <w:autoSpaceDE w:val="0"/>
        <w:autoSpaceDN w:val="0"/>
        <w:adjustRightInd w:val="0"/>
        <w:spacing w:line="360" w:lineRule="auto"/>
        <w:rPr>
          <w:rFonts w:eastAsiaTheme="minorEastAsia"/>
          <w:b/>
          <w:color w:val="000000" w:themeColor="text1"/>
          <w:kern w:val="0"/>
          <w:sz w:val="24"/>
        </w:rPr>
      </w:pPr>
      <w:r w:rsidRPr="00B34368">
        <w:rPr>
          <w:rFonts w:eastAsiaTheme="minorEastAsia"/>
          <w:b/>
          <w:color w:val="000000" w:themeColor="text1"/>
          <w:kern w:val="0"/>
          <w:sz w:val="24"/>
        </w:rPr>
        <w:t>5.12.3</w:t>
      </w:r>
      <w:r w:rsidRPr="00B34368">
        <w:rPr>
          <w:rFonts w:eastAsiaTheme="minorEastAsia" w:hAnsiTheme="minorEastAsia"/>
          <w:b/>
          <w:color w:val="000000" w:themeColor="text1"/>
          <w:kern w:val="0"/>
          <w:sz w:val="24"/>
        </w:rPr>
        <w:t>其他各项资产构成</w:t>
      </w:r>
    </w:p>
    <w:tbl>
      <w:tblPr>
        <w:tblStyle w:val="af2"/>
        <w:tblW w:w="0" w:type="auto"/>
        <w:tblInd w:w="108" w:type="dxa"/>
        <w:tblLook w:val="04A0" w:firstRow="1" w:lastRow="0" w:firstColumn="1" w:lastColumn="0" w:noHBand="0" w:noVBand="1"/>
      </w:tblPr>
      <w:tblGrid>
        <w:gridCol w:w="944"/>
        <w:gridCol w:w="2761"/>
        <w:gridCol w:w="4808"/>
      </w:tblGrid>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序号</w:t>
            </w:r>
          </w:p>
        </w:tc>
        <w:tc>
          <w:tcPr>
            <w:tcW w:w="2761" w:type="dxa"/>
            <w:vAlign w:val="center"/>
          </w:tcPr>
          <w:p w:rsidR="001D5CD0" w:rsidRPr="00B34368" w:rsidRDefault="001D5CD0"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名称</w:t>
            </w:r>
          </w:p>
        </w:tc>
        <w:tc>
          <w:tcPr>
            <w:tcW w:w="4808" w:type="dxa"/>
            <w:vAlign w:val="center"/>
          </w:tcPr>
          <w:p w:rsidR="001D5CD0" w:rsidRPr="00B34368" w:rsidRDefault="001D5CD0"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金额</w:t>
            </w:r>
            <w:r w:rsidRPr="00B34368">
              <w:rPr>
                <w:rFonts w:eastAsiaTheme="minorEastAsia"/>
                <w:color w:val="000000" w:themeColor="text1"/>
                <w:kern w:val="0"/>
                <w:sz w:val="24"/>
              </w:rPr>
              <w:t>(</w:t>
            </w:r>
            <w:r w:rsidRPr="00B34368">
              <w:rPr>
                <w:rFonts w:eastAsiaTheme="minorEastAsia" w:hAnsiTheme="minorEastAsia"/>
                <w:color w:val="000000" w:themeColor="text1"/>
                <w:kern w:val="0"/>
                <w:sz w:val="24"/>
              </w:rPr>
              <w:t>元</w:t>
            </w: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color w:val="000000" w:themeColor="text1"/>
                <w:sz w:val="24"/>
              </w:rPr>
              <w:t>1</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存出保证金</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2,867,104.29</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2</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应收证券清算款</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290,846.64</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3</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应收股利</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4</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应收利息</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3,539,012.62</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5</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应收申购款</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24,532,835.04</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6</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其他应收款</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898,532.78</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7</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sz w:val="24"/>
              </w:rPr>
            </w:pPr>
            <w:r w:rsidRPr="00B34368">
              <w:rPr>
                <w:rFonts w:eastAsiaTheme="minorEastAsia" w:hAnsiTheme="minorEastAsia"/>
                <w:color w:val="000000" w:themeColor="text1"/>
                <w:sz w:val="24"/>
              </w:rPr>
              <w:t>待摊费用</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8</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其他</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9</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合计</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32,128,331.37</w:t>
            </w:r>
          </w:p>
        </w:tc>
      </w:tr>
    </w:tbl>
    <w:p w:rsidR="001D5CD0" w:rsidRPr="00B34368" w:rsidRDefault="001D5CD0"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5.12.4</w:t>
      </w:r>
      <w:r w:rsidRPr="00B34368">
        <w:rPr>
          <w:rFonts w:eastAsiaTheme="minorEastAsia" w:hAnsiTheme="minorEastAsia"/>
          <w:b/>
          <w:color w:val="000000" w:themeColor="text1"/>
          <w:kern w:val="0"/>
          <w:sz w:val="24"/>
        </w:rPr>
        <w:t>报告期末持有的处于转股期的可转换债券明细</w:t>
      </w:r>
    </w:p>
    <w:p w:rsidR="001D5CD0" w:rsidRPr="00B34368" w:rsidRDefault="001D5CD0"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本基金本报告期末未持有处于转股期的可转换债券。</w:t>
      </w:r>
    </w:p>
    <w:p w:rsidR="001D5CD0" w:rsidRPr="00B34368" w:rsidRDefault="001D5CD0" w:rsidP="00C544B8">
      <w:pPr>
        <w:autoSpaceDE w:val="0"/>
        <w:autoSpaceDN w:val="0"/>
        <w:adjustRightInd w:val="0"/>
        <w:spacing w:beforeLines="100" w:before="312" w:line="360" w:lineRule="auto"/>
        <w:jc w:val="left"/>
        <w:rPr>
          <w:rFonts w:eastAsiaTheme="minorEastAsia"/>
          <w:b/>
          <w:bCs/>
          <w:color w:val="000000" w:themeColor="text1"/>
          <w:sz w:val="24"/>
        </w:rPr>
      </w:pPr>
      <w:r w:rsidRPr="00B34368">
        <w:rPr>
          <w:rFonts w:eastAsiaTheme="minorEastAsia"/>
          <w:b/>
          <w:color w:val="000000" w:themeColor="text1"/>
          <w:kern w:val="0"/>
          <w:sz w:val="24"/>
        </w:rPr>
        <w:t>5.12.5</w:t>
      </w:r>
      <w:r w:rsidRPr="00B34368">
        <w:rPr>
          <w:rFonts w:eastAsiaTheme="minorEastAsia" w:hAnsiTheme="minorEastAsia"/>
          <w:b/>
          <w:bCs/>
          <w:color w:val="000000" w:themeColor="text1"/>
          <w:sz w:val="24"/>
        </w:rPr>
        <w:t>报告期末前十名股票中存在流通受限情况的说明</w:t>
      </w:r>
    </w:p>
    <w:tbl>
      <w:tblPr>
        <w:tblStyle w:val="af2"/>
        <w:tblW w:w="0" w:type="auto"/>
        <w:tblInd w:w="108" w:type="dxa"/>
        <w:tblLayout w:type="fixed"/>
        <w:tblLook w:val="04A0" w:firstRow="1" w:lastRow="0" w:firstColumn="1" w:lastColumn="0" w:noHBand="0" w:noVBand="1"/>
      </w:tblPr>
      <w:tblGrid>
        <w:gridCol w:w="1083"/>
        <w:gridCol w:w="1302"/>
        <w:gridCol w:w="1301"/>
        <w:gridCol w:w="1805"/>
        <w:gridCol w:w="1655"/>
        <w:gridCol w:w="1367"/>
      </w:tblGrid>
      <w:tr w:rsidR="00D3639B" w:rsidRPr="00B34368" w:rsidTr="00975D18">
        <w:tc>
          <w:tcPr>
            <w:tcW w:w="1083" w:type="dxa"/>
            <w:vAlign w:val="center"/>
          </w:tcPr>
          <w:p w:rsidR="001D5CD0" w:rsidRPr="00B34368" w:rsidRDefault="001D5CD0" w:rsidP="00AE2AD2">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序号</w:t>
            </w:r>
          </w:p>
        </w:tc>
        <w:tc>
          <w:tcPr>
            <w:tcW w:w="1302" w:type="dxa"/>
            <w:vAlign w:val="center"/>
          </w:tcPr>
          <w:p w:rsidR="001D5CD0" w:rsidRPr="00B34368" w:rsidRDefault="001D5CD0" w:rsidP="00AE2AD2">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股票代码</w:t>
            </w:r>
          </w:p>
        </w:tc>
        <w:tc>
          <w:tcPr>
            <w:tcW w:w="1301" w:type="dxa"/>
            <w:vAlign w:val="center"/>
          </w:tcPr>
          <w:p w:rsidR="001D5CD0" w:rsidRPr="00B34368" w:rsidRDefault="001D5CD0" w:rsidP="00AE2AD2">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股票名称</w:t>
            </w:r>
          </w:p>
        </w:tc>
        <w:tc>
          <w:tcPr>
            <w:tcW w:w="1805" w:type="dxa"/>
            <w:vAlign w:val="center"/>
          </w:tcPr>
          <w:p w:rsidR="001D5CD0" w:rsidRPr="00B34368" w:rsidRDefault="001D5CD0" w:rsidP="00AE2AD2">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流通受限部分的公允价值</w:t>
            </w:r>
            <w:r w:rsidRPr="00B34368">
              <w:rPr>
                <w:rFonts w:eastAsiaTheme="minorEastAsia"/>
                <w:color w:val="000000" w:themeColor="text1"/>
                <w:sz w:val="24"/>
              </w:rPr>
              <w:t>(</w:t>
            </w:r>
            <w:r w:rsidRPr="00B34368">
              <w:rPr>
                <w:rFonts w:eastAsiaTheme="minorEastAsia" w:hAnsiTheme="minorEastAsia"/>
                <w:color w:val="000000" w:themeColor="text1"/>
                <w:sz w:val="24"/>
              </w:rPr>
              <w:t>元</w:t>
            </w:r>
            <w:r w:rsidRPr="00B34368">
              <w:rPr>
                <w:rFonts w:eastAsiaTheme="minorEastAsia"/>
                <w:color w:val="000000" w:themeColor="text1"/>
                <w:sz w:val="24"/>
              </w:rPr>
              <w:t>)</w:t>
            </w:r>
          </w:p>
        </w:tc>
        <w:tc>
          <w:tcPr>
            <w:tcW w:w="1655" w:type="dxa"/>
            <w:vAlign w:val="center"/>
          </w:tcPr>
          <w:p w:rsidR="001D5CD0" w:rsidRPr="00B34368" w:rsidRDefault="001D5CD0" w:rsidP="00AE2AD2">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占基金资产净值比例</w:t>
            </w:r>
            <w:r w:rsidRPr="00B34368">
              <w:rPr>
                <w:rFonts w:eastAsiaTheme="minorEastAsia"/>
                <w:color w:val="000000" w:themeColor="text1"/>
                <w:sz w:val="24"/>
              </w:rPr>
              <w:t>(%)</w:t>
            </w:r>
          </w:p>
        </w:tc>
        <w:tc>
          <w:tcPr>
            <w:tcW w:w="1367" w:type="dxa"/>
            <w:vAlign w:val="center"/>
          </w:tcPr>
          <w:p w:rsidR="001D5CD0" w:rsidRPr="00B34368" w:rsidRDefault="001D5CD0" w:rsidP="00AE2AD2">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流通受限情况说明</w:t>
            </w:r>
          </w:p>
        </w:tc>
      </w:tr>
      <w:tr w:rsidR="0024428D">
        <w:tc>
          <w:tcPr>
            <w:tcW w:w="1083" w:type="dxa"/>
            <w:vAlign w:val="center"/>
          </w:tcPr>
          <w:p w:rsidR="0024428D" w:rsidRDefault="001B42CF">
            <w:pPr>
              <w:jc w:val="center"/>
            </w:pPr>
            <w:r>
              <w:rPr>
                <w:rFonts w:eastAsiaTheme="minorEastAsia"/>
                <w:color w:val="000000" w:themeColor="text1"/>
                <w:sz w:val="24"/>
              </w:rPr>
              <w:t>1</w:t>
            </w:r>
          </w:p>
        </w:tc>
        <w:tc>
          <w:tcPr>
            <w:tcW w:w="1302" w:type="dxa"/>
            <w:vAlign w:val="center"/>
          </w:tcPr>
          <w:p w:rsidR="0024428D" w:rsidRDefault="001B42CF">
            <w:pPr>
              <w:jc w:val="center"/>
            </w:pPr>
            <w:r>
              <w:rPr>
                <w:rFonts w:eastAsiaTheme="minorEastAsia"/>
                <w:color w:val="000000" w:themeColor="text1"/>
                <w:sz w:val="24"/>
              </w:rPr>
              <w:t>601816</w:t>
            </w:r>
          </w:p>
        </w:tc>
        <w:tc>
          <w:tcPr>
            <w:tcW w:w="1301" w:type="dxa"/>
            <w:vAlign w:val="center"/>
          </w:tcPr>
          <w:p w:rsidR="0024428D" w:rsidRDefault="001B42CF">
            <w:pPr>
              <w:jc w:val="center"/>
            </w:pPr>
            <w:r>
              <w:rPr>
                <w:rFonts w:eastAsiaTheme="minorEastAsia"/>
                <w:color w:val="000000" w:themeColor="text1"/>
                <w:sz w:val="24"/>
              </w:rPr>
              <w:t>京沪高铁</w:t>
            </w:r>
          </w:p>
        </w:tc>
        <w:tc>
          <w:tcPr>
            <w:tcW w:w="1805" w:type="dxa"/>
            <w:vAlign w:val="center"/>
          </w:tcPr>
          <w:p w:rsidR="0024428D" w:rsidRDefault="001B42CF">
            <w:pPr>
              <w:jc w:val="right"/>
            </w:pPr>
            <w:r>
              <w:rPr>
                <w:rFonts w:eastAsiaTheme="minorEastAsia"/>
                <w:color w:val="000000" w:themeColor="text1"/>
                <w:sz w:val="24"/>
              </w:rPr>
              <w:t>5,094,732.32</w:t>
            </w:r>
          </w:p>
        </w:tc>
        <w:tc>
          <w:tcPr>
            <w:tcW w:w="1655" w:type="dxa"/>
            <w:vAlign w:val="center"/>
          </w:tcPr>
          <w:p w:rsidR="0024428D" w:rsidRDefault="001B42CF">
            <w:pPr>
              <w:jc w:val="right"/>
            </w:pPr>
            <w:r>
              <w:rPr>
                <w:rFonts w:eastAsiaTheme="minorEastAsia"/>
                <w:color w:val="000000" w:themeColor="text1"/>
                <w:sz w:val="24"/>
              </w:rPr>
              <w:t>0.09</w:t>
            </w:r>
          </w:p>
        </w:tc>
        <w:tc>
          <w:tcPr>
            <w:tcW w:w="1367" w:type="dxa"/>
            <w:vAlign w:val="center"/>
          </w:tcPr>
          <w:p w:rsidR="0024428D" w:rsidRDefault="001B42CF">
            <w:pPr>
              <w:jc w:val="right"/>
            </w:pPr>
            <w:r>
              <w:rPr>
                <w:rFonts w:eastAsiaTheme="minorEastAsia"/>
                <w:color w:val="000000" w:themeColor="text1"/>
                <w:sz w:val="24"/>
              </w:rPr>
              <w:t>新股流通受限</w:t>
            </w:r>
          </w:p>
        </w:tc>
      </w:tr>
      <w:tr w:rsidR="0024428D">
        <w:tc>
          <w:tcPr>
            <w:tcW w:w="1083" w:type="dxa"/>
            <w:vAlign w:val="center"/>
          </w:tcPr>
          <w:p w:rsidR="0024428D" w:rsidRDefault="001B42CF">
            <w:pPr>
              <w:jc w:val="center"/>
            </w:pPr>
            <w:r>
              <w:rPr>
                <w:rFonts w:eastAsiaTheme="minorEastAsia"/>
                <w:color w:val="000000" w:themeColor="text1"/>
                <w:sz w:val="24"/>
              </w:rPr>
              <w:t>2</w:t>
            </w:r>
          </w:p>
        </w:tc>
        <w:tc>
          <w:tcPr>
            <w:tcW w:w="1302" w:type="dxa"/>
            <w:vAlign w:val="center"/>
          </w:tcPr>
          <w:p w:rsidR="0024428D" w:rsidRDefault="001B42CF">
            <w:pPr>
              <w:jc w:val="center"/>
            </w:pPr>
            <w:r>
              <w:rPr>
                <w:rFonts w:eastAsiaTheme="minorEastAsia"/>
                <w:color w:val="000000" w:themeColor="text1"/>
                <w:sz w:val="24"/>
              </w:rPr>
              <w:t>601916</w:t>
            </w:r>
          </w:p>
        </w:tc>
        <w:tc>
          <w:tcPr>
            <w:tcW w:w="1301" w:type="dxa"/>
            <w:vAlign w:val="center"/>
          </w:tcPr>
          <w:p w:rsidR="0024428D" w:rsidRDefault="001B42CF">
            <w:pPr>
              <w:jc w:val="center"/>
            </w:pPr>
            <w:r>
              <w:rPr>
                <w:rFonts w:eastAsiaTheme="minorEastAsia"/>
                <w:color w:val="000000" w:themeColor="text1"/>
                <w:sz w:val="24"/>
              </w:rPr>
              <w:t>浙商银行</w:t>
            </w:r>
          </w:p>
        </w:tc>
        <w:tc>
          <w:tcPr>
            <w:tcW w:w="1805" w:type="dxa"/>
            <w:vAlign w:val="center"/>
          </w:tcPr>
          <w:p w:rsidR="0024428D" w:rsidRDefault="001B42CF">
            <w:pPr>
              <w:jc w:val="right"/>
            </w:pPr>
            <w:r>
              <w:rPr>
                <w:rFonts w:eastAsiaTheme="minorEastAsia"/>
                <w:color w:val="000000" w:themeColor="text1"/>
                <w:sz w:val="24"/>
              </w:rPr>
              <w:t>1,167,954.15</w:t>
            </w:r>
          </w:p>
        </w:tc>
        <w:tc>
          <w:tcPr>
            <w:tcW w:w="1655" w:type="dxa"/>
            <w:vAlign w:val="center"/>
          </w:tcPr>
          <w:p w:rsidR="0024428D" w:rsidRDefault="001B42CF">
            <w:pPr>
              <w:jc w:val="right"/>
            </w:pPr>
            <w:r>
              <w:rPr>
                <w:rFonts w:eastAsiaTheme="minorEastAsia"/>
                <w:color w:val="000000" w:themeColor="text1"/>
                <w:sz w:val="24"/>
              </w:rPr>
              <w:t>0.02</w:t>
            </w:r>
          </w:p>
        </w:tc>
        <w:tc>
          <w:tcPr>
            <w:tcW w:w="1367" w:type="dxa"/>
            <w:vAlign w:val="center"/>
          </w:tcPr>
          <w:p w:rsidR="0024428D" w:rsidRDefault="001B42CF">
            <w:pPr>
              <w:jc w:val="right"/>
            </w:pPr>
            <w:r>
              <w:rPr>
                <w:rFonts w:eastAsiaTheme="minorEastAsia"/>
                <w:color w:val="000000" w:themeColor="text1"/>
                <w:sz w:val="24"/>
              </w:rPr>
              <w:t>新股流通受限</w:t>
            </w:r>
          </w:p>
        </w:tc>
      </w:tr>
    </w:tbl>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§6  </w:t>
      </w:r>
      <w:r w:rsidRPr="00B34368">
        <w:rPr>
          <w:rFonts w:eastAsiaTheme="minorEastAsia" w:hAnsiTheme="minorEastAsia"/>
          <w:color w:val="000000" w:themeColor="text1"/>
          <w:kern w:val="0"/>
          <w:sz w:val="24"/>
          <w:szCs w:val="24"/>
        </w:rPr>
        <w:t>开放式基金份额变动</w:t>
      </w:r>
    </w:p>
    <w:p w:rsidR="009238DB" w:rsidRPr="00B34368" w:rsidRDefault="009238DB" w:rsidP="00302187">
      <w:pPr>
        <w:autoSpaceDE w:val="0"/>
        <w:autoSpaceDN w:val="0"/>
        <w:adjustRightInd w:val="0"/>
        <w:spacing w:before="29" w:line="288" w:lineRule="auto"/>
        <w:ind w:left="15" w:right="480"/>
        <w:jc w:val="right"/>
        <w:rPr>
          <w:rFonts w:eastAsiaTheme="minorEastAsia"/>
          <w:color w:val="000000" w:themeColor="text1"/>
          <w:kern w:val="0"/>
          <w:sz w:val="24"/>
        </w:rPr>
      </w:pPr>
      <w:r w:rsidRPr="00B34368">
        <w:rPr>
          <w:rFonts w:eastAsiaTheme="minorEastAsia" w:hAnsiTheme="minorEastAsia"/>
          <w:color w:val="000000" w:themeColor="text1"/>
          <w:kern w:val="0"/>
          <w:sz w:val="24"/>
        </w:rPr>
        <w:t>单位：份</w:t>
      </w:r>
    </w:p>
    <w:tbl>
      <w:tblPr>
        <w:tblW w:w="0" w:type="auto"/>
        <w:tblInd w:w="108" w:type="dxa"/>
        <w:tblLayout w:type="fixed"/>
        <w:tblLook w:val="0000" w:firstRow="0" w:lastRow="0" w:firstColumn="0" w:lastColumn="0" w:noHBand="0" w:noVBand="0"/>
      </w:tblPr>
      <w:tblGrid>
        <w:gridCol w:w="3900"/>
        <w:gridCol w:w="2367"/>
        <w:gridCol w:w="2367"/>
      </w:tblGrid>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B84643">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易方达沪深</w:t>
            </w:r>
            <w:r w:rsidRPr="00B34368">
              <w:rPr>
                <w:rFonts w:eastAsiaTheme="minorEastAsia"/>
                <w:color w:val="000000" w:themeColor="text1"/>
                <w:sz w:val="24"/>
              </w:rPr>
              <w:t>300ETF</w:t>
            </w:r>
            <w:r w:rsidRPr="00B34368">
              <w:rPr>
                <w:rFonts w:eastAsiaTheme="minorEastAsia"/>
                <w:color w:val="000000" w:themeColor="text1"/>
                <w:sz w:val="24"/>
              </w:rPr>
              <w:t>发起式联接</w:t>
            </w:r>
            <w:r w:rsidRPr="00B34368">
              <w:rPr>
                <w:rFonts w:eastAsiaTheme="minorEastAsia"/>
                <w:color w:val="000000" w:themeColor="text1"/>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易方达沪深</w:t>
            </w:r>
            <w:r w:rsidRPr="00B34368">
              <w:rPr>
                <w:rFonts w:eastAsiaTheme="minorEastAsia"/>
                <w:color w:val="000000" w:themeColor="text1"/>
                <w:sz w:val="24"/>
              </w:rPr>
              <w:t>300ETF</w:t>
            </w:r>
            <w:r w:rsidRPr="00B34368">
              <w:rPr>
                <w:rFonts w:eastAsiaTheme="minorEastAsia"/>
                <w:color w:val="000000" w:themeColor="text1"/>
                <w:sz w:val="24"/>
              </w:rPr>
              <w:t>发起式联接</w:t>
            </w:r>
            <w:r w:rsidRPr="00B34368">
              <w:rPr>
                <w:rFonts w:eastAsiaTheme="minorEastAsia"/>
                <w:color w:val="000000" w:themeColor="text1"/>
                <w:sz w:val="24"/>
              </w:rPr>
              <w:t>C</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4,098,234,319.37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824,327,299.91</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F72579"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报告期</w:t>
            </w:r>
            <w:r w:rsidR="00936D40" w:rsidRPr="00B34368">
              <w:rPr>
                <w:rFonts w:eastAsiaTheme="minorEastAsia" w:hAnsiTheme="minorEastAsia"/>
                <w:color w:val="000000" w:themeColor="text1"/>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1,307,900,285.20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373,696,924.33</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减：</w:t>
            </w:r>
            <w:r w:rsidR="00F72579" w:rsidRPr="00B34368">
              <w:rPr>
                <w:rFonts w:eastAsiaTheme="minorEastAsia"/>
                <w:color w:val="000000" w:themeColor="text1"/>
                <w:kern w:val="0"/>
                <w:sz w:val="24"/>
              </w:rPr>
              <w:t>报告期</w:t>
            </w:r>
            <w:r w:rsidRPr="00B34368">
              <w:rPr>
                <w:rFonts w:eastAsiaTheme="minorEastAsia" w:hAnsiTheme="minorEastAsia"/>
                <w:color w:val="000000" w:themeColor="text1"/>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1,357,433,176.16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620,841,864.83</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F72579"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报告期</w:t>
            </w:r>
            <w:r w:rsidR="00936D40" w:rsidRPr="00B34368">
              <w:rPr>
                <w:rFonts w:eastAsiaTheme="minorEastAsia" w:hAnsiTheme="minorEastAsia"/>
                <w:color w:val="000000" w:themeColor="text1"/>
                <w:kern w:val="0"/>
                <w:sz w:val="24"/>
              </w:rPr>
              <w:t>基金拆分变动份额</w:t>
            </w:r>
            <w:r w:rsidR="00130E37" w:rsidRPr="00130E37">
              <w:rPr>
                <w:rFonts w:eastAsiaTheme="minorEastAsia" w:hAnsiTheme="minorEastAsia" w:hint="eastAsia"/>
                <w:color w:val="000000" w:themeColor="text1"/>
                <w:kern w:val="0"/>
                <w:sz w:val="24"/>
              </w:rPr>
              <w:t>（份额减少以“</w:t>
            </w:r>
            <w:r w:rsidR="00130E37" w:rsidRPr="00130E37">
              <w:rPr>
                <w:rFonts w:eastAsiaTheme="minorEastAsia" w:hAnsiTheme="minorEastAsia" w:hint="eastAsia"/>
                <w:color w:val="000000" w:themeColor="text1"/>
                <w:kern w:val="0"/>
                <w:sz w:val="24"/>
              </w:rPr>
              <w:t>-</w:t>
            </w:r>
            <w:r w:rsidR="00130E37" w:rsidRPr="00130E37">
              <w:rPr>
                <w:rFonts w:eastAsiaTheme="minorEastAsia" w:hAnsiTheme="minorEastAsia" w:hint="eastAsia"/>
                <w:color w:val="000000" w:themeColor="text1"/>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B57BCF">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4,048,701,428.41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577,182,359.41</w:t>
            </w:r>
          </w:p>
        </w:tc>
      </w:tr>
    </w:tbl>
    <w:p w:rsidR="00617125" w:rsidRPr="00B34368" w:rsidRDefault="00617125" w:rsidP="00C544B8">
      <w:pPr>
        <w:pStyle w:val="1"/>
        <w:tabs>
          <w:tab w:val="center" w:pos="4156"/>
          <w:tab w:val="right" w:pos="8312"/>
        </w:tabs>
        <w:spacing w:beforeLines="100" w:before="312" w:afterLines="100" w:after="312" w:line="360" w:lineRule="auto"/>
        <w:jc w:val="center"/>
        <w:rPr>
          <w:rFonts w:eastAsiaTheme="minorEastAsia"/>
          <w:color w:val="000000" w:themeColor="text1"/>
          <w:sz w:val="24"/>
          <w:szCs w:val="24"/>
        </w:rPr>
      </w:pPr>
      <w:r w:rsidRPr="00B34368">
        <w:rPr>
          <w:rFonts w:eastAsiaTheme="minorEastAsia"/>
          <w:color w:val="000000" w:themeColor="text1"/>
          <w:kern w:val="0"/>
          <w:sz w:val="24"/>
          <w:szCs w:val="24"/>
        </w:rPr>
        <w:t>§7</w:t>
      </w:r>
      <w:r w:rsidR="007661B8" w:rsidRPr="00B34368">
        <w:rPr>
          <w:rFonts w:eastAsiaTheme="minorEastAsia"/>
          <w:color w:val="000000" w:themeColor="text1"/>
          <w:kern w:val="0"/>
          <w:sz w:val="24"/>
          <w:szCs w:val="24"/>
        </w:rPr>
        <w:t xml:space="preserve">  </w:t>
      </w:r>
      <w:r w:rsidRPr="00B34368">
        <w:rPr>
          <w:rFonts w:eastAsiaTheme="minorEastAsia" w:hAnsiTheme="minorEastAsia"/>
          <w:color w:val="000000" w:themeColor="text1"/>
          <w:sz w:val="24"/>
          <w:szCs w:val="24"/>
        </w:rPr>
        <w:t>基金管理人运用固有资金投资本基金情况</w:t>
      </w:r>
    </w:p>
    <w:p w:rsidR="00617125" w:rsidRPr="00B34368" w:rsidRDefault="00617125" w:rsidP="00617125">
      <w:pPr>
        <w:spacing w:line="360" w:lineRule="auto"/>
        <w:jc w:val="left"/>
        <w:rPr>
          <w:rFonts w:eastAsiaTheme="minorEastAsia"/>
          <w:color w:val="000000" w:themeColor="text1"/>
          <w:sz w:val="24"/>
        </w:rPr>
      </w:pPr>
      <w:r w:rsidRPr="00B34368">
        <w:rPr>
          <w:rFonts w:eastAsiaTheme="minorEastAsia"/>
          <w:b/>
          <w:color w:val="000000" w:themeColor="text1"/>
          <w:sz w:val="24"/>
        </w:rPr>
        <w:t xml:space="preserve">7.1 </w:t>
      </w:r>
      <w:r w:rsidRPr="00B34368">
        <w:rPr>
          <w:rFonts w:eastAsiaTheme="minorEastAsia" w:hAnsiTheme="minorEastAsia"/>
          <w:b/>
          <w:color w:val="000000" w:themeColor="text1"/>
          <w:sz w:val="24"/>
        </w:rPr>
        <w:t>基金管理人持有本基金份额变动情况</w:t>
      </w:r>
    </w:p>
    <w:p w:rsidR="00617125" w:rsidRPr="00B34368" w:rsidRDefault="00A01C74" w:rsidP="00B34368">
      <w:pPr>
        <w:autoSpaceDE w:val="0"/>
        <w:autoSpaceDN w:val="0"/>
        <w:adjustRightInd w:val="0"/>
        <w:spacing w:line="360" w:lineRule="auto"/>
        <w:ind w:firstLineChars="200" w:firstLine="480"/>
        <w:jc w:val="left"/>
        <w:rPr>
          <w:rFonts w:eastAsiaTheme="minorEastAsia"/>
          <w:color w:val="000000" w:themeColor="text1"/>
          <w:sz w:val="24"/>
        </w:rPr>
      </w:pPr>
      <w:r w:rsidRPr="00DF18FE">
        <w:rPr>
          <w:color w:val="000000"/>
          <w:sz w:val="24"/>
        </w:rPr>
        <w:t>本报告期内基金管理人未持有本基金份额。</w:t>
      </w:r>
    </w:p>
    <w:p w:rsidR="00617125" w:rsidRPr="00B34368" w:rsidRDefault="00617125" w:rsidP="00C544B8">
      <w:pPr>
        <w:spacing w:beforeLines="100" w:before="312" w:line="360" w:lineRule="auto"/>
        <w:jc w:val="left"/>
        <w:rPr>
          <w:rFonts w:eastAsiaTheme="minorEastAsia"/>
          <w:color w:val="000000" w:themeColor="text1"/>
          <w:sz w:val="24"/>
        </w:rPr>
      </w:pPr>
      <w:r w:rsidRPr="00B34368">
        <w:rPr>
          <w:rFonts w:eastAsiaTheme="minorEastAsia"/>
          <w:b/>
          <w:color w:val="000000" w:themeColor="text1"/>
          <w:sz w:val="24"/>
        </w:rPr>
        <w:t xml:space="preserve">7.2 </w:t>
      </w:r>
      <w:r w:rsidRPr="00B34368">
        <w:rPr>
          <w:rFonts w:eastAsiaTheme="minorEastAsia" w:hAnsiTheme="minorEastAsia"/>
          <w:b/>
          <w:color w:val="000000" w:themeColor="text1"/>
          <w:sz w:val="24"/>
        </w:rPr>
        <w:t>基金管理人运用固有资金投资本基金交易明细</w:t>
      </w:r>
    </w:p>
    <w:p w:rsidR="00617125" w:rsidRPr="00B34368" w:rsidRDefault="00617125"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本报告期内基金管理人未运用固有资金申购、赎回、买卖本基金份额。</w:t>
      </w: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w:t>
      </w:r>
      <w:r w:rsidR="00A14399" w:rsidRPr="00B34368">
        <w:rPr>
          <w:rFonts w:eastAsiaTheme="minorEastAsia"/>
          <w:color w:val="000000" w:themeColor="text1"/>
          <w:kern w:val="0"/>
          <w:sz w:val="24"/>
          <w:szCs w:val="24"/>
        </w:rPr>
        <w:t>8</w:t>
      </w:r>
      <w:r w:rsidR="007661B8" w:rsidRPr="00B34368">
        <w:rPr>
          <w:rFonts w:eastAsiaTheme="minorEastAsia"/>
          <w:color w:val="000000" w:themeColor="text1"/>
          <w:kern w:val="0"/>
          <w:sz w:val="24"/>
          <w:szCs w:val="24"/>
        </w:rPr>
        <w:t xml:space="preserve">  </w:t>
      </w:r>
      <w:r w:rsidRPr="00B34368">
        <w:rPr>
          <w:rFonts w:eastAsiaTheme="minorEastAsia" w:hAnsiTheme="minorEastAsia"/>
          <w:color w:val="000000" w:themeColor="text1"/>
          <w:kern w:val="0"/>
          <w:sz w:val="24"/>
          <w:szCs w:val="24"/>
        </w:rPr>
        <w:t>备查文件目录</w:t>
      </w:r>
    </w:p>
    <w:p w:rsidR="00FB3C94" w:rsidRPr="00B34368" w:rsidRDefault="00A14399" w:rsidP="00FC13C8">
      <w:pPr>
        <w:autoSpaceDE w:val="0"/>
        <w:autoSpaceDN w:val="0"/>
        <w:adjustRightInd w:val="0"/>
        <w:spacing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8.</w:t>
      </w:r>
      <w:r w:rsidR="00D13A01" w:rsidRPr="00B34368">
        <w:rPr>
          <w:rFonts w:eastAsiaTheme="minorEastAsia"/>
          <w:b/>
          <w:bCs/>
          <w:color w:val="000000" w:themeColor="text1"/>
          <w:kern w:val="0"/>
          <w:sz w:val="24"/>
        </w:rPr>
        <w:t>1</w:t>
      </w:r>
      <w:r w:rsidR="00FB3C94" w:rsidRPr="00B34368">
        <w:rPr>
          <w:rFonts w:eastAsiaTheme="minorEastAsia" w:hAnsiTheme="minorEastAsia"/>
          <w:b/>
          <w:bCs/>
          <w:color w:val="000000" w:themeColor="text1"/>
          <w:kern w:val="0"/>
          <w:sz w:val="24"/>
        </w:rPr>
        <w:t>备查文件目录</w:t>
      </w:r>
    </w:p>
    <w:p w:rsidR="0024428D" w:rsidRDefault="0024428D">
      <w:pPr>
        <w:spacing w:line="360" w:lineRule="auto"/>
        <w:ind w:firstLineChars="200" w:firstLine="480"/>
        <w:rPr>
          <w:rFonts w:eastAsiaTheme="minorEastAsia"/>
          <w:color w:val="000000" w:themeColor="text1"/>
          <w:sz w:val="24"/>
        </w:rPr>
      </w:pPr>
    </w:p>
    <w:p w:rsidR="0024428D" w:rsidRDefault="001B42CF">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中国证监会核准易方达沪深</w:t>
      </w:r>
      <w:r>
        <w:rPr>
          <w:rFonts w:eastAsiaTheme="minorEastAsia"/>
          <w:color w:val="000000" w:themeColor="text1"/>
          <w:sz w:val="24"/>
        </w:rPr>
        <w:t>300</w:t>
      </w:r>
      <w:r>
        <w:rPr>
          <w:rFonts w:eastAsiaTheme="minorEastAsia"/>
          <w:color w:val="000000" w:themeColor="text1"/>
          <w:sz w:val="24"/>
        </w:rPr>
        <w:t>指数证券投资基金募集的文件；</w:t>
      </w:r>
    </w:p>
    <w:p w:rsidR="0024428D" w:rsidRDefault="001B42CF">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中国证监会《关于易方达沪深</w:t>
      </w:r>
      <w:r>
        <w:rPr>
          <w:rFonts w:eastAsiaTheme="minorEastAsia"/>
          <w:color w:val="000000" w:themeColor="text1"/>
          <w:sz w:val="24"/>
        </w:rPr>
        <w:t>300</w:t>
      </w:r>
      <w:r>
        <w:rPr>
          <w:rFonts w:eastAsiaTheme="minorEastAsia"/>
          <w:color w:val="000000" w:themeColor="text1"/>
          <w:sz w:val="24"/>
        </w:rPr>
        <w:t>指数证券投资基金基金份额持有人大会决议备案的回函》；</w:t>
      </w:r>
    </w:p>
    <w:p w:rsidR="0024428D" w:rsidRDefault="001B42CF">
      <w:pPr>
        <w:spacing w:line="360" w:lineRule="auto"/>
        <w:ind w:firstLineChars="200" w:firstLine="480"/>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《易方达沪深</w:t>
      </w:r>
      <w:r>
        <w:rPr>
          <w:rFonts w:eastAsiaTheme="minorEastAsia"/>
          <w:color w:val="000000" w:themeColor="text1"/>
          <w:sz w:val="24"/>
        </w:rPr>
        <w:t>300</w:t>
      </w:r>
      <w:r>
        <w:rPr>
          <w:rFonts w:eastAsiaTheme="minorEastAsia"/>
          <w:color w:val="000000" w:themeColor="text1"/>
          <w:sz w:val="24"/>
        </w:rPr>
        <w:t>交易型开放式指数发起式证券投资基金联接基金基金合同》；</w:t>
      </w:r>
    </w:p>
    <w:p w:rsidR="0024428D" w:rsidRDefault="001B42CF">
      <w:pPr>
        <w:spacing w:line="360" w:lineRule="auto"/>
        <w:ind w:firstLineChars="200" w:firstLine="480"/>
        <w:rPr>
          <w:rFonts w:eastAsiaTheme="minorEastAsia"/>
          <w:color w:val="000000" w:themeColor="text1"/>
          <w:sz w:val="24"/>
        </w:rPr>
      </w:pPr>
      <w:r>
        <w:rPr>
          <w:rFonts w:eastAsiaTheme="minorEastAsia"/>
          <w:color w:val="000000" w:themeColor="text1"/>
          <w:sz w:val="24"/>
        </w:rPr>
        <w:t>4.</w:t>
      </w:r>
      <w:r>
        <w:rPr>
          <w:rFonts w:eastAsiaTheme="minorEastAsia"/>
          <w:color w:val="000000" w:themeColor="text1"/>
          <w:sz w:val="24"/>
        </w:rPr>
        <w:t>《易方达沪深</w:t>
      </w:r>
      <w:r>
        <w:rPr>
          <w:rFonts w:eastAsiaTheme="minorEastAsia"/>
          <w:color w:val="000000" w:themeColor="text1"/>
          <w:sz w:val="24"/>
        </w:rPr>
        <w:t>300</w:t>
      </w:r>
      <w:r>
        <w:rPr>
          <w:rFonts w:eastAsiaTheme="minorEastAsia"/>
          <w:color w:val="000000" w:themeColor="text1"/>
          <w:sz w:val="24"/>
        </w:rPr>
        <w:t>交易型开放式指数发起式证券投资基金联接基金托管协议》；</w:t>
      </w:r>
    </w:p>
    <w:p w:rsidR="0024428D" w:rsidRDefault="001B42CF">
      <w:pPr>
        <w:spacing w:line="360" w:lineRule="auto"/>
        <w:ind w:firstLineChars="200" w:firstLine="480"/>
        <w:rPr>
          <w:rFonts w:eastAsiaTheme="minorEastAsia"/>
          <w:color w:val="000000" w:themeColor="text1"/>
          <w:sz w:val="24"/>
        </w:rPr>
      </w:pPr>
      <w:r>
        <w:rPr>
          <w:rFonts w:eastAsiaTheme="minorEastAsia"/>
          <w:color w:val="000000" w:themeColor="text1"/>
          <w:sz w:val="24"/>
        </w:rPr>
        <w:t>5.</w:t>
      </w:r>
      <w:r>
        <w:rPr>
          <w:rFonts w:eastAsiaTheme="minorEastAsia"/>
          <w:color w:val="000000" w:themeColor="text1"/>
          <w:sz w:val="24"/>
        </w:rPr>
        <w:t>《易方达基金管理有限公司开放式基金业务规则》；</w:t>
      </w:r>
    </w:p>
    <w:p w:rsidR="00F11783" w:rsidRPr="00B34368" w:rsidRDefault="00FB3C94"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6.</w:t>
      </w:r>
      <w:r w:rsidRPr="00B34368">
        <w:rPr>
          <w:rFonts w:eastAsiaTheme="minorEastAsia"/>
          <w:color w:val="000000" w:themeColor="text1"/>
          <w:sz w:val="24"/>
        </w:rPr>
        <w:t>基金管理人业务资格批件和营业执照。</w:t>
      </w:r>
    </w:p>
    <w:p w:rsidR="00FB3C94" w:rsidRPr="00B34368" w:rsidRDefault="00D13A01"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8.2</w:t>
      </w:r>
      <w:r w:rsidR="00FB3C94" w:rsidRPr="00B34368">
        <w:rPr>
          <w:rFonts w:eastAsiaTheme="minorEastAsia" w:hAnsiTheme="minorEastAsia"/>
          <w:b/>
          <w:bCs/>
          <w:color w:val="000000" w:themeColor="text1"/>
          <w:kern w:val="0"/>
          <w:sz w:val="24"/>
        </w:rPr>
        <w:t>存放地点</w:t>
      </w:r>
    </w:p>
    <w:p w:rsidR="00F11783" w:rsidRPr="00B34368" w:rsidRDefault="00FB3C94"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广州市天河区珠江新城珠江东路</w:t>
      </w:r>
      <w:r w:rsidRPr="00B34368">
        <w:rPr>
          <w:rFonts w:eastAsiaTheme="minorEastAsia"/>
          <w:color w:val="000000" w:themeColor="text1"/>
          <w:sz w:val="24"/>
        </w:rPr>
        <w:t>30</w:t>
      </w:r>
      <w:r w:rsidRPr="00B34368">
        <w:rPr>
          <w:rFonts w:eastAsiaTheme="minorEastAsia"/>
          <w:color w:val="000000" w:themeColor="text1"/>
          <w:sz w:val="24"/>
        </w:rPr>
        <w:t>号广州银行大厦</w:t>
      </w:r>
      <w:r w:rsidRPr="00B34368">
        <w:rPr>
          <w:rFonts w:eastAsiaTheme="minorEastAsia"/>
          <w:color w:val="000000" w:themeColor="text1"/>
          <w:sz w:val="24"/>
        </w:rPr>
        <w:t>40-43</w:t>
      </w:r>
      <w:r w:rsidRPr="00B34368">
        <w:rPr>
          <w:rFonts w:eastAsiaTheme="minorEastAsia"/>
          <w:color w:val="000000" w:themeColor="text1"/>
          <w:sz w:val="24"/>
        </w:rPr>
        <w:t>楼。</w:t>
      </w:r>
    </w:p>
    <w:p w:rsidR="00FB3C94" w:rsidRPr="00B34368" w:rsidRDefault="00D13A01"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8.3</w:t>
      </w:r>
      <w:r w:rsidR="00FB3C94" w:rsidRPr="00B34368">
        <w:rPr>
          <w:rFonts w:eastAsiaTheme="minorEastAsia" w:hAnsiTheme="minorEastAsia"/>
          <w:b/>
          <w:bCs/>
          <w:color w:val="000000" w:themeColor="text1"/>
          <w:kern w:val="0"/>
          <w:sz w:val="24"/>
        </w:rPr>
        <w:t>查阅方式</w:t>
      </w:r>
    </w:p>
    <w:p w:rsidR="00FB3C94" w:rsidRPr="00B34368" w:rsidRDefault="00FB3C94"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投资者可在营业时间免费查阅，也可按工本费购买复印件。</w:t>
      </w:r>
    </w:p>
    <w:p w:rsidR="00FB3C94" w:rsidRPr="00B34368" w:rsidRDefault="00FB3C94" w:rsidP="00FB3C94">
      <w:pPr>
        <w:spacing w:line="360" w:lineRule="auto"/>
        <w:ind w:left="840"/>
        <w:jc w:val="right"/>
        <w:rPr>
          <w:rFonts w:eastAsiaTheme="minorEastAsia"/>
          <w:color w:val="000000" w:themeColor="text1"/>
          <w:sz w:val="24"/>
        </w:rPr>
      </w:pPr>
    </w:p>
    <w:p w:rsidR="00AF3AF9" w:rsidRPr="00B34368" w:rsidRDefault="00AF3AF9" w:rsidP="00053FFD">
      <w:pPr>
        <w:spacing w:line="360" w:lineRule="auto"/>
        <w:ind w:left="840"/>
        <w:jc w:val="center"/>
        <w:rPr>
          <w:rFonts w:eastAsiaTheme="minorEastAsia"/>
          <w:b/>
          <w:color w:val="000000" w:themeColor="text1"/>
          <w:sz w:val="24"/>
        </w:rPr>
      </w:pPr>
    </w:p>
    <w:p w:rsidR="00FB3C94" w:rsidRPr="00B34368" w:rsidRDefault="00FB3C94" w:rsidP="00B1493B">
      <w:pPr>
        <w:spacing w:line="360" w:lineRule="auto"/>
        <w:jc w:val="right"/>
        <w:rPr>
          <w:rFonts w:eastAsiaTheme="minorEastAsia"/>
          <w:b/>
          <w:bCs/>
          <w:color w:val="000000" w:themeColor="text1"/>
          <w:sz w:val="24"/>
        </w:rPr>
      </w:pPr>
      <w:r w:rsidRPr="00B34368">
        <w:rPr>
          <w:rFonts w:eastAsiaTheme="minorEastAsia"/>
          <w:b/>
          <w:bCs/>
          <w:color w:val="000000" w:themeColor="text1"/>
          <w:sz w:val="24"/>
        </w:rPr>
        <w:t>易方达基金管理有限公司</w:t>
      </w:r>
    </w:p>
    <w:p w:rsidR="009238DB" w:rsidRPr="00B34368" w:rsidRDefault="00D04410" w:rsidP="00B1493B">
      <w:pPr>
        <w:spacing w:line="360" w:lineRule="auto"/>
        <w:jc w:val="right"/>
        <w:rPr>
          <w:rFonts w:eastAsiaTheme="minorEastAsia"/>
          <w:b/>
          <w:bCs/>
          <w:color w:val="000000" w:themeColor="text1"/>
          <w:sz w:val="24"/>
        </w:rPr>
      </w:pPr>
      <w:r w:rsidRPr="00B34368">
        <w:rPr>
          <w:rFonts w:eastAsiaTheme="minorEastAsia"/>
          <w:b/>
          <w:bCs/>
          <w:color w:val="000000" w:themeColor="text1"/>
          <w:sz w:val="24"/>
        </w:rPr>
        <w:t>二〇二〇年四月二十一日</w:t>
      </w:r>
    </w:p>
    <w:sectPr w:rsidR="009238DB" w:rsidRPr="00B34368" w:rsidSect="00A8324F">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D3B" w:rsidRDefault="00873D3B">
      <w:r>
        <w:separator/>
      </w:r>
    </w:p>
  </w:endnote>
  <w:endnote w:type="continuationSeparator" w:id="0">
    <w:p w:rsidR="00873D3B" w:rsidRDefault="0087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EA55D2">
      <w:rPr>
        <w:kern w:val="0"/>
        <w:szCs w:val="21"/>
      </w:rPr>
      <w:fldChar w:fldCharType="begin"/>
    </w:r>
    <w:r>
      <w:rPr>
        <w:kern w:val="0"/>
        <w:szCs w:val="21"/>
      </w:rPr>
      <w:instrText xml:space="preserve"> PAGE </w:instrText>
    </w:r>
    <w:r w:rsidR="00EA55D2">
      <w:rPr>
        <w:kern w:val="0"/>
        <w:szCs w:val="21"/>
      </w:rPr>
      <w:fldChar w:fldCharType="separate"/>
    </w:r>
    <w:r w:rsidR="008C41C3">
      <w:rPr>
        <w:noProof/>
        <w:kern w:val="0"/>
        <w:szCs w:val="21"/>
      </w:rPr>
      <w:t>1</w:t>
    </w:r>
    <w:r w:rsidR="00EA55D2">
      <w:rPr>
        <w:kern w:val="0"/>
        <w:szCs w:val="21"/>
      </w:rPr>
      <w:fldChar w:fldCharType="end"/>
    </w:r>
    <w:r>
      <w:rPr>
        <w:rFonts w:hint="eastAsia"/>
        <w:kern w:val="0"/>
        <w:szCs w:val="21"/>
      </w:rPr>
      <w:t>页共</w:t>
    </w:r>
    <w:r w:rsidR="00EA55D2">
      <w:rPr>
        <w:kern w:val="0"/>
        <w:szCs w:val="21"/>
      </w:rPr>
      <w:fldChar w:fldCharType="begin"/>
    </w:r>
    <w:r>
      <w:rPr>
        <w:kern w:val="0"/>
        <w:szCs w:val="21"/>
      </w:rPr>
      <w:instrText xml:space="preserve"> NUMPAGES </w:instrText>
    </w:r>
    <w:r w:rsidR="00EA55D2">
      <w:rPr>
        <w:kern w:val="0"/>
        <w:szCs w:val="21"/>
      </w:rPr>
      <w:fldChar w:fldCharType="separate"/>
    </w:r>
    <w:r w:rsidR="008C41C3">
      <w:rPr>
        <w:noProof/>
        <w:kern w:val="0"/>
        <w:szCs w:val="21"/>
      </w:rPr>
      <w:t>6</w:t>
    </w:r>
    <w:r w:rsidR="00EA55D2">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EA55D2">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EA55D2">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separate"/>
    </w:r>
    <w:r w:rsidR="008C41C3">
      <w:rPr>
        <w:rStyle w:val="a7"/>
        <w:noProof/>
      </w:rPr>
      <w:t>5</w: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D3B" w:rsidRDefault="00873D3B">
      <w:r>
        <w:separator/>
      </w:r>
    </w:p>
  </w:footnote>
  <w:footnote w:type="continuationSeparator" w:id="0">
    <w:p w:rsidR="00873D3B" w:rsidRDefault="00873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7C1122" w:rsidP="001207F2">
    <w:pPr>
      <w:pStyle w:val="a9"/>
      <w:pBdr>
        <w:bottom w:val="single" w:sz="6" w:space="0" w:color="auto"/>
      </w:pBdr>
      <w:jc w:val="right"/>
    </w:pPr>
    <w:r>
      <w:rPr>
        <w:sz w:val="21"/>
        <w:szCs w:val="21"/>
      </w:rPr>
      <w:t>易方达沪深</w:t>
    </w:r>
    <w:r>
      <w:rPr>
        <w:sz w:val="21"/>
        <w:szCs w:val="21"/>
      </w:rPr>
      <w:t>300</w:t>
    </w:r>
    <w:r>
      <w:rPr>
        <w:sz w:val="21"/>
        <w:szCs w:val="21"/>
      </w:rPr>
      <w:t>交易型开放式指数发起式证券投资基金联接基金</w:t>
    </w:r>
    <w:r>
      <w:rPr>
        <w:sz w:val="21"/>
        <w:szCs w:val="21"/>
      </w:rPr>
      <w:t>2020</w:t>
    </w:r>
    <w:r>
      <w:rPr>
        <w:sz w:val="21"/>
        <w:szCs w:val="21"/>
      </w:rPr>
      <w:t>年第</w:t>
    </w:r>
    <w:r>
      <w:rPr>
        <w:sz w:val="21"/>
        <w:szCs w:val="21"/>
      </w:rPr>
      <w:t>1</w:t>
    </w:r>
    <w:r>
      <w:rPr>
        <w:sz w:val="21"/>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2791"/>
    <w:rsid w:val="0000403B"/>
    <w:rsid w:val="00007441"/>
    <w:rsid w:val="00007F1F"/>
    <w:rsid w:val="00010A83"/>
    <w:rsid w:val="000137C1"/>
    <w:rsid w:val="000142F4"/>
    <w:rsid w:val="00014851"/>
    <w:rsid w:val="0001579C"/>
    <w:rsid w:val="00016551"/>
    <w:rsid w:val="00016934"/>
    <w:rsid w:val="00020737"/>
    <w:rsid w:val="00020C27"/>
    <w:rsid w:val="000219D5"/>
    <w:rsid w:val="00022396"/>
    <w:rsid w:val="00023073"/>
    <w:rsid w:val="00023B97"/>
    <w:rsid w:val="00024836"/>
    <w:rsid w:val="00024FB8"/>
    <w:rsid w:val="000252D8"/>
    <w:rsid w:val="0003564A"/>
    <w:rsid w:val="00035B0C"/>
    <w:rsid w:val="00042065"/>
    <w:rsid w:val="00043FD2"/>
    <w:rsid w:val="00045BA9"/>
    <w:rsid w:val="00047D87"/>
    <w:rsid w:val="000510AB"/>
    <w:rsid w:val="00053FFD"/>
    <w:rsid w:val="00056D5C"/>
    <w:rsid w:val="00057507"/>
    <w:rsid w:val="00061B0B"/>
    <w:rsid w:val="00061E09"/>
    <w:rsid w:val="00062C69"/>
    <w:rsid w:val="00062DC5"/>
    <w:rsid w:val="00062E1F"/>
    <w:rsid w:val="00064601"/>
    <w:rsid w:val="00064AE3"/>
    <w:rsid w:val="0006750A"/>
    <w:rsid w:val="00075E4E"/>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3452"/>
    <w:rsid w:val="000C45E7"/>
    <w:rsid w:val="000C5956"/>
    <w:rsid w:val="000C751D"/>
    <w:rsid w:val="000C757F"/>
    <w:rsid w:val="000C7DD4"/>
    <w:rsid w:val="000D1164"/>
    <w:rsid w:val="000D1BBE"/>
    <w:rsid w:val="000D3773"/>
    <w:rsid w:val="000D4DE9"/>
    <w:rsid w:val="000D53FB"/>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0862"/>
    <w:rsid w:val="00121533"/>
    <w:rsid w:val="00121F00"/>
    <w:rsid w:val="0012304E"/>
    <w:rsid w:val="00123051"/>
    <w:rsid w:val="001257C7"/>
    <w:rsid w:val="00125E66"/>
    <w:rsid w:val="00126AC0"/>
    <w:rsid w:val="00126C2B"/>
    <w:rsid w:val="00127A01"/>
    <w:rsid w:val="0013097B"/>
    <w:rsid w:val="00130D77"/>
    <w:rsid w:val="00130E37"/>
    <w:rsid w:val="00131EF6"/>
    <w:rsid w:val="0013251D"/>
    <w:rsid w:val="00134734"/>
    <w:rsid w:val="00134CBE"/>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12"/>
    <w:rsid w:val="00176874"/>
    <w:rsid w:val="0017725A"/>
    <w:rsid w:val="0018052A"/>
    <w:rsid w:val="00180952"/>
    <w:rsid w:val="0018191A"/>
    <w:rsid w:val="001837D3"/>
    <w:rsid w:val="001857CB"/>
    <w:rsid w:val="00185B68"/>
    <w:rsid w:val="00186199"/>
    <w:rsid w:val="00194155"/>
    <w:rsid w:val="001A0417"/>
    <w:rsid w:val="001A0B71"/>
    <w:rsid w:val="001A1389"/>
    <w:rsid w:val="001A3016"/>
    <w:rsid w:val="001A3914"/>
    <w:rsid w:val="001A5FA6"/>
    <w:rsid w:val="001A78CC"/>
    <w:rsid w:val="001B053A"/>
    <w:rsid w:val="001B06D5"/>
    <w:rsid w:val="001B0C78"/>
    <w:rsid w:val="001B1A13"/>
    <w:rsid w:val="001B22BA"/>
    <w:rsid w:val="001B42CF"/>
    <w:rsid w:val="001B67D3"/>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028"/>
    <w:rsid w:val="001F5F5F"/>
    <w:rsid w:val="001F66D3"/>
    <w:rsid w:val="00205064"/>
    <w:rsid w:val="0020548A"/>
    <w:rsid w:val="00206EC3"/>
    <w:rsid w:val="00211668"/>
    <w:rsid w:val="002118A6"/>
    <w:rsid w:val="002122FF"/>
    <w:rsid w:val="002125F7"/>
    <w:rsid w:val="0021288A"/>
    <w:rsid w:val="002150AC"/>
    <w:rsid w:val="002164B5"/>
    <w:rsid w:val="00221938"/>
    <w:rsid w:val="00222262"/>
    <w:rsid w:val="002230A8"/>
    <w:rsid w:val="00225E1C"/>
    <w:rsid w:val="00227D20"/>
    <w:rsid w:val="00231BCE"/>
    <w:rsid w:val="00233CFB"/>
    <w:rsid w:val="002359EB"/>
    <w:rsid w:val="0023649E"/>
    <w:rsid w:val="00241740"/>
    <w:rsid w:val="002424E4"/>
    <w:rsid w:val="00243122"/>
    <w:rsid w:val="002437F5"/>
    <w:rsid w:val="0024428D"/>
    <w:rsid w:val="00244DB1"/>
    <w:rsid w:val="00245012"/>
    <w:rsid w:val="0024504E"/>
    <w:rsid w:val="00245B76"/>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F0516"/>
    <w:rsid w:val="002F22D2"/>
    <w:rsid w:val="002F778A"/>
    <w:rsid w:val="002F7889"/>
    <w:rsid w:val="00302187"/>
    <w:rsid w:val="003028D8"/>
    <w:rsid w:val="0030290F"/>
    <w:rsid w:val="00302DE9"/>
    <w:rsid w:val="0030385E"/>
    <w:rsid w:val="00303869"/>
    <w:rsid w:val="00303F1D"/>
    <w:rsid w:val="00305084"/>
    <w:rsid w:val="00311ABF"/>
    <w:rsid w:val="003123E9"/>
    <w:rsid w:val="00314A81"/>
    <w:rsid w:val="00314DD2"/>
    <w:rsid w:val="00315A7C"/>
    <w:rsid w:val="00317705"/>
    <w:rsid w:val="003204E9"/>
    <w:rsid w:val="003232AA"/>
    <w:rsid w:val="00323A10"/>
    <w:rsid w:val="00323E6A"/>
    <w:rsid w:val="00323F25"/>
    <w:rsid w:val="00324A71"/>
    <w:rsid w:val="003303E3"/>
    <w:rsid w:val="0033236C"/>
    <w:rsid w:val="00334656"/>
    <w:rsid w:val="00337A86"/>
    <w:rsid w:val="0034147B"/>
    <w:rsid w:val="00341889"/>
    <w:rsid w:val="003426CE"/>
    <w:rsid w:val="00343016"/>
    <w:rsid w:val="0034447B"/>
    <w:rsid w:val="00350C22"/>
    <w:rsid w:val="00351704"/>
    <w:rsid w:val="003570C8"/>
    <w:rsid w:val="00367770"/>
    <w:rsid w:val="00371424"/>
    <w:rsid w:val="00371FF4"/>
    <w:rsid w:val="00372209"/>
    <w:rsid w:val="00377160"/>
    <w:rsid w:val="003771ED"/>
    <w:rsid w:val="0037768B"/>
    <w:rsid w:val="00382E6F"/>
    <w:rsid w:val="00387C00"/>
    <w:rsid w:val="00397960"/>
    <w:rsid w:val="00397F75"/>
    <w:rsid w:val="003A2008"/>
    <w:rsid w:val="003A3BC4"/>
    <w:rsid w:val="003A4AA3"/>
    <w:rsid w:val="003B405E"/>
    <w:rsid w:val="003B4843"/>
    <w:rsid w:val="003B494E"/>
    <w:rsid w:val="003B560C"/>
    <w:rsid w:val="003C6E9E"/>
    <w:rsid w:val="003C792F"/>
    <w:rsid w:val="003D117A"/>
    <w:rsid w:val="003D36B2"/>
    <w:rsid w:val="003D42D5"/>
    <w:rsid w:val="003D78B5"/>
    <w:rsid w:val="003E0BD4"/>
    <w:rsid w:val="003E45B9"/>
    <w:rsid w:val="003E654C"/>
    <w:rsid w:val="003F0DE5"/>
    <w:rsid w:val="003F46FC"/>
    <w:rsid w:val="003F4AA5"/>
    <w:rsid w:val="003F697D"/>
    <w:rsid w:val="003F7C45"/>
    <w:rsid w:val="00400500"/>
    <w:rsid w:val="0040132C"/>
    <w:rsid w:val="0040218E"/>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358D6"/>
    <w:rsid w:val="004408EC"/>
    <w:rsid w:val="00440F74"/>
    <w:rsid w:val="00441FEC"/>
    <w:rsid w:val="004425E8"/>
    <w:rsid w:val="0044280E"/>
    <w:rsid w:val="00443C8F"/>
    <w:rsid w:val="00447BC6"/>
    <w:rsid w:val="004501CE"/>
    <w:rsid w:val="00452481"/>
    <w:rsid w:val="00452B25"/>
    <w:rsid w:val="00453417"/>
    <w:rsid w:val="00454A0F"/>
    <w:rsid w:val="0046335D"/>
    <w:rsid w:val="00463C2C"/>
    <w:rsid w:val="00483271"/>
    <w:rsid w:val="0049210E"/>
    <w:rsid w:val="0049297D"/>
    <w:rsid w:val="0049327D"/>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2133"/>
    <w:rsid w:val="004E4E04"/>
    <w:rsid w:val="004F521C"/>
    <w:rsid w:val="005002A3"/>
    <w:rsid w:val="00502CD8"/>
    <w:rsid w:val="0050361C"/>
    <w:rsid w:val="0050527A"/>
    <w:rsid w:val="00506A40"/>
    <w:rsid w:val="0051064F"/>
    <w:rsid w:val="00513A0E"/>
    <w:rsid w:val="005142E5"/>
    <w:rsid w:val="00515D7B"/>
    <w:rsid w:val="00515F29"/>
    <w:rsid w:val="0052009E"/>
    <w:rsid w:val="00524880"/>
    <w:rsid w:val="00530161"/>
    <w:rsid w:val="005413D4"/>
    <w:rsid w:val="0054389B"/>
    <w:rsid w:val="005450F7"/>
    <w:rsid w:val="00545A0B"/>
    <w:rsid w:val="00545BED"/>
    <w:rsid w:val="0054672F"/>
    <w:rsid w:val="00547A9A"/>
    <w:rsid w:val="00547FA4"/>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3723"/>
    <w:rsid w:val="0058694E"/>
    <w:rsid w:val="005875F9"/>
    <w:rsid w:val="00593A35"/>
    <w:rsid w:val="00593C74"/>
    <w:rsid w:val="00597D8B"/>
    <w:rsid w:val="005A46FF"/>
    <w:rsid w:val="005A557E"/>
    <w:rsid w:val="005A63FD"/>
    <w:rsid w:val="005B462A"/>
    <w:rsid w:val="005B5137"/>
    <w:rsid w:val="005B6047"/>
    <w:rsid w:val="005C0ED7"/>
    <w:rsid w:val="005C4AE5"/>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321C"/>
    <w:rsid w:val="00613F44"/>
    <w:rsid w:val="006160BD"/>
    <w:rsid w:val="0061679A"/>
    <w:rsid w:val="00617125"/>
    <w:rsid w:val="00620EDB"/>
    <w:rsid w:val="0062386E"/>
    <w:rsid w:val="00623DB6"/>
    <w:rsid w:val="00624EDE"/>
    <w:rsid w:val="006253EF"/>
    <w:rsid w:val="00626075"/>
    <w:rsid w:val="0062680E"/>
    <w:rsid w:val="00631158"/>
    <w:rsid w:val="00632923"/>
    <w:rsid w:val="006341E6"/>
    <w:rsid w:val="00634439"/>
    <w:rsid w:val="006366C6"/>
    <w:rsid w:val="00636B55"/>
    <w:rsid w:val="00636EB1"/>
    <w:rsid w:val="006373D6"/>
    <w:rsid w:val="006403D4"/>
    <w:rsid w:val="00642CBC"/>
    <w:rsid w:val="00643760"/>
    <w:rsid w:val="0064454A"/>
    <w:rsid w:val="00645293"/>
    <w:rsid w:val="0064698F"/>
    <w:rsid w:val="00651B78"/>
    <w:rsid w:val="0065237A"/>
    <w:rsid w:val="00652FF5"/>
    <w:rsid w:val="00654382"/>
    <w:rsid w:val="00654758"/>
    <w:rsid w:val="00661244"/>
    <w:rsid w:val="006640DF"/>
    <w:rsid w:val="00666A3C"/>
    <w:rsid w:val="00667519"/>
    <w:rsid w:val="006676A0"/>
    <w:rsid w:val="00670857"/>
    <w:rsid w:val="00670868"/>
    <w:rsid w:val="00673D69"/>
    <w:rsid w:val="00676431"/>
    <w:rsid w:val="0068050D"/>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4DD1"/>
    <w:rsid w:val="006B66FE"/>
    <w:rsid w:val="006C168D"/>
    <w:rsid w:val="006C4033"/>
    <w:rsid w:val="006C642C"/>
    <w:rsid w:val="006D3BC4"/>
    <w:rsid w:val="006D7386"/>
    <w:rsid w:val="006E0DAD"/>
    <w:rsid w:val="006E313F"/>
    <w:rsid w:val="006E3EFB"/>
    <w:rsid w:val="006F1F1A"/>
    <w:rsid w:val="006F5AC2"/>
    <w:rsid w:val="006F5B4C"/>
    <w:rsid w:val="006F6C28"/>
    <w:rsid w:val="007007EB"/>
    <w:rsid w:val="00701F57"/>
    <w:rsid w:val="00703E8A"/>
    <w:rsid w:val="00706046"/>
    <w:rsid w:val="007112F0"/>
    <w:rsid w:val="00711343"/>
    <w:rsid w:val="00714309"/>
    <w:rsid w:val="0071450F"/>
    <w:rsid w:val="00714C6F"/>
    <w:rsid w:val="0071681D"/>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B8"/>
    <w:rsid w:val="007661D4"/>
    <w:rsid w:val="007661FD"/>
    <w:rsid w:val="00766A7C"/>
    <w:rsid w:val="00767A27"/>
    <w:rsid w:val="0077111A"/>
    <w:rsid w:val="00775419"/>
    <w:rsid w:val="007763A5"/>
    <w:rsid w:val="0078008C"/>
    <w:rsid w:val="0078105B"/>
    <w:rsid w:val="00782390"/>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2FC8"/>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6D32"/>
    <w:rsid w:val="0086748F"/>
    <w:rsid w:val="00867B4D"/>
    <w:rsid w:val="00867CF3"/>
    <w:rsid w:val="00870278"/>
    <w:rsid w:val="00873D3B"/>
    <w:rsid w:val="00874AB5"/>
    <w:rsid w:val="008750A9"/>
    <w:rsid w:val="00875A68"/>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41C3"/>
    <w:rsid w:val="008C5312"/>
    <w:rsid w:val="008C5DBD"/>
    <w:rsid w:val="008C61D6"/>
    <w:rsid w:val="008D49AF"/>
    <w:rsid w:val="008D4A2B"/>
    <w:rsid w:val="008D4A9F"/>
    <w:rsid w:val="008D6294"/>
    <w:rsid w:val="008E1FE0"/>
    <w:rsid w:val="008E3939"/>
    <w:rsid w:val="008E3DDD"/>
    <w:rsid w:val="008E58D6"/>
    <w:rsid w:val="008F1426"/>
    <w:rsid w:val="008F2125"/>
    <w:rsid w:val="008F23F4"/>
    <w:rsid w:val="008F4A45"/>
    <w:rsid w:val="008F61C4"/>
    <w:rsid w:val="008F7763"/>
    <w:rsid w:val="009007CB"/>
    <w:rsid w:val="009010F0"/>
    <w:rsid w:val="00901162"/>
    <w:rsid w:val="00901D46"/>
    <w:rsid w:val="009028E2"/>
    <w:rsid w:val="00903692"/>
    <w:rsid w:val="00904E07"/>
    <w:rsid w:val="00912BAF"/>
    <w:rsid w:val="00914EAB"/>
    <w:rsid w:val="0091541F"/>
    <w:rsid w:val="009165E9"/>
    <w:rsid w:val="00920D98"/>
    <w:rsid w:val="0092249B"/>
    <w:rsid w:val="00922D49"/>
    <w:rsid w:val="009238DB"/>
    <w:rsid w:val="00925E37"/>
    <w:rsid w:val="00925EDD"/>
    <w:rsid w:val="00930079"/>
    <w:rsid w:val="00930966"/>
    <w:rsid w:val="00932F64"/>
    <w:rsid w:val="00936075"/>
    <w:rsid w:val="00936D40"/>
    <w:rsid w:val="00937445"/>
    <w:rsid w:val="00937ABF"/>
    <w:rsid w:val="00937DB1"/>
    <w:rsid w:val="009407FE"/>
    <w:rsid w:val="009463CC"/>
    <w:rsid w:val="00950413"/>
    <w:rsid w:val="0095078E"/>
    <w:rsid w:val="00952404"/>
    <w:rsid w:val="00952A72"/>
    <w:rsid w:val="009530AC"/>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85F0E"/>
    <w:rsid w:val="00986963"/>
    <w:rsid w:val="00990ABB"/>
    <w:rsid w:val="00991642"/>
    <w:rsid w:val="0099260C"/>
    <w:rsid w:val="009942F4"/>
    <w:rsid w:val="00995B3C"/>
    <w:rsid w:val="009A045B"/>
    <w:rsid w:val="009A0513"/>
    <w:rsid w:val="009A2283"/>
    <w:rsid w:val="009A31AF"/>
    <w:rsid w:val="009A3507"/>
    <w:rsid w:val="009A5C1D"/>
    <w:rsid w:val="009B4286"/>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1C74"/>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2E07"/>
    <w:rsid w:val="00A26437"/>
    <w:rsid w:val="00A32410"/>
    <w:rsid w:val="00A32B48"/>
    <w:rsid w:val="00A36D00"/>
    <w:rsid w:val="00A43389"/>
    <w:rsid w:val="00A4642E"/>
    <w:rsid w:val="00A47AF8"/>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CE4"/>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4368"/>
    <w:rsid w:val="00B37780"/>
    <w:rsid w:val="00B37813"/>
    <w:rsid w:val="00B37EEF"/>
    <w:rsid w:val="00B411CD"/>
    <w:rsid w:val="00B41ABB"/>
    <w:rsid w:val="00B41C1D"/>
    <w:rsid w:val="00B43917"/>
    <w:rsid w:val="00B43E1E"/>
    <w:rsid w:val="00B4515C"/>
    <w:rsid w:val="00B46220"/>
    <w:rsid w:val="00B464EA"/>
    <w:rsid w:val="00B47574"/>
    <w:rsid w:val="00B52BE7"/>
    <w:rsid w:val="00B5430C"/>
    <w:rsid w:val="00B56A90"/>
    <w:rsid w:val="00B5711C"/>
    <w:rsid w:val="00B57BCF"/>
    <w:rsid w:val="00B57E36"/>
    <w:rsid w:val="00B60209"/>
    <w:rsid w:val="00B606A3"/>
    <w:rsid w:val="00B65D6F"/>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5753"/>
    <w:rsid w:val="00B97E42"/>
    <w:rsid w:val="00BA0C05"/>
    <w:rsid w:val="00BA54D0"/>
    <w:rsid w:val="00BA7532"/>
    <w:rsid w:val="00BB1013"/>
    <w:rsid w:val="00BB4515"/>
    <w:rsid w:val="00BB7B89"/>
    <w:rsid w:val="00BC1A9B"/>
    <w:rsid w:val="00BC2A22"/>
    <w:rsid w:val="00BC4986"/>
    <w:rsid w:val="00BC5E2E"/>
    <w:rsid w:val="00BC6379"/>
    <w:rsid w:val="00BC7EEF"/>
    <w:rsid w:val="00BD1AD9"/>
    <w:rsid w:val="00BD43BB"/>
    <w:rsid w:val="00BD7ADE"/>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2D18"/>
    <w:rsid w:val="00C544B8"/>
    <w:rsid w:val="00C559CE"/>
    <w:rsid w:val="00C55E19"/>
    <w:rsid w:val="00C563BF"/>
    <w:rsid w:val="00C57512"/>
    <w:rsid w:val="00C57607"/>
    <w:rsid w:val="00C61133"/>
    <w:rsid w:val="00C64009"/>
    <w:rsid w:val="00C7016D"/>
    <w:rsid w:val="00C735C1"/>
    <w:rsid w:val="00C767B3"/>
    <w:rsid w:val="00C76C07"/>
    <w:rsid w:val="00C80F23"/>
    <w:rsid w:val="00C835B4"/>
    <w:rsid w:val="00C850A3"/>
    <w:rsid w:val="00C87568"/>
    <w:rsid w:val="00C92451"/>
    <w:rsid w:val="00C9272C"/>
    <w:rsid w:val="00C97764"/>
    <w:rsid w:val="00C97C9B"/>
    <w:rsid w:val="00CA344C"/>
    <w:rsid w:val="00CB142D"/>
    <w:rsid w:val="00CB26C7"/>
    <w:rsid w:val="00CB29F6"/>
    <w:rsid w:val="00CB2BBF"/>
    <w:rsid w:val="00CB481C"/>
    <w:rsid w:val="00CB4C8C"/>
    <w:rsid w:val="00CB62E1"/>
    <w:rsid w:val="00CB6EFE"/>
    <w:rsid w:val="00CC16F9"/>
    <w:rsid w:val="00CC28A9"/>
    <w:rsid w:val="00CC4183"/>
    <w:rsid w:val="00CC6928"/>
    <w:rsid w:val="00CC70A4"/>
    <w:rsid w:val="00CD2BA8"/>
    <w:rsid w:val="00CD4A0C"/>
    <w:rsid w:val="00CD5CEF"/>
    <w:rsid w:val="00CE06EC"/>
    <w:rsid w:val="00CE1F8A"/>
    <w:rsid w:val="00CE592E"/>
    <w:rsid w:val="00CE5BC5"/>
    <w:rsid w:val="00CF16A4"/>
    <w:rsid w:val="00CF299F"/>
    <w:rsid w:val="00CF3357"/>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27EA0"/>
    <w:rsid w:val="00D305C9"/>
    <w:rsid w:val="00D3194F"/>
    <w:rsid w:val="00D33751"/>
    <w:rsid w:val="00D3639B"/>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A0C95"/>
    <w:rsid w:val="00DA134E"/>
    <w:rsid w:val="00DA13F3"/>
    <w:rsid w:val="00DA2DE3"/>
    <w:rsid w:val="00DA47D9"/>
    <w:rsid w:val="00DA64AF"/>
    <w:rsid w:val="00DB1F4F"/>
    <w:rsid w:val="00DB2AC7"/>
    <w:rsid w:val="00DB704C"/>
    <w:rsid w:val="00DC693B"/>
    <w:rsid w:val="00DC7C77"/>
    <w:rsid w:val="00DD0F5D"/>
    <w:rsid w:val="00DD426D"/>
    <w:rsid w:val="00DD74FC"/>
    <w:rsid w:val="00DE117F"/>
    <w:rsid w:val="00DE1769"/>
    <w:rsid w:val="00DE1A17"/>
    <w:rsid w:val="00DE1D7B"/>
    <w:rsid w:val="00DE44C8"/>
    <w:rsid w:val="00DE64CC"/>
    <w:rsid w:val="00DE6AA9"/>
    <w:rsid w:val="00DE7B30"/>
    <w:rsid w:val="00DF20C7"/>
    <w:rsid w:val="00DF4D0C"/>
    <w:rsid w:val="00DF5C20"/>
    <w:rsid w:val="00DF7D81"/>
    <w:rsid w:val="00E02DEB"/>
    <w:rsid w:val="00E03486"/>
    <w:rsid w:val="00E0405A"/>
    <w:rsid w:val="00E042A1"/>
    <w:rsid w:val="00E0476C"/>
    <w:rsid w:val="00E0576B"/>
    <w:rsid w:val="00E067EA"/>
    <w:rsid w:val="00E06D18"/>
    <w:rsid w:val="00E104FA"/>
    <w:rsid w:val="00E1320D"/>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3F90"/>
    <w:rsid w:val="00E374C8"/>
    <w:rsid w:val="00E4042D"/>
    <w:rsid w:val="00E4135D"/>
    <w:rsid w:val="00E43750"/>
    <w:rsid w:val="00E508EB"/>
    <w:rsid w:val="00E50A31"/>
    <w:rsid w:val="00E521E3"/>
    <w:rsid w:val="00E53B7A"/>
    <w:rsid w:val="00E550C9"/>
    <w:rsid w:val="00E55405"/>
    <w:rsid w:val="00E561F9"/>
    <w:rsid w:val="00E5645D"/>
    <w:rsid w:val="00E57CD3"/>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6A72"/>
    <w:rsid w:val="00E96B52"/>
    <w:rsid w:val="00EA01F7"/>
    <w:rsid w:val="00EA1D33"/>
    <w:rsid w:val="00EA1F5A"/>
    <w:rsid w:val="00EA375F"/>
    <w:rsid w:val="00EA55D2"/>
    <w:rsid w:val="00EA7104"/>
    <w:rsid w:val="00EA7533"/>
    <w:rsid w:val="00EB067F"/>
    <w:rsid w:val="00EB2419"/>
    <w:rsid w:val="00EB58F5"/>
    <w:rsid w:val="00EB6E6B"/>
    <w:rsid w:val="00EC010F"/>
    <w:rsid w:val="00EC2E3A"/>
    <w:rsid w:val="00EC3CCB"/>
    <w:rsid w:val="00EC5A74"/>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1B6D"/>
    <w:rsid w:val="00F22211"/>
    <w:rsid w:val="00F22341"/>
    <w:rsid w:val="00F24039"/>
    <w:rsid w:val="00F24E0E"/>
    <w:rsid w:val="00F26693"/>
    <w:rsid w:val="00F30F17"/>
    <w:rsid w:val="00F3477D"/>
    <w:rsid w:val="00F347FE"/>
    <w:rsid w:val="00F34859"/>
    <w:rsid w:val="00F356F7"/>
    <w:rsid w:val="00F40055"/>
    <w:rsid w:val="00F405D4"/>
    <w:rsid w:val="00F40868"/>
    <w:rsid w:val="00F421D5"/>
    <w:rsid w:val="00F44FDE"/>
    <w:rsid w:val="00F46467"/>
    <w:rsid w:val="00F46B63"/>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74742"/>
    <w:rsid w:val="00F804B9"/>
    <w:rsid w:val="00F80AE2"/>
    <w:rsid w:val="00F83FF9"/>
    <w:rsid w:val="00F84D52"/>
    <w:rsid w:val="00F91B52"/>
    <w:rsid w:val="00F961A9"/>
    <w:rsid w:val="00F97478"/>
    <w:rsid w:val="00F97B71"/>
    <w:rsid w:val="00F97B9E"/>
    <w:rsid w:val="00FA0527"/>
    <w:rsid w:val="00FA085E"/>
    <w:rsid w:val="00FA0947"/>
    <w:rsid w:val="00FA2185"/>
    <w:rsid w:val="00FA2D49"/>
    <w:rsid w:val="00FA4B52"/>
    <w:rsid w:val="00FA4D4F"/>
    <w:rsid w:val="00FA4D5B"/>
    <w:rsid w:val="00FA54E8"/>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0C8B"/>
    <w:rsid w:val="00FE1E47"/>
    <w:rsid w:val="00FE275D"/>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CE3D0FA-AD79-4A40-8FEE-66465E2D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uiPriority w:val="99"/>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uiPriority w:val="99"/>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uiPriority w:val="99"/>
    <w:rsid w:val="00D66685"/>
    <w:rPr>
      <w:kern w:val="2"/>
      <w:sz w:val="24"/>
    </w:rPr>
  </w:style>
  <w:style w:type="character" w:styleId="af6">
    <w:name w:val="Strong"/>
    <w:basedOn w:val="a1"/>
    <w:uiPriority w:val="22"/>
    <w:qFormat/>
    <w:rsid w:val="00FE0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6204035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042290413">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1105859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415663530">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049840325">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59166-6481-4CC3-B1B1-81AF6774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3</TotalTime>
  <Pages>6</Pages>
  <Words>1577</Words>
  <Characters>8993</Characters>
  <Application>Microsoft Office Word</Application>
  <DocSecurity>0</DocSecurity>
  <Lines>74</Lines>
  <Paragraphs>21</Paragraphs>
  <ScaleCrop>false</ScaleCrop>
  <Company>TRT. Ltd. Co.</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李维</cp:lastModifiedBy>
  <cp:revision>5</cp:revision>
  <cp:lastPrinted>2007-07-19T00:46:00Z</cp:lastPrinted>
  <dcterms:created xsi:type="dcterms:W3CDTF">2020-04-14T01:36:00Z</dcterms:created>
  <dcterms:modified xsi:type="dcterms:W3CDTF">2020-04-17T06:07:00Z</dcterms:modified>
</cp:coreProperties>
</file>