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易方达上证中盘交易型开放式指数证券投资基金联接基金</w:t>
      </w:r>
    </w:p>
    <w:p w:rsidR="002D2A00"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2020</w:t>
      </w:r>
      <w:r w:rsidRPr="00D3639B">
        <w:rPr>
          <w:rFonts w:eastAsiaTheme="minorEastAsia"/>
          <w:b/>
          <w:color w:val="000000" w:themeColor="text1"/>
          <w:sz w:val="36"/>
          <w:szCs w:val="36"/>
        </w:rPr>
        <w:t>年第</w:t>
      </w:r>
      <w:r w:rsidRPr="00D3639B">
        <w:rPr>
          <w:rFonts w:eastAsiaTheme="minorEastAsia"/>
          <w:b/>
          <w:color w:val="000000" w:themeColor="text1"/>
          <w:sz w:val="36"/>
          <w:szCs w:val="36"/>
        </w:rPr>
        <w:t>1</w:t>
      </w:r>
      <w:r w:rsidRPr="00D3639B">
        <w:rPr>
          <w:rFonts w:eastAsiaTheme="minorEastAsia"/>
          <w:b/>
          <w:color w:val="000000" w:themeColor="text1"/>
          <w:sz w:val="36"/>
          <w:szCs w:val="36"/>
        </w:rPr>
        <w:t>季度报告</w:t>
      </w:r>
    </w:p>
    <w:p w:rsidR="009A2283" w:rsidRPr="00D3639B" w:rsidRDefault="00121533"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2020</w:t>
      </w:r>
      <w:r w:rsidRPr="00D3639B">
        <w:rPr>
          <w:rFonts w:eastAsiaTheme="minorEastAsia"/>
          <w:b/>
          <w:color w:val="000000" w:themeColor="text1"/>
          <w:sz w:val="36"/>
          <w:szCs w:val="36"/>
        </w:rPr>
        <w:t>年</w:t>
      </w:r>
      <w:r w:rsidRPr="00D3639B">
        <w:rPr>
          <w:rFonts w:eastAsiaTheme="minorEastAsia"/>
          <w:b/>
          <w:color w:val="000000" w:themeColor="text1"/>
          <w:sz w:val="36"/>
          <w:szCs w:val="36"/>
        </w:rPr>
        <w:t>3</w:t>
      </w:r>
      <w:r w:rsidRPr="00D3639B">
        <w:rPr>
          <w:rFonts w:eastAsiaTheme="minorEastAsia"/>
          <w:b/>
          <w:color w:val="000000" w:themeColor="text1"/>
          <w:sz w:val="36"/>
          <w:szCs w:val="36"/>
        </w:rPr>
        <w:t>月</w:t>
      </w:r>
      <w:r w:rsidRPr="00D3639B">
        <w:rPr>
          <w:rFonts w:eastAsiaTheme="minorEastAsia"/>
          <w:b/>
          <w:color w:val="000000" w:themeColor="text1"/>
          <w:sz w:val="36"/>
          <w:szCs w:val="36"/>
        </w:rPr>
        <w:t>31</w:t>
      </w:r>
      <w:r w:rsidRPr="00D3639B">
        <w:rPr>
          <w:rFonts w:eastAsiaTheme="minorEastAsia"/>
          <w:b/>
          <w:color w:val="000000" w:themeColor="text1"/>
          <w:sz w:val="36"/>
          <w:szCs w:val="36"/>
        </w:rPr>
        <w:t>日</w:t>
      </w: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E27360">
      <w:pPr>
        <w:spacing w:line="360" w:lineRule="auto"/>
        <w:jc w:val="center"/>
        <w:rPr>
          <w:rFonts w:eastAsiaTheme="minorEastAsia"/>
          <w:b/>
          <w:color w:val="000000" w:themeColor="text1"/>
          <w:szCs w:val="21"/>
        </w:rPr>
      </w:pPr>
    </w:p>
    <w:p w:rsidR="00E27360" w:rsidRPr="00D3639B" w:rsidRDefault="00E27360" w:rsidP="00E27360">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rPr>
          <w:rFonts w:eastAsiaTheme="minorEastAsia"/>
          <w:b/>
          <w:color w:val="000000" w:themeColor="text1"/>
          <w:szCs w:val="21"/>
        </w:rPr>
      </w:pP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w:t>
      </w:r>
      <w:r w:rsidR="00BF377F" w:rsidRPr="00D3639B">
        <w:rPr>
          <w:rFonts w:eastAsiaTheme="minorEastAsia"/>
          <w:b/>
          <w:color w:val="000000" w:themeColor="text1"/>
          <w:sz w:val="24"/>
        </w:rPr>
        <w:t>易方达基金管理有限公司</w:t>
      </w: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w:t>
      </w:r>
      <w:r w:rsidR="00BF377F" w:rsidRPr="00D3639B">
        <w:rPr>
          <w:rFonts w:eastAsiaTheme="minorEastAsia"/>
          <w:b/>
          <w:color w:val="000000" w:themeColor="text1"/>
          <w:sz w:val="24"/>
        </w:rPr>
        <w:t>中国工商银行股份有限公司</w:t>
      </w:r>
    </w:p>
    <w:p w:rsidR="009A2283" w:rsidRPr="00D3639B" w:rsidRDefault="009A2283" w:rsidP="004B54B8">
      <w:pPr>
        <w:spacing w:line="360" w:lineRule="auto"/>
        <w:ind w:firstLineChars="900" w:firstLine="2168"/>
        <w:rPr>
          <w:rFonts w:eastAsiaTheme="minorEastAsia"/>
          <w:color w:val="000000" w:themeColor="text1"/>
          <w:sz w:val="24"/>
        </w:rPr>
        <w:sectPr w:rsidR="009A2283" w:rsidRPr="00D3639B" w:rsidSect="00F7094A">
          <w:headerReference w:type="default" r:id="rId8"/>
          <w:footerReference w:type="default" r:id="rId9"/>
          <w:pgSz w:w="11926" w:h="15840"/>
          <w:pgMar w:top="1418" w:right="1418" w:bottom="851" w:left="1418" w:header="851" w:footer="992" w:gutter="0"/>
          <w:cols w:space="720"/>
          <w:noEndnote/>
        </w:sectPr>
      </w:pPr>
      <w:r w:rsidRPr="00D3639B">
        <w:rPr>
          <w:rFonts w:eastAsiaTheme="minorEastAsia"/>
          <w:b/>
          <w:color w:val="000000" w:themeColor="text1"/>
          <w:sz w:val="24"/>
        </w:rPr>
        <w:t>报告送出日期：</w:t>
      </w:r>
      <w:r w:rsidR="00D04410" w:rsidRPr="00D3639B">
        <w:rPr>
          <w:rFonts w:eastAsiaTheme="minorEastAsia"/>
          <w:b/>
          <w:color w:val="000000" w:themeColor="text1"/>
          <w:sz w:val="24"/>
        </w:rPr>
        <w:t>二〇二〇年四月二十一日</w:t>
      </w:r>
    </w:p>
    <w:p w:rsidR="009238DB" w:rsidRPr="00B34368" w:rsidRDefault="009238DB" w:rsidP="00C544B8">
      <w:pPr>
        <w:pStyle w:val="1"/>
        <w:spacing w:beforeLines="100" w:before="312" w:afterLines="100" w:after="312" w:line="360" w:lineRule="auto"/>
        <w:jc w:val="center"/>
        <w:rPr>
          <w:rFonts w:eastAsiaTheme="minorEastAsia"/>
          <w:b w:val="0"/>
          <w:color w:val="000000" w:themeColor="text1"/>
          <w:kern w:val="0"/>
          <w:sz w:val="24"/>
          <w:szCs w:val="24"/>
        </w:rPr>
      </w:pPr>
      <w:r w:rsidRPr="00B34368">
        <w:rPr>
          <w:rFonts w:eastAsiaTheme="minorEastAsia"/>
          <w:color w:val="000000" w:themeColor="text1"/>
          <w:kern w:val="0"/>
          <w:sz w:val="24"/>
          <w:szCs w:val="24"/>
        </w:rPr>
        <w:lastRenderedPageBreak/>
        <w:t xml:space="preserve">§1  </w:t>
      </w:r>
      <w:r w:rsidRPr="00B34368">
        <w:rPr>
          <w:rFonts w:eastAsiaTheme="minorEastAsia" w:hAnsiTheme="minorEastAsia"/>
          <w:color w:val="000000" w:themeColor="text1"/>
          <w:kern w:val="0"/>
          <w:sz w:val="24"/>
          <w:szCs w:val="24"/>
        </w:rPr>
        <w:t>重要提示</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基</w:t>
      </w:r>
      <w:r>
        <w:rPr>
          <w:rFonts w:eastAsiaTheme="minorEastAsia"/>
          <w:color w:val="000000" w:themeColor="text1"/>
          <w:sz w:val="24"/>
        </w:rPr>
        <w:t>金的过往业绩并不代表其未来表现。投资有风险，投资者在作出投资决策前应仔细阅读本基金的招募说明书。</w:t>
      </w:r>
      <w:r>
        <w:rPr>
          <w:rFonts w:eastAsiaTheme="minorEastAsia"/>
          <w:color w:val="000000" w:themeColor="text1"/>
          <w:sz w:val="24"/>
        </w:rPr>
        <w:t xml:space="preserve"> </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8DB" w:rsidRPr="00B34368" w:rsidRDefault="00267DA9"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本报告期自</w:t>
      </w: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日起至</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日止。</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§2  </w:t>
      </w:r>
      <w:r w:rsidRPr="00B34368">
        <w:rPr>
          <w:rFonts w:eastAsiaTheme="minorEastAsia" w:hAnsiTheme="minorEastAsia"/>
          <w:color w:val="000000" w:themeColor="text1"/>
          <w:kern w:val="0"/>
          <w:sz w:val="24"/>
          <w:szCs w:val="24"/>
        </w:rPr>
        <w:t>基金产品概况</w:t>
      </w:r>
    </w:p>
    <w:p w:rsidR="002C32ED" w:rsidRPr="00B34368" w:rsidRDefault="002C32ED" w:rsidP="002C32ED">
      <w:pPr>
        <w:pStyle w:val="2"/>
        <w:keepNext w:val="0"/>
        <w:keepLines w:val="0"/>
        <w:spacing w:before="0" w:after="0"/>
        <w:rPr>
          <w:rFonts w:ascii="Times New Roman" w:eastAsiaTheme="minorEastAsia" w:hAnsi="Times New Roman" w:cs="Times New Roman"/>
          <w:color w:val="000000" w:themeColor="text1"/>
          <w:szCs w:val="24"/>
        </w:rPr>
      </w:pPr>
      <w:bookmarkStart w:id="1" w:name="_Toc245193810"/>
      <w:r w:rsidRPr="00B34368">
        <w:rPr>
          <w:rFonts w:ascii="Times New Roman" w:eastAsiaTheme="minorEastAsia" w:hAnsi="Times New Roman" w:cs="Times New Roman"/>
          <w:color w:val="000000" w:themeColor="text1"/>
          <w:szCs w:val="24"/>
        </w:rPr>
        <w:t>2.1</w:t>
      </w:r>
      <w:r w:rsidRPr="00B34368">
        <w:rPr>
          <w:rFonts w:ascii="Times New Roman" w:eastAsiaTheme="minorEastAsia" w:hAnsiTheme="minorEastAsia" w:cs="Times New Roman"/>
          <w:color w:val="000000" w:themeColor="text1"/>
          <w:szCs w:val="24"/>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基金简称</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易方达上证中盘</w:t>
            </w:r>
            <w:r w:rsidRPr="00B34368">
              <w:rPr>
                <w:rFonts w:eastAsiaTheme="minorEastAsia"/>
                <w:color w:val="000000" w:themeColor="text1"/>
                <w:kern w:val="0"/>
                <w:sz w:val="24"/>
              </w:rPr>
              <w:t>ETF</w:t>
            </w:r>
            <w:r w:rsidRPr="00B34368">
              <w:rPr>
                <w:rFonts w:eastAsiaTheme="minorEastAsia"/>
                <w:color w:val="000000" w:themeColor="text1"/>
                <w:kern w:val="0"/>
                <w:sz w:val="24"/>
              </w:rPr>
              <w:t>联接</w:t>
            </w:r>
          </w:p>
        </w:tc>
      </w:tr>
      <w:tr w:rsidR="00D3639B" w:rsidRPr="00B34368" w:rsidTr="00AA7EBD">
        <w:tc>
          <w:tcPr>
            <w:tcW w:w="2835" w:type="dxa"/>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479" w:type="dxa"/>
            <w:gridSpan w:val="2"/>
            <w:tcBorders>
              <w:bottom w:val="single" w:sz="4" w:space="0" w:color="auto"/>
            </w:tcBorders>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110021</w:t>
            </w:r>
          </w:p>
        </w:tc>
      </w:tr>
      <w:tr w:rsidR="00D3639B" w:rsidRPr="00B34368" w:rsidTr="00AA7EBD">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基金运作方式</w:t>
            </w:r>
          </w:p>
        </w:tc>
        <w:tc>
          <w:tcPr>
            <w:tcW w:w="5479" w:type="dxa"/>
            <w:gridSpan w:val="2"/>
            <w:tcBorders>
              <w:top w:val="single" w:sz="4" w:space="0" w:color="auto"/>
            </w:tcBorders>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契约型开放式</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基金合同生效日</w:t>
            </w:r>
          </w:p>
        </w:tc>
        <w:tc>
          <w:tcPr>
            <w:tcW w:w="5479" w:type="dxa"/>
            <w:gridSpan w:val="2"/>
          </w:tcPr>
          <w:p w:rsidR="00A6200E" w:rsidRPr="00B34368" w:rsidRDefault="00121533" w:rsidP="00121533">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2010</w:t>
            </w:r>
            <w:r w:rsidRPr="00B34368">
              <w:rPr>
                <w:rFonts w:eastAsiaTheme="minorEastAsia"/>
                <w:color w:val="000000" w:themeColor="text1"/>
                <w:kern w:val="0"/>
                <w:sz w:val="24"/>
              </w:rPr>
              <w:t>年</w:t>
            </w:r>
            <w:r w:rsidRPr="00B34368">
              <w:rPr>
                <w:rFonts w:eastAsiaTheme="minorEastAsia"/>
                <w:color w:val="000000" w:themeColor="text1"/>
                <w:kern w:val="0"/>
                <w:sz w:val="24"/>
              </w:rPr>
              <w:t>3</w:t>
            </w:r>
            <w:r w:rsidRPr="00B34368">
              <w:rPr>
                <w:rFonts w:eastAsiaTheme="minorEastAsia"/>
                <w:color w:val="000000" w:themeColor="text1"/>
                <w:kern w:val="0"/>
                <w:sz w:val="24"/>
              </w:rPr>
              <w:t>月</w:t>
            </w:r>
            <w:r w:rsidRPr="00B34368">
              <w:rPr>
                <w:rFonts w:eastAsiaTheme="minorEastAsia"/>
                <w:color w:val="000000" w:themeColor="text1"/>
                <w:kern w:val="0"/>
                <w:sz w:val="24"/>
              </w:rPr>
              <w:t>31</w:t>
            </w:r>
            <w:r w:rsidRPr="00B34368">
              <w:rPr>
                <w:rFonts w:eastAsiaTheme="minorEastAsia"/>
                <w:color w:val="000000" w:themeColor="text1"/>
                <w:kern w:val="0"/>
                <w:sz w:val="24"/>
              </w:rPr>
              <w:t>日</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报告期末基金份额总额</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137,983,667.86</w:t>
            </w:r>
            <w:r w:rsidR="0060758A" w:rsidRPr="00B34368">
              <w:rPr>
                <w:rFonts w:eastAsiaTheme="minorEastAsia" w:hAnsiTheme="minorEastAsia"/>
                <w:color w:val="000000" w:themeColor="text1"/>
                <w:kern w:val="0"/>
                <w:sz w:val="24"/>
              </w:rPr>
              <w:t>份</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投资目标</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紧密跟踪业绩比较基准，追求跟踪偏离度及跟踪误差的最小化。力争将日均跟踪偏离度控制在</w:t>
            </w:r>
            <w:r w:rsidRPr="00B34368">
              <w:rPr>
                <w:rFonts w:eastAsiaTheme="minorEastAsia"/>
                <w:color w:val="000000" w:themeColor="text1"/>
                <w:kern w:val="0"/>
                <w:sz w:val="24"/>
              </w:rPr>
              <w:t>0.35%</w:t>
            </w:r>
            <w:r w:rsidRPr="00B34368">
              <w:rPr>
                <w:rFonts w:eastAsiaTheme="minorEastAsia"/>
                <w:color w:val="000000" w:themeColor="text1"/>
                <w:kern w:val="0"/>
                <w:sz w:val="24"/>
              </w:rPr>
              <w:t>以内，年化跟踪误差控制在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t>以内。</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投资策略</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本基金为上证中盘</w:t>
            </w:r>
            <w:r w:rsidRPr="00B34368">
              <w:rPr>
                <w:rFonts w:eastAsiaTheme="minorEastAsia"/>
                <w:color w:val="000000" w:themeColor="text1"/>
                <w:kern w:val="0"/>
                <w:sz w:val="24"/>
              </w:rPr>
              <w:t>ETF</w:t>
            </w:r>
            <w:r w:rsidRPr="00B34368">
              <w:rPr>
                <w:rFonts w:eastAsiaTheme="minorEastAsia"/>
                <w:color w:val="000000" w:themeColor="text1"/>
                <w:kern w:val="0"/>
                <w:sz w:val="24"/>
              </w:rPr>
              <w:t>的联接基金。上证中盘</w:t>
            </w:r>
            <w:r w:rsidRPr="00B34368">
              <w:rPr>
                <w:rFonts w:eastAsiaTheme="minorEastAsia"/>
                <w:color w:val="000000" w:themeColor="text1"/>
                <w:kern w:val="0"/>
                <w:sz w:val="24"/>
              </w:rPr>
              <w:t>ETF</w:t>
            </w:r>
            <w:r w:rsidRPr="00B34368">
              <w:rPr>
                <w:rFonts w:eastAsiaTheme="minorEastAsia"/>
                <w:color w:val="000000" w:themeColor="text1"/>
                <w:kern w:val="0"/>
                <w:sz w:val="24"/>
              </w:rPr>
              <w:t>是采用完全复制法实现对上证中盘指数紧密跟踪的全被动指数基金，本基金主要通过投资于上证中盘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实现对业绩比较基准的紧密跟踪，力争将</w:t>
            </w:r>
            <w:r w:rsidRPr="00B34368">
              <w:rPr>
                <w:rFonts w:eastAsiaTheme="minorEastAsia"/>
                <w:color w:val="000000" w:themeColor="text1"/>
                <w:kern w:val="0"/>
                <w:sz w:val="24"/>
              </w:rPr>
              <w:lastRenderedPageBreak/>
              <w:t>日均跟踪偏离度控制在</w:t>
            </w:r>
            <w:r w:rsidRPr="00B34368">
              <w:rPr>
                <w:rFonts w:eastAsiaTheme="minorEastAsia"/>
                <w:color w:val="000000" w:themeColor="text1"/>
                <w:kern w:val="0"/>
                <w:sz w:val="24"/>
              </w:rPr>
              <w:t>0.35%</w:t>
            </w:r>
            <w:r w:rsidRPr="00B34368">
              <w:rPr>
                <w:rFonts w:eastAsiaTheme="minorEastAsia"/>
                <w:color w:val="000000" w:themeColor="text1"/>
                <w:kern w:val="0"/>
                <w:sz w:val="24"/>
              </w:rPr>
              <w:t>以内，年化跟踪误差控制在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t>以内。在投资运作过程中，本基金将在综合考虑合规、风险、效率、成本等因素的基础上，决定采用实物申赎的方式或证券二级市场交易的方式进行上证中盘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的买卖。待指数衍生金融产品推出以后，基金管理人在履行适当程序后，本基金可以适度运用衍生金融产品进一步降低跟踪误差。</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lastRenderedPageBreak/>
              <w:t>业绩比较基准</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上证中盘指数收益率</w:t>
            </w:r>
            <w:r w:rsidRPr="00B34368">
              <w:rPr>
                <w:rFonts w:eastAsiaTheme="minorEastAsia"/>
                <w:color w:val="000000" w:themeColor="text1"/>
                <w:kern w:val="0"/>
                <w:sz w:val="24"/>
              </w:rPr>
              <w:t>X95%+</w:t>
            </w:r>
            <w:r w:rsidRPr="00B34368">
              <w:rPr>
                <w:rFonts w:eastAsiaTheme="minorEastAsia"/>
                <w:color w:val="000000" w:themeColor="text1"/>
                <w:kern w:val="0"/>
                <w:sz w:val="24"/>
              </w:rPr>
              <w:t>活期存款利率</w:t>
            </w:r>
            <w:r w:rsidRPr="00B34368">
              <w:rPr>
                <w:rFonts w:eastAsiaTheme="minorEastAsia"/>
                <w:color w:val="000000" w:themeColor="text1"/>
                <w:kern w:val="0"/>
                <w:sz w:val="24"/>
              </w:rPr>
              <w:t>(</w:t>
            </w:r>
            <w:r w:rsidRPr="00B34368">
              <w:rPr>
                <w:rFonts w:eastAsiaTheme="minorEastAsia"/>
                <w:color w:val="000000" w:themeColor="text1"/>
                <w:kern w:val="0"/>
                <w:sz w:val="24"/>
              </w:rPr>
              <w:t>税后</w:t>
            </w:r>
            <w:r w:rsidRPr="00B34368">
              <w:rPr>
                <w:rFonts w:eastAsiaTheme="minorEastAsia"/>
                <w:color w:val="000000" w:themeColor="text1"/>
                <w:kern w:val="0"/>
                <w:sz w:val="24"/>
              </w:rPr>
              <w:t>)X5%</w:t>
            </w:r>
          </w:p>
        </w:tc>
      </w:tr>
      <w:tr w:rsidR="00D3639B" w:rsidRPr="00B34368" w:rsidTr="009A045B">
        <w:tc>
          <w:tcPr>
            <w:tcW w:w="2835" w:type="dxa"/>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风险收益特征</w:t>
            </w:r>
          </w:p>
        </w:tc>
        <w:tc>
          <w:tcPr>
            <w:tcW w:w="5479" w:type="dxa"/>
            <w:gridSpan w:val="2"/>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的联接基金，其预期风险收益水平高于混合型基金、债券基金和货币市场基金。本基金主要通过投资于上证中盘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追踪业绩比较基准，具有与业绩比较基准相似的风险收益特征。</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基金管理人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易方达基金管理有限公司</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基金托管人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中国工商银行股份有限公司</w:t>
            </w:r>
          </w:p>
        </w:tc>
      </w:tr>
      <w:tr w:rsidR="00D3639B" w:rsidRPr="00B34368" w:rsidTr="00950413">
        <w:tc>
          <w:tcPr>
            <w:tcW w:w="2835" w:type="dxa"/>
          </w:tcPr>
          <w:p w:rsidR="00950413" w:rsidRPr="00B34368" w:rsidRDefault="00075E4E" w:rsidP="00E205AA">
            <w:pPr>
              <w:adjustRightInd w:val="0"/>
              <w:spacing w:before="29" w:line="360" w:lineRule="auto"/>
              <w:ind w:left="17"/>
              <w:jc w:val="left"/>
              <w:rPr>
                <w:rFonts w:eastAsiaTheme="minorEastAsia"/>
                <w:color w:val="000000" w:themeColor="text1"/>
                <w:kern w:val="0"/>
                <w:sz w:val="24"/>
              </w:rPr>
            </w:pPr>
            <w:r>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00950413" w:rsidRPr="00B34368">
              <w:rPr>
                <w:rFonts w:eastAsiaTheme="minorEastAsia" w:hAnsiTheme="minorEastAsia"/>
                <w:color w:val="000000" w:themeColor="text1"/>
                <w:sz w:val="24"/>
              </w:rPr>
              <w:t>级基金的基金简称</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740"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级基金的交易代码</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110021</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004743</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报告期末下属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级基金的份额总额</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133,755,782.31</w:t>
            </w:r>
            <w:r w:rsidR="00D305C9" w:rsidRPr="00B34368">
              <w:rPr>
                <w:rFonts w:eastAsiaTheme="minorEastAsia" w:hAnsiTheme="minorEastAsia"/>
                <w:color w:val="000000" w:themeColor="text1"/>
                <w:kern w:val="0"/>
                <w:sz w:val="24"/>
              </w:rPr>
              <w:t>份</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4,227,885.55</w:t>
            </w:r>
            <w:r w:rsidR="00D305C9" w:rsidRPr="00B34368">
              <w:rPr>
                <w:rFonts w:eastAsiaTheme="minorEastAsia" w:hAnsiTheme="minorEastAsia"/>
                <w:color w:val="000000" w:themeColor="text1"/>
                <w:kern w:val="0"/>
                <w:sz w:val="24"/>
              </w:rPr>
              <w:t>份</w:t>
            </w:r>
          </w:p>
        </w:tc>
      </w:tr>
    </w:tbl>
    <w:p w:rsidR="002C32ED" w:rsidRPr="00B34368" w:rsidRDefault="00A6200E"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w:t>
      </w:r>
      <w:r w:rsidRPr="00B34368">
        <w:rPr>
          <w:rFonts w:eastAsiaTheme="minorEastAsia"/>
          <w:color w:val="000000" w:themeColor="text1"/>
          <w:sz w:val="24"/>
        </w:rPr>
        <w:t>日起，本基金增设</w:t>
      </w:r>
      <w:r w:rsidRPr="00B34368">
        <w:rPr>
          <w:rFonts w:eastAsiaTheme="minorEastAsia"/>
          <w:color w:val="000000" w:themeColor="text1"/>
          <w:sz w:val="24"/>
        </w:rPr>
        <w:t>C</w:t>
      </w:r>
      <w:r w:rsidRPr="00B34368">
        <w:rPr>
          <w:rFonts w:eastAsiaTheme="minorEastAsia"/>
          <w:color w:val="000000" w:themeColor="text1"/>
          <w:sz w:val="24"/>
        </w:rPr>
        <w:t>类份额类别，份额首次确认日为</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5</w:t>
      </w:r>
      <w:r w:rsidRPr="00B34368">
        <w:rPr>
          <w:rFonts w:eastAsiaTheme="minorEastAsia"/>
          <w:color w:val="000000" w:themeColor="text1"/>
          <w:sz w:val="24"/>
        </w:rPr>
        <w:t>日。</w:t>
      </w:r>
    </w:p>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2.1.1</w:t>
      </w:r>
      <w:r w:rsidRPr="00B34368">
        <w:rPr>
          <w:rFonts w:ascii="Times New Roman" w:eastAsiaTheme="minorEastAsia" w:hAnsiTheme="minorEastAsia" w:cs="Times New Roman"/>
          <w:color w:val="000000" w:themeColor="text1"/>
          <w:szCs w:val="24"/>
        </w:rPr>
        <w:t>目标基金基本情况</w:t>
      </w:r>
    </w:p>
    <w:tbl>
      <w:tblPr>
        <w:tblW w:w="8460" w:type="dxa"/>
        <w:tblInd w:w="108" w:type="dxa"/>
        <w:tblLayout w:type="fixed"/>
        <w:tblLook w:val="0000" w:firstRow="0" w:lastRow="0" w:firstColumn="0" w:lastColumn="0" w:noHBand="0" w:noVBand="0"/>
      </w:tblPr>
      <w:tblGrid>
        <w:gridCol w:w="2724"/>
        <w:gridCol w:w="5736"/>
      </w:tblGrid>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易方达上证中盘交易型开放式指数证券投资基金</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510130</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交易型开放式（</w:t>
            </w:r>
            <w:r w:rsidRPr="00B34368">
              <w:rPr>
                <w:rFonts w:eastAsiaTheme="minorEastAsia"/>
                <w:color w:val="000000" w:themeColor="text1"/>
                <w:sz w:val="24"/>
              </w:rPr>
              <w:t>ETF</w:t>
            </w:r>
            <w:r w:rsidRPr="00B34368">
              <w:rPr>
                <w:rFonts w:eastAsiaTheme="minorEastAsia"/>
                <w:color w:val="000000" w:themeColor="text1"/>
                <w:sz w:val="24"/>
              </w:rPr>
              <w:t>）</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2010</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29</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上海证券交易所</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2010</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23</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易方达基金管理有限公司</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中国工商银行股份有限公司</w:t>
            </w:r>
          </w:p>
        </w:tc>
      </w:tr>
    </w:tbl>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2.1.2</w:t>
      </w:r>
      <w:r w:rsidRPr="00B34368">
        <w:rPr>
          <w:rFonts w:ascii="Times New Roman" w:eastAsiaTheme="minorEastAsia" w:hAnsiTheme="minorEastAsia" w:cs="Times New Roman"/>
          <w:color w:val="000000" w:themeColor="text1"/>
          <w:szCs w:val="24"/>
        </w:rPr>
        <w:t>目标基金产品说明</w:t>
      </w:r>
    </w:p>
    <w:tbl>
      <w:tblPr>
        <w:tblW w:w="8460" w:type="dxa"/>
        <w:tblInd w:w="108" w:type="dxa"/>
        <w:tblLook w:val="0000" w:firstRow="0" w:lastRow="0" w:firstColumn="0" w:lastColumn="0" w:noHBand="0" w:noVBand="0"/>
      </w:tblPr>
      <w:tblGrid>
        <w:gridCol w:w="2820"/>
        <w:gridCol w:w="5640"/>
      </w:tblGrid>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紧密跟踪标的指数，追求跟踪偏离度及跟踪误差的最小化。</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采取完全复制法进行投资，即按照上证中盘指数的成份股组成及权重构建股票投资组合。但是当指数编制方法变更、成份股发生变更、成份股权重由于自由流通量发生变化、成份股派发现金股息、配股及增发、股票长期停牌、市场流动性不足等情况发生，基金管理人无法按照指数构成及权重进行同步调整时，基金管理人将对投资组合进行优化，尽量降低跟踪误差。</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上证中盘指数</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本基金属股票型基金，预期风险与收益水平高于混合基金、债券基金与货币市场基金。本基金为指数型基金，采用完全复制法跟踪标的指数的表现，具有与标的指数相似的风险收益特征。</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§3  </w:t>
      </w:r>
      <w:r w:rsidRPr="00B34368">
        <w:rPr>
          <w:rFonts w:eastAsiaTheme="minorEastAsia" w:hAnsiTheme="minorEastAsia"/>
          <w:color w:val="000000" w:themeColor="text1"/>
          <w:kern w:val="0"/>
          <w:sz w:val="24"/>
          <w:szCs w:val="24"/>
        </w:rPr>
        <w:t>主要财务指标和基金净值表现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3.1 </w:t>
      </w:r>
      <w:r w:rsidRPr="00B34368">
        <w:rPr>
          <w:rFonts w:eastAsiaTheme="minorEastAsia" w:hAnsiTheme="minorEastAsia"/>
          <w:b/>
          <w:color w:val="000000" w:themeColor="text1"/>
          <w:kern w:val="0"/>
          <w:sz w:val="24"/>
        </w:rPr>
        <w:t>主要财务指标</w:t>
      </w:r>
    </w:p>
    <w:p w:rsidR="009238DB" w:rsidRPr="00B34368" w:rsidRDefault="009238DB"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D3639B" w:rsidRPr="00B34368" w:rsidTr="008B5312">
        <w:tc>
          <w:tcPr>
            <w:tcW w:w="3402" w:type="dxa"/>
            <w:vMerge w:val="restart"/>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主要财务指标</w:t>
            </w:r>
          </w:p>
        </w:tc>
        <w:tc>
          <w:tcPr>
            <w:tcW w:w="4962" w:type="dxa"/>
            <w:gridSpan w:val="2"/>
            <w:vAlign w:val="center"/>
          </w:tcPr>
          <w:p w:rsidR="002976E5"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报告期</w:t>
            </w:r>
          </w:p>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w:t>
            </w: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w:t>
            </w:r>
            <w:r w:rsidRPr="00B34368">
              <w:rPr>
                <w:rFonts w:eastAsiaTheme="minorEastAsia"/>
                <w:color w:val="000000" w:themeColor="text1"/>
                <w:sz w:val="24"/>
              </w:rPr>
              <w:t>)</w:t>
            </w:r>
          </w:p>
        </w:tc>
      </w:tr>
      <w:tr w:rsidR="00D3639B" w:rsidRPr="00B34368" w:rsidTr="008B5312">
        <w:tc>
          <w:tcPr>
            <w:tcW w:w="3402" w:type="dxa"/>
            <w:vMerge/>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p>
        </w:tc>
        <w:tc>
          <w:tcPr>
            <w:tcW w:w="2481" w:type="dxa"/>
            <w:vAlign w:val="center"/>
          </w:tcPr>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481" w:type="dxa"/>
            <w:vAlign w:val="center"/>
          </w:tcPr>
          <w:p w:rsidR="009E549D" w:rsidRPr="00B34368" w:rsidRDefault="00FE7FB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3B57">
        <w:tc>
          <w:tcPr>
            <w:tcW w:w="3402" w:type="dxa"/>
          </w:tcPr>
          <w:p w:rsidR="005F293E" w:rsidRPr="00B34368" w:rsidRDefault="005F293E" w:rsidP="00973B57">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1.</w:t>
            </w:r>
            <w:r w:rsidRPr="00B34368">
              <w:rPr>
                <w:rFonts w:eastAsiaTheme="minorEastAsia" w:hAnsiTheme="minorEastAsia"/>
                <w:color w:val="000000" w:themeColor="text1"/>
                <w:kern w:val="0"/>
                <w:sz w:val="24"/>
              </w:rPr>
              <w:t>本期已实现收益</w:t>
            </w:r>
          </w:p>
        </w:tc>
        <w:tc>
          <w:tcPr>
            <w:tcW w:w="2481" w:type="dxa"/>
            <w:vAlign w:val="bottom"/>
          </w:tcPr>
          <w:p w:rsidR="005F293E" w:rsidRPr="00B34368" w:rsidRDefault="005F293E" w:rsidP="00973B57">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5,159,681.72</w:t>
            </w:r>
          </w:p>
        </w:tc>
        <w:tc>
          <w:tcPr>
            <w:tcW w:w="2481" w:type="dxa"/>
            <w:vAlign w:val="bottom"/>
          </w:tcPr>
          <w:p w:rsidR="005F293E" w:rsidRPr="00B34368" w:rsidRDefault="00FE7FBD" w:rsidP="0037768B">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106,821.93</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2.</w:t>
            </w:r>
            <w:r w:rsidRPr="00B34368">
              <w:rPr>
                <w:rFonts w:eastAsiaTheme="minorEastAsia" w:hAnsiTheme="minorEastAsia"/>
                <w:color w:val="000000" w:themeColor="text1"/>
                <w:kern w:val="0"/>
                <w:sz w:val="24"/>
              </w:rPr>
              <w:t>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-12,013,587.99</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-265,149.83</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3.</w:t>
            </w:r>
            <w:r w:rsidRPr="00B34368">
              <w:rPr>
                <w:rFonts w:eastAsiaTheme="minorEastAsia" w:hAnsiTheme="minorEastAsia"/>
                <w:color w:val="000000" w:themeColor="text1"/>
                <w:kern w:val="0"/>
                <w:sz w:val="24"/>
              </w:rPr>
              <w:t>加权平均基金份额本期利润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-0.0882</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-0.0862</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4.</w:t>
            </w:r>
            <w:r w:rsidRPr="00B34368">
              <w:rPr>
                <w:rFonts w:eastAsiaTheme="minorEastAsia" w:hAnsiTheme="minorEastAsia"/>
                <w:color w:val="000000" w:themeColor="text1"/>
                <w:kern w:val="0"/>
                <w:sz w:val="24"/>
              </w:rPr>
              <w:t>期末基金资产净值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173,993,796.98</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5,638,316.57</w:t>
            </w:r>
          </w:p>
        </w:tc>
      </w:tr>
      <w:tr w:rsidR="00D3639B" w:rsidRPr="00B34368" w:rsidTr="009A5C1D">
        <w:trPr>
          <w:trHeight w:val="158"/>
        </w:trPr>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5.</w:t>
            </w:r>
            <w:r w:rsidRPr="00B34368">
              <w:rPr>
                <w:rFonts w:eastAsiaTheme="minorEastAsia" w:hAnsiTheme="minorEastAsia"/>
                <w:color w:val="000000" w:themeColor="text1"/>
                <w:kern w:val="0"/>
                <w:sz w:val="24"/>
              </w:rPr>
              <w:t>期末基金份额净值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1.3008</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1.3336</w:t>
            </w:r>
          </w:p>
        </w:tc>
      </w:tr>
    </w:tbl>
    <w:p w:rsidR="00CE24BE" w:rsidRDefault="00111A0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所述基金业绩指标不包括持有人认购或交易基金的各项费用，计入费用后实际收益水平要低于所列数字。</w:t>
      </w:r>
    </w:p>
    <w:p w:rsidR="009238DB" w:rsidRPr="00B34368" w:rsidRDefault="005E01A3"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3.2 </w:t>
      </w:r>
      <w:r w:rsidRPr="00B34368">
        <w:rPr>
          <w:rFonts w:eastAsiaTheme="minorEastAsia" w:hAnsiTheme="minorEastAsia"/>
          <w:b/>
          <w:color w:val="000000" w:themeColor="text1"/>
          <w:kern w:val="0"/>
          <w:sz w:val="24"/>
        </w:rPr>
        <w:t>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3.2.1</w:t>
      </w:r>
      <w:r w:rsidRPr="00B34368">
        <w:rPr>
          <w:rFonts w:eastAsiaTheme="minorEastAsia" w:hAnsiTheme="minorEastAsia"/>
          <w:b/>
          <w:color w:val="000000" w:themeColor="text1"/>
          <w:kern w:val="0"/>
          <w:sz w:val="24"/>
        </w:rPr>
        <w:t>本报告期基金份额净值增长率及其与同期业绩比较基准收益率的比较</w:t>
      </w:r>
    </w:p>
    <w:p w:rsidR="009238DB" w:rsidRPr="00B34368" w:rsidRDefault="00A5643A" w:rsidP="00FC13C8">
      <w:pPr>
        <w:spacing w:line="360" w:lineRule="auto"/>
        <w:rPr>
          <w:rFonts w:eastAsiaTheme="minorEastAsia"/>
          <w:b/>
          <w:color w:val="000000" w:themeColor="text1"/>
          <w:sz w:val="24"/>
        </w:rPr>
      </w:pPr>
      <w:r w:rsidRPr="00B34368">
        <w:rPr>
          <w:rFonts w:eastAsiaTheme="minorEastAsia"/>
          <w:b/>
          <w:color w:val="000000" w:themeColor="text1"/>
          <w:kern w:val="0"/>
          <w:sz w:val="24"/>
        </w:rPr>
        <w:t>易方达上证中盘</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A</w:t>
      </w:r>
      <w:r w:rsidR="009238DB" w:rsidRPr="00B34368">
        <w:rPr>
          <w:rFonts w:eastAsiaTheme="minorEastAsia" w:hAnsiTheme="minorEastAsia"/>
          <w:b/>
          <w:color w:val="000000" w:themeColor="text1"/>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CE24BE">
        <w:tc>
          <w:tcPr>
            <w:tcW w:w="0" w:type="auto"/>
            <w:vAlign w:val="center"/>
          </w:tcPr>
          <w:p w:rsidR="00CE24BE" w:rsidRDefault="00111A06">
            <w:pPr>
              <w:jc w:val="left"/>
            </w:pPr>
            <w:r>
              <w:rPr>
                <w:rFonts w:eastAsiaTheme="minorEastAsia"/>
                <w:color w:val="000000" w:themeColor="text1"/>
                <w:sz w:val="24"/>
              </w:rPr>
              <w:t>过去三个月</w:t>
            </w:r>
          </w:p>
        </w:tc>
        <w:tc>
          <w:tcPr>
            <w:tcW w:w="0" w:type="auto"/>
            <w:vAlign w:val="center"/>
          </w:tcPr>
          <w:p w:rsidR="00CE24BE" w:rsidRDefault="00111A06">
            <w:pPr>
              <w:jc w:val="right"/>
            </w:pPr>
            <w:r>
              <w:rPr>
                <w:rFonts w:eastAsiaTheme="minorEastAsia"/>
                <w:color w:val="000000" w:themeColor="text1"/>
                <w:sz w:val="24"/>
              </w:rPr>
              <w:t>-6.54%</w:t>
            </w:r>
          </w:p>
        </w:tc>
        <w:tc>
          <w:tcPr>
            <w:tcW w:w="0" w:type="auto"/>
            <w:vAlign w:val="center"/>
          </w:tcPr>
          <w:p w:rsidR="00CE24BE" w:rsidRDefault="00111A06">
            <w:pPr>
              <w:jc w:val="right"/>
            </w:pPr>
            <w:r>
              <w:rPr>
                <w:rFonts w:eastAsiaTheme="minorEastAsia"/>
                <w:color w:val="000000" w:themeColor="text1"/>
                <w:sz w:val="24"/>
              </w:rPr>
              <w:t>1.76%</w:t>
            </w:r>
          </w:p>
        </w:tc>
        <w:tc>
          <w:tcPr>
            <w:tcW w:w="0" w:type="auto"/>
            <w:vAlign w:val="center"/>
          </w:tcPr>
          <w:p w:rsidR="00CE24BE" w:rsidRDefault="00111A06">
            <w:pPr>
              <w:jc w:val="right"/>
            </w:pPr>
            <w:r>
              <w:rPr>
                <w:rFonts w:eastAsiaTheme="minorEastAsia"/>
                <w:color w:val="000000" w:themeColor="text1"/>
                <w:sz w:val="24"/>
              </w:rPr>
              <w:t>-7.89%</w:t>
            </w:r>
          </w:p>
        </w:tc>
        <w:tc>
          <w:tcPr>
            <w:tcW w:w="0" w:type="auto"/>
            <w:vAlign w:val="center"/>
          </w:tcPr>
          <w:p w:rsidR="00CE24BE" w:rsidRDefault="00111A06">
            <w:pPr>
              <w:jc w:val="right"/>
            </w:pPr>
            <w:r>
              <w:rPr>
                <w:rFonts w:eastAsiaTheme="minorEastAsia"/>
                <w:color w:val="000000" w:themeColor="text1"/>
                <w:sz w:val="24"/>
              </w:rPr>
              <w:t>1.81%</w:t>
            </w:r>
          </w:p>
        </w:tc>
        <w:tc>
          <w:tcPr>
            <w:tcW w:w="0" w:type="auto"/>
            <w:vAlign w:val="center"/>
          </w:tcPr>
          <w:p w:rsidR="00CE24BE" w:rsidRDefault="00111A06">
            <w:pPr>
              <w:jc w:val="right"/>
            </w:pPr>
            <w:r>
              <w:rPr>
                <w:rFonts w:eastAsiaTheme="minorEastAsia"/>
                <w:color w:val="000000" w:themeColor="text1"/>
                <w:sz w:val="24"/>
              </w:rPr>
              <w:t>1.35%</w:t>
            </w:r>
          </w:p>
        </w:tc>
        <w:tc>
          <w:tcPr>
            <w:tcW w:w="0" w:type="auto"/>
            <w:vAlign w:val="center"/>
          </w:tcPr>
          <w:p w:rsidR="00CE24BE" w:rsidRDefault="00111A06">
            <w:pPr>
              <w:jc w:val="right"/>
            </w:pPr>
            <w:r>
              <w:rPr>
                <w:rFonts w:eastAsiaTheme="minorEastAsia"/>
                <w:color w:val="000000" w:themeColor="text1"/>
                <w:sz w:val="24"/>
              </w:rPr>
              <w:t>-0.05%</w:t>
            </w:r>
          </w:p>
        </w:tc>
      </w:tr>
    </w:tbl>
    <w:p w:rsidR="009238DB" w:rsidRPr="00B34368" w:rsidRDefault="00FE7FBD" w:rsidP="00C544B8">
      <w:pPr>
        <w:adjustRightInd w:val="0"/>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易方达上证中盘</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C</w:t>
      </w:r>
      <w:r w:rsidR="009238DB" w:rsidRPr="00B34368">
        <w:rPr>
          <w:rFonts w:eastAsiaTheme="minorEastAsia" w:hAnsiTheme="minorEastAsia"/>
          <w:b/>
          <w:color w:val="000000" w:themeColor="text1"/>
          <w:kern w:val="0"/>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CE24BE">
        <w:tc>
          <w:tcPr>
            <w:tcW w:w="0" w:type="auto"/>
            <w:vAlign w:val="center"/>
          </w:tcPr>
          <w:p w:rsidR="00CE24BE" w:rsidRDefault="00111A06">
            <w:pPr>
              <w:jc w:val="left"/>
            </w:pPr>
            <w:r>
              <w:rPr>
                <w:rFonts w:eastAsiaTheme="minorEastAsia"/>
                <w:color w:val="000000" w:themeColor="text1"/>
                <w:sz w:val="24"/>
              </w:rPr>
              <w:t>过去三个月</w:t>
            </w:r>
          </w:p>
        </w:tc>
        <w:tc>
          <w:tcPr>
            <w:tcW w:w="0" w:type="auto"/>
            <w:vAlign w:val="center"/>
          </w:tcPr>
          <w:p w:rsidR="00CE24BE" w:rsidRDefault="00111A06">
            <w:pPr>
              <w:jc w:val="right"/>
            </w:pPr>
            <w:r>
              <w:rPr>
                <w:rFonts w:eastAsiaTheme="minorEastAsia"/>
                <w:color w:val="000000" w:themeColor="text1"/>
                <w:sz w:val="24"/>
              </w:rPr>
              <w:t>-6.59%</w:t>
            </w:r>
          </w:p>
        </w:tc>
        <w:tc>
          <w:tcPr>
            <w:tcW w:w="0" w:type="auto"/>
            <w:vAlign w:val="center"/>
          </w:tcPr>
          <w:p w:rsidR="00CE24BE" w:rsidRDefault="00111A06">
            <w:pPr>
              <w:jc w:val="right"/>
            </w:pPr>
            <w:r>
              <w:rPr>
                <w:rFonts w:eastAsiaTheme="minorEastAsia"/>
                <w:color w:val="000000" w:themeColor="text1"/>
                <w:sz w:val="24"/>
              </w:rPr>
              <w:t>1.76%</w:t>
            </w:r>
          </w:p>
        </w:tc>
        <w:tc>
          <w:tcPr>
            <w:tcW w:w="0" w:type="auto"/>
            <w:vAlign w:val="center"/>
          </w:tcPr>
          <w:p w:rsidR="00CE24BE" w:rsidRDefault="00111A06">
            <w:pPr>
              <w:jc w:val="right"/>
            </w:pPr>
            <w:r>
              <w:rPr>
                <w:rFonts w:eastAsiaTheme="minorEastAsia"/>
                <w:color w:val="000000" w:themeColor="text1"/>
                <w:sz w:val="24"/>
              </w:rPr>
              <w:t>-7.89%</w:t>
            </w:r>
          </w:p>
        </w:tc>
        <w:tc>
          <w:tcPr>
            <w:tcW w:w="0" w:type="auto"/>
            <w:vAlign w:val="center"/>
          </w:tcPr>
          <w:p w:rsidR="00CE24BE" w:rsidRDefault="00111A06">
            <w:pPr>
              <w:jc w:val="right"/>
            </w:pPr>
            <w:r>
              <w:rPr>
                <w:rFonts w:eastAsiaTheme="minorEastAsia"/>
                <w:color w:val="000000" w:themeColor="text1"/>
                <w:sz w:val="24"/>
              </w:rPr>
              <w:t>1.81%</w:t>
            </w:r>
          </w:p>
        </w:tc>
        <w:tc>
          <w:tcPr>
            <w:tcW w:w="0" w:type="auto"/>
            <w:vAlign w:val="center"/>
          </w:tcPr>
          <w:p w:rsidR="00CE24BE" w:rsidRDefault="00111A06">
            <w:pPr>
              <w:jc w:val="right"/>
            </w:pPr>
            <w:r>
              <w:rPr>
                <w:rFonts w:eastAsiaTheme="minorEastAsia"/>
                <w:color w:val="000000" w:themeColor="text1"/>
                <w:sz w:val="24"/>
              </w:rPr>
              <w:t>1.30%</w:t>
            </w:r>
          </w:p>
        </w:tc>
        <w:tc>
          <w:tcPr>
            <w:tcW w:w="0" w:type="auto"/>
            <w:vAlign w:val="center"/>
          </w:tcPr>
          <w:p w:rsidR="00CE24BE" w:rsidRDefault="00111A06">
            <w:pPr>
              <w:jc w:val="right"/>
            </w:pPr>
            <w:r>
              <w:rPr>
                <w:rFonts w:eastAsiaTheme="minorEastAsia"/>
                <w:color w:val="000000" w:themeColor="text1"/>
                <w:sz w:val="24"/>
              </w:rPr>
              <w:t>-0.05%</w:t>
            </w:r>
          </w:p>
        </w:tc>
      </w:tr>
    </w:tbl>
    <w:p w:rsidR="009238DB" w:rsidRPr="00B34368" w:rsidRDefault="009238DB" w:rsidP="00C544B8">
      <w:pPr>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3.2.2</w:t>
      </w:r>
      <w:r w:rsidRPr="00B34368">
        <w:rPr>
          <w:rFonts w:eastAsiaTheme="minorEastAsia" w:hAnsiTheme="minorEastAsia"/>
          <w:b/>
          <w:color w:val="000000" w:themeColor="text1"/>
          <w:kern w:val="0"/>
          <w:sz w:val="24"/>
        </w:rPr>
        <w:t xml:space="preserve">　</w:t>
      </w:r>
      <w:r w:rsidR="00FE0C8B" w:rsidRPr="00B34368">
        <w:rPr>
          <w:rStyle w:val="af6"/>
          <w:rFonts w:eastAsiaTheme="minorEastAsia"/>
          <w:color w:val="000000" w:themeColor="text1"/>
          <w:sz w:val="24"/>
          <w:shd w:val="clear" w:color="auto" w:fill="FFFFFF"/>
        </w:rPr>
        <w:t>自基金合同生效以来</w:t>
      </w:r>
      <w:r w:rsidR="00BF57BE" w:rsidRPr="00B34368">
        <w:rPr>
          <w:rFonts w:eastAsiaTheme="minorEastAsia" w:hAnsiTheme="minorEastAsia"/>
          <w:b/>
          <w:color w:val="000000" w:themeColor="text1"/>
          <w:sz w:val="24"/>
        </w:rPr>
        <w:t>基金累计净值增长率变动及其与同期业绩比较基准收益率变动的比较</w:t>
      </w:r>
    </w:p>
    <w:p w:rsidR="009A045B" w:rsidRPr="00B34368" w:rsidRDefault="009A045B" w:rsidP="00FC13C8">
      <w:pPr>
        <w:spacing w:line="360" w:lineRule="auto"/>
        <w:jc w:val="center"/>
        <w:rPr>
          <w:rFonts w:eastAsiaTheme="minorEastAsia"/>
          <w:color w:val="000000" w:themeColor="text1"/>
          <w:sz w:val="24"/>
        </w:rPr>
      </w:pPr>
      <w:r w:rsidRPr="00B34368">
        <w:rPr>
          <w:rFonts w:eastAsiaTheme="minorEastAsia"/>
          <w:color w:val="000000" w:themeColor="text1"/>
          <w:sz w:val="24"/>
        </w:rPr>
        <w:t>易方达上证中盘交易型开放式指数证券投资基金联接基金</w:t>
      </w:r>
    </w:p>
    <w:p w:rsidR="00F84D52" w:rsidRDefault="00022396" w:rsidP="00F84D52">
      <w:pPr>
        <w:pStyle w:val="a5"/>
        <w:snapToGrid w:val="0"/>
        <w:spacing w:line="360" w:lineRule="auto"/>
        <w:ind w:firstLine="480"/>
        <w:jc w:val="center"/>
        <w:rPr>
          <w:rFonts w:ascii="Times New Roman" w:eastAsiaTheme="minorEastAsia" w:hAnsi="Times New Roman"/>
          <w:color w:val="000000" w:themeColor="text1"/>
          <w:sz w:val="24"/>
          <w:szCs w:val="24"/>
        </w:rPr>
      </w:pPr>
      <w:r w:rsidRPr="00B34368">
        <w:rPr>
          <w:rFonts w:ascii="Times New Roman" w:eastAsiaTheme="minorEastAsia" w:hAnsiTheme="minorEastAsia"/>
          <w:color w:val="000000" w:themeColor="text1"/>
          <w:sz w:val="24"/>
          <w:szCs w:val="24"/>
        </w:rPr>
        <w:t>累计净值增长率与业绩比较基准收益率的历史走势对比图</w:t>
      </w:r>
    </w:p>
    <w:p w:rsidR="00F84D52" w:rsidRDefault="0042785F" w:rsidP="00F84D52">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r w:rsidR="009238DB"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日至</w:t>
      </w:r>
      <w:r w:rsidRPr="00F84D52">
        <w:rPr>
          <w:rFonts w:ascii="Times New Roman" w:hAnsi="Times New Roman"/>
          <w:sz w:val="24"/>
          <w:szCs w:val="24"/>
        </w:rPr>
        <w:t>2020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6F5B4C"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84D52" w:rsidRDefault="00FE7FBD" w:rsidP="00F84D52">
      <w:pPr>
        <w:snapToGrid w:val="0"/>
        <w:spacing w:beforeLines="100" w:before="312" w:line="360" w:lineRule="auto"/>
        <w:rPr>
          <w:rFonts w:eastAsiaTheme="minorEastAsia" w:hAnsi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r w:rsidR="0042785F"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2017</w:t>
      </w:r>
      <w:r w:rsidRPr="00F84D52">
        <w:rPr>
          <w:rFonts w:ascii="Times New Roman" w:hAnsi="Times New Roman"/>
          <w:sz w:val="24"/>
          <w:szCs w:val="24"/>
        </w:rPr>
        <w:t>年</w:t>
      </w:r>
      <w:r w:rsidRPr="00F84D52">
        <w:rPr>
          <w:rFonts w:ascii="Times New Roman" w:hAnsi="Times New Roman"/>
          <w:sz w:val="24"/>
          <w:szCs w:val="24"/>
        </w:rPr>
        <w:t>6</w:t>
      </w:r>
      <w:r w:rsidRPr="00F84D52">
        <w:rPr>
          <w:rFonts w:ascii="Times New Roman" w:hAnsi="Times New Roman"/>
          <w:sz w:val="24"/>
          <w:szCs w:val="24"/>
        </w:rPr>
        <w:t>月</w:t>
      </w:r>
      <w:r w:rsidRPr="00F84D52">
        <w:rPr>
          <w:rFonts w:ascii="Times New Roman" w:hAnsi="Times New Roman"/>
          <w:sz w:val="24"/>
          <w:szCs w:val="24"/>
        </w:rPr>
        <w:t>5</w:t>
      </w:r>
      <w:r w:rsidRPr="00F84D52">
        <w:rPr>
          <w:rFonts w:ascii="Times New Roman" w:hAnsi="Times New Roman"/>
          <w:sz w:val="24"/>
          <w:szCs w:val="24"/>
        </w:rPr>
        <w:t>日至</w:t>
      </w:r>
      <w:r w:rsidRPr="00F84D52">
        <w:rPr>
          <w:rFonts w:ascii="Times New Roman" w:hAnsi="Times New Roman"/>
          <w:sz w:val="24"/>
          <w:szCs w:val="24"/>
        </w:rPr>
        <w:t>2020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B70229"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自</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w:t>
      </w:r>
      <w:r>
        <w:rPr>
          <w:rFonts w:eastAsiaTheme="minorEastAsia"/>
          <w:color w:val="000000" w:themeColor="text1"/>
          <w:sz w:val="24"/>
        </w:rPr>
        <w:t>日起，本基金增设</w:t>
      </w:r>
      <w:r>
        <w:rPr>
          <w:rFonts w:eastAsiaTheme="minorEastAsia"/>
          <w:color w:val="000000" w:themeColor="text1"/>
          <w:sz w:val="24"/>
        </w:rPr>
        <w:t>C</w:t>
      </w:r>
      <w:r>
        <w:rPr>
          <w:rFonts w:eastAsiaTheme="minorEastAsia"/>
          <w:color w:val="000000" w:themeColor="text1"/>
          <w:sz w:val="24"/>
        </w:rPr>
        <w:t>类份额类别，份额首次确认日为</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5</w:t>
      </w:r>
      <w:r>
        <w:rPr>
          <w:rFonts w:eastAsiaTheme="minorEastAsia"/>
          <w:color w:val="000000" w:themeColor="text1"/>
          <w:sz w:val="24"/>
        </w:rPr>
        <w:t>日，增设当期的相关数据和指标按实际存续期计算。</w:t>
      </w:r>
    </w:p>
    <w:p w:rsidR="00973B57" w:rsidRPr="00B34368" w:rsidRDefault="00757FD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自基金合同生效至报告期末，</w:t>
      </w:r>
      <w:r w:rsidRPr="00B34368">
        <w:rPr>
          <w:rFonts w:eastAsiaTheme="minorEastAsia"/>
          <w:color w:val="000000" w:themeColor="text1"/>
          <w:sz w:val="24"/>
        </w:rPr>
        <w:t>A</w:t>
      </w:r>
      <w:r w:rsidRPr="00B34368">
        <w:rPr>
          <w:rFonts w:eastAsiaTheme="minorEastAsia"/>
          <w:color w:val="000000" w:themeColor="text1"/>
          <w:sz w:val="24"/>
        </w:rPr>
        <w:t>类基金份额净值增长率为</w:t>
      </w:r>
      <w:r w:rsidRPr="00B34368">
        <w:rPr>
          <w:rFonts w:eastAsiaTheme="minorEastAsia"/>
          <w:color w:val="000000" w:themeColor="text1"/>
          <w:sz w:val="24"/>
        </w:rPr>
        <w:t>30.08%</w:t>
      </w:r>
      <w:r w:rsidRPr="00B34368">
        <w:rPr>
          <w:rFonts w:eastAsiaTheme="minorEastAsia"/>
          <w:color w:val="000000" w:themeColor="text1"/>
          <w:sz w:val="24"/>
        </w:rPr>
        <w:t>，同期业绩比较基准收益率为</w:t>
      </w:r>
      <w:r w:rsidRPr="00B34368">
        <w:rPr>
          <w:rFonts w:eastAsiaTheme="minorEastAsia"/>
          <w:color w:val="000000" w:themeColor="text1"/>
          <w:sz w:val="24"/>
        </w:rPr>
        <w:t>0.95%</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类基金份额净值增长率为</w:t>
      </w:r>
      <w:r w:rsidRPr="00B34368">
        <w:rPr>
          <w:rFonts w:eastAsiaTheme="minorEastAsia"/>
          <w:color w:val="000000" w:themeColor="text1"/>
          <w:sz w:val="24"/>
        </w:rPr>
        <w:t>7.60%</w:t>
      </w:r>
      <w:r w:rsidRPr="00B34368">
        <w:rPr>
          <w:rFonts w:eastAsiaTheme="minorEastAsia"/>
          <w:color w:val="000000" w:themeColor="text1"/>
          <w:sz w:val="24"/>
        </w:rPr>
        <w:t>，同期业绩比较基准收益率为</w:t>
      </w:r>
      <w:r w:rsidRPr="00B34368">
        <w:rPr>
          <w:rFonts w:eastAsiaTheme="minorEastAsia"/>
          <w:color w:val="000000" w:themeColor="text1"/>
          <w:sz w:val="24"/>
        </w:rPr>
        <w:t>-4.54%</w:t>
      </w:r>
      <w:r w:rsidRPr="00B34368">
        <w:rPr>
          <w:rFonts w:eastAsiaTheme="minorEastAsia"/>
          <w:color w:val="000000" w:themeColor="text1"/>
          <w:sz w:val="24"/>
        </w:rPr>
        <w:t>。</w:t>
      </w:r>
    </w:p>
    <w:p w:rsidR="00E561F9" w:rsidRPr="00B34368" w:rsidRDefault="00E561F9" w:rsidP="00E561F9">
      <w:pPr>
        <w:tabs>
          <w:tab w:val="left" w:pos="1800"/>
        </w:tabs>
        <w:spacing w:line="288" w:lineRule="auto"/>
        <w:rPr>
          <w:rFonts w:eastAsiaTheme="minorEastAsia"/>
          <w:color w:val="000000" w:themeColor="text1"/>
          <w:sz w:val="24"/>
        </w:rPr>
      </w:pP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§4  </w:t>
      </w:r>
      <w:r w:rsidRPr="00B34368">
        <w:rPr>
          <w:rFonts w:eastAsiaTheme="minorEastAsia" w:hAnsiTheme="minorEastAsia"/>
          <w:color w:val="000000" w:themeColor="text1"/>
          <w:kern w:val="0"/>
          <w:sz w:val="24"/>
          <w:szCs w:val="24"/>
        </w:rPr>
        <w:t>管理人报告</w:t>
      </w:r>
    </w:p>
    <w:p w:rsidR="00C544B8" w:rsidRDefault="009238DB" w:rsidP="00C544B8">
      <w:pPr>
        <w:autoSpaceDE w:val="0"/>
        <w:autoSpaceDN w:val="0"/>
        <w:adjustRightInd w:val="0"/>
        <w:spacing w:line="360" w:lineRule="auto"/>
        <w:jc w:val="left"/>
        <w:rPr>
          <w:rFonts w:ascii="宋体" w:cs="Arial"/>
          <w:b/>
          <w:color w:val="000000"/>
          <w:kern w:val="0"/>
          <w:sz w:val="24"/>
        </w:rPr>
      </w:pPr>
      <w:r w:rsidRPr="00B34368">
        <w:rPr>
          <w:rFonts w:eastAsiaTheme="minorEastAsia"/>
          <w:b/>
          <w:color w:val="000000" w:themeColor="text1"/>
          <w:kern w:val="0"/>
          <w:sz w:val="24"/>
        </w:rPr>
        <w:t xml:space="preserve">4.1 </w:t>
      </w:r>
      <w:r w:rsidRPr="00B34368">
        <w:rPr>
          <w:rFonts w:eastAsiaTheme="minorEastAsia" w:hAnsiTheme="minorEastAsia"/>
          <w:b/>
          <w:color w:val="000000" w:themeColor="text1"/>
          <w:kern w:val="0"/>
          <w:sz w:val="24"/>
        </w:rPr>
        <w:t>基金经理（或基金经理小组）简介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2"/>
        <w:gridCol w:w="851"/>
        <w:gridCol w:w="850"/>
        <w:gridCol w:w="851"/>
        <w:gridCol w:w="2975"/>
      </w:tblGrid>
      <w:tr w:rsidR="00C544B8" w:rsidTr="00C544B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任本基金的基金经理期限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C544B8">
        <w:trPr>
          <w:cantSplit/>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r>
      <w:tr w:rsidR="00CE24BE">
        <w:tc>
          <w:tcPr>
            <w:tcW w:w="0" w:type="auto"/>
            <w:vAlign w:val="center"/>
          </w:tcPr>
          <w:p w:rsidR="00CE24BE" w:rsidRDefault="00111A06">
            <w:pPr>
              <w:jc w:val="center"/>
            </w:pPr>
            <w:r>
              <w:rPr>
                <w:color w:val="000000"/>
                <w:sz w:val="24"/>
              </w:rPr>
              <w:t>刘树荣</w:t>
            </w:r>
          </w:p>
        </w:tc>
        <w:tc>
          <w:tcPr>
            <w:tcW w:w="0" w:type="auto"/>
            <w:vAlign w:val="center"/>
          </w:tcPr>
          <w:p w:rsidR="00CE24BE" w:rsidRDefault="00111A06">
            <w:pPr>
              <w:jc w:val="left"/>
            </w:pPr>
            <w:r>
              <w:rPr>
                <w:color w:val="000000"/>
                <w:sz w:val="24"/>
              </w:rPr>
              <w:t>本基金的基金经理、易方达并购重组指数分级证券投资基金的基金经理、易方达深证</w:t>
            </w:r>
            <w:r>
              <w:rPr>
                <w:color w:val="000000"/>
                <w:sz w:val="24"/>
              </w:rPr>
              <w:t>100</w:t>
            </w:r>
            <w:r>
              <w:rPr>
                <w:color w:val="000000"/>
                <w:sz w:val="24"/>
              </w:rPr>
              <w:t>交易型开放式指数证券投资基金联接基金的基金经理、易方达生物科技指数分级证券投资基金的基金经理、易方达银行指数分级证券投资基金的基金经理、易方达中小板指数证券投资基金（</w:t>
            </w:r>
            <w:r>
              <w:rPr>
                <w:color w:val="000000"/>
                <w:sz w:val="24"/>
              </w:rPr>
              <w:t>LOF</w:t>
            </w:r>
            <w:r>
              <w:rPr>
                <w:color w:val="000000"/>
                <w:sz w:val="24"/>
              </w:rPr>
              <w:t>）（原易方达中小板指数分级证券投资基金）的基金经理、易方达创业板交易型开放式指数证券投资基金的基金经理、易方达深证</w:t>
            </w:r>
            <w:r>
              <w:rPr>
                <w:color w:val="000000"/>
                <w:sz w:val="24"/>
              </w:rPr>
              <w:t>100</w:t>
            </w:r>
            <w:r>
              <w:rPr>
                <w:color w:val="000000"/>
                <w:sz w:val="24"/>
              </w:rPr>
              <w:t>交易型开放式指数基金的基金经理、易方达创业板交易型开放式指数证券投资基金联接基金的基金经理、易方达标普</w:t>
            </w:r>
            <w:r>
              <w:rPr>
                <w:color w:val="000000"/>
                <w:sz w:val="24"/>
              </w:rPr>
              <w:t>500</w:t>
            </w:r>
            <w:r>
              <w:rPr>
                <w:color w:val="000000"/>
                <w:sz w:val="24"/>
              </w:rPr>
              <w:t>指数证券投资基金（</w:t>
            </w:r>
            <w:r>
              <w:rPr>
                <w:color w:val="000000"/>
                <w:sz w:val="24"/>
              </w:rPr>
              <w:t>LOF</w:t>
            </w:r>
            <w:r>
              <w:rPr>
                <w:color w:val="000000"/>
                <w:sz w:val="24"/>
              </w:rPr>
              <w:t>）的基金</w:t>
            </w:r>
            <w:r>
              <w:rPr>
                <w:color w:val="000000"/>
                <w:sz w:val="24"/>
              </w:rPr>
              <w:t>经理、易方达标普医疗保健指数证券投资基金（</w:t>
            </w:r>
            <w:r>
              <w:rPr>
                <w:color w:val="000000"/>
                <w:sz w:val="24"/>
              </w:rPr>
              <w:t>LOF</w:t>
            </w:r>
            <w:r>
              <w:rPr>
                <w:color w:val="000000"/>
                <w:sz w:val="24"/>
              </w:rPr>
              <w:t>）的基金经理、易方达香港恒生综合小型股指数证券投资基金（</w:t>
            </w:r>
            <w:r>
              <w:rPr>
                <w:color w:val="000000"/>
                <w:sz w:val="24"/>
              </w:rPr>
              <w:t>LOF</w:t>
            </w:r>
            <w:r>
              <w:rPr>
                <w:color w:val="000000"/>
                <w:sz w:val="24"/>
              </w:rPr>
              <w:t>）的基金经理、易方达上证中盘交易型开放式指数证券投资基金的基金经理、易方达标普信息科技指数证券投资基金（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）的基金经理、易方达中证</w:t>
            </w:r>
            <w:r>
              <w:rPr>
                <w:color w:val="000000"/>
                <w:sz w:val="24"/>
              </w:rPr>
              <w:t>800</w:t>
            </w:r>
            <w:r>
              <w:rPr>
                <w:color w:val="000000"/>
                <w:sz w:val="24"/>
              </w:rPr>
              <w:t>交易型开放式指数证券投资基金的基金经理、易方达中证</w:t>
            </w:r>
            <w:r>
              <w:rPr>
                <w:color w:val="000000"/>
                <w:sz w:val="24"/>
              </w:rPr>
              <w:t>800</w:t>
            </w:r>
            <w:r>
              <w:rPr>
                <w:color w:val="000000"/>
                <w:sz w:val="24"/>
              </w:rPr>
              <w:t>交易型开放式指数证券投资基金发起式联接基金的基金经理、易方达中证国企一带一路交易型开放式指数证券投资基金的基金经理、易方达中证国企一带一路交易型开放式</w:t>
            </w:r>
            <w:r>
              <w:rPr>
                <w:color w:val="000000"/>
                <w:sz w:val="24"/>
              </w:rPr>
              <w:t>指数证券投资基金联接基金的基金经理</w:t>
            </w:r>
          </w:p>
        </w:tc>
        <w:tc>
          <w:tcPr>
            <w:tcW w:w="0" w:type="auto"/>
            <w:vAlign w:val="center"/>
          </w:tcPr>
          <w:p w:rsidR="00CE24BE" w:rsidRDefault="00111A06">
            <w:pPr>
              <w:jc w:val="center"/>
            </w:pPr>
            <w:r>
              <w:rPr>
                <w:color w:val="000000"/>
                <w:sz w:val="24"/>
              </w:rPr>
              <w:t>2018-08-11</w:t>
            </w:r>
          </w:p>
        </w:tc>
        <w:tc>
          <w:tcPr>
            <w:tcW w:w="0" w:type="auto"/>
            <w:vAlign w:val="center"/>
          </w:tcPr>
          <w:p w:rsidR="00CE24BE" w:rsidRDefault="00111A06">
            <w:pPr>
              <w:jc w:val="center"/>
            </w:pPr>
            <w:r>
              <w:rPr>
                <w:color w:val="000000"/>
                <w:sz w:val="24"/>
              </w:rPr>
              <w:t>-</w:t>
            </w:r>
          </w:p>
        </w:tc>
        <w:tc>
          <w:tcPr>
            <w:tcW w:w="0" w:type="auto"/>
            <w:vAlign w:val="center"/>
          </w:tcPr>
          <w:p w:rsidR="00CE24BE" w:rsidRDefault="00111A06">
            <w:pPr>
              <w:jc w:val="center"/>
            </w:pPr>
            <w:r>
              <w:rPr>
                <w:color w:val="000000"/>
                <w:sz w:val="24"/>
              </w:rPr>
              <w:t>13</w:t>
            </w:r>
            <w:r>
              <w:rPr>
                <w:color w:val="000000"/>
                <w:sz w:val="24"/>
              </w:rPr>
              <w:t>年</w:t>
            </w:r>
          </w:p>
        </w:tc>
        <w:tc>
          <w:tcPr>
            <w:tcW w:w="0" w:type="auto"/>
            <w:vAlign w:val="center"/>
          </w:tcPr>
          <w:p w:rsidR="00CE24BE" w:rsidRDefault="00111A06">
            <w:r>
              <w:rPr>
                <w:color w:val="000000"/>
                <w:sz w:val="24"/>
              </w:rPr>
              <w:t>硕士研究生，具有基金从业资格。曾任招商银行资产托管部基金会计，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w:t>
            </w:r>
          </w:p>
        </w:tc>
      </w:tr>
    </w:tbl>
    <w:p w:rsidR="00CE24BE" w:rsidRDefault="00111A06">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5C7D00" w:rsidRPr="00B34368" w:rsidRDefault="00C544B8" w:rsidP="00547A9A">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2.</w:t>
      </w:r>
      <w:r>
        <w:rPr>
          <w:color w:val="000000"/>
          <w:sz w:val="24"/>
        </w:rPr>
        <w:t>证券从业的含义遵从《证券业从业人员资格管理办法》的相关规定。</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4.2</w:t>
      </w:r>
      <w:r w:rsidR="00B34368" w:rsidRPr="00B34368">
        <w:rPr>
          <w:rFonts w:eastAsiaTheme="minorEastAsia" w:hAnsiTheme="minorEastAsia"/>
          <w:b/>
          <w:color w:val="000000" w:themeColor="text1"/>
          <w:kern w:val="0"/>
          <w:sz w:val="24"/>
        </w:rPr>
        <w:t>管理人对</w:t>
      </w:r>
      <w:r w:rsidRPr="00B34368">
        <w:rPr>
          <w:rFonts w:eastAsiaTheme="minorEastAsia" w:hAnsiTheme="minorEastAsia"/>
          <w:b/>
          <w:color w:val="000000" w:themeColor="text1"/>
          <w:kern w:val="0"/>
          <w:sz w:val="24"/>
        </w:rPr>
        <w:t>报告期内本基金运作遵规守信情况</w:t>
      </w:r>
      <w:r w:rsidR="002F7889" w:rsidRPr="002F7889">
        <w:rPr>
          <w:rFonts w:eastAsiaTheme="minorEastAsia" w:hAnsiTheme="minorEastAsia"/>
          <w:b/>
          <w:color w:val="000000" w:themeColor="text1"/>
          <w:kern w:val="0"/>
          <w:sz w:val="24"/>
        </w:rPr>
        <w:t>的</w:t>
      </w:r>
      <w:r w:rsidRPr="00B34368">
        <w:rPr>
          <w:rFonts w:eastAsiaTheme="minorEastAsia" w:hAnsiTheme="minorEastAsia"/>
          <w:b/>
          <w:color w:val="000000" w:themeColor="text1"/>
          <w:kern w:val="0"/>
          <w:sz w:val="24"/>
        </w:rPr>
        <w:t>说明</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4.3 </w:t>
      </w:r>
      <w:r w:rsidRPr="00B34368">
        <w:rPr>
          <w:rFonts w:eastAsiaTheme="minorEastAsia" w:hAnsiTheme="minorEastAsia"/>
          <w:b/>
          <w:color w:val="000000" w:themeColor="text1"/>
          <w:kern w:val="0"/>
          <w:sz w:val="24"/>
        </w:rPr>
        <w:t>公平交易专项说明</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4.3.1 </w:t>
      </w:r>
      <w:r w:rsidRPr="00B34368">
        <w:rPr>
          <w:rFonts w:eastAsiaTheme="minorEastAsia" w:hAnsiTheme="minorEastAsia"/>
          <w:color w:val="000000" w:themeColor="text1"/>
          <w:sz w:val="24"/>
        </w:rPr>
        <w:t>公平交易制度的执行情况</w:t>
      </w:r>
    </w:p>
    <w:p w:rsidR="00D15733"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B34368">
        <w:rPr>
          <w:rFonts w:eastAsiaTheme="minorEastAsia"/>
          <w:color w:val="000000" w:themeColor="text1"/>
          <w:sz w:val="24"/>
        </w:rPr>
        <w:t>“</w:t>
      </w:r>
      <w:r w:rsidRPr="00B34368">
        <w:rPr>
          <w:rFonts w:eastAsiaTheme="minorEastAsia"/>
          <w:color w:val="000000" w:themeColor="text1"/>
          <w:sz w:val="24"/>
        </w:rPr>
        <w:t>时间优先、价格优先</w:t>
      </w:r>
      <w:r w:rsidRPr="00B34368">
        <w:rPr>
          <w:rFonts w:eastAsiaTheme="minorEastAsia"/>
          <w:color w:val="000000" w:themeColor="text1"/>
          <w:sz w:val="24"/>
        </w:rPr>
        <w:t>”</w:t>
      </w:r>
      <w:r w:rsidRPr="00B34368">
        <w:rPr>
          <w:rFonts w:eastAsiaTheme="minorEastAsia"/>
          <w:color w:val="000000" w:themeColor="text1"/>
          <w:sz w:val="24"/>
        </w:rPr>
        <w:t>作为执行指令的基本原则，通过投资交易系统中的公平交易模块，以尽可能确保公平对待各投资组合。本报告期内，公平交易制度总体执行情况良好。</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4.3.</w:t>
      </w:r>
      <w:r w:rsidR="005B6047" w:rsidRPr="00B34368">
        <w:rPr>
          <w:rFonts w:eastAsiaTheme="minorEastAsia"/>
          <w:color w:val="000000" w:themeColor="text1"/>
          <w:sz w:val="24"/>
        </w:rPr>
        <w:t>2</w:t>
      </w:r>
      <w:r w:rsidRPr="00B34368">
        <w:rPr>
          <w:rFonts w:eastAsiaTheme="minorEastAsia"/>
          <w:color w:val="000000" w:themeColor="text1"/>
          <w:sz w:val="24"/>
        </w:rPr>
        <w:t xml:space="preserve"> </w:t>
      </w:r>
      <w:r w:rsidRPr="00B34368">
        <w:rPr>
          <w:rFonts w:eastAsiaTheme="minorEastAsia" w:hAnsiTheme="minorEastAsia"/>
          <w:color w:val="000000" w:themeColor="text1"/>
          <w:sz w:val="24"/>
        </w:rPr>
        <w:t>异常交易行为的专项说明</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本报告期内，公司旗下所有投资组合参与的交易所公开竞价交易中，同日反向交易成交较少的单边交易量超过该证券当日成交量的</w:t>
      </w:r>
      <w:r>
        <w:rPr>
          <w:rFonts w:eastAsiaTheme="minorEastAsia"/>
          <w:color w:val="000000" w:themeColor="text1"/>
          <w:sz w:val="24"/>
        </w:rPr>
        <w:t>5%</w:t>
      </w:r>
      <w:r>
        <w:rPr>
          <w:rFonts w:eastAsiaTheme="minorEastAsia"/>
          <w:color w:val="000000" w:themeColor="text1"/>
          <w:sz w:val="24"/>
        </w:rPr>
        <w:t>的交易共</w:t>
      </w:r>
      <w:r>
        <w:rPr>
          <w:rFonts w:eastAsiaTheme="minorEastAsia"/>
          <w:color w:val="000000" w:themeColor="text1"/>
          <w:sz w:val="24"/>
        </w:rPr>
        <w:t>17</w:t>
      </w:r>
      <w:r>
        <w:rPr>
          <w:rFonts w:eastAsiaTheme="minorEastAsia"/>
          <w:color w:val="000000" w:themeColor="text1"/>
          <w:sz w:val="24"/>
        </w:rPr>
        <w:t>次，全部为指数量化投资组合因投资策略需要和其他组合发生的反向交易。</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本报告期内，未发现本基金有可能导致不公平交易和利益输送的异常交易。</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4.4 </w:t>
      </w:r>
      <w:r w:rsidRPr="00B34368">
        <w:rPr>
          <w:rFonts w:eastAsiaTheme="minorEastAsia" w:hAnsiTheme="minorEastAsia"/>
          <w:b/>
          <w:color w:val="000000" w:themeColor="text1"/>
          <w:kern w:val="0"/>
          <w:sz w:val="24"/>
        </w:rPr>
        <w:t>报告期内基金的投资策略和业绩表现说明</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4.4.1</w:t>
      </w:r>
      <w:r w:rsidRPr="00B34368">
        <w:rPr>
          <w:rFonts w:eastAsiaTheme="minorEastAsia" w:hAnsiTheme="minorEastAsia"/>
          <w:color w:val="000000" w:themeColor="text1"/>
          <w:sz w:val="24"/>
        </w:rPr>
        <w:t>报告期内基金投资策略和运作分析</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本基金跟踪的标的指数为上证中盘指数，上证中盘指数由上证</w:t>
      </w:r>
      <w:r>
        <w:rPr>
          <w:rFonts w:eastAsiaTheme="minorEastAsia"/>
          <w:color w:val="000000" w:themeColor="text1"/>
          <w:sz w:val="24"/>
        </w:rPr>
        <w:t>180</w:t>
      </w:r>
      <w:r>
        <w:rPr>
          <w:rFonts w:eastAsiaTheme="minorEastAsia"/>
          <w:color w:val="000000" w:themeColor="text1"/>
          <w:sz w:val="24"/>
        </w:rPr>
        <w:t>指数成份股中剔除</w:t>
      </w:r>
      <w:r>
        <w:rPr>
          <w:rFonts w:eastAsiaTheme="minorEastAsia"/>
          <w:color w:val="000000" w:themeColor="text1"/>
          <w:sz w:val="24"/>
        </w:rPr>
        <w:t>50</w:t>
      </w:r>
      <w:r>
        <w:rPr>
          <w:rFonts w:eastAsiaTheme="minorEastAsia"/>
          <w:color w:val="000000" w:themeColor="text1"/>
          <w:sz w:val="24"/>
        </w:rPr>
        <w:t>只上证</w:t>
      </w:r>
      <w:r>
        <w:rPr>
          <w:rFonts w:eastAsiaTheme="minorEastAsia"/>
          <w:color w:val="000000" w:themeColor="text1"/>
          <w:sz w:val="24"/>
        </w:rPr>
        <w:t>50</w:t>
      </w:r>
      <w:r>
        <w:rPr>
          <w:rFonts w:eastAsiaTheme="minorEastAsia"/>
          <w:color w:val="000000" w:themeColor="text1"/>
          <w:sz w:val="24"/>
        </w:rPr>
        <w:t>指数成份股后剩余的</w:t>
      </w:r>
      <w:r>
        <w:rPr>
          <w:rFonts w:eastAsiaTheme="minorEastAsia"/>
          <w:color w:val="000000" w:themeColor="text1"/>
          <w:sz w:val="24"/>
        </w:rPr>
        <w:t>130</w:t>
      </w:r>
      <w:r>
        <w:rPr>
          <w:rFonts w:eastAsiaTheme="minorEastAsia"/>
          <w:color w:val="000000" w:themeColor="text1"/>
          <w:sz w:val="24"/>
        </w:rPr>
        <w:t>家成份股构成，以综合反映沪市中盘公司的整体状况。</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季度，海内外资本市场大幅波动。年初爆发的新冠疫情打断了国内经济企稳节奏，人们的日常生活和国内经济发展受到了较大的冲击。春节后国内股票市场大幅低开，随后在央行大规模投放流动性并调降资金成本、疫情得到初步控制等因素的影响下，市场恐慌情绪缓解，并开启了一波反弹行情。</w:t>
      </w:r>
      <w:r>
        <w:rPr>
          <w:rFonts w:eastAsiaTheme="minorEastAsia"/>
          <w:color w:val="000000" w:themeColor="text1"/>
          <w:sz w:val="24"/>
        </w:rPr>
        <w:t>2</w:t>
      </w:r>
      <w:r>
        <w:rPr>
          <w:rFonts w:eastAsiaTheme="minorEastAsia"/>
          <w:color w:val="000000" w:themeColor="text1"/>
          <w:sz w:val="24"/>
        </w:rPr>
        <w:t>月中，以日本、韩国、意大利为代表的亚欧地区新冠疫情开始逐渐爆发并在全球范围内持续蔓延；</w:t>
      </w:r>
      <w:r>
        <w:rPr>
          <w:rFonts w:eastAsiaTheme="minorEastAsia"/>
          <w:color w:val="000000" w:themeColor="text1"/>
          <w:sz w:val="24"/>
        </w:rPr>
        <w:t>3</w:t>
      </w:r>
      <w:r>
        <w:rPr>
          <w:rFonts w:eastAsiaTheme="minorEastAsia"/>
          <w:color w:val="000000" w:themeColor="text1"/>
          <w:sz w:val="24"/>
        </w:rPr>
        <w:t>月初欧佩克与其他产油国未达成任何减产协议，沙特与俄罗斯等国又打起了石油价格战，使得油价大幅跳水，再度加剧了全球市场的动荡。黑天鹅事件的影响下，全球股市</w:t>
      </w:r>
      <w:r>
        <w:rPr>
          <w:rFonts w:eastAsiaTheme="minorEastAsia"/>
          <w:color w:val="000000" w:themeColor="text1"/>
          <w:sz w:val="24"/>
        </w:rPr>
        <w:t>出现暴跌，多国股指触发熔断，</w:t>
      </w:r>
      <w:r>
        <w:rPr>
          <w:rFonts w:eastAsiaTheme="minorEastAsia"/>
          <w:color w:val="000000" w:themeColor="text1"/>
          <w:sz w:val="24"/>
        </w:rPr>
        <w:t>A</w:t>
      </w:r>
      <w:r>
        <w:rPr>
          <w:rFonts w:eastAsiaTheme="minorEastAsia"/>
          <w:color w:val="000000" w:themeColor="text1"/>
          <w:sz w:val="24"/>
        </w:rPr>
        <w:t>股市场也出现了较大幅度的回调，反弹行情被打断。本报告期，上证中盘指数下跌</w:t>
      </w:r>
      <w:r>
        <w:rPr>
          <w:rFonts w:eastAsiaTheme="minorEastAsia"/>
          <w:color w:val="000000" w:themeColor="text1"/>
          <w:sz w:val="24"/>
        </w:rPr>
        <w:t>8.34%</w:t>
      </w:r>
      <w:r>
        <w:rPr>
          <w:rFonts w:eastAsiaTheme="minorEastAsia"/>
          <w:color w:val="000000" w:themeColor="text1"/>
          <w:sz w:val="24"/>
        </w:rPr>
        <w:t>。</w:t>
      </w:r>
    </w:p>
    <w:p w:rsidR="00952A72"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本基金易方达上证中盘</w:t>
      </w:r>
      <w:r w:rsidRPr="00B34368">
        <w:rPr>
          <w:rFonts w:eastAsiaTheme="minorEastAsia"/>
          <w:color w:val="000000" w:themeColor="text1"/>
          <w:sz w:val="24"/>
        </w:rPr>
        <w:t>ETF</w:t>
      </w:r>
      <w:r w:rsidRPr="00B34368">
        <w:rPr>
          <w:rFonts w:eastAsiaTheme="minorEastAsia"/>
          <w:color w:val="000000" w:themeColor="text1"/>
          <w:sz w:val="24"/>
        </w:rPr>
        <w:t>的联接基金，主要投资于易方达上证中盘</w:t>
      </w:r>
      <w:r w:rsidRPr="00B34368">
        <w:rPr>
          <w:rFonts w:eastAsiaTheme="minorEastAsia"/>
          <w:color w:val="000000" w:themeColor="text1"/>
          <w:sz w:val="24"/>
        </w:rPr>
        <w:t>ETF</w:t>
      </w:r>
      <w:r w:rsidRPr="00B34368">
        <w:rPr>
          <w:rFonts w:eastAsiaTheme="minorEastAsia"/>
          <w:color w:val="000000" w:themeColor="text1"/>
          <w:sz w:val="24"/>
        </w:rPr>
        <w:t>。基金运作层面，报告期内，本基金严守基金合同认真对待投资者申购、赎回以及成分股调整事项，保障基金的正常运作，基金跟踪误差以及日均偏离度等指标控制在合同规定范围之内。</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4.4.2</w:t>
      </w:r>
      <w:r w:rsidRPr="00B34368">
        <w:rPr>
          <w:rFonts w:eastAsiaTheme="minorEastAsia" w:hAnsiTheme="minorEastAsia"/>
          <w:color w:val="000000" w:themeColor="text1"/>
          <w:sz w:val="24"/>
        </w:rPr>
        <w:t>报告期内基金的业绩表现</w:t>
      </w:r>
    </w:p>
    <w:p w:rsidR="008129C0" w:rsidRPr="00F405D4" w:rsidRDefault="00323F25" w:rsidP="00F405D4">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截至报告期末，本基金</w:t>
      </w:r>
      <w:r w:rsidRPr="00B34368">
        <w:rPr>
          <w:rFonts w:eastAsiaTheme="minorEastAsia"/>
          <w:color w:val="000000" w:themeColor="text1"/>
          <w:sz w:val="24"/>
        </w:rPr>
        <w:t>A</w:t>
      </w:r>
      <w:r w:rsidRPr="00B34368">
        <w:rPr>
          <w:rFonts w:eastAsiaTheme="minorEastAsia"/>
          <w:color w:val="000000" w:themeColor="text1"/>
          <w:sz w:val="24"/>
        </w:rPr>
        <w:t>类基金份额净值为</w:t>
      </w:r>
      <w:r w:rsidRPr="00B34368">
        <w:rPr>
          <w:rFonts w:eastAsiaTheme="minorEastAsia"/>
          <w:color w:val="000000" w:themeColor="text1"/>
          <w:sz w:val="24"/>
        </w:rPr>
        <w:t>1.3008</w:t>
      </w:r>
      <w:r w:rsidRPr="00B34368">
        <w:rPr>
          <w:rFonts w:eastAsiaTheme="minorEastAsia"/>
          <w:color w:val="000000" w:themeColor="text1"/>
          <w:sz w:val="24"/>
        </w:rPr>
        <w:t>元，本报告期份额净值增长率为</w:t>
      </w:r>
      <w:r w:rsidRPr="00B34368">
        <w:rPr>
          <w:rFonts w:eastAsiaTheme="minorEastAsia"/>
          <w:color w:val="000000" w:themeColor="text1"/>
          <w:sz w:val="24"/>
        </w:rPr>
        <w:t>-6.54%</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类基金份额净值为</w:t>
      </w:r>
      <w:r w:rsidRPr="00B34368">
        <w:rPr>
          <w:rFonts w:eastAsiaTheme="minorEastAsia"/>
          <w:color w:val="000000" w:themeColor="text1"/>
          <w:sz w:val="24"/>
        </w:rPr>
        <w:t>1.3336</w:t>
      </w:r>
      <w:r w:rsidRPr="00B34368">
        <w:rPr>
          <w:rFonts w:eastAsiaTheme="minorEastAsia"/>
          <w:color w:val="000000" w:themeColor="text1"/>
          <w:sz w:val="24"/>
        </w:rPr>
        <w:t>元，本报告期份额净值增长率为</w:t>
      </w:r>
      <w:r w:rsidRPr="00B34368">
        <w:rPr>
          <w:rFonts w:eastAsiaTheme="minorEastAsia"/>
          <w:color w:val="000000" w:themeColor="text1"/>
          <w:sz w:val="24"/>
        </w:rPr>
        <w:t>-6.59%</w:t>
      </w:r>
      <w:r w:rsidRPr="00B34368">
        <w:rPr>
          <w:rFonts w:eastAsiaTheme="minorEastAsia"/>
          <w:color w:val="000000" w:themeColor="text1"/>
          <w:sz w:val="24"/>
        </w:rPr>
        <w:t>；同期业绩比较基准收益率为</w:t>
      </w:r>
      <w:r w:rsidRPr="00B34368">
        <w:rPr>
          <w:rFonts w:eastAsiaTheme="minorEastAsia"/>
          <w:color w:val="000000" w:themeColor="text1"/>
          <w:sz w:val="24"/>
        </w:rPr>
        <w:t>-7.89%</w:t>
      </w:r>
      <w:r w:rsidRPr="00B34368">
        <w:rPr>
          <w:rFonts w:eastAsiaTheme="minorEastAsia"/>
          <w:color w:val="000000" w:themeColor="text1"/>
          <w:sz w:val="24"/>
        </w:rPr>
        <w:t>。年化跟踪误差</w:t>
      </w:r>
      <w:r w:rsidRPr="00B34368">
        <w:rPr>
          <w:rFonts w:eastAsiaTheme="minorEastAsia"/>
          <w:color w:val="000000" w:themeColor="text1"/>
          <w:sz w:val="24"/>
        </w:rPr>
        <w:t>1.02%</w:t>
      </w:r>
      <w:r w:rsidRPr="00B34368">
        <w:rPr>
          <w:rFonts w:eastAsiaTheme="minorEastAsia"/>
          <w:color w:val="000000" w:themeColor="text1"/>
          <w:sz w:val="24"/>
        </w:rPr>
        <w:t>，在合同规定的目标控制范围之内。</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§5  </w:t>
      </w:r>
      <w:r w:rsidRPr="00B34368">
        <w:rPr>
          <w:rFonts w:eastAsiaTheme="minorEastAsia" w:hAnsiTheme="minorEastAsia"/>
          <w:color w:val="000000" w:themeColor="text1"/>
          <w:kern w:val="0"/>
          <w:sz w:val="24"/>
          <w:szCs w:val="24"/>
        </w:rPr>
        <w:t>投资组合报告</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5.1 </w:t>
      </w:r>
      <w:r w:rsidRPr="00B34368">
        <w:rPr>
          <w:rFonts w:eastAsiaTheme="minorEastAsia" w:hAnsiTheme="minorEastAsia"/>
          <w:b/>
          <w:color w:val="000000" w:themeColor="text1"/>
          <w:kern w:val="0"/>
          <w:sz w:val="24"/>
        </w:rPr>
        <w:t>报告期末基金资产组合情况</w:t>
      </w:r>
    </w:p>
    <w:tbl>
      <w:tblPr>
        <w:tblStyle w:val="af2"/>
        <w:tblW w:w="0" w:type="auto"/>
        <w:tblInd w:w="108" w:type="dxa"/>
        <w:tblLayout w:type="fixed"/>
        <w:tblLook w:val="04A0" w:firstRow="1" w:lastRow="0" w:firstColumn="1" w:lastColumn="0" w:noHBand="0" w:noVBand="1"/>
      </w:tblPr>
      <w:tblGrid>
        <w:gridCol w:w="720"/>
        <w:gridCol w:w="3357"/>
        <w:gridCol w:w="2694"/>
        <w:gridCol w:w="1757"/>
      </w:tblGrid>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3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项目</w:t>
            </w:r>
          </w:p>
        </w:tc>
        <w:tc>
          <w:tcPr>
            <w:tcW w:w="2694"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金额</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占基金总资产的比例</w:t>
            </w: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权益投资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195,141.20</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0.11</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其中：股票</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195,141.20</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0.11</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基金投资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168,360,650.46</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93.06</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固定收益投资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其中：债券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B34368">
            <w:pPr>
              <w:autoSpaceDE w:val="0"/>
              <w:autoSpaceDN w:val="0"/>
              <w:adjustRightInd w:val="0"/>
              <w:spacing w:before="29" w:line="360" w:lineRule="auto"/>
              <w:ind w:left="17" w:firstLineChars="300" w:firstLine="720"/>
              <w:jc w:val="left"/>
              <w:rPr>
                <w:rFonts w:eastAsiaTheme="minorEastAsia"/>
                <w:color w:val="000000" w:themeColor="text1"/>
                <w:sz w:val="24"/>
              </w:rPr>
            </w:pPr>
            <w:r w:rsidRPr="00B34368">
              <w:rPr>
                <w:rFonts w:eastAsiaTheme="minorEastAsia" w:hAnsiTheme="minorEastAsia"/>
                <w:color w:val="000000" w:themeColor="text1"/>
                <w:sz w:val="24"/>
              </w:rPr>
              <w:t>资产支持证券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tcPr>
          <w:p w:rsidR="00B007B6" w:rsidRPr="00B34368" w:rsidRDefault="00B007B6" w:rsidP="00DD272F">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357" w:type="dxa"/>
          </w:tcPr>
          <w:p w:rsidR="00B007B6" w:rsidRPr="00B34368" w:rsidRDefault="00B007B6" w:rsidP="00DD272F">
            <w:pPr>
              <w:spacing w:before="29" w:line="360" w:lineRule="auto"/>
              <w:ind w:leftChars="50" w:left="105"/>
              <w:rPr>
                <w:rFonts w:eastAsiaTheme="minorEastAsia"/>
                <w:color w:val="000000" w:themeColor="text1"/>
                <w:sz w:val="24"/>
              </w:rPr>
            </w:pPr>
            <w:r w:rsidRPr="00B34368">
              <w:rPr>
                <w:rFonts w:eastAsiaTheme="minorEastAsia" w:hAnsiTheme="minorEastAsia"/>
                <w:color w:val="000000" w:themeColor="text1"/>
                <w:sz w:val="24"/>
              </w:rPr>
              <w:t>贵金属投资</w:t>
            </w:r>
          </w:p>
        </w:tc>
        <w:tc>
          <w:tcPr>
            <w:tcW w:w="2694"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金融衍生品投资</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其中：买断式回购的买入返售金融资产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银行存款和结算备付金合计</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11,907,259.17</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6.58</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357" w:type="dxa"/>
            <w:vAlign w:val="center"/>
          </w:tcPr>
          <w:p w:rsidR="00B007B6" w:rsidRPr="00B34368" w:rsidRDefault="00E57CD3" w:rsidP="00A3193E">
            <w:pPr>
              <w:jc w:val="left"/>
              <w:rPr>
                <w:rFonts w:eastAsiaTheme="minorEastAsia"/>
                <w:color w:val="000000" w:themeColor="text1"/>
                <w:sz w:val="24"/>
              </w:rPr>
            </w:pPr>
            <w:r>
              <w:rPr>
                <w:rFonts w:eastAsiaTheme="minorEastAsia" w:hAnsiTheme="minorEastAsia"/>
                <w:color w:val="000000" w:themeColor="text1"/>
                <w:sz w:val="24"/>
              </w:rPr>
              <w:t>其他</w:t>
            </w:r>
            <w:r w:rsidR="00B007B6" w:rsidRPr="00B34368">
              <w:rPr>
                <w:rFonts w:eastAsiaTheme="minorEastAsia" w:hAnsiTheme="minorEastAsia"/>
                <w:color w:val="000000" w:themeColor="text1"/>
                <w:sz w:val="24"/>
              </w:rPr>
              <w:t>资产</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456,143.88</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0.25</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357" w:type="dxa"/>
            <w:vAlign w:val="center"/>
          </w:tcPr>
          <w:p w:rsidR="00B007B6" w:rsidRPr="00B34368" w:rsidRDefault="00B007B6" w:rsidP="00A3193E">
            <w:pPr>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180,919,194.71</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100.00</w:t>
            </w:r>
          </w:p>
        </w:tc>
      </w:tr>
    </w:tbl>
    <w:p w:rsidR="0040218E" w:rsidRPr="00B34368" w:rsidRDefault="0040218E"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5.2</w:t>
      </w:r>
      <w:r w:rsidRPr="00B34368">
        <w:rPr>
          <w:rFonts w:eastAsiaTheme="minorEastAsia" w:hAnsiTheme="minorEastAsia"/>
          <w:b/>
          <w:color w:val="000000" w:themeColor="text1"/>
          <w:kern w:val="0"/>
          <w:sz w:val="24"/>
        </w:rPr>
        <w:t>期末投资目标基金明细</w:t>
      </w:r>
    </w:p>
    <w:tbl>
      <w:tblPr>
        <w:tblStyle w:val="af2"/>
        <w:tblW w:w="0" w:type="auto"/>
        <w:tblInd w:w="108" w:type="dxa"/>
        <w:tblLook w:val="04A0" w:firstRow="1" w:lastRow="0" w:firstColumn="1" w:lastColumn="0" w:noHBand="0" w:noVBand="1"/>
      </w:tblPr>
      <w:tblGrid>
        <w:gridCol w:w="1194"/>
        <w:gridCol w:w="1195"/>
        <w:gridCol w:w="1195"/>
        <w:gridCol w:w="1195"/>
        <w:gridCol w:w="1195"/>
        <w:gridCol w:w="1489"/>
        <w:gridCol w:w="1465"/>
      </w:tblGrid>
      <w:tr w:rsidR="00D3639B" w:rsidRPr="00B34368" w:rsidTr="00975D18">
        <w:tc>
          <w:tcPr>
            <w:tcW w:w="1215"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基金类型</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运作方式</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管理人</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00A22E07" w:rsidRPr="00B34368">
              <w:rPr>
                <w:rFonts w:eastAsiaTheme="minorEastAsia" w:hAnsiTheme="minorEastAsia"/>
                <w:color w:val="000000" w:themeColor="text1"/>
                <w:sz w:val="24"/>
              </w:rPr>
              <w:t>（元）</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占基金资产净值比例（</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w:t>
            </w:r>
          </w:p>
        </w:tc>
      </w:tr>
      <w:tr w:rsidR="00CE24BE">
        <w:tc>
          <w:tcPr>
            <w:tcW w:w="0" w:type="auto"/>
            <w:vAlign w:val="center"/>
          </w:tcPr>
          <w:p w:rsidR="00CE24BE" w:rsidRDefault="00111A06">
            <w:pPr>
              <w:jc w:val="center"/>
            </w:pPr>
            <w:r>
              <w:rPr>
                <w:rFonts w:eastAsiaTheme="minorEastAsia"/>
                <w:color w:val="000000" w:themeColor="text1"/>
                <w:sz w:val="24"/>
              </w:rPr>
              <w:t>1</w:t>
            </w:r>
          </w:p>
        </w:tc>
        <w:tc>
          <w:tcPr>
            <w:tcW w:w="0" w:type="auto"/>
            <w:vAlign w:val="center"/>
          </w:tcPr>
          <w:p w:rsidR="00CE24BE" w:rsidRDefault="00111A06">
            <w:pPr>
              <w:jc w:val="center"/>
            </w:pPr>
            <w:r>
              <w:rPr>
                <w:rFonts w:eastAsiaTheme="minorEastAsia"/>
                <w:color w:val="000000" w:themeColor="text1"/>
                <w:sz w:val="24"/>
              </w:rPr>
              <w:t>易方达上证中盘交易型开放式指数证券投资基金</w:t>
            </w:r>
          </w:p>
        </w:tc>
        <w:tc>
          <w:tcPr>
            <w:tcW w:w="0" w:type="auto"/>
            <w:vAlign w:val="center"/>
          </w:tcPr>
          <w:p w:rsidR="00CE24BE" w:rsidRDefault="00111A06">
            <w:pPr>
              <w:jc w:val="center"/>
            </w:pPr>
            <w:r>
              <w:rPr>
                <w:rFonts w:eastAsiaTheme="minorEastAsia"/>
                <w:color w:val="000000" w:themeColor="text1"/>
                <w:sz w:val="24"/>
              </w:rPr>
              <w:t>股票型</w:t>
            </w:r>
          </w:p>
        </w:tc>
        <w:tc>
          <w:tcPr>
            <w:tcW w:w="0" w:type="auto"/>
            <w:vAlign w:val="center"/>
          </w:tcPr>
          <w:p w:rsidR="00CE24BE" w:rsidRDefault="00111A06">
            <w:pPr>
              <w:jc w:val="center"/>
            </w:pPr>
            <w:r>
              <w:rPr>
                <w:rFonts w:eastAsiaTheme="minorEastAsia"/>
                <w:color w:val="000000" w:themeColor="text1"/>
                <w:sz w:val="24"/>
              </w:rPr>
              <w:t>交易型开放式（</w:t>
            </w:r>
            <w:r>
              <w:rPr>
                <w:rFonts w:eastAsiaTheme="minorEastAsia"/>
                <w:color w:val="000000" w:themeColor="text1"/>
                <w:sz w:val="24"/>
              </w:rPr>
              <w:t>ETF</w:t>
            </w:r>
            <w:r>
              <w:rPr>
                <w:rFonts w:eastAsiaTheme="minorEastAsia"/>
                <w:color w:val="000000" w:themeColor="text1"/>
                <w:sz w:val="24"/>
              </w:rPr>
              <w:t>）</w:t>
            </w:r>
          </w:p>
        </w:tc>
        <w:tc>
          <w:tcPr>
            <w:tcW w:w="0" w:type="auto"/>
            <w:vAlign w:val="center"/>
          </w:tcPr>
          <w:p w:rsidR="00CE24BE" w:rsidRDefault="00111A06">
            <w:pPr>
              <w:jc w:val="center"/>
            </w:pPr>
            <w:r>
              <w:rPr>
                <w:rFonts w:eastAsiaTheme="minorEastAsia"/>
                <w:color w:val="000000" w:themeColor="text1"/>
                <w:sz w:val="24"/>
              </w:rPr>
              <w:t>易方达基金管理有限公司</w:t>
            </w:r>
          </w:p>
        </w:tc>
        <w:tc>
          <w:tcPr>
            <w:tcW w:w="0" w:type="auto"/>
            <w:vAlign w:val="center"/>
          </w:tcPr>
          <w:p w:rsidR="00CE24BE" w:rsidRDefault="00111A06">
            <w:pPr>
              <w:jc w:val="right"/>
            </w:pPr>
            <w:r>
              <w:rPr>
                <w:rFonts w:eastAsiaTheme="minorEastAsia"/>
                <w:color w:val="000000" w:themeColor="text1"/>
                <w:sz w:val="24"/>
              </w:rPr>
              <w:t>168,360,650.46</w:t>
            </w:r>
          </w:p>
        </w:tc>
        <w:tc>
          <w:tcPr>
            <w:tcW w:w="0" w:type="auto"/>
            <w:vAlign w:val="center"/>
          </w:tcPr>
          <w:p w:rsidR="00CE24BE" w:rsidRDefault="00111A06">
            <w:pPr>
              <w:jc w:val="right"/>
            </w:pPr>
            <w:r>
              <w:rPr>
                <w:rFonts w:eastAsiaTheme="minorEastAsia"/>
                <w:color w:val="000000" w:themeColor="text1"/>
                <w:sz w:val="24"/>
              </w:rPr>
              <w:t>93.73</w:t>
            </w:r>
          </w:p>
        </w:tc>
      </w:tr>
    </w:tbl>
    <w:p w:rsidR="0054389B" w:rsidRPr="00B34368" w:rsidRDefault="0054389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5.3 </w:t>
      </w:r>
      <w:r w:rsidRPr="00B34368">
        <w:rPr>
          <w:rFonts w:eastAsiaTheme="minorEastAsia" w:hAnsiTheme="minorEastAsia"/>
          <w:b/>
          <w:color w:val="000000" w:themeColor="text1"/>
          <w:kern w:val="0"/>
          <w:sz w:val="24"/>
        </w:rPr>
        <w:t>报告期末按行业分类的股票投资组合</w:t>
      </w:r>
    </w:p>
    <w:p w:rsidR="0054389B" w:rsidRPr="00B34368" w:rsidRDefault="0054389B" w:rsidP="0054389B">
      <w:pPr>
        <w:rPr>
          <w:rFonts w:eastAsiaTheme="minorEastAsia"/>
          <w:b/>
          <w:sz w:val="24"/>
        </w:rPr>
      </w:pPr>
      <w:r w:rsidRPr="00B34368">
        <w:rPr>
          <w:rFonts w:eastAsiaTheme="minorEastAsia"/>
          <w:b/>
          <w:color w:val="000000" w:themeColor="text1"/>
          <w:kern w:val="0"/>
          <w:sz w:val="24"/>
        </w:rPr>
        <w:t>5.3.1</w:t>
      </w:r>
      <w:r w:rsidRPr="00B34368">
        <w:rPr>
          <w:rFonts w:eastAsiaTheme="minorEastAsia" w:hAnsi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3135"/>
        <w:gridCol w:w="1365"/>
      </w:tblGrid>
      <w:tr w:rsidR="00D3639B" w:rsidRPr="00B34368" w:rsidTr="00975D1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行业类别</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公允价值（元）</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农、林、牧、渔业</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采矿业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6,642.00</w:t>
            </w:r>
          </w:p>
          <w:p w:rsidR="005F458B" w:rsidRPr="00B34368" w:rsidRDefault="005F458B" w:rsidP="00724F6D">
            <w:pPr>
              <w:jc w:val="right"/>
              <w:rPr>
                <w:rFonts w:eastAsiaTheme="minorEastAsia"/>
                <w:color w:val="000000" w:themeColor="text1"/>
                <w:sz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p w:rsidR="005F458B" w:rsidRPr="00B34368" w:rsidRDefault="005F458B" w:rsidP="00724F6D">
            <w:pPr>
              <w:jc w:val="right"/>
              <w:rPr>
                <w:rFonts w:eastAsiaTheme="minorEastAsia"/>
                <w:color w:val="000000" w:themeColor="text1"/>
                <w:sz w:val="24"/>
              </w:rPr>
            </w:pP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制造业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91,343.00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0.05</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电力、热力、燃气及水生产和供应业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19,019.00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建筑业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批发和零售业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5,120.00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交通运输、仓储和邮政业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5,440.00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住宿和餐饮业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信息传输、软件和信息技术服务业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22,807.00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金融业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44,770.20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房地产业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租赁和商务服务业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科学研究和技术服务业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水利、环境和公共设施管理业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居民服务、修理和其他服务业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教育</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卫生和社会工作</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文化、体育和娱乐业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综合</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合计</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195,141.20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0.11</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4</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D3639B" w:rsidRPr="00B34368" w:rsidTr="00975D18">
        <w:tc>
          <w:tcPr>
            <w:tcW w:w="817"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701"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数量</w:t>
            </w:r>
            <w:r w:rsidRPr="00B34368">
              <w:rPr>
                <w:rFonts w:eastAsiaTheme="minorEastAsia"/>
                <w:color w:val="000000" w:themeColor="text1"/>
                <w:sz w:val="24"/>
              </w:rPr>
              <w:t>(</w:t>
            </w:r>
            <w:r w:rsidRPr="00B34368">
              <w:rPr>
                <w:rFonts w:eastAsiaTheme="minorEastAsia" w:hAnsiTheme="minorEastAsia"/>
                <w:color w:val="000000" w:themeColor="text1"/>
                <w:sz w:val="24"/>
              </w:rPr>
              <w:t>股</w:t>
            </w:r>
            <w:r w:rsidRPr="00B34368">
              <w:rPr>
                <w:rFonts w:eastAsiaTheme="minorEastAsia"/>
                <w:color w:val="000000" w:themeColor="text1"/>
                <w:sz w:val="24"/>
              </w:rPr>
              <w:t>)</w:t>
            </w:r>
          </w:p>
        </w:tc>
        <w:tc>
          <w:tcPr>
            <w:tcW w:w="1842" w:type="dxa"/>
            <w:vAlign w:val="center"/>
          </w:tcPr>
          <w:p w:rsidR="000871DB" w:rsidRPr="00B34368" w:rsidRDefault="000871DB" w:rsidP="000871DB">
            <w:pPr>
              <w:autoSpaceDE w:val="0"/>
              <w:autoSpaceDN w:val="0"/>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1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CE24BE">
        <w:tc>
          <w:tcPr>
            <w:tcW w:w="0" w:type="auto"/>
            <w:vAlign w:val="center"/>
          </w:tcPr>
          <w:p w:rsidR="00CE24BE" w:rsidRDefault="00111A06">
            <w:pPr>
              <w:jc w:val="center"/>
            </w:pPr>
            <w:r>
              <w:rPr>
                <w:rFonts w:eastAsiaTheme="minorEastAsia"/>
                <w:color w:val="000000" w:themeColor="text1"/>
                <w:sz w:val="24"/>
              </w:rPr>
              <w:t>1</w:t>
            </w:r>
          </w:p>
        </w:tc>
        <w:tc>
          <w:tcPr>
            <w:tcW w:w="0" w:type="auto"/>
            <w:vAlign w:val="center"/>
          </w:tcPr>
          <w:p w:rsidR="00CE24BE" w:rsidRDefault="00111A06">
            <w:pPr>
              <w:jc w:val="center"/>
            </w:pPr>
            <w:r>
              <w:rPr>
                <w:rFonts w:eastAsiaTheme="minorEastAsia"/>
                <w:color w:val="000000" w:themeColor="text1"/>
                <w:sz w:val="24"/>
              </w:rPr>
              <w:t>603288</w:t>
            </w:r>
          </w:p>
        </w:tc>
        <w:tc>
          <w:tcPr>
            <w:tcW w:w="0" w:type="auto"/>
            <w:vAlign w:val="center"/>
          </w:tcPr>
          <w:p w:rsidR="00CE24BE" w:rsidRDefault="00111A06">
            <w:pPr>
              <w:jc w:val="center"/>
            </w:pPr>
            <w:r>
              <w:rPr>
                <w:rFonts w:eastAsiaTheme="minorEastAsia"/>
                <w:color w:val="000000" w:themeColor="text1"/>
                <w:sz w:val="24"/>
              </w:rPr>
              <w:t>海天味业</w:t>
            </w:r>
          </w:p>
        </w:tc>
        <w:tc>
          <w:tcPr>
            <w:tcW w:w="0" w:type="auto"/>
            <w:vAlign w:val="center"/>
          </w:tcPr>
          <w:p w:rsidR="00CE24BE" w:rsidRDefault="00111A06">
            <w:pPr>
              <w:jc w:val="right"/>
            </w:pPr>
            <w:r>
              <w:rPr>
                <w:rFonts w:eastAsiaTheme="minorEastAsia"/>
                <w:color w:val="000000" w:themeColor="text1"/>
                <w:sz w:val="24"/>
              </w:rPr>
              <w:t>200</w:t>
            </w:r>
          </w:p>
        </w:tc>
        <w:tc>
          <w:tcPr>
            <w:tcW w:w="0" w:type="auto"/>
            <w:vAlign w:val="center"/>
          </w:tcPr>
          <w:p w:rsidR="00CE24BE" w:rsidRDefault="00111A06">
            <w:pPr>
              <w:jc w:val="right"/>
            </w:pPr>
            <w:r>
              <w:rPr>
                <w:rFonts w:eastAsiaTheme="minorEastAsia"/>
                <w:color w:val="000000" w:themeColor="text1"/>
                <w:sz w:val="24"/>
              </w:rPr>
              <w:t>25,034.00</w:t>
            </w:r>
          </w:p>
        </w:tc>
        <w:tc>
          <w:tcPr>
            <w:tcW w:w="0" w:type="auto"/>
            <w:vAlign w:val="center"/>
          </w:tcPr>
          <w:p w:rsidR="00CE24BE" w:rsidRDefault="00111A06">
            <w:pPr>
              <w:jc w:val="right"/>
            </w:pPr>
            <w:r>
              <w:rPr>
                <w:rFonts w:eastAsiaTheme="minorEastAsia"/>
                <w:color w:val="000000" w:themeColor="text1"/>
                <w:sz w:val="24"/>
              </w:rPr>
              <w:t>0.01</w:t>
            </w:r>
          </w:p>
        </w:tc>
      </w:tr>
      <w:tr w:rsidR="00CE24BE">
        <w:tc>
          <w:tcPr>
            <w:tcW w:w="0" w:type="auto"/>
            <w:vAlign w:val="center"/>
          </w:tcPr>
          <w:p w:rsidR="00CE24BE" w:rsidRDefault="00111A06">
            <w:pPr>
              <w:jc w:val="center"/>
            </w:pPr>
            <w:r>
              <w:rPr>
                <w:rFonts w:eastAsiaTheme="minorEastAsia"/>
                <w:color w:val="000000" w:themeColor="text1"/>
                <w:sz w:val="24"/>
              </w:rPr>
              <w:t>2</w:t>
            </w:r>
          </w:p>
        </w:tc>
        <w:tc>
          <w:tcPr>
            <w:tcW w:w="0" w:type="auto"/>
            <w:vAlign w:val="center"/>
          </w:tcPr>
          <w:p w:rsidR="00CE24BE" w:rsidRDefault="00111A06">
            <w:pPr>
              <w:jc w:val="center"/>
            </w:pPr>
            <w:r>
              <w:rPr>
                <w:rFonts w:eastAsiaTheme="minorEastAsia"/>
                <w:color w:val="000000" w:themeColor="text1"/>
                <w:sz w:val="24"/>
              </w:rPr>
              <w:t>603986</w:t>
            </w:r>
          </w:p>
        </w:tc>
        <w:tc>
          <w:tcPr>
            <w:tcW w:w="0" w:type="auto"/>
            <w:vAlign w:val="center"/>
          </w:tcPr>
          <w:p w:rsidR="00CE24BE" w:rsidRDefault="00111A06">
            <w:pPr>
              <w:jc w:val="center"/>
            </w:pPr>
            <w:r>
              <w:rPr>
                <w:rFonts w:eastAsiaTheme="minorEastAsia"/>
                <w:color w:val="000000" w:themeColor="text1"/>
                <w:sz w:val="24"/>
              </w:rPr>
              <w:t>兆易创新</w:t>
            </w:r>
          </w:p>
        </w:tc>
        <w:tc>
          <w:tcPr>
            <w:tcW w:w="0" w:type="auto"/>
            <w:vAlign w:val="center"/>
          </w:tcPr>
          <w:p w:rsidR="00CE24BE" w:rsidRDefault="00111A06">
            <w:pPr>
              <w:jc w:val="right"/>
            </w:pPr>
            <w:r>
              <w:rPr>
                <w:rFonts w:eastAsiaTheme="minorEastAsia"/>
                <w:color w:val="000000" w:themeColor="text1"/>
                <w:sz w:val="24"/>
              </w:rPr>
              <w:t>100</w:t>
            </w:r>
          </w:p>
        </w:tc>
        <w:tc>
          <w:tcPr>
            <w:tcW w:w="0" w:type="auto"/>
            <w:vAlign w:val="center"/>
          </w:tcPr>
          <w:p w:rsidR="00CE24BE" w:rsidRDefault="00111A06">
            <w:pPr>
              <w:jc w:val="right"/>
            </w:pPr>
            <w:r>
              <w:rPr>
                <w:rFonts w:eastAsiaTheme="minorEastAsia"/>
                <w:color w:val="000000" w:themeColor="text1"/>
                <w:sz w:val="24"/>
              </w:rPr>
              <w:t>24,201.00</w:t>
            </w:r>
          </w:p>
        </w:tc>
        <w:tc>
          <w:tcPr>
            <w:tcW w:w="0" w:type="auto"/>
            <w:vAlign w:val="center"/>
          </w:tcPr>
          <w:p w:rsidR="00CE24BE" w:rsidRDefault="00111A06">
            <w:pPr>
              <w:jc w:val="right"/>
            </w:pPr>
            <w:r>
              <w:rPr>
                <w:rFonts w:eastAsiaTheme="minorEastAsia"/>
                <w:color w:val="000000" w:themeColor="text1"/>
                <w:sz w:val="24"/>
              </w:rPr>
              <w:t>0.01</w:t>
            </w:r>
          </w:p>
        </w:tc>
      </w:tr>
      <w:tr w:rsidR="00CE24BE">
        <w:tc>
          <w:tcPr>
            <w:tcW w:w="0" w:type="auto"/>
            <w:vAlign w:val="center"/>
          </w:tcPr>
          <w:p w:rsidR="00CE24BE" w:rsidRDefault="00111A06">
            <w:pPr>
              <w:jc w:val="center"/>
            </w:pPr>
            <w:r>
              <w:rPr>
                <w:rFonts w:eastAsiaTheme="minorEastAsia"/>
                <w:color w:val="000000" w:themeColor="text1"/>
                <w:sz w:val="24"/>
              </w:rPr>
              <w:t>3</w:t>
            </w:r>
          </w:p>
        </w:tc>
        <w:tc>
          <w:tcPr>
            <w:tcW w:w="0" w:type="auto"/>
            <w:vAlign w:val="center"/>
          </w:tcPr>
          <w:p w:rsidR="00CE24BE" w:rsidRDefault="00111A06">
            <w:pPr>
              <w:jc w:val="center"/>
            </w:pPr>
            <w:r>
              <w:rPr>
                <w:rFonts w:eastAsiaTheme="minorEastAsia"/>
                <w:color w:val="000000" w:themeColor="text1"/>
                <w:sz w:val="24"/>
              </w:rPr>
              <w:t>600900</w:t>
            </w:r>
          </w:p>
        </w:tc>
        <w:tc>
          <w:tcPr>
            <w:tcW w:w="0" w:type="auto"/>
            <w:vAlign w:val="center"/>
          </w:tcPr>
          <w:p w:rsidR="00CE24BE" w:rsidRDefault="00111A06">
            <w:pPr>
              <w:jc w:val="center"/>
            </w:pPr>
            <w:r>
              <w:rPr>
                <w:rFonts w:eastAsiaTheme="minorEastAsia"/>
                <w:color w:val="000000" w:themeColor="text1"/>
                <w:sz w:val="24"/>
              </w:rPr>
              <w:t>长江电力</w:t>
            </w:r>
          </w:p>
        </w:tc>
        <w:tc>
          <w:tcPr>
            <w:tcW w:w="0" w:type="auto"/>
            <w:vAlign w:val="center"/>
          </w:tcPr>
          <w:p w:rsidR="00CE24BE" w:rsidRDefault="00111A06">
            <w:pPr>
              <w:jc w:val="right"/>
            </w:pPr>
            <w:r>
              <w:rPr>
                <w:rFonts w:eastAsiaTheme="minorEastAsia"/>
                <w:color w:val="000000" w:themeColor="text1"/>
                <w:sz w:val="24"/>
              </w:rPr>
              <w:t>1,100</w:t>
            </w:r>
          </w:p>
        </w:tc>
        <w:tc>
          <w:tcPr>
            <w:tcW w:w="0" w:type="auto"/>
            <w:vAlign w:val="center"/>
          </w:tcPr>
          <w:p w:rsidR="00CE24BE" w:rsidRDefault="00111A06">
            <w:pPr>
              <w:jc w:val="right"/>
            </w:pPr>
            <w:r>
              <w:rPr>
                <w:rFonts w:eastAsiaTheme="minorEastAsia"/>
                <w:color w:val="000000" w:themeColor="text1"/>
                <w:sz w:val="24"/>
              </w:rPr>
              <w:t>19,019.00</w:t>
            </w:r>
          </w:p>
        </w:tc>
        <w:tc>
          <w:tcPr>
            <w:tcW w:w="0" w:type="auto"/>
            <w:vAlign w:val="center"/>
          </w:tcPr>
          <w:p w:rsidR="00CE24BE" w:rsidRDefault="00111A06">
            <w:pPr>
              <w:jc w:val="right"/>
            </w:pPr>
            <w:r>
              <w:rPr>
                <w:rFonts w:eastAsiaTheme="minorEastAsia"/>
                <w:color w:val="000000" w:themeColor="text1"/>
                <w:sz w:val="24"/>
              </w:rPr>
              <w:t>0.01</w:t>
            </w:r>
          </w:p>
        </w:tc>
      </w:tr>
      <w:tr w:rsidR="00CE24BE">
        <w:tc>
          <w:tcPr>
            <w:tcW w:w="0" w:type="auto"/>
            <w:vAlign w:val="center"/>
          </w:tcPr>
          <w:p w:rsidR="00CE24BE" w:rsidRDefault="00111A06">
            <w:pPr>
              <w:jc w:val="center"/>
            </w:pPr>
            <w:r>
              <w:rPr>
                <w:rFonts w:eastAsiaTheme="minorEastAsia"/>
                <w:color w:val="000000" w:themeColor="text1"/>
                <w:sz w:val="24"/>
              </w:rPr>
              <w:t>4</w:t>
            </w:r>
          </w:p>
        </w:tc>
        <w:tc>
          <w:tcPr>
            <w:tcW w:w="0" w:type="auto"/>
            <w:vAlign w:val="center"/>
          </w:tcPr>
          <w:p w:rsidR="00CE24BE" w:rsidRDefault="00111A06">
            <w:pPr>
              <w:jc w:val="center"/>
            </w:pPr>
            <w:r>
              <w:rPr>
                <w:rFonts w:eastAsiaTheme="minorEastAsia"/>
                <w:color w:val="000000" w:themeColor="text1"/>
                <w:sz w:val="24"/>
              </w:rPr>
              <w:t>603983</w:t>
            </w:r>
          </w:p>
        </w:tc>
        <w:tc>
          <w:tcPr>
            <w:tcW w:w="0" w:type="auto"/>
            <w:vAlign w:val="center"/>
          </w:tcPr>
          <w:p w:rsidR="00CE24BE" w:rsidRDefault="00111A06">
            <w:pPr>
              <w:jc w:val="center"/>
            </w:pPr>
            <w:r>
              <w:rPr>
                <w:rFonts w:eastAsiaTheme="minorEastAsia"/>
                <w:color w:val="000000" w:themeColor="text1"/>
                <w:sz w:val="24"/>
              </w:rPr>
              <w:t>丸美股份</w:t>
            </w:r>
          </w:p>
        </w:tc>
        <w:tc>
          <w:tcPr>
            <w:tcW w:w="0" w:type="auto"/>
            <w:vAlign w:val="center"/>
          </w:tcPr>
          <w:p w:rsidR="00CE24BE" w:rsidRDefault="00111A06">
            <w:pPr>
              <w:jc w:val="right"/>
            </w:pPr>
            <w:r>
              <w:rPr>
                <w:rFonts w:eastAsiaTheme="minorEastAsia"/>
                <w:color w:val="000000" w:themeColor="text1"/>
                <w:sz w:val="24"/>
              </w:rPr>
              <w:t>200</w:t>
            </w:r>
          </w:p>
        </w:tc>
        <w:tc>
          <w:tcPr>
            <w:tcW w:w="0" w:type="auto"/>
            <w:vAlign w:val="center"/>
          </w:tcPr>
          <w:p w:rsidR="00CE24BE" w:rsidRDefault="00111A06">
            <w:pPr>
              <w:jc w:val="right"/>
            </w:pPr>
            <w:r>
              <w:rPr>
                <w:rFonts w:eastAsiaTheme="minorEastAsia"/>
                <w:color w:val="000000" w:themeColor="text1"/>
                <w:sz w:val="24"/>
              </w:rPr>
              <w:t>13,838.00</w:t>
            </w:r>
          </w:p>
        </w:tc>
        <w:tc>
          <w:tcPr>
            <w:tcW w:w="0" w:type="auto"/>
            <w:vAlign w:val="center"/>
          </w:tcPr>
          <w:p w:rsidR="00CE24BE" w:rsidRDefault="00111A06">
            <w:pPr>
              <w:jc w:val="right"/>
            </w:pPr>
            <w:r>
              <w:rPr>
                <w:rFonts w:eastAsiaTheme="minorEastAsia"/>
                <w:color w:val="000000" w:themeColor="text1"/>
                <w:sz w:val="24"/>
              </w:rPr>
              <w:t>0.01</w:t>
            </w:r>
          </w:p>
        </w:tc>
      </w:tr>
      <w:tr w:rsidR="00CE24BE">
        <w:tc>
          <w:tcPr>
            <w:tcW w:w="0" w:type="auto"/>
            <w:vAlign w:val="center"/>
          </w:tcPr>
          <w:p w:rsidR="00CE24BE" w:rsidRDefault="00111A06">
            <w:pPr>
              <w:jc w:val="center"/>
            </w:pPr>
            <w:r>
              <w:rPr>
                <w:rFonts w:eastAsiaTheme="minorEastAsia"/>
                <w:color w:val="000000" w:themeColor="text1"/>
                <w:sz w:val="24"/>
              </w:rPr>
              <w:t>5</w:t>
            </w:r>
          </w:p>
        </w:tc>
        <w:tc>
          <w:tcPr>
            <w:tcW w:w="0" w:type="auto"/>
            <w:vAlign w:val="center"/>
          </w:tcPr>
          <w:p w:rsidR="00CE24BE" w:rsidRDefault="00111A06">
            <w:pPr>
              <w:jc w:val="center"/>
            </w:pPr>
            <w:r>
              <w:rPr>
                <w:rFonts w:eastAsiaTheme="minorEastAsia"/>
                <w:color w:val="000000" w:themeColor="text1"/>
                <w:sz w:val="24"/>
              </w:rPr>
              <w:t>600436</w:t>
            </w:r>
          </w:p>
        </w:tc>
        <w:tc>
          <w:tcPr>
            <w:tcW w:w="0" w:type="auto"/>
            <w:vAlign w:val="center"/>
          </w:tcPr>
          <w:p w:rsidR="00CE24BE" w:rsidRDefault="00111A06">
            <w:pPr>
              <w:jc w:val="center"/>
            </w:pPr>
            <w:r>
              <w:rPr>
                <w:rFonts w:eastAsiaTheme="minorEastAsia"/>
                <w:color w:val="000000" w:themeColor="text1"/>
                <w:sz w:val="24"/>
              </w:rPr>
              <w:t>片仔癀</w:t>
            </w:r>
          </w:p>
        </w:tc>
        <w:tc>
          <w:tcPr>
            <w:tcW w:w="0" w:type="auto"/>
            <w:vAlign w:val="center"/>
          </w:tcPr>
          <w:p w:rsidR="00CE24BE" w:rsidRDefault="00111A06">
            <w:pPr>
              <w:jc w:val="right"/>
            </w:pPr>
            <w:r>
              <w:rPr>
                <w:rFonts w:eastAsiaTheme="minorEastAsia"/>
                <w:color w:val="000000" w:themeColor="text1"/>
                <w:sz w:val="24"/>
              </w:rPr>
              <w:t>100</w:t>
            </w:r>
          </w:p>
        </w:tc>
        <w:tc>
          <w:tcPr>
            <w:tcW w:w="0" w:type="auto"/>
            <w:vAlign w:val="center"/>
          </w:tcPr>
          <w:p w:rsidR="00CE24BE" w:rsidRDefault="00111A06">
            <w:pPr>
              <w:jc w:val="right"/>
            </w:pPr>
            <w:r>
              <w:rPr>
                <w:rFonts w:eastAsiaTheme="minorEastAsia"/>
                <w:color w:val="000000" w:themeColor="text1"/>
                <w:sz w:val="24"/>
              </w:rPr>
              <w:t>12,430.00</w:t>
            </w:r>
          </w:p>
        </w:tc>
        <w:tc>
          <w:tcPr>
            <w:tcW w:w="0" w:type="auto"/>
            <w:vAlign w:val="center"/>
          </w:tcPr>
          <w:p w:rsidR="00CE24BE" w:rsidRDefault="00111A06">
            <w:pPr>
              <w:jc w:val="right"/>
            </w:pPr>
            <w:r>
              <w:rPr>
                <w:rFonts w:eastAsiaTheme="minorEastAsia"/>
                <w:color w:val="000000" w:themeColor="text1"/>
                <w:sz w:val="24"/>
              </w:rPr>
              <w:t>0.01</w:t>
            </w:r>
          </w:p>
        </w:tc>
      </w:tr>
      <w:tr w:rsidR="00CE24BE">
        <w:tc>
          <w:tcPr>
            <w:tcW w:w="0" w:type="auto"/>
            <w:vAlign w:val="center"/>
          </w:tcPr>
          <w:p w:rsidR="00CE24BE" w:rsidRDefault="00111A06">
            <w:pPr>
              <w:jc w:val="center"/>
            </w:pPr>
            <w:r>
              <w:rPr>
                <w:rFonts w:eastAsiaTheme="minorEastAsia"/>
                <w:color w:val="000000" w:themeColor="text1"/>
                <w:sz w:val="24"/>
              </w:rPr>
              <w:t>6</w:t>
            </w:r>
          </w:p>
        </w:tc>
        <w:tc>
          <w:tcPr>
            <w:tcW w:w="0" w:type="auto"/>
            <w:vAlign w:val="center"/>
          </w:tcPr>
          <w:p w:rsidR="00CE24BE" w:rsidRDefault="00111A06">
            <w:pPr>
              <w:jc w:val="center"/>
            </w:pPr>
            <w:r>
              <w:rPr>
                <w:rFonts w:eastAsiaTheme="minorEastAsia"/>
                <w:color w:val="000000" w:themeColor="text1"/>
                <w:sz w:val="24"/>
              </w:rPr>
              <w:t>603317</w:t>
            </w:r>
          </w:p>
        </w:tc>
        <w:tc>
          <w:tcPr>
            <w:tcW w:w="0" w:type="auto"/>
            <w:vAlign w:val="center"/>
          </w:tcPr>
          <w:p w:rsidR="00CE24BE" w:rsidRDefault="00111A06">
            <w:pPr>
              <w:jc w:val="center"/>
            </w:pPr>
            <w:r>
              <w:rPr>
                <w:rFonts w:eastAsiaTheme="minorEastAsia"/>
                <w:color w:val="000000" w:themeColor="text1"/>
                <w:sz w:val="24"/>
              </w:rPr>
              <w:t>天味食品</w:t>
            </w:r>
          </w:p>
        </w:tc>
        <w:tc>
          <w:tcPr>
            <w:tcW w:w="0" w:type="auto"/>
            <w:vAlign w:val="center"/>
          </w:tcPr>
          <w:p w:rsidR="00CE24BE" w:rsidRDefault="00111A06">
            <w:pPr>
              <w:jc w:val="right"/>
            </w:pPr>
            <w:r>
              <w:rPr>
                <w:rFonts w:eastAsiaTheme="minorEastAsia"/>
                <w:color w:val="000000" w:themeColor="text1"/>
                <w:sz w:val="24"/>
              </w:rPr>
              <w:t>200</w:t>
            </w:r>
          </w:p>
        </w:tc>
        <w:tc>
          <w:tcPr>
            <w:tcW w:w="0" w:type="auto"/>
            <w:vAlign w:val="center"/>
          </w:tcPr>
          <w:p w:rsidR="00CE24BE" w:rsidRDefault="00111A06">
            <w:pPr>
              <w:jc w:val="right"/>
            </w:pPr>
            <w:r>
              <w:rPr>
                <w:rFonts w:eastAsiaTheme="minorEastAsia"/>
                <w:color w:val="000000" w:themeColor="text1"/>
                <w:sz w:val="24"/>
              </w:rPr>
              <w:t>9,996.00</w:t>
            </w:r>
          </w:p>
        </w:tc>
        <w:tc>
          <w:tcPr>
            <w:tcW w:w="0" w:type="auto"/>
            <w:vAlign w:val="center"/>
          </w:tcPr>
          <w:p w:rsidR="00CE24BE" w:rsidRDefault="00111A06">
            <w:pPr>
              <w:jc w:val="right"/>
            </w:pPr>
            <w:r>
              <w:rPr>
                <w:rFonts w:eastAsiaTheme="minorEastAsia"/>
                <w:color w:val="000000" w:themeColor="text1"/>
                <w:sz w:val="24"/>
              </w:rPr>
              <w:t>0.01</w:t>
            </w:r>
          </w:p>
        </w:tc>
      </w:tr>
      <w:tr w:rsidR="00CE24BE">
        <w:tc>
          <w:tcPr>
            <w:tcW w:w="0" w:type="auto"/>
            <w:vAlign w:val="center"/>
          </w:tcPr>
          <w:p w:rsidR="00CE24BE" w:rsidRDefault="00111A06">
            <w:pPr>
              <w:jc w:val="center"/>
            </w:pPr>
            <w:r>
              <w:rPr>
                <w:rFonts w:eastAsiaTheme="minorEastAsia"/>
                <w:color w:val="000000" w:themeColor="text1"/>
                <w:sz w:val="24"/>
              </w:rPr>
              <w:t>7</w:t>
            </w:r>
          </w:p>
        </w:tc>
        <w:tc>
          <w:tcPr>
            <w:tcW w:w="0" w:type="auto"/>
            <w:vAlign w:val="center"/>
          </w:tcPr>
          <w:p w:rsidR="00CE24BE" w:rsidRDefault="00111A06">
            <w:pPr>
              <w:jc w:val="center"/>
            </w:pPr>
            <w:r>
              <w:rPr>
                <w:rFonts w:eastAsiaTheme="minorEastAsia"/>
                <w:color w:val="000000" w:themeColor="text1"/>
                <w:sz w:val="24"/>
              </w:rPr>
              <w:t>601169</w:t>
            </w:r>
          </w:p>
        </w:tc>
        <w:tc>
          <w:tcPr>
            <w:tcW w:w="0" w:type="auto"/>
            <w:vAlign w:val="center"/>
          </w:tcPr>
          <w:p w:rsidR="00CE24BE" w:rsidRDefault="00111A06">
            <w:pPr>
              <w:jc w:val="center"/>
            </w:pPr>
            <w:r>
              <w:rPr>
                <w:rFonts w:eastAsiaTheme="minorEastAsia"/>
                <w:color w:val="000000" w:themeColor="text1"/>
                <w:sz w:val="24"/>
              </w:rPr>
              <w:t>北京银行</w:t>
            </w:r>
          </w:p>
        </w:tc>
        <w:tc>
          <w:tcPr>
            <w:tcW w:w="0" w:type="auto"/>
            <w:vAlign w:val="center"/>
          </w:tcPr>
          <w:p w:rsidR="00CE24BE" w:rsidRDefault="00111A06">
            <w:pPr>
              <w:jc w:val="right"/>
            </w:pPr>
            <w:r>
              <w:rPr>
                <w:rFonts w:eastAsiaTheme="minorEastAsia"/>
                <w:color w:val="000000" w:themeColor="text1"/>
                <w:sz w:val="24"/>
              </w:rPr>
              <w:t>1,900</w:t>
            </w:r>
          </w:p>
        </w:tc>
        <w:tc>
          <w:tcPr>
            <w:tcW w:w="0" w:type="auto"/>
            <w:vAlign w:val="center"/>
          </w:tcPr>
          <w:p w:rsidR="00CE24BE" w:rsidRDefault="00111A06">
            <w:pPr>
              <w:jc w:val="right"/>
            </w:pPr>
            <w:r>
              <w:rPr>
                <w:rFonts w:eastAsiaTheme="minorEastAsia"/>
                <w:color w:val="000000" w:themeColor="text1"/>
                <w:sz w:val="24"/>
              </w:rPr>
              <w:t>9,177.00</w:t>
            </w:r>
          </w:p>
        </w:tc>
        <w:tc>
          <w:tcPr>
            <w:tcW w:w="0" w:type="auto"/>
            <w:vAlign w:val="center"/>
          </w:tcPr>
          <w:p w:rsidR="00CE24BE" w:rsidRDefault="00111A06">
            <w:pPr>
              <w:jc w:val="right"/>
            </w:pPr>
            <w:r>
              <w:rPr>
                <w:rFonts w:eastAsiaTheme="minorEastAsia"/>
                <w:color w:val="000000" w:themeColor="text1"/>
                <w:sz w:val="24"/>
              </w:rPr>
              <w:t>0.01</w:t>
            </w:r>
          </w:p>
        </w:tc>
      </w:tr>
      <w:tr w:rsidR="00CE24BE">
        <w:tc>
          <w:tcPr>
            <w:tcW w:w="0" w:type="auto"/>
            <w:vAlign w:val="center"/>
          </w:tcPr>
          <w:p w:rsidR="00CE24BE" w:rsidRDefault="00111A06">
            <w:pPr>
              <w:jc w:val="center"/>
            </w:pPr>
            <w:r>
              <w:rPr>
                <w:rFonts w:eastAsiaTheme="minorEastAsia"/>
                <w:color w:val="000000" w:themeColor="text1"/>
                <w:sz w:val="24"/>
              </w:rPr>
              <w:t>8</w:t>
            </w:r>
          </w:p>
        </w:tc>
        <w:tc>
          <w:tcPr>
            <w:tcW w:w="0" w:type="auto"/>
            <w:vAlign w:val="center"/>
          </w:tcPr>
          <w:p w:rsidR="00CE24BE" w:rsidRDefault="00111A06">
            <w:pPr>
              <w:jc w:val="center"/>
            </w:pPr>
            <w:r>
              <w:rPr>
                <w:rFonts w:eastAsiaTheme="minorEastAsia"/>
                <w:color w:val="000000" w:themeColor="text1"/>
                <w:sz w:val="24"/>
              </w:rPr>
              <w:t>600570</w:t>
            </w:r>
          </w:p>
        </w:tc>
        <w:tc>
          <w:tcPr>
            <w:tcW w:w="0" w:type="auto"/>
            <w:vAlign w:val="center"/>
          </w:tcPr>
          <w:p w:rsidR="00CE24BE" w:rsidRDefault="00111A06">
            <w:pPr>
              <w:jc w:val="center"/>
            </w:pPr>
            <w:r>
              <w:rPr>
                <w:rFonts w:eastAsiaTheme="minorEastAsia"/>
                <w:color w:val="000000" w:themeColor="text1"/>
                <w:sz w:val="24"/>
              </w:rPr>
              <w:t>恒生电子</w:t>
            </w:r>
          </w:p>
        </w:tc>
        <w:tc>
          <w:tcPr>
            <w:tcW w:w="0" w:type="auto"/>
            <w:vAlign w:val="center"/>
          </w:tcPr>
          <w:p w:rsidR="00CE24BE" w:rsidRDefault="00111A06">
            <w:pPr>
              <w:jc w:val="right"/>
            </w:pPr>
            <w:r>
              <w:rPr>
                <w:rFonts w:eastAsiaTheme="minorEastAsia"/>
                <w:color w:val="000000" w:themeColor="text1"/>
                <w:sz w:val="24"/>
              </w:rPr>
              <w:t>100</w:t>
            </w:r>
          </w:p>
        </w:tc>
        <w:tc>
          <w:tcPr>
            <w:tcW w:w="0" w:type="auto"/>
            <w:vAlign w:val="center"/>
          </w:tcPr>
          <w:p w:rsidR="00CE24BE" w:rsidRDefault="00111A06">
            <w:pPr>
              <w:jc w:val="right"/>
            </w:pPr>
            <w:r>
              <w:rPr>
                <w:rFonts w:eastAsiaTheme="minorEastAsia"/>
                <w:color w:val="000000" w:themeColor="text1"/>
                <w:sz w:val="24"/>
              </w:rPr>
              <w:t>8,790.00</w:t>
            </w:r>
          </w:p>
        </w:tc>
        <w:tc>
          <w:tcPr>
            <w:tcW w:w="0" w:type="auto"/>
            <w:vAlign w:val="center"/>
          </w:tcPr>
          <w:p w:rsidR="00CE24BE" w:rsidRDefault="00111A06">
            <w:pPr>
              <w:jc w:val="right"/>
            </w:pPr>
            <w:r>
              <w:rPr>
                <w:rFonts w:eastAsiaTheme="minorEastAsia"/>
                <w:color w:val="000000" w:themeColor="text1"/>
                <w:sz w:val="24"/>
              </w:rPr>
              <w:t>0.00</w:t>
            </w:r>
          </w:p>
        </w:tc>
      </w:tr>
      <w:tr w:rsidR="00CE24BE">
        <w:tc>
          <w:tcPr>
            <w:tcW w:w="0" w:type="auto"/>
            <w:vAlign w:val="center"/>
          </w:tcPr>
          <w:p w:rsidR="00CE24BE" w:rsidRDefault="00111A06">
            <w:pPr>
              <w:jc w:val="center"/>
            </w:pPr>
            <w:r>
              <w:rPr>
                <w:rFonts w:eastAsiaTheme="minorEastAsia"/>
                <w:color w:val="000000" w:themeColor="text1"/>
                <w:sz w:val="24"/>
              </w:rPr>
              <w:t>9</w:t>
            </w:r>
          </w:p>
        </w:tc>
        <w:tc>
          <w:tcPr>
            <w:tcW w:w="0" w:type="auto"/>
            <w:vAlign w:val="center"/>
          </w:tcPr>
          <w:p w:rsidR="00CE24BE" w:rsidRDefault="00111A06">
            <w:pPr>
              <w:jc w:val="center"/>
            </w:pPr>
            <w:r>
              <w:rPr>
                <w:rFonts w:eastAsiaTheme="minorEastAsia"/>
                <w:color w:val="000000" w:themeColor="text1"/>
                <w:sz w:val="24"/>
              </w:rPr>
              <w:t>600588</w:t>
            </w:r>
          </w:p>
        </w:tc>
        <w:tc>
          <w:tcPr>
            <w:tcW w:w="0" w:type="auto"/>
            <w:vAlign w:val="center"/>
          </w:tcPr>
          <w:p w:rsidR="00CE24BE" w:rsidRDefault="00111A06">
            <w:pPr>
              <w:jc w:val="center"/>
            </w:pPr>
            <w:r>
              <w:rPr>
                <w:rFonts w:eastAsiaTheme="minorEastAsia"/>
                <w:color w:val="000000" w:themeColor="text1"/>
                <w:sz w:val="24"/>
              </w:rPr>
              <w:t>用友网络</w:t>
            </w:r>
          </w:p>
        </w:tc>
        <w:tc>
          <w:tcPr>
            <w:tcW w:w="0" w:type="auto"/>
            <w:vAlign w:val="center"/>
          </w:tcPr>
          <w:p w:rsidR="00CE24BE" w:rsidRDefault="00111A06">
            <w:pPr>
              <w:jc w:val="right"/>
            </w:pPr>
            <w:r>
              <w:rPr>
                <w:rFonts w:eastAsiaTheme="minorEastAsia"/>
                <w:color w:val="000000" w:themeColor="text1"/>
                <w:sz w:val="24"/>
              </w:rPr>
              <w:t>200</w:t>
            </w:r>
          </w:p>
        </w:tc>
        <w:tc>
          <w:tcPr>
            <w:tcW w:w="0" w:type="auto"/>
            <w:vAlign w:val="center"/>
          </w:tcPr>
          <w:p w:rsidR="00CE24BE" w:rsidRDefault="00111A06">
            <w:pPr>
              <w:jc w:val="right"/>
            </w:pPr>
            <w:r>
              <w:rPr>
                <w:rFonts w:eastAsiaTheme="minorEastAsia"/>
                <w:color w:val="000000" w:themeColor="text1"/>
                <w:sz w:val="24"/>
              </w:rPr>
              <w:t>8,092.00</w:t>
            </w:r>
          </w:p>
        </w:tc>
        <w:tc>
          <w:tcPr>
            <w:tcW w:w="0" w:type="auto"/>
            <w:vAlign w:val="center"/>
          </w:tcPr>
          <w:p w:rsidR="00CE24BE" w:rsidRDefault="00111A06">
            <w:pPr>
              <w:jc w:val="right"/>
            </w:pPr>
            <w:r>
              <w:rPr>
                <w:rFonts w:eastAsiaTheme="minorEastAsia"/>
                <w:color w:val="000000" w:themeColor="text1"/>
                <w:sz w:val="24"/>
              </w:rPr>
              <w:t>0.00</w:t>
            </w:r>
          </w:p>
        </w:tc>
      </w:tr>
      <w:tr w:rsidR="00CE24BE">
        <w:tc>
          <w:tcPr>
            <w:tcW w:w="0" w:type="auto"/>
            <w:vAlign w:val="center"/>
          </w:tcPr>
          <w:p w:rsidR="00CE24BE" w:rsidRDefault="00111A06">
            <w:pPr>
              <w:jc w:val="center"/>
            </w:pPr>
            <w:r>
              <w:rPr>
                <w:rFonts w:eastAsiaTheme="minorEastAsia"/>
                <w:color w:val="000000" w:themeColor="text1"/>
                <w:sz w:val="24"/>
              </w:rPr>
              <w:t>10</w:t>
            </w:r>
          </w:p>
        </w:tc>
        <w:tc>
          <w:tcPr>
            <w:tcW w:w="0" w:type="auto"/>
            <w:vAlign w:val="center"/>
          </w:tcPr>
          <w:p w:rsidR="00CE24BE" w:rsidRDefault="00111A06">
            <w:pPr>
              <w:jc w:val="center"/>
            </w:pPr>
            <w:r>
              <w:rPr>
                <w:rFonts w:eastAsiaTheme="minorEastAsia"/>
                <w:color w:val="000000" w:themeColor="text1"/>
                <w:sz w:val="24"/>
              </w:rPr>
              <w:t>601229</w:t>
            </w:r>
          </w:p>
        </w:tc>
        <w:tc>
          <w:tcPr>
            <w:tcW w:w="0" w:type="auto"/>
            <w:vAlign w:val="center"/>
          </w:tcPr>
          <w:p w:rsidR="00CE24BE" w:rsidRDefault="00111A06">
            <w:pPr>
              <w:jc w:val="center"/>
            </w:pPr>
            <w:r>
              <w:rPr>
                <w:rFonts w:eastAsiaTheme="minorEastAsia"/>
                <w:color w:val="000000" w:themeColor="text1"/>
                <w:sz w:val="24"/>
              </w:rPr>
              <w:t>上海银行</w:t>
            </w:r>
          </w:p>
        </w:tc>
        <w:tc>
          <w:tcPr>
            <w:tcW w:w="0" w:type="auto"/>
            <w:vAlign w:val="center"/>
          </w:tcPr>
          <w:p w:rsidR="00CE24BE" w:rsidRDefault="00111A06">
            <w:pPr>
              <w:jc w:val="right"/>
            </w:pPr>
            <w:r>
              <w:rPr>
                <w:rFonts w:eastAsiaTheme="minorEastAsia"/>
                <w:color w:val="000000" w:themeColor="text1"/>
                <w:sz w:val="24"/>
              </w:rPr>
              <w:t>900</w:t>
            </w:r>
          </w:p>
        </w:tc>
        <w:tc>
          <w:tcPr>
            <w:tcW w:w="0" w:type="auto"/>
            <w:vAlign w:val="center"/>
          </w:tcPr>
          <w:p w:rsidR="00CE24BE" w:rsidRDefault="00111A06">
            <w:pPr>
              <w:jc w:val="right"/>
            </w:pPr>
            <w:r>
              <w:rPr>
                <w:rFonts w:eastAsiaTheme="minorEastAsia"/>
                <w:color w:val="000000" w:themeColor="text1"/>
                <w:sz w:val="24"/>
              </w:rPr>
              <w:t>7,416.00</w:t>
            </w:r>
          </w:p>
        </w:tc>
        <w:tc>
          <w:tcPr>
            <w:tcW w:w="0" w:type="auto"/>
            <w:vAlign w:val="center"/>
          </w:tcPr>
          <w:p w:rsidR="00CE24BE" w:rsidRDefault="00111A06">
            <w:pPr>
              <w:jc w:val="right"/>
            </w:pPr>
            <w:r>
              <w:rPr>
                <w:rFonts w:eastAsiaTheme="minorEastAsia"/>
                <w:color w:val="000000" w:themeColor="text1"/>
                <w:sz w:val="24"/>
              </w:rPr>
              <w:t>0.00</w:t>
            </w:r>
          </w:p>
        </w:tc>
      </w:tr>
    </w:tbl>
    <w:p w:rsidR="00F21B6D"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5</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报告期末按债券品种分类的债券投资组合</w:t>
      </w:r>
    </w:p>
    <w:p w:rsidR="009238DB" w:rsidRPr="00B34368" w:rsidRDefault="00F21B6D"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本基金本报告期末未持有债券。</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6</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的前五名债券投资明细</w:t>
      </w:r>
    </w:p>
    <w:p w:rsidR="009238DB" w:rsidRPr="00B34368" w:rsidRDefault="00296E4A"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本基金本报告期末未持有债券。</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7</w:t>
      </w:r>
      <w:r w:rsidRPr="00B34368">
        <w:rPr>
          <w:rFonts w:eastAsiaTheme="minorEastAsia" w:hAnsiTheme="minorEastAsia"/>
          <w:b/>
          <w:color w:val="000000" w:themeColor="text1"/>
          <w:kern w:val="0"/>
          <w:sz w:val="24"/>
        </w:rPr>
        <w:t xml:space="preserve">　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的前十名资产支持证券投资明细</w:t>
      </w:r>
    </w:p>
    <w:p w:rsidR="009238DB"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本基金本报告期末未持有资产支持证券。</w:t>
      </w:r>
    </w:p>
    <w:p w:rsidR="00E15FD1" w:rsidRPr="00B34368" w:rsidRDefault="00E15FD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 xml:space="preserve">5.8 </w:t>
      </w:r>
      <w:r w:rsidRPr="00B34368">
        <w:rPr>
          <w:rFonts w:eastAsiaTheme="minorEastAsia" w:hAnsiTheme="minorEastAsia"/>
          <w:b/>
          <w:bCs/>
          <w:color w:val="000000" w:themeColor="text1"/>
          <w:kern w:val="0"/>
          <w:sz w:val="24"/>
        </w:rPr>
        <w:t>报告期末按公允价值占基金资产净值比例大小排序的前五名贵金属投资明细</w:t>
      </w:r>
    </w:p>
    <w:p w:rsidR="00E15FD1" w:rsidRPr="00B34368" w:rsidRDefault="00E15FD1" w:rsidP="00B34368">
      <w:pPr>
        <w:widowControl/>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本基金本报告期末未持有贵金属。</w:t>
      </w:r>
    </w:p>
    <w:p w:rsidR="009238DB"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9238DB" w:rsidRPr="00B34368">
        <w:rPr>
          <w:rFonts w:eastAsiaTheme="minorEastAsia"/>
          <w:b/>
          <w:color w:val="000000" w:themeColor="text1"/>
          <w:kern w:val="0"/>
          <w:sz w:val="24"/>
        </w:rPr>
        <w:t>.</w:t>
      </w:r>
      <w:r w:rsidRPr="00B34368">
        <w:rPr>
          <w:rFonts w:eastAsiaTheme="minorEastAsia"/>
          <w:b/>
          <w:color w:val="000000" w:themeColor="text1"/>
          <w:kern w:val="0"/>
          <w:sz w:val="24"/>
        </w:rPr>
        <w:t>9</w:t>
      </w:r>
      <w:r w:rsidR="009238DB" w:rsidRPr="00B34368">
        <w:rPr>
          <w:rFonts w:eastAsiaTheme="minorEastAsia"/>
          <w:b/>
          <w:color w:val="000000" w:themeColor="text1"/>
          <w:kern w:val="0"/>
          <w:sz w:val="24"/>
        </w:rPr>
        <w:t xml:space="preserve"> </w:t>
      </w:r>
      <w:r w:rsidR="009238DB" w:rsidRPr="00B34368">
        <w:rPr>
          <w:rFonts w:eastAsiaTheme="minorEastAsia" w:hAnsiTheme="minorEastAsia"/>
          <w:b/>
          <w:color w:val="000000" w:themeColor="text1"/>
          <w:kern w:val="0"/>
          <w:sz w:val="24"/>
        </w:rPr>
        <w:t>报告</w:t>
      </w:r>
      <w:r w:rsidR="009238DB" w:rsidRPr="00B34368">
        <w:rPr>
          <w:rFonts w:eastAsiaTheme="minorEastAsia" w:hAnsiTheme="minorEastAsia"/>
          <w:b/>
          <w:bCs/>
          <w:color w:val="000000" w:themeColor="text1"/>
          <w:kern w:val="0"/>
          <w:sz w:val="24"/>
        </w:rPr>
        <w:t>期末</w:t>
      </w:r>
      <w:r w:rsidR="009238DB" w:rsidRPr="00B34368">
        <w:rPr>
          <w:rFonts w:eastAsiaTheme="minorEastAsia" w:hAnsiTheme="minorEastAsia"/>
          <w:b/>
          <w:color w:val="000000" w:themeColor="text1"/>
          <w:kern w:val="0"/>
          <w:sz w:val="24"/>
        </w:rPr>
        <w:t>按公允价值占基金资产净值比例大小排</w:t>
      </w:r>
      <w:r w:rsidR="006B3FDB" w:rsidRPr="00B34368">
        <w:rPr>
          <w:rFonts w:eastAsiaTheme="minorEastAsia" w:hAnsiTheme="minorEastAsia"/>
          <w:b/>
          <w:color w:val="000000" w:themeColor="text1"/>
          <w:kern w:val="0"/>
          <w:sz w:val="24"/>
        </w:rPr>
        <w:t>序</w:t>
      </w:r>
      <w:r w:rsidR="009238DB" w:rsidRPr="00B34368">
        <w:rPr>
          <w:rFonts w:eastAsiaTheme="minorEastAsia" w:hAnsiTheme="minorEastAsia"/>
          <w:b/>
          <w:color w:val="000000" w:themeColor="text1"/>
          <w:kern w:val="0"/>
          <w:sz w:val="24"/>
        </w:rPr>
        <w:t>的前五名权证投资明细</w:t>
      </w:r>
    </w:p>
    <w:p w:rsidR="001D5CD0"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本基金本报告期末未持有权证。</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sz w:val="24"/>
        </w:rPr>
      </w:pPr>
      <w:r w:rsidRPr="00B34368">
        <w:rPr>
          <w:rFonts w:eastAsiaTheme="minorEastAsia"/>
          <w:b/>
          <w:color w:val="000000" w:themeColor="text1"/>
          <w:sz w:val="24"/>
        </w:rPr>
        <w:t xml:space="preserve">5.10 </w:t>
      </w:r>
      <w:r w:rsidRPr="00B34368">
        <w:rPr>
          <w:rFonts w:eastAsiaTheme="minorEastAsia" w:hAnsiTheme="minorEastAsia"/>
          <w:b/>
          <w:color w:val="000000" w:themeColor="text1"/>
          <w:sz w:val="24"/>
        </w:rPr>
        <w:t>报告期末本基金投资的股指期货交易情况说明</w:t>
      </w:r>
    </w:p>
    <w:p w:rsidR="001D5CD0" w:rsidRPr="00B34368" w:rsidRDefault="00D27EA0" w:rsidP="00D27EA0">
      <w:pPr>
        <w:spacing w:line="360" w:lineRule="auto"/>
        <w:ind w:firstLineChars="200" w:firstLine="480"/>
        <w:rPr>
          <w:rFonts w:eastAsiaTheme="minorEastAsia"/>
          <w:color w:val="000000" w:themeColor="text1"/>
          <w:sz w:val="24"/>
        </w:rPr>
      </w:pPr>
      <w:r w:rsidRPr="00D27EA0">
        <w:rPr>
          <w:rFonts w:eastAsiaTheme="minorEastAsia"/>
          <w:color w:val="000000" w:themeColor="text1"/>
          <w:sz w:val="24"/>
        </w:rPr>
        <w:t>本基金本报告期末未投资股指期货。</w:t>
      </w:r>
    </w:p>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5.11</w:t>
      </w:r>
      <w:r w:rsidRPr="00B34368">
        <w:rPr>
          <w:rFonts w:eastAsiaTheme="minorEastAsia" w:hAnsiTheme="minorEastAsia"/>
          <w:b/>
          <w:color w:val="000000" w:themeColor="text1"/>
          <w:sz w:val="24"/>
        </w:rPr>
        <w:t>报告期末本基金投资的国债期货交易情况说明</w:t>
      </w:r>
    </w:p>
    <w:p w:rsidR="00985F0E" w:rsidRDefault="00985F0E" w:rsidP="00985F0E">
      <w:pPr>
        <w:spacing w:line="360" w:lineRule="auto"/>
        <w:ind w:firstLineChars="200" w:firstLine="480"/>
      </w:pPr>
      <w:r w:rsidRPr="00DF18FE">
        <w:rPr>
          <w:color w:val="000000"/>
          <w:sz w:val="24"/>
        </w:rPr>
        <w:t>本基金本报告期末未投资国债期货。</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w:t>
      </w:r>
      <w:r w:rsidRPr="00B34368">
        <w:rPr>
          <w:rFonts w:eastAsiaTheme="minorEastAsia" w:hAnsiTheme="minorEastAsia"/>
          <w:b/>
          <w:color w:val="000000" w:themeColor="text1"/>
          <w:kern w:val="0"/>
          <w:sz w:val="24"/>
        </w:rPr>
        <w:t>投资组合报告附注</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5.12.1</w:t>
      </w:r>
      <w:r w:rsidR="00BD1AD9">
        <w:rPr>
          <w:rFonts w:eastAsiaTheme="minorEastAsia" w:hint="eastAsia"/>
          <w:color w:val="000000" w:themeColor="text1"/>
          <w:sz w:val="24"/>
        </w:rPr>
        <w:t xml:space="preserve"> </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9</w:t>
      </w:r>
      <w:r w:rsidRPr="00B34368">
        <w:rPr>
          <w:rFonts w:eastAsiaTheme="minorEastAsia"/>
          <w:color w:val="000000" w:themeColor="text1"/>
          <w:sz w:val="24"/>
        </w:rPr>
        <w:t>月</w:t>
      </w:r>
      <w:r w:rsidRPr="00B34368">
        <w:rPr>
          <w:rFonts w:eastAsiaTheme="minorEastAsia"/>
          <w:color w:val="000000" w:themeColor="text1"/>
          <w:sz w:val="24"/>
        </w:rPr>
        <w:t>3</w:t>
      </w:r>
      <w:r w:rsidRPr="00B34368">
        <w:rPr>
          <w:rFonts w:eastAsiaTheme="minorEastAsia"/>
          <w:color w:val="000000" w:themeColor="text1"/>
          <w:sz w:val="24"/>
        </w:rPr>
        <w:t>日，北京银保监局对北京银行股份有限公司个人消费贷款被挪用于支付购房首付款或投资股权、个别个人商办用房贷款违反房地产调控政策、同业投资通过信托通道违规发放土地储备贷款的行为的违法违规事实，责令改正，并处罚款</w:t>
      </w:r>
      <w:r w:rsidRPr="00B34368">
        <w:rPr>
          <w:rFonts w:eastAsiaTheme="minorEastAsia"/>
          <w:color w:val="000000" w:themeColor="text1"/>
          <w:sz w:val="24"/>
        </w:rPr>
        <w:t>110</w:t>
      </w:r>
      <w:r w:rsidRPr="00B34368">
        <w:rPr>
          <w:rFonts w:eastAsiaTheme="minorEastAsia"/>
          <w:color w:val="000000" w:themeColor="text1"/>
          <w:sz w:val="24"/>
        </w:rPr>
        <w:t>万元人民币。</w:t>
      </w:r>
    </w:p>
    <w:p w:rsidR="00CE24BE" w:rsidRDefault="00111A06">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日，北京银保监局对北京银行股份有限公司员工大额消费贷款违规行为长期未有效整改、同业业务专营部门制改革不到位、同业投资违规接受第三方金融机构信用担保的违法违规事实，责令改正，并给予合计</w:t>
      </w:r>
      <w:r>
        <w:rPr>
          <w:rFonts w:eastAsiaTheme="minorEastAsia"/>
          <w:color w:val="000000" w:themeColor="text1"/>
          <w:sz w:val="24"/>
        </w:rPr>
        <w:t>100</w:t>
      </w:r>
      <w:r>
        <w:rPr>
          <w:rFonts w:eastAsiaTheme="minorEastAsia"/>
          <w:color w:val="000000" w:themeColor="text1"/>
          <w:sz w:val="24"/>
        </w:rPr>
        <w:t>万元罚款的行政处罚。</w:t>
      </w:r>
    </w:p>
    <w:p w:rsidR="00CE24BE" w:rsidRDefault="00111A06">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8</w:t>
      </w:r>
      <w:r>
        <w:rPr>
          <w:rFonts w:eastAsiaTheme="minorEastAsia"/>
          <w:color w:val="000000" w:themeColor="text1"/>
          <w:sz w:val="24"/>
        </w:rPr>
        <w:t>日，中国银行保险监督管理委员会上海监管局对上海银行股份有限公司信用卡中心</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月为部分客户办理信用卡业务时，未遵守总授信额度管理制度的违法违规事实，责令改正，并处罚款</w:t>
      </w:r>
      <w:r>
        <w:rPr>
          <w:rFonts w:eastAsiaTheme="minorEastAsia"/>
          <w:color w:val="000000" w:themeColor="text1"/>
          <w:sz w:val="24"/>
        </w:rPr>
        <w:t>40</w:t>
      </w:r>
      <w:r>
        <w:rPr>
          <w:rFonts w:eastAsiaTheme="minorEastAsia"/>
          <w:color w:val="000000" w:themeColor="text1"/>
          <w:sz w:val="24"/>
        </w:rPr>
        <w:t>万元。</w:t>
      </w:r>
    </w:p>
    <w:p w:rsidR="00CE24BE" w:rsidRDefault="00111A06">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w:t>
      </w:r>
      <w:r>
        <w:rPr>
          <w:rFonts w:eastAsiaTheme="minorEastAsia"/>
          <w:color w:val="000000" w:themeColor="text1"/>
          <w:sz w:val="24"/>
        </w:rPr>
        <w:t>2</w:t>
      </w:r>
      <w:r>
        <w:rPr>
          <w:rFonts w:eastAsiaTheme="minorEastAsia"/>
          <w:color w:val="000000" w:themeColor="text1"/>
          <w:sz w:val="24"/>
        </w:rPr>
        <w:t>日，中国人民银行上海分行对上海银行股份有限公司违反支付业务规定的行为，没收违法所得</w:t>
      </w:r>
      <w:r>
        <w:rPr>
          <w:rFonts w:eastAsiaTheme="minorEastAsia"/>
          <w:color w:val="000000" w:themeColor="text1"/>
          <w:sz w:val="24"/>
        </w:rPr>
        <w:t>1,762,787.61</w:t>
      </w:r>
      <w:r>
        <w:rPr>
          <w:rFonts w:eastAsiaTheme="minorEastAsia"/>
          <w:color w:val="000000" w:themeColor="text1"/>
          <w:sz w:val="24"/>
        </w:rPr>
        <w:t>元，并处以</w:t>
      </w:r>
      <w:r>
        <w:rPr>
          <w:rFonts w:eastAsiaTheme="minorEastAsia"/>
          <w:color w:val="000000" w:themeColor="text1"/>
          <w:sz w:val="24"/>
        </w:rPr>
        <w:t>1,762,787.61</w:t>
      </w:r>
      <w:r>
        <w:rPr>
          <w:rFonts w:eastAsiaTheme="minorEastAsia"/>
          <w:color w:val="000000" w:themeColor="text1"/>
          <w:sz w:val="24"/>
        </w:rPr>
        <w:t>元罚款，共计</w:t>
      </w:r>
      <w:r>
        <w:rPr>
          <w:rFonts w:eastAsiaTheme="minorEastAsia"/>
          <w:color w:val="000000" w:themeColor="text1"/>
          <w:sz w:val="24"/>
        </w:rPr>
        <w:t>3,525,575.22</w:t>
      </w:r>
      <w:r>
        <w:rPr>
          <w:rFonts w:eastAsiaTheme="minorEastAsia"/>
          <w:color w:val="000000" w:themeColor="text1"/>
          <w:sz w:val="24"/>
        </w:rPr>
        <w:t>元，同时对相关高级管理人员作出处罚。</w:t>
      </w:r>
    </w:p>
    <w:p w:rsidR="00CE24BE" w:rsidRDefault="00111A06">
      <w:pPr>
        <w:widowControl/>
        <w:spacing w:line="360" w:lineRule="auto"/>
        <w:rPr>
          <w:rFonts w:eastAsiaTheme="minorEastAsia"/>
          <w:color w:val="000000" w:themeColor="text1"/>
          <w:sz w:val="24"/>
        </w:rPr>
      </w:pPr>
      <w:r>
        <w:rPr>
          <w:rFonts w:eastAsiaTheme="minorEastAsia"/>
          <w:color w:val="000000" w:themeColor="text1"/>
          <w:sz w:val="24"/>
        </w:rPr>
        <w:t>本基金为目标</w:t>
      </w:r>
      <w:r>
        <w:rPr>
          <w:rFonts w:eastAsiaTheme="minorEastAsia"/>
          <w:color w:val="000000" w:themeColor="text1"/>
          <w:sz w:val="24"/>
        </w:rPr>
        <w:t>ETF</w:t>
      </w:r>
      <w:r>
        <w:rPr>
          <w:rFonts w:eastAsiaTheme="minorEastAsia"/>
          <w:color w:val="000000" w:themeColor="text1"/>
          <w:sz w:val="24"/>
        </w:rPr>
        <w:t>的联接基金，上述股票系标的指数成份股，上述股票的投资决策程序符合公司投资制度的规定。除上海银行、北京银行外，本基金目标</w:t>
      </w:r>
      <w:r>
        <w:rPr>
          <w:rFonts w:eastAsiaTheme="minorEastAsia"/>
          <w:color w:val="000000" w:themeColor="text1"/>
          <w:sz w:val="24"/>
        </w:rPr>
        <w:t>ETF</w:t>
      </w:r>
      <w:r>
        <w:rPr>
          <w:rFonts w:eastAsiaTheme="minorEastAsia"/>
          <w:color w:val="000000" w:themeColor="text1"/>
          <w:sz w:val="24"/>
        </w:rPr>
        <w:t>投资的前十名证券的发行主体本期没有出现被监管部门立案调查，或在报告编制日前一年内受到公开谴责、处罚的情形。除上海银行、北京银行外，本基金投资的前十名证券的发行主体本期没有出现被监管部门立案调查，或在报告编制日前一年内受到公开谴责、处罚的情形。</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5.12.2</w:t>
      </w:r>
      <w:r w:rsidR="00BD1AD9">
        <w:rPr>
          <w:rFonts w:eastAsiaTheme="minorEastAsia" w:hint="eastAsia"/>
          <w:color w:val="000000" w:themeColor="text1"/>
          <w:sz w:val="24"/>
        </w:rPr>
        <w:t xml:space="preserve"> </w:t>
      </w:r>
      <w:r w:rsidRPr="00B34368">
        <w:rPr>
          <w:rFonts w:eastAsiaTheme="minorEastAsia"/>
          <w:color w:val="000000" w:themeColor="text1"/>
          <w:sz w:val="24"/>
        </w:rPr>
        <w:t>本基金投资的前十名股票没有超出基金合同规定的备选股票库。</w:t>
      </w:r>
    </w:p>
    <w:p w:rsidR="001D5CD0" w:rsidRPr="00B34368" w:rsidRDefault="001D5CD0" w:rsidP="001D5CD0">
      <w:pPr>
        <w:autoSpaceDE w:val="0"/>
        <w:autoSpaceDN w:val="0"/>
        <w:adjustRightInd w:val="0"/>
        <w:spacing w:line="360" w:lineRule="auto"/>
        <w:rPr>
          <w:rFonts w:eastAsiaTheme="minorEastAsia"/>
          <w:b/>
          <w:color w:val="000000" w:themeColor="text1"/>
          <w:kern w:val="0"/>
          <w:sz w:val="24"/>
        </w:rPr>
      </w:pPr>
      <w:r w:rsidRPr="00B34368">
        <w:rPr>
          <w:rFonts w:eastAsiaTheme="minorEastAsia"/>
          <w:b/>
          <w:color w:val="000000" w:themeColor="text1"/>
          <w:kern w:val="0"/>
          <w:sz w:val="24"/>
        </w:rPr>
        <w:t>5.12.3</w:t>
      </w:r>
      <w:r w:rsidRPr="00B34368">
        <w:rPr>
          <w:rFonts w:eastAsiaTheme="minorEastAsia" w:hAnsiTheme="minorEastAsia"/>
          <w:b/>
          <w:color w:val="000000" w:themeColor="text1"/>
          <w:kern w:val="0"/>
          <w:sz w:val="24"/>
        </w:rPr>
        <w:t>其他各项资产构成</w:t>
      </w:r>
    </w:p>
    <w:tbl>
      <w:tblPr>
        <w:tblStyle w:val="af2"/>
        <w:tblW w:w="0" w:type="auto"/>
        <w:tblInd w:w="108" w:type="dxa"/>
        <w:tblLook w:val="04A0" w:firstRow="1" w:lastRow="0" w:firstColumn="1" w:lastColumn="0" w:noHBand="0" w:noVBand="1"/>
      </w:tblPr>
      <w:tblGrid>
        <w:gridCol w:w="1235"/>
        <w:gridCol w:w="2761"/>
        <w:gridCol w:w="4808"/>
      </w:tblGrid>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2761"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名称</w:t>
            </w:r>
          </w:p>
        </w:tc>
        <w:tc>
          <w:tcPr>
            <w:tcW w:w="4808"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金额</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color w:val="000000" w:themeColor="text1"/>
                <w:sz w:val="24"/>
              </w:rPr>
              <w:t>1</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存出保证金</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8,748.61</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2</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应收证券清算款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23,219.16</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3</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应收股利</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4</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应收利息</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2,462.88</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5</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应收申购款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421,713.23</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6</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其他应收款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7</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sz w:val="24"/>
              </w:rPr>
            </w:pPr>
            <w:r w:rsidRPr="00B34368">
              <w:rPr>
                <w:rFonts w:eastAsiaTheme="minorEastAsia" w:hAnsiTheme="minorEastAsia"/>
                <w:color w:val="000000" w:themeColor="text1"/>
                <w:sz w:val="24"/>
              </w:rPr>
              <w:t>待摊费用</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8</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9</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合计</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456,143.88</w:t>
            </w:r>
          </w:p>
        </w:tc>
      </w:tr>
    </w:tbl>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5.12.4</w:t>
      </w:r>
      <w:r w:rsidRPr="00B34368">
        <w:rPr>
          <w:rFonts w:eastAsiaTheme="minorEastAsia" w:hAnsiTheme="minorEastAsia"/>
          <w:b/>
          <w:color w:val="000000" w:themeColor="text1"/>
          <w:kern w:val="0"/>
          <w:sz w:val="24"/>
        </w:rPr>
        <w:t>报告期末持有的处于转股期的可转换债券明细</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本基金本报告期末未持有处于转股期的可转换债券。</w:t>
      </w:r>
    </w:p>
    <w:p w:rsidR="001D5CD0" w:rsidRPr="00B34368" w:rsidRDefault="001D5CD0" w:rsidP="00C544B8">
      <w:pPr>
        <w:autoSpaceDE w:val="0"/>
        <w:autoSpaceDN w:val="0"/>
        <w:adjustRightInd w:val="0"/>
        <w:spacing w:beforeLines="100" w:before="312" w:line="360" w:lineRule="auto"/>
        <w:jc w:val="left"/>
        <w:rPr>
          <w:rFonts w:eastAsiaTheme="minorEastAsia"/>
          <w:b/>
          <w:bCs/>
          <w:color w:val="000000" w:themeColor="text1"/>
          <w:sz w:val="24"/>
        </w:rPr>
      </w:pPr>
      <w:r w:rsidRPr="00B34368">
        <w:rPr>
          <w:rFonts w:eastAsiaTheme="minorEastAsia"/>
          <w:b/>
          <w:color w:val="000000" w:themeColor="text1"/>
          <w:kern w:val="0"/>
          <w:sz w:val="24"/>
        </w:rPr>
        <w:t>5.12.5</w:t>
      </w:r>
      <w:r w:rsidRPr="00B34368">
        <w:rPr>
          <w:rFonts w:eastAsiaTheme="minorEastAsia" w:hAnsiTheme="minorEastAsia"/>
          <w:b/>
          <w:bCs/>
          <w:color w:val="000000" w:themeColor="text1"/>
          <w:sz w:val="24"/>
        </w:rPr>
        <w:t>报告期末前十名股票中存在流通受限情况的说明</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本基金本报告期末前十名股票中不存在流通受限情况。</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§6  </w:t>
      </w:r>
      <w:r w:rsidRPr="00B34368">
        <w:rPr>
          <w:rFonts w:eastAsiaTheme="minorEastAsia" w:hAnsiTheme="minorEastAsia"/>
          <w:color w:val="000000" w:themeColor="text1"/>
          <w:kern w:val="0"/>
          <w:sz w:val="24"/>
          <w:szCs w:val="24"/>
        </w:rPr>
        <w:t>开放式基金份额变动</w:t>
      </w:r>
    </w:p>
    <w:p w:rsidR="009238DB" w:rsidRPr="00B34368" w:rsidRDefault="009238DB"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900"/>
        <w:gridCol w:w="2367"/>
        <w:gridCol w:w="2367"/>
      </w:tblGrid>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B84643">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145,333,472.39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2,930,904.38</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报告期</w:t>
            </w:r>
            <w:r w:rsidR="00936D40" w:rsidRPr="00B34368">
              <w:rPr>
                <w:rFonts w:eastAsiaTheme="minorEastAsia" w:hAnsi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15,542,783.97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7,064,290.92</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减：</w:t>
            </w:r>
            <w:r w:rsidR="00F72579" w:rsidRPr="00B34368">
              <w:rPr>
                <w:rFonts w:eastAsiaTheme="minorEastAsia"/>
                <w:color w:val="000000" w:themeColor="text1"/>
                <w:kern w:val="0"/>
                <w:sz w:val="24"/>
              </w:rPr>
              <w:t>报告期</w:t>
            </w:r>
            <w:r w:rsidRPr="00B34368">
              <w:rPr>
                <w:rFonts w:eastAsiaTheme="minorEastAsia" w:hAnsi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27,120,474.05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5,767,309.75</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报告期</w:t>
            </w:r>
            <w:r w:rsidR="00936D40" w:rsidRPr="00B34368">
              <w:rPr>
                <w:rFonts w:eastAsiaTheme="minorEastAsia" w:hAnsiTheme="minorEastAsia"/>
                <w:color w:val="000000" w:themeColor="text1"/>
                <w:kern w:val="0"/>
                <w:sz w:val="24"/>
              </w:rPr>
              <w:t>基金拆分变动份额</w:t>
            </w:r>
            <w:r w:rsidR="00130E37" w:rsidRPr="00130E37">
              <w:rPr>
                <w:rFonts w:eastAsiaTheme="minorEastAsia" w:hAnsiTheme="minorEastAsia" w:hint="eastAsia"/>
                <w:color w:val="000000" w:themeColor="text1"/>
                <w:kern w:val="0"/>
                <w:sz w:val="24"/>
              </w:rPr>
              <w:t>（份额减少以“</w:t>
            </w:r>
            <w:r w:rsidR="00130E37" w:rsidRPr="00130E37">
              <w:rPr>
                <w:rFonts w:eastAsiaTheme="minorEastAsia" w:hAnsiTheme="minorEastAsia" w:hint="eastAsia"/>
                <w:color w:val="000000" w:themeColor="text1"/>
                <w:kern w:val="0"/>
                <w:sz w:val="24"/>
              </w:rPr>
              <w:t>-</w:t>
            </w:r>
            <w:r w:rsidR="00130E37" w:rsidRPr="00130E37">
              <w:rPr>
                <w:rFonts w:eastAsiaTheme="minorEastAsia" w:hAnsiTheme="minorEastAsia" w:hint="eastAsia"/>
                <w:color w:val="000000" w:themeColor="text1"/>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B57BCF">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133,755,782.31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4,227,885.55</w:t>
            </w:r>
          </w:p>
        </w:tc>
      </w:tr>
    </w:tbl>
    <w:p w:rsidR="00617125" w:rsidRPr="00B34368" w:rsidRDefault="00617125" w:rsidP="00C544B8">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B34368">
        <w:rPr>
          <w:rFonts w:eastAsiaTheme="minorEastAsia"/>
          <w:color w:val="000000" w:themeColor="text1"/>
          <w:kern w:val="0"/>
          <w:sz w:val="24"/>
          <w:szCs w:val="24"/>
        </w:rPr>
        <w:t>§7</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sz w:val="24"/>
          <w:szCs w:val="24"/>
        </w:rPr>
        <w:t>基金管理人运用固有资金投资本基金情况</w:t>
      </w:r>
    </w:p>
    <w:p w:rsidR="00617125" w:rsidRPr="00B34368" w:rsidRDefault="00617125" w:rsidP="00617125">
      <w:pPr>
        <w:spacing w:line="360" w:lineRule="auto"/>
        <w:jc w:val="left"/>
        <w:rPr>
          <w:rFonts w:eastAsiaTheme="minorEastAsia"/>
          <w:color w:val="000000" w:themeColor="text1"/>
          <w:sz w:val="24"/>
        </w:rPr>
      </w:pPr>
      <w:r w:rsidRPr="00B34368">
        <w:rPr>
          <w:rFonts w:eastAsiaTheme="minorEastAsia"/>
          <w:b/>
          <w:color w:val="000000" w:themeColor="text1"/>
          <w:sz w:val="24"/>
        </w:rPr>
        <w:t xml:space="preserve">7.1 </w:t>
      </w:r>
      <w:r w:rsidRPr="00B34368">
        <w:rPr>
          <w:rFonts w:eastAsiaTheme="minorEastAsia" w:hAnsiTheme="minorEastAsia"/>
          <w:b/>
          <w:color w:val="000000" w:themeColor="text1"/>
          <w:sz w:val="24"/>
        </w:rPr>
        <w:t>基金管理人持有本基金份额变动情况</w:t>
      </w:r>
    </w:p>
    <w:p w:rsidR="00617125" w:rsidRPr="00B34368" w:rsidRDefault="00A01C74" w:rsidP="00B34368">
      <w:pPr>
        <w:autoSpaceDE w:val="0"/>
        <w:autoSpaceDN w:val="0"/>
        <w:adjustRightInd w:val="0"/>
        <w:spacing w:line="360" w:lineRule="auto"/>
        <w:ind w:firstLineChars="200" w:firstLine="480"/>
        <w:jc w:val="left"/>
        <w:rPr>
          <w:rFonts w:eastAsiaTheme="minorEastAsia"/>
          <w:color w:val="000000" w:themeColor="text1"/>
          <w:sz w:val="24"/>
        </w:rPr>
      </w:pPr>
      <w:r w:rsidRPr="00DF18FE">
        <w:rPr>
          <w:color w:val="000000"/>
          <w:sz w:val="24"/>
        </w:rPr>
        <w:t>本报告期内基金管理人未持有本基金份额。</w:t>
      </w:r>
    </w:p>
    <w:p w:rsidR="00617125" w:rsidRPr="00B34368" w:rsidRDefault="00617125" w:rsidP="00C544B8">
      <w:pPr>
        <w:spacing w:beforeLines="100" w:before="312" w:line="360" w:lineRule="auto"/>
        <w:jc w:val="left"/>
        <w:rPr>
          <w:rFonts w:eastAsiaTheme="minorEastAsia"/>
          <w:color w:val="000000" w:themeColor="text1"/>
          <w:sz w:val="24"/>
        </w:rPr>
      </w:pPr>
      <w:r w:rsidRPr="00B34368">
        <w:rPr>
          <w:rFonts w:eastAsiaTheme="minorEastAsia"/>
          <w:b/>
          <w:color w:val="000000" w:themeColor="text1"/>
          <w:sz w:val="24"/>
        </w:rPr>
        <w:t xml:space="preserve">7.2 </w:t>
      </w:r>
      <w:r w:rsidRPr="00B34368">
        <w:rPr>
          <w:rFonts w:eastAsiaTheme="minorEastAsia" w:hAnsiTheme="minorEastAsia"/>
          <w:b/>
          <w:color w:val="000000" w:themeColor="text1"/>
          <w:sz w:val="24"/>
        </w:rPr>
        <w:t>基金管理人运用固有资金投资本基金交易明细</w:t>
      </w:r>
    </w:p>
    <w:p w:rsidR="00617125" w:rsidRPr="00B34368" w:rsidRDefault="00617125"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本报告期内基金管理人未运用固有资金申购、赎回、买卖本基金份额。</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w:t>
      </w:r>
      <w:r w:rsidR="00A14399" w:rsidRPr="00B34368">
        <w:rPr>
          <w:rFonts w:eastAsiaTheme="minorEastAsia"/>
          <w:color w:val="000000" w:themeColor="text1"/>
          <w:kern w:val="0"/>
          <w:sz w:val="24"/>
          <w:szCs w:val="24"/>
        </w:rPr>
        <w:t>8</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kern w:val="0"/>
          <w:sz w:val="24"/>
          <w:szCs w:val="24"/>
        </w:rPr>
        <w:t>备查文件目录</w:t>
      </w:r>
    </w:p>
    <w:p w:rsidR="00FB3C94" w:rsidRPr="00B34368" w:rsidRDefault="00A14399" w:rsidP="00FC13C8">
      <w:pPr>
        <w:autoSpaceDE w:val="0"/>
        <w:autoSpaceDN w:val="0"/>
        <w:adjustRightInd w:val="0"/>
        <w:spacing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w:t>
      </w:r>
      <w:r w:rsidR="00D13A01" w:rsidRPr="00B34368">
        <w:rPr>
          <w:rFonts w:eastAsiaTheme="minorEastAsia"/>
          <w:b/>
          <w:bCs/>
          <w:color w:val="000000" w:themeColor="text1"/>
          <w:kern w:val="0"/>
          <w:sz w:val="24"/>
        </w:rPr>
        <w:t>1</w:t>
      </w:r>
      <w:r w:rsidR="00FB3C94" w:rsidRPr="00B34368">
        <w:rPr>
          <w:rFonts w:eastAsiaTheme="minorEastAsia" w:hAnsiTheme="minorEastAsia"/>
          <w:b/>
          <w:bCs/>
          <w:color w:val="000000" w:themeColor="text1"/>
          <w:kern w:val="0"/>
          <w:sz w:val="24"/>
        </w:rPr>
        <w:t>备查文件目录</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中国证监会核准易方达上证中盘交易型开放式指数证券投资基金联接基金募集的文件；</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《易方达上证中盘交易型开放式指数证券投资基金联接基金基金合同》；</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《易方达基金管理有限公司开放式基金业务规则》；</w:t>
      </w:r>
    </w:p>
    <w:p w:rsidR="00CE24BE" w:rsidRDefault="00111A06">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《易方达上证中盘交易型开放式指数证券投资基金联接基金托管协议》；</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5.</w:t>
      </w:r>
      <w:r w:rsidRPr="00B34368">
        <w:rPr>
          <w:rFonts w:eastAsiaTheme="minorEastAsia"/>
          <w:color w:val="000000" w:themeColor="text1"/>
          <w:sz w:val="24"/>
        </w:rPr>
        <w:t>基金管理人业务资格批件和营业执照。</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8.2</w:t>
      </w:r>
      <w:r w:rsidR="00FB3C94" w:rsidRPr="00B34368">
        <w:rPr>
          <w:rFonts w:eastAsiaTheme="minorEastAsia" w:hAnsiTheme="minorEastAsia"/>
          <w:b/>
          <w:bCs/>
          <w:color w:val="000000" w:themeColor="text1"/>
          <w:kern w:val="0"/>
          <w:sz w:val="24"/>
        </w:rPr>
        <w:t>存放地点</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广州市天河区珠江新城珠江东路</w:t>
      </w:r>
      <w:r w:rsidRPr="00B34368">
        <w:rPr>
          <w:rFonts w:eastAsiaTheme="minorEastAsia"/>
          <w:color w:val="000000" w:themeColor="text1"/>
          <w:sz w:val="24"/>
        </w:rPr>
        <w:t>30</w:t>
      </w:r>
      <w:r w:rsidRPr="00B34368">
        <w:rPr>
          <w:rFonts w:eastAsiaTheme="minorEastAsia"/>
          <w:color w:val="000000" w:themeColor="text1"/>
          <w:sz w:val="24"/>
        </w:rPr>
        <w:t>号广州银行大厦</w:t>
      </w:r>
      <w:r w:rsidRPr="00B34368">
        <w:rPr>
          <w:rFonts w:eastAsiaTheme="minorEastAsia"/>
          <w:color w:val="000000" w:themeColor="text1"/>
          <w:sz w:val="24"/>
        </w:rPr>
        <w:t>40-43</w:t>
      </w:r>
      <w:r w:rsidRPr="00B34368">
        <w:rPr>
          <w:rFonts w:eastAsiaTheme="minorEastAsia"/>
          <w:color w:val="000000" w:themeColor="text1"/>
          <w:sz w:val="24"/>
        </w:rPr>
        <w:t>楼。</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8.3</w:t>
      </w:r>
      <w:r w:rsidR="00FB3C94" w:rsidRPr="00B34368">
        <w:rPr>
          <w:rFonts w:eastAsiaTheme="minorEastAsia" w:hAnsiTheme="minorEastAsia"/>
          <w:b/>
          <w:bCs/>
          <w:color w:val="000000" w:themeColor="text1"/>
          <w:kern w:val="0"/>
          <w:sz w:val="24"/>
        </w:rPr>
        <w:t>查阅方式</w:t>
      </w:r>
    </w:p>
    <w:p w:rsidR="00FB3C94"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投资者可在营业时间免费查阅，也可按工本费购买复印件。</w:t>
      </w:r>
    </w:p>
    <w:p w:rsidR="00FB3C94" w:rsidRPr="00B34368" w:rsidRDefault="00FB3C94" w:rsidP="00FB3C94">
      <w:pPr>
        <w:spacing w:line="360" w:lineRule="auto"/>
        <w:ind w:left="840"/>
        <w:jc w:val="right"/>
        <w:rPr>
          <w:rFonts w:eastAsiaTheme="minorEastAsia"/>
          <w:color w:val="000000" w:themeColor="text1"/>
          <w:sz w:val="24"/>
        </w:rPr>
      </w:pPr>
    </w:p>
    <w:p w:rsidR="00AF3AF9" w:rsidRPr="00B34368" w:rsidRDefault="00AF3AF9" w:rsidP="00053FFD">
      <w:pPr>
        <w:spacing w:line="360" w:lineRule="auto"/>
        <w:ind w:left="840"/>
        <w:jc w:val="center"/>
        <w:rPr>
          <w:rFonts w:eastAsiaTheme="minorEastAsia"/>
          <w:b/>
          <w:color w:val="000000" w:themeColor="text1"/>
          <w:sz w:val="24"/>
        </w:rPr>
      </w:pPr>
    </w:p>
    <w:p w:rsidR="00FB3C94" w:rsidRPr="00B34368" w:rsidRDefault="00FB3C94"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易方达基金管理有限公司</w:t>
      </w:r>
    </w:p>
    <w:p w:rsidR="009238DB" w:rsidRPr="00B34368" w:rsidRDefault="00D04410"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二〇二〇年四月二十一日</w:t>
      </w:r>
    </w:p>
    <w:sectPr w:rsidR="009238DB" w:rsidRPr="00B3436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17" w:rsidRDefault="00F30F17">
      <w:r>
        <w:separator/>
      </w:r>
    </w:p>
  </w:endnote>
  <w:endnote w:type="continuationSeparator" w:id="0">
    <w:p w:rsidR="00F30F17" w:rsidRDefault="00F3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111A06">
      <w:rPr>
        <w:noProof/>
        <w:kern w:val="0"/>
        <w:szCs w:val="21"/>
      </w:rPr>
      <w:t>1</w:t>
    </w:r>
    <w:r w:rsidR="00EA55D2">
      <w:rPr>
        <w:kern w:val="0"/>
        <w:szCs w:val="21"/>
      </w:rPr>
      <w:fldChar w:fldCharType="end"/>
    </w:r>
    <w:r>
      <w:rPr>
        <w:rFonts w:hint="eastAsia"/>
        <w:kern w:val="0"/>
        <w:szCs w:val="21"/>
      </w:rPr>
      <w:t>页共</w:t>
    </w:r>
    <w:r w:rsidR="00EA55D2">
      <w:rPr>
        <w:kern w:val="0"/>
        <w:szCs w:val="21"/>
      </w:rPr>
      <w:fldChar w:fldCharType="begin"/>
    </w:r>
    <w:r>
      <w:rPr>
        <w:kern w:val="0"/>
        <w:szCs w:val="21"/>
      </w:rPr>
      <w:instrText xml:space="preserve"> NUMPAGES </w:instrText>
    </w:r>
    <w:r w:rsidR="00EA55D2">
      <w:rPr>
        <w:kern w:val="0"/>
        <w:szCs w:val="21"/>
      </w:rPr>
      <w:fldChar w:fldCharType="separate"/>
    </w:r>
    <w:r w:rsidR="00111A06">
      <w:rPr>
        <w:noProof/>
        <w:kern w:val="0"/>
        <w:szCs w:val="21"/>
      </w:rPr>
      <w:t>1</w:t>
    </w:r>
    <w:r w:rsidR="00EA55D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separate"/>
    </w:r>
    <w:r w:rsidR="00111A06">
      <w:rPr>
        <w:rStyle w:val="a7"/>
        <w:noProof/>
      </w:rPr>
      <w:t>2</w: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17" w:rsidRDefault="00F30F17">
      <w:r>
        <w:separator/>
      </w:r>
    </w:p>
  </w:footnote>
  <w:footnote w:type="continuationSeparator" w:id="0">
    <w:p w:rsidR="00F30F17" w:rsidRDefault="00F30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7C1122" w:rsidP="001207F2">
    <w:pPr>
      <w:pStyle w:val="a9"/>
      <w:pBdr>
        <w:bottom w:val="single" w:sz="6" w:space="0" w:color="auto"/>
      </w:pBdr>
      <w:jc w:val="right"/>
    </w:pPr>
    <w:r>
      <w:rPr>
        <w:sz w:val="21"/>
        <w:szCs w:val="21"/>
      </w:rPr>
      <w:t>易方达上证中盘交易型开放式指数证券投资基金联接基金</w:t>
    </w:r>
    <w:r>
      <w:rPr>
        <w:sz w:val="21"/>
        <w:szCs w:val="21"/>
      </w:rPr>
      <w:t>2020</w:t>
    </w:r>
    <w:r>
      <w:rPr>
        <w:sz w:val="21"/>
        <w:szCs w:val="21"/>
      </w:rPr>
      <w:t>年第</w:t>
    </w:r>
    <w:r>
      <w:rPr>
        <w:sz w:val="21"/>
        <w:szCs w:val="21"/>
      </w:rPr>
      <w:t>1</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1A06"/>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D77"/>
    <w:rsid w:val="00130E3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E1C"/>
    <w:rsid w:val="00227D20"/>
    <w:rsid w:val="00231BCE"/>
    <w:rsid w:val="00233CFB"/>
    <w:rsid w:val="002359EB"/>
    <w:rsid w:val="0023649E"/>
    <w:rsid w:val="00241740"/>
    <w:rsid w:val="002424E4"/>
    <w:rsid w:val="00243122"/>
    <w:rsid w:val="002437F5"/>
    <w:rsid w:val="00244DB1"/>
    <w:rsid w:val="00245012"/>
    <w:rsid w:val="0024504E"/>
    <w:rsid w:val="00245B76"/>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4AE5"/>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4DD1"/>
    <w:rsid w:val="006B66FE"/>
    <w:rsid w:val="006C168D"/>
    <w:rsid w:val="006C4033"/>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4AB5"/>
    <w:rsid w:val="008750A9"/>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61C4"/>
    <w:rsid w:val="008F7763"/>
    <w:rsid w:val="009007CB"/>
    <w:rsid w:val="009010F0"/>
    <w:rsid w:val="00901162"/>
    <w:rsid w:val="00901D46"/>
    <w:rsid w:val="009028E2"/>
    <w:rsid w:val="00903692"/>
    <w:rsid w:val="00904E07"/>
    <w:rsid w:val="00912BAF"/>
    <w:rsid w:val="00914EAB"/>
    <w:rsid w:val="0091541F"/>
    <w:rsid w:val="009165E9"/>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CE4"/>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1AD9"/>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24BE"/>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3F90"/>
    <w:rsid w:val="00E374C8"/>
    <w:rsid w:val="00E4042D"/>
    <w:rsid w:val="00E4135D"/>
    <w:rsid w:val="00E43750"/>
    <w:rsid w:val="00E508EB"/>
    <w:rsid w:val="00E50A31"/>
    <w:rsid w:val="00E521E3"/>
    <w:rsid w:val="00E53B7A"/>
    <w:rsid w:val="00E550C9"/>
    <w:rsid w:val="00E55405"/>
    <w:rsid w:val="00E561F9"/>
    <w:rsid w:val="00E5645D"/>
    <w:rsid w:val="00E57CD3"/>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0F17"/>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2E56EA0-0844-4945-A9F1-86EA900E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FE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1B01-9D64-43B1-8CF4-B9FA7DB1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0</TotalTime>
  <Pages>5</Pages>
  <Words>1219</Words>
  <Characters>6954</Characters>
  <Application>Microsoft Office Word</Application>
  <DocSecurity>4</DocSecurity>
  <Lines>57</Lines>
  <Paragraphs>16</Paragraphs>
  <ScaleCrop>false</ScaleCrop>
  <Company>TRT. Ltd. Co.</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