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易方达增强回报债券型证券投资基金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F90440" w:rsidRDefault="00A22D18">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90440" w:rsidRDefault="00A22D18">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90440" w:rsidRDefault="00A22D18">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90440" w:rsidRDefault="00A22D18">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F90440" w:rsidRDefault="00A22D18">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易方达增强回报债券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110017</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2008</w:t>
            </w:r>
            <w:r w:rsidRPr="00C30CFF">
              <w:rPr>
                <w:color w:val="000000"/>
                <w:kern w:val="0"/>
                <w:sz w:val="24"/>
              </w:rPr>
              <w:t>年</w:t>
            </w:r>
            <w:r w:rsidRPr="00C30CFF">
              <w:rPr>
                <w:color w:val="000000"/>
                <w:kern w:val="0"/>
                <w:sz w:val="24"/>
              </w:rPr>
              <w:t>3</w:t>
            </w:r>
            <w:r w:rsidRPr="00C30CFF">
              <w:rPr>
                <w:color w:val="000000"/>
                <w:kern w:val="0"/>
                <w:sz w:val="24"/>
              </w:rPr>
              <w:t>月</w:t>
            </w:r>
            <w:r w:rsidRPr="00C30CFF">
              <w:rPr>
                <w:color w:val="000000"/>
                <w:kern w:val="0"/>
                <w:sz w:val="24"/>
              </w:rPr>
              <w:t>19</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5,713,636,591.02</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通过主要投资于债券品种，力争为基金持有人创造较高的当期收益和总回报，实现基金资产的长期稳健增值。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本基金基于对以下因素的判断，进行基金资产在非信用类固定收益品种（国债、央行票据等）、信用类固定收益品种（含可转换债券）、新股（含增发）申购及套利性股票投资之间的配置：</w:t>
            </w:r>
            <w:r w:rsidRPr="00C30CFF">
              <w:rPr>
                <w:color w:val="000000"/>
                <w:kern w:val="0"/>
                <w:sz w:val="24"/>
              </w:rPr>
              <w:t>1</w:t>
            </w:r>
            <w:r w:rsidRPr="00C30CFF">
              <w:rPr>
                <w:color w:val="000000"/>
                <w:kern w:val="0"/>
                <w:sz w:val="24"/>
              </w:rPr>
              <w:t>）基于对利率走势、利率期限结构等因素的分析，预测固定收益</w:t>
            </w:r>
            <w:r w:rsidRPr="00C30CFF">
              <w:rPr>
                <w:color w:val="000000"/>
                <w:kern w:val="0"/>
                <w:sz w:val="24"/>
              </w:rPr>
              <w:lastRenderedPageBreak/>
              <w:t>品种的投资收益和风险；</w:t>
            </w:r>
            <w:r w:rsidRPr="00C30CFF">
              <w:rPr>
                <w:color w:val="000000"/>
                <w:kern w:val="0"/>
                <w:sz w:val="24"/>
              </w:rPr>
              <w:t>2</w:t>
            </w:r>
            <w:r w:rsidRPr="00C30CFF">
              <w:rPr>
                <w:color w:val="000000"/>
                <w:kern w:val="0"/>
                <w:sz w:val="24"/>
              </w:rPr>
              <w:t>）对宏观经济、行业前景以及公司财务进行严谨的分析，考察其对固定收益市场信用利差的影响；</w:t>
            </w:r>
            <w:r w:rsidRPr="00C30CFF">
              <w:rPr>
                <w:color w:val="000000"/>
                <w:kern w:val="0"/>
                <w:sz w:val="24"/>
              </w:rPr>
              <w:t>3</w:t>
            </w:r>
            <w:r w:rsidRPr="00C30CFF">
              <w:rPr>
                <w:color w:val="000000"/>
                <w:kern w:val="0"/>
                <w:sz w:val="24"/>
              </w:rPr>
              <w:t>）基于新股发行频率、中签率、上市后的平均涨幅等的分析，预测新股申购的收益率以及风险；</w:t>
            </w:r>
            <w:r w:rsidRPr="00C30CFF">
              <w:rPr>
                <w:color w:val="000000"/>
                <w:kern w:val="0"/>
                <w:sz w:val="24"/>
              </w:rPr>
              <w:t>4</w:t>
            </w:r>
            <w:r w:rsidRPr="00C30CFF">
              <w:rPr>
                <w:color w:val="000000"/>
                <w:kern w:val="0"/>
                <w:sz w:val="24"/>
              </w:rPr>
              <w:t>）套利性投资机会的投资期间及预期收益率；</w:t>
            </w:r>
            <w:r w:rsidRPr="00C30CFF">
              <w:rPr>
                <w:color w:val="000000"/>
                <w:kern w:val="0"/>
                <w:sz w:val="24"/>
              </w:rPr>
              <w:t>5</w:t>
            </w:r>
            <w:r w:rsidRPr="00C30CFF">
              <w:rPr>
                <w:color w:val="000000"/>
                <w:kern w:val="0"/>
                <w:sz w:val="24"/>
              </w:rPr>
              <w:t>）股票市场走势的预测；</w:t>
            </w:r>
            <w:r w:rsidRPr="00C30CFF">
              <w:rPr>
                <w:color w:val="000000"/>
                <w:kern w:val="0"/>
                <w:sz w:val="24"/>
              </w:rPr>
              <w:t>6</w:t>
            </w:r>
            <w:r w:rsidRPr="00C30CFF">
              <w:rPr>
                <w:color w:val="000000"/>
                <w:kern w:val="0"/>
                <w:sz w:val="24"/>
              </w:rPr>
              <w:t>）可转换债券发行公司的成长性和转债价值的判断。</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中债总指数（全价）</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易方达增强回报债券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易方达增强回报债券</w:t>
            </w:r>
            <w:r w:rsidRPr="00C30CFF">
              <w:rPr>
                <w:sz w:val="24"/>
              </w:rPr>
              <w:t>B</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110017</w:t>
            </w:r>
          </w:p>
        </w:tc>
        <w:tc>
          <w:tcPr>
            <w:tcW w:w="2790" w:type="dxa"/>
            <w:vAlign w:val="center"/>
          </w:tcPr>
          <w:p w:rsidR="00F016DD" w:rsidRPr="00C30CFF" w:rsidRDefault="00F016DD" w:rsidP="00950413">
            <w:pPr>
              <w:jc w:val="left"/>
              <w:rPr>
                <w:color w:val="000000"/>
                <w:sz w:val="24"/>
              </w:rPr>
            </w:pPr>
            <w:r w:rsidRPr="00C30CFF">
              <w:rPr>
                <w:color w:val="000000"/>
                <w:sz w:val="24"/>
              </w:rPr>
              <w:t>110018</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3,999,688,835.63</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1,713,947,755.39</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易方达增强回报债券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易方达增强回报债券</w:t>
            </w:r>
            <w:r w:rsidRPr="00FA472B">
              <w:rPr>
                <w:sz w:val="24"/>
              </w:rPr>
              <w:t>B</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53,426,112.64</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20,334,892.18</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-76,213,052.39</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-34,523,548.44</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-0.0193</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-0.0209</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5,124,897,521.27</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2,178,486,104.43</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1.281</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1.271</w:t>
            </w:r>
          </w:p>
        </w:tc>
      </w:tr>
    </w:tbl>
    <w:p w:rsidR="00F90440" w:rsidRDefault="00A22D18">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易方达增强回报债券A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F90440">
        <w:tc>
          <w:tcPr>
            <w:tcW w:w="0" w:type="auto"/>
            <w:vAlign w:val="center"/>
          </w:tcPr>
          <w:p w:rsidR="00F90440" w:rsidRDefault="00A22D18">
            <w:pPr>
              <w:jc w:val="left"/>
            </w:pPr>
            <w:r>
              <w:rPr>
                <w:color w:val="000000"/>
                <w:sz w:val="24"/>
              </w:rPr>
              <w:t>过去三个月</w:t>
            </w:r>
          </w:p>
        </w:tc>
        <w:tc>
          <w:tcPr>
            <w:tcW w:w="0" w:type="auto"/>
            <w:vAlign w:val="center"/>
          </w:tcPr>
          <w:p w:rsidR="00F90440" w:rsidRDefault="00A22D18">
            <w:pPr>
              <w:jc w:val="center"/>
            </w:pPr>
            <w:r>
              <w:rPr>
                <w:color w:val="000000"/>
                <w:sz w:val="24"/>
              </w:rPr>
              <w:t>-1.08%</w:t>
            </w:r>
          </w:p>
        </w:tc>
        <w:tc>
          <w:tcPr>
            <w:tcW w:w="0" w:type="auto"/>
            <w:vAlign w:val="center"/>
          </w:tcPr>
          <w:p w:rsidR="00F90440" w:rsidRDefault="00A22D18">
            <w:pPr>
              <w:jc w:val="center"/>
            </w:pPr>
            <w:r>
              <w:rPr>
                <w:color w:val="000000"/>
                <w:sz w:val="24"/>
              </w:rPr>
              <w:t>0.40%</w:t>
            </w:r>
          </w:p>
        </w:tc>
        <w:tc>
          <w:tcPr>
            <w:tcW w:w="0" w:type="auto"/>
            <w:vAlign w:val="center"/>
          </w:tcPr>
          <w:p w:rsidR="00F90440" w:rsidRDefault="00A22D18">
            <w:pPr>
              <w:jc w:val="center"/>
            </w:pPr>
            <w:r>
              <w:rPr>
                <w:color w:val="000000"/>
                <w:sz w:val="24"/>
              </w:rPr>
              <w:t>2.59%</w:t>
            </w:r>
          </w:p>
        </w:tc>
        <w:tc>
          <w:tcPr>
            <w:tcW w:w="0" w:type="auto"/>
            <w:vAlign w:val="center"/>
          </w:tcPr>
          <w:p w:rsidR="00F90440" w:rsidRDefault="00A22D18">
            <w:pPr>
              <w:jc w:val="center"/>
            </w:pPr>
            <w:r>
              <w:rPr>
                <w:color w:val="000000"/>
                <w:sz w:val="24"/>
              </w:rPr>
              <w:t>0.15%</w:t>
            </w:r>
          </w:p>
        </w:tc>
        <w:tc>
          <w:tcPr>
            <w:tcW w:w="0" w:type="auto"/>
            <w:vAlign w:val="center"/>
          </w:tcPr>
          <w:p w:rsidR="00F90440" w:rsidRDefault="00A22D18">
            <w:pPr>
              <w:jc w:val="center"/>
            </w:pPr>
            <w:r>
              <w:rPr>
                <w:color w:val="000000"/>
                <w:sz w:val="24"/>
              </w:rPr>
              <w:t>-3.67%</w:t>
            </w:r>
          </w:p>
        </w:tc>
        <w:tc>
          <w:tcPr>
            <w:tcW w:w="0" w:type="auto"/>
            <w:vAlign w:val="center"/>
          </w:tcPr>
          <w:p w:rsidR="00F90440" w:rsidRDefault="00A22D18">
            <w:pPr>
              <w:jc w:val="center"/>
            </w:pPr>
            <w:r>
              <w:rPr>
                <w:color w:val="000000"/>
                <w:sz w:val="24"/>
              </w:rPr>
              <w:t>0.25%</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易方达增强回报债券B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F90440">
        <w:tc>
          <w:tcPr>
            <w:tcW w:w="0" w:type="auto"/>
            <w:vAlign w:val="center"/>
          </w:tcPr>
          <w:p w:rsidR="00F90440" w:rsidRDefault="00A22D18">
            <w:pPr>
              <w:jc w:val="left"/>
            </w:pPr>
            <w:r>
              <w:rPr>
                <w:color w:val="000000"/>
                <w:sz w:val="24"/>
              </w:rPr>
              <w:t>过去三个月</w:t>
            </w:r>
          </w:p>
        </w:tc>
        <w:tc>
          <w:tcPr>
            <w:tcW w:w="0" w:type="auto"/>
            <w:vAlign w:val="center"/>
          </w:tcPr>
          <w:p w:rsidR="00F90440" w:rsidRDefault="00A22D18">
            <w:pPr>
              <w:jc w:val="center"/>
            </w:pPr>
            <w:r>
              <w:rPr>
                <w:color w:val="000000"/>
                <w:sz w:val="24"/>
              </w:rPr>
              <w:t>-1.17%</w:t>
            </w:r>
          </w:p>
        </w:tc>
        <w:tc>
          <w:tcPr>
            <w:tcW w:w="0" w:type="auto"/>
            <w:vAlign w:val="center"/>
          </w:tcPr>
          <w:p w:rsidR="00F90440" w:rsidRDefault="00A22D18">
            <w:pPr>
              <w:jc w:val="center"/>
            </w:pPr>
            <w:r>
              <w:rPr>
                <w:color w:val="000000"/>
                <w:sz w:val="24"/>
              </w:rPr>
              <w:t>0.40%</w:t>
            </w:r>
          </w:p>
        </w:tc>
        <w:tc>
          <w:tcPr>
            <w:tcW w:w="0" w:type="auto"/>
            <w:vAlign w:val="center"/>
          </w:tcPr>
          <w:p w:rsidR="00F90440" w:rsidRDefault="00A22D18">
            <w:pPr>
              <w:jc w:val="center"/>
            </w:pPr>
            <w:r>
              <w:rPr>
                <w:color w:val="000000"/>
                <w:sz w:val="24"/>
              </w:rPr>
              <w:t>2.59%</w:t>
            </w:r>
          </w:p>
        </w:tc>
        <w:tc>
          <w:tcPr>
            <w:tcW w:w="0" w:type="auto"/>
            <w:vAlign w:val="center"/>
          </w:tcPr>
          <w:p w:rsidR="00F90440" w:rsidRDefault="00A22D18">
            <w:pPr>
              <w:jc w:val="center"/>
            </w:pPr>
            <w:r>
              <w:rPr>
                <w:color w:val="000000"/>
                <w:sz w:val="24"/>
              </w:rPr>
              <w:t>0.15%</w:t>
            </w:r>
          </w:p>
        </w:tc>
        <w:tc>
          <w:tcPr>
            <w:tcW w:w="0" w:type="auto"/>
            <w:vAlign w:val="center"/>
          </w:tcPr>
          <w:p w:rsidR="00F90440" w:rsidRDefault="00A22D18">
            <w:pPr>
              <w:jc w:val="center"/>
            </w:pPr>
            <w:r>
              <w:rPr>
                <w:color w:val="000000"/>
                <w:sz w:val="24"/>
              </w:rPr>
              <w:t>-3.76%</w:t>
            </w:r>
          </w:p>
        </w:tc>
        <w:tc>
          <w:tcPr>
            <w:tcW w:w="0" w:type="auto"/>
            <w:vAlign w:val="center"/>
          </w:tcPr>
          <w:p w:rsidR="00F90440" w:rsidRDefault="00A22D18">
            <w:pPr>
              <w:jc w:val="center"/>
            </w:pPr>
            <w:r>
              <w:rPr>
                <w:color w:val="000000"/>
                <w:sz w:val="24"/>
              </w:rPr>
              <w:t>0.25%</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易方达增强回报债券型证券投资基金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2008</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19</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易方达增强回报债券</w:t>
      </w:r>
      <w:r w:rsidRPr="00611CB2">
        <w:rPr>
          <w:color w:val="000000"/>
          <w:sz w:val="24"/>
        </w:rPr>
        <w:t>A</w:t>
      </w:r>
    </w:p>
    <w:p w:rsidR="00F016DD" w:rsidRPr="0078105B" w:rsidRDefault="00A22D18"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易方达增强回报债券</w:t>
      </w:r>
      <w:r w:rsidRPr="00611CB2">
        <w:rPr>
          <w:color w:val="000000"/>
          <w:sz w:val="24"/>
        </w:rPr>
        <w:t>B</w:t>
      </w:r>
    </w:p>
    <w:p w:rsidR="00F016DD" w:rsidRPr="0078105B" w:rsidRDefault="00A22D18"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170.94%</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157.52%</w:t>
      </w:r>
      <w:r w:rsidRPr="00DF18FE">
        <w:rPr>
          <w:color w:val="000000"/>
          <w:sz w:val="24"/>
        </w:rPr>
        <w:t>，同期业绩比较基准收益率为</w:t>
      </w:r>
      <w:r w:rsidRPr="00DF18FE">
        <w:rPr>
          <w:color w:val="000000"/>
          <w:sz w:val="24"/>
        </w:rPr>
        <w:t>15.64%</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F90440">
        <w:tc>
          <w:tcPr>
            <w:tcW w:w="0" w:type="auto"/>
            <w:vAlign w:val="center"/>
          </w:tcPr>
          <w:p w:rsidR="00F90440" w:rsidRDefault="00A22D18">
            <w:pPr>
              <w:jc w:val="center"/>
            </w:pPr>
            <w:r>
              <w:rPr>
                <w:color w:val="000000"/>
                <w:sz w:val="24"/>
              </w:rPr>
              <w:t>王晓晨</w:t>
            </w:r>
          </w:p>
        </w:tc>
        <w:tc>
          <w:tcPr>
            <w:tcW w:w="0" w:type="auto"/>
            <w:vAlign w:val="center"/>
          </w:tcPr>
          <w:p w:rsidR="00F90440" w:rsidRDefault="00A22D18">
            <w:pPr>
              <w:jc w:val="left"/>
            </w:pPr>
            <w:r>
              <w:rPr>
                <w:color w:val="000000"/>
                <w:sz w:val="24"/>
              </w:rPr>
              <w:t>本基金的基金经理、易方达投资级信用债债券型证券投资基金的基金经理、易方达中债新综合债券指数发起式证券投资基金（</w:t>
            </w:r>
            <w:r>
              <w:rPr>
                <w:color w:val="000000"/>
                <w:sz w:val="24"/>
              </w:rPr>
              <w:t>LOF</w:t>
            </w:r>
            <w:r>
              <w:rPr>
                <w:color w:val="000000"/>
                <w:sz w:val="24"/>
              </w:rPr>
              <w:t>）的基金经理、易方达双债增强债券型证券投资基金的基金经理、易方达恒安定期开放债券型发起式证券投资基金的基金经理、易方达富财纯债债券型证券投资基金的基金经理、易方达安瑞短债债券型证券投资基金的基金经理、易方达中债</w:t>
            </w:r>
            <w:r>
              <w:rPr>
                <w:color w:val="000000"/>
                <w:sz w:val="24"/>
              </w:rPr>
              <w:t>1-3</w:t>
            </w:r>
            <w:r>
              <w:rPr>
                <w:color w:val="000000"/>
                <w:sz w:val="24"/>
              </w:rPr>
              <w:t>年国开行债券指数证券投资基金的基金经理、易方达中债</w:t>
            </w:r>
            <w:r>
              <w:rPr>
                <w:color w:val="000000"/>
                <w:sz w:val="24"/>
              </w:rPr>
              <w:t>3-5</w:t>
            </w:r>
            <w:r>
              <w:rPr>
                <w:color w:val="000000"/>
                <w:sz w:val="24"/>
              </w:rPr>
              <w:t>年国开行债券指数证券投资基金的基金经理、易方达恒兴</w:t>
            </w:r>
            <w:r>
              <w:rPr>
                <w:color w:val="000000"/>
                <w:sz w:val="24"/>
              </w:rPr>
              <w:t>3</w:t>
            </w:r>
            <w:r>
              <w:rPr>
                <w:color w:val="000000"/>
                <w:sz w:val="24"/>
              </w:rPr>
              <w:t>个月定期开放债券型发起式证券投资基金的基金经理、易方达中债</w:t>
            </w:r>
            <w:r>
              <w:rPr>
                <w:color w:val="000000"/>
                <w:sz w:val="24"/>
              </w:rPr>
              <w:t>1-3</w:t>
            </w:r>
            <w:r>
              <w:rPr>
                <w:color w:val="000000"/>
                <w:sz w:val="24"/>
              </w:rPr>
              <w:t>年政策性</w:t>
            </w:r>
            <w:r>
              <w:rPr>
                <w:color w:val="000000"/>
                <w:sz w:val="24"/>
              </w:rPr>
              <w:t>金融债指数证券投资基金的基金经理、易方达中债</w:t>
            </w:r>
            <w:r>
              <w:rPr>
                <w:color w:val="000000"/>
                <w:sz w:val="24"/>
              </w:rPr>
              <w:t>3-5</w:t>
            </w:r>
            <w:r>
              <w:rPr>
                <w:color w:val="000000"/>
                <w:sz w:val="24"/>
              </w:rPr>
              <w:t>年政策性金融债指数证券投资基金的基金经理、固定收益投资部副总经理、易方达资产管理（香港）有限公司基金经理、就证券提供意见负责人员（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F90440" w:rsidRDefault="00A22D18">
            <w:pPr>
              <w:jc w:val="center"/>
            </w:pPr>
            <w:r>
              <w:rPr>
                <w:color w:val="000000"/>
                <w:sz w:val="24"/>
              </w:rPr>
              <w:t>2011-08-15</w:t>
            </w:r>
          </w:p>
        </w:tc>
        <w:tc>
          <w:tcPr>
            <w:tcW w:w="0" w:type="auto"/>
            <w:vAlign w:val="center"/>
          </w:tcPr>
          <w:p w:rsidR="00F90440" w:rsidRDefault="00A22D18">
            <w:pPr>
              <w:jc w:val="center"/>
            </w:pPr>
            <w:r>
              <w:rPr>
                <w:color w:val="000000"/>
                <w:sz w:val="24"/>
              </w:rPr>
              <w:t>-</w:t>
            </w:r>
          </w:p>
        </w:tc>
        <w:tc>
          <w:tcPr>
            <w:tcW w:w="0" w:type="auto"/>
            <w:vAlign w:val="center"/>
          </w:tcPr>
          <w:p w:rsidR="00F90440" w:rsidRDefault="00A22D18">
            <w:pPr>
              <w:jc w:val="center"/>
            </w:pPr>
            <w:r>
              <w:rPr>
                <w:color w:val="000000"/>
                <w:sz w:val="24"/>
              </w:rPr>
              <w:t>17</w:t>
            </w:r>
            <w:r>
              <w:rPr>
                <w:color w:val="000000"/>
                <w:sz w:val="24"/>
              </w:rPr>
              <w:t>年</w:t>
            </w:r>
          </w:p>
        </w:tc>
        <w:tc>
          <w:tcPr>
            <w:tcW w:w="0" w:type="auto"/>
            <w:vAlign w:val="center"/>
          </w:tcPr>
          <w:p w:rsidR="00F90440" w:rsidRDefault="00A22D18">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w:t>
            </w:r>
            <w:r>
              <w:rPr>
                <w:color w:val="000000"/>
                <w:sz w:val="24"/>
              </w:rPr>
              <w:t>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年期国债指数证券投资基金基金经理、易方达中债</w:t>
            </w:r>
            <w:r>
              <w:rPr>
                <w:color w:val="000000"/>
                <w:sz w:val="24"/>
              </w:rPr>
              <w:t>7-10</w:t>
            </w:r>
            <w:r>
              <w:rPr>
                <w:color w:val="000000"/>
                <w:sz w:val="24"/>
              </w:rPr>
              <w:t>年期国开行债券指数证券投资基金基金经理。</w:t>
            </w:r>
          </w:p>
        </w:tc>
      </w:tr>
      <w:tr w:rsidR="00F90440">
        <w:tc>
          <w:tcPr>
            <w:tcW w:w="0" w:type="auto"/>
            <w:vAlign w:val="center"/>
          </w:tcPr>
          <w:p w:rsidR="00F90440" w:rsidRDefault="00A22D18">
            <w:pPr>
              <w:jc w:val="center"/>
            </w:pPr>
            <w:r>
              <w:rPr>
                <w:color w:val="000000"/>
                <w:sz w:val="24"/>
              </w:rPr>
              <w:t>张雅君</w:t>
            </w:r>
          </w:p>
        </w:tc>
        <w:tc>
          <w:tcPr>
            <w:tcW w:w="0" w:type="auto"/>
            <w:vAlign w:val="center"/>
          </w:tcPr>
          <w:p w:rsidR="00F90440" w:rsidRDefault="00A22D18">
            <w:pPr>
              <w:jc w:val="left"/>
            </w:pPr>
            <w:r>
              <w:rPr>
                <w:color w:val="000000"/>
                <w:sz w:val="24"/>
              </w:rPr>
              <w:t>本基金的基金经理、易方达纯债债券型证券投资基金的基金经理、易方达中债</w:t>
            </w:r>
            <w:r>
              <w:rPr>
                <w:color w:val="000000"/>
                <w:sz w:val="24"/>
              </w:rPr>
              <w:t>3-5</w:t>
            </w:r>
            <w:r>
              <w:rPr>
                <w:color w:val="000000"/>
                <w:sz w:val="24"/>
              </w:rPr>
              <w:t>年期国债指数证券投资基金的基金经理（自</w:t>
            </w:r>
            <w:r>
              <w:rPr>
                <w:color w:val="000000"/>
                <w:sz w:val="24"/>
              </w:rPr>
              <w:t>2015</w:t>
            </w:r>
            <w:r>
              <w:rPr>
                <w:color w:val="000000"/>
                <w:sz w:val="24"/>
              </w:rPr>
              <w:t>年</w:t>
            </w:r>
            <w:r>
              <w:rPr>
                <w:color w:val="000000"/>
                <w:sz w:val="24"/>
              </w:rPr>
              <w:t>07</w:t>
            </w:r>
            <w:r>
              <w:rPr>
                <w:color w:val="000000"/>
                <w:sz w:val="24"/>
              </w:rPr>
              <w:t>月</w:t>
            </w:r>
            <w:r>
              <w:rPr>
                <w:color w:val="000000"/>
                <w:sz w:val="24"/>
              </w:rPr>
              <w:t>08</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09</w:t>
            </w:r>
            <w:r>
              <w:rPr>
                <w:color w:val="000000"/>
                <w:sz w:val="24"/>
              </w:rPr>
              <w:t>日）、易方达中债</w:t>
            </w:r>
            <w:r>
              <w:rPr>
                <w:color w:val="000000"/>
                <w:sz w:val="24"/>
              </w:rPr>
              <w:t>7-10</w:t>
            </w:r>
            <w:r>
              <w:rPr>
                <w:color w:val="000000"/>
                <w:sz w:val="24"/>
              </w:rPr>
              <w:t>年期国开行债券指数证券投资基金的基金经理（自</w:t>
            </w:r>
            <w:r>
              <w:rPr>
                <w:color w:val="000000"/>
                <w:sz w:val="24"/>
              </w:rPr>
              <w:t>2016</w:t>
            </w:r>
            <w:r>
              <w:rPr>
                <w:color w:val="000000"/>
                <w:sz w:val="24"/>
              </w:rPr>
              <w:t>年</w:t>
            </w:r>
            <w:r>
              <w:rPr>
                <w:color w:val="000000"/>
                <w:sz w:val="24"/>
              </w:rPr>
              <w:t>09</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09</w:t>
            </w:r>
            <w:r>
              <w:rPr>
                <w:color w:val="000000"/>
                <w:sz w:val="24"/>
              </w:rPr>
              <w:t>日）、易方达裕丰回报债券型证券投资基金的基金经理、易方达富财纯债债券型证券投资基金的基金经理、易方达恒兴</w:t>
            </w:r>
            <w:r>
              <w:rPr>
                <w:color w:val="000000"/>
                <w:sz w:val="24"/>
              </w:rPr>
              <w:t>3</w:t>
            </w:r>
            <w:r>
              <w:rPr>
                <w:color w:val="000000"/>
                <w:sz w:val="24"/>
              </w:rPr>
              <w:t>个月定期开放债券型发起式证券投资基金的基金经理、易方达裕富债券型证券投资基金的基金经理、易方达安心回报债券型证券投资基金的基金经理助理、易</w:t>
            </w:r>
            <w:r>
              <w:rPr>
                <w:color w:val="000000"/>
                <w:sz w:val="24"/>
              </w:rPr>
              <w:t>方达鑫转增利混合型证券投资基金的基金经理助理、易方达鑫转添利混合型证券投资基金的基金经理助理、易方达鑫转招利混合型证券投资基金的基金经理助理、易方达丰华债券型证券投资基金的基金经理助理、易方达恒久添利</w:t>
            </w:r>
            <w:r>
              <w:rPr>
                <w:color w:val="000000"/>
                <w:sz w:val="24"/>
              </w:rPr>
              <w:t>1</w:t>
            </w:r>
            <w:r>
              <w:rPr>
                <w:color w:val="000000"/>
                <w:sz w:val="24"/>
              </w:rPr>
              <w:t>年定期开放债券型证券投资基金的基金经理助理、易方达丰和债券型证券投资基金的基金经理助理、易方达安盈回报混合型证券投资基金的基金经理助理、混合资产投资部总经理助理</w:t>
            </w:r>
          </w:p>
        </w:tc>
        <w:tc>
          <w:tcPr>
            <w:tcW w:w="0" w:type="auto"/>
            <w:vAlign w:val="center"/>
          </w:tcPr>
          <w:p w:rsidR="00F90440" w:rsidRDefault="00A22D18">
            <w:pPr>
              <w:jc w:val="center"/>
            </w:pPr>
            <w:r>
              <w:rPr>
                <w:color w:val="000000"/>
                <w:sz w:val="24"/>
              </w:rPr>
              <w:t>2014-07-19</w:t>
            </w:r>
          </w:p>
        </w:tc>
        <w:tc>
          <w:tcPr>
            <w:tcW w:w="0" w:type="auto"/>
            <w:vAlign w:val="center"/>
          </w:tcPr>
          <w:p w:rsidR="00F90440" w:rsidRDefault="00A22D18">
            <w:pPr>
              <w:jc w:val="center"/>
            </w:pPr>
            <w:r>
              <w:rPr>
                <w:color w:val="000000"/>
                <w:sz w:val="24"/>
              </w:rPr>
              <w:t>-</w:t>
            </w:r>
          </w:p>
        </w:tc>
        <w:tc>
          <w:tcPr>
            <w:tcW w:w="0" w:type="auto"/>
            <w:vAlign w:val="center"/>
          </w:tcPr>
          <w:p w:rsidR="00F90440" w:rsidRDefault="00A22D18">
            <w:pPr>
              <w:jc w:val="center"/>
            </w:pPr>
            <w:r>
              <w:rPr>
                <w:color w:val="000000"/>
                <w:sz w:val="24"/>
              </w:rPr>
              <w:t>11</w:t>
            </w:r>
            <w:r>
              <w:rPr>
                <w:color w:val="000000"/>
                <w:sz w:val="24"/>
              </w:rPr>
              <w:t>年</w:t>
            </w:r>
          </w:p>
        </w:tc>
        <w:tc>
          <w:tcPr>
            <w:tcW w:w="0" w:type="auto"/>
            <w:vAlign w:val="center"/>
          </w:tcPr>
          <w:p w:rsidR="00F90440" w:rsidRDefault="00A22D18">
            <w:r>
              <w:rPr>
                <w:color w:val="000000"/>
                <w:sz w:val="24"/>
              </w:rPr>
              <w:t>硕士研究生，具有基金从业资格。曾任海通证券股份有限公司项目经理，工银瑞信基金管理有限公司债券交易员，易方达基金管理</w:t>
            </w:r>
            <w:r>
              <w:rPr>
                <w:color w:val="000000"/>
                <w:sz w:val="24"/>
              </w:rPr>
              <w:t>有限公司债券交易员、固定收益研究员、固定收益基金投资部总经理助理、易方达裕祥回报债券型证券投资基金基金经理、易方达恒益定期开放债券型发起式证券投资基金基金经理、易方达富惠纯债债券型证券投资基金基金经理、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w:t>
            </w:r>
            <w:r>
              <w:rPr>
                <w:color w:val="000000"/>
                <w:sz w:val="24"/>
              </w:rPr>
              <w:t>心回馈混合型证券投资基金基金经理助理、易方达裕如灵活配置混合型证券投资基金基金经理助理。</w:t>
            </w:r>
          </w:p>
        </w:tc>
      </w:tr>
    </w:tbl>
    <w:p w:rsidR="00F90440" w:rsidRDefault="00A22D18">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90440" w:rsidRDefault="00A22D18">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日，在其休假期间，本基金由同为基金经理的张雅君继续进行管理。该事项已于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日在《中国证券报》、易方达基金管理有限公司网站（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F90440" w:rsidRDefault="00A22D18">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F90440" w:rsidRDefault="00A22D18">
      <w:pPr>
        <w:spacing w:line="360" w:lineRule="auto"/>
        <w:ind w:firstLineChars="200" w:firstLine="480"/>
        <w:rPr>
          <w:color w:val="000000"/>
          <w:sz w:val="24"/>
        </w:rPr>
      </w:pPr>
      <w:r>
        <w:rPr>
          <w:color w:val="000000"/>
          <w:sz w:val="24"/>
        </w:rPr>
        <w:t>2020</w:t>
      </w:r>
      <w:r>
        <w:rPr>
          <w:color w:val="000000"/>
          <w:sz w:val="24"/>
        </w:rPr>
        <w:t>年一季度，新冠病毒疫情爆发并迅速蔓延至全球，防控疫情对所有国家来说都是异常严峻的挑战。疫情的爆发在短期内不仅对整个社会的经济活动和居民的生产生活方式产生巨大的冲击，疫情蔓延所引发的一系列社会动荡甚至将对国际政治格局产生深远的影响。国内货币政策在一季度延续了去年末加大边际宽松的基调。中国人民银行在</w:t>
      </w:r>
      <w:r>
        <w:rPr>
          <w:color w:val="000000"/>
          <w:sz w:val="24"/>
        </w:rPr>
        <w:t>1</w:t>
      </w:r>
      <w:r>
        <w:rPr>
          <w:color w:val="000000"/>
          <w:sz w:val="24"/>
        </w:rPr>
        <w:t>月宣布降准并投放</w:t>
      </w:r>
      <w:r>
        <w:rPr>
          <w:color w:val="000000"/>
          <w:sz w:val="24"/>
        </w:rPr>
        <w:t>MLF</w:t>
      </w:r>
      <w:r>
        <w:rPr>
          <w:color w:val="000000"/>
          <w:sz w:val="24"/>
        </w:rPr>
        <w:t>（中期借贷便利）</w:t>
      </w:r>
      <w:r>
        <w:rPr>
          <w:color w:val="000000"/>
          <w:sz w:val="24"/>
        </w:rPr>
        <w:t>3000</w:t>
      </w:r>
      <w:r>
        <w:rPr>
          <w:color w:val="000000"/>
          <w:sz w:val="24"/>
        </w:rPr>
        <w:t>亿；</w:t>
      </w:r>
      <w:r>
        <w:rPr>
          <w:color w:val="000000"/>
          <w:sz w:val="24"/>
        </w:rPr>
        <w:t>2</w:t>
      </w:r>
      <w:r>
        <w:rPr>
          <w:color w:val="000000"/>
          <w:sz w:val="24"/>
        </w:rPr>
        <w:t>月，随着疫情爆发，货币政策进入</w:t>
      </w:r>
      <w:r>
        <w:rPr>
          <w:color w:val="000000"/>
          <w:sz w:val="24"/>
        </w:rPr>
        <w:t>“</w:t>
      </w:r>
      <w:r>
        <w:rPr>
          <w:color w:val="000000"/>
          <w:sz w:val="24"/>
        </w:rPr>
        <w:t>危机模式</w:t>
      </w:r>
      <w:r>
        <w:rPr>
          <w:color w:val="000000"/>
          <w:sz w:val="24"/>
        </w:rPr>
        <w:t>”</w:t>
      </w:r>
      <w:r>
        <w:rPr>
          <w:color w:val="000000"/>
          <w:sz w:val="24"/>
        </w:rPr>
        <w:t>，人民银行在春节后立即下调公开市场操作利率，月中再度投放</w:t>
      </w:r>
      <w:r>
        <w:rPr>
          <w:color w:val="000000"/>
          <w:sz w:val="24"/>
        </w:rPr>
        <w:t>MLF2000</w:t>
      </w:r>
      <w:r>
        <w:rPr>
          <w:color w:val="000000"/>
          <w:sz w:val="24"/>
        </w:rPr>
        <w:t>亿，随后分别下调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w:t>
      </w:r>
      <w:r>
        <w:rPr>
          <w:color w:val="000000"/>
          <w:sz w:val="24"/>
        </w:rPr>
        <w:t>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月起开展存量浮动利率个人贷款定价基准转换工作，进一步推动全社会融资成本的下行；</w:t>
      </w:r>
      <w:r>
        <w:rPr>
          <w:color w:val="000000"/>
          <w:sz w:val="24"/>
        </w:rPr>
        <w:t>3</w:t>
      </w:r>
      <w:r>
        <w:rPr>
          <w:color w:val="000000"/>
          <w:sz w:val="24"/>
        </w:rPr>
        <w:t>月，海外疫情爆发，美联储和欧洲各国央行均开启危机应对模式，通过大幅降息和超预期的量化宽松来稳定金融市场，而我国由于疫情已得到初步控制，中国人民银行坚持以精准滴灌和灵活适度的操作来支持疫情防控、复工复产和实体经济发展，包括实施定向降准和再次大幅下调公开市场</w:t>
      </w:r>
      <w:r>
        <w:rPr>
          <w:color w:val="000000"/>
          <w:sz w:val="24"/>
        </w:rPr>
        <w:t>7</w:t>
      </w:r>
      <w:r>
        <w:rPr>
          <w:color w:val="000000"/>
          <w:sz w:val="24"/>
        </w:rPr>
        <w:t>天逆回购利率</w:t>
      </w:r>
      <w:r>
        <w:rPr>
          <w:color w:val="000000"/>
          <w:sz w:val="24"/>
        </w:rPr>
        <w:t>20BP</w:t>
      </w:r>
      <w:r>
        <w:rPr>
          <w:color w:val="000000"/>
          <w:sz w:val="24"/>
        </w:rPr>
        <w:t>。</w:t>
      </w:r>
    </w:p>
    <w:p w:rsidR="00F90440" w:rsidRDefault="00A22D18">
      <w:pPr>
        <w:spacing w:line="360" w:lineRule="auto"/>
        <w:ind w:firstLineChars="200" w:firstLine="480"/>
        <w:rPr>
          <w:color w:val="000000"/>
          <w:sz w:val="24"/>
        </w:rPr>
      </w:pPr>
      <w:r>
        <w:rPr>
          <w:color w:val="000000"/>
          <w:sz w:val="24"/>
        </w:rPr>
        <w:t>债券市场方面，</w:t>
      </w:r>
      <w:r>
        <w:rPr>
          <w:color w:val="000000"/>
          <w:sz w:val="24"/>
        </w:rPr>
        <w:t>1</w:t>
      </w:r>
      <w:r>
        <w:rPr>
          <w:color w:val="000000"/>
          <w:sz w:val="24"/>
        </w:rPr>
        <w:t>月受新型肺炎疫情、美伊局势紧张、资金面宽松等影响，债券市场收益率整体下行。</w:t>
      </w:r>
      <w:r>
        <w:rPr>
          <w:color w:val="000000"/>
          <w:sz w:val="24"/>
        </w:rPr>
        <w:t>2</w:t>
      </w:r>
      <w:r>
        <w:rPr>
          <w:color w:val="000000"/>
          <w:sz w:val="24"/>
        </w:rPr>
        <w:t>月上旬受国内疫情、央行宽松等</w:t>
      </w:r>
      <w:r>
        <w:rPr>
          <w:color w:val="000000"/>
          <w:sz w:val="24"/>
        </w:rPr>
        <w:t>因素影响，债市收益率大幅下行，随后步入震荡，</w:t>
      </w:r>
      <w:r>
        <w:rPr>
          <w:color w:val="000000"/>
          <w:sz w:val="24"/>
        </w:rPr>
        <w:t>2</w:t>
      </w:r>
      <w:r>
        <w:rPr>
          <w:color w:val="000000"/>
          <w:sz w:val="24"/>
        </w:rPr>
        <w:t>月末由于海外疫情发酵、美债利率创新低，债市收益率再次走低。</w:t>
      </w:r>
      <w:r>
        <w:rPr>
          <w:color w:val="000000"/>
          <w:sz w:val="24"/>
        </w:rPr>
        <w:t>3</w:t>
      </w:r>
      <w:r>
        <w:rPr>
          <w:color w:val="000000"/>
          <w:sz w:val="24"/>
        </w:rPr>
        <w:t>月上旬受海外疫情蔓延、美联储意外降息、资金面宽松等因素影响，债市收益率大幅下行，中旬在石油价格暴跌、海外风险资产下跌的背景下，美元流动性异常紧张，外资抛售资产导致债券收益率回调，下旬海外疫情继续发酵、全球央行降息、美联储无限量量化宽松货币政策下美元流动性缓和，国内降息开启，市场再次转向避险情绪，债券收益率再次下行。</w:t>
      </w:r>
    </w:p>
    <w:p w:rsidR="00F90440" w:rsidRDefault="00A22D18">
      <w:pPr>
        <w:spacing w:line="360" w:lineRule="auto"/>
        <w:ind w:firstLineChars="200" w:firstLine="480"/>
        <w:rPr>
          <w:color w:val="000000"/>
          <w:sz w:val="24"/>
        </w:rPr>
      </w:pPr>
      <w:r>
        <w:rPr>
          <w:color w:val="000000"/>
          <w:sz w:val="24"/>
        </w:rPr>
        <w:t>股票市场方面，一季度整体表现较差，不过以创业板为代表的科技板块明显表现好于主板。从整个季</w:t>
      </w:r>
      <w:r>
        <w:rPr>
          <w:color w:val="000000"/>
          <w:sz w:val="24"/>
        </w:rPr>
        <w:t>度来看，创业板指数领涨</w:t>
      </w:r>
      <w:r>
        <w:rPr>
          <w:color w:val="000000"/>
          <w:sz w:val="24"/>
        </w:rPr>
        <w:t>4.10%</w:t>
      </w:r>
      <w:r>
        <w:rPr>
          <w:color w:val="000000"/>
          <w:sz w:val="24"/>
        </w:rPr>
        <w:t>；上证</w:t>
      </w:r>
      <w:r>
        <w:rPr>
          <w:color w:val="000000"/>
          <w:sz w:val="24"/>
        </w:rPr>
        <w:t>50</w:t>
      </w:r>
      <w:r>
        <w:rPr>
          <w:color w:val="000000"/>
          <w:sz w:val="24"/>
        </w:rPr>
        <w:t>指数领跌</w:t>
      </w:r>
      <w:r>
        <w:rPr>
          <w:color w:val="000000"/>
          <w:sz w:val="24"/>
        </w:rPr>
        <w:t>12.20%</w:t>
      </w:r>
      <w:r>
        <w:rPr>
          <w:color w:val="000000"/>
          <w:sz w:val="24"/>
        </w:rPr>
        <w:t>，沪深</w:t>
      </w:r>
      <w:r>
        <w:rPr>
          <w:color w:val="000000"/>
          <w:sz w:val="24"/>
        </w:rPr>
        <w:t>300</w:t>
      </w:r>
      <w:r>
        <w:rPr>
          <w:color w:val="000000"/>
          <w:sz w:val="24"/>
        </w:rPr>
        <w:t>指数下跌</w:t>
      </w:r>
      <w:r>
        <w:rPr>
          <w:color w:val="000000"/>
          <w:sz w:val="24"/>
        </w:rPr>
        <w:t>10.02%</w:t>
      </w:r>
      <w:r>
        <w:rPr>
          <w:color w:val="000000"/>
          <w:sz w:val="24"/>
        </w:rPr>
        <w:t>，上证综指下跌</w:t>
      </w:r>
      <w:r>
        <w:rPr>
          <w:color w:val="000000"/>
          <w:sz w:val="24"/>
        </w:rPr>
        <w:t>9.83%</w:t>
      </w:r>
      <w:r>
        <w:rPr>
          <w:color w:val="000000"/>
          <w:sz w:val="24"/>
        </w:rPr>
        <w:t>，中小板指下跌</w:t>
      </w:r>
      <w:r>
        <w:rPr>
          <w:color w:val="000000"/>
          <w:sz w:val="24"/>
        </w:rPr>
        <w:t>1.94%</w:t>
      </w:r>
      <w:r>
        <w:rPr>
          <w:color w:val="000000"/>
          <w:sz w:val="24"/>
        </w:rPr>
        <w:t>。</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报告期内本基金维持了较高的杠杆水平，债券仓位方面主要以中短期限的中高等级信用债为主</w:t>
      </w:r>
      <w:r w:rsidRPr="00DF18FE">
        <w:rPr>
          <w:color w:val="000000"/>
          <w:sz w:val="24"/>
        </w:rPr>
        <w:t>,</w:t>
      </w:r>
      <w:r w:rsidRPr="00DF18FE">
        <w:rPr>
          <w:color w:val="000000"/>
          <w:sz w:val="24"/>
        </w:rPr>
        <w:t>同时增加了利率债的配置，提高了组合的久期，积极根据市场情况进行利率债波段操作；股票仓位方面，保留的股票仓位旨在承受一定波动的前提下获得长期超过债券的回报；可转债仓位方面，主要持有流动性较好的大盘转债。从各类资产的贡献度来看，债券资产录得较高正贡献，权益部分对组合产生较大负贡献。</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1.281</w:t>
      </w:r>
      <w:r w:rsidRPr="00DF18FE">
        <w:rPr>
          <w:color w:val="000000"/>
          <w:sz w:val="24"/>
        </w:rPr>
        <w:t>元，本报告期份额净值增长率为</w:t>
      </w:r>
      <w:r w:rsidRPr="00DF18FE">
        <w:rPr>
          <w:color w:val="000000"/>
          <w:sz w:val="24"/>
        </w:rPr>
        <w:t>-1.08%</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1.271</w:t>
      </w:r>
      <w:r w:rsidRPr="00DF18FE">
        <w:rPr>
          <w:color w:val="000000"/>
          <w:sz w:val="24"/>
        </w:rPr>
        <w:t>元，本报告期份额净值增长率为</w:t>
      </w:r>
      <w:r w:rsidRPr="00DF18FE">
        <w:rPr>
          <w:color w:val="000000"/>
          <w:sz w:val="24"/>
        </w:rPr>
        <w:t>-1.17%</w:t>
      </w:r>
      <w:r w:rsidRPr="00DF18FE">
        <w:rPr>
          <w:color w:val="000000"/>
          <w:sz w:val="24"/>
        </w:rPr>
        <w:t>；同期业绩比较基准收益率为</w:t>
      </w:r>
      <w:r w:rsidRPr="00DF18FE">
        <w:rPr>
          <w:color w:val="000000"/>
          <w:sz w:val="24"/>
        </w:rPr>
        <w:t>2.59%</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1,024,037,387.31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10.14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1,024,037,387.31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10.14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8,782,502,843.16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86.94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8,702,138,843.16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86.14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80,364,000.00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0.80</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118,056,701.66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1.17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177,297,935.52</w:t>
            </w:r>
          </w:p>
        </w:tc>
        <w:tc>
          <w:tcPr>
            <w:tcW w:w="1843" w:type="dxa"/>
            <w:vAlign w:val="center"/>
          </w:tcPr>
          <w:p w:rsidR="00F016DD" w:rsidRPr="00FA472B" w:rsidRDefault="00F016DD" w:rsidP="00F4518C">
            <w:pPr>
              <w:jc w:val="right"/>
              <w:rPr>
                <w:color w:val="000000"/>
                <w:sz w:val="24"/>
              </w:rPr>
            </w:pPr>
            <w:r w:rsidRPr="00FA472B">
              <w:rPr>
                <w:color w:val="000000"/>
                <w:sz w:val="24"/>
              </w:rPr>
              <w:t>1.76</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10,101,894,867.65</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139,064,561.37</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1.90</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421,407,693.55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5.77</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18,400,000.00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0.25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2,765,000.00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0.04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166,135,999.99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2.27</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276,258,787.40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3.78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5,345.00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0.00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1,024,037,387.31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14.02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F90440">
        <w:tc>
          <w:tcPr>
            <w:tcW w:w="0" w:type="auto"/>
            <w:vAlign w:val="center"/>
          </w:tcPr>
          <w:p w:rsidR="00F90440" w:rsidRDefault="00A22D18">
            <w:pPr>
              <w:jc w:val="center"/>
            </w:pPr>
            <w:r>
              <w:rPr>
                <w:color w:val="000000"/>
                <w:sz w:val="24"/>
              </w:rPr>
              <w:t>1</w:t>
            </w:r>
          </w:p>
        </w:tc>
        <w:tc>
          <w:tcPr>
            <w:tcW w:w="0" w:type="auto"/>
            <w:vAlign w:val="center"/>
          </w:tcPr>
          <w:p w:rsidR="00F90440" w:rsidRDefault="00A22D18">
            <w:pPr>
              <w:jc w:val="center"/>
            </w:pPr>
            <w:r>
              <w:rPr>
                <w:color w:val="000000"/>
                <w:sz w:val="24"/>
              </w:rPr>
              <w:t>600690</w:t>
            </w:r>
          </w:p>
        </w:tc>
        <w:tc>
          <w:tcPr>
            <w:tcW w:w="0" w:type="auto"/>
            <w:vAlign w:val="center"/>
          </w:tcPr>
          <w:p w:rsidR="00F90440" w:rsidRDefault="00A22D18">
            <w:pPr>
              <w:jc w:val="center"/>
            </w:pPr>
            <w:r>
              <w:rPr>
                <w:color w:val="000000"/>
                <w:sz w:val="24"/>
              </w:rPr>
              <w:t>海尔智家</w:t>
            </w:r>
          </w:p>
        </w:tc>
        <w:tc>
          <w:tcPr>
            <w:tcW w:w="0" w:type="auto"/>
            <w:vAlign w:val="center"/>
          </w:tcPr>
          <w:p w:rsidR="00F90440" w:rsidRDefault="00A22D18">
            <w:pPr>
              <w:jc w:val="right"/>
            </w:pPr>
            <w:r>
              <w:rPr>
                <w:color w:val="000000"/>
                <w:sz w:val="24"/>
              </w:rPr>
              <w:t>10,316,619</w:t>
            </w:r>
          </w:p>
        </w:tc>
        <w:tc>
          <w:tcPr>
            <w:tcW w:w="0" w:type="auto"/>
            <w:vAlign w:val="center"/>
          </w:tcPr>
          <w:p w:rsidR="00F90440" w:rsidRDefault="00A22D18">
            <w:pPr>
              <w:jc w:val="right"/>
            </w:pPr>
            <w:r>
              <w:rPr>
                <w:color w:val="000000"/>
                <w:sz w:val="24"/>
              </w:rPr>
              <w:t>148,559,313.60</w:t>
            </w:r>
          </w:p>
        </w:tc>
        <w:tc>
          <w:tcPr>
            <w:tcW w:w="0" w:type="auto"/>
            <w:vAlign w:val="center"/>
          </w:tcPr>
          <w:p w:rsidR="00F90440" w:rsidRDefault="00A22D18">
            <w:pPr>
              <w:jc w:val="right"/>
            </w:pPr>
            <w:r>
              <w:rPr>
                <w:color w:val="000000"/>
                <w:sz w:val="24"/>
              </w:rPr>
              <w:t>2.03</w:t>
            </w:r>
          </w:p>
        </w:tc>
      </w:tr>
      <w:tr w:rsidR="00F90440">
        <w:tc>
          <w:tcPr>
            <w:tcW w:w="0" w:type="auto"/>
            <w:vAlign w:val="center"/>
          </w:tcPr>
          <w:p w:rsidR="00F90440" w:rsidRDefault="00A22D18">
            <w:pPr>
              <w:jc w:val="center"/>
            </w:pPr>
            <w:r>
              <w:rPr>
                <w:color w:val="000000"/>
                <w:sz w:val="24"/>
              </w:rPr>
              <w:t>2</w:t>
            </w:r>
          </w:p>
        </w:tc>
        <w:tc>
          <w:tcPr>
            <w:tcW w:w="0" w:type="auto"/>
            <w:vAlign w:val="center"/>
          </w:tcPr>
          <w:p w:rsidR="00F90440" w:rsidRDefault="00A22D18">
            <w:pPr>
              <w:jc w:val="center"/>
            </w:pPr>
            <w:r>
              <w:rPr>
                <w:color w:val="000000"/>
                <w:sz w:val="24"/>
              </w:rPr>
              <w:t>601899</w:t>
            </w:r>
          </w:p>
        </w:tc>
        <w:tc>
          <w:tcPr>
            <w:tcW w:w="0" w:type="auto"/>
            <w:vAlign w:val="center"/>
          </w:tcPr>
          <w:p w:rsidR="00F90440" w:rsidRDefault="00A22D18">
            <w:pPr>
              <w:jc w:val="center"/>
            </w:pPr>
            <w:r>
              <w:rPr>
                <w:color w:val="000000"/>
                <w:sz w:val="24"/>
              </w:rPr>
              <w:t>紫金矿业</w:t>
            </w:r>
          </w:p>
        </w:tc>
        <w:tc>
          <w:tcPr>
            <w:tcW w:w="0" w:type="auto"/>
            <w:vAlign w:val="center"/>
          </w:tcPr>
          <w:p w:rsidR="00F90440" w:rsidRDefault="00A22D18">
            <w:pPr>
              <w:jc w:val="right"/>
            </w:pPr>
            <w:r>
              <w:rPr>
                <w:color w:val="000000"/>
                <w:sz w:val="24"/>
              </w:rPr>
              <w:t>37,686,873</w:t>
            </w:r>
          </w:p>
        </w:tc>
        <w:tc>
          <w:tcPr>
            <w:tcW w:w="0" w:type="auto"/>
            <w:vAlign w:val="center"/>
          </w:tcPr>
          <w:p w:rsidR="00F90440" w:rsidRDefault="00A22D18">
            <w:pPr>
              <w:jc w:val="right"/>
            </w:pPr>
            <w:r>
              <w:rPr>
                <w:color w:val="000000"/>
                <w:sz w:val="24"/>
              </w:rPr>
              <w:t>139,064,561.37</w:t>
            </w:r>
          </w:p>
        </w:tc>
        <w:tc>
          <w:tcPr>
            <w:tcW w:w="0" w:type="auto"/>
            <w:vAlign w:val="center"/>
          </w:tcPr>
          <w:p w:rsidR="00F90440" w:rsidRDefault="00A22D18">
            <w:pPr>
              <w:jc w:val="right"/>
            </w:pPr>
            <w:r>
              <w:rPr>
                <w:color w:val="000000"/>
                <w:sz w:val="24"/>
              </w:rPr>
              <w:t>1.90</w:t>
            </w:r>
          </w:p>
        </w:tc>
      </w:tr>
      <w:tr w:rsidR="00F90440">
        <w:tc>
          <w:tcPr>
            <w:tcW w:w="0" w:type="auto"/>
            <w:vAlign w:val="center"/>
          </w:tcPr>
          <w:p w:rsidR="00F90440" w:rsidRDefault="00A22D18">
            <w:pPr>
              <w:jc w:val="center"/>
            </w:pPr>
            <w:r>
              <w:rPr>
                <w:color w:val="000000"/>
                <w:sz w:val="24"/>
              </w:rPr>
              <w:t>3</w:t>
            </w:r>
          </w:p>
        </w:tc>
        <w:tc>
          <w:tcPr>
            <w:tcW w:w="0" w:type="auto"/>
            <w:vAlign w:val="center"/>
          </w:tcPr>
          <w:p w:rsidR="00F90440" w:rsidRDefault="00A22D18">
            <w:pPr>
              <w:jc w:val="center"/>
            </w:pPr>
            <w:r>
              <w:rPr>
                <w:color w:val="000000"/>
                <w:sz w:val="24"/>
              </w:rPr>
              <w:t>000001</w:t>
            </w:r>
          </w:p>
        </w:tc>
        <w:tc>
          <w:tcPr>
            <w:tcW w:w="0" w:type="auto"/>
            <w:vAlign w:val="center"/>
          </w:tcPr>
          <w:p w:rsidR="00F90440" w:rsidRDefault="00A22D18">
            <w:pPr>
              <w:jc w:val="center"/>
            </w:pPr>
            <w:r>
              <w:rPr>
                <w:color w:val="000000"/>
                <w:sz w:val="24"/>
              </w:rPr>
              <w:t>平安银行</w:t>
            </w:r>
          </w:p>
        </w:tc>
        <w:tc>
          <w:tcPr>
            <w:tcW w:w="0" w:type="auto"/>
            <w:vAlign w:val="center"/>
          </w:tcPr>
          <w:p w:rsidR="00F90440" w:rsidRDefault="00A22D18">
            <w:pPr>
              <w:jc w:val="right"/>
            </w:pPr>
            <w:r>
              <w:rPr>
                <w:color w:val="000000"/>
                <w:sz w:val="24"/>
              </w:rPr>
              <w:t>7,448,030</w:t>
            </w:r>
          </w:p>
        </w:tc>
        <w:tc>
          <w:tcPr>
            <w:tcW w:w="0" w:type="auto"/>
            <w:vAlign w:val="center"/>
          </w:tcPr>
          <w:p w:rsidR="00F90440" w:rsidRDefault="00A22D18">
            <w:pPr>
              <w:jc w:val="right"/>
            </w:pPr>
            <w:r>
              <w:rPr>
                <w:color w:val="000000"/>
                <w:sz w:val="24"/>
              </w:rPr>
              <w:t>95,334,784.00</w:t>
            </w:r>
          </w:p>
        </w:tc>
        <w:tc>
          <w:tcPr>
            <w:tcW w:w="0" w:type="auto"/>
            <w:vAlign w:val="center"/>
          </w:tcPr>
          <w:p w:rsidR="00F90440" w:rsidRDefault="00A22D18">
            <w:pPr>
              <w:jc w:val="right"/>
            </w:pPr>
            <w:r>
              <w:rPr>
                <w:color w:val="000000"/>
                <w:sz w:val="24"/>
              </w:rPr>
              <w:t>1.31</w:t>
            </w:r>
          </w:p>
        </w:tc>
      </w:tr>
      <w:tr w:rsidR="00F90440">
        <w:tc>
          <w:tcPr>
            <w:tcW w:w="0" w:type="auto"/>
            <w:vAlign w:val="center"/>
          </w:tcPr>
          <w:p w:rsidR="00F90440" w:rsidRDefault="00A22D18">
            <w:pPr>
              <w:jc w:val="center"/>
            </w:pPr>
            <w:r>
              <w:rPr>
                <w:color w:val="000000"/>
                <w:sz w:val="24"/>
              </w:rPr>
              <w:t>4</w:t>
            </w:r>
          </w:p>
        </w:tc>
        <w:tc>
          <w:tcPr>
            <w:tcW w:w="0" w:type="auto"/>
            <w:vAlign w:val="center"/>
          </w:tcPr>
          <w:p w:rsidR="00F90440" w:rsidRDefault="00A22D18">
            <w:pPr>
              <w:jc w:val="center"/>
            </w:pPr>
            <w:r>
              <w:rPr>
                <w:color w:val="000000"/>
                <w:sz w:val="24"/>
              </w:rPr>
              <w:t>000568</w:t>
            </w:r>
          </w:p>
        </w:tc>
        <w:tc>
          <w:tcPr>
            <w:tcW w:w="0" w:type="auto"/>
            <w:vAlign w:val="center"/>
          </w:tcPr>
          <w:p w:rsidR="00F90440" w:rsidRDefault="00A22D18">
            <w:pPr>
              <w:jc w:val="center"/>
            </w:pPr>
            <w:r>
              <w:rPr>
                <w:color w:val="000000"/>
                <w:sz w:val="24"/>
              </w:rPr>
              <w:t>泸州老窖</w:t>
            </w:r>
          </w:p>
        </w:tc>
        <w:tc>
          <w:tcPr>
            <w:tcW w:w="0" w:type="auto"/>
            <w:vAlign w:val="center"/>
          </w:tcPr>
          <w:p w:rsidR="00F90440" w:rsidRDefault="00A22D18">
            <w:pPr>
              <w:jc w:val="right"/>
            </w:pPr>
            <w:r>
              <w:rPr>
                <w:color w:val="000000"/>
                <w:sz w:val="24"/>
              </w:rPr>
              <w:t>1,237,273</w:t>
            </w:r>
          </w:p>
        </w:tc>
        <w:tc>
          <w:tcPr>
            <w:tcW w:w="0" w:type="auto"/>
            <w:vAlign w:val="center"/>
          </w:tcPr>
          <w:p w:rsidR="00F90440" w:rsidRDefault="00A22D18">
            <w:pPr>
              <w:jc w:val="right"/>
            </w:pPr>
            <w:r>
              <w:rPr>
                <w:color w:val="000000"/>
                <w:sz w:val="24"/>
              </w:rPr>
              <w:t>91,125,156.45</w:t>
            </w:r>
          </w:p>
        </w:tc>
        <w:tc>
          <w:tcPr>
            <w:tcW w:w="0" w:type="auto"/>
            <w:vAlign w:val="center"/>
          </w:tcPr>
          <w:p w:rsidR="00F90440" w:rsidRDefault="00A22D18">
            <w:pPr>
              <w:jc w:val="right"/>
            </w:pPr>
            <w:r>
              <w:rPr>
                <w:color w:val="000000"/>
                <w:sz w:val="24"/>
              </w:rPr>
              <w:t>1.25</w:t>
            </w:r>
          </w:p>
        </w:tc>
      </w:tr>
      <w:tr w:rsidR="00F90440">
        <w:tc>
          <w:tcPr>
            <w:tcW w:w="0" w:type="auto"/>
            <w:vAlign w:val="center"/>
          </w:tcPr>
          <w:p w:rsidR="00F90440" w:rsidRDefault="00A22D18">
            <w:pPr>
              <w:jc w:val="center"/>
            </w:pPr>
            <w:r>
              <w:rPr>
                <w:color w:val="000000"/>
                <w:sz w:val="24"/>
              </w:rPr>
              <w:t>5</w:t>
            </w:r>
          </w:p>
        </w:tc>
        <w:tc>
          <w:tcPr>
            <w:tcW w:w="0" w:type="auto"/>
            <w:vAlign w:val="center"/>
          </w:tcPr>
          <w:p w:rsidR="00F90440" w:rsidRDefault="00A22D18">
            <w:pPr>
              <w:jc w:val="center"/>
            </w:pPr>
            <w:r>
              <w:rPr>
                <w:color w:val="000000"/>
                <w:sz w:val="24"/>
              </w:rPr>
              <w:t>601318</w:t>
            </w:r>
          </w:p>
        </w:tc>
        <w:tc>
          <w:tcPr>
            <w:tcW w:w="0" w:type="auto"/>
            <w:vAlign w:val="center"/>
          </w:tcPr>
          <w:p w:rsidR="00F90440" w:rsidRDefault="00A22D18">
            <w:pPr>
              <w:jc w:val="center"/>
            </w:pPr>
            <w:r>
              <w:rPr>
                <w:color w:val="000000"/>
                <w:sz w:val="24"/>
              </w:rPr>
              <w:t>中国平安</w:t>
            </w:r>
          </w:p>
        </w:tc>
        <w:tc>
          <w:tcPr>
            <w:tcW w:w="0" w:type="auto"/>
            <w:vAlign w:val="center"/>
          </w:tcPr>
          <w:p w:rsidR="00F90440" w:rsidRDefault="00A22D18">
            <w:pPr>
              <w:jc w:val="right"/>
            </w:pPr>
            <w:r>
              <w:rPr>
                <w:color w:val="000000"/>
                <w:sz w:val="24"/>
              </w:rPr>
              <w:t>950,000</w:t>
            </w:r>
          </w:p>
        </w:tc>
        <w:tc>
          <w:tcPr>
            <w:tcW w:w="0" w:type="auto"/>
            <w:vAlign w:val="center"/>
          </w:tcPr>
          <w:p w:rsidR="00F90440" w:rsidRDefault="00A22D18">
            <w:pPr>
              <w:jc w:val="right"/>
            </w:pPr>
            <w:r>
              <w:rPr>
                <w:color w:val="000000"/>
                <w:sz w:val="24"/>
              </w:rPr>
              <w:t>65,711,500.00</w:t>
            </w:r>
          </w:p>
        </w:tc>
        <w:tc>
          <w:tcPr>
            <w:tcW w:w="0" w:type="auto"/>
            <w:vAlign w:val="center"/>
          </w:tcPr>
          <w:p w:rsidR="00F90440" w:rsidRDefault="00A22D18">
            <w:pPr>
              <w:jc w:val="right"/>
            </w:pPr>
            <w:r>
              <w:rPr>
                <w:color w:val="000000"/>
                <w:sz w:val="24"/>
              </w:rPr>
              <w:t>0.90</w:t>
            </w:r>
          </w:p>
        </w:tc>
      </w:tr>
      <w:tr w:rsidR="00F90440">
        <w:tc>
          <w:tcPr>
            <w:tcW w:w="0" w:type="auto"/>
            <w:vAlign w:val="center"/>
          </w:tcPr>
          <w:p w:rsidR="00F90440" w:rsidRDefault="00A22D18">
            <w:pPr>
              <w:jc w:val="center"/>
            </w:pPr>
            <w:r>
              <w:rPr>
                <w:color w:val="000000"/>
                <w:sz w:val="24"/>
              </w:rPr>
              <w:t>6</w:t>
            </w:r>
          </w:p>
        </w:tc>
        <w:tc>
          <w:tcPr>
            <w:tcW w:w="0" w:type="auto"/>
            <w:vAlign w:val="center"/>
          </w:tcPr>
          <w:p w:rsidR="00F90440" w:rsidRDefault="00A22D18">
            <w:pPr>
              <w:jc w:val="center"/>
            </w:pPr>
            <w:r>
              <w:rPr>
                <w:color w:val="000000"/>
                <w:sz w:val="24"/>
              </w:rPr>
              <w:t>600031</w:t>
            </w:r>
          </w:p>
        </w:tc>
        <w:tc>
          <w:tcPr>
            <w:tcW w:w="0" w:type="auto"/>
            <w:vAlign w:val="center"/>
          </w:tcPr>
          <w:p w:rsidR="00F90440" w:rsidRDefault="00A22D18">
            <w:pPr>
              <w:jc w:val="center"/>
            </w:pPr>
            <w:r>
              <w:rPr>
                <w:color w:val="000000"/>
                <w:sz w:val="24"/>
              </w:rPr>
              <w:t>三一重工</w:t>
            </w:r>
          </w:p>
        </w:tc>
        <w:tc>
          <w:tcPr>
            <w:tcW w:w="0" w:type="auto"/>
            <w:vAlign w:val="center"/>
          </w:tcPr>
          <w:p w:rsidR="00F90440" w:rsidRDefault="00A22D18">
            <w:pPr>
              <w:jc w:val="right"/>
            </w:pPr>
            <w:r>
              <w:rPr>
                <w:color w:val="000000"/>
                <w:sz w:val="24"/>
              </w:rPr>
              <w:t>3,653,325</w:t>
            </w:r>
          </w:p>
        </w:tc>
        <w:tc>
          <w:tcPr>
            <w:tcW w:w="0" w:type="auto"/>
            <w:vAlign w:val="center"/>
          </w:tcPr>
          <w:p w:rsidR="00F90440" w:rsidRDefault="00A22D18">
            <w:pPr>
              <w:jc w:val="right"/>
            </w:pPr>
            <w:r>
              <w:rPr>
                <w:color w:val="000000"/>
                <w:sz w:val="24"/>
              </w:rPr>
              <w:t>63,202,522.50</w:t>
            </w:r>
          </w:p>
        </w:tc>
        <w:tc>
          <w:tcPr>
            <w:tcW w:w="0" w:type="auto"/>
            <w:vAlign w:val="center"/>
          </w:tcPr>
          <w:p w:rsidR="00F90440" w:rsidRDefault="00A22D18">
            <w:pPr>
              <w:jc w:val="right"/>
            </w:pPr>
            <w:r>
              <w:rPr>
                <w:color w:val="000000"/>
                <w:sz w:val="24"/>
              </w:rPr>
              <w:t>0.87</w:t>
            </w:r>
          </w:p>
        </w:tc>
      </w:tr>
      <w:tr w:rsidR="00F90440">
        <w:tc>
          <w:tcPr>
            <w:tcW w:w="0" w:type="auto"/>
            <w:vAlign w:val="center"/>
          </w:tcPr>
          <w:p w:rsidR="00F90440" w:rsidRDefault="00A22D18">
            <w:pPr>
              <w:jc w:val="center"/>
            </w:pPr>
            <w:r>
              <w:rPr>
                <w:color w:val="000000"/>
                <w:sz w:val="24"/>
              </w:rPr>
              <w:t>7</w:t>
            </w:r>
          </w:p>
        </w:tc>
        <w:tc>
          <w:tcPr>
            <w:tcW w:w="0" w:type="auto"/>
            <w:vAlign w:val="center"/>
          </w:tcPr>
          <w:p w:rsidR="00F90440" w:rsidRDefault="00A22D18">
            <w:pPr>
              <w:jc w:val="center"/>
            </w:pPr>
            <w:r>
              <w:rPr>
                <w:color w:val="000000"/>
                <w:sz w:val="24"/>
              </w:rPr>
              <w:t>600004</w:t>
            </w:r>
          </w:p>
        </w:tc>
        <w:tc>
          <w:tcPr>
            <w:tcW w:w="0" w:type="auto"/>
            <w:vAlign w:val="center"/>
          </w:tcPr>
          <w:p w:rsidR="00F90440" w:rsidRDefault="00A22D18">
            <w:pPr>
              <w:jc w:val="center"/>
            </w:pPr>
            <w:r>
              <w:rPr>
                <w:color w:val="000000"/>
                <w:sz w:val="24"/>
              </w:rPr>
              <w:t>白云机场</w:t>
            </w:r>
          </w:p>
        </w:tc>
        <w:tc>
          <w:tcPr>
            <w:tcW w:w="0" w:type="auto"/>
            <w:vAlign w:val="center"/>
          </w:tcPr>
          <w:p w:rsidR="00F90440" w:rsidRDefault="00A22D18">
            <w:pPr>
              <w:jc w:val="right"/>
            </w:pPr>
            <w:r>
              <w:rPr>
                <w:color w:val="000000"/>
                <w:sz w:val="24"/>
              </w:rPr>
              <w:t>4,993,955</w:t>
            </w:r>
          </w:p>
        </w:tc>
        <w:tc>
          <w:tcPr>
            <w:tcW w:w="0" w:type="auto"/>
            <w:vAlign w:val="center"/>
          </w:tcPr>
          <w:p w:rsidR="00F90440" w:rsidRDefault="00A22D18">
            <w:pPr>
              <w:jc w:val="right"/>
            </w:pPr>
            <w:r>
              <w:rPr>
                <w:color w:val="000000"/>
                <w:sz w:val="24"/>
              </w:rPr>
              <w:t>62,674,135.25</w:t>
            </w:r>
          </w:p>
        </w:tc>
        <w:tc>
          <w:tcPr>
            <w:tcW w:w="0" w:type="auto"/>
            <w:vAlign w:val="center"/>
          </w:tcPr>
          <w:p w:rsidR="00F90440" w:rsidRDefault="00A22D18">
            <w:pPr>
              <w:jc w:val="right"/>
            </w:pPr>
            <w:r>
              <w:rPr>
                <w:color w:val="000000"/>
                <w:sz w:val="24"/>
              </w:rPr>
              <w:t>0.86</w:t>
            </w:r>
          </w:p>
        </w:tc>
      </w:tr>
      <w:tr w:rsidR="00F90440">
        <w:tc>
          <w:tcPr>
            <w:tcW w:w="0" w:type="auto"/>
            <w:vAlign w:val="center"/>
          </w:tcPr>
          <w:p w:rsidR="00F90440" w:rsidRDefault="00A22D18">
            <w:pPr>
              <w:jc w:val="center"/>
            </w:pPr>
            <w:r>
              <w:rPr>
                <w:color w:val="000000"/>
                <w:sz w:val="24"/>
              </w:rPr>
              <w:t>8</w:t>
            </w:r>
          </w:p>
        </w:tc>
        <w:tc>
          <w:tcPr>
            <w:tcW w:w="0" w:type="auto"/>
            <w:vAlign w:val="center"/>
          </w:tcPr>
          <w:p w:rsidR="00F90440" w:rsidRDefault="00A22D18">
            <w:pPr>
              <w:jc w:val="center"/>
            </w:pPr>
            <w:r>
              <w:rPr>
                <w:color w:val="000000"/>
                <w:sz w:val="24"/>
              </w:rPr>
              <w:t>002142</w:t>
            </w:r>
          </w:p>
        </w:tc>
        <w:tc>
          <w:tcPr>
            <w:tcW w:w="0" w:type="auto"/>
            <w:vAlign w:val="center"/>
          </w:tcPr>
          <w:p w:rsidR="00F90440" w:rsidRDefault="00A22D18">
            <w:pPr>
              <w:jc w:val="center"/>
            </w:pPr>
            <w:r>
              <w:rPr>
                <w:color w:val="000000"/>
                <w:sz w:val="24"/>
              </w:rPr>
              <w:t>宁波银行</w:t>
            </w:r>
          </w:p>
        </w:tc>
        <w:tc>
          <w:tcPr>
            <w:tcW w:w="0" w:type="auto"/>
            <w:vAlign w:val="center"/>
          </w:tcPr>
          <w:p w:rsidR="00F90440" w:rsidRDefault="00A22D18">
            <w:pPr>
              <w:jc w:val="right"/>
            </w:pPr>
            <w:r>
              <w:rPr>
                <w:color w:val="000000"/>
                <w:sz w:val="24"/>
              </w:rPr>
              <w:t>2,635,560</w:t>
            </w:r>
          </w:p>
        </w:tc>
        <w:tc>
          <w:tcPr>
            <w:tcW w:w="0" w:type="auto"/>
            <w:vAlign w:val="center"/>
          </w:tcPr>
          <w:p w:rsidR="00F90440" w:rsidRDefault="00A22D18">
            <w:pPr>
              <w:jc w:val="right"/>
            </w:pPr>
            <w:r>
              <w:rPr>
                <w:color w:val="000000"/>
                <w:sz w:val="24"/>
              </w:rPr>
              <w:t>60,776,013.60</w:t>
            </w:r>
          </w:p>
        </w:tc>
        <w:tc>
          <w:tcPr>
            <w:tcW w:w="0" w:type="auto"/>
            <w:vAlign w:val="center"/>
          </w:tcPr>
          <w:p w:rsidR="00F90440" w:rsidRDefault="00A22D18">
            <w:pPr>
              <w:jc w:val="right"/>
            </w:pPr>
            <w:r>
              <w:rPr>
                <w:color w:val="000000"/>
                <w:sz w:val="24"/>
              </w:rPr>
              <w:t>0.83</w:t>
            </w:r>
          </w:p>
        </w:tc>
      </w:tr>
      <w:tr w:rsidR="00F90440">
        <w:tc>
          <w:tcPr>
            <w:tcW w:w="0" w:type="auto"/>
            <w:vAlign w:val="center"/>
          </w:tcPr>
          <w:p w:rsidR="00F90440" w:rsidRDefault="00A22D18">
            <w:pPr>
              <w:jc w:val="center"/>
            </w:pPr>
            <w:r>
              <w:rPr>
                <w:color w:val="000000"/>
                <w:sz w:val="24"/>
              </w:rPr>
              <w:t>9</w:t>
            </w:r>
          </w:p>
        </w:tc>
        <w:tc>
          <w:tcPr>
            <w:tcW w:w="0" w:type="auto"/>
            <w:vAlign w:val="center"/>
          </w:tcPr>
          <w:p w:rsidR="00F90440" w:rsidRDefault="00A22D18">
            <w:pPr>
              <w:jc w:val="center"/>
            </w:pPr>
            <w:r>
              <w:rPr>
                <w:color w:val="000000"/>
                <w:sz w:val="24"/>
              </w:rPr>
              <w:t>601336</w:t>
            </w:r>
          </w:p>
        </w:tc>
        <w:tc>
          <w:tcPr>
            <w:tcW w:w="0" w:type="auto"/>
            <w:vAlign w:val="center"/>
          </w:tcPr>
          <w:p w:rsidR="00F90440" w:rsidRDefault="00A22D18">
            <w:pPr>
              <w:jc w:val="center"/>
            </w:pPr>
            <w:r>
              <w:rPr>
                <w:color w:val="000000"/>
                <w:sz w:val="24"/>
              </w:rPr>
              <w:t>新华保险</w:t>
            </w:r>
          </w:p>
        </w:tc>
        <w:tc>
          <w:tcPr>
            <w:tcW w:w="0" w:type="auto"/>
            <w:vAlign w:val="center"/>
          </w:tcPr>
          <w:p w:rsidR="00F90440" w:rsidRDefault="00A22D18">
            <w:pPr>
              <w:jc w:val="right"/>
            </w:pPr>
            <w:r>
              <w:rPr>
                <w:color w:val="000000"/>
                <w:sz w:val="24"/>
              </w:rPr>
              <w:t>1,367,751</w:t>
            </w:r>
          </w:p>
        </w:tc>
        <w:tc>
          <w:tcPr>
            <w:tcW w:w="0" w:type="auto"/>
            <w:vAlign w:val="center"/>
          </w:tcPr>
          <w:p w:rsidR="00F90440" w:rsidRDefault="00A22D18">
            <w:pPr>
              <w:jc w:val="right"/>
            </w:pPr>
            <w:r>
              <w:rPr>
                <w:color w:val="000000"/>
                <w:sz w:val="24"/>
              </w:rPr>
              <w:t>54,436,489.80</w:t>
            </w:r>
          </w:p>
        </w:tc>
        <w:tc>
          <w:tcPr>
            <w:tcW w:w="0" w:type="auto"/>
            <w:vAlign w:val="center"/>
          </w:tcPr>
          <w:p w:rsidR="00F90440" w:rsidRDefault="00A22D18">
            <w:pPr>
              <w:jc w:val="right"/>
            </w:pPr>
            <w:r>
              <w:rPr>
                <w:color w:val="000000"/>
                <w:sz w:val="24"/>
              </w:rPr>
              <w:t>0.75</w:t>
            </w:r>
          </w:p>
        </w:tc>
      </w:tr>
      <w:tr w:rsidR="00F90440">
        <w:tc>
          <w:tcPr>
            <w:tcW w:w="0" w:type="auto"/>
            <w:vAlign w:val="center"/>
          </w:tcPr>
          <w:p w:rsidR="00F90440" w:rsidRDefault="00A22D18">
            <w:pPr>
              <w:jc w:val="center"/>
            </w:pPr>
            <w:r>
              <w:rPr>
                <w:color w:val="000000"/>
                <w:sz w:val="24"/>
              </w:rPr>
              <w:t>10</w:t>
            </w:r>
          </w:p>
        </w:tc>
        <w:tc>
          <w:tcPr>
            <w:tcW w:w="0" w:type="auto"/>
            <w:vAlign w:val="center"/>
          </w:tcPr>
          <w:p w:rsidR="00F90440" w:rsidRDefault="00A22D18">
            <w:pPr>
              <w:jc w:val="center"/>
            </w:pPr>
            <w:r>
              <w:rPr>
                <w:color w:val="000000"/>
                <w:sz w:val="24"/>
              </w:rPr>
              <w:t>601111</w:t>
            </w:r>
          </w:p>
        </w:tc>
        <w:tc>
          <w:tcPr>
            <w:tcW w:w="0" w:type="auto"/>
            <w:vAlign w:val="center"/>
          </w:tcPr>
          <w:p w:rsidR="00F90440" w:rsidRDefault="00A22D18">
            <w:pPr>
              <w:jc w:val="center"/>
            </w:pPr>
            <w:r>
              <w:rPr>
                <w:color w:val="000000"/>
                <w:sz w:val="24"/>
              </w:rPr>
              <w:t>中国国航</w:t>
            </w:r>
          </w:p>
        </w:tc>
        <w:tc>
          <w:tcPr>
            <w:tcW w:w="0" w:type="auto"/>
            <w:vAlign w:val="center"/>
          </w:tcPr>
          <w:p w:rsidR="00F90440" w:rsidRDefault="00A22D18">
            <w:pPr>
              <w:jc w:val="right"/>
            </w:pPr>
            <w:r>
              <w:rPr>
                <w:color w:val="000000"/>
                <w:sz w:val="24"/>
              </w:rPr>
              <w:t>6,418,485</w:t>
            </w:r>
          </w:p>
        </w:tc>
        <w:tc>
          <w:tcPr>
            <w:tcW w:w="0" w:type="auto"/>
            <w:vAlign w:val="center"/>
          </w:tcPr>
          <w:p w:rsidR="00F90440" w:rsidRDefault="00A22D18">
            <w:pPr>
              <w:jc w:val="right"/>
            </w:pPr>
            <w:r>
              <w:rPr>
                <w:color w:val="000000"/>
                <w:sz w:val="24"/>
              </w:rPr>
              <w:t>41,784,337.35</w:t>
            </w:r>
          </w:p>
        </w:tc>
        <w:tc>
          <w:tcPr>
            <w:tcW w:w="0" w:type="auto"/>
            <w:vAlign w:val="center"/>
          </w:tcPr>
          <w:p w:rsidR="00F90440" w:rsidRDefault="00A22D18">
            <w:pPr>
              <w:jc w:val="right"/>
            </w:pPr>
            <w:r>
              <w:rPr>
                <w:color w:val="000000"/>
                <w:sz w:val="24"/>
              </w:rPr>
              <w:t>0.57</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918,107,391.00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12.57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909,471,000.00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12.45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3,648,419,447.96</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49.96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50,045,000.00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0.69</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3,436,846,000.00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47.06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648,721,004.20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8.88</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8,702,138,843.16</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119.15</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F90440">
        <w:tc>
          <w:tcPr>
            <w:tcW w:w="0" w:type="auto"/>
            <w:vAlign w:val="center"/>
          </w:tcPr>
          <w:p w:rsidR="00F90440" w:rsidRDefault="00A22D18">
            <w:pPr>
              <w:jc w:val="center"/>
            </w:pPr>
            <w:r>
              <w:rPr>
                <w:color w:val="000000"/>
                <w:sz w:val="24"/>
              </w:rPr>
              <w:t>1</w:t>
            </w:r>
          </w:p>
        </w:tc>
        <w:tc>
          <w:tcPr>
            <w:tcW w:w="0" w:type="auto"/>
            <w:vAlign w:val="center"/>
          </w:tcPr>
          <w:p w:rsidR="00F90440" w:rsidRDefault="00A22D18">
            <w:pPr>
              <w:jc w:val="center"/>
            </w:pPr>
            <w:r>
              <w:rPr>
                <w:color w:val="000000"/>
                <w:sz w:val="24"/>
              </w:rPr>
              <w:t>180205</w:t>
            </w:r>
          </w:p>
        </w:tc>
        <w:tc>
          <w:tcPr>
            <w:tcW w:w="0" w:type="auto"/>
            <w:vAlign w:val="center"/>
          </w:tcPr>
          <w:p w:rsidR="00F90440" w:rsidRDefault="00A22D18">
            <w:pPr>
              <w:jc w:val="center"/>
            </w:pPr>
            <w:r>
              <w:rPr>
                <w:color w:val="000000"/>
                <w:sz w:val="24"/>
              </w:rPr>
              <w:t>18</w:t>
            </w:r>
            <w:r>
              <w:rPr>
                <w:color w:val="000000"/>
                <w:sz w:val="24"/>
              </w:rPr>
              <w:t>国开</w:t>
            </w:r>
            <w:r>
              <w:rPr>
                <w:color w:val="000000"/>
                <w:sz w:val="24"/>
              </w:rPr>
              <w:t>05</w:t>
            </w:r>
          </w:p>
        </w:tc>
        <w:tc>
          <w:tcPr>
            <w:tcW w:w="0" w:type="auto"/>
            <w:vAlign w:val="center"/>
          </w:tcPr>
          <w:p w:rsidR="00F90440" w:rsidRDefault="00A22D18">
            <w:pPr>
              <w:jc w:val="right"/>
            </w:pPr>
            <w:r>
              <w:rPr>
                <w:color w:val="000000"/>
                <w:sz w:val="24"/>
              </w:rPr>
              <w:t>2,200,000</w:t>
            </w:r>
          </w:p>
        </w:tc>
        <w:tc>
          <w:tcPr>
            <w:tcW w:w="0" w:type="auto"/>
            <w:vAlign w:val="center"/>
          </w:tcPr>
          <w:p w:rsidR="00F90440" w:rsidRDefault="00A22D18">
            <w:pPr>
              <w:jc w:val="right"/>
            </w:pPr>
            <w:r>
              <w:rPr>
                <w:color w:val="000000"/>
                <w:sz w:val="24"/>
              </w:rPr>
              <w:t>246,114,000.00</w:t>
            </w:r>
          </w:p>
        </w:tc>
        <w:tc>
          <w:tcPr>
            <w:tcW w:w="0" w:type="auto"/>
            <w:vAlign w:val="center"/>
          </w:tcPr>
          <w:p w:rsidR="00F90440" w:rsidRDefault="00A22D18">
            <w:pPr>
              <w:jc w:val="right"/>
            </w:pPr>
            <w:r>
              <w:rPr>
                <w:color w:val="000000"/>
                <w:sz w:val="24"/>
              </w:rPr>
              <w:t>3.37</w:t>
            </w:r>
          </w:p>
        </w:tc>
      </w:tr>
      <w:tr w:rsidR="00F90440">
        <w:tc>
          <w:tcPr>
            <w:tcW w:w="0" w:type="auto"/>
            <w:vAlign w:val="center"/>
          </w:tcPr>
          <w:p w:rsidR="00F90440" w:rsidRDefault="00A22D18">
            <w:pPr>
              <w:jc w:val="center"/>
            </w:pPr>
            <w:r>
              <w:rPr>
                <w:color w:val="000000"/>
                <w:sz w:val="24"/>
              </w:rPr>
              <w:t>2</w:t>
            </w:r>
          </w:p>
        </w:tc>
        <w:tc>
          <w:tcPr>
            <w:tcW w:w="0" w:type="auto"/>
            <w:vAlign w:val="center"/>
          </w:tcPr>
          <w:p w:rsidR="00F90440" w:rsidRDefault="00A22D18">
            <w:pPr>
              <w:jc w:val="center"/>
            </w:pPr>
            <w:r>
              <w:rPr>
                <w:color w:val="000000"/>
                <w:sz w:val="24"/>
              </w:rPr>
              <w:t>132018</w:t>
            </w:r>
          </w:p>
        </w:tc>
        <w:tc>
          <w:tcPr>
            <w:tcW w:w="0" w:type="auto"/>
            <w:vAlign w:val="center"/>
          </w:tcPr>
          <w:p w:rsidR="00F90440" w:rsidRDefault="00A22D18">
            <w:pPr>
              <w:jc w:val="center"/>
            </w:pPr>
            <w:r>
              <w:rPr>
                <w:color w:val="000000"/>
                <w:sz w:val="24"/>
              </w:rPr>
              <w:t>G</w:t>
            </w:r>
            <w:r>
              <w:rPr>
                <w:color w:val="000000"/>
                <w:sz w:val="24"/>
              </w:rPr>
              <w:t>三峡</w:t>
            </w:r>
            <w:r>
              <w:rPr>
                <w:color w:val="000000"/>
                <w:sz w:val="24"/>
              </w:rPr>
              <w:t>EB1</w:t>
            </w:r>
          </w:p>
        </w:tc>
        <w:tc>
          <w:tcPr>
            <w:tcW w:w="0" w:type="auto"/>
            <w:vAlign w:val="center"/>
          </w:tcPr>
          <w:p w:rsidR="00F90440" w:rsidRDefault="00A22D18">
            <w:pPr>
              <w:jc w:val="right"/>
            </w:pPr>
            <w:r>
              <w:rPr>
                <w:color w:val="000000"/>
                <w:sz w:val="24"/>
              </w:rPr>
              <w:t>1,812,820</w:t>
            </w:r>
          </w:p>
        </w:tc>
        <w:tc>
          <w:tcPr>
            <w:tcW w:w="0" w:type="auto"/>
            <w:vAlign w:val="center"/>
          </w:tcPr>
          <w:p w:rsidR="00F90440" w:rsidRDefault="00A22D18">
            <w:pPr>
              <w:jc w:val="right"/>
            </w:pPr>
            <w:r>
              <w:rPr>
                <w:color w:val="000000"/>
                <w:sz w:val="24"/>
              </w:rPr>
              <w:t>198,811,969.40</w:t>
            </w:r>
          </w:p>
        </w:tc>
        <w:tc>
          <w:tcPr>
            <w:tcW w:w="0" w:type="auto"/>
            <w:vAlign w:val="center"/>
          </w:tcPr>
          <w:p w:rsidR="00F90440" w:rsidRDefault="00A22D18">
            <w:pPr>
              <w:jc w:val="right"/>
            </w:pPr>
            <w:r>
              <w:rPr>
                <w:color w:val="000000"/>
                <w:sz w:val="24"/>
              </w:rPr>
              <w:t>2.72</w:t>
            </w:r>
          </w:p>
        </w:tc>
      </w:tr>
      <w:tr w:rsidR="00F90440">
        <w:tc>
          <w:tcPr>
            <w:tcW w:w="0" w:type="auto"/>
            <w:vAlign w:val="center"/>
          </w:tcPr>
          <w:p w:rsidR="00F90440" w:rsidRDefault="00A22D18">
            <w:pPr>
              <w:jc w:val="center"/>
            </w:pPr>
            <w:r>
              <w:rPr>
                <w:color w:val="000000"/>
                <w:sz w:val="24"/>
              </w:rPr>
              <w:t>3</w:t>
            </w:r>
          </w:p>
        </w:tc>
        <w:tc>
          <w:tcPr>
            <w:tcW w:w="0" w:type="auto"/>
            <w:vAlign w:val="center"/>
          </w:tcPr>
          <w:p w:rsidR="00F90440" w:rsidRDefault="00A22D18">
            <w:pPr>
              <w:jc w:val="center"/>
            </w:pPr>
            <w:r>
              <w:rPr>
                <w:color w:val="000000"/>
                <w:sz w:val="24"/>
              </w:rPr>
              <w:t>101900980</w:t>
            </w:r>
          </w:p>
        </w:tc>
        <w:tc>
          <w:tcPr>
            <w:tcW w:w="0" w:type="auto"/>
            <w:vAlign w:val="center"/>
          </w:tcPr>
          <w:p w:rsidR="00F90440" w:rsidRDefault="00A22D18">
            <w:pPr>
              <w:jc w:val="center"/>
            </w:pPr>
            <w:r>
              <w:rPr>
                <w:color w:val="000000"/>
                <w:sz w:val="24"/>
              </w:rPr>
              <w:t>19</w:t>
            </w:r>
            <w:r>
              <w:rPr>
                <w:color w:val="000000"/>
                <w:sz w:val="24"/>
              </w:rPr>
              <w:t>中煤能源</w:t>
            </w:r>
            <w:r>
              <w:rPr>
                <w:color w:val="000000"/>
                <w:sz w:val="24"/>
              </w:rPr>
              <w:t>MTN001</w:t>
            </w:r>
          </w:p>
        </w:tc>
        <w:tc>
          <w:tcPr>
            <w:tcW w:w="0" w:type="auto"/>
            <w:vAlign w:val="center"/>
          </w:tcPr>
          <w:p w:rsidR="00F90440" w:rsidRDefault="00A22D18">
            <w:pPr>
              <w:jc w:val="right"/>
            </w:pPr>
            <w:r>
              <w:rPr>
                <w:color w:val="000000"/>
                <w:sz w:val="24"/>
              </w:rPr>
              <w:t>1,700,000</w:t>
            </w:r>
          </w:p>
        </w:tc>
        <w:tc>
          <w:tcPr>
            <w:tcW w:w="0" w:type="auto"/>
            <w:vAlign w:val="center"/>
          </w:tcPr>
          <w:p w:rsidR="00F90440" w:rsidRDefault="00A22D18">
            <w:pPr>
              <w:jc w:val="right"/>
            </w:pPr>
            <w:r>
              <w:rPr>
                <w:color w:val="000000"/>
                <w:sz w:val="24"/>
              </w:rPr>
              <w:t>176,171,000.00</w:t>
            </w:r>
          </w:p>
        </w:tc>
        <w:tc>
          <w:tcPr>
            <w:tcW w:w="0" w:type="auto"/>
            <w:vAlign w:val="center"/>
          </w:tcPr>
          <w:p w:rsidR="00F90440" w:rsidRDefault="00A22D18">
            <w:pPr>
              <w:jc w:val="right"/>
            </w:pPr>
            <w:r>
              <w:rPr>
                <w:color w:val="000000"/>
                <w:sz w:val="24"/>
              </w:rPr>
              <w:t>2.41</w:t>
            </w:r>
          </w:p>
        </w:tc>
      </w:tr>
      <w:tr w:rsidR="00F90440">
        <w:tc>
          <w:tcPr>
            <w:tcW w:w="0" w:type="auto"/>
            <w:vAlign w:val="center"/>
          </w:tcPr>
          <w:p w:rsidR="00F90440" w:rsidRDefault="00A22D18">
            <w:pPr>
              <w:jc w:val="center"/>
            </w:pPr>
            <w:r>
              <w:rPr>
                <w:color w:val="000000"/>
                <w:sz w:val="24"/>
              </w:rPr>
              <w:t>4</w:t>
            </w:r>
          </w:p>
        </w:tc>
        <w:tc>
          <w:tcPr>
            <w:tcW w:w="0" w:type="auto"/>
            <w:vAlign w:val="center"/>
          </w:tcPr>
          <w:p w:rsidR="00F90440" w:rsidRDefault="00A22D18">
            <w:pPr>
              <w:jc w:val="center"/>
            </w:pPr>
            <w:r>
              <w:rPr>
                <w:color w:val="000000"/>
                <w:sz w:val="24"/>
              </w:rPr>
              <w:t>170310</w:t>
            </w:r>
          </w:p>
        </w:tc>
        <w:tc>
          <w:tcPr>
            <w:tcW w:w="0" w:type="auto"/>
            <w:vAlign w:val="center"/>
          </w:tcPr>
          <w:p w:rsidR="00F90440" w:rsidRDefault="00A22D18">
            <w:pPr>
              <w:jc w:val="center"/>
            </w:pPr>
            <w:r>
              <w:rPr>
                <w:color w:val="000000"/>
                <w:sz w:val="24"/>
              </w:rPr>
              <w:t>17</w:t>
            </w:r>
            <w:r>
              <w:rPr>
                <w:color w:val="000000"/>
                <w:sz w:val="24"/>
              </w:rPr>
              <w:t>进出</w:t>
            </w:r>
            <w:r>
              <w:rPr>
                <w:color w:val="000000"/>
                <w:sz w:val="24"/>
              </w:rPr>
              <w:t>10</w:t>
            </w:r>
          </w:p>
        </w:tc>
        <w:tc>
          <w:tcPr>
            <w:tcW w:w="0" w:type="auto"/>
            <w:vAlign w:val="center"/>
          </w:tcPr>
          <w:p w:rsidR="00F90440" w:rsidRDefault="00A22D18">
            <w:pPr>
              <w:jc w:val="right"/>
            </w:pPr>
            <w:r>
              <w:rPr>
                <w:color w:val="000000"/>
                <w:sz w:val="24"/>
              </w:rPr>
              <w:t>1,500,000</w:t>
            </w:r>
          </w:p>
        </w:tc>
        <w:tc>
          <w:tcPr>
            <w:tcW w:w="0" w:type="auto"/>
            <w:vAlign w:val="center"/>
          </w:tcPr>
          <w:p w:rsidR="00F90440" w:rsidRDefault="00A22D18">
            <w:pPr>
              <w:jc w:val="right"/>
            </w:pPr>
            <w:r>
              <w:rPr>
                <w:color w:val="000000"/>
                <w:sz w:val="24"/>
              </w:rPr>
              <w:t>151,335,000.00</w:t>
            </w:r>
          </w:p>
        </w:tc>
        <w:tc>
          <w:tcPr>
            <w:tcW w:w="0" w:type="auto"/>
            <w:vAlign w:val="center"/>
          </w:tcPr>
          <w:p w:rsidR="00F90440" w:rsidRDefault="00A22D18">
            <w:pPr>
              <w:jc w:val="right"/>
            </w:pPr>
            <w:r>
              <w:rPr>
                <w:color w:val="000000"/>
                <w:sz w:val="24"/>
              </w:rPr>
              <w:t>2.07</w:t>
            </w:r>
          </w:p>
        </w:tc>
      </w:tr>
      <w:tr w:rsidR="00F90440">
        <w:tc>
          <w:tcPr>
            <w:tcW w:w="0" w:type="auto"/>
            <w:vAlign w:val="center"/>
          </w:tcPr>
          <w:p w:rsidR="00F90440" w:rsidRDefault="00A22D18">
            <w:pPr>
              <w:jc w:val="center"/>
            </w:pPr>
            <w:r>
              <w:rPr>
                <w:color w:val="000000"/>
                <w:sz w:val="24"/>
              </w:rPr>
              <w:t>5</w:t>
            </w:r>
          </w:p>
        </w:tc>
        <w:tc>
          <w:tcPr>
            <w:tcW w:w="0" w:type="auto"/>
            <w:vAlign w:val="center"/>
          </w:tcPr>
          <w:p w:rsidR="00F90440" w:rsidRDefault="00A22D18">
            <w:pPr>
              <w:jc w:val="center"/>
            </w:pPr>
            <w:r>
              <w:rPr>
                <w:color w:val="000000"/>
                <w:sz w:val="24"/>
              </w:rPr>
              <w:t>155087</w:t>
            </w:r>
          </w:p>
        </w:tc>
        <w:tc>
          <w:tcPr>
            <w:tcW w:w="0" w:type="auto"/>
            <w:vAlign w:val="center"/>
          </w:tcPr>
          <w:p w:rsidR="00F90440" w:rsidRDefault="00A22D18">
            <w:pPr>
              <w:jc w:val="center"/>
            </w:pPr>
            <w:r>
              <w:rPr>
                <w:color w:val="000000"/>
                <w:sz w:val="24"/>
              </w:rPr>
              <w:t>18</w:t>
            </w:r>
            <w:r>
              <w:rPr>
                <w:color w:val="000000"/>
                <w:sz w:val="24"/>
              </w:rPr>
              <w:t>津投</w:t>
            </w:r>
            <w:r>
              <w:rPr>
                <w:color w:val="000000"/>
                <w:sz w:val="24"/>
              </w:rPr>
              <w:t>14</w:t>
            </w:r>
          </w:p>
        </w:tc>
        <w:tc>
          <w:tcPr>
            <w:tcW w:w="0" w:type="auto"/>
            <w:vAlign w:val="center"/>
          </w:tcPr>
          <w:p w:rsidR="00F90440" w:rsidRDefault="00A22D18">
            <w:pPr>
              <w:jc w:val="right"/>
            </w:pPr>
            <w:r>
              <w:rPr>
                <w:color w:val="000000"/>
                <w:sz w:val="24"/>
              </w:rPr>
              <w:t>1,200,000</w:t>
            </w:r>
          </w:p>
        </w:tc>
        <w:tc>
          <w:tcPr>
            <w:tcW w:w="0" w:type="auto"/>
            <w:vAlign w:val="center"/>
          </w:tcPr>
          <w:p w:rsidR="00F90440" w:rsidRDefault="00A22D18">
            <w:pPr>
              <w:jc w:val="right"/>
            </w:pPr>
            <w:r>
              <w:rPr>
                <w:color w:val="000000"/>
                <w:sz w:val="24"/>
              </w:rPr>
              <w:t>124,500,000.00</w:t>
            </w:r>
          </w:p>
        </w:tc>
        <w:tc>
          <w:tcPr>
            <w:tcW w:w="0" w:type="auto"/>
            <w:vAlign w:val="center"/>
          </w:tcPr>
          <w:p w:rsidR="00F90440" w:rsidRDefault="00A22D18">
            <w:pPr>
              <w:jc w:val="right"/>
            </w:pPr>
            <w:r>
              <w:rPr>
                <w:color w:val="000000"/>
                <w:sz w:val="24"/>
              </w:rPr>
              <w:t>1.70</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F90440">
        <w:tc>
          <w:tcPr>
            <w:tcW w:w="0" w:type="auto"/>
            <w:vAlign w:val="center"/>
          </w:tcPr>
          <w:p w:rsidR="00F90440" w:rsidRDefault="00A22D18">
            <w:pPr>
              <w:jc w:val="center"/>
            </w:pPr>
            <w:r>
              <w:rPr>
                <w:color w:val="000000"/>
                <w:sz w:val="24"/>
              </w:rPr>
              <w:t>1</w:t>
            </w:r>
          </w:p>
        </w:tc>
        <w:tc>
          <w:tcPr>
            <w:tcW w:w="0" w:type="auto"/>
            <w:vAlign w:val="center"/>
          </w:tcPr>
          <w:p w:rsidR="00F90440" w:rsidRDefault="00A22D18">
            <w:pPr>
              <w:jc w:val="center"/>
            </w:pPr>
            <w:r>
              <w:rPr>
                <w:color w:val="000000"/>
                <w:sz w:val="24"/>
              </w:rPr>
              <w:t>165677</w:t>
            </w:r>
          </w:p>
        </w:tc>
        <w:tc>
          <w:tcPr>
            <w:tcW w:w="0" w:type="auto"/>
            <w:vAlign w:val="center"/>
          </w:tcPr>
          <w:p w:rsidR="00F90440" w:rsidRDefault="00A22D18">
            <w:pPr>
              <w:jc w:val="center"/>
            </w:pPr>
            <w:r>
              <w:rPr>
                <w:color w:val="000000"/>
                <w:sz w:val="24"/>
              </w:rPr>
              <w:t>20</w:t>
            </w:r>
            <w:r>
              <w:rPr>
                <w:color w:val="000000"/>
                <w:sz w:val="24"/>
              </w:rPr>
              <w:t>领航</w:t>
            </w:r>
            <w:r>
              <w:rPr>
                <w:color w:val="000000"/>
                <w:sz w:val="24"/>
              </w:rPr>
              <w:t>1A</w:t>
            </w:r>
          </w:p>
        </w:tc>
        <w:tc>
          <w:tcPr>
            <w:tcW w:w="0" w:type="auto"/>
            <w:vAlign w:val="center"/>
          </w:tcPr>
          <w:p w:rsidR="00F90440" w:rsidRDefault="00A22D18">
            <w:pPr>
              <w:jc w:val="right"/>
            </w:pPr>
            <w:r>
              <w:rPr>
                <w:color w:val="000000"/>
                <w:sz w:val="24"/>
              </w:rPr>
              <w:t>300,000</w:t>
            </w:r>
          </w:p>
        </w:tc>
        <w:tc>
          <w:tcPr>
            <w:tcW w:w="0" w:type="auto"/>
            <w:vAlign w:val="center"/>
          </w:tcPr>
          <w:p w:rsidR="00F90440" w:rsidRDefault="00A22D18">
            <w:pPr>
              <w:jc w:val="right"/>
            </w:pPr>
            <w:r>
              <w:rPr>
                <w:color w:val="000000"/>
                <w:sz w:val="24"/>
              </w:rPr>
              <w:t>30,189,000.00</w:t>
            </w:r>
          </w:p>
        </w:tc>
        <w:tc>
          <w:tcPr>
            <w:tcW w:w="0" w:type="auto"/>
            <w:vAlign w:val="center"/>
          </w:tcPr>
          <w:p w:rsidR="00F90440" w:rsidRDefault="00A22D18">
            <w:pPr>
              <w:jc w:val="right"/>
            </w:pPr>
            <w:r>
              <w:rPr>
                <w:color w:val="000000"/>
                <w:sz w:val="24"/>
              </w:rPr>
              <w:t>0.41</w:t>
            </w:r>
          </w:p>
        </w:tc>
      </w:tr>
      <w:tr w:rsidR="00F90440">
        <w:tc>
          <w:tcPr>
            <w:tcW w:w="0" w:type="auto"/>
            <w:vAlign w:val="center"/>
          </w:tcPr>
          <w:p w:rsidR="00F90440" w:rsidRDefault="00A22D18">
            <w:pPr>
              <w:jc w:val="center"/>
            </w:pPr>
            <w:r>
              <w:rPr>
                <w:color w:val="000000"/>
                <w:sz w:val="24"/>
              </w:rPr>
              <w:t>2</w:t>
            </w:r>
          </w:p>
        </w:tc>
        <w:tc>
          <w:tcPr>
            <w:tcW w:w="0" w:type="auto"/>
            <w:vAlign w:val="center"/>
          </w:tcPr>
          <w:p w:rsidR="00F90440" w:rsidRDefault="00A22D18">
            <w:pPr>
              <w:jc w:val="center"/>
            </w:pPr>
            <w:r>
              <w:rPr>
                <w:color w:val="000000"/>
                <w:sz w:val="24"/>
              </w:rPr>
              <w:t>165688</w:t>
            </w:r>
          </w:p>
        </w:tc>
        <w:tc>
          <w:tcPr>
            <w:tcW w:w="0" w:type="auto"/>
            <w:vAlign w:val="center"/>
          </w:tcPr>
          <w:p w:rsidR="00F90440" w:rsidRDefault="00A22D18">
            <w:pPr>
              <w:jc w:val="center"/>
            </w:pPr>
            <w:r>
              <w:rPr>
                <w:color w:val="000000"/>
                <w:sz w:val="24"/>
              </w:rPr>
              <w:t>天信</w:t>
            </w:r>
            <w:r>
              <w:rPr>
                <w:color w:val="000000"/>
                <w:sz w:val="24"/>
              </w:rPr>
              <w:t>5A</w:t>
            </w:r>
          </w:p>
        </w:tc>
        <w:tc>
          <w:tcPr>
            <w:tcW w:w="0" w:type="auto"/>
            <w:vAlign w:val="center"/>
          </w:tcPr>
          <w:p w:rsidR="00F90440" w:rsidRDefault="00A22D18">
            <w:pPr>
              <w:jc w:val="right"/>
            </w:pPr>
            <w:r>
              <w:rPr>
                <w:color w:val="000000"/>
                <w:sz w:val="24"/>
              </w:rPr>
              <w:t>100,000</w:t>
            </w:r>
          </w:p>
        </w:tc>
        <w:tc>
          <w:tcPr>
            <w:tcW w:w="0" w:type="auto"/>
            <w:vAlign w:val="center"/>
          </w:tcPr>
          <w:p w:rsidR="00F90440" w:rsidRDefault="00A22D18">
            <w:pPr>
              <w:jc w:val="right"/>
            </w:pPr>
            <w:r>
              <w:rPr>
                <w:color w:val="000000"/>
                <w:sz w:val="24"/>
              </w:rPr>
              <w:t>10,046,000.00</w:t>
            </w:r>
          </w:p>
        </w:tc>
        <w:tc>
          <w:tcPr>
            <w:tcW w:w="0" w:type="auto"/>
            <w:vAlign w:val="center"/>
          </w:tcPr>
          <w:p w:rsidR="00F90440" w:rsidRDefault="00A22D18">
            <w:pPr>
              <w:jc w:val="right"/>
            </w:pPr>
            <w:r>
              <w:rPr>
                <w:color w:val="000000"/>
                <w:sz w:val="24"/>
              </w:rPr>
              <w:t>0.14</w:t>
            </w:r>
          </w:p>
        </w:tc>
      </w:tr>
      <w:tr w:rsidR="00F90440">
        <w:tc>
          <w:tcPr>
            <w:tcW w:w="0" w:type="auto"/>
            <w:vAlign w:val="center"/>
          </w:tcPr>
          <w:p w:rsidR="00F90440" w:rsidRDefault="00A22D18">
            <w:pPr>
              <w:jc w:val="center"/>
            </w:pPr>
            <w:r>
              <w:rPr>
                <w:color w:val="000000"/>
                <w:sz w:val="24"/>
              </w:rPr>
              <w:t>3</w:t>
            </w:r>
          </w:p>
        </w:tc>
        <w:tc>
          <w:tcPr>
            <w:tcW w:w="0" w:type="auto"/>
            <w:vAlign w:val="center"/>
          </w:tcPr>
          <w:p w:rsidR="00F90440" w:rsidRDefault="00A22D18">
            <w:pPr>
              <w:jc w:val="center"/>
            </w:pPr>
            <w:r>
              <w:rPr>
                <w:color w:val="000000"/>
                <w:sz w:val="24"/>
              </w:rPr>
              <w:t>138411</w:t>
            </w:r>
          </w:p>
        </w:tc>
        <w:tc>
          <w:tcPr>
            <w:tcW w:w="0" w:type="auto"/>
            <w:vAlign w:val="center"/>
          </w:tcPr>
          <w:p w:rsidR="00F90440" w:rsidRDefault="00A22D18">
            <w:pPr>
              <w:jc w:val="center"/>
            </w:pPr>
            <w:r>
              <w:rPr>
                <w:color w:val="000000"/>
                <w:sz w:val="24"/>
              </w:rPr>
              <w:t>荟享</w:t>
            </w:r>
            <w:r>
              <w:rPr>
                <w:color w:val="000000"/>
                <w:sz w:val="24"/>
              </w:rPr>
              <w:t>034A</w:t>
            </w:r>
          </w:p>
        </w:tc>
        <w:tc>
          <w:tcPr>
            <w:tcW w:w="0" w:type="auto"/>
            <w:vAlign w:val="center"/>
          </w:tcPr>
          <w:p w:rsidR="00F90440" w:rsidRDefault="00A22D18">
            <w:pPr>
              <w:jc w:val="right"/>
            </w:pPr>
            <w:r>
              <w:rPr>
                <w:color w:val="000000"/>
                <w:sz w:val="24"/>
              </w:rPr>
              <w:t>100,000</w:t>
            </w:r>
          </w:p>
        </w:tc>
        <w:tc>
          <w:tcPr>
            <w:tcW w:w="0" w:type="auto"/>
            <w:vAlign w:val="center"/>
          </w:tcPr>
          <w:p w:rsidR="00F90440" w:rsidRDefault="00A22D18">
            <w:pPr>
              <w:jc w:val="right"/>
            </w:pPr>
            <w:r>
              <w:rPr>
                <w:color w:val="000000"/>
                <w:sz w:val="24"/>
              </w:rPr>
              <w:t>10,045,000.00</w:t>
            </w:r>
          </w:p>
        </w:tc>
        <w:tc>
          <w:tcPr>
            <w:tcW w:w="0" w:type="auto"/>
            <w:vAlign w:val="center"/>
          </w:tcPr>
          <w:p w:rsidR="00F90440" w:rsidRDefault="00A22D18">
            <w:pPr>
              <w:jc w:val="right"/>
            </w:pPr>
            <w:r>
              <w:rPr>
                <w:color w:val="000000"/>
                <w:sz w:val="24"/>
              </w:rPr>
              <w:t>0.14</w:t>
            </w:r>
          </w:p>
        </w:tc>
      </w:tr>
      <w:tr w:rsidR="00F90440">
        <w:tc>
          <w:tcPr>
            <w:tcW w:w="0" w:type="auto"/>
            <w:vAlign w:val="center"/>
          </w:tcPr>
          <w:p w:rsidR="00F90440" w:rsidRDefault="00A22D18">
            <w:pPr>
              <w:jc w:val="center"/>
            </w:pPr>
            <w:r>
              <w:rPr>
                <w:color w:val="000000"/>
                <w:sz w:val="24"/>
              </w:rPr>
              <w:t>4</w:t>
            </w:r>
          </w:p>
        </w:tc>
        <w:tc>
          <w:tcPr>
            <w:tcW w:w="0" w:type="auto"/>
            <w:vAlign w:val="center"/>
          </w:tcPr>
          <w:p w:rsidR="00F90440" w:rsidRDefault="00A22D18">
            <w:pPr>
              <w:jc w:val="center"/>
            </w:pPr>
            <w:r>
              <w:rPr>
                <w:color w:val="000000"/>
                <w:sz w:val="24"/>
              </w:rPr>
              <w:t>165717</w:t>
            </w:r>
          </w:p>
        </w:tc>
        <w:tc>
          <w:tcPr>
            <w:tcW w:w="0" w:type="auto"/>
            <w:vAlign w:val="center"/>
          </w:tcPr>
          <w:p w:rsidR="00F90440" w:rsidRDefault="00A22D18">
            <w:pPr>
              <w:jc w:val="center"/>
            </w:pPr>
            <w:r>
              <w:rPr>
                <w:color w:val="000000"/>
                <w:sz w:val="24"/>
              </w:rPr>
              <w:t>20</w:t>
            </w:r>
            <w:r>
              <w:rPr>
                <w:color w:val="000000"/>
                <w:sz w:val="24"/>
              </w:rPr>
              <w:t>六局</w:t>
            </w:r>
            <w:r>
              <w:rPr>
                <w:color w:val="000000"/>
                <w:sz w:val="24"/>
              </w:rPr>
              <w:t>2A</w:t>
            </w:r>
          </w:p>
        </w:tc>
        <w:tc>
          <w:tcPr>
            <w:tcW w:w="0" w:type="auto"/>
            <w:vAlign w:val="center"/>
          </w:tcPr>
          <w:p w:rsidR="00F90440" w:rsidRDefault="00A22D18">
            <w:pPr>
              <w:jc w:val="right"/>
            </w:pPr>
            <w:r>
              <w:rPr>
                <w:color w:val="000000"/>
                <w:sz w:val="24"/>
              </w:rPr>
              <w:t>100,000</w:t>
            </w:r>
          </w:p>
        </w:tc>
        <w:tc>
          <w:tcPr>
            <w:tcW w:w="0" w:type="auto"/>
            <w:vAlign w:val="center"/>
          </w:tcPr>
          <w:p w:rsidR="00F90440" w:rsidRDefault="00A22D18">
            <w:pPr>
              <w:jc w:val="right"/>
            </w:pPr>
            <w:r>
              <w:rPr>
                <w:color w:val="000000"/>
                <w:sz w:val="24"/>
              </w:rPr>
              <w:t>10,037,000.00</w:t>
            </w:r>
          </w:p>
        </w:tc>
        <w:tc>
          <w:tcPr>
            <w:tcW w:w="0" w:type="auto"/>
            <w:vAlign w:val="center"/>
          </w:tcPr>
          <w:p w:rsidR="00F90440" w:rsidRDefault="00A22D18">
            <w:pPr>
              <w:jc w:val="right"/>
            </w:pPr>
            <w:r>
              <w:rPr>
                <w:color w:val="000000"/>
                <w:sz w:val="24"/>
              </w:rPr>
              <w:t>0.14</w:t>
            </w:r>
          </w:p>
        </w:tc>
      </w:tr>
      <w:tr w:rsidR="00F90440">
        <w:tc>
          <w:tcPr>
            <w:tcW w:w="0" w:type="auto"/>
            <w:vAlign w:val="center"/>
          </w:tcPr>
          <w:p w:rsidR="00F90440" w:rsidRDefault="00A22D18">
            <w:pPr>
              <w:jc w:val="center"/>
            </w:pPr>
            <w:r>
              <w:rPr>
                <w:color w:val="000000"/>
                <w:sz w:val="24"/>
              </w:rPr>
              <w:t>5</w:t>
            </w:r>
          </w:p>
        </w:tc>
        <w:tc>
          <w:tcPr>
            <w:tcW w:w="0" w:type="auto"/>
            <w:vAlign w:val="center"/>
          </w:tcPr>
          <w:p w:rsidR="00F90440" w:rsidRDefault="00A22D18">
            <w:pPr>
              <w:jc w:val="center"/>
            </w:pPr>
            <w:r>
              <w:rPr>
                <w:color w:val="000000"/>
                <w:sz w:val="24"/>
              </w:rPr>
              <w:t>138473</w:t>
            </w:r>
          </w:p>
        </w:tc>
        <w:tc>
          <w:tcPr>
            <w:tcW w:w="0" w:type="auto"/>
            <w:vAlign w:val="center"/>
          </w:tcPr>
          <w:p w:rsidR="00F90440" w:rsidRDefault="00A22D18">
            <w:pPr>
              <w:jc w:val="center"/>
            </w:pPr>
            <w:r>
              <w:rPr>
                <w:color w:val="000000"/>
                <w:sz w:val="24"/>
              </w:rPr>
              <w:t>南链优</w:t>
            </w:r>
            <w:r>
              <w:rPr>
                <w:color w:val="000000"/>
                <w:sz w:val="24"/>
              </w:rPr>
              <w:t>05</w:t>
            </w:r>
          </w:p>
        </w:tc>
        <w:tc>
          <w:tcPr>
            <w:tcW w:w="0" w:type="auto"/>
            <w:vAlign w:val="center"/>
          </w:tcPr>
          <w:p w:rsidR="00F90440" w:rsidRDefault="00A22D18">
            <w:pPr>
              <w:jc w:val="right"/>
            </w:pPr>
            <w:r>
              <w:rPr>
                <w:color w:val="000000"/>
                <w:sz w:val="24"/>
              </w:rPr>
              <w:t>100,000</w:t>
            </w:r>
          </w:p>
        </w:tc>
        <w:tc>
          <w:tcPr>
            <w:tcW w:w="0" w:type="auto"/>
            <w:vAlign w:val="center"/>
          </w:tcPr>
          <w:p w:rsidR="00F90440" w:rsidRDefault="00A22D18">
            <w:pPr>
              <w:jc w:val="right"/>
            </w:pPr>
            <w:r>
              <w:rPr>
                <w:color w:val="000000"/>
                <w:sz w:val="24"/>
              </w:rPr>
              <w:t>10,024,000.00</w:t>
            </w:r>
          </w:p>
        </w:tc>
        <w:tc>
          <w:tcPr>
            <w:tcW w:w="0" w:type="auto"/>
            <w:vAlign w:val="center"/>
          </w:tcPr>
          <w:p w:rsidR="00F90440" w:rsidRDefault="00A22D18">
            <w:pPr>
              <w:jc w:val="right"/>
            </w:pPr>
            <w:r>
              <w:rPr>
                <w:color w:val="000000"/>
                <w:sz w:val="24"/>
              </w:rPr>
              <w:t>0.14</w:t>
            </w:r>
          </w:p>
        </w:tc>
      </w:tr>
      <w:tr w:rsidR="00F90440">
        <w:tc>
          <w:tcPr>
            <w:tcW w:w="0" w:type="auto"/>
            <w:vAlign w:val="center"/>
          </w:tcPr>
          <w:p w:rsidR="00F90440" w:rsidRDefault="00A22D18">
            <w:pPr>
              <w:jc w:val="center"/>
            </w:pPr>
            <w:r>
              <w:rPr>
                <w:color w:val="000000"/>
                <w:sz w:val="24"/>
              </w:rPr>
              <w:t>6</w:t>
            </w:r>
          </w:p>
        </w:tc>
        <w:tc>
          <w:tcPr>
            <w:tcW w:w="0" w:type="auto"/>
            <w:vAlign w:val="center"/>
          </w:tcPr>
          <w:p w:rsidR="00F90440" w:rsidRDefault="00A22D18">
            <w:pPr>
              <w:jc w:val="center"/>
            </w:pPr>
            <w:r>
              <w:rPr>
                <w:color w:val="000000"/>
                <w:sz w:val="24"/>
              </w:rPr>
              <w:t>138470</w:t>
            </w:r>
          </w:p>
        </w:tc>
        <w:tc>
          <w:tcPr>
            <w:tcW w:w="0" w:type="auto"/>
            <w:vAlign w:val="center"/>
          </w:tcPr>
          <w:p w:rsidR="00F90440" w:rsidRDefault="00A22D18">
            <w:pPr>
              <w:jc w:val="center"/>
            </w:pPr>
            <w:r>
              <w:rPr>
                <w:color w:val="000000"/>
                <w:sz w:val="24"/>
              </w:rPr>
              <w:t>鹏举</w:t>
            </w:r>
            <w:r>
              <w:rPr>
                <w:color w:val="000000"/>
                <w:sz w:val="24"/>
              </w:rPr>
              <w:t>04</w:t>
            </w:r>
            <w:r>
              <w:rPr>
                <w:color w:val="000000"/>
                <w:sz w:val="24"/>
              </w:rPr>
              <w:t>优</w:t>
            </w:r>
          </w:p>
        </w:tc>
        <w:tc>
          <w:tcPr>
            <w:tcW w:w="0" w:type="auto"/>
            <w:vAlign w:val="center"/>
          </w:tcPr>
          <w:p w:rsidR="00F90440" w:rsidRDefault="00A22D18">
            <w:pPr>
              <w:jc w:val="right"/>
            </w:pPr>
            <w:r>
              <w:rPr>
                <w:color w:val="000000"/>
                <w:sz w:val="24"/>
              </w:rPr>
              <w:t>100,000</w:t>
            </w:r>
          </w:p>
        </w:tc>
        <w:tc>
          <w:tcPr>
            <w:tcW w:w="0" w:type="auto"/>
            <w:vAlign w:val="center"/>
          </w:tcPr>
          <w:p w:rsidR="00F90440" w:rsidRDefault="00A22D18">
            <w:pPr>
              <w:jc w:val="right"/>
            </w:pPr>
            <w:r>
              <w:rPr>
                <w:color w:val="000000"/>
                <w:sz w:val="24"/>
              </w:rPr>
              <w:t>10,023,000.00</w:t>
            </w:r>
          </w:p>
        </w:tc>
        <w:tc>
          <w:tcPr>
            <w:tcW w:w="0" w:type="auto"/>
            <w:vAlign w:val="center"/>
          </w:tcPr>
          <w:p w:rsidR="00F90440" w:rsidRDefault="00A22D18">
            <w:pPr>
              <w:jc w:val="right"/>
            </w:pPr>
            <w:r>
              <w:rPr>
                <w:color w:val="000000"/>
                <w:sz w:val="24"/>
              </w:rPr>
              <w:t>0.14</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65,475.26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10,991,518.81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160,389,086.82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5,851,854.63</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177,297,935.52</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F90440">
        <w:tc>
          <w:tcPr>
            <w:tcW w:w="0" w:type="auto"/>
            <w:vAlign w:val="center"/>
          </w:tcPr>
          <w:p w:rsidR="00F90440" w:rsidRDefault="00A22D18">
            <w:pPr>
              <w:jc w:val="center"/>
            </w:pPr>
            <w:r>
              <w:rPr>
                <w:color w:val="000000"/>
                <w:sz w:val="24"/>
              </w:rPr>
              <w:t>1</w:t>
            </w:r>
          </w:p>
        </w:tc>
        <w:tc>
          <w:tcPr>
            <w:tcW w:w="0" w:type="auto"/>
            <w:vAlign w:val="center"/>
          </w:tcPr>
          <w:p w:rsidR="00F90440" w:rsidRDefault="00A22D18">
            <w:pPr>
              <w:jc w:val="center"/>
            </w:pPr>
            <w:r>
              <w:rPr>
                <w:color w:val="000000"/>
                <w:sz w:val="24"/>
              </w:rPr>
              <w:t>132009</w:t>
            </w:r>
          </w:p>
        </w:tc>
        <w:tc>
          <w:tcPr>
            <w:tcW w:w="0" w:type="auto"/>
            <w:vAlign w:val="center"/>
          </w:tcPr>
          <w:p w:rsidR="00F90440" w:rsidRDefault="00A22D18">
            <w:pPr>
              <w:jc w:val="center"/>
            </w:pPr>
            <w:r>
              <w:rPr>
                <w:color w:val="000000"/>
                <w:sz w:val="24"/>
              </w:rPr>
              <w:t>17</w:t>
            </w:r>
            <w:r>
              <w:rPr>
                <w:color w:val="000000"/>
                <w:sz w:val="24"/>
              </w:rPr>
              <w:t>中油</w:t>
            </w:r>
            <w:r>
              <w:rPr>
                <w:color w:val="000000"/>
                <w:sz w:val="24"/>
              </w:rPr>
              <w:t>EB</w:t>
            </w:r>
          </w:p>
        </w:tc>
        <w:tc>
          <w:tcPr>
            <w:tcW w:w="0" w:type="auto"/>
            <w:vAlign w:val="center"/>
          </w:tcPr>
          <w:p w:rsidR="00F90440" w:rsidRDefault="00A22D18">
            <w:pPr>
              <w:jc w:val="right"/>
            </w:pPr>
            <w:r>
              <w:rPr>
                <w:color w:val="000000"/>
                <w:sz w:val="24"/>
              </w:rPr>
              <w:t>54,894,233.40</w:t>
            </w:r>
          </w:p>
        </w:tc>
        <w:tc>
          <w:tcPr>
            <w:tcW w:w="0" w:type="auto"/>
            <w:vAlign w:val="center"/>
          </w:tcPr>
          <w:p w:rsidR="00F90440" w:rsidRDefault="00A22D18">
            <w:pPr>
              <w:jc w:val="right"/>
            </w:pPr>
            <w:r>
              <w:rPr>
                <w:color w:val="000000"/>
                <w:sz w:val="24"/>
              </w:rPr>
              <w:t>0.75</w:t>
            </w:r>
          </w:p>
        </w:tc>
      </w:tr>
      <w:tr w:rsidR="00F90440">
        <w:tc>
          <w:tcPr>
            <w:tcW w:w="0" w:type="auto"/>
            <w:vAlign w:val="center"/>
          </w:tcPr>
          <w:p w:rsidR="00F90440" w:rsidRDefault="00A22D18">
            <w:pPr>
              <w:jc w:val="center"/>
            </w:pPr>
            <w:r>
              <w:rPr>
                <w:color w:val="000000"/>
                <w:sz w:val="24"/>
              </w:rPr>
              <w:t>2</w:t>
            </w:r>
          </w:p>
        </w:tc>
        <w:tc>
          <w:tcPr>
            <w:tcW w:w="0" w:type="auto"/>
            <w:vAlign w:val="center"/>
          </w:tcPr>
          <w:p w:rsidR="00F90440" w:rsidRDefault="00A22D18">
            <w:pPr>
              <w:jc w:val="center"/>
            </w:pPr>
            <w:r>
              <w:rPr>
                <w:color w:val="000000"/>
                <w:sz w:val="24"/>
              </w:rPr>
              <w:t>110048</w:t>
            </w:r>
          </w:p>
        </w:tc>
        <w:tc>
          <w:tcPr>
            <w:tcW w:w="0" w:type="auto"/>
            <w:vAlign w:val="center"/>
          </w:tcPr>
          <w:p w:rsidR="00F90440" w:rsidRDefault="00A22D18">
            <w:pPr>
              <w:jc w:val="center"/>
            </w:pPr>
            <w:r>
              <w:rPr>
                <w:color w:val="000000"/>
                <w:sz w:val="24"/>
              </w:rPr>
              <w:t>福能转债</w:t>
            </w:r>
          </w:p>
        </w:tc>
        <w:tc>
          <w:tcPr>
            <w:tcW w:w="0" w:type="auto"/>
            <w:vAlign w:val="center"/>
          </w:tcPr>
          <w:p w:rsidR="00F90440" w:rsidRDefault="00A22D18">
            <w:pPr>
              <w:jc w:val="right"/>
            </w:pPr>
            <w:r>
              <w:rPr>
                <w:color w:val="000000"/>
                <w:sz w:val="24"/>
              </w:rPr>
              <w:t>35,530,267.50</w:t>
            </w:r>
          </w:p>
        </w:tc>
        <w:tc>
          <w:tcPr>
            <w:tcW w:w="0" w:type="auto"/>
            <w:vAlign w:val="center"/>
          </w:tcPr>
          <w:p w:rsidR="00F90440" w:rsidRDefault="00A22D18">
            <w:pPr>
              <w:jc w:val="right"/>
            </w:pPr>
            <w:r>
              <w:rPr>
                <w:color w:val="000000"/>
                <w:sz w:val="24"/>
              </w:rPr>
              <w:t>0.49</w:t>
            </w:r>
          </w:p>
        </w:tc>
      </w:tr>
      <w:tr w:rsidR="00F90440">
        <w:tc>
          <w:tcPr>
            <w:tcW w:w="0" w:type="auto"/>
            <w:vAlign w:val="center"/>
          </w:tcPr>
          <w:p w:rsidR="00F90440" w:rsidRDefault="00A22D18">
            <w:pPr>
              <w:jc w:val="center"/>
            </w:pPr>
            <w:r>
              <w:rPr>
                <w:color w:val="000000"/>
                <w:sz w:val="24"/>
              </w:rPr>
              <w:t>3</w:t>
            </w:r>
          </w:p>
        </w:tc>
        <w:tc>
          <w:tcPr>
            <w:tcW w:w="0" w:type="auto"/>
            <w:vAlign w:val="center"/>
          </w:tcPr>
          <w:p w:rsidR="00F90440" w:rsidRDefault="00A22D18">
            <w:pPr>
              <w:jc w:val="center"/>
            </w:pPr>
            <w:r>
              <w:rPr>
                <w:color w:val="000000"/>
                <w:sz w:val="24"/>
              </w:rPr>
              <w:t>132014</w:t>
            </w:r>
          </w:p>
        </w:tc>
        <w:tc>
          <w:tcPr>
            <w:tcW w:w="0" w:type="auto"/>
            <w:vAlign w:val="center"/>
          </w:tcPr>
          <w:p w:rsidR="00F90440" w:rsidRDefault="00A22D18">
            <w:pPr>
              <w:jc w:val="center"/>
            </w:pPr>
            <w:r>
              <w:rPr>
                <w:color w:val="000000"/>
                <w:sz w:val="24"/>
              </w:rPr>
              <w:t>18</w:t>
            </w:r>
            <w:r>
              <w:rPr>
                <w:color w:val="000000"/>
                <w:sz w:val="24"/>
              </w:rPr>
              <w:t>中化</w:t>
            </w:r>
            <w:r>
              <w:rPr>
                <w:color w:val="000000"/>
                <w:sz w:val="24"/>
              </w:rPr>
              <w:t>EB</w:t>
            </w:r>
          </w:p>
        </w:tc>
        <w:tc>
          <w:tcPr>
            <w:tcW w:w="0" w:type="auto"/>
            <w:vAlign w:val="center"/>
          </w:tcPr>
          <w:p w:rsidR="00F90440" w:rsidRDefault="00A22D18">
            <w:pPr>
              <w:jc w:val="right"/>
            </w:pPr>
            <w:r>
              <w:rPr>
                <w:color w:val="000000"/>
                <w:sz w:val="24"/>
              </w:rPr>
              <w:t>35,103,547.80</w:t>
            </w:r>
          </w:p>
        </w:tc>
        <w:tc>
          <w:tcPr>
            <w:tcW w:w="0" w:type="auto"/>
            <w:vAlign w:val="center"/>
          </w:tcPr>
          <w:p w:rsidR="00F90440" w:rsidRDefault="00A22D18">
            <w:pPr>
              <w:jc w:val="right"/>
            </w:pPr>
            <w:r>
              <w:rPr>
                <w:color w:val="000000"/>
                <w:sz w:val="24"/>
              </w:rPr>
              <w:t>0.48</w:t>
            </w:r>
          </w:p>
        </w:tc>
      </w:tr>
      <w:tr w:rsidR="00F90440">
        <w:tc>
          <w:tcPr>
            <w:tcW w:w="0" w:type="auto"/>
            <w:vAlign w:val="center"/>
          </w:tcPr>
          <w:p w:rsidR="00F90440" w:rsidRDefault="00A22D18">
            <w:pPr>
              <w:jc w:val="center"/>
            </w:pPr>
            <w:r>
              <w:rPr>
                <w:color w:val="000000"/>
                <w:sz w:val="24"/>
              </w:rPr>
              <w:t>4</w:t>
            </w:r>
          </w:p>
        </w:tc>
        <w:tc>
          <w:tcPr>
            <w:tcW w:w="0" w:type="auto"/>
            <w:vAlign w:val="center"/>
          </w:tcPr>
          <w:p w:rsidR="00F90440" w:rsidRDefault="00A22D18">
            <w:pPr>
              <w:jc w:val="center"/>
            </w:pPr>
            <w:r>
              <w:rPr>
                <w:color w:val="000000"/>
                <w:sz w:val="24"/>
              </w:rPr>
              <w:t>128019</w:t>
            </w:r>
          </w:p>
        </w:tc>
        <w:tc>
          <w:tcPr>
            <w:tcW w:w="0" w:type="auto"/>
            <w:vAlign w:val="center"/>
          </w:tcPr>
          <w:p w:rsidR="00F90440" w:rsidRDefault="00A22D18">
            <w:pPr>
              <w:jc w:val="center"/>
            </w:pPr>
            <w:r>
              <w:rPr>
                <w:color w:val="000000"/>
                <w:sz w:val="24"/>
              </w:rPr>
              <w:t>久立转</w:t>
            </w:r>
            <w:r>
              <w:rPr>
                <w:color w:val="000000"/>
                <w:sz w:val="24"/>
              </w:rPr>
              <w:t>2</w:t>
            </w:r>
          </w:p>
        </w:tc>
        <w:tc>
          <w:tcPr>
            <w:tcW w:w="0" w:type="auto"/>
            <w:vAlign w:val="center"/>
          </w:tcPr>
          <w:p w:rsidR="00F90440" w:rsidRDefault="00A22D18">
            <w:pPr>
              <w:jc w:val="right"/>
            </w:pPr>
            <w:r>
              <w:rPr>
                <w:color w:val="000000"/>
                <w:sz w:val="24"/>
              </w:rPr>
              <w:t>34,712,237.00</w:t>
            </w:r>
          </w:p>
        </w:tc>
        <w:tc>
          <w:tcPr>
            <w:tcW w:w="0" w:type="auto"/>
            <w:vAlign w:val="center"/>
          </w:tcPr>
          <w:p w:rsidR="00F90440" w:rsidRDefault="00A22D18">
            <w:pPr>
              <w:jc w:val="right"/>
            </w:pPr>
            <w:r>
              <w:rPr>
                <w:color w:val="000000"/>
                <w:sz w:val="24"/>
              </w:rPr>
              <w:t>0.48</w:t>
            </w:r>
          </w:p>
        </w:tc>
      </w:tr>
      <w:tr w:rsidR="00F90440">
        <w:tc>
          <w:tcPr>
            <w:tcW w:w="0" w:type="auto"/>
            <w:vAlign w:val="center"/>
          </w:tcPr>
          <w:p w:rsidR="00F90440" w:rsidRDefault="00A22D18">
            <w:pPr>
              <w:jc w:val="center"/>
            </w:pPr>
            <w:r>
              <w:rPr>
                <w:color w:val="000000"/>
                <w:sz w:val="24"/>
              </w:rPr>
              <w:t>5</w:t>
            </w:r>
          </w:p>
        </w:tc>
        <w:tc>
          <w:tcPr>
            <w:tcW w:w="0" w:type="auto"/>
            <w:vAlign w:val="center"/>
          </w:tcPr>
          <w:p w:rsidR="00F90440" w:rsidRDefault="00A22D18">
            <w:pPr>
              <w:jc w:val="center"/>
            </w:pPr>
            <w:r>
              <w:rPr>
                <w:color w:val="000000"/>
                <w:sz w:val="24"/>
              </w:rPr>
              <w:t>132005</w:t>
            </w:r>
          </w:p>
        </w:tc>
        <w:tc>
          <w:tcPr>
            <w:tcW w:w="0" w:type="auto"/>
            <w:vAlign w:val="center"/>
          </w:tcPr>
          <w:p w:rsidR="00F90440" w:rsidRDefault="00A22D18">
            <w:pPr>
              <w:jc w:val="center"/>
            </w:pPr>
            <w:r>
              <w:rPr>
                <w:color w:val="000000"/>
                <w:sz w:val="24"/>
              </w:rPr>
              <w:t>15</w:t>
            </w:r>
            <w:r>
              <w:rPr>
                <w:color w:val="000000"/>
                <w:sz w:val="24"/>
              </w:rPr>
              <w:t>国资</w:t>
            </w:r>
            <w:r>
              <w:rPr>
                <w:color w:val="000000"/>
                <w:sz w:val="24"/>
              </w:rPr>
              <w:t>EB</w:t>
            </w:r>
          </w:p>
        </w:tc>
        <w:tc>
          <w:tcPr>
            <w:tcW w:w="0" w:type="auto"/>
            <w:vAlign w:val="center"/>
          </w:tcPr>
          <w:p w:rsidR="00F90440" w:rsidRDefault="00A22D18">
            <w:pPr>
              <w:jc w:val="right"/>
            </w:pPr>
            <w:r>
              <w:rPr>
                <w:color w:val="000000"/>
                <w:sz w:val="24"/>
              </w:rPr>
              <w:t>33,647,600.00</w:t>
            </w:r>
          </w:p>
        </w:tc>
        <w:tc>
          <w:tcPr>
            <w:tcW w:w="0" w:type="auto"/>
            <w:vAlign w:val="center"/>
          </w:tcPr>
          <w:p w:rsidR="00F90440" w:rsidRDefault="00A22D18">
            <w:pPr>
              <w:jc w:val="right"/>
            </w:pPr>
            <w:r>
              <w:rPr>
                <w:color w:val="000000"/>
                <w:sz w:val="24"/>
              </w:rPr>
              <w:t>0.46</w:t>
            </w:r>
          </w:p>
        </w:tc>
      </w:tr>
      <w:tr w:rsidR="00F90440">
        <w:tc>
          <w:tcPr>
            <w:tcW w:w="0" w:type="auto"/>
            <w:vAlign w:val="center"/>
          </w:tcPr>
          <w:p w:rsidR="00F90440" w:rsidRDefault="00A22D18">
            <w:pPr>
              <w:jc w:val="center"/>
            </w:pPr>
            <w:r>
              <w:rPr>
                <w:color w:val="000000"/>
                <w:sz w:val="24"/>
              </w:rPr>
              <w:t>6</w:t>
            </w:r>
          </w:p>
        </w:tc>
        <w:tc>
          <w:tcPr>
            <w:tcW w:w="0" w:type="auto"/>
            <w:vAlign w:val="center"/>
          </w:tcPr>
          <w:p w:rsidR="00F90440" w:rsidRDefault="00A22D18">
            <w:pPr>
              <w:jc w:val="center"/>
            </w:pPr>
            <w:r>
              <w:rPr>
                <w:color w:val="000000"/>
                <w:sz w:val="24"/>
              </w:rPr>
              <w:t>113543</w:t>
            </w:r>
          </w:p>
        </w:tc>
        <w:tc>
          <w:tcPr>
            <w:tcW w:w="0" w:type="auto"/>
            <w:vAlign w:val="center"/>
          </w:tcPr>
          <w:p w:rsidR="00F90440" w:rsidRDefault="00A22D18">
            <w:pPr>
              <w:jc w:val="center"/>
            </w:pPr>
            <w:r>
              <w:rPr>
                <w:color w:val="000000"/>
                <w:sz w:val="24"/>
              </w:rPr>
              <w:t>欧派转债</w:t>
            </w:r>
          </w:p>
        </w:tc>
        <w:tc>
          <w:tcPr>
            <w:tcW w:w="0" w:type="auto"/>
            <w:vAlign w:val="center"/>
          </w:tcPr>
          <w:p w:rsidR="00F90440" w:rsidRDefault="00A22D18">
            <w:pPr>
              <w:jc w:val="right"/>
            </w:pPr>
            <w:r>
              <w:rPr>
                <w:color w:val="000000"/>
                <w:sz w:val="24"/>
              </w:rPr>
              <w:t>26,900,748.00</w:t>
            </w:r>
          </w:p>
        </w:tc>
        <w:tc>
          <w:tcPr>
            <w:tcW w:w="0" w:type="auto"/>
            <w:vAlign w:val="center"/>
          </w:tcPr>
          <w:p w:rsidR="00F90440" w:rsidRDefault="00A22D18">
            <w:pPr>
              <w:jc w:val="right"/>
            </w:pPr>
            <w:r>
              <w:rPr>
                <w:color w:val="000000"/>
                <w:sz w:val="24"/>
              </w:rPr>
              <w:t>0.37</w:t>
            </w:r>
          </w:p>
        </w:tc>
      </w:tr>
      <w:tr w:rsidR="00F90440">
        <w:tc>
          <w:tcPr>
            <w:tcW w:w="0" w:type="auto"/>
            <w:vAlign w:val="center"/>
          </w:tcPr>
          <w:p w:rsidR="00F90440" w:rsidRDefault="00A22D18">
            <w:pPr>
              <w:jc w:val="center"/>
            </w:pPr>
            <w:r>
              <w:rPr>
                <w:color w:val="000000"/>
                <w:sz w:val="24"/>
              </w:rPr>
              <w:t>7</w:t>
            </w:r>
          </w:p>
        </w:tc>
        <w:tc>
          <w:tcPr>
            <w:tcW w:w="0" w:type="auto"/>
            <w:vAlign w:val="center"/>
          </w:tcPr>
          <w:p w:rsidR="00F90440" w:rsidRDefault="00A22D18">
            <w:pPr>
              <w:jc w:val="center"/>
            </w:pPr>
            <w:r>
              <w:rPr>
                <w:color w:val="000000"/>
                <w:sz w:val="24"/>
              </w:rPr>
              <w:t>132015</w:t>
            </w:r>
          </w:p>
        </w:tc>
        <w:tc>
          <w:tcPr>
            <w:tcW w:w="0" w:type="auto"/>
            <w:vAlign w:val="center"/>
          </w:tcPr>
          <w:p w:rsidR="00F90440" w:rsidRDefault="00A22D18">
            <w:pPr>
              <w:jc w:val="center"/>
            </w:pPr>
            <w:r>
              <w:rPr>
                <w:color w:val="000000"/>
                <w:sz w:val="24"/>
              </w:rPr>
              <w:t>18</w:t>
            </w:r>
            <w:r>
              <w:rPr>
                <w:color w:val="000000"/>
                <w:sz w:val="24"/>
              </w:rPr>
              <w:t>中油</w:t>
            </w:r>
            <w:r>
              <w:rPr>
                <w:color w:val="000000"/>
                <w:sz w:val="24"/>
              </w:rPr>
              <w:t>EB</w:t>
            </w:r>
          </w:p>
        </w:tc>
        <w:tc>
          <w:tcPr>
            <w:tcW w:w="0" w:type="auto"/>
            <w:vAlign w:val="center"/>
          </w:tcPr>
          <w:p w:rsidR="00F90440" w:rsidRDefault="00A22D18">
            <w:pPr>
              <w:jc w:val="right"/>
            </w:pPr>
            <w:r>
              <w:rPr>
                <w:color w:val="000000"/>
                <w:sz w:val="24"/>
              </w:rPr>
              <w:t>24,578,447.40</w:t>
            </w:r>
          </w:p>
        </w:tc>
        <w:tc>
          <w:tcPr>
            <w:tcW w:w="0" w:type="auto"/>
            <w:vAlign w:val="center"/>
          </w:tcPr>
          <w:p w:rsidR="00F90440" w:rsidRDefault="00A22D18">
            <w:pPr>
              <w:jc w:val="right"/>
            </w:pPr>
            <w:r>
              <w:rPr>
                <w:color w:val="000000"/>
                <w:sz w:val="24"/>
              </w:rPr>
              <w:t>0.34</w:t>
            </w:r>
          </w:p>
        </w:tc>
      </w:tr>
      <w:tr w:rsidR="00F90440">
        <w:tc>
          <w:tcPr>
            <w:tcW w:w="0" w:type="auto"/>
            <w:vAlign w:val="center"/>
          </w:tcPr>
          <w:p w:rsidR="00F90440" w:rsidRDefault="00A22D18">
            <w:pPr>
              <w:jc w:val="center"/>
            </w:pPr>
            <w:r>
              <w:rPr>
                <w:color w:val="000000"/>
                <w:sz w:val="24"/>
              </w:rPr>
              <w:t>8</w:t>
            </w:r>
          </w:p>
        </w:tc>
        <w:tc>
          <w:tcPr>
            <w:tcW w:w="0" w:type="auto"/>
            <w:vAlign w:val="center"/>
          </w:tcPr>
          <w:p w:rsidR="00F90440" w:rsidRDefault="00A22D18">
            <w:pPr>
              <w:jc w:val="center"/>
            </w:pPr>
            <w:r>
              <w:rPr>
                <w:color w:val="000000"/>
                <w:sz w:val="24"/>
              </w:rPr>
              <w:t>113020</w:t>
            </w:r>
          </w:p>
        </w:tc>
        <w:tc>
          <w:tcPr>
            <w:tcW w:w="0" w:type="auto"/>
            <w:vAlign w:val="center"/>
          </w:tcPr>
          <w:p w:rsidR="00F90440" w:rsidRDefault="00A22D18">
            <w:pPr>
              <w:jc w:val="center"/>
            </w:pPr>
            <w:r>
              <w:rPr>
                <w:color w:val="000000"/>
                <w:sz w:val="24"/>
              </w:rPr>
              <w:t>桐昆转债</w:t>
            </w:r>
          </w:p>
        </w:tc>
        <w:tc>
          <w:tcPr>
            <w:tcW w:w="0" w:type="auto"/>
            <w:vAlign w:val="center"/>
          </w:tcPr>
          <w:p w:rsidR="00F90440" w:rsidRDefault="00A22D18">
            <w:pPr>
              <w:jc w:val="right"/>
            </w:pPr>
            <w:r>
              <w:rPr>
                <w:color w:val="000000"/>
                <w:sz w:val="24"/>
              </w:rPr>
              <w:t>24,054,497.40</w:t>
            </w:r>
          </w:p>
        </w:tc>
        <w:tc>
          <w:tcPr>
            <w:tcW w:w="0" w:type="auto"/>
            <w:vAlign w:val="center"/>
          </w:tcPr>
          <w:p w:rsidR="00F90440" w:rsidRDefault="00A22D18">
            <w:pPr>
              <w:jc w:val="right"/>
            </w:pPr>
            <w:r>
              <w:rPr>
                <w:color w:val="000000"/>
                <w:sz w:val="24"/>
              </w:rPr>
              <w:t>0.33</w:t>
            </w:r>
          </w:p>
        </w:tc>
      </w:tr>
      <w:tr w:rsidR="00F90440">
        <w:tc>
          <w:tcPr>
            <w:tcW w:w="0" w:type="auto"/>
            <w:vAlign w:val="center"/>
          </w:tcPr>
          <w:p w:rsidR="00F90440" w:rsidRDefault="00A22D18">
            <w:pPr>
              <w:jc w:val="center"/>
            </w:pPr>
            <w:r>
              <w:rPr>
                <w:color w:val="000000"/>
                <w:sz w:val="24"/>
              </w:rPr>
              <w:t>9</w:t>
            </w:r>
          </w:p>
        </w:tc>
        <w:tc>
          <w:tcPr>
            <w:tcW w:w="0" w:type="auto"/>
            <w:vAlign w:val="center"/>
          </w:tcPr>
          <w:p w:rsidR="00F90440" w:rsidRDefault="00A22D18">
            <w:pPr>
              <w:jc w:val="center"/>
            </w:pPr>
            <w:r>
              <w:rPr>
                <w:color w:val="000000"/>
                <w:sz w:val="24"/>
              </w:rPr>
              <w:t>113508</w:t>
            </w:r>
          </w:p>
        </w:tc>
        <w:tc>
          <w:tcPr>
            <w:tcW w:w="0" w:type="auto"/>
            <w:vAlign w:val="center"/>
          </w:tcPr>
          <w:p w:rsidR="00F90440" w:rsidRDefault="00A22D18">
            <w:pPr>
              <w:jc w:val="center"/>
            </w:pPr>
            <w:r>
              <w:rPr>
                <w:color w:val="000000"/>
                <w:sz w:val="24"/>
              </w:rPr>
              <w:t>新凤转债</w:t>
            </w:r>
          </w:p>
        </w:tc>
        <w:tc>
          <w:tcPr>
            <w:tcW w:w="0" w:type="auto"/>
            <w:vAlign w:val="center"/>
          </w:tcPr>
          <w:p w:rsidR="00F90440" w:rsidRDefault="00A22D18">
            <w:pPr>
              <w:jc w:val="right"/>
            </w:pPr>
            <w:r>
              <w:rPr>
                <w:color w:val="000000"/>
                <w:sz w:val="24"/>
              </w:rPr>
              <w:t>20,784,427.20</w:t>
            </w:r>
          </w:p>
        </w:tc>
        <w:tc>
          <w:tcPr>
            <w:tcW w:w="0" w:type="auto"/>
            <w:vAlign w:val="center"/>
          </w:tcPr>
          <w:p w:rsidR="00F90440" w:rsidRDefault="00A22D18">
            <w:pPr>
              <w:jc w:val="right"/>
            </w:pPr>
            <w:r>
              <w:rPr>
                <w:color w:val="000000"/>
                <w:sz w:val="24"/>
              </w:rPr>
              <w:t>0.28</w:t>
            </w:r>
          </w:p>
        </w:tc>
      </w:tr>
      <w:tr w:rsidR="00F90440">
        <w:tc>
          <w:tcPr>
            <w:tcW w:w="0" w:type="auto"/>
            <w:vAlign w:val="center"/>
          </w:tcPr>
          <w:p w:rsidR="00F90440" w:rsidRDefault="00A22D18">
            <w:pPr>
              <w:jc w:val="center"/>
            </w:pPr>
            <w:r>
              <w:rPr>
                <w:color w:val="000000"/>
                <w:sz w:val="24"/>
              </w:rPr>
              <w:t>10</w:t>
            </w:r>
          </w:p>
        </w:tc>
        <w:tc>
          <w:tcPr>
            <w:tcW w:w="0" w:type="auto"/>
            <w:vAlign w:val="center"/>
          </w:tcPr>
          <w:p w:rsidR="00F90440" w:rsidRDefault="00A22D18">
            <w:pPr>
              <w:jc w:val="center"/>
            </w:pPr>
            <w:r>
              <w:rPr>
                <w:color w:val="000000"/>
                <w:sz w:val="24"/>
              </w:rPr>
              <w:t>128035</w:t>
            </w:r>
          </w:p>
        </w:tc>
        <w:tc>
          <w:tcPr>
            <w:tcW w:w="0" w:type="auto"/>
            <w:vAlign w:val="center"/>
          </w:tcPr>
          <w:p w:rsidR="00F90440" w:rsidRDefault="00A22D18">
            <w:pPr>
              <w:jc w:val="center"/>
            </w:pPr>
            <w:r>
              <w:rPr>
                <w:color w:val="000000"/>
                <w:sz w:val="24"/>
              </w:rPr>
              <w:t>大族转债</w:t>
            </w:r>
          </w:p>
        </w:tc>
        <w:tc>
          <w:tcPr>
            <w:tcW w:w="0" w:type="auto"/>
            <w:vAlign w:val="center"/>
          </w:tcPr>
          <w:p w:rsidR="00F90440" w:rsidRDefault="00A22D18">
            <w:pPr>
              <w:jc w:val="right"/>
            </w:pPr>
            <w:r>
              <w:rPr>
                <w:color w:val="000000"/>
                <w:sz w:val="24"/>
              </w:rPr>
              <w:t>20,645,377.20</w:t>
            </w:r>
          </w:p>
        </w:tc>
        <w:tc>
          <w:tcPr>
            <w:tcW w:w="0" w:type="auto"/>
            <w:vAlign w:val="center"/>
          </w:tcPr>
          <w:p w:rsidR="00F90440" w:rsidRDefault="00A22D18">
            <w:pPr>
              <w:jc w:val="right"/>
            </w:pPr>
            <w:r>
              <w:rPr>
                <w:color w:val="000000"/>
                <w:sz w:val="24"/>
              </w:rPr>
              <w:t>0.28</w:t>
            </w:r>
          </w:p>
        </w:tc>
      </w:tr>
      <w:tr w:rsidR="00F90440">
        <w:tc>
          <w:tcPr>
            <w:tcW w:w="0" w:type="auto"/>
            <w:vAlign w:val="center"/>
          </w:tcPr>
          <w:p w:rsidR="00F90440" w:rsidRDefault="00A22D18">
            <w:pPr>
              <w:jc w:val="center"/>
            </w:pPr>
            <w:r>
              <w:rPr>
                <w:color w:val="000000"/>
                <w:sz w:val="24"/>
              </w:rPr>
              <w:t>11</w:t>
            </w:r>
          </w:p>
        </w:tc>
        <w:tc>
          <w:tcPr>
            <w:tcW w:w="0" w:type="auto"/>
            <w:vAlign w:val="center"/>
          </w:tcPr>
          <w:p w:rsidR="00F90440" w:rsidRDefault="00A22D18">
            <w:pPr>
              <w:jc w:val="center"/>
            </w:pPr>
            <w:r>
              <w:rPr>
                <w:color w:val="000000"/>
                <w:sz w:val="24"/>
              </w:rPr>
              <w:t>110047</w:t>
            </w:r>
          </w:p>
        </w:tc>
        <w:tc>
          <w:tcPr>
            <w:tcW w:w="0" w:type="auto"/>
            <w:vAlign w:val="center"/>
          </w:tcPr>
          <w:p w:rsidR="00F90440" w:rsidRDefault="00A22D18">
            <w:pPr>
              <w:jc w:val="center"/>
            </w:pPr>
            <w:r>
              <w:rPr>
                <w:color w:val="000000"/>
                <w:sz w:val="24"/>
              </w:rPr>
              <w:t>山鹰转债</w:t>
            </w:r>
          </w:p>
        </w:tc>
        <w:tc>
          <w:tcPr>
            <w:tcW w:w="0" w:type="auto"/>
            <w:vAlign w:val="center"/>
          </w:tcPr>
          <w:p w:rsidR="00F90440" w:rsidRDefault="00A22D18">
            <w:pPr>
              <w:jc w:val="right"/>
            </w:pPr>
            <w:r>
              <w:rPr>
                <w:color w:val="000000"/>
                <w:sz w:val="24"/>
              </w:rPr>
              <w:t>20,567,186.50</w:t>
            </w:r>
          </w:p>
        </w:tc>
        <w:tc>
          <w:tcPr>
            <w:tcW w:w="0" w:type="auto"/>
            <w:vAlign w:val="center"/>
          </w:tcPr>
          <w:p w:rsidR="00F90440" w:rsidRDefault="00A22D18">
            <w:pPr>
              <w:jc w:val="right"/>
            </w:pPr>
            <w:r>
              <w:rPr>
                <w:color w:val="000000"/>
                <w:sz w:val="24"/>
              </w:rPr>
              <w:t>0.28</w:t>
            </w:r>
          </w:p>
        </w:tc>
      </w:tr>
      <w:tr w:rsidR="00F90440">
        <w:tc>
          <w:tcPr>
            <w:tcW w:w="0" w:type="auto"/>
            <w:vAlign w:val="center"/>
          </w:tcPr>
          <w:p w:rsidR="00F90440" w:rsidRDefault="00A22D18">
            <w:pPr>
              <w:jc w:val="center"/>
            </w:pPr>
            <w:r>
              <w:rPr>
                <w:color w:val="000000"/>
                <w:sz w:val="24"/>
              </w:rPr>
              <w:t>12</w:t>
            </w:r>
          </w:p>
        </w:tc>
        <w:tc>
          <w:tcPr>
            <w:tcW w:w="0" w:type="auto"/>
            <w:vAlign w:val="center"/>
          </w:tcPr>
          <w:p w:rsidR="00F90440" w:rsidRDefault="00A22D18">
            <w:pPr>
              <w:jc w:val="center"/>
            </w:pPr>
            <w:r>
              <w:rPr>
                <w:color w:val="000000"/>
                <w:sz w:val="24"/>
              </w:rPr>
              <w:t>110031</w:t>
            </w:r>
          </w:p>
        </w:tc>
        <w:tc>
          <w:tcPr>
            <w:tcW w:w="0" w:type="auto"/>
            <w:vAlign w:val="center"/>
          </w:tcPr>
          <w:p w:rsidR="00F90440" w:rsidRDefault="00A22D18">
            <w:pPr>
              <w:jc w:val="center"/>
            </w:pPr>
            <w:r>
              <w:rPr>
                <w:color w:val="000000"/>
                <w:sz w:val="24"/>
              </w:rPr>
              <w:t>航信转债</w:t>
            </w:r>
          </w:p>
        </w:tc>
        <w:tc>
          <w:tcPr>
            <w:tcW w:w="0" w:type="auto"/>
            <w:vAlign w:val="center"/>
          </w:tcPr>
          <w:p w:rsidR="00F90440" w:rsidRDefault="00A22D18">
            <w:pPr>
              <w:jc w:val="right"/>
            </w:pPr>
            <w:r>
              <w:rPr>
                <w:color w:val="000000"/>
                <w:sz w:val="24"/>
              </w:rPr>
              <w:t>15,441,808.20</w:t>
            </w:r>
          </w:p>
        </w:tc>
        <w:tc>
          <w:tcPr>
            <w:tcW w:w="0" w:type="auto"/>
            <w:vAlign w:val="center"/>
          </w:tcPr>
          <w:p w:rsidR="00F90440" w:rsidRDefault="00A22D18">
            <w:pPr>
              <w:jc w:val="right"/>
            </w:pPr>
            <w:r>
              <w:rPr>
                <w:color w:val="000000"/>
                <w:sz w:val="24"/>
              </w:rPr>
              <w:t>0.21</w:t>
            </w:r>
          </w:p>
        </w:tc>
      </w:tr>
      <w:tr w:rsidR="00F90440">
        <w:tc>
          <w:tcPr>
            <w:tcW w:w="0" w:type="auto"/>
            <w:vAlign w:val="center"/>
          </w:tcPr>
          <w:p w:rsidR="00F90440" w:rsidRDefault="00A22D18">
            <w:pPr>
              <w:jc w:val="center"/>
            </w:pPr>
            <w:r>
              <w:rPr>
                <w:color w:val="000000"/>
                <w:sz w:val="24"/>
              </w:rPr>
              <w:t>13</w:t>
            </w:r>
          </w:p>
        </w:tc>
        <w:tc>
          <w:tcPr>
            <w:tcW w:w="0" w:type="auto"/>
            <w:vAlign w:val="center"/>
          </w:tcPr>
          <w:p w:rsidR="00F90440" w:rsidRDefault="00A22D18">
            <w:pPr>
              <w:jc w:val="center"/>
            </w:pPr>
            <w:r>
              <w:rPr>
                <w:color w:val="000000"/>
                <w:sz w:val="24"/>
              </w:rPr>
              <w:t>128054</w:t>
            </w:r>
          </w:p>
        </w:tc>
        <w:tc>
          <w:tcPr>
            <w:tcW w:w="0" w:type="auto"/>
            <w:vAlign w:val="center"/>
          </w:tcPr>
          <w:p w:rsidR="00F90440" w:rsidRDefault="00A22D18">
            <w:pPr>
              <w:jc w:val="center"/>
            </w:pPr>
            <w:r>
              <w:rPr>
                <w:color w:val="000000"/>
                <w:sz w:val="24"/>
              </w:rPr>
              <w:t>中宠转债</w:t>
            </w:r>
          </w:p>
        </w:tc>
        <w:tc>
          <w:tcPr>
            <w:tcW w:w="0" w:type="auto"/>
            <w:vAlign w:val="center"/>
          </w:tcPr>
          <w:p w:rsidR="00F90440" w:rsidRDefault="00A22D18">
            <w:pPr>
              <w:jc w:val="right"/>
            </w:pPr>
            <w:r>
              <w:rPr>
                <w:color w:val="000000"/>
                <w:sz w:val="24"/>
              </w:rPr>
              <w:t>11,355,605.60</w:t>
            </w:r>
          </w:p>
        </w:tc>
        <w:tc>
          <w:tcPr>
            <w:tcW w:w="0" w:type="auto"/>
            <w:vAlign w:val="center"/>
          </w:tcPr>
          <w:p w:rsidR="00F90440" w:rsidRDefault="00A22D18">
            <w:pPr>
              <w:jc w:val="right"/>
            </w:pPr>
            <w:r>
              <w:rPr>
                <w:color w:val="000000"/>
                <w:sz w:val="24"/>
              </w:rPr>
              <w:t>0.16</w:t>
            </w:r>
          </w:p>
        </w:tc>
      </w:tr>
      <w:tr w:rsidR="00F90440">
        <w:tc>
          <w:tcPr>
            <w:tcW w:w="0" w:type="auto"/>
            <w:vAlign w:val="center"/>
          </w:tcPr>
          <w:p w:rsidR="00F90440" w:rsidRDefault="00A22D18">
            <w:pPr>
              <w:jc w:val="center"/>
            </w:pPr>
            <w:r>
              <w:rPr>
                <w:color w:val="000000"/>
                <w:sz w:val="24"/>
              </w:rPr>
              <w:t>14</w:t>
            </w:r>
          </w:p>
        </w:tc>
        <w:tc>
          <w:tcPr>
            <w:tcW w:w="0" w:type="auto"/>
            <w:vAlign w:val="center"/>
          </w:tcPr>
          <w:p w:rsidR="00F90440" w:rsidRDefault="00A22D18">
            <w:pPr>
              <w:jc w:val="center"/>
            </w:pPr>
            <w:r>
              <w:rPr>
                <w:color w:val="000000"/>
                <w:sz w:val="24"/>
              </w:rPr>
              <w:t>128021</w:t>
            </w:r>
          </w:p>
        </w:tc>
        <w:tc>
          <w:tcPr>
            <w:tcW w:w="0" w:type="auto"/>
            <w:vAlign w:val="center"/>
          </w:tcPr>
          <w:p w:rsidR="00F90440" w:rsidRDefault="00A22D18">
            <w:pPr>
              <w:jc w:val="center"/>
            </w:pPr>
            <w:r>
              <w:rPr>
                <w:color w:val="000000"/>
                <w:sz w:val="24"/>
              </w:rPr>
              <w:t>兄弟转债</w:t>
            </w:r>
          </w:p>
        </w:tc>
        <w:tc>
          <w:tcPr>
            <w:tcW w:w="0" w:type="auto"/>
            <w:vAlign w:val="center"/>
          </w:tcPr>
          <w:p w:rsidR="00F90440" w:rsidRDefault="00A22D18">
            <w:pPr>
              <w:jc w:val="right"/>
            </w:pPr>
            <w:r>
              <w:rPr>
                <w:color w:val="000000"/>
                <w:sz w:val="24"/>
              </w:rPr>
              <w:t>6,339,232.20</w:t>
            </w:r>
          </w:p>
        </w:tc>
        <w:tc>
          <w:tcPr>
            <w:tcW w:w="0" w:type="auto"/>
            <w:vAlign w:val="center"/>
          </w:tcPr>
          <w:p w:rsidR="00F90440" w:rsidRDefault="00A22D18">
            <w:pPr>
              <w:jc w:val="right"/>
            </w:pPr>
            <w:r>
              <w:rPr>
                <w:color w:val="000000"/>
                <w:sz w:val="24"/>
              </w:rPr>
              <w:t>0.09</w:t>
            </w:r>
          </w:p>
        </w:tc>
      </w:tr>
      <w:tr w:rsidR="00F90440">
        <w:tc>
          <w:tcPr>
            <w:tcW w:w="0" w:type="auto"/>
            <w:vAlign w:val="center"/>
          </w:tcPr>
          <w:p w:rsidR="00F90440" w:rsidRDefault="00A22D18">
            <w:pPr>
              <w:jc w:val="center"/>
            </w:pPr>
            <w:r>
              <w:rPr>
                <w:color w:val="000000"/>
                <w:sz w:val="24"/>
              </w:rPr>
              <w:t>15</w:t>
            </w:r>
          </w:p>
        </w:tc>
        <w:tc>
          <w:tcPr>
            <w:tcW w:w="0" w:type="auto"/>
            <w:vAlign w:val="center"/>
          </w:tcPr>
          <w:p w:rsidR="00F90440" w:rsidRDefault="00A22D18">
            <w:pPr>
              <w:jc w:val="center"/>
            </w:pPr>
            <w:r>
              <w:rPr>
                <w:color w:val="000000"/>
                <w:sz w:val="24"/>
              </w:rPr>
              <w:t>128037</w:t>
            </w:r>
          </w:p>
        </w:tc>
        <w:tc>
          <w:tcPr>
            <w:tcW w:w="0" w:type="auto"/>
            <w:vAlign w:val="center"/>
          </w:tcPr>
          <w:p w:rsidR="00F90440" w:rsidRDefault="00A22D18">
            <w:pPr>
              <w:jc w:val="center"/>
            </w:pPr>
            <w:r>
              <w:rPr>
                <w:color w:val="000000"/>
                <w:sz w:val="24"/>
              </w:rPr>
              <w:t>岩土转债</w:t>
            </w:r>
          </w:p>
        </w:tc>
        <w:tc>
          <w:tcPr>
            <w:tcW w:w="0" w:type="auto"/>
            <w:vAlign w:val="center"/>
          </w:tcPr>
          <w:p w:rsidR="00F90440" w:rsidRDefault="00A22D18">
            <w:pPr>
              <w:jc w:val="right"/>
            </w:pPr>
            <w:r>
              <w:rPr>
                <w:color w:val="000000"/>
                <w:sz w:val="24"/>
              </w:rPr>
              <w:t>5,437,777.32</w:t>
            </w:r>
          </w:p>
        </w:tc>
        <w:tc>
          <w:tcPr>
            <w:tcW w:w="0" w:type="auto"/>
            <w:vAlign w:val="center"/>
          </w:tcPr>
          <w:p w:rsidR="00F90440" w:rsidRDefault="00A22D18">
            <w:pPr>
              <w:jc w:val="right"/>
            </w:pPr>
            <w:r>
              <w:rPr>
                <w:color w:val="000000"/>
                <w:sz w:val="24"/>
              </w:rPr>
              <w:t>0.07</w:t>
            </w:r>
          </w:p>
        </w:tc>
      </w:tr>
      <w:tr w:rsidR="00F90440">
        <w:tc>
          <w:tcPr>
            <w:tcW w:w="0" w:type="auto"/>
            <w:vAlign w:val="center"/>
          </w:tcPr>
          <w:p w:rsidR="00F90440" w:rsidRDefault="00A22D18">
            <w:pPr>
              <w:jc w:val="center"/>
            </w:pPr>
            <w:r>
              <w:rPr>
                <w:color w:val="000000"/>
                <w:sz w:val="24"/>
              </w:rPr>
              <w:t>16</w:t>
            </w:r>
          </w:p>
        </w:tc>
        <w:tc>
          <w:tcPr>
            <w:tcW w:w="0" w:type="auto"/>
            <w:vAlign w:val="center"/>
          </w:tcPr>
          <w:p w:rsidR="00F90440" w:rsidRDefault="00A22D18">
            <w:pPr>
              <w:jc w:val="center"/>
            </w:pPr>
            <w:r>
              <w:rPr>
                <w:color w:val="000000"/>
                <w:sz w:val="24"/>
              </w:rPr>
              <w:t>128058</w:t>
            </w:r>
          </w:p>
        </w:tc>
        <w:tc>
          <w:tcPr>
            <w:tcW w:w="0" w:type="auto"/>
            <w:vAlign w:val="center"/>
          </w:tcPr>
          <w:p w:rsidR="00F90440" w:rsidRDefault="00A22D18">
            <w:pPr>
              <w:jc w:val="center"/>
            </w:pPr>
            <w:r>
              <w:rPr>
                <w:color w:val="000000"/>
                <w:sz w:val="24"/>
              </w:rPr>
              <w:t>拓邦转债</w:t>
            </w:r>
          </w:p>
        </w:tc>
        <w:tc>
          <w:tcPr>
            <w:tcW w:w="0" w:type="auto"/>
            <w:vAlign w:val="center"/>
          </w:tcPr>
          <w:p w:rsidR="00F90440" w:rsidRDefault="00A22D18">
            <w:pPr>
              <w:jc w:val="right"/>
            </w:pPr>
            <w:r>
              <w:rPr>
                <w:color w:val="000000"/>
                <w:sz w:val="24"/>
              </w:rPr>
              <w:t>4,555,554.43</w:t>
            </w:r>
          </w:p>
        </w:tc>
        <w:tc>
          <w:tcPr>
            <w:tcW w:w="0" w:type="auto"/>
            <w:vAlign w:val="center"/>
          </w:tcPr>
          <w:p w:rsidR="00F90440" w:rsidRDefault="00A22D18">
            <w:pPr>
              <w:jc w:val="right"/>
            </w:pPr>
            <w:r>
              <w:rPr>
                <w:color w:val="000000"/>
                <w:sz w:val="24"/>
              </w:rPr>
              <w:t>0.06</w:t>
            </w:r>
          </w:p>
        </w:tc>
      </w:tr>
      <w:tr w:rsidR="00F90440">
        <w:tc>
          <w:tcPr>
            <w:tcW w:w="0" w:type="auto"/>
            <w:vAlign w:val="center"/>
          </w:tcPr>
          <w:p w:rsidR="00F90440" w:rsidRDefault="00A22D18">
            <w:pPr>
              <w:jc w:val="center"/>
            </w:pPr>
            <w:r>
              <w:rPr>
                <w:color w:val="000000"/>
                <w:sz w:val="24"/>
              </w:rPr>
              <w:t>17</w:t>
            </w:r>
          </w:p>
        </w:tc>
        <w:tc>
          <w:tcPr>
            <w:tcW w:w="0" w:type="auto"/>
            <w:vAlign w:val="center"/>
          </w:tcPr>
          <w:p w:rsidR="00F90440" w:rsidRDefault="00A22D18">
            <w:pPr>
              <w:jc w:val="center"/>
            </w:pPr>
            <w:r>
              <w:rPr>
                <w:color w:val="000000"/>
                <w:sz w:val="24"/>
              </w:rPr>
              <w:t>128022</w:t>
            </w:r>
          </w:p>
        </w:tc>
        <w:tc>
          <w:tcPr>
            <w:tcW w:w="0" w:type="auto"/>
            <w:vAlign w:val="center"/>
          </w:tcPr>
          <w:p w:rsidR="00F90440" w:rsidRDefault="00A22D18">
            <w:pPr>
              <w:jc w:val="center"/>
            </w:pPr>
            <w:r>
              <w:rPr>
                <w:color w:val="000000"/>
                <w:sz w:val="24"/>
              </w:rPr>
              <w:t>众信转债</w:t>
            </w:r>
          </w:p>
        </w:tc>
        <w:tc>
          <w:tcPr>
            <w:tcW w:w="0" w:type="auto"/>
            <w:vAlign w:val="center"/>
          </w:tcPr>
          <w:p w:rsidR="00F90440" w:rsidRDefault="00A22D18">
            <w:pPr>
              <w:jc w:val="right"/>
            </w:pPr>
            <w:r>
              <w:rPr>
                <w:color w:val="000000"/>
                <w:sz w:val="24"/>
              </w:rPr>
              <w:t>3,681,587.00</w:t>
            </w:r>
          </w:p>
        </w:tc>
        <w:tc>
          <w:tcPr>
            <w:tcW w:w="0" w:type="auto"/>
            <w:vAlign w:val="center"/>
          </w:tcPr>
          <w:p w:rsidR="00F90440" w:rsidRDefault="00A22D18">
            <w:pPr>
              <w:jc w:val="right"/>
            </w:pPr>
            <w:r>
              <w:rPr>
                <w:color w:val="000000"/>
                <w:sz w:val="24"/>
              </w:rPr>
              <w:t>0.05</w:t>
            </w:r>
          </w:p>
        </w:tc>
      </w:tr>
      <w:tr w:rsidR="00F90440">
        <w:tc>
          <w:tcPr>
            <w:tcW w:w="0" w:type="auto"/>
            <w:vAlign w:val="center"/>
          </w:tcPr>
          <w:p w:rsidR="00F90440" w:rsidRDefault="00A22D18">
            <w:pPr>
              <w:jc w:val="center"/>
            </w:pPr>
            <w:r>
              <w:rPr>
                <w:color w:val="000000"/>
                <w:sz w:val="24"/>
              </w:rPr>
              <w:t>18</w:t>
            </w:r>
          </w:p>
        </w:tc>
        <w:tc>
          <w:tcPr>
            <w:tcW w:w="0" w:type="auto"/>
            <w:vAlign w:val="center"/>
          </w:tcPr>
          <w:p w:rsidR="00F90440" w:rsidRDefault="00A22D18">
            <w:pPr>
              <w:jc w:val="center"/>
            </w:pPr>
            <w:r>
              <w:rPr>
                <w:color w:val="000000"/>
                <w:sz w:val="24"/>
              </w:rPr>
              <w:t>113519</w:t>
            </w:r>
          </w:p>
        </w:tc>
        <w:tc>
          <w:tcPr>
            <w:tcW w:w="0" w:type="auto"/>
            <w:vAlign w:val="center"/>
          </w:tcPr>
          <w:p w:rsidR="00F90440" w:rsidRDefault="00A22D18">
            <w:pPr>
              <w:jc w:val="center"/>
            </w:pPr>
            <w:r>
              <w:rPr>
                <w:color w:val="000000"/>
                <w:sz w:val="24"/>
              </w:rPr>
              <w:t>长久转债</w:t>
            </w:r>
          </w:p>
        </w:tc>
        <w:tc>
          <w:tcPr>
            <w:tcW w:w="0" w:type="auto"/>
            <w:vAlign w:val="center"/>
          </w:tcPr>
          <w:p w:rsidR="00F90440" w:rsidRDefault="00A22D18">
            <w:pPr>
              <w:jc w:val="right"/>
            </w:pPr>
            <w:r>
              <w:rPr>
                <w:color w:val="000000"/>
                <w:sz w:val="24"/>
              </w:rPr>
              <w:t>2,397,137.70</w:t>
            </w:r>
          </w:p>
        </w:tc>
        <w:tc>
          <w:tcPr>
            <w:tcW w:w="0" w:type="auto"/>
            <w:vAlign w:val="center"/>
          </w:tcPr>
          <w:p w:rsidR="00F90440" w:rsidRDefault="00A22D18">
            <w:pPr>
              <w:jc w:val="right"/>
            </w:pPr>
            <w:r>
              <w:rPr>
                <w:color w:val="000000"/>
                <w:sz w:val="24"/>
              </w:rPr>
              <w:t>0.03</w:t>
            </w:r>
          </w:p>
        </w:tc>
      </w:tr>
      <w:tr w:rsidR="00F90440">
        <w:tc>
          <w:tcPr>
            <w:tcW w:w="0" w:type="auto"/>
            <w:vAlign w:val="center"/>
          </w:tcPr>
          <w:p w:rsidR="00F90440" w:rsidRDefault="00A22D18">
            <w:pPr>
              <w:jc w:val="center"/>
            </w:pPr>
            <w:r>
              <w:rPr>
                <w:color w:val="000000"/>
                <w:sz w:val="24"/>
              </w:rPr>
              <w:t>19</w:t>
            </w:r>
          </w:p>
        </w:tc>
        <w:tc>
          <w:tcPr>
            <w:tcW w:w="0" w:type="auto"/>
            <w:vAlign w:val="center"/>
          </w:tcPr>
          <w:p w:rsidR="00F90440" w:rsidRDefault="00A22D18">
            <w:pPr>
              <w:jc w:val="center"/>
            </w:pPr>
            <w:r>
              <w:rPr>
                <w:color w:val="000000"/>
                <w:sz w:val="24"/>
              </w:rPr>
              <w:t>113011</w:t>
            </w:r>
          </w:p>
        </w:tc>
        <w:tc>
          <w:tcPr>
            <w:tcW w:w="0" w:type="auto"/>
            <w:vAlign w:val="center"/>
          </w:tcPr>
          <w:p w:rsidR="00F90440" w:rsidRDefault="00A22D18">
            <w:pPr>
              <w:jc w:val="center"/>
            </w:pPr>
            <w:r>
              <w:rPr>
                <w:color w:val="000000"/>
                <w:sz w:val="24"/>
              </w:rPr>
              <w:t>光大转债</w:t>
            </w:r>
          </w:p>
        </w:tc>
        <w:tc>
          <w:tcPr>
            <w:tcW w:w="0" w:type="auto"/>
            <w:vAlign w:val="center"/>
          </w:tcPr>
          <w:p w:rsidR="00F90440" w:rsidRDefault="00A22D18">
            <w:pPr>
              <w:jc w:val="right"/>
            </w:pPr>
            <w:r>
              <w:rPr>
                <w:color w:val="000000"/>
                <w:sz w:val="24"/>
              </w:rPr>
              <w:t>2,342,000.00</w:t>
            </w:r>
          </w:p>
        </w:tc>
        <w:tc>
          <w:tcPr>
            <w:tcW w:w="0" w:type="auto"/>
            <w:vAlign w:val="center"/>
          </w:tcPr>
          <w:p w:rsidR="00F90440" w:rsidRDefault="00A22D18">
            <w:pPr>
              <w:jc w:val="right"/>
            </w:pPr>
            <w:r>
              <w:rPr>
                <w:color w:val="000000"/>
                <w:sz w:val="24"/>
              </w:rPr>
              <w:t>0.03</w:t>
            </w:r>
          </w:p>
        </w:tc>
      </w:tr>
      <w:tr w:rsidR="00F90440">
        <w:tc>
          <w:tcPr>
            <w:tcW w:w="0" w:type="auto"/>
            <w:vAlign w:val="center"/>
          </w:tcPr>
          <w:p w:rsidR="00F90440" w:rsidRDefault="00A22D18">
            <w:pPr>
              <w:jc w:val="center"/>
            </w:pPr>
            <w:r>
              <w:rPr>
                <w:color w:val="000000"/>
                <w:sz w:val="24"/>
              </w:rPr>
              <w:t>20</w:t>
            </w:r>
          </w:p>
        </w:tc>
        <w:tc>
          <w:tcPr>
            <w:tcW w:w="0" w:type="auto"/>
            <w:vAlign w:val="center"/>
          </w:tcPr>
          <w:p w:rsidR="00F90440" w:rsidRDefault="00A22D18">
            <w:pPr>
              <w:jc w:val="center"/>
            </w:pPr>
            <w:r>
              <w:rPr>
                <w:color w:val="000000"/>
                <w:sz w:val="24"/>
              </w:rPr>
              <w:t>110053</w:t>
            </w:r>
          </w:p>
        </w:tc>
        <w:tc>
          <w:tcPr>
            <w:tcW w:w="0" w:type="auto"/>
            <w:vAlign w:val="center"/>
          </w:tcPr>
          <w:p w:rsidR="00F90440" w:rsidRDefault="00A22D18">
            <w:pPr>
              <w:jc w:val="center"/>
            </w:pPr>
            <w:r>
              <w:rPr>
                <w:color w:val="000000"/>
                <w:sz w:val="24"/>
              </w:rPr>
              <w:t>苏银转债</w:t>
            </w:r>
          </w:p>
        </w:tc>
        <w:tc>
          <w:tcPr>
            <w:tcW w:w="0" w:type="auto"/>
            <w:vAlign w:val="center"/>
          </w:tcPr>
          <w:p w:rsidR="00F90440" w:rsidRDefault="00A22D18">
            <w:pPr>
              <w:jc w:val="right"/>
            </w:pPr>
            <w:r>
              <w:rPr>
                <w:color w:val="000000"/>
                <w:sz w:val="24"/>
              </w:rPr>
              <w:t>2,249,008.50</w:t>
            </w:r>
          </w:p>
        </w:tc>
        <w:tc>
          <w:tcPr>
            <w:tcW w:w="0" w:type="auto"/>
            <w:vAlign w:val="center"/>
          </w:tcPr>
          <w:p w:rsidR="00F90440" w:rsidRDefault="00A22D18">
            <w:pPr>
              <w:jc w:val="right"/>
            </w:pPr>
            <w:r>
              <w:rPr>
                <w:color w:val="000000"/>
                <w:sz w:val="24"/>
              </w:rPr>
              <w:t>0.03</w:t>
            </w:r>
          </w:p>
        </w:tc>
      </w:tr>
      <w:tr w:rsidR="00F90440">
        <w:tc>
          <w:tcPr>
            <w:tcW w:w="0" w:type="auto"/>
            <w:vAlign w:val="center"/>
          </w:tcPr>
          <w:p w:rsidR="00F90440" w:rsidRDefault="00A22D18">
            <w:pPr>
              <w:jc w:val="center"/>
            </w:pPr>
            <w:r>
              <w:rPr>
                <w:color w:val="000000"/>
                <w:sz w:val="24"/>
              </w:rPr>
              <w:t>21</w:t>
            </w:r>
          </w:p>
        </w:tc>
        <w:tc>
          <w:tcPr>
            <w:tcW w:w="0" w:type="auto"/>
            <w:vAlign w:val="center"/>
          </w:tcPr>
          <w:p w:rsidR="00F90440" w:rsidRDefault="00A22D18">
            <w:pPr>
              <w:jc w:val="center"/>
            </w:pPr>
            <w:r>
              <w:rPr>
                <w:color w:val="000000"/>
                <w:sz w:val="24"/>
              </w:rPr>
              <w:t>110045</w:t>
            </w:r>
          </w:p>
        </w:tc>
        <w:tc>
          <w:tcPr>
            <w:tcW w:w="0" w:type="auto"/>
            <w:vAlign w:val="center"/>
          </w:tcPr>
          <w:p w:rsidR="00F90440" w:rsidRDefault="00A22D18">
            <w:pPr>
              <w:jc w:val="center"/>
            </w:pPr>
            <w:r>
              <w:rPr>
                <w:color w:val="000000"/>
                <w:sz w:val="24"/>
              </w:rPr>
              <w:t>海澜转债</w:t>
            </w:r>
          </w:p>
        </w:tc>
        <w:tc>
          <w:tcPr>
            <w:tcW w:w="0" w:type="auto"/>
            <w:vAlign w:val="center"/>
          </w:tcPr>
          <w:p w:rsidR="00F90440" w:rsidRDefault="00A22D18">
            <w:pPr>
              <w:jc w:val="right"/>
            </w:pPr>
            <w:r>
              <w:rPr>
                <w:color w:val="000000"/>
                <w:sz w:val="24"/>
              </w:rPr>
              <w:t>2,053,600.00</w:t>
            </w:r>
          </w:p>
        </w:tc>
        <w:tc>
          <w:tcPr>
            <w:tcW w:w="0" w:type="auto"/>
            <w:vAlign w:val="center"/>
          </w:tcPr>
          <w:p w:rsidR="00F90440" w:rsidRDefault="00A22D18">
            <w:pPr>
              <w:jc w:val="right"/>
            </w:pPr>
            <w:r>
              <w:rPr>
                <w:color w:val="000000"/>
                <w:sz w:val="24"/>
              </w:rPr>
              <w:t>0.03</w:t>
            </w:r>
          </w:p>
        </w:tc>
      </w:tr>
      <w:tr w:rsidR="00F90440">
        <w:tc>
          <w:tcPr>
            <w:tcW w:w="0" w:type="auto"/>
            <w:vAlign w:val="center"/>
          </w:tcPr>
          <w:p w:rsidR="00F90440" w:rsidRDefault="00A22D18">
            <w:pPr>
              <w:jc w:val="center"/>
            </w:pPr>
            <w:r>
              <w:rPr>
                <w:color w:val="000000"/>
                <w:sz w:val="24"/>
              </w:rPr>
              <w:t>22</w:t>
            </w:r>
          </w:p>
        </w:tc>
        <w:tc>
          <w:tcPr>
            <w:tcW w:w="0" w:type="auto"/>
            <w:vAlign w:val="center"/>
          </w:tcPr>
          <w:p w:rsidR="00F90440" w:rsidRDefault="00A22D18">
            <w:pPr>
              <w:jc w:val="center"/>
            </w:pPr>
            <w:r>
              <w:rPr>
                <w:color w:val="000000"/>
                <w:sz w:val="24"/>
              </w:rPr>
              <w:t>132013</w:t>
            </w:r>
          </w:p>
        </w:tc>
        <w:tc>
          <w:tcPr>
            <w:tcW w:w="0" w:type="auto"/>
            <w:vAlign w:val="center"/>
          </w:tcPr>
          <w:p w:rsidR="00F90440" w:rsidRDefault="00A22D18">
            <w:pPr>
              <w:jc w:val="center"/>
            </w:pPr>
            <w:r>
              <w:rPr>
                <w:color w:val="000000"/>
                <w:sz w:val="24"/>
              </w:rPr>
              <w:t>17</w:t>
            </w:r>
            <w:r>
              <w:rPr>
                <w:color w:val="000000"/>
                <w:sz w:val="24"/>
              </w:rPr>
              <w:t>宝武</w:t>
            </w:r>
            <w:r>
              <w:rPr>
                <w:color w:val="000000"/>
                <w:sz w:val="24"/>
              </w:rPr>
              <w:t>EB</w:t>
            </w:r>
          </w:p>
        </w:tc>
        <w:tc>
          <w:tcPr>
            <w:tcW w:w="0" w:type="auto"/>
            <w:vAlign w:val="center"/>
          </w:tcPr>
          <w:p w:rsidR="00F90440" w:rsidRDefault="00A22D18">
            <w:pPr>
              <w:jc w:val="right"/>
            </w:pPr>
            <w:r>
              <w:rPr>
                <w:color w:val="000000"/>
                <w:sz w:val="24"/>
              </w:rPr>
              <w:t>2,039,800.00</w:t>
            </w:r>
          </w:p>
        </w:tc>
        <w:tc>
          <w:tcPr>
            <w:tcW w:w="0" w:type="auto"/>
            <w:vAlign w:val="center"/>
          </w:tcPr>
          <w:p w:rsidR="00F90440" w:rsidRDefault="00A22D18">
            <w:pPr>
              <w:jc w:val="right"/>
            </w:pPr>
            <w:r>
              <w:rPr>
                <w:color w:val="000000"/>
                <w:sz w:val="24"/>
              </w:rPr>
              <w:t>0.03</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易方达增强回报债券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易方达增强回报债券</w:t>
            </w:r>
            <w:r w:rsidRPr="00FA472B">
              <w:rPr>
                <w:sz w:val="24"/>
              </w:rPr>
              <w:t>B</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3,393,304,495.37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1,235,953,139.58</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1,560,220,426.80</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1,010,040,905.07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953,836,086.54</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532,046,289.26</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3,999,688,835.63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1,713,947,755.39</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F90440" w:rsidRDefault="00A22D18">
      <w:pPr>
        <w:spacing w:line="360" w:lineRule="auto"/>
        <w:ind w:firstLineChars="200" w:firstLine="480"/>
        <w:rPr>
          <w:color w:val="000000"/>
          <w:sz w:val="24"/>
        </w:rPr>
      </w:pPr>
      <w:r>
        <w:rPr>
          <w:color w:val="000000"/>
          <w:sz w:val="24"/>
        </w:rPr>
        <w:t>1.</w:t>
      </w:r>
      <w:r>
        <w:rPr>
          <w:color w:val="000000"/>
          <w:sz w:val="24"/>
        </w:rPr>
        <w:t>中国证监会核准易方达增强回报债券型证券投资基金募集的文件；</w:t>
      </w:r>
    </w:p>
    <w:p w:rsidR="00F90440" w:rsidRDefault="00A22D18">
      <w:pPr>
        <w:spacing w:line="360" w:lineRule="auto"/>
        <w:ind w:firstLineChars="200" w:firstLine="480"/>
        <w:rPr>
          <w:color w:val="000000"/>
          <w:sz w:val="24"/>
        </w:rPr>
      </w:pPr>
      <w:r>
        <w:rPr>
          <w:color w:val="000000"/>
          <w:sz w:val="24"/>
        </w:rPr>
        <w:t>2.</w:t>
      </w:r>
      <w:r>
        <w:rPr>
          <w:color w:val="000000"/>
          <w:sz w:val="24"/>
        </w:rPr>
        <w:t>《易方达增强回报债券型证券投资基金基金合同》；</w:t>
      </w:r>
    </w:p>
    <w:p w:rsidR="00F90440" w:rsidRDefault="00A22D18">
      <w:pPr>
        <w:spacing w:line="360" w:lineRule="auto"/>
        <w:ind w:firstLineChars="200" w:firstLine="480"/>
        <w:rPr>
          <w:color w:val="000000"/>
          <w:sz w:val="24"/>
        </w:rPr>
      </w:pPr>
      <w:r>
        <w:rPr>
          <w:color w:val="000000"/>
          <w:sz w:val="24"/>
        </w:rPr>
        <w:t>3.</w:t>
      </w:r>
      <w:r>
        <w:rPr>
          <w:color w:val="000000"/>
          <w:sz w:val="24"/>
        </w:rPr>
        <w:t>《易方达增强回报债券型证券投资基金托管协议》；</w:t>
      </w:r>
    </w:p>
    <w:p w:rsidR="00F90440" w:rsidRDefault="00A22D18">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基金管理人业务资格批件和营业执照。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A22D18">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A22D18">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A22D18">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易方达增强回报债券型证券投资基金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2D18"/>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0440"/>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4A761B3-DEAB-4A51-88A4-41F96509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1482</Words>
  <Characters>8451</Characters>
  <Application>Microsoft Office Word</Application>
  <DocSecurity>4</DocSecurity>
  <Lines>70</Lines>
  <Paragraphs>19</Paragraphs>
  <ScaleCrop>false</ScaleCrop>
  <Company>TRT. Ltd. Co.</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