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易方达科翔混合型证券投资基金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FA6536" w:rsidRDefault="00FB3747">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A6536" w:rsidRDefault="00FB3747">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A6536" w:rsidRDefault="00FB3747">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A6536" w:rsidRDefault="00FB3747">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A6536" w:rsidRDefault="00FB3747">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易方达科翔混合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110013</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110013</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2008</w:t>
            </w:r>
            <w:r w:rsidRPr="00232B03">
              <w:rPr>
                <w:color w:val="000000"/>
                <w:kern w:val="0"/>
                <w:sz w:val="24"/>
                <w:szCs w:val="24"/>
              </w:rPr>
              <w:t>年</w:t>
            </w:r>
            <w:r w:rsidRPr="00232B03">
              <w:rPr>
                <w:color w:val="000000"/>
                <w:kern w:val="0"/>
                <w:sz w:val="24"/>
                <w:szCs w:val="24"/>
              </w:rPr>
              <w:t>11</w:t>
            </w:r>
            <w:r w:rsidRPr="00232B03">
              <w:rPr>
                <w:color w:val="000000"/>
                <w:kern w:val="0"/>
                <w:sz w:val="24"/>
                <w:szCs w:val="24"/>
              </w:rPr>
              <w:t>月</w:t>
            </w:r>
            <w:r w:rsidRPr="00232B03">
              <w:rPr>
                <w:color w:val="000000"/>
                <w:kern w:val="0"/>
                <w:sz w:val="24"/>
                <w:szCs w:val="24"/>
              </w:rPr>
              <w:t>13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1,079,842,271.28</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本基金主要投资于红利股，追求在有效控制风险的前提下，实现基金资产的长期稳健增值。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本基金基于定量与定性相结合的宏观及市场分析，确定组合中股票、债券、货币市场工具及其他金融工具的比例，追求更高收益，回避市场风险。</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80%×</w:t>
            </w:r>
            <w:r w:rsidRPr="00232B03">
              <w:rPr>
                <w:color w:val="000000"/>
                <w:kern w:val="0"/>
                <w:sz w:val="24"/>
                <w:szCs w:val="24"/>
              </w:rPr>
              <w:t>中证红利指数收益率＋中债总指数收益率</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本基金为混合基金，理论上其风险收益水平高于债券基金和货币市场基金，低于股票基金。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557,925,469.97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110,421,148.88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0.1013</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3,440,818,371.57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3.186</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FA6536" w:rsidRDefault="00FB3747">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所述基金业绩指标不包括持有人交易基金的各项费用，计入费用后实际收益水平要低于所列数字。</w:t>
      </w:r>
    </w:p>
    <w:p w:rsidR="00FA6536" w:rsidRDefault="00FB3747">
      <w:pPr>
        <w:spacing w:line="360" w:lineRule="auto"/>
        <w:ind w:firstLineChars="200" w:firstLine="480"/>
        <w:rPr>
          <w:color w:val="000000"/>
          <w:sz w:val="24"/>
          <w:szCs w:val="24"/>
        </w:rPr>
      </w:pPr>
      <w:r>
        <w:rPr>
          <w:color w:val="000000"/>
          <w:sz w:val="24"/>
        </w:rPr>
        <w:t>2.</w:t>
      </w:r>
      <w:r>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32B03" w:rsidRDefault="00392044" w:rsidP="00232B03">
      <w:pPr>
        <w:spacing w:line="360" w:lineRule="auto"/>
        <w:ind w:firstLineChars="200" w:firstLine="480"/>
        <w:rPr>
          <w:color w:val="000000"/>
          <w:sz w:val="24"/>
          <w:szCs w:val="24"/>
        </w:rPr>
      </w:pPr>
      <w:r w:rsidRPr="006506EF">
        <w:rPr>
          <w:color w:val="000000"/>
          <w:sz w:val="24"/>
        </w:rPr>
        <w:t>3.</w:t>
      </w:r>
      <w:r w:rsidRPr="006506EF">
        <w:rPr>
          <w:color w:val="000000"/>
          <w:sz w:val="24"/>
        </w:rPr>
        <w:t>本基金已于</w:t>
      </w:r>
      <w:r w:rsidRPr="006506EF">
        <w:rPr>
          <w:color w:val="000000"/>
          <w:sz w:val="24"/>
        </w:rPr>
        <w:t>2008</w:t>
      </w:r>
      <w:r w:rsidRPr="006506EF">
        <w:rPr>
          <w:color w:val="000000"/>
          <w:sz w:val="24"/>
        </w:rPr>
        <w:t>年</w:t>
      </w:r>
      <w:r w:rsidRPr="006506EF">
        <w:rPr>
          <w:color w:val="000000"/>
          <w:sz w:val="24"/>
        </w:rPr>
        <w:t>12</w:t>
      </w:r>
      <w:r w:rsidRPr="006506EF">
        <w:rPr>
          <w:color w:val="000000"/>
          <w:sz w:val="24"/>
        </w:rPr>
        <w:t>月</w:t>
      </w:r>
      <w:r w:rsidRPr="006506EF">
        <w:rPr>
          <w:color w:val="000000"/>
          <w:sz w:val="24"/>
        </w:rPr>
        <w:t>12</w:t>
      </w:r>
      <w:r w:rsidRPr="006506EF">
        <w:rPr>
          <w:color w:val="000000"/>
          <w:sz w:val="24"/>
        </w:rPr>
        <w:t>日对原基金科翔退市时的基金份额进行了拆分，基金拆分比例为</w:t>
      </w:r>
      <w:r w:rsidRPr="006506EF">
        <w:rPr>
          <w:color w:val="000000"/>
          <w:sz w:val="24"/>
        </w:rPr>
        <w:t>1</w:t>
      </w:r>
      <w:r w:rsidRPr="006506EF">
        <w:rPr>
          <w:color w:val="000000"/>
          <w:sz w:val="24"/>
        </w:rPr>
        <w:t>：</w:t>
      </w:r>
      <w:r w:rsidRPr="006506EF">
        <w:rPr>
          <w:color w:val="000000"/>
          <w:sz w:val="24"/>
        </w:rPr>
        <w:t>1.340278796</w:t>
      </w:r>
      <w:r w:rsidRPr="006506EF">
        <w:rPr>
          <w:color w:val="000000"/>
          <w:sz w:val="24"/>
        </w:rPr>
        <w:t>。</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FA6536">
        <w:tc>
          <w:tcPr>
            <w:tcW w:w="0" w:type="auto"/>
            <w:vAlign w:val="center"/>
          </w:tcPr>
          <w:p w:rsidR="00FA6536" w:rsidRDefault="00FB3747">
            <w:pPr>
              <w:jc w:val="left"/>
            </w:pPr>
            <w:r>
              <w:rPr>
                <w:color w:val="000000"/>
                <w:kern w:val="0"/>
                <w:sz w:val="24"/>
                <w:szCs w:val="24"/>
              </w:rPr>
              <w:t>过去三个月</w:t>
            </w:r>
          </w:p>
        </w:tc>
        <w:tc>
          <w:tcPr>
            <w:tcW w:w="0" w:type="auto"/>
            <w:vAlign w:val="center"/>
          </w:tcPr>
          <w:p w:rsidR="00FA6536" w:rsidRDefault="00FB3747">
            <w:pPr>
              <w:jc w:val="center"/>
            </w:pPr>
            <w:r>
              <w:rPr>
                <w:color w:val="000000"/>
                <w:kern w:val="0"/>
                <w:sz w:val="24"/>
                <w:szCs w:val="24"/>
              </w:rPr>
              <w:t>2.59%</w:t>
            </w:r>
          </w:p>
        </w:tc>
        <w:tc>
          <w:tcPr>
            <w:tcW w:w="0" w:type="auto"/>
            <w:vAlign w:val="center"/>
          </w:tcPr>
          <w:p w:rsidR="00FA6536" w:rsidRDefault="00FB3747">
            <w:pPr>
              <w:jc w:val="center"/>
            </w:pPr>
            <w:r>
              <w:rPr>
                <w:color w:val="000000"/>
                <w:kern w:val="0"/>
                <w:sz w:val="24"/>
                <w:szCs w:val="24"/>
              </w:rPr>
              <w:t>2.17%</w:t>
            </w:r>
          </w:p>
        </w:tc>
        <w:tc>
          <w:tcPr>
            <w:tcW w:w="0" w:type="auto"/>
            <w:vAlign w:val="center"/>
          </w:tcPr>
          <w:p w:rsidR="00FA6536" w:rsidRDefault="00FB3747">
            <w:pPr>
              <w:jc w:val="center"/>
            </w:pPr>
            <w:r>
              <w:rPr>
                <w:color w:val="000000"/>
                <w:kern w:val="0"/>
                <w:sz w:val="24"/>
                <w:szCs w:val="24"/>
              </w:rPr>
              <w:t>-7.87%</w:t>
            </w:r>
          </w:p>
        </w:tc>
        <w:tc>
          <w:tcPr>
            <w:tcW w:w="0" w:type="auto"/>
            <w:vAlign w:val="center"/>
          </w:tcPr>
          <w:p w:rsidR="00FA6536" w:rsidRDefault="00FB3747">
            <w:pPr>
              <w:jc w:val="center"/>
            </w:pPr>
            <w:r>
              <w:rPr>
                <w:color w:val="000000"/>
                <w:kern w:val="0"/>
                <w:sz w:val="24"/>
                <w:szCs w:val="24"/>
              </w:rPr>
              <w:t>1.48%</w:t>
            </w:r>
          </w:p>
        </w:tc>
        <w:tc>
          <w:tcPr>
            <w:tcW w:w="0" w:type="auto"/>
            <w:vAlign w:val="center"/>
          </w:tcPr>
          <w:p w:rsidR="00FA6536" w:rsidRDefault="00FB3747">
            <w:pPr>
              <w:jc w:val="center"/>
            </w:pPr>
            <w:r>
              <w:rPr>
                <w:color w:val="000000"/>
                <w:kern w:val="0"/>
                <w:sz w:val="24"/>
                <w:szCs w:val="24"/>
              </w:rPr>
              <w:t>10.46%</w:t>
            </w:r>
          </w:p>
        </w:tc>
        <w:tc>
          <w:tcPr>
            <w:tcW w:w="0" w:type="auto"/>
            <w:vAlign w:val="center"/>
          </w:tcPr>
          <w:p w:rsidR="00FA6536" w:rsidRDefault="00FB3747">
            <w:pPr>
              <w:jc w:val="center"/>
            </w:pPr>
            <w:r>
              <w:rPr>
                <w:color w:val="000000"/>
                <w:kern w:val="0"/>
                <w:sz w:val="24"/>
                <w:szCs w:val="24"/>
              </w:rPr>
              <w:t>0.69%</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易方达科翔混合型证券投资基金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2008</w:t>
      </w:r>
      <w:r w:rsidRPr="0074694E">
        <w:rPr>
          <w:rFonts w:ascii="Times New Roman" w:hAnsi="Times New Roman"/>
          <w:sz w:val="24"/>
          <w:szCs w:val="24"/>
        </w:rPr>
        <w:t>年</w:t>
      </w:r>
      <w:r w:rsidRPr="0074694E">
        <w:rPr>
          <w:rFonts w:ascii="Times New Roman" w:hAnsi="Times New Roman"/>
          <w:sz w:val="24"/>
          <w:szCs w:val="24"/>
        </w:rPr>
        <w:t>11</w:t>
      </w:r>
      <w:r w:rsidRPr="0074694E">
        <w:rPr>
          <w:rFonts w:ascii="Times New Roman" w:hAnsi="Times New Roman"/>
          <w:sz w:val="24"/>
          <w:szCs w:val="24"/>
        </w:rPr>
        <w:t>月</w:t>
      </w:r>
      <w:r w:rsidRPr="0074694E">
        <w:rPr>
          <w:rFonts w:ascii="Times New Roman" w:hAnsi="Times New Roman"/>
          <w:sz w:val="24"/>
          <w:szCs w:val="24"/>
        </w:rPr>
        <w:t>13</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FB3747"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FA6536" w:rsidRDefault="00FB3747">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本基金由原基金科翔于</w:t>
      </w:r>
      <w:r>
        <w:rPr>
          <w:color w:val="000000"/>
          <w:sz w:val="24"/>
          <w:szCs w:val="24"/>
        </w:rPr>
        <w:t>2008</w:t>
      </w:r>
      <w:r>
        <w:rPr>
          <w:color w:val="000000"/>
          <w:sz w:val="24"/>
          <w:szCs w:val="24"/>
        </w:rPr>
        <w:t>年</w:t>
      </w:r>
      <w:r>
        <w:rPr>
          <w:color w:val="000000"/>
          <w:sz w:val="24"/>
          <w:szCs w:val="24"/>
        </w:rPr>
        <w:t>11</w:t>
      </w:r>
      <w:r>
        <w:rPr>
          <w:color w:val="000000"/>
          <w:sz w:val="24"/>
          <w:szCs w:val="24"/>
        </w:rPr>
        <w:t>月</w:t>
      </w:r>
      <w:r>
        <w:rPr>
          <w:color w:val="000000"/>
          <w:sz w:val="24"/>
          <w:szCs w:val="24"/>
        </w:rPr>
        <w:t>13</w:t>
      </w:r>
      <w:r>
        <w:rPr>
          <w:color w:val="000000"/>
          <w:sz w:val="24"/>
          <w:szCs w:val="24"/>
        </w:rPr>
        <w:t>日转型而来。</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2.</w:t>
      </w:r>
      <w:r w:rsidRPr="006C56AA">
        <w:rPr>
          <w:color w:val="000000"/>
          <w:sz w:val="24"/>
          <w:szCs w:val="24"/>
        </w:rPr>
        <w:t>自基金转型至报告期末，基金份额净值增长率为</w:t>
      </w:r>
      <w:r w:rsidRPr="006C56AA">
        <w:rPr>
          <w:color w:val="000000"/>
          <w:sz w:val="24"/>
          <w:szCs w:val="24"/>
        </w:rPr>
        <w:t>456.49%</w:t>
      </w:r>
      <w:r w:rsidRPr="006C56AA">
        <w:rPr>
          <w:color w:val="000000"/>
          <w:sz w:val="24"/>
          <w:szCs w:val="24"/>
        </w:rPr>
        <w:t>，同期业绩比较基准收益率为</w:t>
      </w:r>
      <w:r w:rsidRPr="006C56AA">
        <w:rPr>
          <w:color w:val="000000"/>
          <w:sz w:val="24"/>
          <w:szCs w:val="24"/>
        </w:rPr>
        <w:t>105.34%</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FA6536">
        <w:tc>
          <w:tcPr>
            <w:tcW w:w="0" w:type="auto"/>
            <w:vAlign w:val="center"/>
          </w:tcPr>
          <w:p w:rsidR="00FA6536" w:rsidRDefault="00FB3747">
            <w:pPr>
              <w:jc w:val="center"/>
            </w:pPr>
            <w:r>
              <w:rPr>
                <w:color w:val="000000"/>
                <w:sz w:val="24"/>
              </w:rPr>
              <w:t>陈皓</w:t>
            </w:r>
          </w:p>
        </w:tc>
        <w:tc>
          <w:tcPr>
            <w:tcW w:w="0" w:type="auto"/>
            <w:vAlign w:val="center"/>
          </w:tcPr>
          <w:p w:rsidR="00FA6536" w:rsidRDefault="00FB3747">
            <w:pPr>
              <w:jc w:val="left"/>
            </w:pPr>
            <w:r>
              <w:rPr>
                <w:color w:val="000000"/>
                <w:sz w:val="24"/>
              </w:rPr>
              <w:t>本基金的基金经理、易方达平稳增长证券投资基金的基金经理、易方达新经济灵活配置混合型证券投资基金的基金经理、易方达国防军工混合型证券投资基金的基金经理、易方达科讯混合型证券投资基金的基金经理、易方达科融混合型证券投资基金的基金经理、投资一部总经理</w:t>
            </w:r>
          </w:p>
        </w:tc>
        <w:tc>
          <w:tcPr>
            <w:tcW w:w="0" w:type="auto"/>
            <w:vAlign w:val="center"/>
          </w:tcPr>
          <w:p w:rsidR="00FA6536" w:rsidRDefault="00FB3747">
            <w:pPr>
              <w:jc w:val="center"/>
            </w:pPr>
            <w:r>
              <w:rPr>
                <w:color w:val="000000"/>
                <w:sz w:val="24"/>
              </w:rPr>
              <w:t>2014-05-10</w:t>
            </w:r>
          </w:p>
        </w:tc>
        <w:tc>
          <w:tcPr>
            <w:tcW w:w="0" w:type="auto"/>
            <w:vAlign w:val="center"/>
          </w:tcPr>
          <w:p w:rsidR="00FA6536" w:rsidRDefault="00FB3747">
            <w:pPr>
              <w:jc w:val="center"/>
            </w:pPr>
            <w:r>
              <w:rPr>
                <w:color w:val="000000"/>
                <w:sz w:val="24"/>
              </w:rPr>
              <w:t>-</w:t>
            </w:r>
          </w:p>
        </w:tc>
        <w:tc>
          <w:tcPr>
            <w:tcW w:w="0" w:type="auto"/>
            <w:vAlign w:val="center"/>
          </w:tcPr>
          <w:p w:rsidR="00FA6536" w:rsidRDefault="00FB3747">
            <w:pPr>
              <w:jc w:val="center"/>
            </w:pPr>
            <w:r>
              <w:rPr>
                <w:color w:val="000000"/>
                <w:sz w:val="24"/>
              </w:rPr>
              <w:t>13</w:t>
            </w:r>
            <w:r>
              <w:rPr>
                <w:color w:val="000000"/>
                <w:sz w:val="24"/>
              </w:rPr>
              <w:t>年</w:t>
            </w:r>
          </w:p>
        </w:tc>
        <w:tc>
          <w:tcPr>
            <w:tcW w:w="0" w:type="auto"/>
            <w:vAlign w:val="center"/>
          </w:tcPr>
          <w:p w:rsidR="00FA6536" w:rsidRDefault="00FB3747">
            <w:r>
              <w:rPr>
                <w:color w:val="000000"/>
                <w:sz w:val="24"/>
              </w:rPr>
              <w:t>硕士研究生，具有基金从业资格。曾任易方达基金管理有限公司行业研究员、基金经理助理、基金投资部基金经理助理、投资一部总经理助理、投资一部副总经理、投资经理、易方达价值精选混合型证券投资基金基金经理、易方达供给改革灵活配置混合型证券投资基金基金经理。</w:t>
            </w:r>
          </w:p>
        </w:tc>
      </w:tr>
    </w:tbl>
    <w:p w:rsidR="00FA6536" w:rsidRDefault="00FB3747">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FA6536" w:rsidRDefault="00FB3747">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FA6536" w:rsidRDefault="00FB3747">
      <w:pPr>
        <w:spacing w:line="360" w:lineRule="auto"/>
        <w:ind w:firstLineChars="200" w:firstLine="480"/>
        <w:rPr>
          <w:color w:val="000000"/>
          <w:sz w:val="24"/>
          <w:szCs w:val="24"/>
        </w:rPr>
      </w:pPr>
      <w:r>
        <w:rPr>
          <w:color w:val="000000"/>
          <w:sz w:val="24"/>
          <w:szCs w:val="24"/>
        </w:rPr>
        <w:t>2020</w:t>
      </w:r>
      <w:r>
        <w:rPr>
          <w:color w:val="000000"/>
          <w:sz w:val="24"/>
          <w:szCs w:val="24"/>
        </w:rPr>
        <w:t>年一季度上证综指下跌</w:t>
      </w:r>
      <w:r>
        <w:rPr>
          <w:color w:val="000000"/>
          <w:sz w:val="24"/>
          <w:szCs w:val="24"/>
        </w:rPr>
        <w:t>9.83%</w:t>
      </w:r>
      <w:r>
        <w:rPr>
          <w:color w:val="000000"/>
          <w:sz w:val="24"/>
          <w:szCs w:val="24"/>
        </w:rPr>
        <w:t>，中证</w:t>
      </w:r>
      <w:r>
        <w:rPr>
          <w:color w:val="000000"/>
          <w:sz w:val="24"/>
          <w:szCs w:val="24"/>
        </w:rPr>
        <w:t>500</w:t>
      </w:r>
      <w:r>
        <w:rPr>
          <w:color w:val="000000"/>
          <w:sz w:val="24"/>
          <w:szCs w:val="24"/>
        </w:rPr>
        <w:t>指数下跌</w:t>
      </w:r>
      <w:r>
        <w:rPr>
          <w:color w:val="000000"/>
          <w:sz w:val="24"/>
          <w:szCs w:val="24"/>
        </w:rPr>
        <w:t>4.29%</w:t>
      </w:r>
      <w:r>
        <w:rPr>
          <w:color w:val="000000"/>
          <w:sz w:val="24"/>
          <w:szCs w:val="24"/>
        </w:rPr>
        <w:t>，创业板指数上涨</w:t>
      </w:r>
      <w:r>
        <w:rPr>
          <w:color w:val="000000"/>
          <w:sz w:val="24"/>
          <w:szCs w:val="24"/>
        </w:rPr>
        <w:t>4.10%</w:t>
      </w:r>
      <w:r>
        <w:rPr>
          <w:color w:val="000000"/>
          <w:sz w:val="24"/>
          <w:szCs w:val="24"/>
        </w:rPr>
        <w:t>，大盘蓝筹板块整体走势相对较弱，新兴成长板块表现整体强于大盘蓝筹板块。一季度市场整体波动幅度较大，特别是成长板块，一方面板块受益于</w:t>
      </w:r>
      <w:r>
        <w:rPr>
          <w:color w:val="000000"/>
          <w:sz w:val="24"/>
          <w:szCs w:val="24"/>
        </w:rPr>
        <w:t>5G</w:t>
      </w:r>
      <w:r>
        <w:rPr>
          <w:color w:val="000000"/>
          <w:sz w:val="24"/>
          <w:szCs w:val="24"/>
        </w:rPr>
        <w:t>的发展以及各细分领域信息化的深化，中长期景气趋势明确；另一方面板块经过一年的大幅度上涨，整体估值较高，高估值状态下波动幅度较大，一季度疫情的发展也加剧了板块的波动幅度。</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本基金一季度采取了相对积极的投资策略，在成长板块大幅上涨投资性价比下降时降低了组合的配置比例，适当增配了部分医药消费个股，取得了一定超额收益。</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3.186</w:t>
      </w:r>
      <w:r w:rsidRPr="006C56AA">
        <w:rPr>
          <w:color w:val="000000"/>
          <w:sz w:val="24"/>
          <w:szCs w:val="24"/>
        </w:rPr>
        <w:t>元，本报告期份额净值增长率为</w:t>
      </w:r>
      <w:r w:rsidRPr="006C56AA">
        <w:rPr>
          <w:color w:val="000000"/>
          <w:sz w:val="24"/>
          <w:szCs w:val="24"/>
        </w:rPr>
        <w:t>2.59%</w:t>
      </w:r>
      <w:r w:rsidRPr="006C56AA">
        <w:rPr>
          <w:color w:val="000000"/>
          <w:sz w:val="24"/>
          <w:szCs w:val="24"/>
        </w:rPr>
        <w:t>，同期业绩比较基准收益率为</w:t>
      </w:r>
      <w:r w:rsidRPr="006C56AA">
        <w:rPr>
          <w:color w:val="000000"/>
          <w:sz w:val="24"/>
          <w:szCs w:val="24"/>
        </w:rPr>
        <w:t>-7.87%</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2,856,874,772.60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76.06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2,856,874,772.60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76.06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883,869.90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0.02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883,869.90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0.02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300,000,000.00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7.99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588,813,292.76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15.68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9,656,176.72</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0.26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3,756,228,111.98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1,898,263,747.60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55.17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12,742,112.00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0.37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29,785,257.76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29,124,989.31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81,495,835.00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380,897,127.25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11.07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47,848,805.45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230,901,281.35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6.71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57,276,160.00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44,360,239.88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44,179,217.00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2,856,874,772.60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83.03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FA6536">
        <w:tc>
          <w:tcPr>
            <w:tcW w:w="0" w:type="auto"/>
            <w:vAlign w:val="center"/>
          </w:tcPr>
          <w:p w:rsidR="00FA6536" w:rsidRDefault="00FB3747">
            <w:pPr>
              <w:jc w:val="center"/>
            </w:pPr>
            <w:r>
              <w:rPr>
                <w:color w:val="000000"/>
                <w:kern w:val="0"/>
                <w:sz w:val="24"/>
                <w:szCs w:val="24"/>
              </w:rPr>
              <w:t>1</w:t>
            </w:r>
          </w:p>
        </w:tc>
        <w:tc>
          <w:tcPr>
            <w:tcW w:w="0" w:type="auto"/>
            <w:vAlign w:val="center"/>
          </w:tcPr>
          <w:p w:rsidR="00FA6536" w:rsidRDefault="00FB3747">
            <w:pPr>
              <w:jc w:val="center"/>
            </w:pPr>
            <w:r>
              <w:rPr>
                <w:color w:val="000000"/>
                <w:kern w:val="0"/>
                <w:sz w:val="24"/>
                <w:szCs w:val="24"/>
              </w:rPr>
              <w:t>300476</w:t>
            </w:r>
          </w:p>
        </w:tc>
        <w:tc>
          <w:tcPr>
            <w:tcW w:w="0" w:type="auto"/>
            <w:vAlign w:val="center"/>
          </w:tcPr>
          <w:p w:rsidR="00FA6536" w:rsidRDefault="00FB3747">
            <w:pPr>
              <w:jc w:val="center"/>
            </w:pPr>
            <w:r>
              <w:rPr>
                <w:color w:val="000000"/>
                <w:kern w:val="0"/>
                <w:sz w:val="24"/>
                <w:szCs w:val="24"/>
              </w:rPr>
              <w:t>胜宏科技</w:t>
            </w:r>
          </w:p>
        </w:tc>
        <w:tc>
          <w:tcPr>
            <w:tcW w:w="0" w:type="auto"/>
            <w:vAlign w:val="center"/>
          </w:tcPr>
          <w:p w:rsidR="00FA6536" w:rsidRDefault="00FB3747">
            <w:pPr>
              <w:jc w:val="right"/>
            </w:pPr>
            <w:r>
              <w:rPr>
                <w:color w:val="000000"/>
                <w:kern w:val="0"/>
                <w:sz w:val="24"/>
                <w:szCs w:val="24"/>
              </w:rPr>
              <w:t>15,005,511</w:t>
            </w:r>
          </w:p>
        </w:tc>
        <w:tc>
          <w:tcPr>
            <w:tcW w:w="0" w:type="auto"/>
            <w:vAlign w:val="center"/>
          </w:tcPr>
          <w:p w:rsidR="00FA6536" w:rsidRDefault="00FB3747">
            <w:pPr>
              <w:jc w:val="right"/>
            </w:pPr>
            <w:r>
              <w:rPr>
                <w:color w:val="000000"/>
                <w:kern w:val="0"/>
                <w:sz w:val="24"/>
                <w:szCs w:val="24"/>
              </w:rPr>
              <w:t>267,187,928.63</w:t>
            </w:r>
          </w:p>
        </w:tc>
        <w:tc>
          <w:tcPr>
            <w:tcW w:w="0" w:type="auto"/>
            <w:vAlign w:val="center"/>
          </w:tcPr>
          <w:p w:rsidR="00FA6536" w:rsidRDefault="00FB3747">
            <w:pPr>
              <w:jc w:val="right"/>
            </w:pPr>
            <w:r>
              <w:rPr>
                <w:color w:val="000000"/>
                <w:kern w:val="0"/>
                <w:sz w:val="24"/>
                <w:szCs w:val="24"/>
              </w:rPr>
              <w:t>7.77</w:t>
            </w:r>
          </w:p>
        </w:tc>
      </w:tr>
      <w:tr w:rsidR="00FA6536">
        <w:tc>
          <w:tcPr>
            <w:tcW w:w="0" w:type="auto"/>
            <w:vAlign w:val="center"/>
          </w:tcPr>
          <w:p w:rsidR="00FA6536" w:rsidRDefault="00FB3747">
            <w:pPr>
              <w:jc w:val="center"/>
            </w:pPr>
            <w:r>
              <w:rPr>
                <w:color w:val="000000"/>
                <w:kern w:val="0"/>
                <w:sz w:val="24"/>
                <w:szCs w:val="24"/>
              </w:rPr>
              <w:t>2</w:t>
            </w:r>
          </w:p>
        </w:tc>
        <w:tc>
          <w:tcPr>
            <w:tcW w:w="0" w:type="auto"/>
            <w:vAlign w:val="center"/>
          </w:tcPr>
          <w:p w:rsidR="00FA6536" w:rsidRDefault="00FB3747">
            <w:pPr>
              <w:jc w:val="center"/>
            </w:pPr>
            <w:r>
              <w:rPr>
                <w:color w:val="000000"/>
                <w:kern w:val="0"/>
                <w:sz w:val="24"/>
                <w:szCs w:val="24"/>
              </w:rPr>
              <w:t>000858</w:t>
            </w:r>
          </w:p>
        </w:tc>
        <w:tc>
          <w:tcPr>
            <w:tcW w:w="0" w:type="auto"/>
            <w:vAlign w:val="center"/>
          </w:tcPr>
          <w:p w:rsidR="00FA6536" w:rsidRDefault="00FB3747">
            <w:pPr>
              <w:jc w:val="center"/>
            </w:pPr>
            <w:r>
              <w:rPr>
                <w:color w:val="000000"/>
                <w:kern w:val="0"/>
                <w:sz w:val="24"/>
                <w:szCs w:val="24"/>
              </w:rPr>
              <w:t>五粮液</w:t>
            </w:r>
          </w:p>
        </w:tc>
        <w:tc>
          <w:tcPr>
            <w:tcW w:w="0" w:type="auto"/>
            <w:vAlign w:val="center"/>
          </w:tcPr>
          <w:p w:rsidR="00FA6536" w:rsidRDefault="00FB3747">
            <w:pPr>
              <w:jc w:val="right"/>
            </w:pPr>
            <w:r>
              <w:rPr>
                <w:color w:val="000000"/>
                <w:kern w:val="0"/>
                <w:sz w:val="24"/>
                <w:szCs w:val="24"/>
              </w:rPr>
              <w:t>1,439,800</w:t>
            </w:r>
          </w:p>
        </w:tc>
        <w:tc>
          <w:tcPr>
            <w:tcW w:w="0" w:type="auto"/>
            <w:vAlign w:val="center"/>
          </w:tcPr>
          <w:p w:rsidR="00FA6536" w:rsidRDefault="00FB3747">
            <w:pPr>
              <w:jc w:val="right"/>
            </w:pPr>
            <w:r>
              <w:rPr>
                <w:color w:val="000000"/>
                <w:kern w:val="0"/>
                <w:sz w:val="24"/>
                <w:szCs w:val="24"/>
              </w:rPr>
              <w:t>165,864,960.00</w:t>
            </w:r>
          </w:p>
        </w:tc>
        <w:tc>
          <w:tcPr>
            <w:tcW w:w="0" w:type="auto"/>
            <w:vAlign w:val="center"/>
          </w:tcPr>
          <w:p w:rsidR="00FA6536" w:rsidRDefault="00FB3747">
            <w:pPr>
              <w:jc w:val="right"/>
            </w:pPr>
            <w:r>
              <w:rPr>
                <w:color w:val="000000"/>
                <w:kern w:val="0"/>
                <w:sz w:val="24"/>
                <w:szCs w:val="24"/>
              </w:rPr>
              <w:t>4.82</w:t>
            </w:r>
          </w:p>
        </w:tc>
      </w:tr>
      <w:tr w:rsidR="00FA6536">
        <w:tc>
          <w:tcPr>
            <w:tcW w:w="0" w:type="auto"/>
            <w:vAlign w:val="center"/>
          </w:tcPr>
          <w:p w:rsidR="00FA6536" w:rsidRDefault="00FB3747">
            <w:pPr>
              <w:jc w:val="center"/>
            </w:pPr>
            <w:r>
              <w:rPr>
                <w:color w:val="000000"/>
                <w:kern w:val="0"/>
                <w:sz w:val="24"/>
                <w:szCs w:val="24"/>
              </w:rPr>
              <w:t>3</w:t>
            </w:r>
          </w:p>
        </w:tc>
        <w:tc>
          <w:tcPr>
            <w:tcW w:w="0" w:type="auto"/>
            <w:vAlign w:val="center"/>
          </w:tcPr>
          <w:p w:rsidR="00FA6536" w:rsidRDefault="00FB3747">
            <w:pPr>
              <w:jc w:val="center"/>
            </w:pPr>
            <w:r>
              <w:rPr>
                <w:color w:val="000000"/>
                <w:kern w:val="0"/>
                <w:sz w:val="24"/>
                <w:szCs w:val="24"/>
              </w:rPr>
              <w:t>000002</w:t>
            </w:r>
          </w:p>
        </w:tc>
        <w:tc>
          <w:tcPr>
            <w:tcW w:w="0" w:type="auto"/>
            <w:vAlign w:val="center"/>
          </w:tcPr>
          <w:p w:rsidR="00FA6536" w:rsidRDefault="00FB3747">
            <w:pPr>
              <w:jc w:val="center"/>
            </w:pPr>
            <w:r>
              <w:rPr>
                <w:color w:val="000000"/>
                <w:kern w:val="0"/>
                <w:sz w:val="24"/>
                <w:szCs w:val="24"/>
              </w:rPr>
              <w:t>万科</w:t>
            </w:r>
            <w:r>
              <w:rPr>
                <w:color w:val="000000"/>
                <w:kern w:val="0"/>
                <w:sz w:val="24"/>
                <w:szCs w:val="24"/>
              </w:rPr>
              <w:t>A</w:t>
            </w:r>
          </w:p>
        </w:tc>
        <w:tc>
          <w:tcPr>
            <w:tcW w:w="0" w:type="auto"/>
            <w:vAlign w:val="center"/>
          </w:tcPr>
          <w:p w:rsidR="00FA6536" w:rsidRDefault="00FB3747">
            <w:pPr>
              <w:jc w:val="right"/>
            </w:pPr>
            <w:r>
              <w:rPr>
                <w:color w:val="000000"/>
                <w:kern w:val="0"/>
                <w:sz w:val="24"/>
                <w:szCs w:val="24"/>
              </w:rPr>
              <w:t>6,147,539</w:t>
            </w:r>
          </w:p>
        </w:tc>
        <w:tc>
          <w:tcPr>
            <w:tcW w:w="0" w:type="auto"/>
            <w:vAlign w:val="center"/>
          </w:tcPr>
          <w:p w:rsidR="00FA6536" w:rsidRDefault="00FB3747">
            <w:pPr>
              <w:jc w:val="right"/>
            </w:pPr>
            <w:r>
              <w:rPr>
                <w:color w:val="000000"/>
                <w:kern w:val="0"/>
                <w:sz w:val="24"/>
                <w:szCs w:val="24"/>
              </w:rPr>
              <w:t>157,684,375.35</w:t>
            </w:r>
          </w:p>
        </w:tc>
        <w:tc>
          <w:tcPr>
            <w:tcW w:w="0" w:type="auto"/>
            <w:vAlign w:val="center"/>
          </w:tcPr>
          <w:p w:rsidR="00FA6536" w:rsidRDefault="00FB3747">
            <w:pPr>
              <w:jc w:val="right"/>
            </w:pPr>
            <w:r>
              <w:rPr>
                <w:color w:val="000000"/>
                <w:kern w:val="0"/>
                <w:sz w:val="24"/>
                <w:szCs w:val="24"/>
              </w:rPr>
              <w:t>4.58</w:t>
            </w:r>
          </w:p>
        </w:tc>
      </w:tr>
      <w:tr w:rsidR="00FA6536">
        <w:tc>
          <w:tcPr>
            <w:tcW w:w="0" w:type="auto"/>
            <w:vAlign w:val="center"/>
          </w:tcPr>
          <w:p w:rsidR="00FA6536" w:rsidRDefault="00FB3747">
            <w:pPr>
              <w:jc w:val="center"/>
            </w:pPr>
            <w:r>
              <w:rPr>
                <w:color w:val="000000"/>
                <w:kern w:val="0"/>
                <w:sz w:val="24"/>
                <w:szCs w:val="24"/>
              </w:rPr>
              <w:t>4</w:t>
            </w:r>
          </w:p>
        </w:tc>
        <w:tc>
          <w:tcPr>
            <w:tcW w:w="0" w:type="auto"/>
            <w:vAlign w:val="center"/>
          </w:tcPr>
          <w:p w:rsidR="00FA6536" w:rsidRDefault="00FB3747">
            <w:pPr>
              <w:jc w:val="center"/>
            </w:pPr>
            <w:r>
              <w:rPr>
                <w:color w:val="000000"/>
                <w:kern w:val="0"/>
                <w:sz w:val="24"/>
                <w:szCs w:val="24"/>
              </w:rPr>
              <w:t>600570</w:t>
            </w:r>
          </w:p>
        </w:tc>
        <w:tc>
          <w:tcPr>
            <w:tcW w:w="0" w:type="auto"/>
            <w:vAlign w:val="center"/>
          </w:tcPr>
          <w:p w:rsidR="00FA6536" w:rsidRDefault="00FB3747">
            <w:pPr>
              <w:jc w:val="center"/>
            </w:pPr>
            <w:r>
              <w:rPr>
                <w:color w:val="000000"/>
                <w:kern w:val="0"/>
                <w:sz w:val="24"/>
                <w:szCs w:val="24"/>
              </w:rPr>
              <w:t>恒生电子</w:t>
            </w:r>
          </w:p>
        </w:tc>
        <w:tc>
          <w:tcPr>
            <w:tcW w:w="0" w:type="auto"/>
            <w:vAlign w:val="center"/>
          </w:tcPr>
          <w:p w:rsidR="00FA6536" w:rsidRDefault="00FB3747">
            <w:pPr>
              <w:jc w:val="right"/>
            </w:pPr>
            <w:r>
              <w:rPr>
                <w:color w:val="000000"/>
                <w:kern w:val="0"/>
                <w:sz w:val="24"/>
                <w:szCs w:val="24"/>
              </w:rPr>
              <w:t>1,263,962</w:t>
            </w:r>
          </w:p>
        </w:tc>
        <w:tc>
          <w:tcPr>
            <w:tcW w:w="0" w:type="auto"/>
            <w:vAlign w:val="center"/>
          </w:tcPr>
          <w:p w:rsidR="00FA6536" w:rsidRDefault="00FB3747">
            <w:pPr>
              <w:jc w:val="right"/>
            </w:pPr>
            <w:r>
              <w:rPr>
                <w:color w:val="000000"/>
                <w:kern w:val="0"/>
                <w:sz w:val="24"/>
                <w:szCs w:val="24"/>
              </w:rPr>
              <w:t>111,102,259.80</w:t>
            </w:r>
          </w:p>
        </w:tc>
        <w:tc>
          <w:tcPr>
            <w:tcW w:w="0" w:type="auto"/>
            <w:vAlign w:val="center"/>
          </w:tcPr>
          <w:p w:rsidR="00FA6536" w:rsidRDefault="00FB3747">
            <w:pPr>
              <w:jc w:val="right"/>
            </w:pPr>
            <w:r>
              <w:rPr>
                <w:color w:val="000000"/>
                <w:kern w:val="0"/>
                <w:sz w:val="24"/>
                <w:szCs w:val="24"/>
              </w:rPr>
              <w:t>3.23</w:t>
            </w:r>
          </w:p>
        </w:tc>
      </w:tr>
      <w:tr w:rsidR="00FA6536">
        <w:tc>
          <w:tcPr>
            <w:tcW w:w="0" w:type="auto"/>
            <w:vAlign w:val="center"/>
          </w:tcPr>
          <w:p w:rsidR="00FA6536" w:rsidRDefault="00FB3747">
            <w:pPr>
              <w:jc w:val="center"/>
            </w:pPr>
            <w:r>
              <w:rPr>
                <w:color w:val="000000"/>
                <w:kern w:val="0"/>
                <w:sz w:val="24"/>
                <w:szCs w:val="24"/>
              </w:rPr>
              <w:t>5</w:t>
            </w:r>
          </w:p>
        </w:tc>
        <w:tc>
          <w:tcPr>
            <w:tcW w:w="0" w:type="auto"/>
            <w:vAlign w:val="center"/>
          </w:tcPr>
          <w:p w:rsidR="00FA6536" w:rsidRDefault="00FB3747">
            <w:pPr>
              <w:jc w:val="center"/>
            </w:pPr>
            <w:r>
              <w:rPr>
                <w:color w:val="000000"/>
                <w:kern w:val="0"/>
                <w:sz w:val="24"/>
                <w:szCs w:val="24"/>
              </w:rPr>
              <w:t>300078</w:t>
            </w:r>
          </w:p>
        </w:tc>
        <w:tc>
          <w:tcPr>
            <w:tcW w:w="0" w:type="auto"/>
            <w:vAlign w:val="center"/>
          </w:tcPr>
          <w:p w:rsidR="00FA6536" w:rsidRDefault="00FB3747">
            <w:pPr>
              <w:jc w:val="center"/>
            </w:pPr>
            <w:r>
              <w:rPr>
                <w:color w:val="000000"/>
                <w:kern w:val="0"/>
                <w:sz w:val="24"/>
                <w:szCs w:val="24"/>
              </w:rPr>
              <w:t>思创医惠</w:t>
            </w:r>
          </w:p>
        </w:tc>
        <w:tc>
          <w:tcPr>
            <w:tcW w:w="0" w:type="auto"/>
            <w:vAlign w:val="center"/>
          </w:tcPr>
          <w:p w:rsidR="00FA6536" w:rsidRDefault="00FB3747">
            <w:pPr>
              <w:jc w:val="right"/>
            </w:pPr>
            <w:r>
              <w:rPr>
                <w:color w:val="000000"/>
                <w:kern w:val="0"/>
                <w:sz w:val="24"/>
                <w:szCs w:val="24"/>
              </w:rPr>
              <w:t>8,410,864</w:t>
            </w:r>
          </w:p>
        </w:tc>
        <w:tc>
          <w:tcPr>
            <w:tcW w:w="0" w:type="auto"/>
            <w:vAlign w:val="center"/>
          </w:tcPr>
          <w:p w:rsidR="00FA6536" w:rsidRDefault="00FB3747">
            <w:pPr>
              <w:jc w:val="right"/>
            </w:pPr>
            <w:r>
              <w:rPr>
                <w:color w:val="000000"/>
                <w:kern w:val="0"/>
                <w:sz w:val="24"/>
                <w:szCs w:val="24"/>
              </w:rPr>
              <w:t>95,042,763.20</w:t>
            </w:r>
          </w:p>
        </w:tc>
        <w:tc>
          <w:tcPr>
            <w:tcW w:w="0" w:type="auto"/>
            <w:vAlign w:val="center"/>
          </w:tcPr>
          <w:p w:rsidR="00FA6536" w:rsidRDefault="00FB3747">
            <w:pPr>
              <w:jc w:val="right"/>
            </w:pPr>
            <w:r>
              <w:rPr>
                <w:color w:val="000000"/>
                <w:kern w:val="0"/>
                <w:sz w:val="24"/>
                <w:szCs w:val="24"/>
              </w:rPr>
              <w:t>2.76</w:t>
            </w:r>
          </w:p>
        </w:tc>
      </w:tr>
      <w:tr w:rsidR="00FA6536">
        <w:tc>
          <w:tcPr>
            <w:tcW w:w="0" w:type="auto"/>
            <w:vAlign w:val="center"/>
          </w:tcPr>
          <w:p w:rsidR="00FA6536" w:rsidRDefault="00FB3747">
            <w:pPr>
              <w:jc w:val="center"/>
            </w:pPr>
            <w:r>
              <w:rPr>
                <w:color w:val="000000"/>
                <w:kern w:val="0"/>
                <w:sz w:val="24"/>
                <w:szCs w:val="24"/>
              </w:rPr>
              <w:t>6</w:t>
            </w:r>
          </w:p>
        </w:tc>
        <w:tc>
          <w:tcPr>
            <w:tcW w:w="0" w:type="auto"/>
            <w:vAlign w:val="center"/>
          </w:tcPr>
          <w:p w:rsidR="00FA6536" w:rsidRDefault="00FB3747">
            <w:pPr>
              <w:jc w:val="center"/>
            </w:pPr>
            <w:r>
              <w:rPr>
                <w:color w:val="000000"/>
                <w:kern w:val="0"/>
                <w:sz w:val="24"/>
                <w:szCs w:val="24"/>
              </w:rPr>
              <w:t>603520</w:t>
            </w:r>
          </w:p>
        </w:tc>
        <w:tc>
          <w:tcPr>
            <w:tcW w:w="0" w:type="auto"/>
            <w:vAlign w:val="center"/>
          </w:tcPr>
          <w:p w:rsidR="00FA6536" w:rsidRDefault="00FB3747">
            <w:pPr>
              <w:jc w:val="center"/>
            </w:pPr>
            <w:r>
              <w:rPr>
                <w:color w:val="000000"/>
                <w:kern w:val="0"/>
                <w:sz w:val="24"/>
                <w:szCs w:val="24"/>
              </w:rPr>
              <w:t>司太立</w:t>
            </w:r>
          </w:p>
        </w:tc>
        <w:tc>
          <w:tcPr>
            <w:tcW w:w="0" w:type="auto"/>
            <w:vAlign w:val="center"/>
          </w:tcPr>
          <w:p w:rsidR="00FA6536" w:rsidRDefault="00FB3747">
            <w:pPr>
              <w:jc w:val="right"/>
            </w:pPr>
            <w:r>
              <w:rPr>
                <w:color w:val="000000"/>
                <w:kern w:val="0"/>
                <w:sz w:val="24"/>
                <w:szCs w:val="24"/>
              </w:rPr>
              <w:t>1,603,615</w:t>
            </w:r>
          </w:p>
        </w:tc>
        <w:tc>
          <w:tcPr>
            <w:tcW w:w="0" w:type="auto"/>
            <w:vAlign w:val="center"/>
          </w:tcPr>
          <w:p w:rsidR="00FA6536" w:rsidRDefault="00FB3747">
            <w:pPr>
              <w:jc w:val="right"/>
            </w:pPr>
            <w:r>
              <w:rPr>
                <w:color w:val="000000"/>
                <w:kern w:val="0"/>
                <w:sz w:val="24"/>
                <w:szCs w:val="24"/>
              </w:rPr>
              <w:t>94,581,212.70</w:t>
            </w:r>
          </w:p>
        </w:tc>
        <w:tc>
          <w:tcPr>
            <w:tcW w:w="0" w:type="auto"/>
            <w:vAlign w:val="center"/>
          </w:tcPr>
          <w:p w:rsidR="00FA6536" w:rsidRDefault="00FB3747">
            <w:pPr>
              <w:jc w:val="right"/>
            </w:pPr>
            <w:r>
              <w:rPr>
                <w:color w:val="000000"/>
                <w:kern w:val="0"/>
                <w:sz w:val="24"/>
                <w:szCs w:val="24"/>
              </w:rPr>
              <w:t>2.75</w:t>
            </w:r>
          </w:p>
        </w:tc>
      </w:tr>
      <w:tr w:rsidR="00FA6536">
        <w:tc>
          <w:tcPr>
            <w:tcW w:w="0" w:type="auto"/>
            <w:vAlign w:val="center"/>
          </w:tcPr>
          <w:p w:rsidR="00FA6536" w:rsidRDefault="00FB3747">
            <w:pPr>
              <w:jc w:val="center"/>
            </w:pPr>
            <w:r>
              <w:rPr>
                <w:color w:val="000000"/>
                <w:kern w:val="0"/>
                <w:sz w:val="24"/>
                <w:szCs w:val="24"/>
              </w:rPr>
              <w:t>7</w:t>
            </w:r>
          </w:p>
        </w:tc>
        <w:tc>
          <w:tcPr>
            <w:tcW w:w="0" w:type="auto"/>
            <w:vAlign w:val="center"/>
          </w:tcPr>
          <w:p w:rsidR="00FA6536" w:rsidRDefault="00FB3747">
            <w:pPr>
              <w:jc w:val="center"/>
            </w:pPr>
            <w:r>
              <w:rPr>
                <w:color w:val="000000"/>
                <w:kern w:val="0"/>
                <w:sz w:val="24"/>
                <w:szCs w:val="24"/>
              </w:rPr>
              <w:t>600519</w:t>
            </w:r>
          </w:p>
        </w:tc>
        <w:tc>
          <w:tcPr>
            <w:tcW w:w="0" w:type="auto"/>
            <w:vAlign w:val="center"/>
          </w:tcPr>
          <w:p w:rsidR="00FA6536" w:rsidRDefault="00FB3747">
            <w:pPr>
              <w:jc w:val="center"/>
            </w:pPr>
            <w:r>
              <w:rPr>
                <w:color w:val="000000"/>
                <w:kern w:val="0"/>
                <w:sz w:val="24"/>
                <w:szCs w:val="24"/>
              </w:rPr>
              <w:t>贵州茅台</w:t>
            </w:r>
          </w:p>
        </w:tc>
        <w:tc>
          <w:tcPr>
            <w:tcW w:w="0" w:type="auto"/>
            <w:vAlign w:val="center"/>
          </w:tcPr>
          <w:p w:rsidR="00FA6536" w:rsidRDefault="00FB3747">
            <w:pPr>
              <w:jc w:val="right"/>
            </w:pPr>
            <w:r>
              <w:rPr>
                <w:color w:val="000000"/>
                <w:kern w:val="0"/>
                <w:sz w:val="24"/>
                <w:szCs w:val="24"/>
              </w:rPr>
              <w:t>80,385</w:t>
            </w:r>
          </w:p>
        </w:tc>
        <w:tc>
          <w:tcPr>
            <w:tcW w:w="0" w:type="auto"/>
            <w:vAlign w:val="center"/>
          </w:tcPr>
          <w:p w:rsidR="00FA6536" w:rsidRDefault="00FB3747">
            <w:pPr>
              <w:jc w:val="right"/>
            </w:pPr>
            <w:r>
              <w:rPr>
                <w:color w:val="000000"/>
                <w:kern w:val="0"/>
                <w:sz w:val="24"/>
                <w:szCs w:val="24"/>
              </w:rPr>
              <w:t>89,307,735.00</w:t>
            </w:r>
          </w:p>
        </w:tc>
        <w:tc>
          <w:tcPr>
            <w:tcW w:w="0" w:type="auto"/>
            <w:vAlign w:val="center"/>
          </w:tcPr>
          <w:p w:rsidR="00FA6536" w:rsidRDefault="00FB3747">
            <w:pPr>
              <w:jc w:val="right"/>
            </w:pPr>
            <w:r>
              <w:rPr>
                <w:color w:val="000000"/>
                <w:kern w:val="0"/>
                <w:sz w:val="24"/>
                <w:szCs w:val="24"/>
              </w:rPr>
              <w:t>2.60</w:t>
            </w:r>
          </w:p>
        </w:tc>
      </w:tr>
      <w:tr w:rsidR="00FA6536">
        <w:tc>
          <w:tcPr>
            <w:tcW w:w="0" w:type="auto"/>
            <w:vAlign w:val="center"/>
          </w:tcPr>
          <w:p w:rsidR="00FA6536" w:rsidRDefault="00FB3747">
            <w:pPr>
              <w:jc w:val="center"/>
            </w:pPr>
            <w:r>
              <w:rPr>
                <w:color w:val="000000"/>
                <w:kern w:val="0"/>
                <w:sz w:val="24"/>
                <w:szCs w:val="24"/>
              </w:rPr>
              <w:t>8</w:t>
            </w:r>
          </w:p>
        </w:tc>
        <w:tc>
          <w:tcPr>
            <w:tcW w:w="0" w:type="auto"/>
            <w:vAlign w:val="center"/>
          </w:tcPr>
          <w:p w:rsidR="00FA6536" w:rsidRDefault="00FB3747">
            <w:pPr>
              <w:jc w:val="center"/>
            </w:pPr>
            <w:r>
              <w:rPr>
                <w:color w:val="000000"/>
                <w:kern w:val="0"/>
                <w:sz w:val="24"/>
                <w:szCs w:val="24"/>
              </w:rPr>
              <w:t>300628</w:t>
            </w:r>
          </w:p>
        </w:tc>
        <w:tc>
          <w:tcPr>
            <w:tcW w:w="0" w:type="auto"/>
            <w:vAlign w:val="center"/>
          </w:tcPr>
          <w:p w:rsidR="00FA6536" w:rsidRDefault="00FB3747">
            <w:pPr>
              <w:jc w:val="center"/>
            </w:pPr>
            <w:r>
              <w:rPr>
                <w:color w:val="000000"/>
                <w:kern w:val="0"/>
                <w:sz w:val="24"/>
                <w:szCs w:val="24"/>
              </w:rPr>
              <w:t>亿联网络</w:t>
            </w:r>
          </w:p>
        </w:tc>
        <w:tc>
          <w:tcPr>
            <w:tcW w:w="0" w:type="auto"/>
            <w:vAlign w:val="center"/>
          </w:tcPr>
          <w:p w:rsidR="00FA6536" w:rsidRDefault="00FB3747">
            <w:pPr>
              <w:jc w:val="right"/>
            </w:pPr>
            <w:r>
              <w:rPr>
                <w:color w:val="000000"/>
                <w:kern w:val="0"/>
                <w:sz w:val="24"/>
                <w:szCs w:val="24"/>
              </w:rPr>
              <w:t>1,003,674</w:t>
            </w:r>
          </w:p>
        </w:tc>
        <w:tc>
          <w:tcPr>
            <w:tcW w:w="0" w:type="auto"/>
            <w:vAlign w:val="center"/>
          </w:tcPr>
          <w:p w:rsidR="00FA6536" w:rsidRDefault="00FB3747">
            <w:pPr>
              <w:jc w:val="right"/>
            </w:pPr>
            <w:r>
              <w:rPr>
                <w:color w:val="000000"/>
                <w:kern w:val="0"/>
                <w:sz w:val="24"/>
                <w:szCs w:val="24"/>
              </w:rPr>
              <w:t>81,869,688.18</w:t>
            </w:r>
          </w:p>
        </w:tc>
        <w:tc>
          <w:tcPr>
            <w:tcW w:w="0" w:type="auto"/>
            <w:vAlign w:val="center"/>
          </w:tcPr>
          <w:p w:rsidR="00FA6536" w:rsidRDefault="00FB3747">
            <w:pPr>
              <w:jc w:val="right"/>
            </w:pPr>
            <w:r>
              <w:rPr>
                <w:color w:val="000000"/>
                <w:kern w:val="0"/>
                <w:sz w:val="24"/>
                <w:szCs w:val="24"/>
              </w:rPr>
              <w:t>2.38</w:t>
            </w:r>
          </w:p>
        </w:tc>
      </w:tr>
      <w:tr w:rsidR="00FA6536">
        <w:tc>
          <w:tcPr>
            <w:tcW w:w="0" w:type="auto"/>
            <w:vAlign w:val="center"/>
          </w:tcPr>
          <w:p w:rsidR="00FA6536" w:rsidRDefault="00FB3747">
            <w:pPr>
              <w:jc w:val="center"/>
            </w:pPr>
            <w:r>
              <w:rPr>
                <w:color w:val="000000"/>
                <w:kern w:val="0"/>
                <w:sz w:val="24"/>
                <w:szCs w:val="24"/>
              </w:rPr>
              <w:t>9</w:t>
            </w:r>
          </w:p>
        </w:tc>
        <w:tc>
          <w:tcPr>
            <w:tcW w:w="0" w:type="auto"/>
            <w:vAlign w:val="center"/>
          </w:tcPr>
          <w:p w:rsidR="00FA6536" w:rsidRDefault="00FB3747">
            <w:pPr>
              <w:jc w:val="center"/>
            </w:pPr>
            <w:r>
              <w:rPr>
                <w:color w:val="000000"/>
                <w:kern w:val="0"/>
                <w:sz w:val="24"/>
                <w:szCs w:val="24"/>
              </w:rPr>
              <w:t>002396</w:t>
            </w:r>
          </w:p>
        </w:tc>
        <w:tc>
          <w:tcPr>
            <w:tcW w:w="0" w:type="auto"/>
            <w:vAlign w:val="center"/>
          </w:tcPr>
          <w:p w:rsidR="00FA6536" w:rsidRDefault="00FB3747">
            <w:pPr>
              <w:jc w:val="center"/>
            </w:pPr>
            <w:r>
              <w:rPr>
                <w:color w:val="000000"/>
                <w:kern w:val="0"/>
                <w:sz w:val="24"/>
                <w:szCs w:val="24"/>
              </w:rPr>
              <w:t>星网锐捷</w:t>
            </w:r>
          </w:p>
        </w:tc>
        <w:tc>
          <w:tcPr>
            <w:tcW w:w="0" w:type="auto"/>
            <w:vAlign w:val="center"/>
          </w:tcPr>
          <w:p w:rsidR="00FA6536" w:rsidRDefault="00FB3747">
            <w:pPr>
              <w:jc w:val="right"/>
            </w:pPr>
            <w:r>
              <w:rPr>
                <w:color w:val="000000"/>
                <w:kern w:val="0"/>
                <w:sz w:val="24"/>
                <w:szCs w:val="24"/>
              </w:rPr>
              <w:t>2,073,400</w:t>
            </w:r>
          </w:p>
        </w:tc>
        <w:tc>
          <w:tcPr>
            <w:tcW w:w="0" w:type="auto"/>
            <w:vAlign w:val="center"/>
          </w:tcPr>
          <w:p w:rsidR="00FA6536" w:rsidRDefault="00FB3747">
            <w:pPr>
              <w:jc w:val="right"/>
            </w:pPr>
            <w:r>
              <w:rPr>
                <w:color w:val="000000"/>
                <w:kern w:val="0"/>
                <w:sz w:val="24"/>
                <w:szCs w:val="24"/>
              </w:rPr>
              <w:t>76,093,780.00</w:t>
            </w:r>
          </w:p>
        </w:tc>
        <w:tc>
          <w:tcPr>
            <w:tcW w:w="0" w:type="auto"/>
            <w:vAlign w:val="center"/>
          </w:tcPr>
          <w:p w:rsidR="00FA6536" w:rsidRDefault="00FB3747">
            <w:pPr>
              <w:jc w:val="right"/>
            </w:pPr>
            <w:r>
              <w:rPr>
                <w:color w:val="000000"/>
                <w:kern w:val="0"/>
                <w:sz w:val="24"/>
                <w:szCs w:val="24"/>
              </w:rPr>
              <w:t>2.21</w:t>
            </w:r>
          </w:p>
        </w:tc>
      </w:tr>
      <w:tr w:rsidR="00FA6536">
        <w:tc>
          <w:tcPr>
            <w:tcW w:w="0" w:type="auto"/>
            <w:vAlign w:val="center"/>
          </w:tcPr>
          <w:p w:rsidR="00FA6536" w:rsidRDefault="00FB3747">
            <w:pPr>
              <w:jc w:val="center"/>
            </w:pPr>
            <w:r>
              <w:rPr>
                <w:color w:val="000000"/>
                <w:kern w:val="0"/>
                <w:sz w:val="24"/>
                <w:szCs w:val="24"/>
              </w:rPr>
              <w:t>10</w:t>
            </w:r>
          </w:p>
        </w:tc>
        <w:tc>
          <w:tcPr>
            <w:tcW w:w="0" w:type="auto"/>
            <w:vAlign w:val="center"/>
          </w:tcPr>
          <w:p w:rsidR="00FA6536" w:rsidRDefault="00FB3747">
            <w:pPr>
              <w:jc w:val="center"/>
            </w:pPr>
            <w:r>
              <w:rPr>
                <w:color w:val="000000"/>
                <w:kern w:val="0"/>
                <w:sz w:val="24"/>
                <w:szCs w:val="24"/>
              </w:rPr>
              <w:t>002013</w:t>
            </w:r>
          </w:p>
        </w:tc>
        <w:tc>
          <w:tcPr>
            <w:tcW w:w="0" w:type="auto"/>
            <w:vAlign w:val="center"/>
          </w:tcPr>
          <w:p w:rsidR="00FA6536" w:rsidRDefault="00FB3747">
            <w:pPr>
              <w:jc w:val="center"/>
            </w:pPr>
            <w:r>
              <w:rPr>
                <w:color w:val="000000"/>
                <w:kern w:val="0"/>
                <w:sz w:val="24"/>
                <w:szCs w:val="24"/>
              </w:rPr>
              <w:t>中航机电</w:t>
            </w:r>
          </w:p>
        </w:tc>
        <w:tc>
          <w:tcPr>
            <w:tcW w:w="0" w:type="auto"/>
            <w:vAlign w:val="center"/>
          </w:tcPr>
          <w:p w:rsidR="00FA6536" w:rsidRDefault="00FB3747">
            <w:pPr>
              <w:jc w:val="right"/>
            </w:pPr>
            <w:r>
              <w:rPr>
                <w:color w:val="000000"/>
                <w:kern w:val="0"/>
                <w:sz w:val="24"/>
                <w:szCs w:val="24"/>
              </w:rPr>
              <w:t>10,448,671</w:t>
            </w:r>
          </w:p>
        </w:tc>
        <w:tc>
          <w:tcPr>
            <w:tcW w:w="0" w:type="auto"/>
            <w:vAlign w:val="center"/>
          </w:tcPr>
          <w:p w:rsidR="00FA6536" w:rsidRDefault="00FB3747">
            <w:pPr>
              <w:jc w:val="right"/>
            </w:pPr>
            <w:r>
              <w:rPr>
                <w:color w:val="000000"/>
                <w:kern w:val="0"/>
                <w:sz w:val="24"/>
                <w:szCs w:val="24"/>
              </w:rPr>
              <w:t>75,334,917.91</w:t>
            </w:r>
          </w:p>
        </w:tc>
        <w:tc>
          <w:tcPr>
            <w:tcW w:w="0" w:type="auto"/>
            <w:vAlign w:val="center"/>
          </w:tcPr>
          <w:p w:rsidR="00FA6536" w:rsidRDefault="00FB3747">
            <w:pPr>
              <w:jc w:val="right"/>
            </w:pPr>
            <w:r>
              <w:rPr>
                <w:color w:val="000000"/>
                <w:kern w:val="0"/>
                <w:sz w:val="24"/>
                <w:szCs w:val="24"/>
              </w:rPr>
              <w:t>2.19</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883,869.90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0.03</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883,869.90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0.03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FA6536">
        <w:tc>
          <w:tcPr>
            <w:tcW w:w="0" w:type="auto"/>
            <w:vAlign w:val="center"/>
          </w:tcPr>
          <w:p w:rsidR="00FA6536" w:rsidRDefault="00FB3747">
            <w:pPr>
              <w:jc w:val="center"/>
            </w:pPr>
            <w:r>
              <w:rPr>
                <w:color w:val="000000"/>
                <w:kern w:val="0"/>
                <w:sz w:val="24"/>
                <w:szCs w:val="24"/>
              </w:rPr>
              <w:t>1</w:t>
            </w:r>
          </w:p>
        </w:tc>
        <w:tc>
          <w:tcPr>
            <w:tcW w:w="0" w:type="auto"/>
            <w:vAlign w:val="center"/>
          </w:tcPr>
          <w:p w:rsidR="00FA6536" w:rsidRDefault="00FB3747">
            <w:pPr>
              <w:jc w:val="center"/>
            </w:pPr>
            <w:r>
              <w:rPr>
                <w:color w:val="000000"/>
                <w:kern w:val="0"/>
                <w:sz w:val="24"/>
                <w:szCs w:val="24"/>
              </w:rPr>
              <w:t>123038</w:t>
            </w:r>
          </w:p>
        </w:tc>
        <w:tc>
          <w:tcPr>
            <w:tcW w:w="0" w:type="auto"/>
            <w:vAlign w:val="center"/>
          </w:tcPr>
          <w:p w:rsidR="00FA6536" w:rsidRDefault="00FB3747">
            <w:pPr>
              <w:jc w:val="center"/>
            </w:pPr>
            <w:r>
              <w:rPr>
                <w:color w:val="000000"/>
                <w:kern w:val="0"/>
                <w:sz w:val="24"/>
                <w:szCs w:val="24"/>
              </w:rPr>
              <w:t>联得转债</w:t>
            </w:r>
          </w:p>
        </w:tc>
        <w:tc>
          <w:tcPr>
            <w:tcW w:w="0" w:type="auto"/>
            <w:vAlign w:val="center"/>
          </w:tcPr>
          <w:p w:rsidR="00FA6536" w:rsidRDefault="00FB3747">
            <w:pPr>
              <w:jc w:val="right"/>
            </w:pPr>
            <w:r>
              <w:rPr>
                <w:color w:val="000000"/>
                <w:kern w:val="0"/>
                <w:sz w:val="24"/>
                <w:szCs w:val="24"/>
              </w:rPr>
              <w:t>6,810</w:t>
            </w:r>
          </w:p>
        </w:tc>
        <w:tc>
          <w:tcPr>
            <w:tcW w:w="0" w:type="auto"/>
            <w:vAlign w:val="center"/>
          </w:tcPr>
          <w:p w:rsidR="00FA6536" w:rsidRDefault="00FB3747">
            <w:pPr>
              <w:jc w:val="right"/>
            </w:pPr>
            <w:r>
              <w:rPr>
                <w:color w:val="000000"/>
                <w:kern w:val="0"/>
                <w:sz w:val="24"/>
                <w:szCs w:val="24"/>
              </w:rPr>
              <w:t>883,869.90</w:t>
            </w:r>
          </w:p>
        </w:tc>
        <w:tc>
          <w:tcPr>
            <w:tcW w:w="0" w:type="auto"/>
            <w:vAlign w:val="center"/>
          </w:tcPr>
          <w:p w:rsidR="00FA6536" w:rsidRDefault="00FB3747">
            <w:pPr>
              <w:jc w:val="right"/>
            </w:pPr>
            <w:r>
              <w:rPr>
                <w:color w:val="000000"/>
                <w:kern w:val="0"/>
                <w:sz w:val="24"/>
                <w:szCs w:val="24"/>
              </w:rPr>
              <w:t>0.03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万科A（代码：000002）为易方达科翔混合型证券投资基金的前十大重仓证券之一。2019年6月26日，国家外汇管理局深圳市分局对万科企业股份有限公司违反外汇登记管理规定的行为，作出警告并罚款5万元的处罚决定。</w:t>
      </w:r>
    </w:p>
    <w:p w:rsidR="00FA6536" w:rsidRDefault="00FB3747">
      <w:pPr>
        <w:spacing w:line="360" w:lineRule="auto"/>
        <w:rPr>
          <w:rFonts w:ascii="宋体" w:hAnsi="宋体"/>
          <w:color w:val="000000"/>
          <w:sz w:val="24"/>
          <w:szCs w:val="24"/>
        </w:rPr>
      </w:pPr>
      <w:r>
        <w:rPr>
          <w:rFonts w:ascii="宋体" w:hAnsi="宋体"/>
          <w:color w:val="000000"/>
          <w:sz w:val="24"/>
          <w:szCs w:val="24"/>
        </w:rPr>
        <w:t>本基金投资万科</w:t>
      </w:r>
      <w:r>
        <w:rPr>
          <w:rFonts w:ascii="宋体" w:hAnsi="宋体"/>
          <w:color w:val="000000"/>
          <w:sz w:val="24"/>
          <w:szCs w:val="24"/>
        </w:rPr>
        <w:t>A</w:t>
      </w:r>
      <w:r>
        <w:rPr>
          <w:rFonts w:ascii="宋体" w:hAnsi="宋体"/>
          <w:color w:val="000000"/>
          <w:sz w:val="24"/>
          <w:szCs w:val="24"/>
        </w:rPr>
        <w:t>的投资决策程序符合公司投资制度的规定。</w:t>
      </w:r>
    </w:p>
    <w:p w:rsidR="00FA6536" w:rsidRDefault="00FB3747">
      <w:pPr>
        <w:spacing w:line="360" w:lineRule="auto"/>
        <w:rPr>
          <w:rFonts w:ascii="宋体" w:hAnsi="宋体"/>
          <w:color w:val="000000"/>
          <w:sz w:val="24"/>
          <w:szCs w:val="24"/>
        </w:rPr>
      </w:pPr>
      <w:r>
        <w:rPr>
          <w:rFonts w:ascii="宋体" w:hAnsi="宋体"/>
          <w:color w:val="000000"/>
          <w:sz w:val="24"/>
          <w:szCs w:val="24"/>
        </w:rPr>
        <w:t>除万科</w:t>
      </w:r>
      <w:r>
        <w:rPr>
          <w:rFonts w:ascii="宋体" w:hAnsi="宋体"/>
          <w:color w:val="000000"/>
          <w:sz w:val="24"/>
          <w:szCs w:val="24"/>
        </w:rPr>
        <w:t>A</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822,160.06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2,565,434.06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118,776.93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6,149,805.67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9,656,176.72</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FA6536">
        <w:tc>
          <w:tcPr>
            <w:tcW w:w="0" w:type="auto"/>
            <w:vAlign w:val="center"/>
          </w:tcPr>
          <w:p w:rsidR="00FA6536" w:rsidRDefault="00FB3747">
            <w:pPr>
              <w:jc w:val="center"/>
            </w:pPr>
            <w:r>
              <w:rPr>
                <w:color w:val="000000"/>
                <w:kern w:val="0"/>
                <w:sz w:val="24"/>
                <w:szCs w:val="24"/>
              </w:rPr>
              <w:t>1</w:t>
            </w:r>
          </w:p>
        </w:tc>
        <w:tc>
          <w:tcPr>
            <w:tcW w:w="0" w:type="auto"/>
            <w:vAlign w:val="center"/>
          </w:tcPr>
          <w:p w:rsidR="00FA6536" w:rsidRDefault="00FB3747">
            <w:pPr>
              <w:jc w:val="center"/>
            </w:pPr>
            <w:r>
              <w:rPr>
                <w:color w:val="000000"/>
                <w:kern w:val="0"/>
                <w:sz w:val="24"/>
                <w:szCs w:val="24"/>
              </w:rPr>
              <w:t>300476</w:t>
            </w:r>
          </w:p>
        </w:tc>
        <w:tc>
          <w:tcPr>
            <w:tcW w:w="0" w:type="auto"/>
            <w:vAlign w:val="center"/>
          </w:tcPr>
          <w:p w:rsidR="00FA6536" w:rsidRDefault="00FB3747">
            <w:pPr>
              <w:jc w:val="center"/>
            </w:pPr>
            <w:r>
              <w:rPr>
                <w:color w:val="000000"/>
                <w:kern w:val="0"/>
                <w:sz w:val="24"/>
                <w:szCs w:val="24"/>
              </w:rPr>
              <w:t>胜宏科技</w:t>
            </w:r>
          </w:p>
        </w:tc>
        <w:tc>
          <w:tcPr>
            <w:tcW w:w="0" w:type="auto"/>
            <w:vAlign w:val="center"/>
          </w:tcPr>
          <w:p w:rsidR="00FA6536" w:rsidRDefault="00FB3747">
            <w:pPr>
              <w:jc w:val="right"/>
            </w:pPr>
            <w:r>
              <w:rPr>
                <w:color w:val="000000"/>
                <w:kern w:val="0"/>
                <w:sz w:val="24"/>
                <w:szCs w:val="24"/>
              </w:rPr>
              <w:t>18,592,513.59</w:t>
            </w:r>
          </w:p>
        </w:tc>
        <w:tc>
          <w:tcPr>
            <w:tcW w:w="0" w:type="auto"/>
            <w:vAlign w:val="center"/>
          </w:tcPr>
          <w:p w:rsidR="00FA6536" w:rsidRDefault="00FB3747">
            <w:pPr>
              <w:jc w:val="right"/>
            </w:pPr>
            <w:r>
              <w:rPr>
                <w:color w:val="000000"/>
                <w:kern w:val="0"/>
                <w:sz w:val="24"/>
                <w:szCs w:val="24"/>
              </w:rPr>
              <w:t>0.54</w:t>
            </w:r>
          </w:p>
        </w:tc>
        <w:tc>
          <w:tcPr>
            <w:tcW w:w="0" w:type="auto"/>
            <w:vAlign w:val="center"/>
          </w:tcPr>
          <w:p w:rsidR="00FA6536" w:rsidRDefault="00FB3747">
            <w:pPr>
              <w:jc w:val="right"/>
            </w:pPr>
            <w:r>
              <w:rPr>
                <w:color w:val="000000"/>
                <w:kern w:val="0"/>
                <w:sz w:val="24"/>
                <w:szCs w:val="24"/>
              </w:rPr>
              <w:t>大宗交易流通受限</w:t>
            </w:r>
          </w:p>
        </w:tc>
      </w:tr>
    </w:tbl>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注：根据《深圳</w:t>
      </w:r>
      <w:r w:rsidRPr="006C56AA">
        <w:rPr>
          <w:color w:val="000000"/>
          <w:sz w:val="24"/>
          <w:szCs w:val="24"/>
        </w:rPr>
        <w:t>/</w:t>
      </w:r>
      <w:r w:rsidRPr="006C56AA">
        <w:rPr>
          <w:color w:val="000000"/>
          <w:sz w:val="24"/>
          <w:szCs w:val="24"/>
        </w:rPr>
        <w:t>上海证券交易所上市公司股东及董事、监事、高级管理人员减持股份实施细则》，大股东减持或者特定股东减持，采取大宗交易方式的，在任意连续</w:t>
      </w:r>
      <w:r w:rsidRPr="006C56AA">
        <w:rPr>
          <w:color w:val="000000"/>
          <w:sz w:val="24"/>
          <w:szCs w:val="24"/>
        </w:rPr>
        <w:t>90</w:t>
      </w:r>
      <w:r w:rsidRPr="006C56AA">
        <w:rPr>
          <w:color w:val="000000"/>
          <w:sz w:val="24"/>
          <w:szCs w:val="24"/>
        </w:rPr>
        <w:t>日内，减持股份的总数不得超过公司股份总数的</w:t>
      </w:r>
      <w:r w:rsidRPr="006C56AA">
        <w:rPr>
          <w:color w:val="000000"/>
          <w:sz w:val="24"/>
          <w:szCs w:val="24"/>
        </w:rPr>
        <w:t>2%</w:t>
      </w:r>
      <w:r w:rsidRPr="006C56AA">
        <w:rPr>
          <w:color w:val="000000"/>
          <w:sz w:val="24"/>
          <w:szCs w:val="24"/>
        </w:rPr>
        <w:t>；前款交易的受让方在受让后</w:t>
      </w:r>
      <w:r w:rsidRPr="006C56AA">
        <w:rPr>
          <w:color w:val="000000"/>
          <w:sz w:val="24"/>
          <w:szCs w:val="24"/>
        </w:rPr>
        <w:t>6</w:t>
      </w:r>
      <w:r w:rsidRPr="006C56AA">
        <w:rPr>
          <w:color w:val="000000"/>
          <w:sz w:val="24"/>
          <w:szCs w:val="24"/>
        </w:rPr>
        <w:t>个月内，不得转让所受让的股份。</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1,038,975,149.69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440,458,949.82</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399,591,828.23</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1,079,842,271.28</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r w:rsidRPr="00403A06">
        <w:rPr>
          <w:color w:val="000000"/>
          <w:sz w:val="24"/>
          <w:szCs w:val="24"/>
        </w:rPr>
        <w:t xml:space="preserve"> </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r w:rsidRPr="006C56AA">
        <w:rPr>
          <w:color w:val="000000"/>
          <w:sz w:val="24"/>
          <w:szCs w:val="24"/>
        </w:rPr>
        <w:t xml:space="preserve"> </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FA6536" w:rsidRDefault="00FB3747">
      <w:pPr>
        <w:spacing w:line="360" w:lineRule="auto"/>
        <w:ind w:firstLineChars="200" w:firstLine="480"/>
        <w:rPr>
          <w:color w:val="000000"/>
          <w:sz w:val="24"/>
          <w:szCs w:val="24"/>
        </w:rPr>
      </w:pPr>
      <w:r>
        <w:rPr>
          <w:color w:val="000000"/>
          <w:sz w:val="24"/>
          <w:szCs w:val="24"/>
        </w:rPr>
        <w:t>1.</w:t>
      </w:r>
      <w:r>
        <w:rPr>
          <w:color w:val="000000"/>
          <w:sz w:val="24"/>
          <w:szCs w:val="24"/>
        </w:rPr>
        <w:t>科翔证券投资基金基金份额持有人大会决议生效公告；</w:t>
      </w:r>
    </w:p>
    <w:p w:rsidR="00FA6536" w:rsidRDefault="00FB3747">
      <w:pPr>
        <w:spacing w:line="360" w:lineRule="auto"/>
        <w:ind w:firstLineChars="200" w:firstLine="480"/>
        <w:rPr>
          <w:color w:val="000000"/>
          <w:sz w:val="24"/>
          <w:szCs w:val="24"/>
        </w:rPr>
      </w:pPr>
      <w:r>
        <w:rPr>
          <w:color w:val="000000"/>
          <w:sz w:val="24"/>
          <w:szCs w:val="24"/>
        </w:rPr>
        <w:t>2.</w:t>
      </w:r>
      <w:r>
        <w:rPr>
          <w:color w:val="000000"/>
          <w:sz w:val="24"/>
          <w:szCs w:val="24"/>
        </w:rPr>
        <w:t>中国证监会《关于核准科翔证券投资基金基金份额持有人大会有关转换基金运作方式决议的批复》（证监许可</w:t>
      </w:r>
      <w:r>
        <w:rPr>
          <w:color w:val="000000"/>
          <w:sz w:val="24"/>
          <w:szCs w:val="24"/>
        </w:rPr>
        <w:t>[2008]1221</w:t>
      </w:r>
      <w:r>
        <w:rPr>
          <w:color w:val="000000"/>
          <w:sz w:val="24"/>
          <w:szCs w:val="24"/>
        </w:rPr>
        <w:t>号）；</w:t>
      </w:r>
    </w:p>
    <w:p w:rsidR="00FA6536" w:rsidRDefault="00FB3747">
      <w:pPr>
        <w:spacing w:line="360" w:lineRule="auto"/>
        <w:ind w:firstLineChars="200" w:firstLine="480"/>
        <w:rPr>
          <w:color w:val="000000"/>
          <w:sz w:val="24"/>
          <w:szCs w:val="24"/>
        </w:rPr>
      </w:pPr>
      <w:r>
        <w:rPr>
          <w:color w:val="000000"/>
          <w:sz w:val="24"/>
          <w:szCs w:val="24"/>
        </w:rPr>
        <w:t>3.</w:t>
      </w:r>
      <w:r>
        <w:rPr>
          <w:color w:val="000000"/>
          <w:sz w:val="24"/>
          <w:szCs w:val="24"/>
        </w:rPr>
        <w:t>《易方达科翔混合型证券投资基金基金合同》；</w:t>
      </w:r>
    </w:p>
    <w:p w:rsidR="00FA6536" w:rsidRDefault="00FB3747">
      <w:pPr>
        <w:spacing w:line="360" w:lineRule="auto"/>
        <w:ind w:firstLineChars="200" w:firstLine="480"/>
        <w:rPr>
          <w:color w:val="000000"/>
          <w:sz w:val="24"/>
          <w:szCs w:val="24"/>
        </w:rPr>
      </w:pPr>
      <w:r>
        <w:rPr>
          <w:color w:val="000000"/>
          <w:sz w:val="24"/>
          <w:szCs w:val="24"/>
        </w:rPr>
        <w:t>4.</w:t>
      </w:r>
      <w:r>
        <w:rPr>
          <w:color w:val="000000"/>
          <w:sz w:val="24"/>
          <w:szCs w:val="24"/>
        </w:rPr>
        <w:t>《易方达科翔混合型证券投资基金托管协议》；</w:t>
      </w:r>
    </w:p>
    <w:p w:rsidR="00FA6536" w:rsidRDefault="00FB3747">
      <w:pPr>
        <w:spacing w:line="360" w:lineRule="auto"/>
        <w:ind w:firstLineChars="200" w:firstLine="480"/>
        <w:rPr>
          <w:color w:val="000000"/>
          <w:sz w:val="24"/>
          <w:szCs w:val="24"/>
        </w:rPr>
      </w:pPr>
      <w:r>
        <w:rPr>
          <w:color w:val="000000"/>
          <w:sz w:val="24"/>
          <w:szCs w:val="24"/>
        </w:rPr>
        <w:t>5.</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6.</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FB3747">
      <w:rPr>
        <w:rStyle w:val="a7"/>
        <w:noProof/>
      </w:rPr>
      <w:t>1</w:t>
    </w:r>
    <w:r>
      <w:rPr>
        <w:rStyle w:val="a7"/>
      </w:rPr>
      <w:fldChar w:fldCharType="end"/>
    </w:r>
    <w:r>
      <w:rPr>
        <w:rStyle w:val="a7"/>
        <w:rFonts w:hint="eastAsia"/>
      </w:rPr>
      <w:t>页共</w:t>
    </w:r>
    <w:fldSimple w:instr=" NUMPAGES  \* Arabic  \* MERGEFORMAT ">
      <w:r w:rsidR="00FB3747" w:rsidRPr="00FB3747">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FB3747">
      <w:rPr>
        <w:rStyle w:val="a7"/>
        <w:noProof/>
      </w:rPr>
      <w:t>2</w:t>
    </w:r>
    <w:r>
      <w:rPr>
        <w:rStyle w:val="a7"/>
      </w:rPr>
      <w:fldChar w:fldCharType="end"/>
    </w:r>
    <w:r>
      <w:rPr>
        <w:rStyle w:val="a7"/>
        <w:rFonts w:hint="eastAsia"/>
      </w:rPr>
      <w:t>页共</w:t>
    </w:r>
    <w:r w:rsidR="00FB3747">
      <w:fldChar w:fldCharType="begin"/>
    </w:r>
    <w:r w:rsidR="00FB3747">
      <w:instrText xml:space="preserve"> NUMPAGES  \* Arabic  \* MERGEFORMAT </w:instrText>
    </w:r>
    <w:r w:rsidR="00FB3747">
      <w:fldChar w:fldCharType="separate"/>
    </w:r>
    <w:r w:rsidR="00FB3747" w:rsidRPr="00FB3747">
      <w:rPr>
        <w:rStyle w:val="a7"/>
        <w:noProof/>
      </w:rPr>
      <w:t>2</w:t>
    </w:r>
    <w:r w:rsidR="00FB3747">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易方达科翔混合型证券投资基金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A6536"/>
    <w:rsid w:val="00FB0BC9"/>
    <w:rsid w:val="00FB0F9B"/>
    <w:rsid w:val="00FB3747"/>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B82BE19F-A87F-4B07-AD15-B26D6836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7DE9-9B44-4627-9DE8-C479BB94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5358</Characters>
  <Application>Microsoft Office Word</Application>
  <DocSecurity>4</DocSecurity>
  <Lines>44</Lines>
  <Paragraphs>12</Paragraphs>
  <ScaleCrop>false</ScaleCrop>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2020-04-14T01:36:00Z</dcterms:created>
  <dcterms:modified xsi:type="dcterms:W3CDTF">2020-04-14T01:36:00Z</dcterms:modified>
</cp:coreProperties>
</file>