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易方达中小盘混合型证券投资基金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5B5A90" w:rsidRDefault="00264519">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B5A90" w:rsidRDefault="00264519">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B5A90" w:rsidRDefault="00264519">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B5A90" w:rsidRDefault="00264519">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B5A90" w:rsidRDefault="00264519">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易方达中小盘混合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2008</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19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3,112,360,133.31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通过投资具有竞争优势和较高成长性的中小盘股票，力求在有效控制风险的前提下，谋求基金资产的长期增值。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本基金基于定量与定性相结合的宏观及市场分析，进行战术性资产配置，确定组合中股票、债券、货币市场工具及其他金融工具的比例，追求更高收益，回避市场风险。在股票资产方面，本基金采取</w:t>
            </w:r>
            <w:r w:rsidRPr="00232B03">
              <w:rPr>
                <w:color w:val="000000"/>
                <w:kern w:val="0"/>
                <w:sz w:val="24"/>
                <w:szCs w:val="24"/>
              </w:rPr>
              <w:lastRenderedPageBreak/>
              <w:t>“</w:t>
            </w:r>
            <w:r w:rsidRPr="00232B03">
              <w:rPr>
                <w:color w:val="000000"/>
                <w:kern w:val="0"/>
                <w:sz w:val="24"/>
                <w:szCs w:val="24"/>
              </w:rPr>
              <w:t>自下而上</w:t>
            </w:r>
            <w:r w:rsidRPr="00232B03">
              <w:rPr>
                <w:color w:val="000000"/>
                <w:kern w:val="0"/>
                <w:sz w:val="24"/>
                <w:szCs w:val="24"/>
              </w:rPr>
              <w:t>”</w:t>
            </w:r>
            <w:r w:rsidRPr="00232B03">
              <w:rPr>
                <w:color w:val="000000"/>
                <w:kern w:val="0"/>
                <w:sz w:val="24"/>
                <w:szCs w:val="24"/>
              </w:rPr>
              <w:t>的策略，投资具有良好治理结构、在细分行业具有竞争优势以及有较高成长性的中小盘股票。</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45%×</w:t>
            </w:r>
            <w:r w:rsidRPr="00232B03">
              <w:rPr>
                <w:color w:val="000000"/>
                <w:kern w:val="0"/>
                <w:sz w:val="24"/>
                <w:szCs w:val="24"/>
              </w:rPr>
              <w:t>天相中盘指数收益率</w:t>
            </w:r>
            <w:r w:rsidRPr="00232B03">
              <w:rPr>
                <w:color w:val="000000"/>
                <w:kern w:val="0"/>
                <w:sz w:val="24"/>
                <w:szCs w:val="24"/>
              </w:rPr>
              <w:t>+35%×</w:t>
            </w:r>
            <w:r w:rsidRPr="00232B03">
              <w:rPr>
                <w:color w:val="000000"/>
                <w:kern w:val="0"/>
                <w:sz w:val="24"/>
                <w:szCs w:val="24"/>
              </w:rPr>
              <w:t>天相小盘指数收益率</w:t>
            </w:r>
            <w:r w:rsidRPr="00232B03">
              <w:rPr>
                <w:color w:val="000000"/>
                <w:kern w:val="0"/>
                <w:sz w:val="24"/>
                <w:szCs w:val="24"/>
              </w:rPr>
              <w:t>+20%×</w:t>
            </w:r>
            <w:r w:rsidRPr="00232B03">
              <w:rPr>
                <w:color w:val="000000"/>
                <w:kern w:val="0"/>
                <w:sz w:val="24"/>
                <w:szCs w:val="24"/>
              </w:rPr>
              <w:t>中债总指数收益率</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1,077,071,448.93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-860,664,174.76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-0.2656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14,714,299,201.99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4.7277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5B5A90" w:rsidRDefault="00264519">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5B5A90">
        <w:tc>
          <w:tcPr>
            <w:tcW w:w="0" w:type="auto"/>
            <w:vAlign w:val="center"/>
          </w:tcPr>
          <w:p w:rsidR="005B5A90" w:rsidRDefault="00264519">
            <w:pPr>
              <w:jc w:val="left"/>
            </w:pPr>
            <w:r>
              <w:rPr>
                <w:color w:val="000000"/>
                <w:kern w:val="0"/>
                <w:sz w:val="24"/>
                <w:szCs w:val="24"/>
              </w:rPr>
              <w:t>过去三个月</w:t>
            </w:r>
          </w:p>
        </w:tc>
        <w:tc>
          <w:tcPr>
            <w:tcW w:w="0" w:type="auto"/>
            <w:vAlign w:val="center"/>
          </w:tcPr>
          <w:p w:rsidR="005B5A90" w:rsidRDefault="00264519">
            <w:pPr>
              <w:jc w:val="center"/>
            </w:pPr>
            <w:r>
              <w:rPr>
                <w:color w:val="000000"/>
                <w:kern w:val="0"/>
                <w:sz w:val="24"/>
                <w:szCs w:val="24"/>
              </w:rPr>
              <w:t>-4.70%</w:t>
            </w:r>
          </w:p>
        </w:tc>
        <w:tc>
          <w:tcPr>
            <w:tcW w:w="0" w:type="auto"/>
            <w:vAlign w:val="center"/>
          </w:tcPr>
          <w:p w:rsidR="005B5A90" w:rsidRDefault="00264519">
            <w:pPr>
              <w:jc w:val="center"/>
            </w:pPr>
            <w:r>
              <w:rPr>
                <w:color w:val="000000"/>
                <w:kern w:val="0"/>
                <w:sz w:val="24"/>
                <w:szCs w:val="24"/>
              </w:rPr>
              <w:t>2.02%</w:t>
            </w:r>
          </w:p>
        </w:tc>
        <w:tc>
          <w:tcPr>
            <w:tcW w:w="0" w:type="auto"/>
            <w:vAlign w:val="center"/>
          </w:tcPr>
          <w:p w:rsidR="005B5A90" w:rsidRDefault="00264519">
            <w:pPr>
              <w:jc w:val="center"/>
            </w:pPr>
            <w:r>
              <w:rPr>
                <w:color w:val="000000"/>
                <w:kern w:val="0"/>
                <w:sz w:val="24"/>
                <w:szCs w:val="24"/>
              </w:rPr>
              <w:t>-3.76%</w:t>
            </w:r>
          </w:p>
        </w:tc>
        <w:tc>
          <w:tcPr>
            <w:tcW w:w="0" w:type="auto"/>
            <w:vAlign w:val="center"/>
          </w:tcPr>
          <w:p w:rsidR="005B5A90" w:rsidRDefault="00264519">
            <w:pPr>
              <w:jc w:val="center"/>
            </w:pPr>
            <w:r>
              <w:rPr>
                <w:color w:val="000000"/>
                <w:kern w:val="0"/>
                <w:sz w:val="24"/>
                <w:szCs w:val="24"/>
              </w:rPr>
              <w:t>1.70%</w:t>
            </w:r>
          </w:p>
        </w:tc>
        <w:tc>
          <w:tcPr>
            <w:tcW w:w="0" w:type="auto"/>
            <w:vAlign w:val="center"/>
          </w:tcPr>
          <w:p w:rsidR="005B5A90" w:rsidRDefault="00264519">
            <w:pPr>
              <w:jc w:val="center"/>
            </w:pPr>
            <w:r>
              <w:rPr>
                <w:color w:val="000000"/>
                <w:kern w:val="0"/>
                <w:sz w:val="24"/>
                <w:szCs w:val="24"/>
              </w:rPr>
              <w:t>-0.94%</w:t>
            </w:r>
          </w:p>
        </w:tc>
        <w:tc>
          <w:tcPr>
            <w:tcW w:w="0" w:type="auto"/>
            <w:vAlign w:val="center"/>
          </w:tcPr>
          <w:p w:rsidR="005B5A90" w:rsidRDefault="00264519">
            <w:pPr>
              <w:jc w:val="center"/>
            </w:pPr>
            <w:r>
              <w:rPr>
                <w:color w:val="000000"/>
                <w:kern w:val="0"/>
                <w:sz w:val="24"/>
                <w:szCs w:val="24"/>
              </w:rPr>
              <w:t>0.32%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易方达中小盘混合型证券投资基金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2008</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19</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264519"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493.71%</w:t>
      </w:r>
      <w:r w:rsidRPr="006C56AA">
        <w:rPr>
          <w:color w:val="000000"/>
          <w:sz w:val="24"/>
          <w:szCs w:val="24"/>
        </w:rPr>
        <w:t>，同期业绩比较基准收益率为</w:t>
      </w:r>
      <w:r w:rsidRPr="006C56AA">
        <w:rPr>
          <w:color w:val="000000"/>
          <w:sz w:val="24"/>
          <w:szCs w:val="24"/>
        </w:rPr>
        <w:t>40.14%</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5B5A90">
        <w:tc>
          <w:tcPr>
            <w:tcW w:w="0" w:type="auto"/>
            <w:vAlign w:val="center"/>
          </w:tcPr>
          <w:p w:rsidR="005B5A90" w:rsidRDefault="00264519">
            <w:pPr>
              <w:jc w:val="center"/>
            </w:pPr>
            <w:r>
              <w:rPr>
                <w:color w:val="000000"/>
                <w:sz w:val="24"/>
              </w:rPr>
              <w:t>张坤</w:t>
            </w:r>
          </w:p>
        </w:tc>
        <w:tc>
          <w:tcPr>
            <w:tcW w:w="0" w:type="auto"/>
            <w:vAlign w:val="center"/>
          </w:tcPr>
          <w:p w:rsidR="005B5A90" w:rsidRDefault="00264519">
            <w:pPr>
              <w:jc w:val="left"/>
            </w:pPr>
            <w:r>
              <w:rPr>
                <w:color w:val="000000"/>
                <w:sz w:val="24"/>
              </w:rPr>
              <w:t>本基金的基金经理、易方达亚洲精选股票型证券投资基金的基金经理、易方达新丝路灵活配置混合型证券投资基金的基金经理、易方达蓝筹精选混合型证券投资基金的基金经理</w:t>
            </w:r>
          </w:p>
        </w:tc>
        <w:tc>
          <w:tcPr>
            <w:tcW w:w="0" w:type="auto"/>
            <w:vAlign w:val="center"/>
          </w:tcPr>
          <w:p w:rsidR="005B5A90" w:rsidRDefault="00264519">
            <w:pPr>
              <w:jc w:val="center"/>
            </w:pPr>
            <w:r>
              <w:rPr>
                <w:color w:val="000000"/>
                <w:sz w:val="24"/>
              </w:rPr>
              <w:t>2012-09-28</w:t>
            </w:r>
          </w:p>
        </w:tc>
        <w:tc>
          <w:tcPr>
            <w:tcW w:w="0" w:type="auto"/>
            <w:vAlign w:val="center"/>
          </w:tcPr>
          <w:p w:rsidR="005B5A90" w:rsidRDefault="00264519">
            <w:pPr>
              <w:jc w:val="center"/>
            </w:pPr>
            <w:r>
              <w:rPr>
                <w:color w:val="000000"/>
                <w:sz w:val="24"/>
              </w:rPr>
              <w:t>-</w:t>
            </w:r>
          </w:p>
        </w:tc>
        <w:tc>
          <w:tcPr>
            <w:tcW w:w="0" w:type="auto"/>
            <w:vAlign w:val="center"/>
          </w:tcPr>
          <w:p w:rsidR="005B5A90" w:rsidRDefault="00264519">
            <w:pPr>
              <w:jc w:val="center"/>
            </w:pPr>
            <w:r>
              <w:rPr>
                <w:color w:val="000000"/>
                <w:sz w:val="24"/>
              </w:rPr>
              <w:t>12</w:t>
            </w:r>
            <w:r>
              <w:rPr>
                <w:color w:val="000000"/>
                <w:sz w:val="24"/>
              </w:rPr>
              <w:t>年</w:t>
            </w:r>
          </w:p>
        </w:tc>
        <w:tc>
          <w:tcPr>
            <w:tcW w:w="0" w:type="auto"/>
            <w:vAlign w:val="center"/>
          </w:tcPr>
          <w:p w:rsidR="005B5A90" w:rsidRDefault="00264519">
            <w:r>
              <w:rPr>
                <w:color w:val="000000"/>
                <w:sz w:val="24"/>
              </w:rPr>
              <w:t>硕士研究生，具有基金从业资格。曾任易方达基金管理有限公司行业研究员、基金经理助理、研究部总经理助理。</w:t>
            </w:r>
          </w:p>
        </w:tc>
      </w:tr>
    </w:tbl>
    <w:p w:rsidR="005B5A90" w:rsidRDefault="00264519">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5B5A90" w:rsidRDefault="00264519">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5B5A90" w:rsidRDefault="00264519">
      <w:pPr>
        <w:spacing w:line="360" w:lineRule="auto"/>
        <w:ind w:firstLineChars="200" w:firstLine="480"/>
        <w:rPr>
          <w:color w:val="000000"/>
          <w:sz w:val="24"/>
          <w:szCs w:val="24"/>
        </w:rPr>
      </w:pPr>
      <w:r>
        <w:rPr>
          <w:color w:val="000000"/>
          <w:sz w:val="24"/>
          <w:szCs w:val="24"/>
        </w:rPr>
        <w:t>2020</w:t>
      </w:r>
      <w:r>
        <w:rPr>
          <w:color w:val="000000"/>
          <w:sz w:val="24"/>
          <w:szCs w:val="24"/>
        </w:rPr>
        <w:t>年一季度，</w:t>
      </w:r>
      <w:r>
        <w:rPr>
          <w:color w:val="000000"/>
          <w:sz w:val="24"/>
          <w:szCs w:val="24"/>
        </w:rPr>
        <w:t>A</w:t>
      </w:r>
      <w:r>
        <w:rPr>
          <w:color w:val="000000"/>
          <w:sz w:val="24"/>
          <w:szCs w:val="24"/>
        </w:rPr>
        <w:t>股市场呈现一定分化，沪深</w:t>
      </w:r>
      <w:r>
        <w:rPr>
          <w:color w:val="000000"/>
          <w:sz w:val="24"/>
          <w:szCs w:val="24"/>
        </w:rPr>
        <w:t>300</w:t>
      </w:r>
      <w:r>
        <w:rPr>
          <w:color w:val="000000"/>
          <w:sz w:val="24"/>
          <w:szCs w:val="24"/>
        </w:rPr>
        <w:t>指数下跌</w:t>
      </w:r>
      <w:r>
        <w:rPr>
          <w:color w:val="000000"/>
          <w:sz w:val="24"/>
          <w:szCs w:val="24"/>
        </w:rPr>
        <w:t>10.02%</w:t>
      </w:r>
      <w:r>
        <w:rPr>
          <w:color w:val="000000"/>
          <w:sz w:val="24"/>
          <w:szCs w:val="24"/>
        </w:rPr>
        <w:t>，上证指数下跌</w:t>
      </w:r>
      <w:r>
        <w:rPr>
          <w:color w:val="000000"/>
          <w:sz w:val="24"/>
          <w:szCs w:val="24"/>
        </w:rPr>
        <w:t>9.83%</w:t>
      </w:r>
      <w:r>
        <w:rPr>
          <w:color w:val="000000"/>
          <w:sz w:val="24"/>
          <w:szCs w:val="24"/>
        </w:rPr>
        <w:t>，而创业板指数上涨</w:t>
      </w:r>
      <w:r>
        <w:rPr>
          <w:color w:val="000000"/>
          <w:sz w:val="24"/>
          <w:szCs w:val="24"/>
        </w:rPr>
        <w:t>4.10%</w:t>
      </w:r>
      <w:r>
        <w:rPr>
          <w:color w:val="000000"/>
          <w:sz w:val="24"/>
          <w:szCs w:val="24"/>
        </w:rPr>
        <w:t>。</w:t>
      </w:r>
    </w:p>
    <w:p w:rsidR="005B5A90" w:rsidRDefault="00264519">
      <w:pPr>
        <w:spacing w:line="360" w:lineRule="auto"/>
        <w:ind w:firstLineChars="200" w:firstLine="480"/>
        <w:rPr>
          <w:color w:val="000000"/>
          <w:sz w:val="24"/>
          <w:szCs w:val="24"/>
        </w:rPr>
      </w:pPr>
      <w:r>
        <w:rPr>
          <w:color w:val="000000"/>
          <w:sz w:val="24"/>
          <w:szCs w:val="24"/>
        </w:rPr>
        <w:t>一季度，新型冠状病毒肺炎在全球流行，对全球经济造成了冲击，也对上市公司的经营造成了负面影响。各国政府积极应对，中国政府采取了宽松的货币政策和积极的财政政策。股票市场方面，市场在一季度分化较为明显，农林牧渔、医药、计算机、通信等行业表现较好，而石油石化、家电、非银金融、煤炭等行业表现相对落后。</w:t>
      </w:r>
    </w:p>
    <w:p w:rsidR="005B5A90" w:rsidRDefault="00264519">
      <w:pPr>
        <w:spacing w:line="360" w:lineRule="auto"/>
        <w:ind w:firstLineChars="200" w:firstLine="480"/>
        <w:rPr>
          <w:color w:val="000000"/>
          <w:sz w:val="24"/>
          <w:szCs w:val="24"/>
        </w:rPr>
      </w:pPr>
      <w:r>
        <w:rPr>
          <w:color w:val="000000"/>
          <w:sz w:val="24"/>
          <w:szCs w:val="24"/>
        </w:rPr>
        <w:t>一季度，本基金股票仓位基本保持稳定，并对结构进行了调整，降低了对家电等行业的配置，增加了对食品饮料等行业的配置。个股方面，我们依然长期持有商业模式出色、行业格局清晰、竞争力强的优质公司，希望陪伴并分享这些优秀公司的经营</w:t>
      </w:r>
      <w:r>
        <w:rPr>
          <w:color w:val="000000"/>
          <w:sz w:val="24"/>
          <w:szCs w:val="24"/>
        </w:rPr>
        <w:t>成果。</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对于疫情，从海外经验来看，类似甚至更严重的情形发生过多次，但无一例外都是阶段性的，我们认为本次疫情也不会例外，很大概率在一年后对中国经济和上市公司的影响将会完全消除。从</w:t>
      </w:r>
      <w:r w:rsidRPr="006C56AA">
        <w:rPr>
          <w:color w:val="000000"/>
          <w:sz w:val="24"/>
          <w:szCs w:val="24"/>
        </w:rPr>
        <w:t>DCF</w:t>
      </w:r>
      <w:r w:rsidRPr="006C56AA">
        <w:rPr>
          <w:color w:val="000000"/>
          <w:sz w:val="24"/>
          <w:szCs w:val="24"/>
        </w:rPr>
        <w:t>估值来看，只要公司不因为疫情破产，疫情对公司的影响就仅限于一年的自由现金流，非常有限。这样的短期利空对长期投资者来说提供了很好的介入机会。我们认为，优秀的企业不会因为疫情改变其发展的路径，仍将一轮一轮创出股价的新高。</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4.7277</w:t>
      </w:r>
      <w:r w:rsidRPr="006C56AA">
        <w:rPr>
          <w:color w:val="000000"/>
          <w:sz w:val="24"/>
          <w:szCs w:val="24"/>
        </w:rPr>
        <w:t>元，本报告期份额净值增长率为</w:t>
      </w:r>
      <w:r w:rsidRPr="006C56AA">
        <w:rPr>
          <w:color w:val="000000"/>
          <w:sz w:val="24"/>
          <w:szCs w:val="24"/>
        </w:rPr>
        <w:t>-4.70%</w:t>
      </w:r>
      <w:r w:rsidRPr="006C56AA">
        <w:rPr>
          <w:color w:val="000000"/>
          <w:sz w:val="24"/>
          <w:szCs w:val="24"/>
        </w:rPr>
        <w:t>，同期业绩比较基准收益率为</w:t>
      </w:r>
      <w:r w:rsidRPr="006C56AA">
        <w:rPr>
          <w:color w:val="000000"/>
          <w:sz w:val="24"/>
          <w:szCs w:val="24"/>
        </w:rPr>
        <w:t>-3.76%</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13,887,424,191.78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93.35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13,887,424,191.78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93.35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900,216,932.32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89,646,114.76</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0.60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14,877,287,238.86</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11,342,053,447.38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77.08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1,356,637,654.50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967,142.75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208,900.00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199,104,782.96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988,433,116.88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13,887,424,191.78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94.38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5B5A90">
        <w:tc>
          <w:tcPr>
            <w:tcW w:w="0" w:type="auto"/>
            <w:vAlign w:val="center"/>
          </w:tcPr>
          <w:p w:rsidR="005B5A90" w:rsidRDefault="00264519">
            <w:pPr>
              <w:jc w:val="center"/>
            </w:pPr>
            <w:r>
              <w:rPr>
                <w:color w:val="000000"/>
                <w:kern w:val="0"/>
                <w:sz w:val="24"/>
                <w:szCs w:val="24"/>
              </w:rPr>
              <w:t>1</w:t>
            </w:r>
          </w:p>
        </w:tc>
        <w:tc>
          <w:tcPr>
            <w:tcW w:w="0" w:type="auto"/>
            <w:vAlign w:val="center"/>
          </w:tcPr>
          <w:p w:rsidR="005B5A90" w:rsidRDefault="00264519">
            <w:pPr>
              <w:jc w:val="center"/>
            </w:pPr>
            <w:r>
              <w:rPr>
                <w:color w:val="000000"/>
                <w:kern w:val="0"/>
                <w:sz w:val="24"/>
                <w:szCs w:val="24"/>
              </w:rPr>
              <w:t>002007</w:t>
            </w:r>
          </w:p>
        </w:tc>
        <w:tc>
          <w:tcPr>
            <w:tcW w:w="0" w:type="auto"/>
            <w:vAlign w:val="center"/>
          </w:tcPr>
          <w:p w:rsidR="005B5A90" w:rsidRDefault="00264519">
            <w:pPr>
              <w:jc w:val="center"/>
            </w:pPr>
            <w:r>
              <w:rPr>
                <w:color w:val="000000"/>
                <w:kern w:val="0"/>
                <w:sz w:val="24"/>
                <w:szCs w:val="24"/>
              </w:rPr>
              <w:t>华兰生物</w:t>
            </w:r>
          </w:p>
        </w:tc>
        <w:tc>
          <w:tcPr>
            <w:tcW w:w="0" w:type="auto"/>
            <w:vAlign w:val="center"/>
          </w:tcPr>
          <w:p w:rsidR="005B5A90" w:rsidRDefault="00264519">
            <w:pPr>
              <w:jc w:val="right"/>
            </w:pPr>
            <w:r>
              <w:rPr>
                <w:color w:val="000000"/>
                <w:kern w:val="0"/>
                <w:sz w:val="24"/>
                <w:szCs w:val="24"/>
              </w:rPr>
              <w:t>30,829,189</w:t>
            </w:r>
          </w:p>
        </w:tc>
        <w:tc>
          <w:tcPr>
            <w:tcW w:w="0" w:type="auto"/>
            <w:vAlign w:val="center"/>
          </w:tcPr>
          <w:p w:rsidR="005B5A90" w:rsidRDefault="00264519">
            <w:pPr>
              <w:jc w:val="right"/>
            </w:pPr>
            <w:r>
              <w:rPr>
                <w:color w:val="000000"/>
                <w:kern w:val="0"/>
                <w:sz w:val="24"/>
                <w:szCs w:val="24"/>
              </w:rPr>
              <w:t>1,477,334,736.88</w:t>
            </w:r>
          </w:p>
        </w:tc>
        <w:tc>
          <w:tcPr>
            <w:tcW w:w="0" w:type="auto"/>
            <w:vAlign w:val="center"/>
          </w:tcPr>
          <w:p w:rsidR="005B5A90" w:rsidRDefault="00264519">
            <w:pPr>
              <w:jc w:val="right"/>
            </w:pPr>
            <w:r>
              <w:rPr>
                <w:color w:val="000000"/>
                <w:kern w:val="0"/>
                <w:sz w:val="24"/>
                <w:szCs w:val="24"/>
              </w:rPr>
              <w:t>10.04</w:t>
            </w:r>
          </w:p>
        </w:tc>
      </w:tr>
      <w:tr w:rsidR="005B5A90">
        <w:tc>
          <w:tcPr>
            <w:tcW w:w="0" w:type="auto"/>
            <w:vAlign w:val="center"/>
          </w:tcPr>
          <w:p w:rsidR="005B5A90" w:rsidRDefault="00264519">
            <w:pPr>
              <w:jc w:val="center"/>
            </w:pPr>
            <w:r>
              <w:rPr>
                <w:color w:val="000000"/>
                <w:kern w:val="0"/>
                <w:sz w:val="24"/>
                <w:szCs w:val="24"/>
              </w:rPr>
              <w:t>2</w:t>
            </w:r>
          </w:p>
        </w:tc>
        <w:tc>
          <w:tcPr>
            <w:tcW w:w="0" w:type="auto"/>
            <w:vAlign w:val="center"/>
          </w:tcPr>
          <w:p w:rsidR="005B5A90" w:rsidRDefault="00264519">
            <w:pPr>
              <w:jc w:val="center"/>
            </w:pPr>
            <w:r>
              <w:rPr>
                <w:color w:val="000000"/>
                <w:kern w:val="0"/>
                <w:sz w:val="24"/>
                <w:szCs w:val="24"/>
              </w:rPr>
              <w:t>600519</w:t>
            </w:r>
          </w:p>
        </w:tc>
        <w:tc>
          <w:tcPr>
            <w:tcW w:w="0" w:type="auto"/>
            <w:vAlign w:val="center"/>
          </w:tcPr>
          <w:p w:rsidR="005B5A90" w:rsidRDefault="00264519">
            <w:pPr>
              <w:jc w:val="center"/>
            </w:pPr>
            <w:r>
              <w:rPr>
                <w:color w:val="000000"/>
                <w:kern w:val="0"/>
                <w:sz w:val="24"/>
                <w:szCs w:val="24"/>
              </w:rPr>
              <w:t>贵州茅台</w:t>
            </w:r>
          </w:p>
        </w:tc>
        <w:tc>
          <w:tcPr>
            <w:tcW w:w="0" w:type="auto"/>
            <w:vAlign w:val="center"/>
          </w:tcPr>
          <w:p w:rsidR="005B5A90" w:rsidRDefault="00264519">
            <w:pPr>
              <w:jc w:val="right"/>
            </w:pPr>
            <w:r>
              <w:rPr>
                <w:color w:val="000000"/>
                <w:kern w:val="0"/>
                <w:sz w:val="24"/>
                <w:szCs w:val="24"/>
              </w:rPr>
              <w:t>1,290,000</w:t>
            </w:r>
          </w:p>
        </w:tc>
        <w:tc>
          <w:tcPr>
            <w:tcW w:w="0" w:type="auto"/>
            <w:vAlign w:val="center"/>
          </w:tcPr>
          <w:p w:rsidR="005B5A90" w:rsidRDefault="00264519">
            <w:pPr>
              <w:jc w:val="right"/>
            </w:pPr>
            <w:r>
              <w:rPr>
                <w:color w:val="000000"/>
                <w:kern w:val="0"/>
                <w:sz w:val="24"/>
                <w:szCs w:val="24"/>
              </w:rPr>
              <w:t>1,433,190,000.00</w:t>
            </w:r>
          </w:p>
        </w:tc>
        <w:tc>
          <w:tcPr>
            <w:tcW w:w="0" w:type="auto"/>
            <w:vAlign w:val="center"/>
          </w:tcPr>
          <w:p w:rsidR="005B5A90" w:rsidRDefault="00264519">
            <w:pPr>
              <w:jc w:val="right"/>
            </w:pPr>
            <w:r>
              <w:rPr>
                <w:color w:val="000000"/>
                <w:kern w:val="0"/>
                <w:sz w:val="24"/>
                <w:szCs w:val="24"/>
              </w:rPr>
              <w:t>9.74</w:t>
            </w:r>
          </w:p>
        </w:tc>
      </w:tr>
      <w:tr w:rsidR="005B5A90">
        <w:tc>
          <w:tcPr>
            <w:tcW w:w="0" w:type="auto"/>
            <w:vAlign w:val="center"/>
          </w:tcPr>
          <w:p w:rsidR="005B5A90" w:rsidRDefault="00264519">
            <w:pPr>
              <w:jc w:val="center"/>
            </w:pPr>
            <w:r>
              <w:rPr>
                <w:color w:val="000000"/>
                <w:kern w:val="0"/>
                <w:sz w:val="24"/>
                <w:szCs w:val="24"/>
              </w:rPr>
              <w:t>3</w:t>
            </w:r>
          </w:p>
        </w:tc>
        <w:tc>
          <w:tcPr>
            <w:tcW w:w="0" w:type="auto"/>
            <w:vAlign w:val="center"/>
          </w:tcPr>
          <w:p w:rsidR="005B5A90" w:rsidRDefault="00264519">
            <w:pPr>
              <w:jc w:val="center"/>
            </w:pPr>
            <w:r>
              <w:rPr>
                <w:color w:val="000000"/>
                <w:kern w:val="0"/>
                <w:sz w:val="24"/>
                <w:szCs w:val="24"/>
              </w:rPr>
              <w:t>000858</w:t>
            </w:r>
          </w:p>
        </w:tc>
        <w:tc>
          <w:tcPr>
            <w:tcW w:w="0" w:type="auto"/>
            <w:vAlign w:val="center"/>
          </w:tcPr>
          <w:p w:rsidR="005B5A90" w:rsidRDefault="00264519">
            <w:pPr>
              <w:jc w:val="center"/>
            </w:pPr>
            <w:r>
              <w:rPr>
                <w:color w:val="000000"/>
                <w:kern w:val="0"/>
                <w:sz w:val="24"/>
                <w:szCs w:val="24"/>
              </w:rPr>
              <w:t>五粮液</w:t>
            </w:r>
          </w:p>
        </w:tc>
        <w:tc>
          <w:tcPr>
            <w:tcW w:w="0" w:type="auto"/>
            <w:vAlign w:val="center"/>
          </w:tcPr>
          <w:p w:rsidR="005B5A90" w:rsidRDefault="00264519">
            <w:pPr>
              <w:jc w:val="right"/>
            </w:pPr>
            <w:r>
              <w:rPr>
                <w:color w:val="000000"/>
                <w:kern w:val="0"/>
                <w:sz w:val="24"/>
                <w:szCs w:val="24"/>
              </w:rPr>
              <w:t>12,359,980</w:t>
            </w:r>
          </w:p>
        </w:tc>
        <w:tc>
          <w:tcPr>
            <w:tcW w:w="0" w:type="auto"/>
            <w:vAlign w:val="center"/>
          </w:tcPr>
          <w:p w:rsidR="005B5A90" w:rsidRDefault="00264519">
            <w:pPr>
              <w:jc w:val="right"/>
            </w:pPr>
            <w:r>
              <w:rPr>
                <w:color w:val="000000"/>
                <w:kern w:val="0"/>
                <w:sz w:val="24"/>
                <w:szCs w:val="24"/>
              </w:rPr>
              <w:t>1,423,869,696.00</w:t>
            </w:r>
          </w:p>
        </w:tc>
        <w:tc>
          <w:tcPr>
            <w:tcW w:w="0" w:type="auto"/>
            <w:vAlign w:val="center"/>
          </w:tcPr>
          <w:p w:rsidR="005B5A90" w:rsidRDefault="00264519">
            <w:pPr>
              <w:jc w:val="right"/>
            </w:pPr>
            <w:r>
              <w:rPr>
                <w:color w:val="000000"/>
                <w:kern w:val="0"/>
                <w:sz w:val="24"/>
                <w:szCs w:val="24"/>
              </w:rPr>
              <w:t>9.68</w:t>
            </w:r>
          </w:p>
        </w:tc>
      </w:tr>
      <w:tr w:rsidR="005B5A90">
        <w:tc>
          <w:tcPr>
            <w:tcW w:w="0" w:type="auto"/>
            <w:vAlign w:val="center"/>
          </w:tcPr>
          <w:p w:rsidR="005B5A90" w:rsidRDefault="00264519">
            <w:pPr>
              <w:jc w:val="center"/>
            </w:pPr>
            <w:r>
              <w:rPr>
                <w:color w:val="000000"/>
                <w:kern w:val="0"/>
                <w:sz w:val="24"/>
                <w:szCs w:val="24"/>
              </w:rPr>
              <w:t>4</w:t>
            </w:r>
          </w:p>
        </w:tc>
        <w:tc>
          <w:tcPr>
            <w:tcW w:w="0" w:type="auto"/>
            <w:vAlign w:val="center"/>
          </w:tcPr>
          <w:p w:rsidR="005B5A90" w:rsidRDefault="00264519">
            <w:pPr>
              <w:jc w:val="center"/>
            </w:pPr>
            <w:r>
              <w:rPr>
                <w:color w:val="000000"/>
                <w:kern w:val="0"/>
                <w:sz w:val="24"/>
                <w:szCs w:val="24"/>
              </w:rPr>
              <w:t>000568</w:t>
            </w:r>
          </w:p>
        </w:tc>
        <w:tc>
          <w:tcPr>
            <w:tcW w:w="0" w:type="auto"/>
            <w:vAlign w:val="center"/>
          </w:tcPr>
          <w:p w:rsidR="005B5A90" w:rsidRDefault="00264519">
            <w:pPr>
              <w:jc w:val="center"/>
            </w:pPr>
            <w:r>
              <w:rPr>
                <w:color w:val="000000"/>
                <w:kern w:val="0"/>
                <w:sz w:val="24"/>
                <w:szCs w:val="24"/>
              </w:rPr>
              <w:t>泸州老窖</w:t>
            </w:r>
          </w:p>
        </w:tc>
        <w:tc>
          <w:tcPr>
            <w:tcW w:w="0" w:type="auto"/>
            <w:vAlign w:val="center"/>
          </w:tcPr>
          <w:p w:rsidR="005B5A90" w:rsidRDefault="00264519">
            <w:pPr>
              <w:jc w:val="right"/>
            </w:pPr>
            <w:r>
              <w:rPr>
                <w:color w:val="000000"/>
                <w:kern w:val="0"/>
                <w:sz w:val="24"/>
                <w:szCs w:val="24"/>
              </w:rPr>
              <w:t>19,060,000</w:t>
            </w:r>
          </w:p>
        </w:tc>
        <w:tc>
          <w:tcPr>
            <w:tcW w:w="0" w:type="auto"/>
            <w:vAlign w:val="center"/>
          </w:tcPr>
          <w:p w:rsidR="005B5A90" w:rsidRDefault="00264519">
            <w:pPr>
              <w:jc w:val="right"/>
            </w:pPr>
            <w:r>
              <w:rPr>
                <w:color w:val="000000"/>
                <w:kern w:val="0"/>
                <w:sz w:val="24"/>
                <w:szCs w:val="24"/>
              </w:rPr>
              <w:t>1,403,769,000.00</w:t>
            </w:r>
          </w:p>
        </w:tc>
        <w:tc>
          <w:tcPr>
            <w:tcW w:w="0" w:type="auto"/>
            <w:vAlign w:val="center"/>
          </w:tcPr>
          <w:p w:rsidR="005B5A90" w:rsidRDefault="00264519">
            <w:pPr>
              <w:jc w:val="right"/>
            </w:pPr>
            <w:r>
              <w:rPr>
                <w:color w:val="000000"/>
                <w:kern w:val="0"/>
                <w:sz w:val="24"/>
                <w:szCs w:val="24"/>
              </w:rPr>
              <w:t>9.54</w:t>
            </w:r>
          </w:p>
        </w:tc>
      </w:tr>
      <w:tr w:rsidR="005B5A90">
        <w:tc>
          <w:tcPr>
            <w:tcW w:w="0" w:type="auto"/>
            <w:vAlign w:val="center"/>
          </w:tcPr>
          <w:p w:rsidR="005B5A90" w:rsidRDefault="00264519">
            <w:pPr>
              <w:jc w:val="center"/>
            </w:pPr>
            <w:r>
              <w:rPr>
                <w:color w:val="000000"/>
                <w:kern w:val="0"/>
                <w:sz w:val="24"/>
                <w:szCs w:val="24"/>
              </w:rPr>
              <w:t>5</w:t>
            </w:r>
          </w:p>
        </w:tc>
        <w:tc>
          <w:tcPr>
            <w:tcW w:w="0" w:type="auto"/>
            <w:vAlign w:val="center"/>
          </w:tcPr>
          <w:p w:rsidR="005B5A90" w:rsidRDefault="00264519">
            <w:pPr>
              <w:jc w:val="center"/>
            </w:pPr>
            <w:r>
              <w:rPr>
                <w:color w:val="000000"/>
                <w:kern w:val="0"/>
                <w:sz w:val="24"/>
                <w:szCs w:val="24"/>
              </w:rPr>
              <w:t>600009</w:t>
            </w:r>
          </w:p>
        </w:tc>
        <w:tc>
          <w:tcPr>
            <w:tcW w:w="0" w:type="auto"/>
            <w:vAlign w:val="center"/>
          </w:tcPr>
          <w:p w:rsidR="005B5A90" w:rsidRDefault="00264519">
            <w:pPr>
              <w:jc w:val="center"/>
            </w:pPr>
            <w:r>
              <w:rPr>
                <w:color w:val="000000"/>
                <w:kern w:val="0"/>
                <w:sz w:val="24"/>
                <w:szCs w:val="24"/>
              </w:rPr>
              <w:t>上海机场</w:t>
            </w:r>
          </w:p>
        </w:tc>
        <w:tc>
          <w:tcPr>
            <w:tcW w:w="0" w:type="auto"/>
            <w:vAlign w:val="center"/>
          </w:tcPr>
          <w:p w:rsidR="005B5A90" w:rsidRDefault="00264519">
            <w:pPr>
              <w:jc w:val="right"/>
            </w:pPr>
            <w:r>
              <w:rPr>
                <w:color w:val="000000"/>
                <w:kern w:val="0"/>
                <w:sz w:val="24"/>
                <w:szCs w:val="24"/>
              </w:rPr>
              <w:t>22,309,450</w:t>
            </w:r>
          </w:p>
        </w:tc>
        <w:tc>
          <w:tcPr>
            <w:tcW w:w="0" w:type="auto"/>
            <w:vAlign w:val="center"/>
          </w:tcPr>
          <w:p w:rsidR="005B5A90" w:rsidRDefault="00264519">
            <w:pPr>
              <w:jc w:val="right"/>
            </w:pPr>
            <w:r>
              <w:rPr>
                <w:color w:val="000000"/>
                <w:kern w:val="0"/>
                <w:sz w:val="24"/>
                <w:szCs w:val="24"/>
              </w:rPr>
              <w:t>1,356,637,654.50</w:t>
            </w:r>
          </w:p>
        </w:tc>
        <w:tc>
          <w:tcPr>
            <w:tcW w:w="0" w:type="auto"/>
            <w:vAlign w:val="center"/>
          </w:tcPr>
          <w:p w:rsidR="005B5A90" w:rsidRDefault="00264519">
            <w:pPr>
              <w:jc w:val="right"/>
            </w:pPr>
            <w:r>
              <w:rPr>
                <w:color w:val="000000"/>
                <w:kern w:val="0"/>
                <w:sz w:val="24"/>
                <w:szCs w:val="24"/>
              </w:rPr>
              <w:t>9.22</w:t>
            </w:r>
          </w:p>
        </w:tc>
      </w:tr>
      <w:tr w:rsidR="005B5A90">
        <w:tc>
          <w:tcPr>
            <w:tcW w:w="0" w:type="auto"/>
            <w:vAlign w:val="center"/>
          </w:tcPr>
          <w:p w:rsidR="005B5A90" w:rsidRDefault="00264519">
            <w:pPr>
              <w:jc w:val="center"/>
            </w:pPr>
            <w:r>
              <w:rPr>
                <w:color w:val="000000"/>
                <w:kern w:val="0"/>
                <w:sz w:val="24"/>
                <w:szCs w:val="24"/>
              </w:rPr>
              <w:t>6</w:t>
            </w:r>
          </w:p>
        </w:tc>
        <w:tc>
          <w:tcPr>
            <w:tcW w:w="0" w:type="auto"/>
            <w:vAlign w:val="center"/>
          </w:tcPr>
          <w:p w:rsidR="005B5A90" w:rsidRDefault="00264519">
            <w:pPr>
              <w:jc w:val="center"/>
            </w:pPr>
            <w:r>
              <w:rPr>
                <w:color w:val="000000"/>
                <w:kern w:val="0"/>
                <w:sz w:val="24"/>
                <w:szCs w:val="24"/>
              </w:rPr>
              <w:t>600161</w:t>
            </w:r>
          </w:p>
        </w:tc>
        <w:tc>
          <w:tcPr>
            <w:tcW w:w="0" w:type="auto"/>
            <w:vAlign w:val="center"/>
          </w:tcPr>
          <w:p w:rsidR="005B5A90" w:rsidRDefault="00264519">
            <w:pPr>
              <w:jc w:val="center"/>
            </w:pPr>
            <w:r>
              <w:rPr>
                <w:color w:val="000000"/>
                <w:kern w:val="0"/>
                <w:sz w:val="24"/>
                <w:szCs w:val="24"/>
              </w:rPr>
              <w:t>天坛生物</w:t>
            </w:r>
          </w:p>
        </w:tc>
        <w:tc>
          <w:tcPr>
            <w:tcW w:w="0" w:type="auto"/>
            <w:vAlign w:val="center"/>
          </w:tcPr>
          <w:p w:rsidR="005B5A90" w:rsidRDefault="00264519">
            <w:pPr>
              <w:jc w:val="right"/>
            </w:pPr>
            <w:r>
              <w:rPr>
                <w:color w:val="000000"/>
                <w:kern w:val="0"/>
                <w:sz w:val="24"/>
                <w:szCs w:val="24"/>
              </w:rPr>
              <w:t>29,000,000</w:t>
            </w:r>
          </w:p>
        </w:tc>
        <w:tc>
          <w:tcPr>
            <w:tcW w:w="0" w:type="auto"/>
            <w:vAlign w:val="center"/>
          </w:tcPr>
          <w:p w:rsidR="005B5A90" w:rsidRDefault="00264519">
            <w:pPr>
              <w:jc w:val="right"/>
            </w:pPr>
            <w:r>
              <w:rPr>
                <w:color w:val="000000"/>
                <w:kern w:val="0"/>
                <w:sz w:val="24"/>
                <w:szCs w:val="24"/>
              </w:rPr>
              <w:t>1,055,020,000.00</w:t>
            </w:r>
          </w:p>
        </w:tc>
        <w:tc>
          <w:tcPr>
            <w:tcW w:w="0" w:type="auto"/>
            <w:vAlign w:val="center"/>
          </w:tcPr>
          <w:p w:rsidR="005B5A90" w:rsidRDefault="00264519">
            <w:pPr>
              <w:jc w:val="right"/>
            </w:pPr>
            <w:r>
              <w:rPr>
                <w:color w:val="000000"/>
                <w:kern w:val="0"/>
                <w:sz w:val="24"/>
                <w:szCs w:val="24"/>
              </w:rPr>
              <w:t>7.17</w:t>
            </w:r>
          </w:p>
        </w:tc>
      </w:tr>
      <w:tr w:rsidR="005B5A90">
        <w:tc>
          <w:tcPr>
            <w:tcW w:w="0" w:type="auto"/>
            <w:vAlign w:val="center"/>
          </w:tcPr>
          <w:p w:rsidR="005B5A90" w:rsidRDefault="00264519">
            <w:pPr>
              <w:jc w:val="center"/>
            </w:pPr>
            <w:r>
              <w:rPr>
                <w:color w:val="000000"/>
                <w:kern w:val="0"/>
                <w:sz w:val="24"/>
                <w:szCs w:val="24"/>
              </w:rPr>
              <w:t>7</w:t>
            </w:r>
          </w:p>
        </w:tc>
        <w:tc>
          <w:tcPr>
            <w:tcW w:w="0" w:type="auto"/>
            <w:vAlign w:val="center"/>
          </w:tcPr>
          <w:p w:rsidR="005B5A90" w:rsidRDefault="00264519">
            <w:pPr>
              <w:jc w:val="center"/>
            </w:pPr>
            <w:r>
              <w:rPr>
                <w:color w:val="000000"/>
                <w:kern w:val="0"/>
                <w:sz w:val="24"/>
                <w:szCs w:val="24"/>
              </w:rPr>
              <w:t>600690</w:t>
            </w:r>
          </w:p>
        </w:tc>
        <w:tc>
          <w:tcPr>
            <w:tcW w:w="0" w:type="auto"/>
            <w:vAlign w:val="center"/>
          </w:tcPr>
          <w:p w:rsidR="005B5A90" w:rsidRDefault="00264519">
            <w:pPr>
              <w:jc w:val="center"/>
            </w:pPr>
            <w:r>
              <w:rPr>
                <w:color w:val="000000"/>
                <w:kern w:val="0"/>
                <w:sz w:val="24"/>
                <w:szCs w:val="24"/>
              </w:rPr>
              <w:t>海尔智家</w:t>
            </w:r>
          </w:p>
        </w:tc>
        <w:tc>
          <w:tcPr>
            <w:tcW w:w="0" w:type="auto"/>
            <w:vAlign w:val="center"/>
          </w:tcPr>
          <w:p w:rsidR="005B5A90" w:rsidRDefault="00264519">
            <w:pPr>
              <w:jc w:val="right"/>
            </w:pPr>
            <w:r>
              <w:rPr>
                <w:color w:val="000000"/>
                <w:kern w:val="0"/>
                <w:sz w:val="24"/>
                <w:szCs w:val="24"/>
              </w:rPr>
              <w:t>70,000,000</w:t>
            </w:r>
          </w:p>
        </w:tc>
        <w:tc>
          <w:tcPr>
            <w:tcW w:w="0" w:type="auto"/>
            <w:vAlign w:val="center"/>
          </w:tcPr>
          <w:p w:rsidR="005B5A90" w:rsidRDefault="00264519">
            <w:pPr>
              <w:jc w:val="right"/>
            </w:pPr>
            <w:r>
              <w:rPr>
                <w:color w:val="000000"/>
                <w:kern w:val="0"/>
                <w:sz w:val="24"/>
                <w:szCs w:val="24"/>
              </w:rPr>
              <w:t>1,008,000,000.00</w:t>
            </w:r>
          </w:p>
        </w:tc>
        <w:tc>
          <w:tcPr>
            <w:tcW w:w="0" w:type="auto"/>
            <w:vAlign w:val="center"/>
          </w:tcPr>
          <w:p w:rsidR="005B5A90" w:rsidRDefault="00264519">
            <w:pPr>
              <w:jc w:val="right"/>
            </w:pPr>
            <w:r>
              <w:rPr>
                <w:color w:val="000000"/>
                <w:kern w:val="0"/>
                <w:sz w:val="24"/>
                <w:szCs w:val="24"/>
              </w:rPr>
              <w:t>6.85</w:t>
            </w:r>
          </w:p>
        </w:tc>
      </w:tr>
      <w:tr w:rsidR="005B5A90">
        <w:tc>
          <w:tcPr>
            <w:tcW w:w="0" w:type="auto"/>
            <w:vAlign w:val="center"/>
          </w:tcPr>
          <w:p w:rsidR="005B5A90" w:rsidRDefault="00264519">
            <w:pPr>
              <w:jc w:val="center"/>
            </w:pPr>
            <w:r>
              <w:rPr>
                <w:color w:val="000000"/>
                <w:kern w:val="0"/>
                <w:sz w:val="24"/>
                <w:szCs w:val="24"/>
              </w:rPr>
              <w:t>8</w:t>
            </w:r>
          </w:p>
        </w:tc>
        <w:tc>
          <w:tcPr>
            <w:tcW w:w="0" w:type="auto"/>
            <w:vAlign w:val="center"/>
          </w:tcPr>
          <w:p w:rsidR="005B5A90" w:rsidRDefault="00264519">
            <w:pPr>
              <w:jc w:val="center"/>
            </w:pPr>
            <w:r>
              <w:rPr>
                <w:color w:val="000000"/>
                <w:kern w:val="0"/>
                <w:sz w:val="24"/>
                <w:szCs w:val="24"/>
              </w:rPr>
              <w:t>300015</w:t>
            </w:r>
          </w:p>
        </w:tc>
        <w:tc>
          <w:tcPr>
            <w:tcW w:w="0" w:type="auto"/>
            <w:vAlign w:val="center"/>
          </w:tcPr>
          <w:p w:rsidR="005B5A90" w:rsidRDefault="00264519">
            <w:pPr>
              <w:jc w:val="center"/>
            </w:pPr>
            <w:r>
              <w:rPr>
                <w:color w:val="000000"/>
                <w:kern w:val="0"/>
                <w:sz w:val="24"/>
                <w:szCs w:val="24"/>
              </w:rPr>
              <w:t>爱尔眼科</w:t>
            </w:r>
          </w:p>
        </w:tc>
        <w:tc>
          <w:tcPr>
            <w:tcW w:w="0" w:type="auto"/>
            <w:vAlign w:val="center"/>
          </w:tcPr>
          <w:p w:rsidR="005B5A90" w:rsidRDefault="00264519">
            <w:pPr>
              <w:jc w:val="right"/>
            </w:pPr>
            <w:r>
              <w:rPr>
                <w:color w:val="000000"/>
                <w:kern w:val="0"/>
                <w:sz w:val="24"/>
                <w:szCs w:val="24"/>
              </w:rPr>
              <w:t>25,099,876</w:t>
            </w:r>
          </w:p>
        </w:tc>
        <w:tc>
          <w:tcPr>
            <w:tcW w:w="0" w:type="auto"/>
            <w:vAlign w:val="center"/>
          </w:tcPr>
          <w:p w:rsidR="005B5A90" w:rsidRDefault="00264519">
            <w:pPr>
              <w:jc w:val="right"/>
            </w:pPr>
            <w:r>
              <w:rPr>
                <w:color w:val="000000"/>
                <w:kern w:val="0"/>
                <w:sz w:val="24"/>
                <w:szCs w:val="24"/>
              </w:rPr>
              <w:t>988,433,116.88</w:t>
            </w:r>
          </w:p>
        </w:tc>
        <w:tc>
          <w:tcPr>
            <w:tcW w:w="0" w:type="auto"/>
            <w:vAlign w:val="center"/>
          </w:tcPr>
          <w:p w:rsidR="005B5A90" w:rsidRDefault="00264519">
            <w:pPr>
              <w:jc w:val="right"/>
            </w:pPr>
            <w:r>
              <w:rPr>
                <w:color w:val="000000"/>
                <w:kern w:val="0"/>
                <w:sz w:val="24"/>
                <w:szCs w:val="24"/>
              </w:rPr>
              <w:t>6.72</w:t>
            </w:r>
          </w:p>
        </w:tc>
      </w:tr>
      <w:tr w:rsidR="005B5A90">
        <w:tc>
          <w:tcPr>
            <w:tcW w:w="0" w:type="auto"/>
            <w:vAlign w:val="center"/>
          </w:tcPr>
          <w:p w:rsidR="005B5A90" w:rsidRDefault="00264519">
            <w:pPr>
              <w:jc w:val="center"/>
            </w:pPr>
            <w:r>
              <w:rPr>
                <w:color w:val="000000"/>
                <w:kern w:val="0"/>
                <w:sz w:val="24"/>
                <w:szCs w:val="24"/>
              </w:rPr>
              <w:t>9</w:t>
            </w:r>
          </w:p>
        </w:tc>
        <w:tc>
          <w:tcPr>
            <w:tcW w:w="0" w:type="auto"/>
            <w:vAlign w:val="center"/>
          </w:tcPr>
          <w:p w:rsidR="005B5A90" w:rsidRDefault="00264519">
            <w:pPr>
              <w:jc w:val="center"/>
            </w:pPr>
            <w:r>
              <w:rPr>
                <w:color w:val="000000"/>
                <w:kern w:val="0"/>
                <w:sz w:val="24"/>
                <w:szCs w:val="24"/>
              </w:rPr>
              <w:t>600066</w:t>
            </w:r>
          </w:p>
        </w:tc>
        <w:tc>
          <w:tcPr>
            <w:tcW w:w="0" w:type="auto"/>
            <w:vAlign w:val="center"/>
          </w:tcPr>
          <w:p w:rsidR="005B5A90" w:rsidRDefault="00264519">
            <w:pPr>
              <w:jc w:val="center"/>
            </w:pPr>
            <w:r>
              <w:rPr>
                <w:color w:val="000000"/>
                <w:kern w:val="0"/>
                <w:sz w:val="24"/>
                <w:szCs w:val="24"/>
              </w:rPr>
              <w:t>宇通客车</w:t>
            </w:r>
          </w:p>
        </w:tc>
        <w:tc>
          <w:tcPr>
            <w:tcW w:w="0" w:type="auto"/>
            <w:vAlign w:val="center"/>
          </w:tcPr>
          <w:p w:rsidR="005B5A90" w:rsidRDefault="00264519">
            <w:pPr>
              <w:jc w:val="right"/>
            </w:pPr>
            <w:r>
              <w:rPr>
                <w:color w:val="000000"/>
                <w:kern w:val="0"/>
                <w:sz w:val="24"/>
                <w:szCs w:val="24"/>
              </w:rPr>
              <w:t>62,009,792</w:t>
            </w:r>
          </w:p>
        </w:tc>
        <w:tc>
          <w:tcPr>
            <w:tcW w:w="0" w:type="auto"/>
            <w:vAlign w:val="center"/>
          </w:tcPr>
          <w:p w:rsidR="005B5A90" w:rsidRDefault="00264519">
            <w:pPr>
              <w:jc w:val="right"/>
            </w:pPr>
            <w:r>
              <w:rPr>
                <w:color w:val="000000"/>
                <w:kern w:val="0"/>
                <w:sz w:val="24"/>
                <w:szCs w:val="24"/>
              </w:rPr>
              <w:t>848,914,052.48</w:t>
            </w:r>
          </w:p>
        </w:tc>
        <w:tc>
          <w:tcPr>
            <w:tcW w:w="0" w:type="auto"/>
            <w:vAlign w:val="center"/>
          </w:tcPr>
          <w:p w:rsidR="005B5A90" w:rsidRDefault="00264519">
            <w:pPr>
              <w:jc w:val="right"/>
            </w:pPr>
            <w:r>
              <w:rPr>
                <w:color w:val="000000"/>
                <w:kern w:val="0"/>
                <w:sz w:val="24"/>
                <w:szCs w:val="24"/>
              </w:rPr>
              <w:t>5.77</w:t>
            </w:r>
          </w:p>
        </w:tc>
      </w:tr>
      <w:tr w:rsidR="005B5A90">
        <w:tc>
          <w:tcPr>
            <w:tcW w:w="0" w:type="auto"/>
            <w:vAlign w:val="center"/>
          </w:tcPr>
          <w:p w:rsidR="005B5A90" w:rsidRDefault="00264519">
            <w:pPr>
              <w:jc w:val="center"/>
            </w:pPr>
            <w:r>
              <w:rPr>
                <w:color w:val="000000"/>
                <w:kern w:val="0"/>
                <w:sz w:val="24"/>
                <w:szCs w:val="24"/>
              </w:rPr>
              <w:t>10</w:t>
            </w:r>
          </w:p>
        </w:tc>
        <w:tc>
          <w:tcPr>
            <w:tcW w:w="0" w:type="auto"/>
            <w:vAlign w:val="center"/>
          </w:tcPr>
          <w:p w:rsidR="005B5A90" w:rsidRDefault="00264519">
            <w:pPr>
              <w:jc w:val="center"/>
            </w:pPr>
            <w:r>
              <w:rPr>
                <w:color w:val="000000"/>
                <w:kern w:val="0"/>
                <w:sz w:val="24"/>
                <w:szCs w:val="24"/>
              </w:rPr>
              <w:t>002032</w:t>
            </w:r>
          </w:p>
        </w:tc>
        <w:tc>
          <w:tcPr>
            <w:tcW w:w="0" w:type="auto"/>
            <w:vAlign w:val="center"/>
          </w:tcPr>
          <w:p w:rsidR="005B5A90" w:rsidRDefault="00264519">
            <w:pPr>
              <w:jc w:val="center"/>
            </w:pPr>
            <w:r>
              <w:rPr>
                <w:color w:val="000000"/>
                <w:kern w:val="0"/>
                <w:sz w:val="24"/>
                <w:szCs w:val="24"/>
              </w:rPr>
              <w:t>苏泊尔</w:t>
            </w:r>
          </w:p>
        </w:tc>
        <w:tc>
          <w:tcPr>
            <w:tcW w:w="0" w:type="auto"/>
            <w:vAlign w:val="center"/>
          </w:tcPr>
          <w:p w:rsidR="005B5A90" w:rsidRDefault="00264519">
            <w:pPr>
              <w:jc w:val="right"/>
            </w:pPr>
            <w:r>
              <w:rPr>
                <w:color w:val="000000"/>
                <w:kern w:val="0"/>
                <w:sz w:val="24"/>
                <w:szCs w:val="24"/>
              </w:rPr>
              <w:t>11,709,923</w:t>
            </w:r>
          </w:p>
        </w:tc>
        <w:tc>
          <w:tcPr>
            <w:tcW w:w="0" w:type="auto"/>
            <w:vAlign w:val="center"/>
          </w:tcPr>
          <w:p w:rsidR="005B5A90" w:rsidRDefault="00264519">
            <w:pPr>
              <w:jc w:val="right"/>
            </w:pPr>
            <w:r>
              <w:rPr>
                <w:color w:val="000000"/>
                <w:kern w:val="0"/>
                <w:sz w:val="24"/>
                <w:szCs w:val="24"/>
              </w:rPr>
              <w:t>809,506,976.99</w:t>
            </w:r>
          </w:p>
        </w:tc>
        <w:tc>
          <w:tcPr>
            <w:tcW w:w="0" w:type="auto"/>
            <w:vAlign w:val="center"/>
          </w:tcPr>
          <w:p w:rsidR="005B5A90" w:rsidRDefault="00264519">
            <w:pPr>
              <w:jc w:val="right"/>
            </w:pPr>
            <w:r>
              <w:rPr>
                <w:color w:val="000000"/>
                <w:kern w:val="0"/>
                <w:sz w:val="24"/>
                <w:szCs w:val="24"/>
              </w:rPr>
              <w:t>5.50</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注：本报告期末本基金投资华兰生物占基金资产净值比例超过</w:t>
      </w:r>
      <w:r w:rsidRPr="006C56AA">
        <w:rPr>
          <w:color w:val="000000"/>
          <w:sz w:val="24"/>
          <w:szCs w:val="24"/>
        </w:rPr>
        <w:t>10%</w:t>
      </w:r>
      <w:r w:rsidRPr="006C56AA">
        <w:rPr>
          <w:color w:val="000000"/>
          <w:sz w:val="24"/>
          <w:szCs w:val="24"/>
        </w:rPr>
        <w:t>，属于被动超标。</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2,495,728.59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206,141.44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86,944,244.73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89,646,114.76</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3,758,491,155.19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1,134,402,787.21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1,780,533,809.09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3,112,360,133.31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5B5A90" w:rsidRDefault="00264519">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中国证监会核准易方达中小盘股票型证券投资基金募集的文件；</w:t>
      </w:r>
    </w:p>
    <w:p w:rsidR="005B5A90" w:rsidRDefault="00264519">
      <w:pPr>
        <w:spacing w:line="360" w:lineRule="auto"/>
        <w:ind w:firstLineChars="200" w:firstLine="480"/>
        <w:rPr>
          <w:color w:val="000000"/>
          <w:sz w:val="24"/>
          <w:szCs w:val="24"/>
        </w:rPr>
      </w:pPr>
      <w:r>
        <w:rPr>
          <w:color w:val="000000"/>
          <w:sz w:val="24"/>
          <w:szCs w:val="24"/>
        </w:rPr>
        <w:t>2.</w:t>
      </w:r>
      <w:r>
        <w:rPr>
          <w:color w:val="000000"/>
          <w:sz w:val="24"/>
          <w:szCs w:val="24"/>
        </w:rPr>
        <w:t>易方达基金管理有限公司关于旗下部分开放式基金更名及修改基金合同、托管协议的公告</w:t>
      </w:r>
    </w:p>
    <w:p w:rsidR="005B5A90" w:rsidRDefault="00264519">
      <w:pPr>
        <w:spacing w:line="360" w:lineRule="auto"/>
        <w:ind w:firstLineChars="200" w:firstLine="480"/>
        <w:rPr>
          <w:color w:val="000000"/>
          <w:sz w:val="24"/>
          <w:szCs w:val="24"/>
        </w:rPr>
      </w:pPr>
      <w:r>
        <w:rPr>
          <w:color w:val="000000"/>
          <w:sz w:val="24"/>
          <w:szCs w:val="24"/>
        </w:rPr>
        <w:t>3.</w:t>
      </w:r>
      <w:r>
        <w:rPr>
          <w:color w:val="000000"/>
          <w:sz w:val="24"/>
          <w:szCs w:val="24"/>
        </w:rPr>
        <w:t>《易方达中小盘混合型证券投资基金基金合同》；</w:t>
      </w:r>
    </w:p>
    <w:p w:rsidR="005B5A90" w:rsidRDefault="00264519">
      <w:pPr>
        <w:spacing w:line="360" w:lineRule="auto"/>
        <w:ind w:firstLineChars="200" w:firstLine="480"/>
        <w:rPr>
          <w:color w:val="000000"/>
          <w:sz w:val="24"/>
          <w:szCs w:val="24"/>
        </w:rPr>
      </w:pPr>
      <w:r>
        <w:rPr>
          <w:color w:val="000000"/>
          <w:sz w:val="24"/>
          <w:szCs w:val="24"/>
        </w:rPr>
        <w:t>4.</w:t>
      </w:r>
      <w:r>
        <w:rPr>
          <w:color w:val="000000"/>
          <w:sz w:val="24"/>
          <w:szCs w:val="24"/>
        </w:rPr>
        <w:t>《易方达中小盘混合型证券投资基金托管协议》；</w:t>
      </w:r>
    </w:p>
    <w:p w:rsidR="005B5A90" w:rsidRDefault="00264519">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64519">
      <w:rPr>
        <w:rStyle w:val="a7"/>
        <w:noProof/>
      </w:rPr>
      <w:t>1</w:t>
    </w:r>
    <w:r>
      <w:rPr>
        <w:rStyle w:val="a7"/>
      </w:rPr>
      <w:fldChar w:fldCharType="end"/>
    </w:r>
    <w:r>
      <w:rPr>
        <w:rStyle w:val="a7"/>
        <w:rFonts w:hint="eastAsia"/>
      </w:rPr>
      <w:t>页共</w:t>
    </w:r>
    <w:fldSimple w:instr=" NUMPAGES  \* Arabic  \* MERGEFORMAT ">
      <w:r w:rsidR="00264519" w:rsidRPr="00264519">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64519">
      <w:rPr>
        <w:rStyle w:val="a7"/>
        <w:noProof/>
      </w:rPr>
      <w:t>2</w:t>
    </w:r>
    <w:r>
      <w:rPr>
        <w:rStyle w:val="a7"/>
      </w:rPr>
      <w:fldChar w:fldCharType="end"/>
    </w:r>
    <w:r>
      <w:rPr>
        <w:rStyle w:val="a7"/>
        <w:rFonts w:hint="eastAsia"/>
      </w:rPr>
      <w:t>页共</w:t>
    </w:r>
    <w:r w:rsidR="00264519">
      <w:fldChar w:fldCharType="begin"/>
    </w:r>
    <w:r w:rsidR="00264519">
      <w:instrText xml:space="preserve"> NUMPAGES  \* Arabic  \* MERGEFORMAT </w:instrText>
    </w:r>
    <w:r w:rsidR="00264519">
      <w:fldChar w:fldCharType="separate"/>
    </w:r>
    <w:r w:rsidR="00264519" w:rsidRPr="00264519">
      <w:rPr>
        <w:rStyle w:val="a7"/>
        <w:noProof/>
      </w:rPr>
      <w:t>2</w:t>
    </w:r>
    <w:r w:rsidR="00264519">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易方达中小盘混合型证券投资基金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519"/>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5A90"/>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875AE08F-7FE9-4DDB-A84B-DB8BCE04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D4CA-048E-4144-9805-DF6FB47E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4941</Characters>
  <Application>Microsoft Office Word</Application>
  <DocSecurity>4</DocSecurity>
  <Lines>41</Lines>
  <Paragraphs>11</Paragraphs>
  <ScaleCrop>false</ScaleCrop>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