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易方达积极成长证券投资基金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777892" w:rsidRDefault="001A57A0">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77892" w:rsidRDefault="001A57A0">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77892" w:rsidRDefault="001A57A0">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77892" w:rsidRDefault="001A57A0">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77892" w:rsidRDefault="001A57A0">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易方达积极成长混合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110005</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110005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2004</w:t>
            </w:r>
            <w:r w:rsidRPr="00232B03">
              <w:rPr>
                <w:color w:val="000000"/>
                <w:kern w:val="0"/>
                <w:sz w:val="24"/>
                <w:szCs w:val="24"/>
              </w:rPr>
              <w:t>年</w:t>
            </w:r>
            <w:r w:rsidRPr="00232B03">
              <w:rPr>
                <w:color w:val="000000"/>
                <w:kern w:val="0"/>
                <w:sz w:val="24"/>
                <w:szCs w:val="24"/>
              </w:rPr>
              <w:t>9</w:t>
            </w:r>
            <w:r w:rsidRPr="00232B03">
              <w:rPr>
                <w:color w:val="000000"/>
                <w:kern w:val="0"/>
                <w:sz w:val="24"/>
                <w:szCs w:val="24"/>
              </w:rPr>
              <w:t>月</w:t>
            </w:r>
            <w:r w:rsidRPr="00232B03">
              <w:rPr>
                <w:color w:val="000000"/>
                <w:kern w:val="0"/>
                <w:sz w:val="24"/>
                <w:szCs w:val="24"/>
              </w:rPr>
              <w:t>9</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3,084,073,744.36</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本基金主要投资超速成长公司，以实现基金资产的长期最大化增值。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本基金采取主动投资管理模式，一方面主动地进行资产配置，以控制或规避市场的系统性风险；另一方面采取自下而上的选股策略，主要投资于利用</w:t>
            </w:r>
            <w:r w:rsidRPr="00232B03">
              <w:rPr>
                <w:color w:val="000000"/>
                <w:kern w:val="0"/>
                <w:sz w:val="24"/>
                <w:szCs w:val="24"/>
              </w:rPr>
              <w:t>“</w:t>
            </w:r>
            <w:r w:rsidRPr="00232B03">
              <w:rPr>
                <w:color w:val="000000"/>
                <w:kern w:val="0"/>
                <w:sz w:val="24"/>
                <w:szCs w:val="24"/>
              </w:rPr>
              <w:t>易方达成长公司评价体系</w:t>
            </w:r>
            <w:r w:rsidRPr="00232B03">
              <w:rPr>
                <w:color w:val="000000"/>
                <w:kern w:val="0"/>
                <w:sz w:val="24"/>
                <w:szCs w:val="24"/>
              </w:rPr>
              <w:t>”</w:t>
            </w:r>
            <w:r w:rsidRPr="00232B03">
              <w:rPr>
                <w:color w:val="000000"/>
                <w:kern w:val="0"/>
                <w:sz w:val="24"/>
                <w:szCs w:val="24"/>
              </w:rPr>
              <w:t>严格筛选的、具有良好成长性且价格合理的上市公司，其中投资的重点是</w:t>
            </w:r>
            <w:r w:rsidRPr="00232B03">
              <w:rPr>
                <w:color w:val="000000"/>
                <w:kern w:val="0"/>
                <w:sz w:val="24"/>
                <w:szCs w:val="24"/>
              </w:rPr>
              <w:lastRenderedPageBreak/>
              <w:t>“</w:t>
            </w:r>
            <w:r w:rsidRPr="00232B03">
              <w:rPr>
                <w:color w:val="000000"/>
                <w:kern w:val="0"/>
                <w:sz w:val="24"/>
                <w:szCs w:val="24"/>
              </w:rPr>
              <w:t>超速成长</w:t>
            </w:r>
            <w:r w:rsidRPr="00232B03">
              <w:rPr>
                <w:color w:val="000000"/>
                <w:kern w:val="0"/>
                <w:sz w:val="24"/>
                <w:szCs w:val="24"/>
              </w:rPr>
              <w:t>”</w:t>
            </w:r>
            <w:r w:rsidRPr="00232B03">
              <w:rPr>
                <w:color w:val="000000"/>
                <w:kern w:val="0"/>
                <w:sz w:val="24"/>
                <w:szCs w:val="24"/>
              </w:rPr>
              <w:t>公司的股票，以争取尽可能高的投资回报。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上证</w:t>
            </w:r>
            <w:r w:rsidRPr="00232B03">
              <w:rPr>
                <w:color w:val="000000"/>
                <w:kern w:val="0"/>
                <w:sz w:val="24"/>
                <w:szCs w:val="24"/>
              </w:rPr>
              <w:t>A</w:t>
            </w:r>
            <w:r w:rsidRPr="00232B03">
              <w:rPr>
                <w:color w:val="000000"/>
                <w:kern w:val="0"/>
                <w:sz w:val="24"/>
                <w:szCs w:val="24"/>
              </w:rPr>
              <w:t>股指数</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本基金为混合型基金，理论上其风险收益水平低于股票型基金，高于债券型基金和货币市场基金。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117,934,780.45</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29,614,193.73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0.0099</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1,992,144,066.00</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0.6459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777892" w:rsidRDefault="001A57A0">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77892" w:rsidRDefault="001A57A0">
      <w:pPr>
        <w:spacing w:line="360" w:lineRule="auto"/>
        <w:ind w:firstLineChars="200" w:firstLine="480"/>
        <w:rPr>
          <w:color w:val="000000"/>
          <w:sz w:val="24"/>
          <w:szCs w:val="24"/>
        </w:rPr>
      </w:pPr>
      <w:r>
        <w:rPr>
          <w:color w:val="000000"/>
          <w:sz w:val="24"/>
        </w:rPr>
        <w:t>2.</w:t>
      </w:r>
      <w:r>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32B03" w:rsidRDefault="00392044" w:rsidP="00232B03">
      <w:pPr>
        <w:spacing w:line="360" w:lineRule="auto"/>
        <w:ind w:firstLineChars="200" w:firstLine="480"/>
        <w:rPr>
          <w:color w:val="000000"/>
          <w:sz w:val="24"/>
          <w:szCs w:val="24"/>
        </w:rPr>
      </w:pPr>
      <w:r w:rsidRPr="006506EF">
        <w:rPr>
          <w:color w:val="000000"/>
          <w:sz w:val="24"/>
        </w:rPr>
        <w:t>3.</w:t>
      </w:r>
      <w:r w:rsidRPr="006506EF">
        <w:rPr>
          <w:color w:val="000000"/>
          <w:sz w:val="24"/>
        </w:rPr>
        <w:t>本基金于</w:t>
      </w:r>
      <w:r w:rsidRPr="006506EF">
        <w:rPr>
          <w:color w:val="000000"/>
          <w:sz w:val="24"/>
        </w:rPr>
        <w:t>2007</w:t>
      </w:r>
      <w:r w:rsidRPr="006506EF">
        <w:rPr>
          <w:color w:val="000000"/>
          <w:sz w:val="24"/>
        </w:rPr>
        <w:t>年</w:t>
      </w:r>
      <w:r w:rsidRPr="006506EF">
        <w:rPr>
          <w:color w:val="000000"/>
          <w:sz w:val="24"/>
        </w:rPr>
        <w:t>2</w:t>
      </w:r>
      <w:r w:rsidRPr="006506EF">
        <w:rPr>
          <w:color w:val="000000"/>
          <w:sz w:val="24"/>
        </w:rPr>
        <w:t>月</w:t>
      </w:r>
      <w:r w:rsidRPr="006506EF">
        <w:rPr>
          <w:color w:val="000000"/>
          <w:sz w:val="24"/>
        </w:rPr>
        <w:t>7</w:t>
      </w:r>
      <w:r w:rsidRPr="006506EF">
        <w:rPr>
          <w:color w:val="000000"/>
          <w:sz w:val="24"/>
        </w:rPr>
        <w:t>日进行份额拆分，份额折算比例为</w:t>
      </w:r>
      <w:r w:rsidRPr="006506EF">
        <w:rPr>
          <w:color w:val="000000"/>
          <w:sz w:val="24"/>
        </w:rPr>
        <w:t>2.521248538</w:t>
      </w:r>
      <w:r w:rsidRPr="006506EF">
        <w:rPr>
          <w:color w:val="000000"/>
          <w:sz w:val="24"/>
        </w:rPr>
        <w:t>，折算后基金份额净值为</w:t>
      </w:r>
      <w:r w:rsidRPr="006506EF">
        <w:rPr>
          <w:color w:val="000000"/>
          <w:sz w:val="24"/>
        </w:rPr>
        <w:t>1.0000</w:t>
      </w:r>
      <w:r w:rsidRPr="006506EF">
        <w:rPr>
          <w:color w:val="000000"/>
          <w:sz w:val="24"/>
        </w:rPr>
        <w:t>人民币元。</w:t>
      </w:r>
      <w:r w:rsidRPr="006506EF">
        <w:rPr>
          <w:color w:val="000000"/>
          <w:sz w:val="24"/>
        </w:rPr>
        <w:t xml:space="preserve"> </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777892">
        <w:tc>
          <w:tcPr>
            <w:tcW w:w="0" w:type="auto"/>
            <w:vAlign w:val="center"/>
          </w:tcPr>
          <w:p w:rsidR="00777892" w:rsidRDefault="001A57A0">
            <w:pPr>
              <w:jc w:val="left"/>
            </w:pPr>
            <w:r>
              <w:rPr>
                <w:color w:val="000000"/>
                <w:kern w:val="0"/>
                <w:sz w:val="24"/>
                <w:szCs w:val="24"/>
              </w:rPr>
              <w:t>过去三个月</w:t>
            </w:r>
          </w:p>
        </w:tc>
        <w:tc>
          <w:tcPr>
            <w:tcW w:w="0" w:type="auto"/>
            <w:vAlign w:val="center"/>
          </w:tcPr>
          <w:p w:rsidR="00777892" w:rsidRDefault="001A57A0">
            <w:pPr>
              <w:jc w:val="center"/>
            </w:pPr>
            <w:r>
              <w:rPr>
                <w:color w:val="000000"/>
                <w:kern w:val="0"/>
                <w:sz w:val="24"/>
                <w:szCs w:val="24"/>
              </w:rPr>
              <w:t>1.38%</w:t>
            </w:r>
          </w:p>
        </w:tc>
        <w:tc>
          <w:tcPr>
            <w:tcW w:w="0" w:type="auto"/>
            <w:vAlign w:val="center"/>
          </w:tcPr>
          <w:p w:rsidR="00777892" w:rsidRDefault="001A57A0">
            <w:pPr>
              <w:jc w:val="center"/>
            </w:pPr>
            <w:r>
              <w:rPr>
                <w:color w:val="000000"/>
                <w:kern w:val="0"/>
                <w:sz w:val="24"/>
                <w:szCs w:val="24"/>
              </w:rPr>
              <w:t>1.92%</w:t>
            </w:r>
          </w:p>
        </w:tc>
        <w:tc>
          <w:tcPr>
            <w:tcW w:w="0" w:type="auto"/>
            <w:vAlign w:val="center"/>
          </w:tcPr>
          <w:p w:rsidR="00777892" w:rsidRDefault="001A57A0">
            <w:pPr>
              <w:jc w:val="center"/>
            </w:pPr>
            <w:r>
              <w:rPr>
                <w:color w:val="000000"/>
                <w:kern w:val="0"/>
                <w:sz w:val="24"/>
                <w:szCs w:val="24"/>
              </w:rPr>
              <w:t>-9.82%</w:t>
            </w:r>
          </w:p>
        </w:tc>
        <w:tc>
          <w:tcPr>
            <w:tcW w:w="0" w:type="auto"/>
            <w:vAlign w:val="center"/>
          </w:tcPr>
          <w:p w:rsidR="00777892" w:rsidRDefault="001A57A0">
            <w:pPr>
              <w:jc w:val="center"/>
            </w:pPr>
            <w:r>
              <w:rPr>
                <w:color w:val="000000"/>
                <w:kern w:val="0"/>
                <w:sz w:val="24"/>
                <w:szCs w:val="24"/>
              </w:rPr>
              <w:t>1.77%</w:t>
            </w:r>
          </w:p>
        </w:tc>
        <w:tc>
          <w:tcPr>
            <w:tcW w:w="0" w:type="auto"/>
            <w:vAlign w:val="center"/>
          </w:tcPr>
          <w:p w:rsidR="00777892" w:rsidRDefault="001A57A0">
            <w:pPr>
              <w:jc w:val="center"/>
            </w:pPr>
            <w:r>
              <w:rPr>
                <w:color w:val="000000"/>
                <w:kern w:val="0"/>
                <w:sz w:val="24"/>
                <w:szCs w:val="24"/>
              </w:rPr>
              <w:t>11.20%</w:t>
            </w:r>
          </w:p>
        </w:tc>
        <w:tc>
          <w:tcPr>
            <w:tcW w:w="0" w:type="auto"/>
            <w:vAlign w:val="center"/>
          </w:tcPr>
          <w:p w:rsidR="00777892" w:rsidRDefault="001A57A0">
            <w:pPr>
              <w:jc w:val="center"/>
            </w:pPr>
            <w:r>
              <w:rPr>
                <w:color w:val="000000"/>
                <w:kern w:val="0"/>
                <w:sz w:val="24"/>
                <w:szCs w:val="24"/>
              </w:rPr>
              <w:t>0.15%</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易方达积极成长证券投资基金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2004</w:t>
      </w:r>
      <w:r w:rsidRPr="0074694E">
        <w:rPr>
          <w:rFonts w:ascii="Times New Roman" w:hAnsi="Times New Roman"/>
          <w:sz w:val="24"/>
          <w:szCs w:val="24"/>
        </w:rPr>
        <w:t>年</w:t>
      </w:r>
      <w:r w:rsidRPr="0074694E">
        <w:rPr>
          <w:rFonts w:ascii="Times New Roman" w:hAnsi="Times New Roman"/>
          <w:sz w:val="24"/>
          <w:szCs w:val="24"/>
        </w:rPr>
        <w:t>9</w:t>
      </w:r>
      <w:r w:rsidRPr="0074694E">
        <w:rPr>
          <w:rFonts w:ascii="Times New Roman" w:hAnsi="Times New Roman"/>
          <w:sz w:val="24"/>
          <w:szCs w:val="24"/>
        </w:rPr>
        <w:t>月</w:t>
      </w:r>
      <w:r w:rsidRPr="0074694E">
        <w:rPr>
          <w:rFonts w:ascii="Times New Roman" w:hAnsi="Times New Roman"/>
          <w:sz w:val="24"/>
          <w:szCs w:val="24"/>
        </w:rPr>
        <w:t>9</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1A57A0"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577.01%</w:t>
      </w:r>
      <w:r w:rsidRPr="006C56AA">
        <w:rPr>
          <w:color w:val="000000"/>
          <w:sz w:val="24"/>
          <w:szCs w:val="24"/>
        </w:rPr>
        <w:t>，同期业绩比较基准收益率为</w:t>
      </w:r>
      <w:r w:rsidRPr="006C56AA">
        <w:rPr>
          <w:color w:val="000000"/>
          <w:sz w:val="24"/>
          <w:szCs w:val="24"/>
        </w:rPr>
        <w:t>109.85%</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777892">
        <w:tc>
          <w:tcPr>
            <w:tcW w:w="0" w:type="auto"/>
            <w:vAlign w:val="center"/>
          </w:tcPr>
          <w:p w:rsidR="00777892" w:rsidRDefault="001A57A0">
            <w:pPr>
              <w:jc w:val="center"/>
            </w:pPr>
            <w:r>
              <w:rPr>
                <w:color w:val="000000"/>
                <w:sz w:val="24"/>
              </w:rPr>
              <w:t>王超</w:t>
            </w:r>
          </w:p>
        </w:tc>
        <w:tc>
          <w:tcPr>
            <w:tcW w:w="0" w:type="auto"/>
            <w:vAlign w:val="center"/>
          </w:tcPr>
          <w:p w:rsidR="00777892" w:rsidRDefault="001A57A0">
            <w:pPr>
              <w:jc w:val="left"/>
            </w:pPr>
            <w:r>
              <w:rPr>
                <w:color w:val="000000"/>
                <w:sz w:val="24"/>
              </w:rPr>
              <w:t>本基金的基金经理</w:t>
            </w:r>
          </w:p>
        </w:tc>
        <w:tc>
          <w:tcPr>
            <w:tcW w:w="0" w:type="auto"/>
            <w:vAlign w:val="center"/>
          </w:tcPr>
          <w:p w:rsidR="00777892" w:rsidRDefault="001A57A0">
            <w:pPr>
              <w:jc w:val="center"/>
            </w:pPr>
            <w:r>
              <w:rPr>
                <w:color w:val="000000"/>
                <w:sz w:val="24"/>
              </w:rPr>
              <w:t>2014-11-22</w:t>
            </w:r>
          </w:p>
        </w:tc>
        <w:tc>
          <w:tcPr>
            <w:tcW w:w="0" w:type="auto"/>
            <w:vAlign w:val="center"/>
          </w:tcPr>
          <w:p w:rsidR="00777892" w:rsidRDefault="001A57A0">
            <w:pPr>
              <w:jc w:val="center"/>
            </w:pPr>
            <w:r>
              <w:rPr>
                <w:color w:val="000000"/>
                <w:sz w:val="24"/>
              </w:rPr>
              <w:t>-</w:t>
            </w:r>
          </w:p>
        </w:tc>
        <w:tc>
          <w:tcPr>
            <w:tcW w:w="0" w:type="auto"/>
            <w:vAlign w:val="center"/>
          </w:tcPr>
          <w:p w:rsidR="00777892" w:rsidRDefault="001A57A0">
            <w:pPr>
              <w:jc w:val="center"/>
            </w:pPr>
            <w:r>
              <w:rPr>
                <w:color w:val="000000"/>
                <w:sz w:val="24"/>
              </w:rPr>
              <w:t>10</w:t>
            </w:r>
            <w:r>
              <w:rPr>
                <w:color w:val="000000"/>
                <w:sz w:val="24"/>
              </w:rPr>
              <w:t>年</w:t>
            </w:r>
          </w:p>
        </w:tc>
        <w:tc>
          <w:tcPr>
            <w:tcW w:w="0" w:type="auto"/>
            <w:vAlign w:val="center"/>
          </w:tcPr>
          <w:p w:rsidR="00777892" w:rsidRDefault="001A57A0">
            <w:r>
              <w:rPr>
                <w:color w:val="000000"/>
                <w:sz w:val="24"/>
              </w:rPr>
              <w:t>硕士研究生，具有基金从业资格。曾任上海尚雅投资管理有限公司行业研究员，易方达基金管理有限公司行业研究员、基金经理助理、易方达新利灵活配置混合型证券投资基金基金经理、易方达新鑫灵活配置混合型证券投资基金基金经理、易方达新益灵活配置混合型证券投资基金基金经理、易方达瑞景灵活配置混合型证券投资基金基金经理、易方达黄金主题证券投资基金（</w:t>
            </w:r>
            <w:r>
              <w:rPr>
                <w:color w:val="000000"/>
                <w:sz w:val="24"/>
              </w:rPr>
              <w:t>LOF</w:t>
            </w:r>
            <w:r>
              <w:rPr>
                <w:color w:val="000000"/>
                <w:sz w:val="24"/>
              </w:rPr>
              <w:t>）基金经理、易方达环保主题灵活配置混合型证券投资基金基金经理、易方达资源行业混合型证券投资基金基金经理。</w:t>
            </w:r>
          </w:p>
        </w:tc>
      </w:tr>
    </w:tbl>
    <w:p w:rsidR="00777892" w:rsidRDefault="001A57A0">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w:t>
      </w:r>
      <w:r>
        <w:rPr>
          <w:color w:val="000000"/>
          <w:sz w:val="24"/>
          <w:szCs w:val="24"/>
        </w:rPr>
        <w:t>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777892" w:rsidRDefault="001A57A0">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2020</w:t>
      </w:r>
      <w:r w:rsidRPr="006C56AA">
        <w:rPr>
          <w:color w:val="000000"/>
          <w:sz w:val="24"/>
          <w:szCs w:val="24"/>
        </w:rPr>
        <w:t>年一季度</w:t>
      </w:r>
      <w:r w:rsidRPr="006C56AA">
        <w:rPr>
          <w:color w:val="000000"/>
          <w:sz w:val="24"/>
          <w:szCs w:val="24"/>
        </w:rPr>
        <w:t>A</w:t>
      </w:r>
      <w:r w:rsidRPr="006C56AA">
        <w:rPr>
          <w:color w:val="000000"/>
          <w:sz w:val="24"/>
          <w:szCs w:val="24"/>
        </w:rPr>
        <w:t>股市场发生了较大幅度震荡，其中上证综指下跌了</w:t>
      </w:r>
      <w:r w:rsidRPr="006C56AA">
        <w:rPr>
          <w:color w:val="000000"/>
          <w:sz w:val="24"/>
          <w:szCs w:val="24"/>
        </w:rPr>
        <w:t>9.83%</w:t>
      </w:r>
      <w:r w:rsidRPr="006C56AA">
        <w:rPr>
          <w:color w:val="000000"/>
          <w:sz w:val="24"/>
          <w:szCs w:val="24"/>
        </w:rPr>
        <w:t>，深证成指和中小板指分别下跌了</w:t>
      </w:r>
      <w:r w:rsidRPr="006C56AA">
        <w:rPr>
          <w:color w:val="000000"/>
          <w:sz w:val="24"/>
          <w:szCs w:val="24"/>
        </w:rPr>
        <w:t>4.49%</w:t>
      </w:r>
      <w:r w:rsidRPr="006C56AA">
        <w:rPr>
          <w:color w:val="000000"/>
          <w:sz w:val="24"/>
          <w:szCs w:val="24"/>
        </w:rPr>
        <w:t>和</w:t>
      </w:r>
      <w:r w:rsidRPr="006C56AA">
        <w:rPr>
          <w:color w:val="000000"/>
          <w:sz w:val="24"/>
          <w:szCs w:val="24"/>
        </w:rPr>
        <w:t>1.94%</w:t>
      </w:r>
      <w:r w:rsidRPr="006C56AA">
        <w:rPr>
          <w:color w:val="000000"/>
          <w:sz w:val="24"/>
          <w:szCs w:val="24"/>
        </w:rPr>
        <w:t>，而创业板指数仍延续了去年下半年以来的强势，上涨了</w:t>
      </w:r>
      <w:r w:rsidRPr="006C56AA">
        <w:rPr>
          <w:color w:val="000000"/>
          <w:sz w:val="24"/>
          <w:szCs w:val="24"/>
        </w:rPr>
        <w:t>4.10%</w:t>
      </w:r>
      <w:r w:rsidRPr="006C56AA">
        <w:rPr>
          <w:color w:val="000000"/>
          <w:sz w:val="24"/>
          <w:szCs w:val="24"/>
        </w:rPr>
        <w:t>。尽管市场受疫情影响波动率大幅提高，其中仍有相当的投资机会。考虑到疫情对全球经济有深远的影响，本基金报告期内换手率有一定提升，以调整应对市场变化，增持的行业及个股在中长期将延续积极成长趋势，具备穿越全球经济阴霾环境的能力。</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0.6459</w:t>
      </w:r>
      <w:r w:rsidRPr="006C56AA">
        <w:rPr>
          <w:color w:val="000000"/>
          <w:sz w:val="24"/>
          <w:szCs w:val="24"/>
        </w:rPr>
        <w:t>元，本报告期份额净值增长率为</w:t>
      </w:r>
      <w:r w:rsidRPr="006C56AA">
        <w:rPr>
          <w:color w:val="000000"/>
          <w:sz w:val="24"/>
          <w:szCs w:val="24"/>
        </w:rPr>
        <w:t>1.38%</w:t>
      </w:r>
      <w:r w:rsidRPr="006C56AA">
        <w:rPr>
          <w:color w:val="000000"/>
          <w:sz w:val="24"/>
          <w:szCs w:val="24"/>
        </w:rPr>
        <w:t>，同期业绩比较基准收益率为</w:t>
      </w:r>
      <w:r w:rsidRPr="006C56AA">
        <w:rPr>
          <w:color w:val="000000"/>
          <w:sz w:val="24"/>
          <w:szCs w:val="24"/>
        </w:rPr>
        <w:t>-9.82%</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1,699,181,910.32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82.67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1,699,181,910.32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82.67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45,521,900.00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2.21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45,521,900.00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2.21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307,614,009.33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14.97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2,964,830.63</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0.14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2,055,282,650.28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304,268,137.92</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15.27</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1,013,457,179.05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50.87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85,706,031.31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4.30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5,094,732.32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173,216,336.07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8.69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68,325,407.34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3.43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13,667,206.50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0.69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35,429,326.83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1,699,181,910.32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85.29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777892">
        <w:tc>
          <w:tcPr>
            <w:tcW w:w="0" w:type="auto"/>
            <w:vAlign w:val="center"/>
          </w:tcPr>
          <w:p w:rsidR="00777892" w:rsidRDefault="001A57A0">
            <w:pPr>
              <w:jc w:val="center"/>
            </w:pPr>
            <w:r>
              <w:rPr>
                <w:color w:val="000000"/>
                <w:kern w:val="0"/>
                <w:sz w:val="24"/>
                <w:szCs w:val="24"/>
              </w:rPr>
              <w:t>1</w:t>
            </w:r>
          </w:p>
        </w:tc>
        <w:tc>
          <w:tcPr>
            <w:tcW w:w="0" w:type="auto"/>
            <w:vAlign w:val="center"/>
          </w:tcPr>
          <w:p w:rsidR="00777892" w:rsidRDefault="001A57A0">
            <w:pPr>
              <w:jc w:val="center"/>
            </w:pPr>
            <w:r>
              <w:rPr>
                <w:color w:val="000000"/>
                <w:kern w:val="0"/>
                <w:sz w:val="24"/>
                <w:szCs w:val="24"/>
              </w:rPr>
              <w:t>603707</w:t>
            </w:r>
          </w:p>
        </w:tc>
        <w:tc>
          <w:tcPr>
            <w:tcW w:w="0" w:type="auto"/>
            <w:vAlign w:val="center"/>
          </w:tcPr>
          <w:p w:rsidR="00777892" w:rsidRDefault="001A57A0">
            <w:pPr>
              <w:jc w:val="center"/>
            </w:pPr>
            <w:r>
              <w:rPr>
                <w:color w:val="000000"/>
                <w:kern w:val="0"/>
                <w:sz w:val="24"/>
                <w:szCs w:val="24"/>
              </w:rPr>
              <w:t>健友股份</w:t>
            </w:r>
          </w:p>
        </w:tc>
        <w:tc>
          <w:tcPr>
            <w:tcW w:w="0" w:type="auto"/>
            <w:vAlign w:val="center"/>
          </w:tcPr>
          <w:p w:rsidR="00777892" w:rsidRDefault="001A57A0">
            <w:pPr>
              <w:jc w:val="right"/>
            </w:pPr>
            <w:r>
              <w:rPr>
                <w:color w:val="000000"/>
                <w:kern w:val="0"/>
                <w:sz w:val="24"/>
                <w:szCs w:val="24"/>
              </w:rPr>
              <w:t>4,002,991</w:t>
            </w:r>
          </w:p>
        </w:tc>
        <w:tc>
          <w:tcPr>
            <w:tcW w:w="0" w:type="auto"/>
            <w:vAlign w:val="center"/>
          </w:tcPr>
          <w:p w:rsidR="00777892" w:rsidRDefault="001A57A0">
            <w:pPr>
              <w:jc w:val="right"/>
            </w:pPr>
            <w:r>
              <w:rPr>
                <w:color w:val="000000"/>
                <w:kern w:val="0"/>
                <w:sz w:val="24"/>
                <w:szCs w:val="24"/>
              </w:rPr>
              <w:t>202,070,985.68</w:t>
            </w:r>
          </w:p>
        </w:tc>
        <w:tc>
          <w:tcPr>
            <w:tcW w:w="0" w:type="auto"/>
            <w:vAlign w:val="center"/>
          </w:tcPr>
          <w:p w:rsidR="00777892" w:rsidRDefault="001A57A0">
            <w:pPr>
              <w:jc w:val="right"/>
            </w:pPr>
            <w:r>
              <w:rPr>
                <w:color w:val="000000"/>
                <w:kern w:val="0"/>
                <w:sz w:val="24"/>
                <w:szCs w:val="24"/>
              </w:rPr>
              <w:t>10.14</w:t>
            </w:r>
          </w:p>
        </w:tc>
      </w:tr>
      <w:tr w:rsidR="00777892">
        <w:tc>
          <w:tcPr>
            <w:tcW w:w="0" w:type="auto"/>
            <w:vAlign w:val="center"/>
          </w:tcPr>
          <w:p w:rsidR="00777892" w:rsidRDefault="001A57A0">
            <w:pPr>
              <w:jc w:val="center"/>
            </w:pPr>
            <w:r>
              <w:rPr>
                <w:color w:val="000000"/>
                <w:kern w:val="0"/>
                <w:sz w:val="24"/>
                <w:szCs w:val="24"/>
              </w:rPr>
              <w:t>2</w:t>
            </w:r>
          </w:p>
        </w:tc>
        <w:tc>
          <w:tcPr>
            <w:tcW w:w="0" w:type="auto"/>
            <w:vAlign w:val="center"/>
          </w:tcPr>
          <w:p w:rsidR="00777892" w:rsidRDefault="001A57A0">
            <w:pPr>
              <w:jc w:val="center"/>
            </w:pPr>
            <w:r>
              <w:rPr>
                <w:color w:val="000000"/>
                <w:kern w:val="0"/>
                <w:sz w:val="24"/>
                <w:szCs w:val="24"/>
              </w:rPr>
              <w:t>300628</w:t>
            </w:r>
          </w:p>
        </w:tc>
        <w:tc>
          <w:tcPr>
            <w:tcW w:w="0" w:type="auto"/>
            <w:vAlign w:val="center"/>
          </w:tcPr>
          <w:p w:rsidR="00777892" w:rsidRDefault="001A57A0">
            <w:pPr>
              <w:jc w:val="center"/>
            </w:pPr>
            <w:r>
              <w:rPr>
                <w:color w:val="000000"/>
                <w:kern w:val="0"/>
                <w:sz w:val="24"/>
                <w:szCs w:val="24"/>
              </w:rPr>
              <w:t>亿联网络</w:t>
            </w:r>
          </w:p>
        </w:tc>
        <w:tc>
          <w:tcPr>
            <w:tcW w:w="0" w:type="auto"/>
            <w:vAlign w:val="center"/>
          </w:tcPr>
          <w:p w:rsidR="00777892" w:rsidRDefault="001A57A0">
            <w:pPr>
              <w:jc w:val="right"/>
            </w:pPr>
            <w:r>
              <w:rPr>
                <w:color w:val="000000"/>
                <w:kern w:val="0"/>
                <w:sz w:val="24"/>
                <w:szCs w:val="24"/>
              </w:rPr>
              <w:t>2,200,051</w:t>
            </w:r>
          </w:p>
        </w:tc>
        <w:tc>
          <w:tcPr>
            <w:tcW w:w="0" w:type="auto"/>
            <w:vAlign w:val="center"/>
          </w:tcPr>
          <w:p w:rsidR="00777892" w:rsidRDefault="001A57A0">
            <w:pPr>
              <w:jc w:val="right"/>
            </w:pPr>
            <w:r>
              <w:rPr>
                <w:color w:val="000000"/>
                <w:kern w:val="0"/>
                <w:sz w:val="24"/>
                <w:szCs w:val="24"/>
              </w:rPr>
              <w:t>179,458,160.07</w:t>
            </w:r>
          </w:p>
        </w:tc>
        <w:tc>
          <w:tcPr>
            <w:tcW w:w="0" w:type="auto"/>
            <w:vAlign w:val="center"/>
          </w:tcPr>
          <w:p w:rsidR="00777892" w:rsidRDefault="001A57A0">
            <w:pPr>
              <w:jc w:val="right"/>
            </w:pPr>
            <w:r>
              <w:rPr>
                <w:color w:val="000000"/>
                <w:kern w:val="0"/>
                <w:sz w:val="24"/>
                <w:szCs w:val="24"/>
              </w:rPr>
              <w:t>9.01</w:t>
            </w:r>
          </w:p>
        </w:tc>
      </w:tr>
      <w:tr w:rsidR="00777892">
        <w:tc>
          <w:tcPr>
            <w:tcW w:w="0" w:type="auto"/>
            <w:vAlign w:val="center"/>
          </w:tcPr>
          <w:p w:rsidR="00777892" w:rsidRDefault="001A57A0">
            <w:pPr>
              <w:jc w:val="center"/>
            </w:pPr>
            <w:r>
              <w:rPr>
                <w:color w:val="000000"/>
                <w:kern w:val="0"/>
                <w:sz w:val="24"/>
                <w:szCs w:val="24"/>
              </w:rPr>
              <w:t>3</w:t>
            </w:r>
          </w:p>
        </w:tc>
        <w:tc>
          <w:tcPr>
            <w:tcW w:w="0" w:type="auto"/>
            <w:vAlign w:val="center"/>
          </w:tcPr>
          <w:p w:rsidR="00777892" w:rsidRDefault="001A57A0">
            <w:pPr>
              <w:jc w:val="center"/>
            </w:pPr>
            <w:r>
              <w:rPr>
                <w:color w:val="000000"/>
                <w:kern w:val="0"/>
                <w:sz w:val="24"/>
                <w:szCs w:val="24"/>
              </w:rPr>
              <w:t>600547</w:t>
            </w:r>
          </w:p>
        </w:tc>
        <w:tc>
          <w:tcPr>
            <w:tcW w:w="0" w:type="auto"/>
            <w:vAlign w:val="center"/>
          </w:tcPr>
          <w:p w:rsidR="00777892" w:rsidRDefault="001A57A0">
            <w:pPr>
              <w:jc w:val="center"/>
            </w:pPr>
            <w:r>
              <w:rPr>
                <w:color w:val="000000"/>
                <w:kern w:val="0"/>
                <w:sz w:val="24"/>
                <w:szCs w:val="24"/>
              </w:rPr>
              <w:t>山东黄金</w:t>
            </w:r>
          </w:p>
        </w:tc>
        <w:tc>
          <w:tcPr>
            <w:tcW w:w="0" w:type="auto"/>
            <w:vAlign w:val="center"/>
          </w:tcPr>
          <w:p w:rsidR="00777892" w:rsidRDefault="001A57A0">
            <w:pPr>
              <w:jc w:val="right"/>
            </w:pPr>
            <w:r>
              <w:rPr>
                <w:color w:val="000000"/>
                <w:kern w:val="0"/>
                <w:sz w:val="24"/>
                <w:szCs w:val="24"/>
              </w:rPr>
              <w:t>4,599,882</w:t>
            </w:r>
          </w:p>
        </w:tc>
        <w:tc>
          <w:tcPr>
            <w:tcW w:w="0" w:type="auto"/>
            <w:vAlign w:val="center"/>
          </w:tcPr>
          <w:p w:rsidR="00777892" w:rsidRDefault="001A57A0">
            <w:pPr>
              <w:jc w:val="right"/>
            </w:pPr>
            <w:r>
              <w:rPr>
                <w:color w:val="000000"/>
                <w:kern w:val="0"/>
                <w:sz w:val="24"/>
                <w:szCs w:val="24"/>
              </w:rPr>
              <w:t>157,959,947.88</w:t>
            </w:r>
          </w:p>
        </w:tc>
        <w:tc>
          <w:tcPr>
            <w:tcW w:w="0" w:type="auto"/>
            <w:vAlign w:val="center"/>
          </w:tcPr>
          <w:p w:rsidR="00777892" w:rsidRDefault="001A57A0">
            <w:pPr>
              <w:jc w:val="right"/>
            </w:pPr>
            <w:r>
              <w:rPr>
                <w:color w:val="000000"/>
                <w:kern w:val="0"/>
                <w:sz w:val="24"/>
                <w:szCs w:val="24"/>
              </w:rPr>
              <w:t>7.93</w:t>
            </w:r>
          </w:p>
        </w:tc>
      </w:tr>
      <w:tr w:rsidR="00777892">
        <w:tc>
          <w:tcPr>
            <w:tcW w:w="0" w:type="auto"/>
            <w:vAlign w:val="center"/>
          </w:tcPr>
          <w:p w:rsidR="00777892" w:rsidRDefault="001A57A0">
            <w:pPr>
              <w:jc w:val="center"/>
            </w:pPr>
            <w:r>
              <w:rPr>
                <w:color w:val="000000"/>
                <w:kern w:val="0"/>
                <w:sz w:val="24"/>
                <w:szCs w:val="24"/>
              </w:rPr>
              <w:t>4</w:t>
            </w:r>
          </w:p>
        </w:tc>
        <w:tc>
          <w:tcPr>
            <w:tcW w:w="0" w:type="auto"/>
            <w:vAlign w:val="center"/>
          </w:tcPr>
          <w:p w:rsidR="00777892" w:rsidRDefault="001A57A0">
            <w:pPr>
              <w:jc w:val="center"/>
            </w:pPr>
            <w:r>
              <w:rPr>
                <w:color w:val="000000"/>
                <w:kern w:val="0"/>
                <w:sz w:val="24"/>
                <w:szCs w:val="24"/>
              </w:rPr>
              <w:t>601899</w:t>
            </w:r>
          </w:p>
        </w:tc>
        <w:tc>
          <w:tcPr>
            <w:tcW w:w="0" w:type="auto"/>
            <w:vAlign w:val="center"/>
          </w:tcPr>
          <w:p w:rsidR="00777892" w:rsidRDefault="001A57A0">
            <w:pPr>
              <w:jc w:val="center"/>
            </w:pPr>
            <w:r>
              <w:rPr>
                <w:color w:val="000000"/>
                <w:kern w:val="0"/>
                <w:sz w:val="24"/>
                <w:szCs w:val="24"/>
              </w:rPr>
              <w:t>紫金矿业</w:t>
            </w:r>
          </w:p>
        </w:tc>
        <w:tc>
          <w:tcPr>
            <w:tcW w:w="0" w:type="auto"/>
            <w:vAlign w:val="center"/>
          </w:tcPr>
          <w:p w:rsidR="00777892" w:rsidRDefault="001A57A0">
            <w:pPr>
              <w:jc w:val="right"/>
            </w:pPr>
            <w:r>
              <w:rPr>
                <w:color w:val="000000"/>
                <w:kern w:val="0"/>
                <w:sz w:val="24"/>
                <w:szCs w:val="24"/>
              </w:rPr>
              <w:t>39,649,916</w:t>
            </w:r>
          </w:p>
        </w:tc>
        <w:tc>
          <w:tcPr>
            <w:tcW w:w="0" w:type="auto"/>
            <w:vAlign w:val="center"/>
          </w:tcPr>
          <w:p w:rsidR="00777892" w:rsidRDefault="001A57A0">
            <w:pPr>
              <w:jc w:val="right"/>
            </w:pPr>
            <w:r>
              <w:rPr>
                <w:color w:val="000000"/>
                <w:kern w:val="0"/>
                <w:sz w:val="24"/>
                <w:szCs w:val="24"/>
              </w:rPr>
              <w:t>146,308,190.04</w:t>
            </w:r>
          </w:p>
        </w:tc>
        <w:tc>
          <w:tcPr>
            <w:tcW w:w="0" w:type="auto"/>
            <w:vAlign w:val="center"/>
          </w:tcPr>
          <w:p w:rsidR="00777892" w:rsidRDefault="001A57A0">
            <w:pPr>
              <w:jc w:val="right"/>
            </w:pPr>
            <w:r>
              <w:rPr>
                <w:color w:val="000000"/>
                <w:kern w:val="0"/>
                <w:sz w:val="24"/>
                <w:szCs w:val="24"/>
              </w:rPr>
              <w:t>7.34</w:t>
            </w:r>
          </w:p>
        </w:tc>
      </w:tr>
      <w:tr w:rsidR="00777892">
        <w:tc>
          <w:tcPr>
            <w:tcW w:w="0" w:type="auto"/>
            <w:vAlign w:val="center"/>
          </w:tcPr>
          <w:p w:rsidR="00777892" w:rsidRDefault="001A57A0">
            <w:pPr>
              <w:jc w:val="center"/>
            </w:pPr>
            <w:r>
              <w:rPr>
                <w:color w:val="000000"/>
                <w:kern w:val="0"/>
                <w:sz w:val="24"/>
                <w:szCs w:val="24"/>
              </w:rPr>
              <w:t>5</w:t>
            </w:r>
          </w:p>
        </w:tc>
        <w:tc>
          <w:tcPr>
            <w:tcW w:w="0" w:type="auto"/>
            <w:vAlign w:val="center"/>
          </w:tcPr>
          <w:p w:rsidR="00777892" w:rsidRDefault="001A57A0">
            <w:pPr>
              <w:jc w:val="center"/>
            </w:pPr>
            <w:r>
              <w:rPr>
                <w:color w:val="000000"/>
                <w:kern w:val="0"/>
                <w:sz w:val="24"/>
                <w:szCs w:val="24"/>
              </w:rPr>
              <w:t>002311</w:t>
            </w:r>
          </w:p>
        </w:tc>
        <w:tc>
          <w:tcPr>
            <w:tcW w:w="0" w:type="auto"/>
            <w:vAlign w:val="center"/>
          </w:tcPr>
          <w:p w:rsidR="00777892" w:rsidRDefault="001A57A0">
            <w:pPr>
              <w:jc w:val="center"/>
            </w:pPr>
            <w:r>
              <w:rPr>
                <w:color w:val="000000"/>
                <w:kern w:val="0"/>
                <w:sz w:val="24"/>
                <w:szCs w:val="24"/>
              </w:rPr>
              <w:t>海大集团</w:t>
            </w:r>
          </w:p>
        </w:tc>
        <w:tc>
          <w:tcPr>
            <w:tcW w:w="0" w:type="auto"/>
            <w:vAlign w:val="center"/>
          </w:tcPr>
          <w:p w:rsidR="00777892" w:rsidRDefault="001A57A0">
            <w:pPr>
              <w:jc w:val="right"/>
            </w:pPr>
            <w:r>
              <w:rPr>
                <w:color w:val="000000"/>
                <w:kern w:val="0"/>
                <w:sz w:val="24"/>
                <w:szCs w:val="24"/>
              </w:rPr>
              <w:t>3,050,178</w:t>
            </w:r>
          </w:p>
        </w:tc>
        <w:tc>
          <w:tcPr>
            <w:tcW w:w="0" w:type="auto"/>
            <w:vAlign w:val="center"/>
          </w:tcPr>
          <w:p w:rsidR="00777892" w:rsidRDefault="001A57A0">
            <w:pPr>
              <w:jc w:val="right"/>
            </w:pPr>
            <w:r>
              <w:rPr>
                <w:color w:val="000000"/>
                <w:kern w:val="0"/>
                <w:sz w:val="24"/>
                <w:szCs w:val="24"/>
              </w:rPr>
              <w:t>122,617,155.60</w:t>
            </w:r>
          </w:p>
        </w:tc>
        <w:tc>
          <w:tcPr>
            <w:tcW w:w="0" w:type="auto"/>
            <w:vAlign w:val="center"/>
          </w:tcPr>
          <w:p w:rsidR="00777892" w:rsidRDefault="001A57A0">
            <w:pPr>
              <w:jc w:val="right"/>
            </w:pPr>
            <w:r>
              <w:rPr>
                <w:color w:val="000000"/>
                <w:kern w:val="0"/>
                <w:sz w:val="24"/>
                <w:szCs w:val="24"/>
              </w:rPr>
              <w:t>6.16</w:t>
            </w:r>
          </w:p>
        </w:tc>
      </w:tr>
      <w:tr w:rsidR="00777892">
        <w:tc>
          <w:tcPr>
            <w:tcW w:w="0" w:type="auto"/>
            <w:vAlign w:val="center"/>
          </w:tcPr>
          <w:p w:rsidR="00777892" w:rsidRDefault="001A57A0">
            <w:pPr>
              <w:jc w:val="center"/>
            </w:pPr>
            <w:r>
              <w:rPr>
                <w:color w:val="000000"/>
                <w:kern w:val="0"/>
                <w:sz w:val="24"/>
                <w:szCs w:val="24"/>
              </w:rPr>
              <w:t>6</w:t>
            </w:r>
          </w:p>
        </w:tc>
        <w:tc>
          <w:tcPr>
            <w:tcW w:w="0" w:type="auto"/>
            <w:vAlign w:val="center"/>
          </w:tcPr>
          <w:p w:rsidR="00777892" w:rsidRDefault="001A57A0">
            <w:pPr>
              <w:jc w:val="center"/>
            </w:pPr>
            <w:r>
              <w:rPr>
                <w:color w:val="000000"/>
                <w:kern w:val="0"/>
                <w:sz w:val="24"/>
                <w:szCs w:val="24"/>
              </w:rPr>
              <w:t>603883</w:t>
            </w:r>
          </w:p>
        </w:tc>
        <w:tc>
          <w:tcPr>
            <w:tcW w:w="0" w:type="auto"/>
            <w:vAlign w:val="center"/>
          </w:tcPr>
          <w:p w:rsidR="00777892" w:rsidRDefault="001A57A0">
            <w:pPr>
              <w:jc w:val="center"/>
            </w:pPr>
            <w:r>
              <w:rPr>
                <w:color w:val="000000"/>
                <w:kern w:val="0"/>
                <w:sz w:val="24"/>
                <w:szCs w:val="24"/>
              </w:rPr>
              <w:t>老百姓</w:t>
            </w:r>
          </w:p>
        </w:tc>
        <w:tc>
          <w:tcPr>
            <w:tcW w:w="0" w:type="auto"/>
            <w:vAlign w:val="center"/>
          </w:tcPr>
          <w:p w:rsidR="00777892" w:rsidRDefault="001A57A0">
            <w:pPr>
              <w:jc w:val="right"/>
            </w:pPr>
            <w:r>
              <w:rPr>
                <w:color w:val="000000"/>
                <w:kern w:val="0"/>
                <w:sz w:val="24"/>
                <w:szCs w:val="24"/>
              </w:rPr>
              <w:t>1,099,960</w:t>
            </w:r>
          </w:p>
        </w:tc>
        <w:tc>
          <w:tcPr>
            <w:tcW w:w="0" w:type="auto"/>
            <w:vAlign w:val="center"/>
          </w:tcPr>
          <w:p w:rsidR="00777892" w:rsidRDefault="001A57A0">
            <w:pPr>
              <w:jc w:val="right"/>
            </w:pPr>
            <w:r>
              <w:rPr>
                <w:color w:val="000000"/>
                <w:kern w:val="0"/>
                <w:sz w:val="24"/>
                <w:szCs w:val="24"/>
              </w:rPr>
              <w:t>85,686,884.00</w:t>
            </w:r>
          </w:p>
        </w:tc>
        <w:tc>
          <w:tcPr>
            <w:tcW w:w="0" w:type="auto"/>
            <w:vAlign w:val="center"/>
          </w:tcPr>
          <w:p w:rsidR="00777892" w:rsidRDefault="001A57A0">
            <w:pPr>
              <w:jc w:val="right"/>
            </w:pPr>
            <w:r>
              <w:rPr>
                <w:color w:val="000000"/>
                <w:kern w:val="0"/>
                <w:sz w:val="24"/>
                <w:szCs w:val="24"/>
              </w:rPr>
              <w:t>4.30</w:t>
            </w:r>
          </w:p>
        </w:tc>
      </w:tr>
      <w:tr w:rsidR="00777892">
        <w:tc>
          <w:tcPr>
            <w:tcW w:w="0" w:type="auto"/>
            <w:vAlign w:val="center"/>
          </w:tcPr>
          <w:p w:rsidR="00777892" w:rsidRDefault="001A57A0">
            <w:pPr>
              <w:jc w:val="center"/>
            </w:pPr>
            <w:r>
              <w:rPr>
                <w:color w:val="000000"/>
                <w:kern w:val="0"/>
                <w:sz w:val="24"/>
                <w:szCs w:val="24"/>
              </w:rPr>
              <w:t>7</w:t>
            </w:r>
          </w:p>
        </w:tc>
        <w:tc>
          <w:tcPr>
            <w:tcW w:w="0" w:type="auto"/>
            <w:vAlign w:val="center"/>
          </w:tcPr>
          <w:p w:rsidR="00777892" w:rsidRDefault="001A57A0">
            <w:pPr>
              <w:jc w:val="center"/>
            </w:pPr>
            <w:r>
              <w:rPr>
                <w:color w:val="000000"/>
                <w:kern w:val="0"/>
                <w:sz w:val="24"/>
                <w:szCs w:val="24"/>
              </w:rPr>
              <w:t>002242</w:t>
            </w:r>
          </w:p>
        </w:tc>
        <w:tc>
          <w:tcPr>
            <w:tcW w:w="0" w:type="auto"/>
            <w:vAlign w:val="center"/>
          </w:tcPr>
          <w:p w:rsidR="00777892" w:rsidRDefault="001A57A0">
            <w:pPr>
              <w:jc w:val="center"/>
            </w:pPr>
            <w:r>
              <w:rPr>
                <w:color w:val="000000"/>
                <w:kern w:val="0"/>
                <w:sz w:val="24"/>
                <w:szCs w:val="24"/>
              </w:rPr>
              <w:t>九阳股份</w:t>
            </w:r>
          </w:p>
        </w:tc>
        <w:tc>
          <w:tcPr>
            <w:tcW w:w="0" w:type="auto"/>
            <w:vAlign w:val="center"/>
          </w:tcPr>
          <w:p w:rsidR="00777892" w:rsidRDefault="001A57A0">
            <w:pPr>
              <w:jc w:val="right"/>
            </w:pPr>
            <w:r>
              <w:rPr>
                <w:color w:val="000000"/>
                <w:kern w:val="0"/>
                <w:sz w:val="24"/>
                <w:szCs w:val="24"/>
              </w:rPr>
              <w:t>2,999,811</w:t>
            </w:r>
          </w:p>
        </w:tc>
        <w:tc>
          <w:tcPr>
            <w:tcW w:w="0" w:type="auto"/>
            <w:vAlign w:val="center"/>
          </w:tcPr>
          <w:p w:rsidR="00777892" w:rsidRDefault="001A57A0">
            <w:pPr>
              <w:jc w:val="right"/>
            </w:pPr>
            <w:r>
              <w:rPr>
                <w:color w:val="000000"/>
                <w:kern w:val="0"/>
                <w:sz w:val="24"/>
                <w:szCs w:val="24"/>
              </w:rPr>
              <w:t>84,444,679.65</w:t>
            </w:r>
          </w:p>
        </w:tc>
        <w:tc>
          <w:tcPr>
            <w:tcW w:w="0" w:type="auto"/>
            <w:vAlign w:val="center"/>
          </w:tcPr>
          <w:p w:rsidR="00777892" w:rsidRDefault="001A57A0">
            <w:pPr>
              <w:jc w:val="right"/>
            </w:pPr>
            <w:r>
              <w:rPr>
                <w:color w:val="000000"/>
                <w:kern w:val="0"/>
                <w:sz w:val="24"/>
                <w:szCs w:val="24"/>
              </w:rPr>
              <w:t>4.24</w:t>
            </w:r>
          </w:p>
        </w:tc>
      </w:tr>
      <w:tr w:rsidR="00777892">
        <w:tc>
          <w:tcPr>
            <w:tcW w:w="0" w:type="auto"/>
            <w:vAlign w:val="center"/>
          </w:tcPr>
          <w:p w:rsidR="00777892" w:rsidRDefault="001A57A0">
            <w:pPr>
              <w:jc w:val="center"/>
            </w:pPr>
            <w:r>
              <w:rPr>
                <w:color w:val="000000"/>
                <w:kern w:val="0"/>
                <w:sz w:val="24"/>
                <w:szCs w:val="24"/>
              </w:rPr>
              <w:t>8</w:t>
            </w:r>
          </w:p>
        </w:tc>
        <w:tc>
          <w:tcPr>
            <w:tcW w:w="0" w:type="auto"/>
            <w:vAlign w:val="center"/>
          </w:tcPr>
          <w:p w:rsidR="00777892" w:rsidRDefault="001A57A0">
            <w:pPr>
              <w:jc w:val="center"/>
            </w:pPr>
            <w:r>
              <w:rPr>
                <w:color w:val="000000"/>
                <w:kern w:val="0"/>
                <w:sz w:val="24"/>
                <w:szCs w:val="24"/>
              </w:rPr>
              <w:t>600737</w:t>
            </w:r>
          </w:p>
        </w:tc>
        <w:tc>
          <w:tcPr>
            <w:tcW w:w="0" w:type="auto"/>
            <w:vAlign w:val="center"/>
          </w:tcPr>
          <w:p w:rsidR="00777892" w:rsidRDefault="001A57A0">
            <w:pPr>
              <w:jc w:val="center"/>
            </w:pPr>
            <w:r>
              <w:rPr>
                <w:color w:val="000000"/>
                <w:kern w:val="0"/>
                <w:sz w:val="24"/>
                <w:szCs w:val="24"/>
              </w:rPr>
              <w:t>中粮糖业</w:t>
            </w:r>
          </w:p>
        </w:tc>
        <w:tc>
          <w:tcPr>
            <w:tcW w:w="0" w:type="auto"/>
            <w:vAlign w:val="center"/>
          </w:tcPr>
          <w:p w:rsidR="00777892" w:rsidRDefault="001A57A0">
            <w:pPr>
              <w:jc w:val="right"/>
            </w:pPr>
            <w:r>
              <w:rPr>
                <w:color w:val="000000"/>
                <w:kern w:val="0"/>
                <w:sz w:val="24"/>
                <w:szCs w:val="24"/>
              </w:rPr>
              <w:t>9,000,000</w:t>
            </w:r>
          </w:p>
        </w:tc>
        <w:tc>
          <w:tcPr>
            <w:tcW w:w="0" w:type="auto"/>
            <w:vAlign w:val="center"/>
          </w:tcPr>
          <w:p w:rsidR="00777892" w:rsidRDefault="001A57A0">
            <w:pPr>
              <w:jc w:val="right"/>
            </w:pPr>
            <w:r>
              <w:rPr>
                <w:color w:val="000000"/>
                <w:kern w:val="0"/>
                <w:sz w:val="24"/>
                <w:szCs w:val="24"/>
              </w:rPr>
              <w:t>82,260,000.00</w:t>
            </w:r>
          </w:p>
        </w:tc>
        <w:tc>
          <w:tcPr>
            <w:tcW w:w="0" w:type="auto"/>
            <w:vAlign w:val="center"/>
          </w:tcPr>
          <w:p w:rsidR="00777892" w:rsidRDefault="001A57A0">
            <w:pPr>
              <w:jc w:val="right"/>
            </w:pPr>
            <w:r>
              <w:rPr>
                <w:color w:val="000000"/>
                <w:kern w:val="0"/>
                <w:sz w:val="24"/>
                <w:szCs w:val="24"/>
              </w:rPr>
              <w:t>4.13</w:t>
            </w:r>
          </w:p>
        </w:tc>
      </w:tr>
      <w:tr w:rsidR="00777892">
        <w:tc>
          <w:tcPr>
            <w:tcW w:w="0" w:type="auto"/>
            <w:vAlign w:val="center"/>
          </w:tcPr>
          <w:p w:rsidR="00777892" w:rsidRDefault="001A57A0">
            <w:pPr>
              <w:jc w:val="center"/>
            </w:pPr>
            <w:r>
              <w:rPr>
                <w:color w:val="000000"/>
                <w:kern w:val="0"/>
                <w:sz w:val="24"/>
                <w:szCs w:val="24"/>
              </w:rPr>
              <w:t>9</w:t>
            </w:r>
          </w:p>
        </w:tc>
        <w:tc>
          <w:tcPr>
            <w:tcW w:w="0" w:type="auto"/>
            <w:vAlign w:val="center"/>
          </w:tcPr>
          <w:p w:rsidR="00777892" w:rsidRDefault="001A57A0">
            <w:pPr>
              <w:jc w:val="center"/>
            </w:pPr>
            <w:r>
              <w:rPr>
                <w:color w:val="000000"/>
                <w:kern w:val="0"/>
                <w:sz w:val="24"/>
                <w:szCs w:val="24"/>
              </w:rPr>
              <w:t>002690</w:t>
            </w:r>
          </w:p>
        </w:tc>
        <w:tc>
          <w:tcPr>
            <w:tcW w:w="0" w:type="auto"/>
            <w:vAlign w:val="center"/>
          </w:tcPr>
          <w:p w:rsidR="00777892" w:rsidRDefault="001A57A0">
            <w:pPr>
              <w:jc w:val="center"/>
            </w:pPr>
            <w:r>
              <w:rPr>
                <w:color w:val="000000"/>
                <w:kern w:val="0"/>
                <w:sz w:val="24"/>
                <w:szCs w:val="24"/>
              </w:rPr>
              <w:t>美亚光电</w:t>
            </w:r>
          </w:p>
        </w:tc>
        <w:tc>
          <w:tcPr>
            <w:tcW w:w="0" w:type="auto"/>
            <w:vAlign w:val="center"/>
          </w:tcPr>
          <w:p w:rsidR="00777892" w:rsidRDefault="001A57A0">
            <w:pPr>
              <w:jc w:val="right"/>
            </w:pPr>
            <w:r>
              <w:rPr>
                <w:color w:val="000000"/>
                <w:kern w:val="0"/>
                <w:sz w:val="24"/>
                <w:szCs w:val="24"/>
              </w:rPr>
              <w:t>2,100,052</w:t>
            </w:r>
          </w:p>
        </w:tc>
        <w:tc>
          <w:tcPr>
            <w:tcW w:w="0" w:type="auto"/>
            <w:vAlign w:val="center"/>
          </w:tcPr>
          <w:p w:rsidR="00777892" w:rsidRDefault="001A57A0">
            <w:pPr>
              <w:jc w:val="right"/>
            </w:pPr>
            <w:r>
              <w:rPr>
                <w:color w:val="000000"/>
                <w:kern w:val="0"/>
                <w:sz w:val="24"/>
                <w:szCs w:val="24"/>
              </w:rPr>
              <w:t>79,213,961.44</w:t>
            </w:r>
          </w:p>
        </w:tc>
        <w:tc>
          <w:tcPr>
            <w:tcW w:w="0" w:type="auto"/>
            <w:vAlign w:val="center"/>
          </w:tcPr>
          <w:p w:rsidR="00777892" w:rsidRDefault="001A57A0">
            <w:pPr>
              <w:jc w:val="right"/>
            </w:pPr>
            <w:r>
              <w:rPr>
                <w:color w:val="000000"/>
                <w:kern w:val="0"/>
                <w:sz w:val="24"/>
                <w:szCs w:val="24"/>
              </w:rPr>
              <w:t>3.98</w:t>
            </w:r>
          </w:p>
        </w:tc>
      </w:tr>
      <w:tr w:rsidR="00777892">
        <w:tc>
          <w:tcPr>
            <w:tcW w:w="0" w:type="auto"/>
            <w:vAlign w:val="center"/>
          </w:tcPr>
          <w:p w:rsidR="00777892" w:rsidRDefault="001A57A0">
            <w:pPr>
              <w:jc w:val="center"/>
            </w:pPr>
            <w:r>
              <w:rPr>
                <w:color w:val="000000"/>
                <w:kern w:val="0"/>
                <w:sz w:val="24"/>
                <w:szCs w:val="24"/>
              </w:rPr>
              <w:t>10</w:t>
            </w:r>
          </w:p>
        </w:tc>
        <w:tc>
          <w:tcPr>
            <w:tcW w:w="0" w:type="auto"/>
            <w:vAlign w:val="center"/>
          </w:tcPr>
          <w:p w:rsidR="00777892" w:rsidRDefault="001A57A0">
            <w:pPr>
              <w:jc w:val="center"/>
            </w:pPr>
            <w:r>
              <w:rPr>
                <w:color w:val="000000"/>
                <w:kern w:val="0"/>
                <w:sz w:val="24"/>
                <w:szCs w:val="24"/>
              </w:rPr>
              <w:t>300253</w:t>
            </w:r>
          </w:p>
        </w:tc>
        <w:tc>
          <w:tcPr>
            <w:tcW w:w="0" w:type="auto"/>
            <w:vAlign w:val="center"/>
          </w:tcPr>
          <w:p w:rsidR="00777892" w:rsidRDefault="001A57A0">
            <w:pPr>
              <w:jc w:val="center"/>
            </w:pPr>
            <w:r>
              <w:rPr>
                <w:color w:val="000000"/>
                <w:kern w:val="0"/>
                <w:sz w:val="24"/>
                <w:szCs w:val="24"/>
              </w:rPr>
              <w:t>卫宁健康</w:t>
            </w:r>
          </w:p>
        </w:tc>
        <w:tc>
          <w:tcPr>
            <w:tcW w:w="0" w:type="auto"/>
            <w:vAlign w:val="center"/>
          </w:tcPr>
          <w:p w:rsidR="00777892" w:rsidRDefault="001A57A0">
            <w:pPr>
              <w:jc w:val="right"/>
            </w:pPr>
            <w:r>
              <w:rPr>
                <w:color w:val="000000"/>
                <w:kern w:val="0"/>
                <w:sz w:val="24"/>
                <w:szCs w:val="24"/>
              </w:rPr>
              <w:t>3,699,871</w:t>
            </w:r>
          </w:p>
        </w:tc>
        <w:tc>
          <w:tcPr>
            <w:tcW w:w="0" w:type="auto"/>
            <w:vAlign w:val="center"/>
          </w:tcPr>
          <w:p w:rsidR="00777892" w:rsidRDefault="001A57A0">
            <w:pPr>
              <w:jc w:val="right"/>
            </w:pPr>
            <w:r>
              <w:rPr>
                <w:color w:val="000000"/>
                <w:kern w:val="0"/>
                <w:sz w:val="24"/>
                <w:szCs w:val="24"/>
              </w:rPr>
              <w:t>77,586,294.87</w:t>
            </w:r>
          </w:p>
        </w:tc>
        <w:tc>
          <w:tcPr>
            <w:tcW w:w="0" w:type="auto"/>
            <w:vAlign w:val="center"/>
          </w:tcPr>
          <w:p w:rsidR="00777892" w:rsidRDefault="001A57A0">
            <w:pPr>
              <w:jc w:val="right"/>
            </w:pPr>
            <w:r>
              <w:rPr>
                <w:color w:val="000000"/>
                <w:kern w:val="0"/>
                <w:sz w:val="24"/>
                <w:szCs w:val="24"/>
              </w:rPr>
              <w:t>3.89</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注：本报告期末本基金投资健友股份占基金资产净值比例超过</w:t>
      </w:r>
      <w:r w:rsidRPr="006C56AA">
        <w:rPr>
          <w:color w:val="000000"/>
          <w:sz w:val="24"/>
          <w:szCs w:val="24"/>
        </w:rPr>
        <w:t>10%</w:t>
      </w:r>
      <w:r w:rsidRPr="006C56AA">
        <w:rPr>
          <w:color w:val="000000"/>
          <w:sz w:val="24"/>
          <w:szCs w:val="24"/>
        </w:rPr>
        <w:t>，属于被动超标。</w:t>
      </w:r>
    </w:p>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40,060,000.00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2.01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40,060,000.00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2.01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5,461,900.00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0.27</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45,521,900.00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2.29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777892">
        <w:tc>
          <w:tcPr>
            <w:tcW w:w="0" w:type="auto"/>
            <w:vAlign w:val="center"/>
          </w:tcPr>
          <w:p w:rsidR="00777892" w:rsidRDefault="001A57A0">
            <w:pPr>
              <w:jc w:val="center"/>
            </w:pPr>
            <w:r>
              <w:rPr>
                <w:color w:val="000000"/>
                <w:kern w:val="0"/>
                <w:sz w:val="24"/>
                <w:szCs w:val="24"/>
              </w:rPr>
              <w:t>1</w:t>
            </w:r>
          </w:p>
        </w:tc>
        <w:tc>
          <w:tcPr>
            <w:tcW w:w="0" w:type="auto"/>
            <w:vAlign w:val="center"/>
          </w:tcPr>
          <w:p w:rsidR="00777892" w:rsidRDefault="001A57A0">
            <w:pPr>
              <w:jc w:val="center"/>
            </w:pPr>
            <w:r>
              <w:rPr>
                <w:color w:val="000000"/>
                <w:kern w:val="0"/>
                <w:sz w:val="24"/>
                <w:szCs w:val="24"/>
              </w:rPr>
              <w:t>190304</w:t>
            </w:r>
          </w:p>
        </w:tc>
        <w:tc>
          <w:tcPr>
            <w:tcW w:w="0" w:type="auto"/>
            <w:vAlign w:val="center"/>
          </w:tcPr>
          <w:p w:rsidR="00777892" w:rsidRDefault="001A57A0">
            <w:pPr>
              <w:jc w:val="center"/>
            </w:pPr>
            <w:r>
              <w:rPr>
                <w:color w:val="000000"/>
                <w:kern w:val="0"/>
                <w:sz w:val="24"/>
                <w:szCs w:val="24"/>
              </w:rPr>
              <w:t>19</w:t>
            </w:r>
            <w:r>
              <w:rPr>
                <w:color w:val="000000"/>
                <w:kern w:val="0"/>
                <w:sz w:val="24"/>
                <w:szCs w:val="24"/>
              </w:rPr>
              <w:t>进出</w:t>
            </w:r>
            <w:r>
              <w:rPr>
                <w:color w:val="000000"/>
                <w:kern w:val="0"/>
                <w:sz w:val="24"/>
                <w:szCs w:val="24"/>
              </w:rPr>
              <w:t>04</w:t>
            </w:r>
          </w:p>
        </w:tc>
        <w:tc>
          <w:tcPr>
            <w:tcW w:w="0" w:type="auto"/>
            <w:vAlign w:val="center"/>
          </w:tcPr>
          <w:p w:rsidR="00777892" w:rsidRDefault="001A57A0">
            <w:pPr>
              <w:jc w:val="right"/>
            </w:pPr>
            <w:r>
              <w:rPr>
                <w:color w:val="000000"/>
                <w:kern w:val="0"/>
                <w:sz w:val="24"/>
                <w:szCs w:val="24"/>
              </w:rPr>
              <w:t>400,000</w:t>
            </w:r>
          </w:p>
        </w:tc>
        <w:tc>
          <w:tcPr>
            <w:tcW w:w="0" w:type="auto"/>
            <w:vAlign w:val="center"/>
          </w:tcPr>
          <w:p w:rsidR="00777892" w:rsidRDefault="001A57A0">
            <w:pPr>
              <w:jc w:val="right"/>
            </w:pPr>
            <w:r>
              <w:rPr>
                <w:color w:val="000000"/>
                <w:kern w:val="0"/>
                <w:sz w:val="24"/>
                <w:szCs w:val="24"/>
              </w:rPr>
              <w:t>40,060,000.00</w:t>
            </w:r>
          </w:p>
        </w:tc>
        <w:tc>
          <w:tcPr>
            <w:tcW w:w="0" w:type="auto"/>
            <w:vAlign w:val="center"/>
          </w:tcPr>
          <w:p w:rsidR="00777892" w:rsidRDefault="001A57A0">
            <w:pPr>
              <w:jc w:val="right"/>
            </w:pPr>
            <w:r>
              <w:rPr>
                <w:color w:val="000000"/>
                <w:kern w:val="0"/>
                <w:sz w:val="24"/>
                <w:szCs w:val="24"/>
              </w:rPr>
              <w:t>2.01</w:t>
            </w:r>
          </w:p>
        </w:tc>
      </w:tr>
      <w:tr w:rsidR="00777892">
        <w:tc>
          <w:tcPr>
            <w:tcW w:w="0" w:type="auto"/>
            <w:vAlign w:val="center"/>
          </w:tcPr>
          <w:p w:rsidR="00777892" w:rsidRDefault="001A57A0">
            <w:pPr>
              <w:jc w:val="center"/>
            </w:pPr>
            <w:r>
              <w:rPr>
                <w:color w:val="000000"/>
                <w:kern w:val="0"/>
                <w:sz w:val="24"/>
                <w:szCs w:val="24"/>
              </w:rPr>
              <w:t>2</w:t>
            </w:r>
          </w:p>
        </w:tc>
        <w:tc>
          <w:tcPr>
            <w:tcW w:w="0" w:type="auto"/>
            <w:vAlign w:val="center"/>
          </w:tcPr>
          <w:p w:rsidR="00777892" w:rsidRDefault="001A57A0">
            <w:pPr>
              <w:jc w:val="center"/>
            </w:pPr>
            <w:r>
              <w:rPr>
                <w:color w:val="000000"/>
                <w:kern w:val="0"/>
                <w:sz w:val="24"/>
                <w:szCs w:val="24"/>
              </w:rPr>
              <w:t>128102</w:t>
            </w:r>
          </w:p>
        </w:tc>
        <w:tc>
          <w:tcPr>
            <w:tcW w:w="0" w:type="auto"/>
            <w:vAlign w:val="center"/>
          </w:tcPr>
          <w:p w:rsidR="00777892" w:rsidRDefault="001A57A0">
            <w:pPr>
              <w:jc w:val="center"/>
            </w:pPr>
            <w:r>
              <w:rPr>
                <w:color w:val="000000"/>
                <w:kern w:val="0"/>
                <w:sz w:val="24"/>
                <w:szCs w:val="24"/>
              </w:rPr>
              <w:t>海大转债</w:t>
            </w:r>
          </w:p>
        </w:tc>
        <w:tc>
          <w:tcPr>
            <w:tcW w:w="0" w:type="auto"/>
            <w:vAlign w:val="center"/>
          </w:tcPr>
          <w:p w:rsidR="00777892" w:rsidRDefault="001A57A0">
            <w:pPr>
              <w:jc w:val="right"/>
            </w:pPr>
            <w:r>
              <w:rPr>
                <w:color w:val="000000"/>
                <w:kern w:val="0"/>
                <w:sz w:val="24"/>
                <w:szCs w:val="24"/>
              </w:rPr>
              <w:t>54,619</w:t>
            </w:r>
          </w:p>
        </w:tc>
        <w:tc>
          <w:tcPr>
            <w:tcW w:w="0" w:type="auto"/>
            <w:vAlign w:val="center"/>
          </w:tcPr>
          <w:p w:rsidR="00777892" w:rsidRDefault="001A57A0">
            <w:pPr>
              <w:jc w:val="right"/>
            </w:pPr>
            <w:r>
              <w:rPr>
                <w:color w:val="000000"/>
                <w:kern w:val="0"/>
                <w:sz w:val="24"/>
                <w:szCs w:val="24"/>
              </w:rPr>
              <w:t>5,461,900.00</w:t>
            </w:r>
          </w:p>
        </w:tc>
        <w:tc>
          <w:tcPr>
            <w:tcW w:w="0" w:type="auto"/>
            <w:vAlign w:val="center"/>
          </w:tcPr>
          <w:p w:rsidR="00777892" w:rsidRDefault="001A57A0">
            <w:pPr>
              <w:jc w:val="right"/>
            </w:pPr>
            <w:r>
              <w:rPr>
                <w:color w:val="000000"/>
                <w:kern w:val="0"/>
                <w:sz w:val="24"/>
                <w:szCs w:val="24"/>
              </w:rPr>
              <w:t>0.27</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516,218.37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1,023,762.48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1,424,849.78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2,964,830.63</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2,949,991,436.54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407,721,192.20</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273,638,884.38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3,084,073,744.36</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777892" w:rsidRDefault="001A57A0">
      <w:pPr>
        <w:spacing w:line="360" w:lineRule="auto"/>
        <w:ind w:firstLineChars="200" w:firstLine="480"/>
        <w:rPr>
          <w:color w:val="000000"/>
          <w:sz w:val="24"/>
          <w:szCs w:val="24"/>
        </w:rPr>
      </w:pPr>
      <w:r>
        <w:rPr>
          <w:color w:val="000000"/>
          <w:sz w:val="24"/>
          <w:szCs w:val="24"/>
        </w:rPr>
        <w:t>1.</w:t>
      </w:r>
      <w:r>
        <w:rPr>
          <w:color w:val="000000"/>
          <w:sz w:val="24"/>
          <w:szCs w:val="24"/>
        </w:rPr>
        <w:t>中国证监会批准易方达积极成长证券投资基金设立的文件；</w:t>
      </w:r>
    </w:p>
    <w:p w:rsidR="00777892" w:rsidRDefault="001A57A0">
      <w:pPr>
        <w:spacing w:line="360" w:lineRule="auto"/>
        <w:ind w:firstLineChars="200" w:firstLine="480"/>
        <w:rPr>
          <w:color w:val="000000"/>
          <w:sz w:val="24"/>
          <w:szCs w:val="24"/>
        </w:rPr>
      </w:pPr>
      <w:r>
        <w:rPr>
          <w:color w:val="000000"/>
          <w:sz w:val="24"/>
          <w:szCs w:val="24"/>
        </w:rPr>
        <w:t>2.</w:t>
      </w:r>
      <w:r>
        <w:rPr>
          <w:color w:val="000000"/>
          <w:sz w:val="24"/>
          <w:szCs w:val="24"/>
        </w:rPr>
        <w:t>《易方达积极成长证券投资基金基金合同》；</w:t>
      </w:r>
    </w:p>
    <w:p w:rsidR="00777892" w:rsidRDefault="001A57A0">
      <w:pPr>
        <w:spacing w:line="360" w:lineRule="auto"/>
        <w:ind w:firstLineChars="200" w:firstLine="480"/>
        <w:rPr>
          <w:color w:val="000000"/>
          <w:sz w:val="24"/>
          <w:szCs w:val="24"/>
        </w:rPr>
      </w:pPr>
      <w:r>
        <w:rPr>
          <w:color w:val="000000"/>
          <w:sz w:val="24"/>
          <w:szCs w:val="24"/>
        </w:rPr>
        <w:t>3.</w:t>
      </w:r>
      <w:r>
        <w:rPr>
          <w:color w:val="000000"/>
          <w:sz w:val="24"/>
          <w:szCs w:val="24"/>
        </w:rPr>
        <w:t>《易方达积极成长证券投资基金托管协议》；</w:t>
      </w:r>
    </w:p>
    <w:p w:rsidR="00777892" w:rsidRDefault="001A57A0">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r>
        <w:rPr>
          <w:color w:val="000000"/>
          <w:sz w:val="24"/>
          <w:szCs w:val="24"/>
        </w:rPr>
        <w:t xml:space="preserve"> </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1A57A0">
      <w:rPr>
        <w:rStyle w:val="a7"/>
        <w:noProof/>
      </w:rPr>
      <w:t>1</w:t>
    </w:r>
    <w:r>
      <w:rPr>
        <w:rStyle w:val="a7"/>
      </w:rPr>
      <w:fldChar w:fldCharType="end"/>
    </w:r>
    <w:r>
      <w:rPr>
        <w:rStyle w:val="a7"/>
        <w:rFonts w:hint="eastAsia"/>
      </w:rPr>
      <w:t>页共</w:t>
    </w:r>
    <w:fldSimple w:instr=" NUMPAGES  \* Arabic  \* MERGEFORMAT ">
      <w:r w:rsidR="001A57A0" w:rsidRPr="001A57A0">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1A57A0">
      <w:rPr>
        <w:rStyle w:val="a7"/>
        <w:noProof/>
      </w:rPr>
      <w:t>2</w:t>
    </w:r>
    <w:r>
      <w:rPr>
        <w:rStyle w:val="a7"/>
      </w:rPr>
      <w:fldChar w:fldCharType="end"/>
    </w:r>
    <w:r>
      <w:rPr>
        <w:rStyle w:val="a7"/>
        <w:rFonts w:hint="eastAsia"/>
      </w:rPr>
      <w:t>页共</w:t>
    </w:r>
    <w:r w:rsidR="001A57A0">
      <w:fldChar w:fldCharType="begin"/>
    </w:r>
    <w:r w:rsidR="001A57A0">
      <w:instrText xml:space="preserve"> NUMPAGES  \* Arabic  \* MERGEFORMAT </w:instrText>
    </w:r>
    <w:r w:rsidR="001A57A0">
      <w:fldChar w:fldCharType="separate"/>
    </w:r>
    <w:r w:rsidR="001A57A0" w:rsidRPr="001A57A0">
      <w:rPr>
        <w:rStyle w:val="a7"/>
        <w:noProof/>
      </w:rPr>
      <w:t>2</w:t>
    </w:r>
    <w:r w:rsidR="001A57A0">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易方达积极成长证券投资基金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57A0"/>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7892"/>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E3ADE673-F25E-4C8A-BBEE-1DF7E460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3CAC-9C53-403C-9931-A86C03A4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5020</Characters>
  <Application>Microsoft Office Word</Application>
  <DocSecurity>4</DocSecurity>
  <Lines>41</Lines>
  <Paragraphs>11</Paragraphs>
  <ScaleCrop>false</ScaleCrop>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2020-04-14T01:35:00Z</dcterms:created>
  <dcterms:modified xsi:type="dcterms:W3CDTF">2020-04-14T01:35:00Z</dcterms:modified>
</cp:coreProperties>
</file>