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易方达科瑞灵活配置混合型证券投资基金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交通银行股份有限公司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E64272" w:rsidRDefault="00C83C8B">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64272" w:rsidRDefault="00C83C8B">
      <w:pPr>
        <w:spacing w:line="360" w:lineRule="auto"/>
        <w:ind w:firstLineChars="200" w:firstLine="480"/>
        <w:rPr>
          <w:color w:val="000000"/>
          <w:sz w:val="24"/>
          <w:szCs w:val="24"/>
        </w:rPr>
      </w:pPr>
      <w:r>
        <w:rPr>
          <w:color w:val="000000"/>
          <w:sz w:val="24"/>
          <w:szCs w:val="24"/>
        </w:rPr>
        <w:t>基金托管人交通银行股份有限公司根据本基金合同规定，于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64272" w:rsidRDefault="00C83C8B">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64272" w:rsidRDefault="00C83C8B">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64272" w:rsidRDefault="00C83C8B">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易方达科瑞混合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003293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003293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1</w:t>
            </w:r>
            <w:r w:rsidRPr="00232B03">
              <w:rPr>
                <w:color w:val="000000"/>
                <w:kern w:val="0"/>
                <w:sz w:val="24"/>
                <w:szCs w:val="24"/>
              </w:rPr>
              <w:t>月</w:t>
            </w:r>
            <w:r w:rsidRPr="00232B03">
              <w:rPr>
                <w:color w:val="000000"/>
                <w:kern w:val="0"/>
                <w:sz w:val="24"/>
                <w:szCs w:val="24"/>
              </w:rPr>
              <w:t>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549,255,876.39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等资产类别的配置比例。股票投资方面，本基金将根据对各行业的综合分析，确定并调整行业配置比例。在个股选择方面，本基金将精选具有持续竞争优势且估值具有吸引力的</w:t>
            </w:r>
            <w:r w:rsidRPr="00232B03">
              <w:rPr>
                <w:color w:val="000000"/>
                <w:kern w:val="0"/>
                <w:sz w:val="24"/>
                <w:szCs w:val="24"/>
              </w:rPr>
              <w:lastRenderedPageBreak/>
              <w:t>公司进行投资。在债券投资方面，本基金将主要通过类属配置与券种选择两个层次进行投资管理。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×80%+</w:t>
            </w:r>
            <w:r w:rsidRPr="00232B03">
              <w:rPr>
                <w:color w:val="000000"/>
                <w:kern w:val="0"/>
                <w:sz w:val="24"/>
                <w:szCs w:val="24"/>
              </w:rPr>
              <w:t>中债新综合财富指数收益率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交通银行股份有限公司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D1A8E" w:rsidRPr="006506EF" w:rsidTr="00CD1A8E">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CD1A8E" w:rsidRPr="006506EF" w:rsidTr="00CD1A8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52,469,919.97</w:t>
            </w:r>
          </w:p>
        </w:tc>
      </w:tr>
      <w:tr w:rsidR="00CD1A8E" w:rsidRPr="006506EF" w:rsidTr="00CD1A8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-17,357,314.53</w:t>
            </w:r>
          </w:p>
        </w:tc>
      </w:tr>
      <w:tr w:rsidR="00CD1A8E" w:rsidRPr="006506EF" w:rsidTr="00CD1A8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-0.0305</w:t>
            </w:r>
          </w:p>
        </w:tc>
      </w:tr>
      <w:tr w:rsidR="00CD1A8E" w:rsidRPr="006506EF" w:rsidTr="00CD1A8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649,218,051.02</w:t>
            </w:r>
          </w:p>
        </w:tc>
      </w:tr>
      <w:tr w:rsidR="00CD1A8E" w:rsidRPr="006506EF" w:rsidTr="00CD1A8E">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1.1820</w:t>
            </w:r>
          </w:p>
        </w:tc>
      </w:tr>
    </w:tbl>
    <w:p w:rsidR="00E64272" w:rsidRDefault="00C83C8B">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w:t>
            </w:r>
            <w:r w:rsidRPr="00232B03">
              <w:rPr>
                <w:color w:val="000000"/>
                <w:kern w:val="0"/>
                <w:sz w:val="24"/>
                <w:szCs w:val="24"/>
              </w:rPr>
              <w:lastRenderedPageBreak/>
              <w:t>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净值增</w:t>
            </w:r>
            <w:r w:rsidRPr="00232B03">
              <w:rPr>
                <w:color w:val="000000"/>
                <w:kern w:val="0"/>
                <w:sz w:val="24"/>
                <w:szCs w:val="24"/>
              </w:rPr>
              <w:lastRenderedPageBreak/>
              <w:t>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w:t>
            </w:r>
            <w:r w:rsidRPr="00232B03">
              <w:rPr>
                <w:color w:val="000000"/>
                <w:kern w:val="0"/>
                <w:sz w:val="24"/>
                <w:szCs w:val="24"/>
              </w:rPr>
              <w:lastRenderedPageBreak/>
              <w:t>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w:t>
            </w:r>
            <w:r w:rsidRPr="00232B03">
              <w:rPr>
                <w:color w:val="000000"/>
                <w:kern w:val="0"/>
                <w:sz w:val="24"/>
                <w:szCs w:val="24"/>
              </w:rPr>
              <w:lastRenderedPageBreak/>
              <w:t>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lastRenderedPageBreak/>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E64272">
        <w:tc>
          <w:tcPr>
            <w:tcW w:w="1395" w:type="dxa"/>
            <w:vAlign w:val="center"/>
          </w:tcPr>
          <w:p w:rsidR="00E64272" w:rsidRDefault="00C83C8B">
            <w:pPr>
              <w:jc w:val="left"/>
            </w:pPr>
            <w:r>
              <w:rPr>
                <w:color w:val="000000"/>
                <w:kern w:val="0"/>
                <w:sz w:val="24"/>
                <w:szCs w:val="24"/>
              </w:rPr>
              <w:t>过去三个月</w:t>
            </w:r>
          </w:p>
        </w:tc>
        <w:tc>
          <w:tcPr>
            <w:tcW w:w="1092" w:type="dxa"/>
            <w:vAlign w:val="center"/>
          </w:tcPr>
          <w:p w:rsidR="00E64272" w:rsidRDefault="00C83C8B">
            <w:pPr>
              <w:jc w:val="center"/>
            </w:pPr>
            <w:r>
              <w:rPr>
                <w:color w:val="000000"/>
                <w:kern w:val="0"/>
                <w:sz w:val="24"/>
                <w:szCs w:val="24"/>
              </w:rPr>
              <w:t>-2.52%</w:t>
            </w:r>
          </w:p>
        </w:tc>
        <w:tc>
          <w:tcPr>
            <w:tcW w:w="1161" w:type="dxa"/>
            <w:vAlign w:val="center"/>
          </w:tcPr>
          <w:p w:rsidR="00E64272" w:rsidRDefault="00C83C8B">
            <w:pPr>
              <w:jc w:val="center"/>
            </w:pPr>
            <w:r>
              <w:rPr>
                <w:color w:val="000000"/>
                <w:kern w:val="0"/>
                <w:sz w:val="24"/>
                <w:szCs w:val="24"/>
              </w:rPr>
              <w:t>1.93%</w:t>
            </w:r>
          </w:p>
        </w:tc>
        <w:tc>
          <w:tcPr>
            <w:tcW w:w="1181" w:type="dxa"/>
            <w:vAlign w:val="center"/>
          </w:tcPr>
          <w:p w:rsidR="00E64272" w:rsidRDefault="00C83C8B">
            <w:pPr>
              <w:jc w:val="center"/>
            </w:pPr>
            <w:r>
              <w:rPr>
                <w:color w:val="000000"/>
                <w:kern w:val="0"/>
                <w:sz w:val="24"/>
                <w:szCs w:val="24"/>
              </w:rPr>
              <w:t>-7.50%</w:t>
            </w:r>
          </w:p>
        </w:tc>
        <w:tc>
          <w:tcPr>
            <w:tcW w:w="1188" w:type="dxa"/>
            <w:vAlign w:val="center"/>
          </w:tcPr>
          <w:p w:rsidR="00E64272" w:rsidRDefault="00C83C8B">
            <w:pPr>
              <w:jc w:val="center"/>
            </w:pPr>
            <w:r>
              <w:rPr>
                <w:color w:val="000000"/>
                <w:kern w:val="0"/>
                <w:sz w:val="24"/>
                <w:szCs w:val="24"/>
              </w:rPr>
              <w:t>1.55%</w:t>
            </w:r>
          </w:p>
        </w:tc>
        <w:tc>
          <w:tcPr>
            <w:tcW w:w="1199" w:type="dxa"/>
            <w:vAlign w:val="center"/>
          </w:tcPr>
          <w:p w:rsidR="00E64272" w:rsidRDefault="00C83C8B">
            <w:pPr>
              <w:jc w:val="center"/>
            </w:pPr>
            <w:r>
              <w:rPr>
                <w:color w:val="000000"/>
                <w:kern w:val="0"/>
                <w:sz w:val="24"/>
                <w:szCs w:val="24"/>
              </w:rPr>
              <w:t>4.98%</w:t>
            </w:r>
          </w:p>
        </w:tc>
        <w:tc>
          <w:tcPr>
            <w:tcW w:w="1204" w:type="dxa"/>
            <w:vAlign w:val="center"/>
          </w:tcPr>
          <w:p w:rsidR="00E64272" w:rsidRDefault="00C83C8B">
            <w:pPr>
              <w:jc w:val="center"/>
            </w:pPr>
            <w:r>
              <w:rPr>
                <w:color w:val="000000"/>
                <w:kern w:val="0"/>
                <w:sz w:val="24"/>
                <w:szCs w:val="24"/>
              </w:rPr>
              <w:t>0.38%</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易方达科瑞灵活配置混合型证券投资基金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1</w:t>
      </w:r>
      <w:r w:rsidRPr="0074694E">
        <w:rPr>
          <w:rFonts w:ascii="Times New Roman" w:hAnsi="Times New Roman"/>
          <w:sz w:val="24"/>
          <w:szCs w:val="24"/>
        </w:rPr>
        <w:t>月</w:t>
      </w:r>
      <w:r w:rsidRPr="0074694E">
        <w:rPr>
          <w:rFonts w:ascii="Times New Roman" w:hAnsi="Times New Roman"/>
          <w:sz w:val="24"/>
          <w:szCs w:val="24"/>
        </w:rPr>
        <w:t>3</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B455B0"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E64272" w:rsidRDefault="00C83C8B">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本基金由原科瑞证券投资基金于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3</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38.41%</w:t>
      </w:r>
      <w:r w:rsidRPr="006C56AA">
        <w:rPr>
          <w:color w:val="000000"/>
          <w:sz w:val="24"/>
          <w:szCs w:val="24"/>
        </w:rPr>
        <w:t>，同期业绩比较基准收益率为</w:t>
      </w:r>
      <w:r w:rsidRPr="006C56AA">
        <w:rPr>
          <w:color w:val="000000"/>
          <w:sz w:val="24"/>
          <w:szCs w:val="24"/>
        </w:rPr>
        <w:t>12.36%</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E64272">
        <w:tc>
          <w:tcPr>
            <w:tcW w:w="567" w:type="dxa"/>
            <w:vAlign w:val="center"/>
          </w:tcPr>
          <w:p w:rsidR="00E64272" w:rsidRDefault="00C83C8B">
            <w:pPr>
              <w:jc w:val="center"/>
            </w:pPr>
            <w:r>
              <w:rPr>
                <w:color w:val="000000"/>
                <w:sz w:val="24"/>
              </w:rPr>
              <w:t>杨嘉文</w:t>
            </w:r>
          </w:p>
        </w:tc>
        <w:tc>
          <w:tcPr>
            <w:tcW w:w="2835" w:type="dxa"/>
            <w:vAlign w:val="center"/>
          </w:tcPr>
          <w:p w:rsidR="00E64272" w:rsidRDefault="00C83C8B">
            <w:pPr>
              <w:jc w:val="left"/>
            </w:pPr>
            <w:r>
              <w:rPr>
                <w:color w:val="000000"/>
                <w:sz w:val="24"/>
              </w:rPr>
              <w:t>本基金的基金经理、易方达科汇灵活配置混合型证券投资基金的基金经理</w:t>
            </w:r>
          </w:p>
        </w:tc>
        <w:tc>
          <w:tcPr>
            <w:tcW w:w="851" w:type="dxa"/>
            <w:vAlign w:val="center"/>
          </w:tcPr>
          <w:p w:rsidR="00E64272" w:rsidRDefault="00C83C8B">
            <w:pPr>
              <w:jc w:val="center"/>
            </w:pPr>
            <w:r>
              <w:rPr>
                <w:color w:val="000000"/>
                <w:sz w:val="24"/>
              </w:rPr>
              <w:t>2017-12-27</w:t>
            </w:r>
          </w:p>
        </w:tc>
        <w:tc>
          <w:tcPr>
            <w:tcW w:w="850" w:type="dxa"/>
            <w:vAlign w:val="center"/>
          </w:tcPr>
          <w:p w:rsidR="00E64272" w:rsidRDefault="00C83C8B">
            <w:pPr>
              <w:jc w:val="center"/>
            </w:pPr>
            <w:r>
              <w:rPr>
                <w:color w:val="000000"/>
                <w:sz w:val="24"/>
              </w:rPr>
              <w:t>-</w:t>
            </w:r>
          </w:p>
        </w:tc>
        <w:tc>
          <w:tcPr>
            <w:tcW w:w="851" w:type="dxa"/>
            <w:vAlign w:val="center"/>
          </w:tcPr>
          <w:p w:rsidR="00E64272" w:rsidRDefault="00C83C8B">
            <w:pPr>
              <w:jc w:val="center"/>
            </w:pPr>
            <w:r>
              <w:rPr>
                <w:color w:val="000000"/>
                <w:sz w:val="24"/>
              </w:rPr>
              <w:t>9</w:t>
            </w:r>
            <w:r>
              <w:rPr>
                <w:color w:val="000000"/>
                <w:sz w:val="24"/>
              </w:rPr>
              <w:t>年</w:t>
            </w:r>
          </w:p>
        </w:tc>
        <w:tc>
          <w:tcPr>
            <w:tcW w:w="2977" w:type="dxa"/>
            <w:vAlign w:val="center"/>
          </w:tcPr>
          <w:p w:rsidR="00E64272" w:rsidRDefault="00C83C8B">
            <w:r>
              <w:rPr>
                <w:color w:val="000000"/>
                <w:sz w:val="24"/>
              </w:rPr>
              <w:t>硕士研究生，具有基金从业资格。曾任大成基金管理有限公司研究部研究员，易方达基金管理有限公司行业研究员、易方达科瑞灵活配置混合型证券投资基金基金经理助理。</w:t>
            </w:r>
          </w:p>
        </w:tc>
      </w:tr>
    </w:tbl>
    <w:p w:rsidR="00E64272" w:rsidRDefault="00C83C8B">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E64272" w:rsidRDefault="00C83C8B">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w:t>
      </w:r>
      <w:r>
        <w:rPr>
          <w:color w:val="000000"/>
          <w:sz w:val="24"/>
          <w:szCs w:val="24"/>
        </w:rPr>
        <w:lastRenderedPageBreak/>
        <w:t>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E64272" w:rsidRDefault="00C83C8B">
      <w:pPr>
        <w:spacing w:line="360" w:lineRule="auto"/>
        <w:ind w:firstLineChars="200" w:firstLine="480"/>
        <w:rPr>
          <w:color w:val="000000"/>
          <w:sz w:val="24"/>
          <w:szCs w:val="24"/>
        </w:rPr>
      </w:pPr>
      <w:r>
        <w:rPr>
          <w:color w:val="000000"/>
          <w:sz w:val="24"/>
          <w:szCs w:val="24"/>
        </w:rPr>
        <w:t>2020</w:t>
      </w:r>
      <w:r>
        <w:rPr>
          <w:color w:val="000000"/>
          <w:sz w:val="24"/>
          <w:szCs w:val="24"/>
        </w:rPr>
        <w:t>年第一季度</w:t>
      </w:r>
      <w:r>
        <w:rPr>
          <w:color w:val="000000"/>
          <w:sz w:val="24"/>
          <w:szCs w:val="24"/>
        </w:rPr>
        <w:t>A</w:t>
      </w:r>
      <w:r>
        <w:rPr>
          <w:color w:val="000000"/>
          <w:sz w:val="24"/>
          <w:szCs w:val="24"/>
        </w:rPr>
        <w:t>股出现一定分化，其中沪深</w:t>
      </w:r>
      <w:r>
        <w:rPr>
          <w:color w:val="000000"/>
          <w:sz w:val="24"/>
          <w:szCs w:val="24"/>
        </w:rPr>
        <w:t>300</w:t>
      </w:r>
      <w:r>
        <w:rPr>
          <w:color w:val="000000"/>
          <w:sz w:val="24"/>
          <w:szCs w:val="24"/>
        </w:rPr>
        <w:t>指数下跌</w:t>
      </w:r>
      <w:r>
        <w:rPr>
          <w:color w:val="000000"/>
          <w:sz w:val="24"/>
          <w:szCs w:val="24"/>
        </w:rPr>
        <w:t>10.02%</w:t>
      </w:r>
      <w:r>
        <w:rPr>
          <w:color w:val="000000"/>
          <w:sz w:val="24"/>
          <w:szCs w:val="24"/>
        </w:rPr>
        <w:t>，上证</w:t>
      </w:r>
      <w:r>
        <w:rPr>
          <w:color w:val="000000"/>
          <w:sz w:val="24"/>
          <w:szCs w:val="24"/>
        </w:rPr>
        <w:t>50</w:t>
      </w:r>
      <w:r>
        <w:rPr>
          <w:color w:val="000000"/>
          <w:sz w:val="24"/>
          <w:szCs w:val="24"/>
        </w:rPr>
        <w:t>指数下跌</w:t>
      </w:r>
      <w:r>
        <w:rPr>
          <w:color w:val="000000"/>
          <w:sz w:val="24"/>
          <w:szCs w:val="24"/>
        </w:rPr>
        <w:t>12.20%</w:t>
      </w:r>
      <w:r>
        <w:rPr>
          <w:color w:val="000000"/>
          <w:sz w:val="24"/>
          <w:szCs w:val="24"/>
        </w:rPr>
        <w:t>，上证指数下跌</w:t>
      </w:r>
      <w:r>
        <w:rPr>
          <w:color w:val="000000"/>
          <w:sz w:val="24"/>
          <w:szCs w:val="24"/>
        </w:rPr>
        <w:t>9.83%</w:t>
      </w:r>
      <w:r>
        <w:rPr>
          <w:color w:val="000000"/>
          <w:sz w:val="24"/>
          <w:szCs w:val="24"/>
        </w:rPr>
        <w:t>，中证</w:t>
      </w:r>
      <w:r>
        <w:rPr>
          <w:color w:val="000000"/>
          <w:sz w:val="24"/>
          <w:szCs w:val="24"/>
        </w:rPr>
        <w:t>500</w:t>
      </w:r>
      <w:r>
        <w:rPr>
          <w:color w:val="000000"/>
          <w:sz w:val="24"/>
          <w:szCs w:val="24"/>
        </w:rPr>
        <w:t>指数下跌</w:t>
      </w:r>
      <w:r>
        <w:rPr>
          <w:color w:val="000000"/>
          <w:sz w:val="24"/>
          <w:szCs w:val="24"/>
        </w:rPr>
        <w:t>4.29%</w:t>
      </w:r>
      <w:r>
        <w:rPr>
          <w:color w:val="000000"/>
          <w:sz w:val="24"/>
          <w:szCs w:val="24"/>
        </w:rPr>
        <w:t>，而创业板综指逆势上涨</w:t>
      </w:r>
      <w:r>
        <w:rPr>
          <w:color w:val="000000"/>
          <w:sz w:val="24"/>
          <w:szCs w:val="24"/>
        </w:rPr>
        <w:t>2.12%</w:t>
      </w:r>
      <w:r>
        <w:rPr>
          <w:color w:val="000000"/>
          <w:sz w:val="24"/>
          <w:szCs w:val="24"/>
        </w:rPr>
        <w:t>。同时，由于市场受到疫情等因素的影响，所有指数的振幅都比较大。</w:t>
      </w:r>
    </w:p>
    <w:p w:rsidR="00E64272" w:rsidRDefault="00C83C8B">
      <w:pPr>
        <w:spacing w:line="360" w:lineRule="auto"/>
        <w:ind w:firstLineChars="200" w:firstLine="480"/>
        <w:rPr>
          <w:color w:val="000000"/>
          <w:sz w:val="24"/>
          <w:szCs w:val="24"/>
        </w:rPr>
      </w:pPr>
      <w:r>
        <w:rPr>
          <w:color w:val="000000"/>
          <w:sz w:val="24"/>
          <w:szCs w:val="24"/>
        </w:rPr>
        <w:t>分析原因：</w:t>
      </w:r>
    </w:p>
    <w:p w:rsidR="00E64272" w:rsidRDefault="00C83C8B">
      <w:pPr>
        <w:spacing w:line="360" w:lineRule="auto"/>
        <w:ind w:firstLineChars="200" w:firstLine="480"/>
        <w:rPr>
          <w:color w:val="000000"/>
          <w:sz w:val="24"/>
          <w:szCs w:val="24"/>
        </w:rPr>
      </w:pPr>
      <w:r>
        <w:rPr>
          <w:color w:val="000000"/>
          <w:sz w:val="24"/>
          <w:szCs w:val="24"/>
        </w:rPr>
        <w:t>2020</w:t>
      </w:r>
      <w:r>
        <w:rPr>
          <w:color w:val="000000"/>
          <w:sz w:val="24"/>
          <w:szCs w:val="24"/>
        </w:rPr>
        <w:t>年一季度全球风险资产暴跌，中东石油价格战争引致全球金融市场出现流动性危机，各国央行纷纷降息应对，海外肺炎疫情扩散导致经济衰退预期有所发酵。</w:t>
      </w:r>
      <w:r>
        <w:rPr>
          <w:color w:val="000000"/>
          <w:sz w:val="24"/>
          <w:szCs w:val="24"/>
        </w:rPr>
        <w:t>3</w:t>
      </w:r>
      <w:r>
        <w:rPr>
          <w:color w:val="000000"/>
          <w:sz w:val="24"/>
          <w:szCs w:val="24"/>
        </w:rPr>
        <w:t>月初沙特和俄罗斯爆发石油价格战导致油价暴跌，市场担心美国页岩油企业信用债务违约，全球风险偏好大幅杀跌，多国股市出现多次熔断，金融市场动荡引发流动性危机，黄金等避险资产也出现暴跌；而后美联储连续两次紧急降息，英国央行也紧急降息一次，但货币政策宽松对于缓和流动性危机方面收效甚微，美联储连续推出多种流动性管理工具，指导无限</w:t>
      </w:r>
      <w:r>
        <w:rPr>
          <w:color w:val="000000"/>
          <w:sz w:val="24"/>
          <w:szCs w:val="24"/>
        </w:rPr>
        <w:t>QE</w:t>
      </w:r>
      <w:r>
        <w:rPr>
          <w:color w:val="000000"/>
          <w:sz w:val="24"/>
          <w:szCs w:val="24"/>
        </w:rPr>
        <w:t>工具推出全球风险偏好才有所企稳，目前美国已经推出</w:t>
      </w:r>
      <w:r>
        <w:rPr>
          <w:color w:val="000000"/>
          <w:sz w:val="24"/>
          <w:szCs w:val="24"/>
        </w:rPr>
        <w:t>2</w:t>
      </w:r>
      <w:r>
        <w:rPr>
          <w:color w:val="000000"/>
          <w:sz w:val="24"/>
          <w:szCs w:val="24"/>
        </w:rPr>
        <w:t>万亿美元财政刺激，疫情对于失业和经济衰退的影响在数据上开始显现；国内疫情扩散在封城等一系列果断措施下得到有效控制，复工复产缓慢推进，但</w:t>
      </w:r>
      <w:r>
        <w:rPr>
          <w:color w:val="000000"/>
          <w:sz w:val="24"/>
          <w:szCs w:val="24"/>
        </w:rPr>
        <w:t>2</w:t>
      </w:r>
      <w:r>
        <w:rPr>
          <w:color w:val="000000"/>
          <w:sz w:val="24"/>
          <w:szCs w:val="24"/>
        </w:rPr>
        <w:t>月经济停摆导致宏观经济数据创下</w:t>
      </w:r>
      <w:r>
        <w:rPr>
          <w:color w:val="000000"/>
          <w:sz w:val="24"/>
          <w:szCs w:val="24"/>
        </w:rPr>
        <w:t>2008</w:t>
      </w:r>
      <w:r>
        <w:rPr>
          <w:color w:val="000000"/>
          <w:sz w:val="24"/>
          <w:szCs w:val="24"/>
        </w:rPr>
        <w:t>年以来的新低，国内货币政策克制有效，公开市场操作大量投放流动性，下调</w:t>
      </w:r>
      <w:r>
        <w:rPr>
          <w:color w:val="000000"/>
          <w:sz w:val="24"/>
          <w:szCs w:val="24"/>
        </w:rPr>
        <w:t>MLF</w:t>
      </w:r>
      <w:r>
        <w:rPr>
          <w:color w:val="000000"/>
          <w:sz w:val="24"/>
          <w:szCs w:val="24"/>
        </w:rPr>
        <w:t>和</w:t>
      </w:r>
      <w:r>
        <w:rPr>
          <w:color w:val="000000"/>
          <w:sz w:val="24"/>
          <w:szCs w:val="24"/>
        </w:rPr>
        <w:t>LPR</w:t>
      </w:r>
      <w:r>
        <w:rPr>
          <w:color w:val="000000"/>
          <w:sz w:val="24"/>
          <w:szCs w:val="24"/>
        </w:rPr>
        <w:t>利率等稳定金融市场投资者情绪，财政政策方面，政治局会议提出特别国债和提高赤字率等措施，整体维持经济金融稳定，未出现大的风险事件。</w:t>
      </w:r>
      <w:r>
        <w:rPr>
          <w:color w:val="000000"/>
          <w:sz w:val="24"/>
          <w:szCs w:val="24"/>
        </w:rPr>
        <w:t xml:space="preserve"> </w:t>
      </w:r>
    </w:p>
    <w:p w:rsidR="00E64272" w:rsidRDefault="00C83C8B">
      <w:pPr>
        <w:spacing w:line="360" w:lineRule="auto"/>
        <w:ind w:firstLineChars="200" w:firstLine="480"/>
        <w:rPr>
          <w:color w:val="000000"/>
          <w:sz w:val="24"/>
          <w:szCs w:val="24"/>
        </w:rPr>
      </w:pPr>
      <w:r>
        <w:rPr>
          <w:color w:val="000000"/>
          <w:sz w:val="24"/>
          <w:szCs w:val="24"/>
        </w:rPr>
        <w:t>未来海外疫情控制效果成为全球风险资产的锚，各国将更多发力财政政策，短期全球经济衰退预期仍未消散，警惕经济回落引发各国债务问题，国内外需阶段性回落，提振内需成为政策重点。</w:t>
      </w:r>
      <w:r>
        <w:rPr>
          <w:color w:val="000000"/>
          <w:sz w:val="24"/>
          <w:szCs w:val="24"/>
        </w:rPr>
        <w:t>327</w:t>
      </w:r>
      <w:r>
        <w:rPr>
          <w:color w:val="000000"/>
          <w:sz w:val="24"/>
          <w:szCs w:val="24"/>
        </w:rPr>
        <w:t>政治局会议提出特别国债和提高赤字率等措施安排将助力稳定投资，未来新基建加老基建等投资发力将助力稳定经济增长；另外大力发展农村地区，加快土地流转有助于增加农民财产性收入刺激消费，同时城乡二元结构有助于消化就业问题；各地方政府发放消费券，包括鼓励汽车消费等措施接连落地，电商直播等数字经济发展也是助力稳定内需的新业态。预计两会在二季度召开，届时不排除进一步出台刺激经济的政策。一季度经济数据大幅下跌，未来经济在内外需逐步复苏下将缓慢回升。海外疫情得到控制的时间仍具有不确定性，疫情发展成为阶段性影响全球资产价格的重要因素，控制疫情只是时间问题，但是时间如果过长可能对经济造成较大伤害，经济衰退预期和可能的引发的债务危机依然是投资者担心的重点；另外疫情导致全球产业链阶段性中断，包括粮食和原材料供给短缺带来的涨价压力也影响着投资者对于潜在通胀预期的判断，中东石油价格战争预期仍有反复；目前海外央行货币政策空间已经较为有限，未来将更多通过财政政策刺激稳定经济增长预期。</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本基金在</w:t>
      </w:r>
      <w:r w:rsidRPr="006C56AA">
        <w:rPr>
          <w:color w:val="000000"/>
          <w:sz w:val="24"/>
          <w:szCs w:val="24"/>
        </w:rPr>
        <w:t>2020</w:t>
      </w:r>
      <w:r w:rsidRPr="006C56AA">
        <w:rPr>
          <w:color w:val="000000"/>
          <w:sz w:val="24"/>
          <w:szCs w:val="24"/>
        </w:rPr>
        <w:t>年第一季度股票仓位稳定在</w:t>
      </w:r>
      <w:r w:rsidRPr="006C56AA">
        <w:rPr>
          <w:color w:val="000000"/>
          <w:sz w:val="24"/>
          <w:szCs w:val="24"/>
        </w:rPr>
        <w:t>85%</w:t>
      </w:r>
      <w:r w:rsidRPr="006C56AA">
        <w:rPr>
          <w:color w:val="000000"/>
          <w:sz w:val="24"/>
          <w:szCs w:val="24"/>
        </w:rPr>
        <w:t>左右，并根据对上述的宏观经济判断，在行业和个股上作出了一些调整。虽然一、二月份在流动性的推动下，成长股有比较大的涨幅，但是本基金没有因为市场短期波动进行加仓和调仓，还是从个股的估值性价比上筛选中长期有一定竞争力的个股进行增持。一季度本基金增持的行业主要是机械、建材、房地产，而减持的行业主要是计算机、食品饮料和化工。</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1.1820</w:t>
      </w:r>
      <w:r w:rsidRPr="006C56AA">
        <w:rPr>
          <w:color w:val="000000"/>
          <w:sz w:val="24"/>
          <w:szCs w:val="24"/>
        </w:rPr>
        <w:t>元，本报告期份额净值增长率为</w:t>
      </w:r>
      <w:r w:rsidRPr="006C56AA">
        <w:rPr>
          <w:color w:val="000000"/>
          <w:sz w:val="24"/>
          <w:szCs w:val="24"/>
        </w:rPr>
        <w:t>-2.52%</w:t>
      </w:r>
      <w:r w:rsidRPr="006C56AA">
        <w:rPr>
          <w:color w:val="000000"/>
          <w:sz w:val="24"/>
          <w:szCs w:val="24"/>
        </w:rPr>
        <w:t>，同期业绩比较基准收益率为</w:t>
      </w:r>
      <w:r w:rsidRPr="006C56AA">
        <w:rPr>
          <w:color w:val="000000"/>
          <w:sz w:val="24"/>
          <w:szCs w:val="24"/>
        </w:rPr>
        <w:t>-7.50%</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563,184,228.83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86.14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563,184,228.83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86.14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336,500.00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336,500.00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90,023,503.52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247,075.25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0.04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653,791,307.60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8,324,845.00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1.28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351,893,833.31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54.20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7,551,406.00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13,715,862.41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4,881,950.00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0.75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3,384,189.00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0.52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76,416,901.57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11.77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28,567,477.52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44,039,318.80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16,860,558.66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7,547,886.56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563,184,228.83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86.75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64272">
        <w:tc>
          <w:tcPr>
            <w:tcW w:w="851" w:type="dxa"/>
            <w:vAlign w:val="center"/>
          </w:tcPr>
          <w:p w:rsidR="00E64272" w:rsidRDefault="00C83C8B">
            <w:pPr>
              <w:jc w:val="center"/>
            </w:pPr>
            <w:r>
              <w:rPr>
                <w:color w:val="000000"/>
                <w:kern w:val="0"/>
                <w:sz w:val="24"/>
                <w:szCs w:val="24"/>
              </w:rPr>
              <w:t>1</w:t>
            </w:r>
          </w:p>
        </w:tc>
        <w:tc>
          <w:tcPr>
            <w:tcW w:w="1276" w:type="dxa"/>
            <w:vAlign w:val="center"/>
          </w:tcPr>
          <w:p w:rsidR="00E64272" w:rsidRDefault="00C83C8B">
            <w:pPr>
              <w:jc w:val="center"/>
            </w:pPr>
            <w:r>
              <w:rPr>
                <w:color w:val="000000"/>
                <w:kern w:val="0"/>
                <w:sz w:val="24"/>
                <w:szCs w:val="24"/>
              </w:rPr>
              <w:t>000858</w:t>
            </w:r>
          </w:p>
        </w:tc>
        <w:tc>
          <w:tcPr>
            <w:tcW w:w="1418" w:type="dxa"/>
            <w:vAlign w:val="center"/>
          </w:tcPr>
          <w:p w:rsidR="00E64272" w:rsidRDefault="00C83C8B">
            <w:pPr>
              <w:jc w:val="center"/>
            </w:pPr>
            <w:r>
              <w:rPr>
                <w:color w:val="000000"/>
                <w:kern w:val="0"/>
                <w:sz w:val="24"/>
                <w:szCs w:val="24"/>
              </w:rPr>
              <w:t>五粮液</w:t>
            </w:r>
          </w:p>
        </w:tc>
        <w:tc>
          <w:tcPr>
            <w:tcW w:w="1701" w:type="dxa"/>
            <w:vAlign w:val="center"/>
          </w:tcPr>
          <w:p w:rsidR="00E64272" w:rsidRDefault="00C83C8B">
            <w:pPr>
              <w:jc w:val="right"/>
            </w:pPr>
            <w:r>
              <w:rPr>
                <w:color w:val="000000"/>
                <w:kern w:val="0"/>
                <w:sz w:val="24"/>
                <w:szCs w:val="24"/>
              </w:rPr>
              <w:t>416,608</w:t>
            </w:r>
          </w:p>
        </w:tc>
        <w:tc>
          <w:tcPr>
            <w:tcW w:w="1984" w:type="dxa"/>
            <w:vAlign w:val="center"/>
          </w:tcPr>
          <w:p w:rsidR="00E64272" w:rsidRDefault="00C83C8B">
            <w:pPr>
              <w:jc w:val="right"/>
            </w:pPr>
            <w:r>
              <w:rPr>
                <w:color w:val="000000"/>
                <w:kern w:val="0"/>
                <w:sz w:val="24"/>
                <w:szCs w:val="24"/>
              </w:rPr>
              <w:t>47,993,241.60</w:t>
            </w:r>
          </w:p>
        </w:tc>
        <w:tc>
          <w:tcPr>
            <w:tcW w:w="1559" w:type="dxa"/>
            <w:vAlign w:val="center"/>
          </w:tcPr>
          <w:p w:rsidR="00E64272" w:rsidRDefault="00C83C8B">
            <w:pPr>
              <w:jc w:val="right"/>
            </w:pPr>
            <w:r>
              <w:rPr>
                <w:color w:val="000000"/>
                <w:kern w:val="0"/>
                <w:sz w:val="24"/>
                <w:szCs w:val="24"/>
              </w:rPr>
              <w:t>7.39</w:t>
            </w:r>
          </w:p>
        </w:tc>
      </w:tr>
      <w:tr w:rsidR="00E64272">
        <w:tc>
          <w:tcPr>
            <w:tcW w:w="851" w:type="dxa"/>
            <w:vAlign w:val="center"/>
          </w:tcPr>
          <w:p w:rsidR="00E64272" w:rsidRDefault="00C83C8B">
            <w:pPr>
              <w:jc w:val="center"/>
            </w:pPr>
            <w:r>
              <w:rPr>
                <w:color w:val="000000"/>
                <w:kern w:val="0"/>
                <w:sz w:val="24"/>
                <w:szCs w:val="24"/>
              </w:rPr>
              <w:t>2</w:t>
            </w:r>
          </w:p>
        </w:tc>
        <w:tc>
          <w:tcPr>
            <w:tcW w:w="1276" w:type="dxa"/>
            <w:vAlign w:val="center"/>
          </w:tcPr>
          <w:p w:rsidR="00E64272" w:rsidRDefault="00C83C8B">
            <w:pPr>
              <w:jc w:val="center"/>
            </w:pPr>
            <w:r>
              <w:rPr>
                <w:color w:val="000000"/>
                <w:kern w:val="0"/>
                <w:sz w:val="24"/>
                <w:szCs w:val="24"/>
              </w:rPr>
              <w:t>002127</w:t>
            </w:r>
          </w:p>
        </w:tc>
        <w:tc>
          <w:tcPr>
            <w:tcW w:w="1418" w:type="dxa"/>
            <w:vAlign w:val="center"/>
          </w:tcPr>
          <w:p w:rsidR="00E64272" w:rsidRDefault="00C83C8B">
            <w:pPr>
              <w:jc w:val="center"/>
            </w:pPr>
            <w:r>
              <w:rPr>
                <w:color w:val="000000"/>
                <w:kern w:val="0"/>
                <w:sz w:val="24"/>
                <w:szCs w:val="24"/>
              </w:rPr>
              <w:t>南极电商</w:t>
            </w:r>
          </w:p>
        </w:tc>
        <w:tc>
          <w:tcPr>
            <w:tcW w:w="1701" w:type="dxa"/>
            <w:vAlign w:val="center"/>
          </w:tcPr>
          <w:p w:rsidR="00E64272" w:rsidRDefault="00C83C8B">
            <w:pPr>
              <w:jc w:val="right"/>
            </w:pPr>
            <w:r>
              <w:rPr>
                <w:color w:val="000000"/>
                <w:kern w:val="0"/>
                <w:sz w:val="24"/>
                <w:szCs w:val="24"/>
              </w:rPr>
              <w:t>3,796,493</w:t>
            </w:r>
          </w:p>
        </w:tc>
        <w:tc>
          <w:tcPr>
            <w:tcW w:w="1984" w:type="dxa"/>
            <w:vAlign w:val="center"/>
          </w:tcPr>
          <w:p w:rsidR="00E64272" w:rsidRDefault="00C83C8B">
            <w:pPr>
              <w:jc w:val="right"/>
            </w:pPr>
            <w:r>
              <w:rPr>
                <w:color w:val="000000"/>
                <w:kern w:val="0"/>
                <w:sz w:val="24"/>
                <w:szCs w:val="24"/>
              </w:rPr>
              <w:t>44,039,318.80</w:t>
            </w:r>
          </w:p>
        </w:tc>
        <w:tc>
          <w:tcPr>
            <w:tcW w:w="1559" w:type="dxa"/>
            <w:vAlign w:val="center"/>
          </w:tcPr>
          <w:p w:rsidR="00E64272" w:rsidRDefault="00C83C8B">
            <w:pPr>
              <w:jc w:val="right"/>
            </w:pPr>
            <w:r>
              <w:rPr>
                <w:color w:val="000000"/>
                <w:kern w:val="0"/>
                <w:sz w:val="24"/>
                <w:szCs w:val="24"/>
              </w:rPr>
              <w:t>6.78</w:t>
            </w:r>
          </w:p>
        </w:tc>
      </w:tr>
      <w:tr w:rsidR="00E64272">
        <w:tc>
          <w:tcPr>
            <w:tcW w:w="851" w:type="dxa"/>
            <w:vAlign w:val="center"/>
          </w:tcPr>
          <w:p w:rsidR="00E64272" w:rsidRDefault="00C83C8B">
            <w:pPr>
              <w:jc w:val="center"/>
            </w:pPr>
            <w:r>
              <w:rPr>
                <w:color w:val="000000"/>
                <w:kern w:val="0"/>
                <w:sz w:val="24"/>
                <w:szCs w:val="24"/>
              </w:rPr>
              <w:t>3</w:t>
            </w:r>
          </w:p>
        </w:tc>
        <w:tc>
          <w:tcPr>
            <w:tcW w:w="1276" w:type="dxa"/>
            <w:vAlign w:val="center"/>
          </w:tcPr>
          <w:p w:rsidR="00E64272" w:rsidRDefault="00C83C8B">
            <w:pPr>
              <w:jc w:val="center"/>
            </w:pPr>
            <w:r>
              <w:rPr>
                <w:color w:val="000000"/>
                <w:kern w:val="0"/>
                <w:sz w:val="24"/>
                <w:szCs w:val="24"/>
              </w:rPr>
              <w:t>000651</w:t>
            </w:r>
          </w:p>
        </w:tc>
        <w:tc>
          <w:tcPr>
            <w:tcW w:w="1418" w:type="dxa"/>
            <w:vAlign w:val="center"/>
          </w:tcPr>
          <w:p w:rsidR="00E64272" w:rsidRDefault="00C83C8B">
            <w:pPr>
              <w:jc w:val="center"/>
            </w:pPr>
            <w:r>
              <w:rPr>
                <w:color w:val="000000"/>
                <w:kern w:val="0"/>
                <w:sz w:val="24"/>
                <w:szCs w:val="24"/>
              </w:rPr>
              <w:t>格力电器</w:t>
            </w:r>
          </w:p>
        </w:tc>
        <w:tc>
          <w:tcPr>
            <w:tcW w:w="1701" w:type="dxa"/>
            <w:vAlign w:val="center"/>
          </w:tcPr>
          <w:p w:rsidR="00E64272" w:rsidRDefault="00C83C8B">
            <w:pPr>
              <w:jc w:val="right"/>
            </w:pPr>
            <w:r>
              <w:rPr>
                <w:color w:val="000000"/>
                <w:kern w:val="0"/>
                <w:sz w:val="24"/>
                <w:szCs w:val="24"/>
              </w:rPr>
              <w:t>601,946</w:t>
            </w:r>
          </w:p>
        </w:tc>
        <w:tc>
          <w:tcPr>
            <w:tcW w:w="1984" w:type="dxa"/>
            <w:vAlign w:val="center"/>
          </w:tcPr>
          <w:p w:rsidR="00E64272" w:rsidRDefault="00C83C8B">
            <w:pPr>
              <w:jc w:val="right"/>
            </w:pPr>
            <w:r>
              <w:rPr>
                <w:color w:val="000000"/>
                <w:kern w:val="0"/>
                <w:sz w:val="24"/>
                <w:szCs w:val="24"/>
              </w:rPr>
              <w:t>31,421,581.20</w:t>
            </w:r>
          </w:p>
        </w:tc>
        <w:tc>
          <w:tcPr>
            <w:tcW w:w="1559" w:type="dxa"/>
            <w:vAlign w:val="center"/>
          </w:tcPr>
          <w:p w:rsidR="00E64272" w:rsidRDefault="00C83C8B">
            <w:pPr>
              <w:jc w:val="right"/>
            </w:pPr>
            <w:r>
              <w:rPr>
                <w:color w:val="000000"/>
                <w:kern w:val="0"/>
                <w:sz w:val="24"/>
                <w:szCs w:val="24"/>
              </w:rPr>
              <w:t>4.84</w:t>
            </w:r>
          </w:p>
        </w:tc>
      </w:tr>
      <w:tr w:rsidR="00E64272">
        <w:tc>
          <w:tcPr>
            <w:tcW w:w="851" w:type="dxa"/>
            <w:vAlign w:val="center"/>
          </w:tcPr>
          <w:p w:rsidR="00E64272" w:rsidRDefault="00C83C8B">
            <w:pPr>
              <w:jc w:val="center"/>
            </w:pPr>
            <w:r>
              <w:rPr>
                <w:color w:val="000000"/>
                <w:kern w:val="0"/>
                <w:sz w:val="24"/>
                <w:szCs w:val="24"/>
              </w:rPr>
              <w:t>4</w:t>
            </w:r>
          </w:p>
        </w:tc>
        <w:tc>
          <w:tcPr>
            <w:tcW w:w="1276" w:type="dxa"/>
            <w:vAlign w:val="center"/>
          </w:tcPr>
          <w:p w:rsidR="00E64272" w:rsidRDefault="00C83C8B">
            <w:pPr>
              <w:jc w:val="center"/>
            </w:pPr>
            <w:r>
              <w:rPr>
                <w:color w:val="000000"/>
                <w:kern w:val="0"/>
                <w:sz w:val="24"/>
                <w:szCs w:val="24"/>
              </w:rPr>
              <w:t>601318</w:t>
            </w:r>
          </w:p>
        </w:tc>
        <w:tc>
          <w:tcPr>
            <w:tcW w:w="1418" w:type="dxa"/>
            <w:vAlign w:val="center"/>
          </w:tcPr>
          <w:p w:rsidR="00E64272" w:rsidRDefault="00C83C8B">
            <w:pPr>
              <w:jc w:val="center"/>
            </w:pPr>
            <w:r>
              <w:rPr>
                <w:color w:val="000000"/>
                <w:kern w:val="0"/>
                <w:sz w:val="24"/>
                <w:szCs w:val="24"/>
              </w:rPr>
              <w:t>中国平安</w:t>
            </w:r>
          </w:p>
        </w:tc>
        <w:tc>
          <w:tcPr>
            <w:tcW w:w="1701" w:type="dxa"/>
            <w:vAlign w:val="center"/>
          </w:tcPr>
          <w:p w:rsidR="00E64272" w:rsidRDefault="00C83C8B">
            <w:pPr>
              <w:jc w:val="right"/>
            </w:pPr>
            <w:r>
              <w:rPr>
                <w:color w:val="000000"/>
                <w:kern w:val="0"/>
                <w:sz w:val="24"/>
                <w:szCs w:val="24"/>
              </w:rPr>
              <w:t>432,493</w:t>
            </w:r>
          </w:p>
        </w:tc>
        <w:tc>
          <w:tcPr>
            <w:tcW w:w="1984" w:type="dxa"/>
            <w:vAlign w:val="center"/>
          </w:tcPr>
          <w:p w:rsidR="00E64272" w:rsidRDefault="00C83C8B">
            <w:pPr>
              <w:jc w:val="right"/>
            </w:pPr>
            <w:r>
              <w:rPr>
                <w:color w:val="000000"/>
                <w:kern w:val="0"/>
                <w:sz w:val="24"/>
                <w:szCs w:val="24"/>
              </w:rPr>
              <w:t>29,915,540.81</w:t>
            </w:r>
          </w:p>
        </w:tc>
        <w:tc>
          <w:tcPr>
            <w:tcW w:w="1559" w:type="dxa"/>
            <w:vAlign w:val="center"/>
          </w:tcPr>
          <w:p w:rsidR="00E64272" w:rsidRDefault="00C83C8B">
            <w:pPr>
              <w:jc w:val="right"/>
            </w:pPr>
            <w:r>
              <w:rPr>
                <w:color w:val="000000"/>
                <w:kern w:val="0"/>
                <w:sz w:val="24"/>
                <w:szCs w:val="24"/>
              </w:rPr>
              <w:t>4.61</w:t>
            </w:r>
          </w:p>
        </w:tc>
      </w:tr>
      <w:tr w:rsidR="00E64272">
        <w:tc>
          <w:tcPr>
            <w:tcW w:w="851" w:type="dxa"/>
            <w:vAlign w:val="center"/>
          </w:tcPr>
          <w:p w:rsidR="00E64272" w:rsidRDefault="00C83C8B">
            <w:pPr>
              <w:jc w:val="center"/>
            </w:pPr>
            <w:r>
              <w:rPr>
                <w:color w:val="000000"/>
                <w:kern w:val="0"/>
                <w:sz w:val="24"/>
                <w:szCs w:val="24"/>
              </w:rPr>
              <w:t>5</w:t>
            </w:r>
          </w:p>
        </w:tc>
        <w:tc>
          <w:tcPr>
            <w:tcW w:w="1276" w:type="dxa"/>
            <w:vAlign w:val="center"/>
          </w:tcPr>
          <w:p w:rsidR="00E64272" w:rsidRDefault="00C83C8B">
            <w:pPr>
              <w:jc w:val="center"/>
            </w:pPr>
            <w:r>
              <w:rPr>
                <w:color w:val="000000"/>
                <w:kern w:val="0"/>
                <w:sz w:val="24"/>
                <w:szCs w:val="24"/>
              </w:rPr>
              <w:t>600519</w:t>
            </w:r>
          </w:p>
        </w:tc>
        <w:tc>
          <w:tcPr>
            <w:tcW w:w="1418" w:type="dxa"/>
            <w:vAlign w:val="center"/>
          </w:tcPr>
          <w:p w:rsidR="00E64272" w:rsidRDefault="00C83C8B">
            <w:pPr>
              <w:jc w:val="center"/>
            </w:pPr>
            <w:r>
              <w:rPr>
                <w:color w:val="000000"/>
                <w:kern w:val="0"/>
                <w:sz w:val="24"/>
                <w:szCs w:val="24"/>
              </w:rPr>
              <w:t>贵州茅台</w:t>
            </w:r>
          </w:p>
        </w:tc>
        <w:tc>
          <w:tcPr>
            <w:tcW w:w="1701" w:type="dxa"/>
            <w:vAlign w:val="center"/>
          </w:tcPr>
          <w:p w:rsidR="00E64272" w:rsidRDefault="00C83C8B">
            <w:pPr>
              <w:jc w:val="right"/>
            </w:pPr>
            <w:r>
              <w:rPr>
                <w:color w:val="000000"/>
                <w:kern w:val="0"/>
                <w:sz w:val="24"/>
                <w:szCs w:val="24"/>
              </w:rPr>
              <w:t>24,215</w:t>
            </w:r>
          </w:p>
        </w:tc>
        <w:tc>
          <w:tcPr>
            <w:tcW w:w="1984" w:type="dxa"/>
            <w:vAlign w:val="center"/>
          </w:tcPr>
          <w:p w:rsidR="00E64272" w:rsidRDefault="00C83C8B">
            <w:pPr>
              <w:jc w:val="right"/>
            </w:pPr>
            <w:r>
              <w:rPr>
                <w:color w:val="000000"/>
                <w:kern w:val="0"/>
                <w:sz w:val="24"/>
                <w:szCs w:val="24"/>
              </w:rPr>
              <w:t>26,902,865.00</w:t>
            </w:r>
          </w:p>
        </w:tc>
        <w:tc>
          <w:tcPr>
            <w:tcW w:w="1559" w:type="dxa"/>
            <w:vAlign w:val="center"/>
          </w:tcPr>
          <w:p w:rsidR="00E64272" w:rsidRDefault="00C83C8B">
            <w:pPr>
              <w:jc w:val="right"/>
            </w:pPr>
            <w:r>
              <w:rPr>
                <w:color w:val="000000"/>
                <w:kern w:val="0"/>
                <w:sz w:val="24"/>
                <w:szCs w:val="24"/>
              </w:rPr>
              <w:t>4.14</w:t>
            </w:r>
          </w:p>
        </w:tc>
      </w:tr>
      <w:tr w:rsidR="00E64272">
        <w:tc>
          <w:tcPr>
            <w:tcW w:w="851" w:type="dxa"/>
            <w:vAlign w:val="center"/>
          </w:tcPr>
          <w:p w:rsidR="00E64272" w:rsidRDefault="00C83C8B">
            <w:pPr>
              <w:jc w:val="center"/>
            </w:pPr>
            <w:r>
              <w:rPr>
                <w:color w:val="000000"/>
                <w:kern w:val="0"/>
                <w:sz w:val="24"/>
                <w:szCs w:val="24"/>
              </w:rPr>
              <w:t>6</w:t>
            </w:r>
          </w:p>
        </w:tc>
        <w:tc>
          <w:tcPr>
            <w:tcW w:w="1276" w:type="dxa"/>
            <w:vAlign w:val="center"/>
          </w:tcPr>
          <w:p w:rsidR="00E64272" w:rsidRDefault="00C83C8B">
            <w:pPr>
              <w:jc w:val="center"/>
            </w:pPr>
            <w:r>
              <w:rPr>
                <w:color w:val="000000"/>
                <w:kern w:val="0"/>
                <w:sz w:val="24"/>
                <w:szCs w:val="24"/>
              </w:rPr>
              <w:t>300119</w:t>
            </w:r>
          </w:p>
        </w:tc>
        <w:tc>
          <w:tcPr>
            <w:tcW w:w="1418" w:type="dxa"/>
            <w:vAlign w:val="center"/>
          </w:tcPr>
          <w:p w:rsidR="00E64272" w:rsidRDefault="00C83C8B">
            <w:pPr>
              <w:jc w:val="center"/>
            </w:pPr>
            <w:r>
              <w:rPr>
                <w:color w:val="000000"/>
                <w:kern w:val="0"/>
                <w:sz w:val="24"/>
                <w:szCs w:val="24"/>
              </w:rPr>
              <w:t>瑞普生物</w:t>
            </w:r>
          </w:p>
        </w:tc>
        <w:tc>
          <w:tcPr>
            <w:tcW w:w="1701" w:type="dxa"/>
            <w:vAlign w:val="center"/>
          </w:tcPr>
          <w:p w:rsidR="00E64272" w:rsidRDefault="00C83C8B">
            <w:pPr>
              <w:jc w:val="right"/>
            </w:pPr>
            <w:r>
              <w:rPr>
                <w:color w:val="000000"/>
                <w:kern w:val="0"/>
                <w:sz w:val="24"/>
                <w:szCs w:val="24"/>
              </w:rPr>
              <w:t>1,812,400</w:t>
            </w:r>
          </w:p>
        </w:tc>
        <w:tc>
          <w:tcPr>
            <w:tcW w:w="1984" w:type="dxa"/>
            <w:vAlign w:val="center"/>
          </w:tcPr>
          <w:p w:rsidR="00E64272" w:rsidRDefault="00C83C8B">
            <w:pPr>
              <w:jc w:val="right"/>
            </w:pPr>
            <w:r>
              <w:rPr>
                <w:color w:val="000000"/>
                <w:kern w:val="0"/>
                <w:sz w:val="24"/>
                <w:szCs w:val="24"/>
              </w:rPr>
              <w:t>24,884,252.00</w:t>
            </w:r>
          </w:p>
        </w:tc>
        <w:tc>
          <w:tcPr>
            <w:tcW w:w="1559" w:type="dxa"/>
            <w:vAlign w:val="center"/>
          </w:tcPr>
          <w:p w:rsidR="00E64272" w:rsidRDefault="00C83C8B">
            <w:pPr>
              <w:jc w:val="right"/>
            </w:pPr>
            <w:r>
              <w:rPr>
                <w:color w:val="000000"/>
                <w:kern w:val="0"/>
                <w:sz w:val="24"/>
                <w:szCs w:val="24"/>
              </w:rPr>
              <w:t>3.83</w:t>
            </w:r>
          </w:p>
        </w:tc>
      </w:tr>
      <w:tr w:rsidR="00E64272">
        <w:tc>
          <w:tcPr>
            <w:tcW w:w="851" w:type="dxa"/>
            <w:vAlign w:val="center"/>
          </w:tcPr>
          <w:p w:rsidR="00E64272" w:rsidRDefault="00C83C8B">
            <w:pPr>
              <w:jc w:val="center"/>
            </w:pPr>
            <w:r>
              <w:rPr>
                <w:color w:val="000000"/>
                <w:kern w:val="0"/>
                <w:sz w:val="24"/>
                <w:szCs w:val="24"/>
              </w:rPr>
              <w:t>7</w:t>
            </w:r>
          </w:p>
        </w:tc>
        <w:tc>
          <w:tcPr>
            <w:tcW w:w="1276" w:type="dxa"/>
            <w:vAlign w:val="center"/>
          </w:tcPr>
          <w:p w:rsidR="00E64272" w:rsidRDefault="00C83C8B">
            <w:pPr>
              <w:jc w:val="center"/>
            </w:pPr>
            <w:r>
              <w:rPr>
                <w:color w:val="000000"/>
                <w:kern w:val="0"/>
                <w:sz w:val="24"/>
                <w:szCs w:val="24"/>
              </w:rPr>
              <w:t>603378</w:t>
            </w:r>
          </w:p>
        </w:tc>
        <w:tc>
          <w:tcPr>
            <w:tcW w:w="1418" w:type="dxa"/>
            <w:vAlign w:val="center"/>
          </w:tcPr>
          <w:p w:rsidR="00E64272" w:rsidRDefault="00C83C8B">
            <w:pPr>
              <w:jc w:val="center"/>
            </w:pPr>
            <w:r>
              <w:rPr>
                <w:color w:val="000000"/>
                <w:kern w:val="0"/>
                <w:sz w:val="24"/>
                <w:szCs w:val="24"/>
              </w:rPr>
              <w:t>亚士创能</w:t>
            </w:r>
          </w:p>
        </w:tc>
        <w:tc>
          <w:tcPr>
            <w:tcW w:w="1701" w:type="dxa"/>
            <w:vAlign w:val="center"/>
          </w:tcPr>
          <w:p w:rsidR="00E64272" w:rsidRDefault="00C83C8B">
            <w:pPr>
              <w:jc w:val="right"/>
            </w:pPr>
            <w:r>
              <w:rPr>
                <w:color w:val="000000"/>
                <w:kern w:val="0"/>
                <w:sz w:val="24"/>
                <w:szCs w:val="24"/>
              </w:rPr>
              <w:t>771,575</w:t>
            </w:r>
          </w:p>
        </w:tc>
        <w:tc>
          <w:tcPr>
            <w:tcW w:w="1984" w:type="dxa"/>
            <w:vAlign w:val="center"/>
          </w:tcPr>
          <w:p w:rsidR="00E64272" w:rsidRDefault="00C83C8B">
            <w:pPr>
              <w:jc w:val="right"/>
            </w:pPr>
            <w:r>
              <w:rPr>
                <w:color w:val="000000"/>
                <w:kern w:val="0"/>
                <w:sz w:val="24"/>
                <w:szCs w:val="24"/>
              </w:rPr>
              <w:t>21,372,627.50</w:t>
            </w:r>
          </w:p>
        </w:tc>
        <w:tc>
          <w:tcPr>
            <w:tcW w:w="1559" w:type="dxa"/>
            <w:vAlign w:val="center"/>
          </w:tcPr>
          <w:p w:rsidR="00E64272" w:rsidRDefault="00C83C8B">
            <w:pPr>
              <w:jc w:val="right"/>
            </w:pPr>
            <w:r>
              <w:rPr>
                <w:color w:val="000000"/>
                <w:kern w:val="0"/>
                <w:sz w:val="24"/>
                <w:szCs w:val="24"/>
              </w:rPr>
              <w:t>3.29</w:t>
            </w:r>
          </w:p>
        </w:tc>
      </w:tr>
      <w:tr w:rsidR="00E64272">
        <w:tc>
          <w:tcPr>
            <w:tcW w:w="851" w:type="dxa"/>
            <w:vAlign w:val="center"/>
          </w:tcPr>
          <w:p w:rsidR="00E64272" w:rsidRDefault="00C83C8B">
            <w:pPr>
              <w:jc w:val="center"/>
            </w:pPr>
            <w:r>
              <w:rPr>
                <w:color w:val="000000"/>
                <w:kern w:val="0"/>
                <w:sz w:val="24"/>
                <w:szCs w:val="24"/>
              </w:rPr>
              <w:t>8</w:t>
            </w:r>
          </w:p>
        </w:tc>
        <w:tc>
          <w:tcPr>
            <w:tcW w:w="1276" w:type="dxa"/>
            <w:vAlign w:val="center"/>
          </w:tcPr>
          <w:p w:rsidR="00E64272" w:rsidRDefault="00C83C8B">
            <w:pPr>
              <w:jc w:val="center"/>
            </w:pPr>
            <w:r>
              <w:rPr>
                <w:color w:val="000000"/>
                <w:kern w:val="0"/>
                <w:sz w:val="24"/>
                <w:szCs w:val="24"/>
              </w:rPr>
              <w:t>002142</w:t>
            </w:r>
          </w:p>
        </w:tc>
        <w:tc>
          <w:tcPr>
            <w:tcW w:w="1418" w:type="dxa"/>
            <w:vAlign w:val="center"/>
          </w:tcPr>
          <w:p w:rsidR="00E64272" w:rsidRDefault="00C83C8B">
            <w:pPr>
              <w:jc w:val="center"/>
            </w:pPr>
            <w:r>
              <w:rPr>
                <w:color w:val="000000"/>
                <w:kern w:val="0"/>
                <w:sz w:val="24"/>
                <w:szCs w:val="24"/>
              </w:rPr>
              <w:t>宁波银行</w:t>
            </w:r>
          </w:p>
        </w:tc>
        <w:tc>
          <w:tcPr>
            <w:tcW w:w="1701" w:type="dxa"/>
            <w:vAlign w:val="center"/>
          </w:tcPr>
          <w:p w:rsidR="00E64272" w:rsidRDefault="00C83C8B">
            <w:pPr>
              <w:jc w:val="right"/>
            </w:pPr>
            <w:r>
              <w:rPr>
                <w:color w:val="000000"/>
                <w:kern w:val="0"/>
                <w:sz w:val="24"/>
                <w:szCs w:val="24"/>
              </w:rPr>
              <w:t>789,990</w:t>
            </w:r>
          </w:p>
        </w:tc>
        <w:tc>
          <w:tcPr>
            <w:tcW w:w="1984" w:type="dxa"/>
            <w:vAlign w:val="center"/>
          </w:tcPr>
          <w:p w:rsidR="00E64272" w:rsidRDefault="00C83C8B">
            <w:pPr>
              <w:jc w:val="right"/>
            </w:pPr>
            <w:r>
              <w:rPr>
                <w:color w:val="000000"/>
                <w:kern w:val="0"/>
                <w:sz w:val="24"/>
                <w:szCs w:val="24"/>
              </w:rPr>
              <w:t>18,217,169.40</w:t>
            </w:r>
          </w:p>
        </w:tc>
        <w:tc>
          <w:tcPr>
            <w:tcW w:w="1559" w:type="dxa"/>
            <w:vAlign w:val="center"/>
          </w:tcPr>
          <w:p w:rsidR="00E64272" w:rsidRDefault="00C83C8B">
            <w:pPr>
              <w:jc w:val="right"/>
            </w:pPr>
            <w:r>
              <w:rPr>
                <w:color w:val="000000"/>
                <w:kern w:val="0"/>
                <w:sz w:val="24"/>
                <w:szCs w:val="24"/>
              </w:rPr>
              <w:t>2.81</w:t>
            </w:r>
          </w:p>
        </w:tc>
      </w:tr>
      <w:tr w:rsidR="00E64272">
        <w:tc>
          <w:tcPr>
            <w:tcW w:w="851" w:type="dxa"/>
            <w:vAlign w:val="center"/>
          </w:tcPr>
          <w:p w:rsidR="00E64272" w:rsidRDefault="00C83C8B">
            <w:pPr>
              <w:jc w:val="center"/>
            </w:pPr>
            <w:r>
              <w:rPr>
                <w:color w:val="000000"/>
                <w:kern w:val="0"/>
                <w:sz w:val="24"/>
                <w:szCs w:val="24"/>
              </w:rPr>
              <w:t>9</w:t>
            </w:r>
          </w:p>
        </w:tc>
        <w:tc>
          <w:tcPr>
            <w:tcW w:w="1276" w:type="dxa"/>
            <w:vAlign w:val="center"/>
          </w:tcPr>
          <w:p w:rsidR="00E64272" w:rsidRDefault="00C83C8B">
            <w:pPr>
              <w:jc w:val="center"/>
            </w:pPr>
            <w:r>
              <w:rPr>
                <w:color w:val="000000"/>
                <w:kern w:val="0"/>
                <w:sz w:val="24"/>
                <w:szCs w:val="24"/>
              </w:rPr>
              <w:t>600380</w:t>
            </w:r>
          </w:p>
        </w:tc>
        <w:tc>
          <w:tcPr>
            <w:tcW w:w="1418" w:type="dxa"/>
            <w:vAlign w:val="center"/>
          </w:tcPr>
          <w:p w:rsidR="00E64272" w:rsidRDefault="00C83C8B">
            <w:pPr>
              <w:jc w:val="center"/>
            </w:pPr>
            <w:r>
              <w:rPr>
                <w:color w:val="000000"/>
                <w:kern w:val="0"/>
                <w:sz w:val="24"/>
                <w:szCs w:val="24"/>
              </w:rPr>
              <w:t>健康元</w:t>
            </w:r>
          </w:p>
        </w:tc>
        <w:tc>
          <w:tcPr>
            <w:tcW w:w="1701" w:type="dxa"/>
            <w:vAlign w:val="center"/>
          </w:tcPr>
          <w:p w:rsidR="00E64272" w:rsidRDefault="00C83C8B">
            <w:pPr>
              <w:jc w:val="right"/>
            </w:pPr>
            <w:r>
              <w:rPr>
                <w:color w:val="000000"/>
                <w:kern w:val="0"/>
                <w:sz w:val="24"/>
                <w:szCs w:val="24"/>
              </w:rPr>
              <w:t>1,524,992</w:t>
            </w:r>
          </w:p>
        </w:tc>
        <w:tc>
          <w:tcPr>
            <w:tcW w:w="1984" w:type="dxa"/>
            <w:vAlign w:val="center"/>
          </w:tcPr>
          <w:p w:rsidR="00E64272" w:rsidRDefault="00C83C8B">
            <w:pPr>
              <w:jc w:val="right"/>
            </w:pPr>
            <w:r>
              <w:rPr>
                <w:color w:val="000000"/>
                <w:kern w:val="0"/>
                <w:sz w:val="24"/>
                <w:szCs w:val="24"/>
              </w:rPr>
              <w:t>17,476,408.32</w:t>
            </w:r>
          </w:p>
        </w:tc>
        <w:tc>
          <w:tcPr>
            <w:tcW w:w="1559" w:type="dxa"/>
            <w:vAlign w:val="center"/>
          </w:tcPr>
          <w:p w:rsidR="00E64272" w:rsidRDefault="00C83C8B">
            <w:pPr>
              <w:jc w:val="right"/>
            </w:pPr>
            <w:r>
              <w:rPr>
                <w:color w:val="000000"/>
                <w:kern w:val="0"/>
                <w:sz w:val="24"/>
                <w:szCs w:val="24"/>
              </w:rPr>
              <w:t>2.69</w:t>
            </w:r>
          </w:p>
        </w:tc>
      </w:tr>
      <w:tr w:rsidR="00E64272">
        <w:tc>
          <w:tcPr>
            <w:tcW w:w="851" w:type="dxa"/>
            <w:vAlign w:val="center"/>
          </w:tcPr>
          <w:p w:rsidR="00E64272" w:rsidRDefault="00C83C8B">
            <w:pPr>
              <w:jc w:val="center"/>
            </w:pPr>
            <w:r>
              <w:rPr>
                <w:color w:val="000000"/>
                <w:kern w:val="0"/>
                <w:sz w:val="24"/>
                <w:szCs w:val="24"/>
              </w:rPr>
              <w:t>10</w:t>
            </w:r>
          </w:p>
        </w:tc>
        <w:tc>
          <w:tcPr>
            <w:tcW w:w="1276" w:type="dxa"/>
            <w:vAlign w:val="center"/>
          </w:tcPr>
          <w:p w:rsidR="00E64272" w:rsidRDefault="00C83C8B">
            <w:pPr>
              <w:jc w:val="center"/>
            </w:pPr>
            <w:r>
              <w:rPr>
                <w:color w:val="000000"/>
                <w:kern w:val="0"/>
                <w:sz w:val="24"/>
                <w:szCs w:val="24"/>
              </w:rPr>
              <w:t>000656</w:t>
            </w:r>
          </w:p>
        </w:tc>
        <w:tc>
          <w:tcPr>
            <w:tcW w:w="1418" w:type="dxa"/>
            <w:vAlign w:val="center"/>
          </w:tcPr>
          <w:p w:rsidR="00E64272" w:rsidRDefault="00C83C8B">
            <w:pPr>
              <w:jc w:val="center"/>
            </w:pPr>
            <w:r>
              <w:rPr>
                <w:color w:val="000000"/>
                <w:kern w:val="0"/>
                <w:sz w:val="24"/>
                <w:szCs w:val="24"/>
              </w:rPr>
              <w:t>金科股份</w:t>
            </w:r>
          </w:p>
        </w:tc>
        <w:tc>
          <w:tcPr>
            <w:tcW w:w="1701" w:type="dxa"/>
            <w:vAlign w:val="center"/>
          </w:tcPr>
          <w:p w:rsidR="00E64272" w:rsidRDefault="00C83C8B">
            <w:pPr>
              <w:jc w:val="right"/>
            </w:pPr>
            <w:r>
              <w:rPr>
                <w:color w:val="000000"/>
                <w:kern w:val="0"/>
                <w:sz w:val="24"/>
                <w:szCs w:val="24"/>
              </w:rPr>
              <w:t>2,040,800</w:t>
            </w:r>
          </w:p>
        </w:tc>
        <w:tc>
          <w:tcPr>
            <w:tcW w:w="1984" w:type="dxa"/>
            <w:vAlign w:val="center"/>
          </w:tcPr>
          <w:p w:rsidR="00E64272" w:rsidRDefault="00C83C8B">
            <w:pPr>
              <w:jc w:val="right"/>
            </w:pPr>
            <w:r>
              <w:rPr>
                <w:color w:val="000000"/>
                <w:kern w:val="0"/>
                <w:sz w:val="24"/>
                <w:szCs w:val="24"/>
              </w:rPr>
              <w:t>16,244,768.00</w:t>
            </w:r>
          </w:p>
        </w:tc>
        <w:tc>
          <w:tcPr>
            <w:tcW w:w="1559" w:type="dxa"/>
            <w:vAlign w:val="center"/>
          </w:tcPr>
          <w:p w:rsidR="00E64272" w:rsidRDefault="00C83C8B">
            <w:pPr>
              <w:jc w:val="right"/>
            </w:pPr>
            <w:r>
              <w:rPr>
                <w:color w:val="000000"/>
                <w:kern w:val="0"/>
                <w:sz w:val="24"/>
                <w:szCs w:val="24"/>
              </w:rPr>
              <w:t>2.50</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336,500.00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336,500.00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64272">
        <w:tc>
          <w:tcPr>
            <w:tcW w:w="959" w:type="dxa"/>
            <w:vAlign w:val="center"/>
          </w:tcPr>
          <w:p w:rsidR="00E64272" w:rsidRDefault="00C83C8B">
            <w:pPr>
              <w:jc w:val="center"/>
            </w:pPr>
            <w:r>
              <w:rPr>
                <w:color w:val="000000"/>
                <w:kern w:val="0"/>
                <w:sz w:val="24"/>
                <w:szCs w:val="24"/>
              </w:rPr>
              <w:t>1</w:t>
            </w:r>
          </w:p>
        </w:tc>
        <w:tc>
          <w:tcPr>
            <w:tcW w:w="1276" w:type="dxa"/>
            <w:vAlign w:val="center"/>
          </w:tcPr>
          <w:p w:rsidR="00E64272" w:rsidRDefault="00C83C8B">
            <w:pPr>
              <w:jc w:val="center"/>
            </w:pPr>
            <w:r>
              <w:rPr>
                <w:color w:val="000000"/>
                <w:kern w:val="0"/>
                <w:sz w:val="24"/>
                <w:szCs w:val="24"/>
              </w:rPr>
              <w:t>128099</w:t>
            </w:r>
          </w:p>
        </w:tc>
        <w:tc>
          <w:tcPr>
            <w:tcW w:w="1275" w:type="dxa"/>
            <w:vAlign w:val="center"/>
          </w:tcPr>
          <w:p w:rsidR="00E64272" w:rsidRDefault="00C83C8B">
            <w:pPr>
              <w:jc w:val="center"/>
            </w:pPr>
            <w:r>
              <w:rPr>
                <w:color w:val="000000"/>
                <w:kern w:val="0"/>
                <w:sz w:val="24"/>
                <w:szCs w:val="24"/>
              </w:rPr>
              <w:t>永高转债</w:t>
            </w:r>
          </w:p>
        </w:tc>
        <w:tc>
          <w:tcPr>
            <w:tcW w:w="1560" w:type="dxa"/>
            <w:vAlign w:val="center"/>
          </w:tcPr>
          <w:p w:rsidR="00E64272" w:rsidRDefault="00C83C8B">
            <w:pPr>
              <w:jc w:val="right"/>
            </w:pPr>
            <w:r>
              <w:rPr>
                <w:color w:val="000000"/>
                <w:kern w:val="0"/>
                <w:sz w:val="24"/>
                <w:szCs w:val="24"/>
              </w:rPr>
              <w:t>3,365</w:t>
            </w:r>
          </w:p>
        </w:tc>
        <w:tc>
          <w:tcPr>
            <w:tcW w:w="1984" w:type="dxa"/>
            <w:vAlign w:val="center"/>
          </w:tcPr>
          <w:p w:rsidR="00E64272" w:rsidRDefault="00C83C8B">
            <w:pPr>
              <w:jc w:val="right"/>
            </w:pPr>
            <w:r>
              <w:rPr>
                <w:color w:val="000000"/>
                <w:kern w:val="0"/>
                <w:sz w:val="24"/>
                <w:szCs w:val="24"/>
              </w:rPr>
              <w:t>336,500.00</w:t>
            </w:r>
          </w:p>
        </w:tc>
        <w:tc>
          <w:tcPr>
            <w:tcW w:w="1474" w:type="dxa"/>
            <w:vAlign w:val="center"/>
          </w:tcPr>
          <w:p w:rsidR="00E64272" w:rsidRDefault="00C83C8B">
            <w:pPr>
              <w:jc w:val="right"/>
            </w:pPr>
            <w:r>
              <w:rPr>
                <w:color w:val="000000"/>
                <w:kern w:val="0"/>
                <w:sz w:val="24"/>
                <w:szCs w:val="24"/>
              </w:rPr>
              <w:t>0.05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Default="00750D48" w:rsidP="00CD1A8E">
      <w:pPr>
        <w:spacing w:line="360" w:lineRule="auto"/>
        <w:ind w:firstLineChars="200" w:firstLine="480"/>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宁波银行（代码：002142）为易方达科瑞灵活配置混合型证券投资基金的前十大重仓证券之一。2019年6月28日，宁波银保监局对宁波银行作出“罚款人民币30万元，并责令该行对相关直接责任人给予纪律处分”的行政处罚。违法违规事由</w:t>
      </w:r>
      <w:r w:rsidR="00CD1A8E">
        <w:rPr>
          <w:rFonts w:ascii="宋体" w:hAnsi="宋体"/>
          <w:color w:val="000000"/>
          <w:sz w:val="24"/>
          <w:szCs w:val="24"/>
        </w:rPr>
        <w:t>:</w:t>
      </w:r>
      <w:r w:rsidRPr="00264E55">
        <w:rPr>
          <w:rFonts w:ascii="宋体" w:hAnsi="宋体"/>
          <w:color w:val="000000"/>
          <w:sz w:val="24"/>
          <w:szCs w:val="24"/>
        </w:rPr>
        <w:t>因存在销售行为不合规、双录管理不到位的行为。2019年6月28日，宁波银保监局对宁波银行作出“罚款人民币270万元，并责令该行对相关直接责任人给予纪律处分”的行政处罚。违法违规事由：因存在违反信贷政策、违反房地产行业政策、违规开展存贷业务、员工管理不到位、监管部门报送的报表不准确等行为。2019年12月5日，宁波银保监局对宁波银行作出“罚款人民币40万元，并责令该行对相关直接责任人给予纪律处分”的行政处罚。违法违规事由：设立时点性规模考核指标、股权质押管理不合规。</w:t>
      </w:r>
    </w:p>
    <w:p w:rsidR="00CD1A8E" w:rsidRPr="00CD1A8E" w:rsidRDefault="00CD1A8E" w:rsidP="00CD1A8E">
      <w:pPr>
        <w:spacing w:line="360" w:lineRule="auto"/>
        <w:ind w:firstLineChars="200" w:firstLine="480"/>
        <w:rPr>
          <w:rFonts w:ascii="宋体" w:hAnsi="宋体"/>
          <w:color w:val="000000"/>
          <w:sz w:val="24"/>
          <w:szCs w:val="24"/>
        </w:rPr>
      </w:pPr>
      <w:r w:rsidRPr="00CD1A8E">
        <w:rPr>
          <w:rFonts w:ascii="宋体" w:hAnsi="宋体" w:hint="eastAsia"/>
          <w:color w:val="000000"/>
          <w:sz w:val="24"/>
          <w:szCs w:val="24"/>
        </w:rPr>
        <w:t>格力电器（代码：000651）为</w:t>
      </w:r>
      <w:r w:rsidRPr="00264E55">
        <w:rPr>
          <w:rFonts w:ascii="宋体" w:hAnsi="宋体"/>
          <w:color w:val="000000"/>
          <w:sz w:val="24"/>
          <w:szCs w:val="24"/>
        </w:rPr>
        <w:t>易方达科瑞灵活配置混合型证券投资</w:t>
      </w:r>
      <w:r w:rsidRPr="00CD1A8E">
        <w:rPr>
          <w:rFonts w:ascii="宋体" w:hAnsi="宋体" w:hint="eastAsia"/>
          <w:color w:val="000000"/>
          <w:sz w:val="24"/>
          <w:szCs w:val="24"/>
        </w:rPr>
        <w:t>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E64272" w:rsidRDefault="00C83C8B" w:rsidP="00CD1A8E">
      <w:pPr>
        <w:spacing w:line="360" w:lineRule="auto"/>
        <w:ind w:firstLineChars="200" w:firstLine="480"/>
        <w:rPr>
          <w:rFonts w:ascii="宋体" w:hAnsi="宋体"/>
          <w:color w:val="000000"/>
          <w:sz w:val="24"/>
          <w:szCs w:val="24"/>
        </w:rPr>
      </w:pPr>
      <w:r>
        <w:rPr>
          <w:rFonts w:ascii="宋体" w:hAnsi="宋体"/>
          <w:color w:val="000000"/>
          <w:sz w:val="24"/>
          <w:szCs w:val="24"/>
        </w:rPr>
        <w:t>本基金投资宁波银行</w:t>
      </w:r>
      <w:r w:rsidR="00CD1A8E">
        <w:rPr>
          <w:rFonts w:ascii="宋体" w:hAnsi="宋体" w:hint="eastAsia"/>
          <w:color w:val="000000"/>
          <w:sz w:val="24"/>
          <w:szCs w:val="24"/>
        </w:rPr>
        <w:t>、格力电器</w:t>
      </w:r>
      <w:r>
        <w:rPr>
          <w:rFonts w:ascii="宋体" w:hAnsi="宋体"/>
          <w:color w:val="000000"/>
          <w:sz w:val="24"/>
          <w:szCs w:val="24"/>
        </w:rPr>
        <w:t>的投资决策程序符合公司投资制度的规定。</w:t>
      </w:r>
    </w:p>
    <w:p w:rsidR="00E64272" w:rsidRDefault="00C83C8B" w:rsidP="00CD1A8E">
      <w:pPr>
        <w:spacing w:line="360" w:lineRule="auto"/>
        <w:ind w:firstLineChars="200" w:firstLine="480"/>
        <w:rPr>
          <w:rFonts w:ascii="宋体" w:hAnsi="宋体"/>
          <w:color w:val="000000"/>
          <w:sz w:val="24"/>
          <w:szCs w:val="24"/>
        </w:rPr>
      </w:pPr>
      <w:r>
        <w:rPr>
          <w:rFonts w:ascii="宋体" w:hAnsi="宋体"/>
          <w:color w:val="000000"/>
          <w:sz w:val="24"/>
          <w:szCs w:val="24"/>
        </w:rPr>
        <w:t>除宁波银行</w:t>
      </w:r>
      <w:r w:rsidR="00CD1A8E">
        <w:rPr>
          <w:rFonts w:ascii="宋体" w:hAnsi="宋体" w:hint="eastAsia"/>
          <w:color w:val="000000"/>
          <w:sz w:val="24"/>
          <w:szCs w:val="24"/>
        </w:rPr>
        <w:t>、格力电器</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196,647.01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3,465.30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17,958.46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29,004.48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247,075.25</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596,937,359.21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12,425,793.66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60,107,276.48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549,255,876.39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r w:rsidRPr="00403A06">
        <w:rPr>
          <w:color w:val="000000"/>
          <w:sz w:val="24"/>
          <w:szCs w:val="24"/>
        </w:rPr>
        <w:t xml:space="preserve"> </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r w:rsidRPr="006C56AA">
        <w:rPr>
          <w:color w:val="000000"/>
          <w:sz w:val="24"/>
          <w:szCs w:val="24"/>
        </w:rPr>
        <w:t xml:space="preserve"> </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E64272" w:rsidRDefault="00C83C8B">
      <w:pPr>
        <w:spacing w:line="360" w:lineRule="auto"/>
        <w:ind w:firstLineChars="200" w:firstLine="480"/>
        <w:rPr>
          <w:color w:val="000000"/>
          <w:sz w:val="24"/>
          <w:szCs w:val="24"/>
        </w:rPr>
      </w:pPr>
      <w:r>
        <w:rPr>
          <w:color w:val="000000"/>
          <w:sz w:val="24"/>
          <w:szCs w:val="24"/>
        </w:rPr>
        <w:t>1.</w:t>
      </w:r>
      <w:r>
        <w:rPr>
          <w:color w:val="000000"/>
          <w:sz w:val="24"/>
          <w:szCs w:val="24"/>
        </w:rPr>
        <w:t>中国证监会准予科瑞证券投资基金变更注册的文件；</w:t>
      </w:r>
    </w:p>
    <w:p w:rsidR="00E64272" w:rsidRDefault="00C83C8B">
      <w:pPr>
        <w:spacing w:line="360" w:lineRule="auto"/>
        <w:ind w:firstLineChars="200" w:firstLine="480"/>
        <w:rPr>
          <w:color w:val="000000"/>
          <w:sz w:val="24"/>
          <w:szCs w:val="24"/>
        </w:rPr>
      </w:pPr>
      <w:r>
        <w:rPr>
          <w:color w:val="000000"/>
          <w:sz w:val="24"/>
          <w:szCs w:val="24"/>
        </w:rPr>
        <w:t>2.</w:t>
      </w:r>
      <w:r>
        <w:rPr>
          <w:color w:val="000000"/>
          <w:sz w:val="24"/>
          <w:szCs w:val="24"/>
        </w:rPr>
        <w:t>关于科瑞证券投资基金基金份额持有人大会表决结果暨决议生效的公告；</w:t>
      </w:r>
    </w:p>
    <w:p w:rsidR="00E64272" w:rsidRDefault="00C83C8B">
      <w:pPr>
        <w:spacing w:line="360" w:lineRule="auto"/>
        <w:ind w:firstLineChars="200" w:firstLine="480"/>
        <w:rPr>
          <w:color w:val="000000"/>
          <w:sz w:val="24"/>
          <w:szCs w:val="24"/>
        </w:rPr>
      </w:pPr>
      <w:r>
        <w:rPr>
          <w:color w:val="000000"/>
          <w:sz w:val="24"/>
          <w:szCs w:val="24"/>
        </w:rPr>
        <w:t>3.</w:t>
      </w:r>
      <w:r>
        <w:rPr>
          <w:color w:val="000000"/>
          <w:sz w:val="24"/>
          <w:szCs w:val="24"/>
        </w:rPr>
        <w:t>《易方达科瑞灵活配置混合型证券投资基金基金合同》；</w:t>
      </w:r>
    </w:p>
    <w:p w:rsidR="00E64272" w:rsidRDefault="00C83C8B">
      <w:pPr>
        <w:spacing w:line="360" w:lineRule="auto"/>
        <w:ind w:firstLineChars="200" w:firstLine="480"/>
        <w:rPr>
          <w:color w:val="000000"/>
          <w:sz w:val="24"/>
          <w:szCs w:val="24"/>
        </w:rPr>
      </w:pPr>
      <w:r>
        <w:rPr>
          <w:color w:val="000000"/>
          <w:sz w:val="24"/>
          <w:szCs w:val="24"/>
        </w:rPr>
        <w:t>4.</w:t>
      </w:r>
      <w:r>
        <w:rPr>
          <w:color w:val="000000"/>
          <w:sz w:val="24"/>
          <w:szCs w:val="24"/>
        </w:rPr>
        <w:t>《易方达科瑞灵活配置混合型证券投资基金托管协议》；</w:t>
      </w:r>
    </w:p>
    <w:p w:rsidR="00E64272" w:rsidRDefault="00C83C8B">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96" w:rsidRDefault="00C73696" w:rsidP="00876D65">
      <w:r>
        <w:separator/>
      </w:r>
    </w:p>
  </w:endnote>
  <w:endnote w:type="continuationSeparator" w:id="0">
    <w:p w:rsidR="00C73696" w:rsidRDefault="00C7369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455B0">
      <w:rPr>
        <w:rStyle w:val="a7"/>
        <w:noProof/>
      </w:rPr>
      <w:t>1</w:t>
    </w:r>
    <w:r>
      <w:rPr>
        <w:rStyle w:val="a7"/>
      </w:rPr>
      <w:fldChar w:fldCharType="end"/>
    </w:r>
    <w:r>
      <w:rPr>
        <w:rStyle w:val="a7"/>
        <w:rFonts w:hint="eastAsia"/>
      </w:rPr>
      <w:t>页共</w:t>
    </w:r>
    <w:fldSimple w:instr=" NUMPAGES  \* Arabic  \* MERGEFORMAT ">
      <w:r w:rsidR="00B455B0" w:rsidRPr="00B455B0">
        <w:rPr>
          <w:rStyle w:val="a7"/>
          <w:noProof/>
        </w:rPr>
        <w:t>6</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455B0">
      <w:rPr>
        <w:rStyle w:val="a7"/>
        <w:noProof/>
      </w:rPr>
      <w:t>5</w:t>
    </w:r>
    <w:r>
      <w:rPr>
        <w:rStyle w:val="a7"/>
      </w:rPr>
      <w:fldChar w:fldCharType="end"/>
    </w:r>
    <w:r>
      <w:rPr>
        <w:rStyle w:val="a7"/>
        <w:rFonts w:hint="eastAsia"/>
      </w:rPr>
      <w:t>页共</w:t>
    </w:r>
    <w:r w:rsidR="00B455B0">
      <w:fldChar w:fldCharType="begin"/>
    </w:r>
    <w:r w:rsidR="00B455B0">
      <w:instrText xml:space="preserve"> NUMPAGES  \* Arabic  \* MERGEFORMAT </w:instrText>
    </w:r>
    <w:r w:rsidR="00B455B0">
      <w:fldChar w:fldCharType="separate"/>
    </w:r>
    <w:r w:rsidR="00B455B0" w:rsidRPr="00B455B0">
      <w:rPr>
        <w:rStyle w:val="a7"/>
        <w:noProof/>
      </w:rPr>
      <w:t>5</w:t>
    </w:r>
    <w:r w:rsidR="00B455B0">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96" w:rsidRDefault="00C73696" w:rsidP="00876D65">
      <w:r>
        <w:separator/>
      </w:r>
    </w:p>
  </w:footnote>
  <w:footnote w:type="continuationSeparator" w:id="0">
    <w:p w:rsidR="00C73696" w:rsidRDefault="00C7369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易方达科瑞灵活配置混合型证券投资基金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455B0"/>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696"/>
    <w:rsid w:val="00C73BCD"/>
    <w:rsid w:val="00C77AEF"/>
    <w:rsid w:val="00C77E37"/>
    <w:rsid w:val="00C83C8B"/>
    <w:rsid w:val="00C86EB7"/>
    <w:rsid w:val="00C87129"/>
    <w:rsid w:val="00C91E1B"/>
    <w:rsid w:val="00CA2BD3"/>
    <w:rsid w:val="00CA4677"/>
    <w:rsid w:val="00CA5FD5"/>
    <w:rsid w:val="00CA7703"/>
    <w:rsid w:val="00CB0F92"/>
    <w:rsid w:val="00CD1A8E"/>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272"/>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C59E28A2-5429-44C7-BB63-FD1430D5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2191601">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9272-76A7-4847-916A-7EC3A4B4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李维</cp:lastModifiedBy>
  <cp:revision>4</cp:revision>
  <dcterms:created xsi:type="dcterms:W3CDTF">2020-04-14T01:38:00Z</dcterms:created>
  <dcterms:modified xsi:type="dcterms:W3CDTF">2020-04-17T03:29:00Z</dcterms:modified>
</cp:coreProperties>
</file>