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36"/>
          <w:szCs w:val="36"/>
        </w:rPr>
      </w:pP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易方达50指数证券投资基金</w:t>
      </w: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2020年第1季度报告</w:t>
      </w:r>
    </w:p>
    <w:p w:rsidR="00A62673" w:rsidRPr="00977154" w:rsidRDefault="00A62673" w:rsidP="000020BB">
      <w:pPr>
        <w:spacing w:line="360" w:lineRule="auto"/>
        <w:jc w:val="center"/>
        <w:rPr>
          <w:rFonts w:ascii="宋体" w:hAnsi="宋体"/>
          <w:b/>
          <w:sz w:val="24"/>
        </w:rPr>
      </w:pPr>
      <w:r w:rsidRPr="00977154">
        <w:rPr>
          <w:rFonts w:ascii="宋体" w:hAnsi="宋体"/>
          <w:b/>
          <w:sz w:val="24"/>
        </w:rPr>
        <w:t>2020年3月31日</w:t>
      </w: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rPr>
          <w:rFonts w:ascii="宋体"/>
          <w:b/>
          <w:color w:val="000000"/>
          <w:sz w:val="24"/>
        </w:rPr>
      </w:pP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基金管理人：</w:t>
      </w:r>
      <w:r w:rsidRPr="00EC5CE0">
        <w:rPr>
          <w:rFonts w:ascii="宋体" w:hAnsi="宋体"/>
          <w:b/>
          <w:color w:val="000000"/>
          <w:sz w:val="24"/>
        </w:rPr>
        <w:t>易方达基金管理有限公司</w:t>
      </w: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基金托管人：</w:t>
      </w:r>
      <w:r w:rsidRPr="00EC5CE0">
        <w:rPr>
          <w:rFonts w:ascii="宋体" w:hAnsi="宋体"/>
          <w:b/>
          <w:color w:val="000000"/>
          <w:sz w:val="24"/>
        </w:rPr>
        <w:t>交通银行股份有限公司</w:t>
      </w:r>
    </w:p>
    <w:p w:rsidR="00A62673" w:rsidRPr="00EC5CE0" w:rsidRDefault="00A62673" w:rsidP="005A2769">
      <w:pPr>
        <w:spacing w:line="360" w:lineRule="auto"/>
        <w:ind w:firstLineChars="900" w:firstLine="2168"/>
        <w:rPr>
          <w:rFonts w:ascii="宋体" w:hAnsi="宋体"/>
          <w:b/>
          <w:color w:val="000000"/>
          <w:sz w:val="24"/>
        </w:rPr>
        <w:sectPr w:rsidR="00A62673" w:rsidRPr="00EC5CE0" w:rsidSect="00230A66">
          <w:headerReference w:type="default" r:id="rId7"/>
          <w:footerReference w:type="default" r:id="rId8"/>
          <w:pgSz w:w="11926" w:h="15840"/>
          <w:pgMar w:top="1418" w:right="1418" w:bottom="851" w:left="1418" w:header="851" w:footer="992" w:gutter="0"/>
          <w:cols w:space="720"/>
          <w:noEndnote/>
        </w:sectPr>
      </w:pPr>
      <w:r w:rsidRPr="00EC5CE0">
        <w:rPr>
          <w:rFonts w:ascii="宋体" w:hAnsi="宋体" w:hint="eastAsia"/>
          <w:b/>
          <w:color w:val="000000"/>
          <w:sz w:val="24"/>
        </w:rPr>
        <w:t>报告送出日期：</w:t>
      </w:r>
      <w:r w:rsidRPr="00EC5CE0">
        <w:rPr>
          <w:rFonts w:ascii="宋体" w:hAnsi="宋体"/>
          <w:b/>
          <w:color w:val="000000"/>
          <w:sz w:val="24"/>
        </w:rPr>
        <w:t>二〇二〇年四月二十一日</w:t>
      </w:r>
    </w:p>
    <w:p w:rsidR="00A62673" w:rsidRPr="00EC5CE0" w:rsidRDefault="00A62673" w:rsidP="00F729DC">
      <w:pPr>
        <w:pStyle w:val="1"/>
        <w:spacing w:beforeLines="100" w:before="312" w:afterLines="100" w:after="312" w:line="360" w:lineRule="auto"/>
        <w:jc w:val="center"/>
        <w:rPr>
          <w:rFonts w:ascii="宋体" w:cs="Arial"/>
          <w:b w:val="0"/>
          <w:color w:val="000000"/>
          <w:kern w:val="0"/>
          <w:sz w:val="24"/>
          <w:szCs w:val="24"/>
        </w:rPr>
      </w:pPr>
      <w:r w:rsidRPr="00EC5CE0">
        <w:rPr>
          <w:rFonts w:ascii="宋体" w:hAnsi="宋体" w:cs="Arial" w:hint="eastAsia"/>
          <w:color w:val="000000"/>
          <w:kern w:val="0"/>
          <w:sz w:val="24"/>
          <w:szCs w:val="24"/>
        </w:rPr>
        <w:lastRenderedPageBreak/>
        <w:t>§</w:t>
      </w:r>
      <w:r w:rsidRPr="00EC5CE0">
        <w:rPr>
          <w:rFonts w:ascii="宋体" w:hAnsi="宋体" w:cs="Arial"/>
          <w:color w:val="000000"/>
          <w:kern w:val="0"/>
          <w:sz w:val="24"/>
          <w:szCs w:val="24"/>
        </w:rPr>
        <w:t xml:space="preserve">1  </w:t>
      </w:r>
      <w:r w:rsidRPr="00EC5CE0">
        <w:rPr>
          <w:rFonts w:ascii="宋体" w:hAnsi="宋体" w:cs="Arial" w:hint="eastAsia"/>
          <w:color w:val="000000"/>
          <w:kern w:val="0"/>
          <w:sz w:val="24"/>
          <w:szCs w:val="24"/>
        </w:rPr>
        <w:t>重要提示</w:t>
      </w:r>
    </w:p>
    <w:p w:rsidR="001E0B8A" w:rsidRDefault="006764E1">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E0B8A" w:rsidRDefault="006764E1">
      <w:pPr>
        <w:spacing w:line="360" w:lineRule="auto"/>
        <w:ind w:firstLineChars="200" w:firstLine="480"/>
        <w:rPr>
          <w:color w:val="000000"/>
          <w:sz w:val="24"/>
        </w:rPr>
      </w:pPr>
      <w:r>
        <w:rPr>
          <w:color w:val="000000"/>
          <w:sz w:val="24"/>
        </w:rPr>
        <w:t>基金托管人交通银行股份有限公司根据本基金合同规定，于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E0B8A" w:rsidRDefault="006764E1">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E0B8A" w:rsidRDefault="006764E1">
      <w:pPr>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E0B8A" w:rsidRDefault="006764E1">
      <w:pPr>
        <w:spacing w:line="360" w:lineRule="auto"/>
        <w:ind w:firstLineChars="200" w:firstLine="480"/>
        <w:rPr>
          <w:color w:val="000000"/>
          <w:sz w:val="24"/>
        </w:rPr>
      </w:pPr>
      <w:r>
        <w:rPr>
          <w:color w:val="000000"/>
          <w:sz w:val="24"/>
        </w:rPr>
        <w:t>本报告中财务资料未经审计。</w:t>
      </w:r>
    </w:p>
    <w:p w:rsidR="00A62673" w:rsidRPr="00DC315B" w:rsidRDefault="00A62673" w:rsidP="00DC315B">
      <w:pPr>
        <w:spacing w:line="360" w:lineRule="auto"/>
        <w:ind w:firstLineChars="200" w:firstLine="480"/>
        <w:rPr>
          <w:color w:val="000000"/>
          <w:sz w:val="24"/>
        </w:rPr>
      </w:pPr>
      <w:r w:rsidRPr="00DC315B">
        <w:rPr>
          <w:color w:val="000000"/>
          <w:sz w:val="24"/>
        </w:rPr>
        <w:t>本报告期自</w:t>
      </w:r>
      <w:r w:rsidRPr="00DC315B">
        <w:rPr>
          <w:color w:val="000000"/>
          <w:sz w:val="24"/>
        </w:rPr>
        <w:t>2020</w:t>
      </w:r>
      <w:r w:rsidRPr="00DC315B">
        <w:rPr>
          <w:color w:val="000000"/>
          <w:sz w:val="24"/>
        </w:rPr>
        <w:t>年</w:t>
      </w:r>
      <w:r w:rsidRPr="00DC315B">
        <w:rPr>
          <w:color w:val="000000"/>
          <w:sz w:val="24"/>
        </w:rPr>
        <w:t>1</w:t>
      </w:r>
      <w:r w:rsidRPr="00DC315B">
        <w:rPr>
          <w:color w:val="000000"/>
          <w:sz w:val="24"/>
        </w:rPr>
        <w:t>月</w:t>
      </w:r>
      <w:r w:rsidRPr="00DC315B">
        <w:rPr>
          <w:color w:val="000000"/>
          <w:sz w:val="24"/>
        </w:rPr>
        <w:t>1</w:t>
      </w:r>
      <w:r w:rsidRPr="00DC315B">
        <w:rPr>
          <w:color w:val="000000"/>
          <w:sz w:val="24"/>
        </w:rPr>
        <w:t>日起至</w:t>
      </w:r>
      <w:r w:rsidRPr="00DC315B">
        <w:rPr>
          <w:color w:val="000000"/>
          <w:sz w:val="24"/>
        </w:rPr>
        <w:t>3</w:t>
      </w:r>
      <w:r w:rsidRPr="00DC315B">
        <w:rPr>
          <w:color w:val="000000"/>
          <w:sz w:val="24"/>
        </w:rPr>
        <w:t>月</w:t>
      </w:r>
      <w:r w:rsidRPr="00DC315B">
        <w:rPr>
          <w:color w:val="000000"/>
          <w:sz w:val="24"/>
        </w:rPr>
        <w:t>31</w:t>
      </w:r>
      <w:r w:rsidRPr="00DC315B">
        <w:rPr>
          <w:color w:val="000000"/>
          <w:sz w:val="24"/>
        </w:rPr>
        <w:t>日止。</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2  </w:t>
      </w:r>
      <w:r w:rsidRPr="00EC5CE0">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694"/>
        <w:gridCol w:w="2693"/>
      </w:tblGrid>
      <w:tr w:rsidR="00A62673" w:rsidRPr="00EC5CE0" w:rsidTr="005F23CA">
        <w:tc>
          <w:tcPr>
            <w:tcW w:w="2835" w:type="dxa"/>
          </w:tcPr>
          <w:p w:rsidR="00A62673" w:rsidRPr="00DC315B" w:rsidRDefault="00A62673" w:rsidP="00C21C43">
            <w:pPr>
              <w:adjustRightInd w:val="0"/>
              <w:spacing w:before="29" w:line="360" w:lineRule="auto"/>
              <w:ind w:left="17"/>
              <w:jc w:val="left"/>
              <w:rPr>
                <w:kern w:val="0"/>
                <w:sz w:val="24"/>
              </w:rPr>
            </w:pPr>
            <w:r w:rsidRPr="00DC315B">
              <w:rPr>
                <w:kern w:val="0"/>
                <w:sz w:val="24"/>
              </w:rPr>
              <w:t>基金简称</w:t>
            </w:r>
          </w:p>
        </w:tc>
        <w:tc>
          <w:tcPr>
            <w:tcW w:w="5387" w:type="dxa"/>
            <w:gridSpan w:val="2"/>
          </w:tcPr>
          <w:p w:rsidR="00A62673" w:rsidRPr="00DC315B" w:rsidRDefault="00A62673" w:rsidP="00C21C43">
            <w:pPr>
              <w:adjustRightInd w:val="0"/>
              <w:spacing w:before="29" w:line="360" w:lineRule="auto"/>
              <w:ind w:left="17"/>
              <w:jc w:val="left"/>
              <w:rPr>
                <w:color w:val="000000"/>
                <w:kern w:val="0"/>
                <w:sz w:val="24"/>
              </w:rPr>
            </w:pPr>
            <w:r w:rsidRPr="00DC315B">
              <w:rPr>
                <w:color w:val="000000"/>
                <w:kern w:val="0"/>
                <w:sz w:val="24"/>
              </w:rPr>
              <w:t>易方达上证</w:t>
            </w:r>
            <w:r w:rsidRPr="00DC315B">
              <w:rPr>
                <w:color w:val="000000"/>
                <w:kern w:val="0"/>
                <w:sz w:val="24"/>
              </w:rPr>
              <w:t>50</w:t>
            </w:r>
            <w:r w:rsidRPr="00DC315B">
              <w:rPr>
                <w:color w:val="000000"/>
                <w:kern w:val="0"/>
                <w:sz w:val="24"/>
              </w:rPr>
              <w:t>指数</w:t>
            </w:r>
          </w:p>
        </w:tc>
      </w:tr>
      <w:tr w:rsidR="00A62673" w:rsidRPr="00EC5CE0" w:rsidTr="005F23CA">
        <w:tc>
          <w:tcPr>
            <w:tcW w:w="2835" w:type="dxa"/>
          </w:tcPr>
          <w:p w:rsidR="00A62673" w:rsidRPr="00DC315B" w:rsidRDefault="00A62673">
            <w:pPr>
              <w:adjustRightInd w:val="0"/>
              <w:spacing w:before="29" w:line="360" w:lineRule="auto"/>
              <w:ind w:left="17"/>
              <w:jc w:val="left"/>
              <w:rPr>
                <w:kern w:val="0"/>
                <w:sz w:val="24"/>
              </w:rPr>
            </w:pPr>
            <w:r w:rsidRPr="00DC315B">
              <w:rPr>
                <w:kern w:val="0"/>
                <w:sz w:val="24"/>
              </w:rPr>
              <w:t>基金主代码</w:t>
            </w:r>
          </w:p>
        </w:tc>
        <w:tc>
          <w:tcPr>
            <w:tcW w:w="5387" w:type="dxa"/>
            <w:gridSpan w:val="2"/>
          </w:tcPr>
          <w:p w:rsidR="00A62673" w:rsidRPr="00DC315B" w:rsidRDefault="00A62673">
            <w:pPr>
              <w:adjustRightInd w:val="0"/>
              <w:spacing w:before="29" w:line="360" w:lineRule="auto"/>
              <w:ind w:left="17"/>
              <w:jc w:val="left"/>
              <w:rPr>
                <w:color w:val="000000"/>
                <w:kern w:val="0"/>
                <w:sz w:val="24"/>
              </w:rPr>
            </w:pPr>
            <w:r w:rsidRPr="00DC315B">
              <w:rPr>
                <w:color w:val="000000"/>
                <w:kern w:val="0"/>
                <w:sz w:val="24"/>
              </w:rPr>
              <w:t>110003</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基金运作方式</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契约型开放式</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基金合同生效日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2004</w:t>
            </w:r>
            <w:r w:rsidRPr="00DC315B">
              <w:rPr>
                <w:color w:val="000000"/>
                <w:kern w:val="0"/>
                <w:sz w:val="24"/>
              </w:rPr>
              <w:t>年</w:t>
            </w:r>
            <w:r w:rsidRPr="00DC315B">
              <w:rPr>
                <w:color w:val="000000"/>
                <w:kern w:val="0"/>
                <w:sz w:val="24"/>
              </w:rPr>
              <w:t>3</w:t>
            </w:r>
            <w:r w:rsidRPr="00DC315B">
              <w:rPr>
                <w:color w:val="000000"/>
                <w:kern w:val="0"/>
                <w:sz w:val="24"/>
              </w:rPr>
              <w:t>月</w:t>
            </w:r>
            <w:r w:rsidRPr="00DC315B">
              <w:rPr>
                <w:color w:val="000000"/>
                <w:kern w:val="0"/>
                <w:sz w:val="24"/>
              </w:rPr>
              <w:t>22</w:t>
            </w:r>
            <w:r w:rsidRPr="00DC315B">
              <w:rPr>
                <w:color w:val="000000"/>
                <w:kern w:val="0"/>
                <w:sz w:val="24"/>
              </w:rPr>
              <w:t>日</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报告期末基金份额总额</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11,156,350,495.71</w:t>
            </w:r>
            <w:r w:rsidRPr="00DC315B">
              <w:rPr>
                <w:color w:val="000000"/>
                <w:kern w:val="0"/>
                <w:sz w:val="24"/>
              </w:rPr>
              <w:t>份</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投资目标</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在严格控制与目标指数偏离风险的前提下，力争获得超越指数的投资收益，追求长期资本增值。</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投资策略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本基金为指数增强型基金，股票投资部分以上证</w:t>
            </w:r>
            <w:r w:rsidRPr="00DC315B">
              <w:rPr>
                <w:color w:val="000000"/>
                <w:kern w:val="0"/>
                <w:sz w:val="24"/>
              </w:rPr>
              <w:t>50</w:t>
            </w:r>
            <w:r w:rsidRPr="00DC315B">
              <w:rPr>
                <w:color w:val="000000"/>
                <w:kern w:val="0"/>
                <w:sz w:val="24"/>
              </w:rPr>
              <w:t>指数作为标的指数，资产配置上追求充分投资，不根据对市场时机的判断主动调整股票仓位，通过运用深入的基本面研究及先进的数量化投资技术，控制与目标指数的偏离风险，追求超越基准的收益水平。</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业绩比较基准</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上证</w:t>
            </w:r>
            <w:r w:rsidRPr="00DC315B">
              <w:rPr>
                <w:color w:val="000000"/>
                <w:kern w:val="0"/>
                <w:sz w:val="24"/>
              </w:rPr>
              <w:t>50</w:t>
            </w:r>
            <w:r w:rsidRPr="00DC315B">
              <w:rPr>
                <w:color w:val="000000"/>
                <w:kern w:val="0"/>
                <w:sz w:val="24"/>
              </w:rPr>
              <w:t>指数</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风险收益特征</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本基金为股票基金，其预期风险、收益水平高于混合基金、债券基金及货币市场基金。本基金在控制与目标指数偏离风险的同时，力争获得超越基准的收益。长期来看，本基金具有与目标指数相近的风险水平。</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基金管理人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易方达基金管理有限公司</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基金托管人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交通银行股份有限公司</w:t>
            </w:r>
          </w:p>
        </w:tc>
      </w:tr>
      <w:tr w:rsidR="002C4578" w:rsidRPr="00C30CFF" w:rsidTr="005F23CA">
        <w:tc>
          <w:tcPr>
            <w:tcW w:w="2835" w:type="dxa"/>
          </w:tcPr>
          <w:p w:rsidR="002C4578" w:rsidRPr="00C30CFF" w:rsidRDefault="002C4578" w:rsidP="004971F0">
            <w:pPr>
              <w:adjustRightInd w:val="0"/>
              <w:spacing w:before="29" w:line="360" w:lineRule="auto"/>
              <w:ind w:left="17"/>
              <w:jc w:val="left"/>
              <w:rPr>
                <w:kern w:val="0"/>
                <w:sz w:val="24"/>
              </w:rPr>
            </w:pPr>
            <w:r w:rsidRPr="00C30CFF">
              <w:rPr>
                <w:color w:val="000000"/>
                <w:sz w:val="24"/>
              </w:rPr>
              <w:t>下属分级基金的基金简称</w:t>
            </w:r>
          </w:p>
        </w:tc>
        <w:tc>
          <w:tcPr>
            <w:tcW w:w="2694" w:type="dxa"/>
            <w:vAlign w:val="center"/>
          </w:tcPr>
          <w:p w:rsidR="002C4578" w:rsidRPr="00C30CFF" w:rsidRDefault="002C4578" w:rsidP="004971F0">
            <w:pPr>
              <w:jc w:val="left"/>
              <w:rPr>
                <w:sz w:val="24"/>
              </w:rPr>
            </w:pPr>
            <w:r w:rsidRPr="00C30CFF">
              <w:rPr>
                <w:sz w:val="24"/>
              </w:rPr>
              <w:t>易方达上证</w:t>
            </w:r>
            <w:r w:rsidRPr="00C30CFF">
              <w:rPr>
                <w:sz w:val="24"/>
              </w:rPr>
              <w:t>50</w:t>
            </w:r>
            <w:r w:rsidRPr="00C30CFF">
              <w:rPr>
                <w:sz w:val="24"/>
              </w:rPr>
              <w:t>指数</w:t>
            </w:r>
            <w:r w:rsidRPr="00C30CFF">
              <w:rPr>
                <w:sz w:val="24"/>
              </w:rPr>
              <w:t>A</w:t>
            </w:r>
          </w:p>
        </w:tc>
        <w:tc>
          <w:tcPr>
            <w:tcW w:w="2693" w:type="dxa"/>
            <w:vAlign w:val="center"/>
          </w:tcPr>
          <w:p w:rsidR="002C4578" w:rsidRPr="00C30CFF" w:rsidRDefault="002C4578" w:rsidP="004971F0">
            <w:pPr>
              <w:jc w:val="left"/>
              <w:rPr>
                <w:sz w:val="24"/>
              </w:rPr>
            </w:pPr>
            <w:r w:rsidRPr="00C30CFF">
              <w:rPr>
                <w:sz w:val="24"/>
              </w:rPr>
              <w:t>易方达上证</w:t>
            </w:r>
            <w:r w:rsidRPr="00C30CFF">
              <w:rPr>
                <w:sz w:val="24"/>
              </w:rPr>
              <w:t>50</w:t>
            </w:r>
            <w:r w:rsidRPr="00C30CFF">
              <w:rPr>
                <w:sz w:val="24"/>
              </w:rPr>
              <w:t>指数</w:t>
            </w:r>
            <w:r w:rsidRPr="00C30CFF">
              <w:rPr>
                <w:sz w:val="24"/>
              </w:rPr>
              <w:t>C</w:t>
            </w:r>
          </w:p>
        </w:tc>
      </w:tr>
      <w:tr w:rsidR="002C4578" w:rsidRPr="00C30CFF" w:rsidTr="005F23CA">
        <w:tc>
          <w:tcPr>
            <w:tcW w:w="2835" w:type="dxa"/>
          </w:tcPr>
          <w:p w:rsidR="002C4578" w:rsidRPr="00C30CFF" w:rsidRDefault="002C4578" w:rsidP="004971F0">
            <w:pPr>
              <w:adjustRightInd w:val="0"/>
              <w:spacing w:before="29" w:line="360" w:lineRule="auto"/>
              <w:ind w:left="17"/>
              <w:jc w:val="left"/>
              <w:rPr>
                <w:color w:val="000000"/>
                <w:sz w:val="24"/>
              </w:rPr>
            </w:pPr>
            <w:r w:rsidRPr="00C30CFF">
              <w:rPr>
                <w:color w:val="000000"/>
                <w:sz w:val="24"/>
              </w:rPr>
              <w:t>下属分级基金的交易代码</w:t>
            </w:r>
          </w:p>
        </w:tc>
        <w:tc>
          <w:tcPr>
            <w:tcW w:w="2694" w:type="dxa"/>
            <w:vAlign w:val="center"/>
          </w:tcPr>
          <w:p w:rsidR="002C4578" w:rsidRPr="00C30CFF" w:rsidRDefault="002C4578" w:rsidP="004971F0">
            <w:pPr>
              <w:jc w:val="left"/>
              <w:rPr>
                <w:color w:val="000000"/>
                <w:sz w:val="24"/>
              </w:rPr>
            </w:pPr>
            <w:r w:rsidRPr="00C30CFF">
              <w:rPr>
                <w:color w:val="000000"/>
                <w:sz w:val="24"/>
              </w:rPr>
              <w:t>110003</w:t>
            </w:r>
          </w:p>
        </w:tc>
        <w:tc>
          <w:tcPr>
            <w:tcW w:w="2693" w:type="dxa"/>
            <w:vAlign w:val="center"/>
          </w:tcPr>
          <w:p w:rsidR="002C4578" w:rsidRPr="00C30CFF" w:rsidRDefault="002C4578" w:rsidP="004971F0">
            <w:pPr>
              <w:jc w:val="left"/>
              <w:rPr>
                <w:color w:val="000000"/>
                <w:sz w:val="24"/>
              </w:rPr>
            </w:pPr>
            <w:r w:rsidRPr="00C30CFF">
              <w:rPr>
                <w:color w:val="000000"/>
                <w:sz w:val="24"/>
              </w:rPr>
              <w:t>004746</w:t>
            </w:r>
          </w:p>
        </w:tc>
      </w:tr>
      <w:tr w:rsidR="002C4578" w:rsidRPr="00C30CFF" w:rsidTr="005F23CA">
        <w:tc>
          <w:tcPr>
            <w:tcW w:w="2835" w:type="dxa"/>
          </w:tcPr>
          <w:p w:rsidR="002C4578" w:rsidRPr="00C30CFF" w:rsidRDefault="002C4578" w:rsidP="004971F0">
            <w:pPr>
              <w:adjustRightInd w:val="0"/>
              <w:spacing w:before="29" w:line="360" w:lineRule="auto"/>
              <w:ind w:left="17"/>
              <w:jc w:val="left"/>
              <w:rPr>
                <w:color w:val="000000"/>
                <w:sz w:val="24"/>
              </w:rPr>
            </w:pPr>
            <w:r w:rsidRPr="00C30CFF">
              <w:rPr>
                <w:color w:val="000000"/>
                <w:sz w:val="24"/>
              </w:rPr>
              <w:t>报告期末下属分级基金的份额总额</w:t>
            </w:r>
          </w:p>
        </w:tc>
        <w:tc>
          <w:tcPr>
            <w:tcW w:w="2694" w:type="dxa"/>
            <w:vAlign w:val="center"/>
          </w:tcPr>
          <w:p w:rsidR="002C4578" w:rsidRPr="00C30CFF" w:rsidRDefault="002C4578" w:rsidP="004971F0">
            <w:pPr>
              <w:jc w:val="left"/>
              <w:rPr>
                <w:sz w:val="24"/>
              </w:rPr>
            </w:pPr>
            <w:r w:rsidRPr="00C30CFF">
              <w:rPr>
                <w:sz w:val="24"/>
              </w:rPr>
              <w:t>9,730,262,099.63</w:t>
            </w:r>
            <w:r w:rsidRPr="00C30CFF">
              <w:rPr>
                <w:color w:val="000000"/>
                <w:kern w:val="0"/>
                <w:sz w:val="24"/>
              </w:rPr>
              <w:t>份</w:t>
            </w:r>
          </w:p>
        </w:tc>
        <w:tc>
          <w:tcPr>
            <w:tcW w:w="2693" w:type="dxa"/>
            <w:vAlign w:val="center"/>
          </w:tcPr>
          <w:p w:rsidR="002C4578" w:rsidRPr="00C30CFF" w:rsidRDefault="002C4578" w:rsidP="004971F0">
            <w:pPr>
              <w:jc w:val="left"/>
              <w:rPr>
                <w:sz w:val="24"/>
              </w:rPr>
            </w:pPr>
            <w:r w:rsidRPr="00C30CFF">
              <w:rPr>
                <w:sz w:val="24"/>
              </w:rPr>
              <w:t>1,426,088,396.08</w:t>
            </w:r>
            <w:r w:rsidRPr="00C30CFF">
              <w:rPr>
                <w:color w:val="000000"/>
                <w:kern w:val="0"/>
                <w:sz w:val="24"/>
              </w:rPr>
              <w:t>份</w:t>
            </w:r>
          </w:p>
        </w:tc>
      </w:tr>
    </w:tbl>
    <w:p w:rsidR="00A62673" w:rsidRPr="00DC315B" w:rsidRDefault="00A62673" w:rsidP="00DC315B">
      <w:pPr>
        <w:spacing w:line="360" w:lineRule="auto"/>
        <w:ind w:firstLineChars="200" w:firstLine="480"/>
        <w:rPr>
          <w:color w:val="000000"/>
          <w:sz w:val="24"/>
        </w:rPr>
      </w:pPr>
      <w:r w:rsidRPr="00DC315B">
        <w:rPr>
          <w:color w:val="000000"/>
          <w:sz w:val="24"/>
        </w:rPr>
        <w:t>注：自</w:t>
      </w:r>
      <w:r w:rsidRPr="00DC315B">
        <w:rPr>
          <w:color w:val="000000"/>
          <w:sz w:val="24"/>
        </w:rPr>
        <w:t>2017</w:t>
      </w:r>
      <w:r w:rsidRPr="00DC315B">
        <w:rPr>
          <w:color w:val="000000"/>
          <w:sz w:val="24"/>
        </w:rPr>
        <w:t>年</w:t>
      </w:r>
      <w:r w:rsidRPr="00DC315B">
        <w:rPr>
          <w:color w:val="000000"/>
          <w:sz w:val="24"/>
        </w:rPr>
        <w:t>6</w:t>
      </w:r>
      <w:r w:rsidRPr="00DC315B">
        <w:rPr>
          <w:color w:val="000000"/>
          <w:sz w:val="24"/>
        </w:rPr>
        <w:t>月</w:t>
      </w:r>
      <w:r w:rsidRPr="00DC315B">
        <w:rPr>
          <w:color w:val="000000"/>
          <w:sz w:val="24"/>
        </w:rPr>
        <w:t>6</w:t>
      </w:r>
      <w:r w:rsidRPr="00DC315B">
        <w:rPr>
          <w:color w:val="000000"/>
          <w:sz w:val="24"/>
        </w:rPr>
        <w:t>日起，本基金增设</w:t>
      </w:r>
      <w:r w:rsidRPr="00DC315B">
        <w:rPr>
          <w:color w:val="000000"/>
          <w:sz w:val="24"/>
        </w:rPr>
        <w:t>C</w:t>
      </w:r>
      <w:r w:rsidRPr="00DC315B">
        <w:rPr>
          <w:color w:val="000000"/>
          <w:sz w:val="24"/>
        </w:rPr>
        <w:t>类份额类别，份额首次确认日为</w:t>
      </w:r>
      <w:r w:rsidRPr="00DC315B">
        <w:rPr>
          <w:color w:val="000000"/>
          <w:sz w:val="24"/>
        </w:rPr>
        <w:t>2017</w:t>
      </w:r>
      <w:r w:rsidRPr="00DC315B">
        <w:rPr>
          <w:color w:val="000000"/>
          <w:sz w:val="24"/>
        </w:rPr>
        <w:t>年</w:t>
      </w:r>
      <w:r w:rsidRPr="00DC315B">
        <w:rPr>
          <w:color w:val="000000"/>
          <w:sz w:val="24"/>
        </w:rPr>
        <w:t>6</w:t>
      </w:r>
      <w:r w:rsidRPr="00DC315B">
        <w:rPr>
          <w:color w:val="000000"/>
          <w:sz w:val="24"/>
        </w:rPr>
        <w:t>月</w:t>
      </w:r>
      <w:r w:rsidRPr="00DC315B">
        <w:rPr>
          <w:color w:val="000000"/>
          <w:sz w:val="24"/>
        </w:rPr>
        <w:t>7</w:t>
      </w:r>
      <w:r w:rsidRPr="00DC315B">
        <w:rPr>
          <w:color w:val="000000"/>
          <w:sz w:val="24"/>
        </w:rPr>
        <w:t>日。</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3  </w:t>
      </w:r>
      <w:r w:rsidRPr="00EC5CE0">
        <w:rPr>
          <w:rFonts w:ascii="宋体" w:hAnsi="宋体" w:cs="Arial" w:hint="eastAsia"/>
          <w:color w:val="000000"/>
          <w:kern w:val="0"/>
          <w:sz w:val="24"/>
          <w:szCs w:val="24"/>
        </w:rPr>
        <w:t>主要财务指标和基金净值表现</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3.1 </w:t>
      </w:r>
      <w:r w:rsidRPr="00EC5CE0">
        <w:rPr>
          <w:rFonts w:ascii="宋体" w:hAnsi="宋体" w:cs="Arial" w:hint="eastAsia"/>
          <w:b/>
          <w:color w:val="000000"/>
          <w:kern w:val="0"/>
          <w:sz w:val="24"/>
        </w:rPr>
        <w:t>主要财务指标</w:t>
      </w:r>
    </w:p>
    <w:p w:rsidR="005F23CA" w:rsidRPr="00FA472B" w:rsidRDefault="005F23CA" w:rsidP="005F23CA">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5F23CA" w:rsidRPr="00FA472B" w:rsidTr="004971F0">
        <w:tc>
          <w:tcPr>
            <w:tcW w:w="3402" w:type="dxa"/>
            <w:vMerge w:val="restart"/>
            <w:vAlign w:val="center"/>
          </w:tcPr>
          <w:p w:rsidR="005F23CA" w:rsidRPr="00FA472B" w:rsidRDefault="005F23CA" w:rsidP="004971F0">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5F23CA" w:rsidRPr="00FA472B" w:rsidRDefault="005F23CA" w:rsidP="004971F0">
            <w:pPr>
              <w:adjustRightInd w:val="0"/>
              <w:spacing w:before="29" w:line="360" w:lineRule="auto"/>
              <w:ind w:left="17"/>
              <w:jc w:val="center"/>
              <w:rPr>
                <w:color w:val="000000"/>
                <w:sz w:val="24"/>
              </w:rPr>
            </w:pPr>
            <w:r w:rsidRPr="00FA472B">
              <w:rPr>
                <w:color w:val="000000"/>
                <w:sz w:val="24"/>
              </w:rPr>
              <w:t>报告期</w:t>
            </w:r>
          </w:p>
          <w:p w:rsidR="005F23CA" w:rsidRPr="00FA472B" w:rsidRDefault="005F23CA" w:rsidP="004971F0">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5F23CA" w:rsidRPr="00FA472B" w:rsidTr="004971F0">
        <w:tc>
          <w:tcPr>
            <w:tcW w:w="3402" w:type="dxa"/>
            <w:vMerge/>
            <w:vAlign w:val="center"/>
          </w:tcPr>
          <w:p w:rsidR="005F23CA" w:rsidRPr="00FA472B" w:rsidRDefault="005F23CA" w:rsidP="004971F0">
            <w:pPr>
              <w:adjustRightInd w:val="0"/>
              <w:spacing w:before="29" w:line="360" w:lineRule="auto"/>
              <w:ind w:left="17"/>
              <w:jc w:val="center"/>
              <w:rPr>
                <w:kern w:val="0"/>
                <w:sz w:val="24"/>
              </w:rPr>
            </w:pPr>
          </w:p>
        </w:tc>
        <w:tc>
          <w:tcPr>
            <w:tcW w:w="2481" w:type="dxa"/>
            <w:vAlign w:val="center"/>
          </w:tcPr>
          <w:p w:rsidR="005F23CA" w:rsidRPr="00FA472B" w:rsidRDefault="005F23CA" w:rsidP="004971F0">
            <w:pPr>
              <w:adjustRightInd w:val="0"/>
              <w:spacing w:before="29" w:line="360" w:lineRule="auto"/>
              <w:ind w:left="17"/>
              <w:jc w:val="center"/>
              <w:rPr>
                <w:color w:val="000000"/>
                <w:sz w:val="24"/>
              </w:rPr>
            </w:pPr>
            <w:r w:rsidRPr="00FA472B">
              <w:rPr>
                <w:sz w:val="24"/>
              </w:rPr>
              <w:t>易方达上证</w:t>
            </w:r>
            <w:r w:rsidRPr="00FA472B">
              <w:rPr>
                <w:sz w:val="24"/>
              </w:rPr>
              <w:t>50</w:t>
            </w:r>
            <w:r w:rsidRPr="00FA472B">
              <w:rPr>
                <w:sz w:val="24"/>
              </w:rPr>
              <w:t>指数</w:t>
            </w:r>
            <w:r w:rsidRPr="00FA472B">
              <w:rPr>
                <w:sz w:val="24"/>
              </w:rPr>
              <w:t>A</w:t>
            </w:r>
          </w:p>
        </w:tc>
        <w:tc>
          <w:tcPr>
            <w:tcW w:w="2481" w:type="dxa"/>
            <w:vAlign w:val="center"/>
          </w:tcPr>
          <w:p w:rsidR="005F23CA" w:rsidRPr="00FA472B" w:rsidRDefault="005F23CA" w:rsidP="004971F0">
            <w:pPr>
              <w:adjustRightInd w:val="0"/>
              <w:spacing w:before="29" w:line="360" w:lineRule="auto"/>
              <w:ind w:left="17"/>
              <w:jc w:val="center"/>
              <w:rPr>
                <w:color w:val="000000"/>
                <w:sz w:val="24"/>
              </w:rPr>
            </w:pPr>
            <w:r w:rsidRPr="00FA472B">
              <w:rPr>
                <w:sz w:val="24"/>
              </w:rPr>
              <w:t>易方达上证</w:t>
            </w:r>
            <w:r w:rsidRPr="00FA472B">
              <w:rPr>
                <w:sz w:val="24"/>
              </w:rPr>
              <w:t>50</w:t>
            </w:r>
            <w:r w:rsidRPr="00FA472B">
              <w:rPr>
                <w:sz w:val="24"/>
              </w:rPr>
              <w:t>指数</w:t>
            </w:r>
            <w:r w:rsidRPr="00FA472B">
              <w:rPr>
                <w:sz w:val="24"/>
              </w:rPr>
              <w:t>C</w:t>
            </w:r>
          </w:p>
        </w:tc>
      </w:tr>
      <w:tr w:rsidR="005F23CA" w:rsidRPr="00FA472B" w:rsidTr="004971F0">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165,861,499.45</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21,348,378.76</w:t>
            </w:r>
          </w:p>
        </w:tc>
      </w:tr>
      <w:tr w:rsidR="005F23CA" w:rsidRPr="00FA472B" w:rsidTr="004971F0">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-1,299,101,489.15</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-247,965,188.63</w:t>
            </w:r>
          </w:p>
        </w:tc>
      </w:tr>
      <w:tr w:rsidR="005F23CA" w:rsidRPr="00FA472B" w:rsidTr="004971F0">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-0.1395</w:t>
            </w:r>
          </w:p>
        </w:tc>
        <w:tc>
          <w:tcPr>
            <w:tcW w:w="2481" w:type="dxa"/>
            <w:vAlign w:val="bottom"/>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-0.1817</w:t>
            </w:r>
          </w:p>
        </w:tc>
      </w:tr>
      <w:tr w:rsidR="005F23CA" w:rsidRPr="00FA472B" w:rsidTr="004971F0">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16,232,758,865.19</w:t>
            </w:r>
          </w:p>
        </w:tc>
        <w:tc>
          <w:tcPr>
            <w:tcW w:w="2481" w:type="dxa"/>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2,362,049,459.32</w:t>
            </w:r>
          </w:p>
        </w:tc>
      </w:tr>
      <w:tr w:rsidR="005F23CA" w:rsidRPr="00FA472B" w:rsidTr="004971F0">
        <w:trPr>
          <w:trHeight w:val="158"/>
        </w:trPr>
        <w:tc>
          <w:tcPr>
            <w:tcW w:w="3402" w:type="dxa"/>
          </w:tcPr>
          <w:p w:rsidR="005F23CA" w:rsidRPr="00FA472B" w:rsidRDefault="005F23CA" w:rsidP="004971F0">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1.6683</w:t>
            </w:r>
          </w:p>
        </w:tc>
        <w:tc>
          <w:tcPr>
            <w:tcW w:w="2481" w:type="dxa"/>
          </w:tcPr>
          <w:p w:rsidR="005F23CA" w:rsidRPr="00FA472B" w:rsidRDefault="005F23CA" w:rsidP="004971F0">
            <w:pPr>
              <w:adjustRightInd w:val="0"/>
              <w:spacing w:before="29" w:line="360" w:lineRule="auto"/>
              <w:ind w:left="17"/>
              <w:jc w:val="right"/>
              <w:rPr>
                <w:color w:val="000000"/>
                <w:sz w:val="24"/>
              </w:rPr>
            </w:pPr>
            <w:r w:rsidRPr="00FA472B">
              <w:rPr>
                <w:color w:val="000000"/>
                <w:sz w:val="24"/>
              </w:rPr>
              <w:t>1.6563</w:t>
            </w:r>
          </w:p>
        </w:tc>
      </w:tr>
    </w:tbl>
    <w:p w:rsidR="001E0B8A" w:rsidRDefault="006764E1">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A62673" w:rsidRPr="00C1648E" w:rsidRDefault="005F23CA" w:rsidP="00C1648E">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3.2 </w:t>
      </w:r>
      <w:r w:rsidRPr="00EC5CE0">
        <w:rPr>
          <w:rFonts w:ascii="宋体" w:hAnsi="宋体" w:cs="Arial" w:hint="eastAsia"/>
          <w:b/>
          <w:color w:val="000000"/>
          <w:kern w:val="0"/>
          <w:sz w:val="24"/>
        </w:rPr>
        <w:t>基金净值表现</w:t>
      </w:r>
    </w:p>
    <w:p w:rsidR="009B2EE9" w:rsidRPr="0078105B" w:rsidRDefault="009B2EE9" w:rsidP="009B2EE9">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9B2EE9" w:rsidRPr="0078105B" w:rsidRDefault="009B2EE9" w:rsidP="009B2EE9">
      <w:pPr>
        <w:spacing w:line="360" w:lineRule="auto"/>
        <w:ind w:firstLineChars="150" w:firstLine="361"/>
        <w:rPr>
          <w:rFonts w:ascii="宋体"/>
          <w:b/>
          <w:sz w:val="24"/>
        </w:rPr>
      </w:pPr>
      <w:r w:rsidRPr="0078105B">
        <w:rPr>
          <w:rFonts w:ascii="宋体" w:hAnsi="宋体" w:cs="Arial"/>
          <w:b/>
          <w:color w:val="000000"/>
          <w:kern w:val="0"/>
          <w:sz w:val="24"/>
        </w:rPr>
        <w:t>易方达上证50指数A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4971F0">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4971F0">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1E0B8A">
        <w:trPr>
          <w:jc w:val="center"/>
        </w:trPr>
        <w:tc>
          <w:tcPr>
            <w:tcW w:w="1290" w:type="dxa"/>
            <w:vAlign w:val="center"/>
          </w:tcPr>
          <w:p w:rsidR="001E0B8A" w:rsidRDefault="006764E1">
            <w:pPr>
              <w:jc w:val="left"/>
            </w:pPr>
            <w:r>
              <w:rPr>
                <w:color w:val="000000"/>
                <w:sz w:val="24"/>
              </w:rPr>
              <w:t>过去三个月</w:t>
            </w:r>
          </w:p>
        </w:tc>
        <w:tc>
          <w:tcPr>
            <w:tcW w:w="1291" w:type="dxa"/>
            <w:vAlign w:val="center"/>
          </w:tcPr>
          <w:p w:rsidR="001E0B8A" w:rsidRDefault="006764E1">
            <w:pPr>
              <w:jc w:val="center"/>
            </w:pPr>
            <w:r>
              <w:rPr>
                <w:color w:val="000000"/>
                <w:sz w:val="24"/>
              </w:rPr>
              <w:t>-7.73%</w:t>
            </w:r>
          </w:p>
        </w:tc>
        <w:tc>
          <w:tcPr>
            <w:tcW w:w="1291" w:type="dxa"/>
            <w:vAlign w:val="center"/>
          </w:tcPr>
          <w:p w:rsidR="001E0B8A" w:rsidRDefault="006764E1">
            <w:pPr>
              <w:jc w:val="center"/>
            </w:pPr>
            <w:r>
              <w:rPr>
                <w:color w:val="000000"/>
                <w:sz w:val="24"/>
              </w:rPr>
              <w:t>1.75%</w:t>
            </w:r>
          </w:p>
        </w:tc>
        <w:tc>
          <w:tcPr>
            <w:tcW w:w="1291" w:type="dxa"/>
            <w:vAlign w:val="center"/>
          </w:tcPr>
          <w:p w:rsidR="001E0B8A" w:rsidRDefault="006764E1">
            <w:pPr>
              <w:jc w:val="center"/>
            </w:pPr>
            <w:r>
              <w:rPr>
                <w:color w:val="000000"/>
                <w:sz w:val="24"/>
              </w:rPr>
              <w:t>-12.20%</w:t>
            </w:r>
          </w:p>
        </w:tc>
        <w:tc>
          <w:tcPr>
            <w:tcW w:w="1291" w:type="dxa"/>
            <w:vAlign w:val="center"/>
          </w:tcPr>
          <w:p w:rsidR="001E0B8A" w:rsidRDefault="006764E1">
            <w:pPr>
              <w:jc w:val="center"/>
            </w:pPr>
            <w:r>
              <w:rPr>
                <w:color w:val="000000"/>
                <w:sz w:val="24"/>
              </w:rPr>
              <w:t>1.81%</w:t>
            </w:r>
          </w:p>
        </w:tc>
        <w:tc>
          <w:tcPr>
            <w:tcW w:w="1291" w:type="dxa"/>
            <w:vAlign w:val="center"/>
          </w:tcPr>
          <w:p w:rsidR="001E0B8A" w:rsidRDefault="006764E1">
            <w:pPr>
              <w:jc w:val="center"/>
            </w:pPr>
            <w:r>
              <w:rPr>
                <w:color w:val="000000"/>
                <w:sz w:val="24"/>
              </w:rPr>
              <w:t>4.47%</w:t>
            </w:r>
          </w:p>
        </w:tc>
        <w:tc>
          <w:tcPr>
            <w:tcW w:w="1291" w:type="dxa"/>
            <w:vAlign w:val="center"/>
          </w:tcPr>
          <w:p w:rsidR="001E0B8A" w:rsidRDefault="006764E1">
            <w:pPr>
              <w:jc w:val="center"/>
            </w:pPr>
            <w:r>
              <w:rPr>
                <w:color w:val="000000"/>
                <w:sz w:val="24"/>
              </w:rPr>
              <w:t>-0.06%</w:t>
            </w:r>
          </w:p>
        </w:tc>
      </w:tr>
    </w:tbl>
    <w:p w:rsidR="009B2EE9" w:rsidRPr="0078105B" w:rsidRDefault="009B2EE9" w:rsidP="009B2EE9">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易方达上证50指数C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4971F0">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4971F0">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4971F0">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4971F0">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4971F0">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1E0B8A">
        <w:trPr>
          <w:jc w:val="center"/>
        </w:trPr>
        <w:tc>
          <w:tcPr>
            <w:tcW w:w="1290" w:type="dxa"/>
            <w:vAlign w:val="center"/>
          </w:tcPr>
          <w:p w:rsidR="001E0B8A" w:rsidRDefault="006764E1">
            <w:pPr>
              <w:jc w:val="left"/>
            </w:pPr>
            <w:r>
              <w:rPr>
                <w:color w:val="000000"/>
                <w:sz w:val="24"/>
              </w:rPr>
              <w:t>过去三个月</w:t>
            </w:r>
          </w:p>
        </w:tc>
        <w:tc>
          <w:tcPr>
            <w:tcW w:w="1291" w:type="dxa"/>
            <w:vAlign w:val="center"/>
          </w:tcPr>
          <w:p w:rsidR="001E0B8A" w:rsidRDefault="006764E1">
            <w:pPr>
              <w:jc w:val="center"/>
            </w:pPr>
            <w:r>
              <w:rPr>
                <w:color w:val="000000"/>
                <w:sz w:val="24"/>
              </w:rPr>
              <w:t>-7.79%</w:t>
            </w:r>
          </w:p>
        </w:tc>
        <w:tc>
          <w:tcPr>
            <w:tcW w:w="1291" w:type="dxa"/>
            <w:vAlign w:val="center"/>
          </w:tcPr>
          <w:p w:rsidR="001E0B8A" w:rsidRDefault="006764E1">
            <w:pPr>
              <w:jc w:val="center"/>
            </w:pPr>
            <w:r>
              <w:rPr>
                <w:color w:val="000000"/>
                <w:sz w:val="24"/>
              </w:rPr>
              <w:t>1.75%</w:t>
            </w:r>
          </w:p>
        </w:tc>
        <w:tc>
          <w:tcPr>
            <w:tcW w:w="1291" w:type="dxa"/>
            <w:vAlign w:val="center"/>
          </w:tcPr>
          <w:p w:rsidR="001E0B8A" w:rsidRDefault="006764E1">
            <w:pPr>
              <w:jc w:val="center"/>
            </w:pPr>
            <w:r>
              <w:rPr>
                <w:color w:val="000000"/>
                <w:sz w:val="24"/>
              </w:rPr>
              <w:t>-12.20%</w:t>
            </w:r>
          </w:p>
        </w:tc>
        <w:tc>
          <w:tcPr>
            <w:tcW w:w="1291" w:type="dxa"/>
            <w:vAlign w:val="center"/>
          </w:tcPr>
          <w:p w:rsidR="001E0B8A" w:rsidRDefault="006764E1">
            <w:pPr>
              <w:jc w:val="center"/>
            </w:pPr>
            <w:r>
              <w:rPr>
                <w:color w:val="000000"/>
                <w:sz w:val="24"/>
              </w:rPr>
              <w:t>1.81%</w:t>
            </w:r>
          </w:p>
        </w:tc>
        <w:tc>
          <w:tcPr>
            <w:tcW w:w="1291" w:type="dxa"/>
            <w:vAlign w:val="center"/>
          </w:tcPr>
          <w:p w:rsidR="001E0B8A" w:rsidRDefault="006764E1">
            <w:pPr>
              <w:jc w:val="center"/>
            </w:pPr>
            <w:r>
              <w:rPr>
                <w:color w:val="000000"/>
                <w:sz w:val="24"/>
              </w:rPr>
              <w:t>4.41%</w:t>
            </w:r>
          </w:p>
        </w:tc>
        <w:tc>
          <w:tcPr>
            <w:tcW w:w="1291" w:type="dxa"/>
            <w:vAlign w:val="center"/>
          </w:tcPr>
          <w:p w:rsidR="001E0B8A" w:rsidRDefault="006764E1">
            <w:pPr>
              <w:jc w:val="center"/>
            </w:pPr>
            <w:r>
              <w:rPr>
                <w:color w:val="000000"/>
                <w:sz w:val="24"/>
              </w:rPr>
              <w:t>-0.06%</w:t>
            </w:r>
          </w:p>
        </w:tc>
      </w:tr>
    </w:tbl>
    <w:p w:rsidR="009B2EE9" w:rsidRPr="0078105B" w:rsidRDefault="009B2EE9" w:rsidP="009B2EE9">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Pr="00370BEA">
        <w:rPr>
          <w:rStyle w:val="af8"/>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9B2EE9" w:rsidRPr="00FA472B" w:rsidRDefault="009B2EE9" w:rsidP="009B2EE9">
      <w:pPr>
        <w:spacing w:line="360" w:lineRule="auto"/>
        <w:jc w:val="center"/>
        <w:rPr>
          <w:color w:val="000000"/>
          <w:sz w:val="24"/>
        </w:rPr>
      </w:pPr>
      <w:r w:rsidRPr="00FA472B">
        <w:rPr>
          <w:color w:val="000000"/>
          <w:sz w:val="24"/>
        </w:rPr>
        <w:t>易方达</w:t>
      </w:r>
      <w:r w:rsidRPr="00FA472B">
        <w:rPr>
          <w:color w:val="000000"/>
          <w:sz w:val="24"/>
        </w:rPr>
        <w:t>50</w:t>
      </w:r>
      <w:r w:rsidRPr="00FA472B">
        <w:rPr>
          <w:color w:val="000000"/>
          <w:sz w:val="24"/>
        </w:rPr>
        <w:t>指数证券投资基金</w:t>
      </w:r>
    </w:p>
    <w:p w:rsidR="00A61166" w:rsidRDefault="009B2EE9" w:rsidP="00A61166">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A61166" w:rsidRDefault="009B2EE9" w:rsidP="00A61166">
      <w:pPr>
        <w:snapToGrid w:val="0"/>
        <w:spacing w:line="360" w:lineRule="auto"/>
        <w:rPr>
          <w:rFonts w:eastAsiaTheme="minorEastAsia" w:hAnsiTheme="minorEastAsia"/>
          <w:color w:val="000000" w:themeColor="text1"/>
          <w:sz w:val="24"/>
        </w:rPr>
      </w:pPr>
      <w:r w:rsidRPr="00611CB2">
        <w:rPr>
          <w:color w:val="000000"/>
          <w:sz w:val="24"/>
        </w:rPr>
        <w:t>易方达上证</w:t>
      </w:r>
      <w:r w:rsidRPr="00611CB2">
        <w:rPr>
          <w:color w:val="000000"/>
          <w:sz w:val="24"/>
        </w:rPr>
        <w:t>50</w:t>
      </w:r>
      <w:r w:rsidRPr="00611CB2">
        <w:rPr>
          <w:color w:val="000000"/>
          <w:sz w:val="24"/>
        </w:rPr>
        <w:t>指数</w:t>
      </w:r>
      <w:r w:rsidRPr="00611CB2">
        <w:rPr>
          <w:color w:val="000000"/>
          <w:sz w:val="24"/>
        </w:rPr>
        <w:t>A</w:t>
      </w:r>
    </w:p>
    <w:p w:rsidR="009B2EE9" w:rsidRPr="00A61166" w:rsidRDefault="00A61166" w:rsidP="00A61166">
      <w:pPr>
        <w:pStyle w:val="a5"/>
        <w:snapToGrid w:val="0"/>
        <w:spacing w:line="360" w:lineRule="auto"/>
        <w:jc w:val="center"/>
        <w:rPr>
          <w:rFonts w:ascii="Times New Roman" w:hAnsi="Times New Roman"/>
          <w:sz w:val="24"/>
          <w:szCs w:val="24"/>
        </w:rPr>
      </w:pPr>
      <w:r w:rsidRPr="00A61166">
        <w:rPr>
          <w:rFonts w:ascii="Times New Roman" w:hAnsi="Times New Roman"/>
          <w:sz w:val="24"/>
          <w:szCs w:val="24"/>
        </w:rPr>
        <w:t>（</w:t>
      </w:r>
      <w:r w:rsidRPr="00A61166">
        <w:rPr>
          <w:rFonts w:ascii="Times New Roman" w:hAnsi="Times New Roman"/>
          <w:sz w:val="24"/>
          <w:szCs w:val="24"/>
        </w:rPr>
        <w:t>2004</w:t>
      </w:r>
      <w:r w:rsidRPr="00A61166">
        <w:rPr>
          <w:rFonts w:ascii="Times New Roman" w:hAnsi="Times New Roman"/>
          <w:sz w:val="24"/>
          <w:szCs w:val="24"/>
        </w:rPr>
        <w:t>年</w:t>
      </w:r>
      <w:r w:rsidRPr="00A61166">
        <w:rPr>
          <w:rFonts w:ascii="Times New Roman" w:hAnsi="Times New Roman"/>
          <w:sz w:val="24"/>
          <w:szCs w:val="24"/>
        </w:rPr>
        <w:t>3</w:t>
      </w:r>
      <w:r w:rsidRPr="00A61166">
        <w:rPr>
          <w:rFonts w:ascii="Times New Roman" w:hAnsi="Times New Roman"/>
          <w:sz w:val="24"/>
          <w:szCs w:val="24"/>
        </w:rPr>
        <w:t>月</w:t>
      </w:r>
      <w:r w:rsidRPr="00A61166">
        <w:rPr>
          <w:rFonts w:ascii="Times New Roman" w:hAnsi="Times New Roman"/>
          <w:sz w:val="24"/>
          <w:szCs w:val="24"/>
        </w:rPr>
        <w:t>22</w:t>
      </w:r>
      <w:r w:rsidRPr="00A61166">
        <w:rPr>
          <w:rFonts w:ascii="Times New Roman" w:hAnsi="Times New Roman"/>
          <w:sz w:val="24"/>
          <w:szCs w:val="24"/>
        </w:rPr>
        <w:t>日至</w:t>
      </w:r>
      <w:r w:rsidRPr="00A61166">
        <w:rPr>
          <w:rFonts w:ascii="Times New Roman" w:hAnsi="Times New Roman"/>
          <w:sz w:val="24"/>
          <w:szCs w:val="24"/>
        </w:rPr>
        <w:t>2020</w:t>
      </w:r>
      <w:r w:rsidRPr="00A61166">
        <w:rPr>
          <w:rFonts w:ascii="Times New Roman" w:hAnsi="Times New Roman"/>
          <w:sz w:val="24"/>
          <w:szCs w:val="24"/>
        </w:rPr>
        <w:t>年</w:t>
      </w:r>
      <w:r w:rsidRPr="00A61166">
        <w:rPr>
          <w:rFonts w:ascii="Times New Roman" w:hAnsi="Times New Roman"/>
          <w:sz w:val="24"/>
          <w:szCs w:val="24"/>
        </w:rPr>
        <w:t>3</w:t>
      </w:r>
      <w:r w:rsidRPr="00A61166">
        <w:rPr>
          <w:rFonts w:ascii="Times New Roman" w:hAnsi="Times New Roman"/>
          <w:sz w:val="24"/>
          <w:szCs w:val="24"/>
        </w:rPr>
        <w:t>月</w:t>
      </w:r>
      <w:r w:rsidRPr="00A61166">
        <w:rPr>
          <w:rFonts w:ascii="Times New Roman" w:hAnsi="Times New Roman"/>
          <w:sz w:val="24"/>
          <w:szCs w:val="24"/>
        </w:rPr>
        <w:t>31</w:t>
      </w:r>
      <w:r w:rsidRPr="00A61166">
        <w:rPr>
          <w:rFonts w:ascii="Times New Roman" w:hAnsi="Times New Roman"/>
          <w:sz w:val="24"/>
          <w:szCs w:val="24"/>
        </w:rPr>
        <w:t>日）</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A61166" w:rsidRDefault="009B2EE9" w:rsidP="00A61166">
      <w:pPr>
        <w:snapToGrid w:val="0"/>
        <w:spacing w:beforeLines="100" w:before="312" w:line="360" w:lineRule="auto"/>
        <w:rPr>
          <w:rFonts w:eastAsiaTheme="minorEastAsia" w:hAnsiTheme="minorEastAsia"/>
          <w:color w:val="000000" w:themeColor="text1"/>
          <w:sz w:val="24"/>
        </w:rPr>
      </w:pPr>
      <w:r w:rsidRPr="00611CB2">
        <w:rPr>
          <w:color w:val="000000"/>
          <w:sz w:val="24"/>
        </w:rPr>
        <w:t>易方达上证</w:t>
      </w:r>
      <w:r w:rsidRPr="00611CB2">
        <w:rPr>
          <w:color w:val="000000"/>
          <w:sz w:val="24"/>
        </w:rPr>
        <w:t>50</w:t>
      </w:r>
      <w:r w:rsidRPr="00611CB2">
        <w:rPr>
          <w:color w:val="000000"/>
          <w:sz w:val="24"/>
        </w:rPr>
        <w:t>指数</w:t>
      </w:r>
      <w:r w:rsidRPr="00611CB2">
        <w:rPr>
          <w:color w:val="000000"/>
          <w:sz w:val="24"/>
        </w:rPr>
        <w:t>C</w:t>
      </w:r>
    </w:p>
    <w:p w:rsidR="009B2EE9" w:rsidRPr="00A61166" w:rsidRDefault="00A61166" w:rsidP="00A61166">
      <w:pPr>
        <w:pStyle w:val="a5"/>
        <w:snapToGrid w:val="0"/>
        <w:spacing w:line="360" w:lineRule="auto"/>
        <w:jc w:val="center"/>
        <w:rPr>
          <w:rFonts w:ascii="Times New Roman" w:hAnsi="Times New Roman"/>
          <w:sz w:val="24"/>
          <w:szCs w:val="24"/>
        </w:rPr>
      </w:pPr>
      <w:r w:rsidRPr="00A61166">
        <w:rPr>
          <w:rFonts w:ascii="Times New Roman" w:hAnsi="Times New Roman"/>
          <w:sz w:val="24"/>
          <w:szCs w:val="24"/>
        </w:rPr>
        <w:t>（</w:t>
      </w:r>
      <w:r w:rsidRPr="00A61166">
        <w:rPr>
          <w:rFonts w:ascii="Times New Roman" w:hAnsi="Times New Roman"/>
          <w:sz w:val="24"/>
          <w:szCs w:val="24"/>
        </w:rPr>
        <w:t>2017</w:t>
      </w:r>
      <w:r w:rsidRPr="00A61166">
        <w:rPr>
          <w:rFonts w:ascii="Times New Roman" w:hAnsi="Times New Roman"/>
          <w:sz w:val="24"/>
          <w:szCs w:val="24"/>
        </w:rPr>
        <w:t>年</w:t>
      </w:r>
      <w:r w:rsidRPr="00A61166">
        <w:rPr>
          <w:rFonts w:ascii="Times New Roman" w:hAnsi="Times New Roman"/>
          <w:sz w:val="24"/>
          <w:szCs w:val="24"/>
        </w:rPr>
        <w:t>6</w:t>
      </w:r>
      <w:r w:rsidRPr="00A61166">
        <w:rPr>
          <w:rFonts w:ascii="Times New Roman" w:hAnsi="Times New Roman"/>
          <w:sz w:val="24"/>
          <w:szCs w:val="24"/>
        </w:rPr>
        <w:t>月</w:t>
      </w:r>
      <w:r w:rsidRPr="00A61166">
        <w:rPr>
          <w:rFonts w:ascii="Times New Roman" w:hAnsi="Times New Roman"/>
          <w:sz w:val="24"/>
          <w:szCs w:val="24"/>
        </w:rPr>
        <w:t>7</w:t>
      </w:r>
      <w:r w:rsidRPr="00A61166">
        <w:rPr>
          <w:rFonts w:ascii="Times New Roman" w:hAnsi="Times New Roman"/>
          <w:sz w:val="24"/>
          <w:szCs w:val="24"/>
        </w:rPr>
        <w:t>日至</w:t>
      </w:r>
      <w:r w:rsidRPr="00A61166">
        <w:rPr>
          <w:rFonts w:ascii="Times New Roman" w:hAnsi="Times New Roman"/>
          <w:sz w:val="24"/>
          <w:szCs w:val="24"/>
        </w:rPr>
        <w:t>2020</w:t>
      </w:r>
      <w:r w:rsidRPr="00A61166">
        <w:rPr>
          <w:rFonts w:ascii="Times New Roman" w:hAnsi="Times New Roman"/>
          <w:sz w:val="24"/>
          <w:szCs w:val="24"/>
        </w:rPr>
        <w:t>年</w:t>
      </w:r>
      <w:r w:rsidRPr="00A61166">
        <w:rPr>
          <w:rFonts w:ascii="Times New Roman" w:hAnsi="Times New Roman"/>
          <w:sz w:val="24"/>
          <w:szCs w:val="24"/>
        </w:rPr>
        <w:t>3</w:t>
      </w:r>
      <w:r w:rsidRPr="00A61166">
        <w:rPr>
          <w:rFonts w:ascii="Times New Roman" w:hAnsi="Times New Roman"/>
          <w:sz w:val="24"/>
          <w:szCs w:val="24"/>
        </w:rPr>
        <w:t>月</w:t>
      </w:r>
      <w:r w:rsidRPr="00A61166">
        <w:rPr>
          <w:rFonts w:ascii="Times New Roman" w:hAnsi="Times New Roman"/>
          <w:sz w:val="24"/>
          <w:szCs w:val="24"/>
        </w:rPr>
        <w:t>31</w:t>
      </w:r>
      <w:r w:rsidRPr="00A61166">
        <w:rPr>
          <w:rFonts w:ascii="Times New Roman" w:hAnsi="Times New Roman"/>
          <w:sz w:val="24"/>
          <w:szCs w:val="24"/>
        </w:rPr>
        <w:t>日）</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1E0B8A" w:rsidRDefault="006764E1">
      <w:pPr>
        <w:spacing w:line="360" w:lineRule="auto"/>
        <w:ind w:firstLineChars="200" w:firstLine="480"/>
        <w:rPr>
          <w:rFonts w:hAnsi="宋体"/>
          <w:color w:val="000000"/>
          <w:sz w:val="24"/>
        </w:rPr>
      </w:pPr>
      <w:r>
        <w:rPr>
          <w:color w:val="000000"/>
          <w:sz w:val="24"/>
        </w:rPr>
        <w:t>注：</w:t>
      </w:r>
      <w:r>
        <w:rPr>
          <w:color w:val="000000"/>
          <w:sz w:val="24"/>
        </w:rPr>
        <w:t>1.</w:t>
      </w:r>
      <w:r>
        <w:rPr>
          <w:color w:val="000000"/>
          <w:sz w:val="24"/>
        </w:rPr>
        <w:t>自</w:t>
      </w:r>
      <w:r>
        <w:rPr>
          <w:color w:val="000000"/>
          <w:sz w:val="24"/>
        </w:rPr>
        <w:t>2017</w:t>
      </w:r>
      <w:r>
        <w:rPr>
          <w:color w:val="000000"/>
          <w:sz w:val="24"/>
        </w:rPr>
        <w:t>年</w:t>
      </w:r>
      <w:r>
        <w:rPr>
          <w:color w:val="000000"/>
          <w:sz w:val="24"/>
        </w:rPr>
        <w:t>6</w:t>
      </w:r>
      <w:r>
        <w:rPr>
          <w:color w:val="000000"/>
          <w:sz w:val="24"/>
        </w:rPr>
        <w:t>月</w:t>
      </w:r>
      <w:r>
        <w:rPr>
          <w:color w:val="000000"/>
          <w:sz w:val="24"/>
        </w:rPr>
        <w:t>6</w:t>
      </w:r>
      <w:r>
        <w:rPr>
          <w:color w:val="000000"/>
          <w:sz w:val="24"/>
        </w:rPr>
        <w:t>日起，本基金增设</w:t>
      </w:r>
      <w:r>
        <w:rPr>
          <w:color w:val="000000"/>
          <w:sz w:val="24"/>
        </w:rPr>
        <w:t>C</w:t>
      </w:r>
      <w:r>
        <w:rPr>
          <w:color w:val="000000"/>
          <w:sz w:val="24"/>
        </w:rPr>
        <w:t>类份额类别，份额首次确认日为</w:t>
      </w:r>
      <w:r>
        <w:rPr>
          <w:color w:val="000000"/>
          <w:sz w:val="24"/>
        </w:rPr>
        <w:t>2017</w:t>
      </w:r>
      <w:r>
        <w:rPr>
          <w:color w:val="000000"/>
          <w:sz w:val="24"/>
        </w:rPr>
        <w:t>年</w:t>
      </w:r>
      <w:r>
        <w:rPr>
          <w:color w:val="000000"/>
          <w:sz w:val="24"/>
        </w:rPr>
        <w:t>6</w:t>
      </w:r>
      <w:r>
        <w:rPr>
          <w:color w:val="000000"/>
          <w:sz w:val="24"/>
        </w:rPr>
        <w:t>月</w:t>
      </w:r>
      <w:r>
        <w:rPr>
          <w:color w:val="000000"/>
          <w:sz w:val="24"/>
        </w:rPr>
        <w:t>7</w:t>
      </w:r>
      <w:r>
        <w:rPr>
          <w:color w:val="000000"/>
          <w:sz w:val="24"/>
        </w:rPr>
        <w:t>日，增设当期的相关数据和指标按实际存续期计算。</w:t>
      </w:r>
    </w:p>
    <w:p w:rsidR="00A62673" w:rsidRPr="00EC5CE0" w:rsidRDefault="009B2EE9" w:rsidP="009B2EE9">
      <w:pPr>
        <w:spacing w:line="360" w:lineRule="auto"/>
        <w:ind w:firstLineChars="200" w:firstLine="480"/>
        <w:rPr>
          <w:rFonts w:hAnsi="宋体"/>
          <w:color w:val="000000"/>
          <w:sz w:val="24"/>
        </w:rPr>
      </w:pPr>
      <w:r w:rsidRPr="00DF18FE">
        <w:rPr>
          <w:color w:val="000000"/>
          <w:sz w:val="24"/>
        </w:rPr>
        <w:t>2.</w:t>
      </w:r>
      <w:r w:rsidRPr="00DF18FE">
        <w:rPr>
          <w:color w:val="000000"/>
          <w:sz w:val="24"/>
        </w:rPr>
        <w:t>自基金合同生效至报告期末，</w:t>
      </w:r>
      <w:r w:rsidRPr="00DF18FE">
        <w:rPr>
          <w:color w:val="000000"/>
          <w:sz w:val="24"/>
        </w:rPr>
        <w:t>A</w:t>
      </w:r>
      <w:r w:rsidRPr="00DF18FE">
        <w:rPr>
          <w:color w:val="000000"/>
          <w:sz w:val="24"/>
        </w:rPr>
        <w:t>类基金份额净值增长率为</w:t>
      </w:r>
      <w:r w:rsidRPr="00DF18FE">
        <w:rPr>
          <w:color w:val="000000"/>
          <w:sz w:val="24"/>
        </w:rPr>
        <w:t>418.32%</w:t>
      </w:r>
      <w:r w:rsidRPr="00DF18FE">
        <w:rPr>
          <w:color w:val="000000"/>
          <w:sz w:val="24"/>
        </w:rPr>
        <w:t>，同期业绩比较基准收益率为</w:t>
      </w:r>
      <w:r w:rsidRPr="00DF18FE">
        <w:rPr>
          <w:color w:val="000000"/>
          <w:sz w:val="24"/>
        </w:rPr>
        <w:t>150.94%</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47.83%</w:t>
      </w:r>
      <w:r w:rsidRPr="00DF18FE">
        <w:rPr>
          <w:color w:val="000000"/>
          <w:sz w:val="24"/>
        </w:rPr>
        <w:t>，同期业绩比较基准收益率为</w:t>
      </w:r>
      <w:r w:rsidRPr="00DF18FE">
        <w:rPr>
          <w:color w:val="000000"/>
          <w:sz w:val="24"/>
        </w:rPr>
        <w:t>9.06%</w:t>
      </w:r>
      <w:r w:rsidRPr="00DF18FE">
        <w:rPr>
          <w:color w:val="000000"/>
          <w:sz w:val="24"/>
        </w:rPr>
        <w:t>。</w:t>
      </w:r>
    </w:p>
    <w:p w:rsidR="00A62673" w:rsidRPr="00C1648E" w:rsidRDefault="00A62673" w:rsidP="006C1D5C">
      <w:pPr>
        <w:tabs>
          <w:tab w:val="left" w:pos="1800"/>
        </w:tabs>
        <w:spacing w:line="288" w:lineRule="auto"/>
        <w:rPr>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4  </w:t>
      </w:r>
      <w:r w:rsidRPr="00EC5CE0">
        <w:rPr>
          <w:rFonts w:ascii="宋体" w:hAnsi="宋体" w:cs="Arial" w:hint="eastAsia"/>
          <w:color w:val="000000"/>
          <w:kern w:val="0"/>
          <w:sz w:val="24"/>
          <w:szCs w:val="24"/>
        </w:rPr>
        <w:t>管理人报告</w:t>
      </w:r>
    </w:p>
    <w:p w:rsidR="007467A8" w:rsidRPr="0078105B" w:rsidRDefault="00A62673" w:rsidP="007467A8">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4.1 </w:t>
      </w:r>
      <w:r w:rsidRPr="00EC5CE0">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7467A8" w:rsidRPr="0078105B" w:rsidTr="002C4578">
        <w:trPr>
          <w:cantSplit/>
        </w:trPr>
        <w:tc>
          <w:tcPr>
            <w:tcW w:w="56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7467A8" w:rsidRPr="0078105B" w:rsidTr="002C4578">
        <w:trPr>
          <w:cantSplit/>
        </w:trPr>
        <w:tc>
          <w:tcPr>
            <w:tcW w:w="56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835" w:type="dxa"/>
            <w:vMerge/>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851"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97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r>
      <w:tr w:rsidR="001E0B8A">
        <w:tc>
          <w:tcPr>
            <w:tcW w:w="567" w:type="dxa"/>
            <w:vAlign w:val="center"/>
          </w:tcPr>
          <w:p w:rsidR="001E0B8A" w:rsidRDefault="006764E1">
            <w:pPr>
              <w:jc w:val="center"/>
            </w:pPr>
            <w:r>
              <w:rPr>
                <w:color w:val="000000"/>
                <w:sz w:val="24"/>
              </w:rPr>
              <w:t>张胜记</w:t>
            </w:r>
          </w:p>
        </w:tc>
        <w:tc>
          <w:tcPr>
            <w:tcW w:w="2835" w:type="dxa"/>
            <w:vAlign w:val="center"/>
          </w:tcPr>
          <w:p w:rsidR="001E0B8A" w:rsidRDefault="006764E1">
            <w:pPr>
              <w:jc w:val="left"/>
            </w:pPr>
            <w:r>
              <w:rPr>
                <w:color w:val="000000"/>
                <w:sz w:val="24"/>
              </w:rPr>
              <w:t>本基金的基金经理、易方达恒生中国企业交易型开放式指数证券投资基金的基金经理（自</w:t>
            </w:r>
            <w:r>
              <w:rPr>
                <w:color w:val="000000"/>
                <w:sz w:val="24"/>
              </w:rPr>
              <w:t>2012</w:t>
            </w:r>
            <w:r>
              <w:rPr>
                <w:color w:val="000000"/>
                <w:sz w:val="24"/>
              </w:rPr>
              <w:t>年</w:t>
            </w:r>
            <w:r>
              <w:rPr>
                <w:color w:val="000000"/>
                <w:sz w:val="24"/>
              </w:rPr>
              <w:t>08</w:t>
            </w:r>
            <w:r>
              <w:rPr>
                <w:color w:val="000000"/>
                <w:sz w:val="24"/>
              </w:rPr>
              <w:t>月</w:t>
            </w:r>
            <w:r>
              <w:rPr>
                <w:color w:val="000000"/>
                <w:sz w:val="24"/>
              </w:rPr>
              <w:t>09</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日）、易方达恒生中国企业交易型开放式指数证券投资基金联接基金的基金经理（自</w:t>
            </w:r>
            <w:r>
              <w:rPr>
                <w:color w:val="000000"/>
                <w:sz w:val="24"/>
              </w:rPr>
              <w:t>2012</w:t>
            </w:r>
            <w:r>
              <w:rPr>
                <w:color w:val="000000"/>
                <w:sz w:val="24"/>
              </w:rPr>
              <w:t>年</w:t>
            </w:r>
            <w:r>
              <w:rPr>
                <w:color w:val="000000"/>
                <w:sz w:val="24"/>
              </w:rPr>
              <w:t>08</w:t>
            </w:r>
            <w:r>
              <w:rPr>
                <w:color w:val="000000"/>
                <w:sz w:val="24"/>
              </w:rPr>
              <w:t>月</w:t>
            </w:r>
            <w:r>
              <w:rPr>
                <w:color w:val="000000"/>
                <w:sz w:val="24"/>
              </w:rPr>
              <w:t>21</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日）、易方达标普全球高端消费品指数增强型证券投资基金的基金经理、易方达香港恒生综合小型股指数证券投资基金（</w:t>
            </w:r>
            <w:r>
              <w:rPr>
                <w:color w:val="000000"/>
                <w:sz w:val="24"/>
              </w:rPr>
              <w:t>LOF</w:t>
            </w:r>
            <w:r>
              <w:rPr>
                <w:color w:val="000000"/>
                <w:sz w:val="24"/>
              </w:rPr>
              <w:t>）的基金经理（自</w:t>
            </w:r>
            <w:r>
              <w:rPr>
                <w:color w:val="000000"/>
                <w:sz w:val="24"/>
              </w:rPr>
              <w:t>2016</w:t>
            </w:r>
            <w:r>
              <w:rPr>
                <w:color w:val="000000"/>
                <w:sz w:val="24"/>
              </w:rPr>
              <w:t>年</w:t>
            </w:r>
            <w:r>
              <w:rPr>
                <w:color w:val="000000"/>
                <w:sz w:val="24"/>
              </w:rPr>
              <w:t>11</w:t>
            </w:r>
            <w:r>
              <w:rPr>
                <w:color w:val="000000"/>
                <w:sz w:val="24"/>
              </w:rPr>
              <w:t>月</w:t>
            </w:r>
            <w:r>
              <w:rPr>
                <w:color w:val="000000"/>
                <w:sz w:val="24"/>
              </w:rPr>
              <w:t>02</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日）、易方达原油证券投资基金（</w:t>
            </w:r>
            <w:r>
              <w:rPr>
                <w:color w:val="000000"/>
                <w:sz w:val="24"/>
              </w:rPr>
              <w:t>QDII</w:t>
            </w:r>
            <w:r>
              <w:rPr>
                <w:color w:val="000000"/>
                <w:sz w:val="24"/>
              </w:rPr>
              <w:t>）的基金经理（自</w:t>
            </w:r>
            <w:r>
              <w:rPr>
                <w:color w:val="000000"/>
                <w:sz w:val="24"/>
              </w:rPr>
              <w:t>2016</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17</w:t>
            </w:r>
            <w:r>
              <w:rPr>
                <w:color w:val="000000"/>
                <w:sz w:val="24"/>
              </w:rPr>
              <w:t>日）、指数增强投资部联席总经理</w:t>
            </w:r>
          </w:p>
        </w:tc>
        <w:tc>
          <w:tcPr>
            <w:tcW w:w="851" w:type="dxa"/>
            <w:vAlign w:val="center"/>
          </w:tcPr>
          <w:p w:rsidR="001E0B8A" w:rsidRDefault="006764E1">
            <w:pPr>
              <w:jc w:val="center"/>
            </w:pPr>
            <w:r>
              <w:rPr>
                <w:color w:val="000000"/>
                <w:sz w:val="24"/>
              </w:rPr>
              <w:t>2012-09-28</w:t>
            </w:r>
          </w:p>
        </w:tc>
        <w:tc>
          <w:tcPr>
            <w:tcW w:w="850" w:type="dxa"/>
            <w:vAlign w:val="center"/>
          </w:tcPr>
          <w:p w:rsidR="001E0B8A" w:rsidRDefault="006764E1">
            <w:pPr>
              <w:jc w:val="center"/>
            </w:pPr>
            <w:r>
              <w:rPr>
                <w:color w:val="000000"/>
                <w:sz w:val="24"/>
              </w:rPr>
              <w:t>-</w:t>
            </w:r>
          </w:p>
        </w:tc>
        <w:tc>
          <w:tcPr>
            <w:tcW w:w="851" w:type="dxa"/>
            <w:vAlign w:val="center"/>
          </w:tcPr>
          <w:p w:rsidR="001E0B8A" w:rsidRDefault="006764E1">
            <w:pPr>
              <w:jc w:val="center"/>
            </w:pPr>
            <w:r>
              <w:rPr>
                <w:color w:val="000000"/>
                <w:sz w:val="24"/>
              </w:rPr>
              <w:t>15</w:t>
            </w:r>
            <w:r>
              <w:rPr>
                <w:color w:val="000000"/>
                <w:sz w:val="24"/>
              </w:rPr>
              <w:t>年</w:t>
            </w:r>
          </w:p>
        </w:tc>
        <w:tc>
          <w:tcPr>
            <w:tcW w:w="2977" w:type="dxa"/>
            <w:vAlign w:val="center"/>
          </w:tcPr>
          <w:p w:rsidR="001E0B8A" w:rsidRDefault="006764E1">
            <w:r>
              <w:rPr>
                <w:color w:val="000000"/>
                <w:sz w:val="24"/>
              </w:rPr>
              <w:t>硕士研究生，具有基金从业资格。曾任易方达基金管理有限公司投资经理助理、基金经理助理、行业研究员、指数与量化投资部总经理助理、指数与量化投资部副总经理、指数及增强投资部副总经理、指数投资部总经理、易方达沪深</w:t>
            </w:r>
            <w:r>
              <w:rPr>
                <w:color w:val="000000"/>
                <w:sz w:val="24"/>
              </w:rPr>
              <w:t>300</w:t>
            </w:r>
            <w:r>
              <w:rPr>
                <w:color w:val="000000"/>
                <w:sz w:val="24"/>
              </w:rPr>
              <w:t>交易型开放式指数发起式证券投资基金联接基金（原易方达沪深</w:t>
            </w:r>
            <w:r>
              <w:rPr>
                <w:color w:val="000000"/>
                <w:sz w:val="24"/>
              </w:rPr>
              <w:t>300</w:t>
            </w:r>
            <w:r>
              <w:rPr>
                <w:color w:val="000000"/>
                <w:sz w:val="24"/>
              </w:rPr>
              <w:t>指数证券投资基金）基金经理、易方达上证中盘交易型开放式指数证券投资基金基金经理、易方达上证中盘交易型开放式指数证券投资基金联接基金基金经理、易方达标普医疗保健指数证券投资基金（</w:t>
            </w:r>
            <w:r>
              <w:rPr>
                <w:color w:val="000000"/>
                <w:sz w:val="24"/>
              </w:rPr>
              <w:t>LOF</w:t>
            </w:r>
            <w:r>
              <w:rPr>
                <w:color w:val="000000"/>
                <w:sz w:val="24"/>
              </w:rPr>
              <w:t>）基金经理、易方达标普</w:t>
            </w:r>
            <w:r>
              <w:rPr>
                <w:color w:val="000000"/>
                <w:sz w:val="24"/>
              </w:rPr>
              <w:t>500</w:t>
            </w:r>
            <w:r>
              <w:rPr>
                <w:color w:val="000000"/>
                <w:sz w:val="24"/>
              </w:rPr>
              <w:t>指数证券投资基金（</w:t>
            </w:r>
            <w:r>
              <w:rPr>
                <w:color w:val="000000"/>
                <w:sz w:val="24"/>
              </w:rPr>
              <w:t>LOF</w:t>
            </w:r>
            <w:r>
              <w:rPr>
                <w:color w:val="000000"/>
                <w:sz w:val="24"/>
              </w:rPr>
              <w:t>）基金经理、易方达标普生物科技指数证券投资基金（</w:t>
            </w:r>
            <w:r>
              <w:rPr>
                <w:color w:val="000000"/>
                <w:sz w:val="24"/>
              </w:rPr>
              <w:t>LOF</w:t>
            </w:r>
            <w:r>
              <w:rPr>
                <w:color w:val="000000"/>
                <w:sz w:val="24"/>
              </w:rPr>
              <w:t>）基金经理、易方达标普信息科技指数证券投资基金（</w:t>
            </w:r>
            <w:r>
              <w:rPr>
                <w:color w:val="000000"/>
                <w:sz w:val="24"/>
              </w:rPr>
              <w:t>LOF</w:t>
            </w:r>
            <w:r>
              <w:rPr>
                <w:color w:val="000000"/>
                <w:sz w:val="24"/>
              </w:rPr>
              <w:t>）基金经理。</w:t>
            </w:r>
          </w:p>
        </w:tc>
      </w:tr>
    </w:tbl>
    <w:p w:rsidR="001E0B8A" w:rsidRDefault="006764E1">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560F37" w:rsidRPr="00232B03" w:rsidRDefault="007467A8" w:rsidP="007467A8">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A62673" w:rsidRPr="00EC5CE0" w:rsidRDefault="00A62673" w:rsidP="00560F37">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4.2</w:t>
      </w:r>
      <w:r w:rsidRPr="00EC5CE0">
        <w:rPr>
          <w:rFonts w:ascii="宋体" w:hAnsi="宋体" w:hint="eastAsia"/>
          <w:b/>
          <w:bCs/>
          <w:color w:val="000000"/>
          <w:sz w:val="24"/>
        </w:rPr>
        <w:t>管理人对报告期内本基金运作遵规守信情况的说明</w:t>
      </w:r>
    </w:p>
    <w:p w:rsidR="00A62673" w:rsidRPr="00C1648E" w:rsidRDefault="00A62673" w:rsidP="00C1648E">
      <w:pPr>
        <w:spacing w:line="360" w:lineRule="auto"/>
        <w:ind w:firstLineChars="200" w:firstLine="480"/>
        <w:rPr>
          <w:color w:val="000000"/>
          <w:sz w:val="24"/>
        </w:rPr>
      </w:pPr>
      <w:r w:rsidRPr="00DC315B">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4.3 </w:t>
      </w:r>
      <w:r w:rsidRPr="00EC5CE0">
        <w:rPr>
          <w:rFonts w:ascii="宋体" w:hAnsi="宋体" w:cs="Arial" w:hint="eastAsia"/>
          <w:b/>
          <w:color w:val="000000"/>
          <w:kern w:val="0"/>
          <w:sz w:val="24"/>
        </w:rPr>
        <w:t>公平交易专项说明</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4.3.1</w:t>
        </w:r>
      </w:smartTag>
      <w:r w:rsidRPr="00EC5CE0">
        <w:rPr>
          <w:rFonts w:ascii="宋体" w:hAnsi="宋体" w:hint="eastAsia"/>
          <w:sz w:val="24"/>
        </w:rPr>
        <w:t>公平交易制度的执行情况</w:t>
      </w:r>
    </w:p>
    <w:p w:rsidR="00A62673" w:rsidRPr="00DC315B" w:rsidRDefault="00A62673" w:rsidP="005A2769">
      <w:pPr>
        <w:spacing w:line="360" w:lineRule="auto"/>
        <w:ind w:firstLineChars="200" w:firstLine="480"/>
        <w:rPr>
          <w:color w:val="000000"/>
          <w:sz w:val="24"/>
        </w:rPr>
      </w:pPr>
      <w:r w:rsidRPr="00DC315B">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C315B">
        <w:rPr>
          <w:color w:val="000000"/>
          <w:sz w:val="24"/>
        </w:rPr>
        <w:t>“</w:t>
      </w:r>
      <w:r w:rsidRPr="00DC315B">
        <w:rPr>
          <w:color w:val="000000"/>
          <w:sz w:val="24"/>
        </w:rPr>
        <w:t>时间优先、价格优先</w:t>
      </w:r>
      <w:r w:rsidRPr="00DC315B">
        <w:rPr>
          <w:color w:val="000000"/>
          <w:sz w:val="24"/>
        </w:rPr>
        <w:t>”</w:t>
      </w:r>
      <w:r w:rsidRPr="00DC315B">
        <w:rPr>
          <w:color w:val="000000"/>
          <w:sz w:val="24"/>
        </w:rPr>
        <w:t>作为执行指令的基本原则，通过投资交易系统中的公平交易模块，以尽可能确保公平对待各投资组合。本报告期内，公平交易制度总体执行情况良好。</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4.3.2</w:t>
        </w:r>
      </w:smartTag>
      <w:r w:rsidRPr="00EC5CE0">
        <w:rPr>
          <w:rFonts w:ascii="宋体" w:hAnsi="宋体" w:hint="eastAsia"/>
          <w:sz w:val="24"/>
        </w:rPr>
        <w:t>异常交易行为的专项说明</w:t>
      </w:r>
    </w:p>
    <w:p w:rsidR="001E0B8A" w:rsidRDefault="006764E1">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A62673" w:rsidRPr="00C1648E" w:rsidRDefault="00A62673" w:rsidP="00C1648E">
      <w:pPr>
        <w:spacing w:line="360" w:lineRule="auto"/>
        <w:ind w:firstLineChars="200" w:firstLine="480"/>
        <w:rPr>
          <w:color w:val="000000"/>
          <w:sz w:val="24"/>
        </w:rPr>
      </w:pPr>
      <w:r w:rsidRPr="00DC315B">
        <w:rPr>
          <w:color w:val="000000"/>
          <w:sz w:val="24"/>
        </w:rPr>
        <w:t>本报告期内，未发现本基金有可能导致不公平交易和利益输送的异常交易。</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4.4 </w:t>
      </w:r>
      <w:r w:rsidRPr="00EC5CE0">
        <w:rPr>
          <w:rFonts w:ascii="宋体" w:hAnsi="宋体" w:cs="Arial" w:hint="eastAsia"/>
          <w:b/>
          <w:color w:val="000000"/>
          <w:kern w:val="0"/>
          <w:sz w:val="24"/>
        </w:rPr>
        <w:t>报告期内基金的投资策略和业绩表现说明</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4.4.1</w:t>
        </w:r>
      </w:smartTag>
      <w:r w:rsidRPr="00EC5CE0">
        <w:rPr>
          <w:rFonts w:ascii="宋体" w:hAnsi="宋体" w:hint="eastAsia"/>
          <w:sz w:val="24"/>
        </w:rPr>
        <w:t>报告期内基金投资策略和运作分析</w:t>
      </w:r>
    </w:p>
    <w:p w:rsidR="001E0B8A" w:rsidRDefault="006764E1">
      <w:pPr>
        <w:spacing w:line="360" w:lineRule="auto"/>
        <w:ind w:firstLineChars="200" w:firstLine="480"/>
        <w:rPr>
          <w:color w:val="000000"/>
          <w:sz w:val="24"/>
        </w:rPr>
      </w:pPr>
      <w:r>
        <w:rPr>
          <w:color w:val="000000"/>
          <w:sz w:val="24"/>
        </w:rPr>
        <w:t>2020</w:t>
      </w:r>
      <w:r>
        <w:rPr>
          <w:color w:val="000000"/>
          <w:sz w:val="24"/>
        </w:rPr>
        <w:t>年第一季度，新冠肺炎疫情爆发，疫情防治需要大范围的经济活动暂停，国内经济的复苏势头被中断。国外也陆续进入疫情爆发阶段，经济陷入阶段性衰退，全球股市大幅回调。</w:t>
      </w:r>
      <w:r>
        <w:rPr>
          <w:color w:val="000000"/>
          <w:sz w:val="24"/>
        </w:rPr>
        <w:t>1-2</w:t>
      </w:r>
      <w:r>
        <w:rPr>
          <w:color w:val="000000"/>
          <w:sz w:val="24"/>
        </w:rPr>
        <w:t>月全国规模以上工业增加值同比下降</w:t>
      </w:r>
      <w:r>
        <w:rPr>
          <w:color w:val="000000"/>
          <w:sz w:val="24"/>
        </w:rPr>
        <w:t>13.5%</w:t>
      </w:r>
      <w:r>
        <w:rPr>
          <w:color w:val="000000"/>
          <w:sz w:val="24"/>
        </w:rPr>
        <w:t>，全国固定资产投资同比下降</w:t>
      </w:r>
      <w:r>
        <w:rPr>
          <w:color w:val="000000"/>
          <w:sz w:val="24"/>
        </w:rPr>
        <w:t>24.5%</w:t>
      </w:r>
      <w:r>
        <w:rPr>
          <w:color w:val="000000"/>
          <w:sz w:val="24"/>
        </w:rPr>
        <w:t>，房地产开发投资同比下降</w:t>
      </w:r>
      <w:r>
        <w:rPr>
          <w:color w:val="000000"/>
          <w:sz w:val="24"/>
        </w:rPr>
        <w:t>16.3%</w:t>
      </w:r>
      <w:r>
        <w:rPr>
          <w:color w:val="000000"/>
          <w:sz w:val="24"/>
        </w:rPr>
        <w:t>。社会消费品零售总额同比名义下降</w:t>
      </w:r>
      <w:r>
        <w:rPr>
          <w:color w:val="000000"/>
          <w:sz w:val="24"/>
        </w:rPr>
        <w:t>20.5%</w:t>
      </w:r>
      <w:r>
        <w:rPr>
          <w:color w:val="000000"/>
          <w:sz w:val="24"/>
        </w:rPr>
        <w:t>，汽车、房地产销售都大幅下滑，前两个月全国住宅累计销售面积同比下降</w:t>
      </w:r>
      <w:r>
        <w:rPr>
          <w:color w:val="000000"/>
          <w:sz w:val="24"/>
        </w:rPr>
        <w:t>39.2%</w:t>
      </w:r>
      <w:r>
        <w:rPr>
          <w:color w:val="000000"/>
          <w:sz w:val="24"/>
        </w:rPr>
        <w:t>。在猪肉等食品价格上涨的带动下国内的通胀快速回升，</w:t>
      </w:r>
      <w:r>
        <w:rPr>
          <w:color w:val="000000"/>
          <w:sz w:val="24"/>
        </w:rPr>
        <w:t>2</w:t>
      </w:r>
      <w:r>
        <w:rPr>
          <w:color w:val="000000"/>
          <w:sz w:val="24"/>
        </w:rPr>
        <w:t>月份居民消费价格指数（</w:t>
      </w:r>
      <w:r>
        <w:rPr>
          <w:color w:val="000000"/>
          <w:sz w:val="24"/>
        </w:rPr>
        <w:t>CPI</w:t>
      </w:r>
      <w:r>
        <w:rPr>
          <w:color w:val="000000"/>
          <w:sz w:val="24"/>
        </w:rPr>
        <w:t>）同比上涨</w:t>
      </w:r>
      <w:r>
        <w:rPr>
          <w:color w:val="000000"/>
          <w:sz w:val="24"/>
        </w:rPr>
        <w:t>5.2%</w:t>
      </w:r>
      <w:r>
        <w:rPr>
          <w:color w:val="000000"/>
          <w:sz w:val="24"/>
        </w:rPr>
        <w:t>，工业生产者出厂价格指数（</w:t>
      </w:r>
      <w:r>
        <w:rPr>
          <w:color w:val="000000"/>
          <w:sz w:val="24"/>
        </w:rPr>
        <w:t>PPI</w:t>
      </w:r>
      <w:r>
        <w:rPr>
          <w:color w:val="000000"/>
          <w:sz w:val="24"/>
        </w:rPr>
        <w:t>）同比下降</w:t>
      </w:r>
      <w:r>
        <w:rPr>
          <w:color w:val="000000"/>
          <w:sz w:val="24"/>
        </w:rPr>
        <w:t>0.4%</w:t>
      </w:r>
      <w:r>
        <w:rPr>
          <w:color w:val="000000"/>
          <w:sz w:val="24"/>
        </w:rPr>
        <w:t>。报告期内，美联储连续两次启动非常规降息，联邦基准利率降至零附近，美国股市大幅下跌。我国货币政策保持宽松，央行降低银行存款准备金率，</w:t>
      </w:r>
      <w:r>
        <w:rPr>
          <w:color w:val="000000"/>
          <w:sz w:val="24"/>
        </w:rPr>
        <w:t>2</w:t>
      </w:r>
      <w:r>
        <w:rPr>
          <w:color w:val="000000"/>
          <w:sz w:val="24"/>
        </w:rPr>
        <w:t>月末国内广义货币供应量</w:t>
      </w:r>
      <w:r>
        <w:rPr>
          <w:color w:val="000000"/>
          <w:sz w:val="24"/>
        </w:rPr>
        <w:t>M2</w:t>
      </w:r>
      <w:r>
        <w:rPr>
          <w:color w:val="000000"/>
          <w:sz w:val="24"/>
        </w:rPr>
        <w:t>同比增长</w:t>
      </w:r>
      <w:r>
        <w:rPr>
          <w:color w:val="000000"/>
          <w:sz w:val="24"/>
        </w:rPr>
        <w:t>8.8%</w:t>
      </w:r>
      <w:r>
        <w:rPr>
          <w:color w:val="000000"/>
          <w:sz w:val="24"/>
        </w:rPr>
        <w:t>，银行间利率和国债利率维持在低位。财政政策更为积极，刺激消费政策陆续出台、地方政府专项债额度加大。报告期内，</w:t>
      </w:r>
      <w:r>
        <w:rPr>
          <w:color w:val="000000"/>
          <w:sz w:val="24"/>
        </w:rPr>
        <w:t>A</w:t>
      </w:r>
      <w:r>
        <w:rPr>
          <w:color w:val="000000"/>
          <w:sz w:val="24"/>
        </w:rPr>
        <w:t>股大幅下跌，上证指数下跌</w:t>
      </w:r>
      <w:r>
        <w:rPr>
          <w:color w:val="000000"/>
          <w:sz w:val="24"/>
        </w:rPr>
        <w:t>9.83%</w:t>
      </w:r>
      <w:r>
        <w:rPr>
          <w:color w:val="000000"/>
          <w:sz w:val="24"/>
        </w:rPr>
        <w:t>，上证</w:t>
      </w:r>
      <w:r>
        <w:rPr>
          <w:color w:val="000000"/>
          <w:sz w:val="24"/>
        </w:rPr>
        <w:t>50</w:t>
      </w:r>
      <w:r>
        <w:rPr>
          <w:color w:val="000000"/>
          <w:sz w:val="24"/>
        </w:rPr>
        <w:t>指数下跌</w:t>
      </w:r>
      <w:r>
        <w:rPr>
          <w:color w:val="000000"/>
          <w:sz w:val="24"/>
        </w:rPr>
        <w:t>12.20%</w:t>
      </w:r>
      <w:r>
        <w:rPr>
          <w:color w:val="000000"/>
          <w:sz w:val="24"/>
        </w:rPr>
        <w:t>。从行业表现来看，农林牧渔、医药生物、计算机、通讯等少数行业上涨；休闲服务、采掘、家电等行业出现跌幅居前。</w:t>
      </w:r>
    </w:p>
    <w:p w:rsidR="00A62673" w:rsidRPr="00DC315B" w:rsidRDefault="00A62673" w:rsidP="005A2769">
      <w:pPr>
        <w:spacing w:line="360" w:lineRule="auto"/>
        <w:ind w:firstLineChars="200" w:firstLine="480"/>
        <w:rPr>
          <w:color w:val="000000"/>
          <w:sz w:val="24"/>
        </w:rPr>
      </w:pPr>
      <w:r w:rsidRPr="00DC315B">
        <w:rPr>
          <w:color w:val="000000"/>
          <w:sz w:val="24"/>
        </w:rPr>
        <w:t>本基金是跟踪上证</w:t>
      </w:r>
      <w:r w:rsidRPr="00DC315B">
        <w:rPr>
          <w:color w:val="000000"/>
          <w:sz w:val="24"/>
        </w:rPr>
        <w:t>50</w:t>
      </w:r>
      <w:r w:rsidRPr="00DC315B">
        <w:rPr>
          <w:color w:val="000000"/>
          <w:sz w:val="24"/>
        </w:rPr>
        <w:t>指数的增强型指数基金，股票仓位根据合同要求一直保持在</w:t>
      </w:r>
      <w:r w:rsidRPr="00DC315B">
        <w:rPr>
          <w:color w:val="000000"/>
          <w:sz w:val="24"/>
        </w:rPr>
        <w:t>90%</w:t>
      </w:r>
      <w:r w:rsidRPr="00DC315B">
        <w:rPr>
          <w:color w:val="000000"/>
          <w:sz w:val="24"/>
        </w:rPr>
        <w:t>以上。在行业配置上，多数行业与指数权重分布一致，而对食品饮料、医药等行业有一定的超配，对银行、券商等行业适当低配。报告期内，根据对市场形势的判断，本基金进行了少量调整操作，主要是降低了对休闲服务、家电、房地产等受疫情影响严重板块的配置，增加了对银行、机械设备等行业的配置。本基金报告期业绩战胜基准指数。</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4.4.2</w:t>
        </w:r>
      </w:smartTag>
      <w:r w:rsidRPr="00EC5CE0">
        <w:rPr>
          <w:rFonts w:ascii="宋体" w:hAnsi="宋体" w:hint="eastAsia"/>
          <w:sz w:val="24"/>
        </w:rPr>
        <w:t>报告期内基金的业绩表现</w:t>
      </w:r>
    </w:p>
    <w:p w:rsidR="00A62673" w:rsidRPr="00C1648E" w:rsidRDefault="00A62673" w:rsidP="00C1648E">
      <w:pPr>
        <w:spacing w:line="360" w:lineRule="auto"/>
        <w:ind w:firstLineChars="200" w:firstLine="480"/>
        <w:rPr>
          <w:color w:val="000000"/>
          <w:sz w:val="24"/>
        </w:rPr>
      </w:pPr>
      <w:r w:rsidRPr="00DC315B">
        <w:rPr>
          <w:color w:val="000000"/>
          <w:sz w:val="24"/>
        </w:rPr>
        <w:t>截至报告期末，本基金</w:t>
      </w:r>
      <w:r w:rsidRPr="00DC315B">
        <w:rPr>
          <w:color w:val="000000"/>
          <w:sz w:val="24"/>
        </w:rPr>
        <w:t>A</w:t>
      </w:r>
      <w:r w:rsidRPr="00DC315B">
        <w:rPr>
          <w:color w:val="000000"/>
          <w:sz w:val="24"/>
        </w:rPr>
        <w:t>类基金份额净值为</w:t>
      </w:r>
      <w:r w:rsidRPr="00DC315B">
        <w:rPr>
          <w:color w:val="000000"/>
          <w:sz w:val="24"/>
        </w:rPr>
        <w:t>1.6683</w:t>
      </w:r>
      <w:r w:rsidRPr="00DC315B">
        <w:rPr>
          <w:color w:val="000000"/>
          <w:sz w:val="24"/>
        </w:rPr>
        <w:t>元，本报告期份额净值增长率为</w:t>
      </w:r>
      <w:r w:rsidRPr="00DC315B">
        <w:rPr>
          <w:color w:val="000000"/>
          <w:sz w:val="24"/>
        </w:rPr>
        <w:t>-7.73%</w:t>
      </w:r>
      <w:r w:rsidRPr="00DC315B">
        <w:rPr>
          <w:color w:val="000000"/>
          <w:sz w:val="24"/>
        </w:rPr>
        <w:t>；</w:t>
      </w:r>
      <w:r w:rsidRPr="00DC315B">
        <w:rPr>
          <w:color w:val="000000"/>
          <w:sz w:val="24"/>
        </w:rPr>
        <w:t>C</w:t>
      </w:r>
      <w:r w:rsidRPr="00DC315B">
        <w:rPr>
          <w:color w:val="000000"/>
          <w:sz w:val="24"/>
        </w:rPr>
        <w:t>类基金份额净值为</w:t>
      </w:r>
      <w:r w:rsidRPr="00DC315B">
        <w:rPr>
          <w:color w:val="000000"/>
          <w:sz w:val="24"/>
        </w:rPr>
        <w:t>1.6563</w:t>
      </w:r>
      <w:r w:rsidRPr="00DC315B">
        <w:rPr>
          <w:color w:val="000000"/>
          <w:sz w:val="24"/>
        </w:rPr>
        <w:t>元，本报告期份额净值增长率为</w:t>
      </w:r>
      <w:r w:rsidRPr="00DC315B">
        <w:rPr>
          <w:color w:val="000000"/>
          <w:sz w:val="24"/>
        </w:rPr>
        <w:t>-7.79%</w:t>
      </w:r>
      <w:r w:rsidRPr="00DC315B">
        <w:rPr>
          <w:color w:val="000000"/>
          <w:sz w:val="24"/>
        </w:rPr>
        <w:t>；同期业绩比较基准收益率为</w:t>
      </w:r>
      <w:r w:rsidRPr="00DC315B">
        <w:rPr>
          <w:color w:val="000000"/>
          <w:sz w:val="24"/>
        </w:rPr>
        <w:t>-12.20%</w:t>
      </w:r>
      <w:r w:rsidRPr="00DC315B">
        <w:rPr>
          <w:color w:val="000000"/>
          <w:sz w:val="24"/>
        </w:rPr>
        <w:t>，年化跟踪误差</w:t>
      </w:r>
      <w:r w:rsidRPr="00DC315B">
        <w:rPr>
          <w:color w:val="000000"/>
          <w:sz w:val="24"/>
        </w:rPr>
        <w:t>4.44%</w:t>
      </w:r>
      <w:r w:rsidRPr="00DC315B">
        <w:rPr>
          <w:color w:val="000000"/>
          <w:sz w:val="24"/>
        </w:rPr>
        <w:t>，超过合同规定的目标控制范围，主要是投资组合与指数权重的偏差有所扩大所致。</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5  </w:t>
      </w:r>
      <w:r w:rsidRPr="00EC5CE0">
        <w:rPr>
          <w:rFonts w:ascii="宋体" w:hAnsi="宋体" w:cs="Arial" w:hint="eastAsia"/>
          <w:color w:val="000000"/>
          <w:kern w:val="0"/>
          <w:sz w:val="24"/>
          <w:szCs w:val="24"/>
        </w:rPr>
        <w:t>投资组合报告</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5.1 </w:t>
      </w:r>
      <w:r w:rsidRPr="00EC5CE0">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序号</w:t>
            </w:r>
          </w:p>
        </w:tc>
        <w:tc>
          <w:tcPr>
            <w:tcW w:w="3357"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项目</w:t>
            </w:r>
          </w:p>
        </w:tc>
        <w:tc>
          <w:tcPr>
            <w:tcW w:w="2977"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金额</w:t>
            </w:r>
            <w:r w:rsidR="005A2769" w:rsidRPr="00C1648E">
              <w:rPr>
                <w:color w:val="000000"/>
                <w:sz w:val="24"/>
              </w:rPr>
              <w:t>（元）</w:t>
            </w:r>
          </w:p>
        </w:tc>
        <w:tc>
          <w:tcPr>
            <w:tcW w:w="1843"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占基金总资产的比例</w:t>
            </w:r>
            <w:r w:rsidR="005A2769" w:rsidRPr="00C1648E">
              <w:rPr>
                <w:color w:val="000000"/>
                <w:sz w:val="24"/>
              </w:rPr>
              <w:t>（</w:t>
            </w:r>
            <w:r w:rsidR="005A2769" w:rsidRPr="00C1648E">
              <w:rPr>
                <w:color w:val="000000"/>
                <w:sz w:val="24"/>
              </w:rPr>
              <w:t>%</w:t>
            </w:r>
            <w:r w:rsidR="005A2769"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1</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权益投资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16,804,427,335.93</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90.01</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其中：股票</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16,804,427,335.93</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90.01</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2</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固定收益投资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604,402,000.00</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3.24</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其中：债券</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604,402,000.00</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3.24</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autoSpaceDE w:val="0"/>
              <w:autoSpaceDN w:val="0"/>
              <w:adjustRightInd w:val="0"/>
              <w:spacing w:before="29" w:line="360" w:lineRule="auto"/>
              <w:ind w:left="17"/>
              <w:jc w:val="left"/>
              <w:rPr>
                <w:color w:val="000000"/>
                <w:sz w:val="24"/>
              </w:rPr>
            </w:pPr>
            <w:r w:rsidRPr="00C1648E">
              <w:rPr>
                <w:color w:val="000000"/>
                <w:sz w:val="24"/>
              </w:rPr>
              <w:t>资产支持证券</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tcPr>
          <w:p w:rsidR="00A62673" w:rsidRPr="00C1648E" w:rsidRDefault="00A62673" w:rsidP="006B315F">
            <w:pPr>
              <w:spacing w:before="29" w:line="360" w:lineRule="auto"/>
              <w:ind w:left="17"/>
              <w:jc w:val="center"/>
              <w:rPr>
                <w:color w:val="000000"/>
                <w:sz w:val="24"/>
              </w:rPr>
            </w:pPr>
            <w:r w:rsidRPr="00C1648E">
              <w:rPr>
                <w:color w:val="000000"/>
                <w:sz w:val="24"/>
              </w:rPr>
              <w:t>3</w:t>
            </w:r>
          </w:p>
        </w:tc>
        <w:tc>
          <w:tcPr>
            <w:tcW w:w="3357" w:type="dxa"/>
          </w:tcPr>
          <w:p w:rsidR="00A62673" w:rsidRPr="00C1648E" w:rsidRDefault="00A62673" w:rsidP="005A2769">
            <w:pPr>
              <w:spacing w:before="29" w:line="360" w:lineRule="auto"/>
              <w:ind w:leftChars="50" w:left="105"/>
              <w:rPr>
                <w:color w:val="000000"/>
                <w:sz w:val="24"/>
              </w:rPr>
            </w:pPr>
            <w:r w:rsidRPr="00C1648E">
              <w:rPr>
                <w:color w:val="000000"/>
                <w:sz w:val="24"/>
              </w:rPr>
              <w:t>贵金属投资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4</w:t>
            </w:r>
          </w:p>
        </w:tc>
        <w:tc>
          <w:tcPr>
            <w:tcW w:w="3357" w:type="dxa"/>
            <w:vAlign w:val="center"/>
          </w:tcPr>
          <w:p w:rsidR="00A62673" w:rsidRPr="00C1648E" w:rsidRDefault="00A62673" w:rsidP="006B315F">
            <w:pPr>
              <w:spacing w:before="29" w:line="360" w:lineRule="auto"/>
              <w:ind w:left="17"/>
              <w:jc w:val="left"/>
              <w:rPr>
                <w:color w:val="000000"/>
                <w:sz w:val="24"/>
              </w:rPr>
            </w:pPr>
            <w:r w:rsidRPr="00C1648E">
              <w:rPr>
                <w:color w:val="000000"/>
                <w:sz w:val="24"/>
              </w:rPr>
              <w:t>金融衍生品投资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5</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买入返售金融资产</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其中：买断式回购的买入返售金融资产</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6</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银行存款和结算备付金合计</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1,157,875,003.75</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6.20</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7</w:t>
            </w:r>
          </w:p>
        </w:tc>
        <w:tc>
          <w:tcPr>
            <w:tcW w:w="3357" w:type="dxa"/>
            <w:vAlign w:val="center"/>
          </w:tcPr>
          <w:p w:rsidR="00A62673" w:rsidRPr="00C1648E" w:rsidRDefault="00A62673" w:rsidP="006B315F">
            <w:pPr>
              <w:jc w:val="left"/>
              <w:rPr>
                <w:sz w:val="24"/>
              </w:rPr>
            </w:pPr>
            <w:r w:rsidRPr="00C1648E">
              <w:rPr>
                <w:color w:val="000000"/>
                <w:sz w:val="24"/>
              </w:rPr>
              <w:t>其他资产</w:t>
            </w:r>
          </w:p>
        </w:tc>
        <w:tc>
          <w:tcPr>
            <w:tcW w:w="2977" w:type="dxa"/>
            <w:vAlign w:val="center"/>
          </w:tcPr>
          <w:p w:rsidR="00A62673" w:rsidRPr="00C1648E" w:rsidRDefault="00A62673" w:rsidP="006B315F">
            <w:pPr>
              <w:jc w:val="right"/>
              <w:rPr>
                <w:color w:val="000000"/>
                <w:sz w:val="24"/>
              </w:rPr>
            </w:pPr>
            <w:r w:rsidRPr="00C1648E">
              <w:rPr>
                <w:color w:val="000000"/>
                <w:sz w:val="24"/>
              </w:rPr>
              <w:t>102,067,702.02</w:t>
            </w:r>
          </w:p>
        </w:tc>
        <w:tc>
          <w:tcPr>
            <w:tcW w:w="1843" w:type="dxa"/>
            <w:vAlign w:val="center"/>
          </w:tcPr>
          <w:p w:rsidR="00A62673" w:rsidRPr="00C1648E" w:rsidRDefault="00A62673" w:rsidP="006B315F">
            <w:pPr>
              <w:jc w:val="right"/>
              <w:rPr>
                <w:color w:val="000000"/>
                <w:sz w:val="24"/>
              </w:rPr>
            </w:pPr>
            <w:r w:rsidRPr="00C1648E">
              <w:rPr>
                <w:color w:val="000000"/>
                <w:sz w:val="24"/>
              </w:rPr>
              <w:t>0.55</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8</w:t>
            </w:r>
          </w:p>
        </w:tc>
        <w:tc>
          <w:tcPr>
            <w:tcW w:w="3357" w:type="dxa"/>
            <w:vAlign w:val="center"/>
          </w:tcPr>
          <w:p w:rsidR="00A62673" w:rsidRPr="00C1648E" w:rsidRDefault="00A62673" w:rsidP="006B315F">
            <w:pPr>
              <w:jc w:val="left"/>
              <w:rPr>
                <w:sz w:val="24"/>
              </w:rPr>
            </w:pPr>
            <w:r w:rsidRPr="00C1648E">
              <w:rPr>
                <w:color w:val="000000"/>
                <w:sz w:val="24"/>
              </w:rPr>
              <w:t>合计</w:t>
            </w:r>
          </w:p>
        </w:tc>
        <w:tc>
          <w:tcPr>
            <w:tcW w:w="2977" w:type="dxa"/>
            <w:vAlign w:val="center"/>
          </w:tcPr>
          <w:p w:rsidR="00A62673" w:rsidRPr="00C1648E" w:rsidRDefault="00A62673" w:rsidP="006B315F">
            <w:pPr>
              <w:jc w:val="right"/>
              <w:rPr>
                <w:color w:val="000000"/>
                <w:sz w:val="24"/>
              </w:rPr>
            </w:pPr>
            <w:r w:rsidRPr="00C1648E">
              <w:rPr>
                <w:color w:val="000000"/>
                <w:sz w:val="24"/>
              </w:rPr>
              <w:t>18,668,772,041.70</w:t>
            </w:r>
          </w:p>
        </w:tc>
        <w:tc>
          <w:tcPr>
            <w:tcW w:w="1843" w:type="dxa"/>
            <w:vAlign w:val="center"/>
          </w:tcPr>
          <w:p w:rsidR="00A62673" w:rsidRPr="00C1648E" w:rsidRDefault="00A62673" w:rsidP="006B315F">
            <w:pPr>
              <w:jc w:val="right"/>
              <w:rPr>
                <w:color w:val="000000"/>
                <w:sz w:val="24"/>
              </w:rPr>
            </w:pPr>
            <w:r w:rsidRPr="00C1648E">
              <w:rPr>
                <w:color w:val="000000"/>
                <w:sz w:val="24"/>
              </w:rPr>
              <w:t>100.00</w:t>
            </w:r>
          </w:p>
        </w:tc>
      </w:tr>
    </w:tbl>
    <w:p w:rsidR="008624F9"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 xml:space="preserve">5.2 </w:t>
      </w:r>
      <w:r w:rsidRPr="00105C87">
        <w:rPr>
          <w:rFonts w:eastAsiaTheme="minorEastAsia"/>
          <w:b/>
          <w:color w:val="000000" w:themeColor="text1"/>
          <w:kern w:val="0"/>
          <w:sz w:val="24"/>
        </w:rPr>
        <w:t>报告期末按行业分类的股票投资组合</w:t>
      </w:r>
    </w:p>
    <w:p w:rsidR="008D2265" w:rsidRPr="008D2265" w:rsidRDefault="008D2265" w:rsidP="008624F9">
      <w:pPr>
        <w:autoSpaceDE w:val="0"/>
        <w:autoSpaceDN w:val="0"/>
        <w:adjustRightInd w:val="0"/>
        <w:spacing w:line="360" w:lineRule="auto"/>
        <w:jc w:val="left"/>
        <w:rPr>
          <w:rFonts w:eastAsiaTheme="minorEastAsia"/>
          <w:b/>
          <w:color w:val="000000" w:themeColor="text1"/>
          <w:kern w:val="0"/>
          <w:sz w:val="24"/>
        </w:rPr>
      </w:pPr>
      <w:r>
        <w:rPr>
          <w:rFonts w:eastAsiaTheme="minorEastAsia" w:hint="eastAsia"/>
          <w:b/>
          <w:color w:val="000000" w:themeColor="text1"/>
          <w:kern w:val="0"/>
          <w:sz w:val="24"/>
        </w:rPr>
        <w:t>5.2.1</w:t>
      </w:r>
      <w:r w:rsidRPr="008D2265">
        <w:rPr>
          <w:rFonts w:eastAsiaTheme="minorEastAsia" w:hint="eastAsia"/>
          <w:b/>
          <w:color w:val="000000" w:themeColor="text1"/>
          <w:kern w:val="0"/>
          <w:sz w:val="24"/>
        </w:rPr>
        <w:t>报告期末按行业分类的境内股票投资组合</w:t>
      </w:r>
    </w:p>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105C87">
          <w:rPr>
            <w:rFonts w:eastAsiaTheme="minorEastAsia"/>
            <w:b/>
            <w:color w:val="000000" w:themeColor="text1"/>
            <w:kern w:val="0"/>
            <w:sz w:val="24"/>
          </w:rPr>
          <w:t>5.2.1</w:t>
        </w:r>
        <w:r w:rsidR="008D2265">
          <w:rPr>
            <w:rFonts w:eastAsiaTheme="minorEastAsia"/>
            <w:b/>
            <w:color w:val="000000" w:themeColor="text1"/>
            <w:kern w:val="0"/>
            <w:sz w:val="24"/>
          </w:rPr>
          <w:t>.1</w:t>
        </w:r>
      </w:smartTag>
      <w:r w:rsidRPr="00105C87">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2,201,481,431.62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11.84</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19,147.31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293,253,630.40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1.58</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3,598,546.76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0.02</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793,090,501.06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4.27</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17,552.98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6,182,660.00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0.03</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3,297,643,470.13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17.73</w:t>
            </w:r>
          </w:p>
        </w:tc>
      </w:tr>
    </w:tbl>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w:t>
      </w:r>
      <w:r w:rsidR="008D2265">
        <w:rPr>
          <w:rFonts w:eastAsiaTheme="minorEastAsia"/>
          <w:b/>
          <w:color w:val="000000" w:themeColor="text1"/>
          <w:kern w:val="0"/>
          <w:sz w:val="24"/>
        </w:rPr>
        <w:t>1.</w:t>
      </w:r>
      <w:r w:rsidRPr="00105C87">
        <w:rPr>
          <w:rFonts w:eastAsiaTheme="minorEastAsia"/>
          <w:b/>
          <w:color w:val="000000" w:themeColor="text1"/>
          <w:kern w:val="0"/>
          <w:sz w:val="24"/>
        </w:rPr>
        <w:t>2</w:t>
      </w:r>
      <w:r w:rsidRPr="00105C87">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294,457,265.92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1.58</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6,535,870,165.34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35.15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894,014,004.02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4.81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105,808,427.04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0.57</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5,282,817,791.58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28.41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226,674,859.90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1.22</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129,135,552.00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0.69</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38,005,800.00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0.20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13,506,783,865.80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72.64</w:t>
            </w:r>
          </w:p>
        </w:tc>
      </w:tr>
    </w:tbl>
    <w:p w:rsidR="00774C7D" w:rsidRPr="00EC5CE0" w:rsidRDefault="00774C7D" w:rsidP="00774C7D">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5.3</w:t>
      </w:r>
      <w:r w:rsidRPr="007F456A">
        <w:rPr>
          <w:rFonts w:ascii="宋体" w:hAnsi="宋体" w:cs="Arial" w:hint="eastAsia"/>
          <w:b/>
          <w:color w:val="000000"/>
          <w:kern w:val="0"/>
          <w:sz w:val="24"/>
        </w:rPr>
        <w:t>报告期末按公允价值占基金资产净值比例大小排序的股票投资明细</w:t>
      </w:r>
    </w:p>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5.3.1</w:t>
      </w:r>
      <w:r w:rsidRPr="00045BEC">
        <w:rPr>
          <w:rFonts w:ascii="宋体" w:hAnsi="宋体" w:cs="Arial" w:hint="eastAsia"/>
          <w:b/>
          <w:color w:val="000000"/>
          <w:kern w:val="0"/>
          <w:sz w:val="24"/>
        </w:rPr>
        <w:t>期末</w:t>
      </w:r>
      <w:r w:rsidRPr="00045BEC">
        <w:rPr>
          <w:rFonts w:ascii="宋体" w:hAnsi="宋体" w:hint="eastAsia"/>
          <w:b/>
          <w:sz w:val="24"/>
        </w:rPr>
        <w:t>指数投资按公允价值占基金资产净值比例大小排序的前十名股票投资明细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559"/>
        <w:gridCol w:w="1843"/>
        <w:gridCol w:w="2268"/>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559"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268"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1E0B8A">
        <w:tc>
          <w:tcPr>
            <w:tcW w:w="817" w:type="dxa"/>
            <w:vAlign w:val="center"/>
          </w:tcPr>
          <w:p w:rsidR="001E0B8A" w:rsidRDefault="006764E1">
            <w:pPr>
              <w:jc w:val="center"/>
            </w:pPr>
            <w:r>
              <w:rPr>
                <w:color w:val="000000"/>
                <w:sz w:val="24"/>
              </w:rPr>
              <w:t>1</w:t>
            </w:r>
          </w:p>
        </w:tc>
        <w:tc>
          <w:tcPr>
            <w:tcW w:w="1276" w:type="dxa"/>
            <w:vAlign w:val="center"/>
          </w:tcPr>
          <w:p w:rsidR="001E0B8A" w:rsidRDefault="006764E1">
            <w:pPr>
              <w:jc w:val="center"/>
            </w:pPr>
            <w:r>
              <w:rPr>
                <w:color w:val="000000"/>
                <w:sz w:val="24"/>
              </w:rPr>
              <w:t>601318</w:t>
            </w:r>
          </w:p>
        </w:tc>
        <w:tc>
          <w:tcPr>
            <w:tcW w:w="1559" w:type="dxa"/>
            <w:vAlign w:val="center"/>
          </w:tcPr>
          <w:p w:rsidR="001E0B8A" w:rsidRDefault="006764E1">
            <w:pPr>
              <w:jc w:val="center"/>
            </w:pPr>
            <w:r>
              <w:rPr>
                <w:color w:val="000000"/>
                <w:sz w:val="24"/>
              </w:rPr>
              <w:t>中国平安</w:t>
            </w:r>
          </w:p>
        </w:tc>
        <w:tc>
          <w:tcPr>
            <w:tcW w:w="1843" w:type="dxa"/>
            <w:vAlign w:val="center"/>
          </w:tcPr>
          <w:p w:rsidR="001E0B8A" w:rsidRDefault="006764E1">
            <w:pPr>
              <w:jc w:val="right"/>
            </w:pPr>
            <w:r>
              <w:rPr>
                <w:color w:val="000000"/>
                <w:sz w:val="24"/>
              </w:rPr>
              <w:t>34,478,632</w:t>
            </w:r>
          </w:p>
        </w:tc>
        <w:tc>
          <w:tcPr>
            <w:tcW w:w="2268" w:type="dxa"/>
            <w:vAlign w:val="center"/>
          </w:tcPr>
          <w:p w:rsidR="001E0B8A" w:rsidRDefault="006764E1">
            <w:pPr>
              <w:jc w:val="right"/>
            </w:pPr>
            <w:r>
              <w:rPr>
                <w:color w:val="000000"/>
                <w:sz w:val="24"/>
              </w:rPr>
              <w:t>2,384,886,975.44</w:t>
            </w:r>
          </w:p>
        </w:tc>
        <w:tc>
          <w:tcPr>
            <w:tcW w:w="1134" w:type="dxa"/>
            <w:vAlign w:val="center"/>
          </w:tcPr>
          <w:p w:rsidR="001E0B8A" w:rsidRDefault="006764E1">
            <w:pPr>
              <w:jc w:val="right"/>
            </w:pPr>
            <w:r>
              <w:rPr>
                <w:color w:val="000000"/>
                <w:sz w:val="24"/>
              </w:rPr>
              <w:t>12.83</w:t>
            </w:r>
          </w:p>
        </w:tc>
      </w:tr>
      <w:tr w:rsidR="001E0B8A">
        <w:tc>
          <w:tcPr>
            <w:tcW w:w="817" w:type="dxa"/>
            <w:vAlign w:val="center"/>
          </w:tcPr>
          <w:p w:rsidR="001E0B8A" w:rsidRDefault="006764E1">
            <w:pPr>
              <w:jc w:val="center"/>
            </w:pPr>
            <w:r>
              <w:rPr>
                <w:color w:val="000000"/>
                <w:sz w:val="24"/>
              </w:rPr>
              <w:t>2</w:t>
            </w:r>
          </w:p>
        </w:tc>
        <w:tc>
          <w:tcPr>
            <w:tcW w:w="1276" w:type="dxa"/>
            <w:vAlign w:val="center"/>
          </w:tcPr>
          <w:p w:rsidR="001E0B8A" w:rsidRDefault="006764E1">
            <w:pPr>
              <w:jc w:val="center"/>
            </w:pPr>
            <w:r>
              <w:rPr>
                <w:color w:val="000000"/>
                <w:sz w:val="24"/>
              </w:rPr>
              <w:t>600519</w:t>
            </w:r>
          </w:p>
        </w:tc>
        <w:tc>
          <w:tcPr>
            <w:tcW w:w="1559" w:type="dxa"/>
            <w:vAlign w:val="center"/>
          </w:tcPr>
          <w:p w:rsidR="001E0B8A" w:rsidRDefault="006764E1">
            <w:pPr>
              <w:jc w:val="center"/>
            </w:pPr>
            <w:r>
              <w:rPr>
                <w:color w:val="000000"/>
                <w:sz w:val="24"/>
              </w:rPr>
              <w:t>贵州茅台</w:t>
            </w:r>
          </w:p>
        </w:tc>
        <w:tc>
          <w:tcPr>
            <w:tcW w:w="1843" w:type="dxa"/>
            <w:vAlign w:val="center"/>
          </w:tcPr>
          <w:p w:rsidR="001E0B8A" w:rsidRDefault="006764E1">
            <w:pPr>
              <w:jc w:val="right"/>
            </w:pPr>
            <w:r>
              <w:rPr>
                <w:color w:val="000000"/>
                <w:sz w:val="24"/>
              </w:rPr>
              <w:t>1,617,535</w:t>
            </w:r>
          </w:p>
        </w:tc>
        <w:tc>
          <w:tcPr>
            <w:tcW w:w="2268" w:type="dxa"/>
            <w:vAlign w:val="center"/>
          </w:tcPr>
          <w:p w:rsidR="001E0B8A" w:rsidRDefault="006764E1">
            <w:pPr>
              <w:jc w:val="right"/>
            </w:pPr>
            <w:r>
              <w:rPr>
                <w:color w:val="000000"/>
                <w:sz w:val="24"/>
              </w:rPr>
              <w:t>1,797,081,385.00</w:t>
            </w:r>
          </w:p>
        </w:tc>
        <w:tc>
          <w:tcPr>
            <w:tcW w:w="1134" w:type="dxa"/>
            <w:vAlign w:val="center"/>
          </w:tcPr>
          <w:p w:rsidR="001E0B8A" w:rsidRDefault="006764E1">
            <w:pPr>
              <w:jc w:val="right"/>
            </w:pPr>
            <w:r>
              <w:rPr>
                <w:color w:val="000000"/>
                <w:sz w:val="24"/>
              </w:rPr>
              <w:t>9.66</w:t>
            </w:r>
          </w:p>
        </w:tc>
      </w:tr>
      <w:tr w:rsidR="001E0B8A">
        <w:tc>
          <w:tcPr>
            <w:tcW w:w="817" w:type="dxa"/>
            <w:vAlign w:val="center"/>
          </w:tcPr>
          <w:p w:rsidR="001E0B8A" w:rsidRDefault="006764E1">
            <w:pPr>
              <w:jc w:val="center"/>
            </w:pPr>
            <w:r>
              <w:rPr>
                <w:color w:val="000000"/>
                <w:sz w:val="24"/>
              </w:rPr>
              <w:t>3</w:t>
            </w:r>
          </w:p>
        </w:tc>
        <w:tc>
          <w:tcPr>
            <w:tcW w:w="1276" w:type="dxa"/>
            <w:vAlign w:val="center"/>
          </w:tcPr>
          <w:p w:rsidR="001E0B8A" w:rsidRDefault="006764E1">
            <w:pPr>
              <w:jc w:val="center"/>
            </w:pPr>
            <w:r>
              <w:rPr>
                <w:color w:val="000000"/>
                <w:sz w:val="24"/>
              </w:rPr>
              <w:t>600887</w:t>
            </w:r>
          </w:p>
        </w:tc>
        <w:tc>
          <w:tcPr>
            <w:tcW w:w="1559" w:type="dxa"/>
            <w:vAlign w:val="center"/>
          </w:tcPr>
          <w:p w:rsidR="001E0B8A" w:rsidRDefault="006764E1">
            <w:pPr>
              <w:jc w:val="center"/>
            </w:pPr>
            <w:r>
              <w:rPr>
                <w:color w:val="000000"/>
                <w:sz w:val="24"/>
              </w:rPr>
              <w:t>伊利股份</w:t>
            </w:r>
          </w:p>
        </w:tc>
        <w:tc>
          <w:tcPr>
            <w:tcW w:w="1843" w:type="dxa"/>
            <w:vAlign w:val="center"/>
          </w:tcPr>
          <w:p w:rsidR="001E0B8A" w:rsidRDefault="006764E1">
            <w:pPr>
              <w:jc w:val="right"/>
            </w:pPr>
            <w:r>
              <w:rPr>
                <w:color w:val="000000"/>
                <w:sz w:val="24"/>
              </w:rPr>
              <w:t>60,052,480</w:t>
            </w:r>
          </w:p>
        </w:tc>
        <w:tc>
          <w:tcPr>
            <w:tcW w:w="2268" w:type="dxa"/>
            <w:vAlign w:val="center"/>
          </w:tcPr>
          <w:p w:rsidR="001E0B8A" w:rsidRDefault="006764E1">
            <w:pPr>
              <w:jc w:val="right"/>
            </w:pPr>
            <w:r>
              <w:rPr>
                <w:color w:val="000000"/>
                <w:sz w:val="24"/>
              </w:rPr>
              <w:t>1,793,167,052.80</w:t>
            </w:r>
          </w:p>
        </w:tc>
        <w:tc>
          <w:tcPr>
            <w:tcW w:w="1134" w:type="dxa"/>
            <w:vAlign w:val="center"/>
          </w:tcPr>
          <w:p w:rsidR="001E0B8A" w:rsidRDefault="006764E1">
            <w:pPr>
              <w:jc w:val="right"/>
            </w:pPr>
            <w:r>
              <w:rPr>
                <w:color w:val="000000"/>
                <w:sz w:val="24"/>
              </w:rPr>
              <w:t>9.64</w:t>
            </w:r>
          </w:p>
        </w:tc>
      </w:tr>
      <w:tr w:rsidR="001E0B8A">
        <w:tc>
          <w:tcPr>
            <w:tcW w:w="817" w:type="dxa"/>
            <w:vAlign w:val="center"/>
          </w:tcPr>
          <w:p w:rsidR="001E0B8A" w:rsidRDefault="006764E1">
            <w:pPr>
              <w:jc w:val="center"/>
            </w:pPr>
            <w:r>
              <w:rPr>
                <w:color w:val="000000"/>
                <w:sz w:val="24"/>
              </w:rPr>
              <w:t>4</w:t>
            </w:r>
          </w:p>
        </w:tc>
        <w:tc>
          <w:tcPr>
            <w:tcW w:w="1276" w:type="dxa"/>
            <w:vAlign w:val="center"/>
          </w:tcPr>
          <w:p w:rsidR="001E0B8A" w:rsidRDefault="006764E1">
            <w:pPr>
              <w:jc w:val="center"/>
            </w:pPr>
            <w:r>
              <w:rPr>
                <w:color w:val="000000"/>
                <w:sz w:val="24"/>
              </w:rPr>
              <w:t>600036</w:t>
            </w:r>
          </w:p>
        </w:tc>
        <w:tc>
          <w:tcPr>
            <w:tcW w:w="1559" w:type="dxa"/>
            <w:vAlign w:val="center"/>
          </w:tcPr>
          <w:p w:rsidR="001E0B8A" w:rsidRDefault="006764E1">
            <w:pPr>
              <w:jc w:val="center"/>
            </w:pPr>
            <w:r>
              <w:rPr>
                <w:color w:val="000000"/>
                <w:sz w:val="24"/>
              </w:rPr>
              <w:t>招商银行</w:t>
            </w:r>
          </w:p>
        </w:tc>
        <w:tc>
          <w:tcPr>
            <w:tcW w:w="1843" w:type="dxa"/>
            <w:vAlign w:val="center"/>
          </w:tcPr>
          <w:p w:rsidR="001E0B8A" w:rsidRDefault="006764E1">
            <w:pPr>
              <w:jc w:val="right"/>
            </w:pPr>
            <w:r>
              <w:rPr>
                <w:color w:val="000000"/>
                <w:sz w:val="24"/>
              </w:rPr>
              <w:t>52,402,056</w:t>
            </w:r>
          </w:p>
        </w:tc>
        <w:tc>
          <w:tcPr>
            <w:tcW w:w="2268" w:type="dxa"/>
            <w:vAlign w:val="center"/>
          </w:tcPr>
          <w:p w:rsidR="001E0B8A" w:rsidRDefault="006764E1">
            <w:pPr>
              <w:jc w:val="right"/>
            </w:pPr>
            <w:r>
              <w:rPr>
                <w:color w:val="000000"/>
                <w:sz w:val="24"/>
              </w:rPr>
              <w:t>1,691,538,367.68</w:t>
            </w:r>
          </w:p>
        </w:tc>
        <w:tc>
          <w:tcPr>
            <w:tcW w:w="1134" w:type="dxa"/>
            <w:vAlign w:val="center"/>
          </w:tcPr>
          <w:p w:rsidR="001E0B8A" w:rsidRDefault="006764E1">
            <w:pPr>
              <w:jc w:val="right"/>
            </w:pPr>
            <w:r>
              <w:rPr>
                <w:color w:val="000000"/>
                <w:sz w:val="24"/>
              </w:rPr>
              <w:t>9.10</w:t>
            </w:r>
          </w:p>
        </w:tc>
      </w:tr>
      <w:tr w:rsidR="001E0B8A">
        <w:tc>
          <w:tcPr>
            <w:tcW w:w="817" w:type="dxa"/>
            <w:vAlign w:val="center"/>
          </w:tcPr>
          <w:p w:rsidR="001E0B8A" w:rsidRDefault="006764E1">
            <w:pPr>
              <w:jc w:val="center"/>
            </w:pPr>
            <w:r>
              <w:rPr>
                <w:color w:val="000000"/>
                <w:sz w:val="24"/>
              </w:rPr>
              <w:t>5</w:t>
            </w:r>
          </w:p>
        </w:tc>
        <w:tc>
          <w:tcPr>
            <w:tcW w:w="1276" w:type="dxa"/>
            <w:vAlign w:val="center"/>
          </w:tcPr>
          <w:p w:rsidR="001E0B8A" w:rsidRDefault="006764E1">
            <w:pPr>
              <w:jc w:val="center"/>
            </w:pPr>
            <w:r>
              <w:rPr>
                <w:color w:val="000000"/>
                <w:sz w:val="24"/>
              </w:rPr>
              <w:t>600276</w:t>
            </w:r>
          </w:p>
        </w:tc>
        <w:tc>
          <w:tcPr>
            <w:tcW w:w="1559" w:type="dxa"/>
            <w:vAlign w:val="center"/>
          </w:tcPr>
          <w:p w:rsidR="001E0B8A" w:rsidRDefault="006764E1">
            <w:pPr>
              <w:jc w:val="center"/>
            </w:pPr>
            <w:r>
              <w:rPr>
                <w:color w:val="000000"/>
                <w:sz w:val="24"/>
              </w:rPr>
              <w:t>恒瑞医药</w:t>
            </w:r>
          </w:p>
        </w:tc>
        <w:tc>
          <w:tcPr>
            <w:tcW w:w="1843" w:type="dxa"/>
            <w:vAlign w:val="center"/>
          </w:tcPr>
          <w:p w:rsidR="001E0B8A" w:rsidRDefault="006764E1">
            <w:pPr>
              <w:jc w:val="right"/>
            </w:pPr>
            <w:r>
              <w:rPr>
                <w:color w:val="000000"/>
                <w:sz w:val="24"/>
              </w:rPr>
              <w:t>15,975,796</w:t>
            </w:r>
          </w:p>
        </w:tc>
        <w:tc>
          <w:tcPr>
            <w:tcW w:w="2268" w:type="dxa"/>
            <w:vAlign w:val="center"/>
          </w:tcPr>
          <w:p w:rsidR="001E0B8A" w:rsidRDefault="006764E1">
            <w:pPr>
              <w:jc w:val="right"/>
            </w:pPr>
            <w:r>
              <w:rPr>
                <w:color w:val="000000"/>
                <w:sz w:val="24"/>
              </w:rPr>
              <w:t>1,470,252,505.88</w:t>
            </w:r>
          </w:p>
        </w:tc>
        <w:tc>
          <w:tcPr>
            <w:tcW w:w="1134" w:type="dxa"/>
            <w:vAlign w:val="center"/>
          </w:tcPr>
          <w:p w:rsidR="001E0B8A" w:rsidRDefault="006764E1">
            <w:pPr>
              <w:jc w:val="right"/>
            </w:pPr>
            <w:r>
              <w:rPr>
                <w:color w:val="000000"/>
                <w:sz w:val="24"/>
              </w:rPr>
              <w:t>7.91</w:t>
            </w:r>
          </w:p>
        </w:tc>
      </w:tr>
      <w:tr w:rsidR="001E0B8A">
        <w:tc>
          <w:tcPr>
            <w:tcW w:w="817" w:type="dxa"/>
            <w:vAlign w:val="center"/>
          </w:tcPr>
          <w:p w:rsidR="001E0B8A" w:rsidRDefault="006764E1">
            <w:pPr>
              <w:jc w:val="center"/>
            </w:pPr>
            <w:r>
              <w:rPr>
                <w:color w:val="000000"/>
                <w:sz w:val="24"/>
              </w:rPr>
              <w:t>6</w:t>
            </w:r>
          </w:p>
        </w:tc>
        <w:tc>
          <w:tcPr>
            <w:tcW w:w="1276" w:type="dxa"/>
            <w:vAlign w:val="center"/>
          </w:tcPr>
          <w:p w:rsidR="001E0B8A" w:rsidRDefault="006764E1">
            <w:pPr>
              <w:jc w:val="center"/>
            </w:pPr>
            <w:r>
              <w:rPr>
                <w:color w:val="000000"/>
                <w:sz w:val="24"/>
              </w:rPr>
              <w:t>601668</w:t>
            </w:r>
          </w:p>
        </w:tc>
        <w:tc>
          <w:tcPr>
            <w:tcW w:w="1559" w:type="dxa"/>
            <w:vAlign w:val="center"/>
          </w:tcPr>
          <w:p w:rsidR="001E0B8A" w:rsidRDefault="006764E1">
            <w:pPr>
              <w:jc w:val="center"/>
            </w:pPr>
            <w:r>
              <w:rPr>
                <w:color w:val="000000"/>
                <w:sz w:val="24"/>
              </w:rPr>
              <w:t>中国建筑</w:t>
            </w:r>
          </w:p>
        </w:tc>
        <w:tc>
          <w:tcPr>
            <w:tcW w:w="1843" w:type="dxa"/>
            <w:vAlign w:val="center"/>
          </w:tcPr>
          <w:p w:rsidR="001E0B8A" w:rsidRDefault="006764E1">
            <w:pPr>
              <w:jc w:val="right"/>
            </w:pPr>
            <w:r>
              <w:rPr>
                <w:color w:val="000000"/>
                <w:sz w:val="24"/>
              </w:rPr>
              <w:t>169,642,126</w:t>
            </w:r>
          </w:p>
        </w:tc>
        <w:tc>
          <w:tcPr>
            <w:tcW w:w="2268" w:type="dxa"/>
            <w:vAlign w:val="center"/>
          </w:tcPr>
          <w:p w:rsidR="001E0B8A" w:rsidRDefault="006764E1">
            <w:pPr>
              <w:jc w:val="right"/>
            </w:pPr>
            <w:r>
              <w:rPr>
                <w:color w:val="000000"/>
                <w:sz w:val="24"/>
              </w:rPr>
              <w:t>894,014,004.02</w:t>
            </w:r>
          </w:p>
        </w:tc>
        <w:tc>
          <w:tcPr>
            <w:tcW w:w="1134" w:type="dxa"/>
            <w:vAlign w:val="center"/>
          </w:tcPr>
          <w:p w:rsidR="001E0B8A" w:rsidRDefault="006764E1">
            <w:pPr>
              <w:jc w:val="right"/>
            </w:pPr>
            <w:r>
              <w:rPr>
                <w:color w:val="000000"/>
                <w:sz w:val="24"/>
              </w:rPr>
              <w:t>4.81</w:t>
            </w:r>
          </w:p>
        </w:tc>
      </w:tr>
      <w:tr w:rsidR="001E0B8A">
        <w:tc>
          <w:tcPr>
            <w:tcW w:w="817" w:type="dxa"/>
            <w:vAlign w:val="center"/>
          </w:tcPr>
          <w:p w:rsidR="001E0B8A" w:rsidRDefault="006764E1">
            <w:pPr>
              <w:jc w:val="center"/>
            </w:pPr>
            <w:r>
              <w:rPr>
                <w:color w:val="000000"/>
                <w:sz w:val="24"/>
              </w:rPr>
              <w:t>7</w:t>
            </w:r>
          </w:p>
        </w:tc>
        <w:tc>
          <w:tcPr>
            <w:tcW w:w="1276" w:type="dxa"/>
            <w:vAlign w:val="center"/>
          </w:tcPr>
          <w:p w:rsidR="001E0B8A" w:rsidRDefault="006764E1">
            <w:pPr>
              <w:jc w:val="center"/>
            </w:pPr>
            <w:r>
              <w:rPr>
                <w:color w:val="000000"/>
                <w:sz w:val="24"/>
              </w:rPr>
              <w:t>601166</w:t>
            </w:r>
          </w:p>
        </w:tc>
        <w:tc>
          <w:tcPr>
            <w:tcW w:w="1559" w:type="dxa"/>
            <w:vAlign w:val="center"/>
          </w:tcPr>
          <w:p w:rsidR="001E0B8A" w:rsidRDefault="006764E1">
            <w:pPr>
              <w:jc w:val="center"/>
            </w:pPr>
            <w:r>
              <w:rPr>
                <w:color w:val="000000"/>
                <w:sz w:val="24"/>
              </w:rPr>
              <w:t>兴业银行</w:t>
            </w:r>
          </w:p>
        </w:tc>
        <w:tc>
          <w:tcPr>
            <w:tcW w:w="1843" w:type="dxa"/>
            <w:vAlign w:val="center"/>
          </w:tcPr>
          <w:p w:rsidR="001E0B8A" w:rsidRDefault="006764E1">
            <w:pPr>
              <w:jc w:val="right"/>
            </w:pPr>
            <w:r>
              <w:rPr>
                <w:color w:val="000000"/>
                <w:sz w:val="24"/>
              </w:rPr>
              <w:t>39,055,735</w:t>
            </w:r>
          </w:p>
        </w:tc>
        <w:tc>
          <w:tcPr>
            <w:tcW w:w="2268" w:type="dxa"/>
            <w:vAlign w:val="center"/>
          </w:tcPr>
          <w:p w:rsidR="001E0B8A" w:rsidRDefault="006764E1">
            <w:pPr>
              <w:jc w:val="right"/>
            </w:pPr>
            <w:r>
              <w:rPr>
                <w:color w:val="000000"/>
                <w:sz w:val="24"/>
              </w:rPr>
              <w:t>621,376,743.85</w:t>
            </w:r>
          </w:p>
        </w:tc>
        <w:tc>
          <w:tcPr>
            <w:tcW w:w="1134" w:type="dxa"/>
            <w:vAlign w:val="center"/>
          </w:tcPr>
          <w:p w:rsidR="001E0B8A" w:rsidRDefault="006764E1">
            <w:pPr>
              <w:jc w:val="right"/>
            </w:pPr>
            <w:r>
              <w:rPr>
                <w:color w:val="000000"/>
                <w:sz w:val="24"/>
              </w:rPr>
              <w:t>3.34</w:t>
            </w:r>
          </w:p>
        </w:tc>
      </w:tr>
      <w:tr w:rsidR="001E0B8A">
        <w:tc>
          <w:tcPr>
            <w:tcW w:w="817" w:type="dxa"/>
            <w:vAlign w:val="center"/>
          </w:tcPr>
          <w:p w:rsidR="001E0B8A" w:rsidRDefault="006764E1">
            <w:pPr>
              <w:jc w:val="center"/>
            </w:pPr>
            <w:r>
              <w:rPr>
                <w:color w:val="000000"/>
                <w:sz w:val="24"/>
              </w:rPr>
              <w:t>8</w:t>
            </w:r>
          </w:p>
        </w:tc>
        <w:tc>
          <w:tcPr>
            <w:tcW w:w="1276" w:type="dxa"/>
            <w:vAlign w:val="center"/>
          </w:tcPr>
          <w:p w:rsidR="001E0B8A" w:rsidRDefault="006764E1">
            <w:pPr>
              <w:jc w:val="center"/>
            </w:pPr>
            <w:r>
              <w:rPr>
                <w:color w:val="000000"/>
                <w:sz w:val="24"/>
              </w:rPr>
              <w:t>600031</w:t>
            </w:r>
          </w:p>
        </w:tc>
        <w:tc>
          <w:tcPr>
            <w:tcW w:w="1559" w:type="dxa"/>
            <w:vAlign w:val="center"/>
          </w:tcPr>
          <w:p w:rsidR="001E0B8A" w:rsidRDefault="006764E1">
            <w:pPr>
              <w:jc w:val="center"/>
            </w:pPr>
            <w:r>
              <w:rPr>
                <w:color w:val="000000"/>
                <w:sz w:val="24"/>
              </w:rPr>
              <w:t>三一重工</w:t>
            </w:r>
          </w:p>
        </w:tc>
        <w:tc>
          <w:tcPr>
            <w:tcW w:w="1843" w:type="dxa"/>
            <w:vAlign w:val="center"/>
          </w:tcPr>
          <w:p w:rsidR="001E0B8A" w:rsidRDefault="006764E1">
            <w:pPr>
              <w:jc w:val="right"/>
            </w:pPr>
            <w:r>
              <w:rPr>
                <w:color w:val="000000"/>
                <w:sz w:val="24"/>
              </w:rPr>
              <w:t>23,599,477</w:t>
            </w:r>
          </w:p>
        </w:tc>
        <w:tc>
          <w:tcPr>
            <w:tcW w:w="2268" w:type="dxa"/>
            <w:vAlign w:val="center"/>
          </w:tcPr>
          <w:p w:rsidR="001E0B8A" w:rsidRDefault="006764E1">
            <w:pPr>
              <w:jc w:val="right"/>
            </w:pPr>
            <w:r>
              <w:rPr>
                <w:color w:val="000000"/>
                <w:sz w:val="24"/>
              </w:rPr>
              <w:t>408,270,952.10</w:t>
            </w:r>
          </w:p>
        </w:tc>
        <w:tc>
          <w:tcPr>
            <w:tcW w:w="1134" w:type="dxa"/>
            <w:vAlign w:val="center"/>
          </w:tcPr>
          <w:p w:rsidR="001E0B8A" w:rsidRDefault="006764E1">
            <w:pPr>
              <w:jc w:val="right"/>
            </w:pPr>
            <w:r>
              <w:rPr>
                <w:color w:val="000000"/>
                <w:sz w:val="24"/>
              </w:rPr>
              <w:t>2.20</w:t>
            </w:r>
          </w:p>
        </w:tc>
      </w:tr>
      <w:tr w:rsidR="001E0B8A">
        <w:tc>
          <w:tcPr>
            <w:tcW w:w="817" w:type="dxa"/>
            <w:vAlign w:val="center"/>
          </w:tcPr>
          <w:p w:rsidR="001E0B8A" w:rsidRDefault="006764E1">
            <w:pPr>
              <w:jc w:val="center"/>
            </w:pPr>
            <w:r>
              <w:rPr>
                <w:color w:val="000000"/>
                <w:sz w:val="24"/>
              </w:rPr>
              <w:t>9</w:t>
            </w:r>
          </w:p>
        </w:tc>
        <w:tc>
          <w:tcPr>
            <w:tcW w:w="1276" w:type="dxa"/>
            <w:vAlign w:val="center"/>
          </w:tcPr>
          <w:p w:rsidR="001E0B8A" w:rsidRDefault="006764E1">
            <w:pPr>
              <w:jc w:val="center"/>
            </w:pPr>
            <w:r>
              <w:rPr>
                <w:color w:val="000000"/>
                <w:sz w:val="24"/>
              </w:rPr>
              <w:t>600585</w:t>
            </w:r>
          </w:p>
        </w:tc>
        <w:tc>
          <w:tcPr>
            <w:tcW w:w="1559" w:type="dxa"/>
            <w:vAlign w:val="center"/>
          </w:tcPr>
          <w:p w:rsidR="001E0B8A" w:rsidRDefault="006764E1">
            <w:pPr>
              <w:jc w:val="center"/>
            </w:pPr>
            <w:r>
              <w:rPr>
                <w:color w:val="000000"/>
                <w:sz w:val="24"/>
              </w:rPr>
              <w:t>海螺水泥</w:t>
            </w:r>
          </w:p>
        </w:tc>
        <w:tc>
          <w:tcPr>
            <w:tcW w:w="1843" w:type="dxa"/>
            <w:vAlign w:val="center"/>
          </w:tcPr>
          <w:p w:rsidR="001E0B8A" w:rsidRDefault="006764E1">
            <w:pPr>
              <w:jc w:val="right"/>
            </w:pPr>
            <w:r>
              <w:rPr>
                <w:color w:val="000000"/>
                <w:sz w:val="24"/>
              </w:rPr>
              <w:t>6,099,808</w:t>
            </w:r>
          </w:p>
        </w:tc>
        <w:tc>
          <w:tcPr>
            <w:tcW w:w="2268" w:type="dxa"/>
            <w:vAlign w:val="center"/>
          </w:tcPr>
          <w:p w:rsidR="001E0B8A" w:rsidRDefault="006764E1">
            <w:pPr>
              <w:jc w:val="right"/>
            </w:pPr>
            <w:r>
              <w:rPr>
                <w:color w:val="000000"/>
                <w:sz w:val="24"/>
              </w:rPr>
              <w:t>336,099,420.80</w:t>
            </w:r>
          </w:p>
        </w:tc>
        <w:tc>
          <w:tcPr>
            <w:tcW w:w="1134" w:type="dxa"/>
            <w:vAlign w:val="center"/>
          </w:tcPr>
          <w:p w:rsidR="001E0B8A" w:rsidRDefault="006764E1">
            <w:pPr>
              <w:jc w:val="right"/>
            </w:pPr>
            <w:r>
              <w:rPr>
                <w:color w:val="000000"/>
                <w:sz w:val="24"/>
              </w:rPr>
              <w:t>1.81</w:t>
            </w:r>
          </w:p>
        </w:tc>
      </w:tr>
      <w:tr w:rsidR="001E0B8A">
        <w:tc>
          <w:tcPr>
            <w:tcW w:w="817" w:type="dxa"/>
            <w:vAlign w:val="center"/>
          </w:tcPr>
          <w:p w:rsidR="001E0B8A" w:rsidRDefault="006764E1">
            <w:pPr>
              <w:jc w:val="center"/>
            </w:pPr>
            <w:r>
              <w:rPr>
                <w:color w:val="000000"/>
                <w:sz w:val="24"/>
              </w:rPr>
              <w:t>10</w:t>
            </w:r>
          </w:p>
        </w:tc>
        <w:tc>
          <w:tcPr>
            <w:tcW w:w="1276" w:type="dxa"/>
            <w:vAlign w:val="center"/>
          </w:tcPr>
          <w:p w:rsidR="001E0B8A" w:rsidRDefault="006764E1">
            <w:pPr>
              <w:jc w:val="center"/>
            </w:pPr>
            <w:r>
              <w:rPr>
                <w:color w:val="000000"/>
                <w:sz w:val="24"/>
              </w:rPr>
              <w:t>601398</w:t>
            </w:r>
          </w:p>
        </w:tc>
        <w:tc>
          <w:tcPr>
            <w:tcW w:w="1559" w:type="dxa"/>
            <w:vAlign w:val="center"/>
          </w:tcPr>
          <w:p w:rsidR="001E0B8A" w:rsidRDefault="006764E1">
            <w:pPr>
              <w:jc w:val="center"/>
            </w:pPr>
            <w:r>
              <w:rPr>
                <w:color w:val="000000"/>
                <w:sz w:val="24"/>
              </w:rPr>
              <w:t>工商银行</w:t>
            </w:r>
          </w:p>
        </w:tc>
        <w:tc>
          <w:tcPr>
            <w:tcW w:w="1843" w:type="dxa"/>
            <w:vAlign w:val="center"/>
          </w:tcPr>
          <w:p w:rsidR="001E0B8A" w:rsidRDefault="006764E1">
            <w:pPr>
              <w:jc w:val="right"/>
            </w:pPr>
            <w:r>
              <w:rPr>
                <w:color w:val="000000"/>
                <w:sz w:val="24"/>
              </w:rPr>
              <w:t>54,604,881</w:t>
            </w:r>
          </w:p>
        </w:tc>
        <w:tc>
          <w:tcPr>
            <w:tcW w:w="2268" w:type="dxa"/>
            <w:vAlign w:val="center"/>
          </w:tcPr>
          <w:p w:rsidR="001E0B8A" w:rsidRDefault="006764E1">
            <w:pPr>
              <w:jc w:val="right"/>
            </w:pPr>
            <w:r>
              <w:rPr>
                <w:color w:val="000000"/>
                <w:sz w:val="24"/>
              </w:rPr>
              <w:t>281,215,137.15</w:t>
            </w:r>
          </w:p>
        </w:tc>
        <w:tc>
          <w:tcPr>
            <w:tcW w:w="1134" w:type="dxa"/>
            <w:vAlign w:val="center"/>
          </w:tcPr>
          <w:p w:rsidR="001E0B8A" w:rsidRDefault="006764E1">
            <w:pPr>
              <w:jc w:val="right"/>
            </w:pPr>
            <w:r>
              <w:rPr>
                <w:color w:val="000000"/>
                <w:sz w:val="24"/>
              </w:rPr>
              <w:t>1.51</w:t>
            </w:r>
          </w:p>
        </w:tc>
      </w:tr>
    </w:tbl>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5.3.2</w:t>
      </w:r>
      <w:r w:rsidRPr="00045BEC">
        <w:rPr>
          <w:rFonts w:ascii="宋体" w:hAnsi="宋体" w:cs="Arial" w:hint="eastAsia"/>
          <w:b/>
          <w:color w:val="000000"/>
          <w:kern w:val="0"/>
          <w:sz w:val="24"/>
        </w:rPr>
        <w:t>期末</w:t>
      </w:r>
      <w:r w:rsidRPr="00045BEC">
        <w:rPr>
          <w:rFonts w:ascii="宋体" w:hAnsi="宋体" w:hint="eastAsia"/>
          <w:b/>
          <w:sz w:val="24"/>
        </w:rPr>
        <w:t>积极投资按公允价值占基金资产净值比例大小排序的前五名股票投资明细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843"/>
        <w:gridCol w:w="2126"/>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7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126"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1E0B8A">
        <w:tc>
          <w:tcPr>
            <w:tcW w:w="817" w:type="dxa"/>
            <w:vAlign w:val="center"/>
          </w:tcPr>
          <w:p w:rsidR="001E0B8A" w:rsidRDefault="006764E1">
            <w:pPr>
              <w:jc w:val="center"/>
            </w:pPr>
            <w:r>
              <w:rPr>
                <w:color w:val="000000"/>
                <w:sz w:val="24"/>
              </w:rPr>
              <w:t>1</w:t>
            </w:r>
          </w:p>
        </w:tc>
        <w:tc>
          <w:tcPr>
            <w:tcW w:w="1276" w:type="dxa"/>
            <w:vAlign w:val="center"/>
          </w:tcPr>
          <w:p w:rsidR="001E0B8A" w:rsidRDefault="006764E1">
            <w:pPr>
              <w:jc w:val="center"/>
            </w:pPr>
            <w:r>
              <w:rPr>
                <w:color w:val="000000"/>
                <w:sz w:val="24"/>
              </w:rPr>
              <w:t>000001</w:t>
            </w:r>
          </w:p>
        </w:tc>
        <w:tc>
          <w:tcPr>
            <w:tcW w:w="1701" w:type="dxa"/>
            <w:vAlign w:val="center"/>
          </w:tcPr>
          <w:p w:rsidR="001E0B8A" w:rsidRDefault="006764E1">
            <w:pPr>
              <w:jc w:val="center"/>
            </w:pPr>
            <w:r>
              <w:rPr>
                <w:color w:val="000000"/>
                <w:sz w:val="24"/>
              </w:rPr>
              <w:t>平安银行</w:t>
            </w:r>
          </w:p>
        </w:tc>
        <w:tc>
          <w:tcPr>
            <w:tcW w:w="1843" w:type="dxa"/>
            <w:vAlign w:val="center"/>
          </w:tcPr>
          <w:p w:rsidR="001E0B8A" w:rsidRDefault="006764E1">
            <w:pPr>
              <w:jc w:val="right"/>
            </w:pPr>
            <w:r>
              <w:rPr>
                <w:color w:val="000000"/>
                <w:sz w:val="24"/>
              </w:rPr>
              <w:t>60,643,555</w:t>
            </w:r>
          </w:p>
        </w:tc>
        <w:tc>
          <w:tcPr>
            <w:tcW w:w="2126" w:type="dxa"/>
            <w:vAlign w:val="center"/>
          </w:tcPr>
          <w:p w:rsidR="001E0B8A" w:rsidRDefault="006764E1">
            <w:pPr>
              <w:jc w:val="right"/>
            </w:pPr>
            <w:r>
              <w:rPr>
                <w:color w:val="000000"/>
                <w:sz w:val="24"/>
              </w:rPr>
              <w:t>776,237,504.00</w:t>
            </w:r>
          </w:p>
        </w:tc>
        <w:tc>
          <w:tcPr>
            <w:tcW w:w="1134" w:type="dxa"/>
            <w:vAlign w:val="center"/>
          </w:tcPr>
          <w:p w:rsidR="001E0B8A" w:rsidRDefault="006764E1">
            <w:pPr>
              <w:jc w:val="right"/>
            </w:pPr>
            <w:r>
              <w:rPr>
                <w:color w:val="000000"/>
                <w:sz w:val="24"/>
              </w:rPr>
              <w:t>4.17</w:t>
            </w:r>
          </w:p>
        </w:tc>
      </w:tr>
      <w:tr w:rsidR="001E0B8A">
        <w:tc>
          <w:tcPr>
            <w:tcW w:w="817" w:type="dxa"/>
            <w:vAlign w:val="center"/>
          </w:tcPr>
          <w:p w:rsidR="001E0B8A" w:rsidRDefault="006764E1">
            <w:pPr>
              <w:jc w:val="center"/>
            </w:pPr>
            <w:r>
              <w:rPr>
                <w:color w:val="000000"/>
                <w:sz w:val="24"/>
              </w:rPr>
              <w:t>2</w:t>
            </w:r>
          </w:p>
        </w:tc>
        <w:tc>
          <w:tcPr>
            <w:tcW w:w="1276" w:type="dxa"/>
            <w:vAlign w:val="center"/>
          </w:tcPr>
          <w:p w:rsidR="001E0B8A" w:rsidRDefault="006764E1">
            <w:pPr>
              <w:jc w:val="center"/>
            </w:pPr>
            <w:r>
              <w:rPr>
                <w:color w:val="000000"/>
                <w:sz w:val="24"/>
              </w:rPr>
              <w:t>000858</w:t>
            </w:r>
          </w:p>
        </w:tc>
        <w:tc>
          <w:tcPr>
            <w:tcW w:w="1701" w:type="dxa"/>
            <w:vAlign w:val="center"/>
          </w:tcPr>
          <w:p w:rsidR="001E0B8A" w:rsidRDefault="006764E1">
            <w:pPr>
              <w:jc w:val="center"/>
            </w:pPr>
            <w:r>
              <w:rPr>
                <w:color w:val="000000"/>
                <w:sz w:val="24"/>
              </w:rPr>
              <w:t>五粮液</w:t>
            </w:r>
          </w:p>
        </w:tc>
        <w:tc>
          <w:tcPr>
            <w:tcW w:w="1843" w:type="dxa"/>
            <w:vAlign w:val="center"/>
          </w:tcPr>
          <w:p w:rsidR="001E0B8A" w:rsidRDefault="006764E1">
            <w:pPr>
              <w:jc w:val="right"/>
            </w:pPr>
            <w:r>
              <w:rPr>
                <w:color w:val="000000"/>
                <w:sz w:val="24"/>
              </w:rPr>
              <w:t>6,121,600</w:t>
            </w:r>
          </w:p>
        </w:tc>
        <w:tc>
          <w:tcPr>
            <w:tcW w:w="2126" w:type="dxa"/>
            <w:vAlign w:val="center"/>
          </w:tcPr>
          <w:p w:rsidR="001E0B8A" w:rsidRDefault="006764E1">
            <w:pPr>
              <w:jc w:val="right"/>
            </w:pPr>
            <w:r>
              <w:rPr>
                <w:color w:val="000000"/>
                <w:sz w:val="24"/>
              </w:rPr>
              <w:t>705,208,320.00</w:t>
            </w:r>
          </w:p>
        </w:tc>
        <w:tc>
          <w:tcPr>
            <w:tcW w:w="1134" w:type="dxa"/>
            <w:vAlign w:val="center"/>
          </w:tcPr>
          <w:p w:rsidR="001E0B8A" w:rsidRDefault="006764E1">
            <w:pPr>
              <w:jc w:val="right"/>
            </w:pPr>
            <w:r>
              <w:rPr>
                <w:color w:val="000000"/>
                <w:sz w:val="24"/>
              </w:rPr>
              <w:t>3.79</w:t>
            </w:r>
          </w:p>
        </w:tc>
      </w:tr>
      <w:tr w:rsidR="001E0B8A">
        <w:tc>
          <w:tcPr>
            <w:tcW w:w="817" w:type="dxa"/>
            <w:vAlign w:val="center"/>
          </w:tcPr>
          <w:p w:rsidR="001E0B8A" w:rsidRDefault="006764E1">
            <w:pPr>
              <w:jc w:val="center"/>
            </w:pPr>
            <w:r>
              <w:rPr>
                <w:color w:val="000000"/>
                <w:sz w:val="24"/>
              </w:rPr>
              <w:t>3</w:t>
            </w:r>
          </w:p>
        </w:tc>
        <w:tc>
          <w:tcPr>
            <w:tcW w:w="1276" w:type="dxa"/>
            <w:vAlign w:val="center"/>
          </w:tcPr>
          <w:p w:rsidR="001E0B8A" w:rsidRDefault="006764E1">
            <w:pPr>
              <w:jc w:val="center"/>
            </w:pPr>
            <w:r>
              <w:rPr>
                <w:color w:val="000000"/>
                <w:sz w:val="24"/>
              </w:rPr>
              <w:t>002007</w:t>
            </w:r>
          </w:p>
        </w:tc>
        <w:tc>
          <w:tcPr>
            <w:tcW w:w="1701" w:type="dxa"/>
            <w:vAlign w:val="center"/>
          </w:tcPr>
          <w:p w:rsidR="001E0B8A" w:rsidRDefault="006764E1">
            <w:pPr>
              <w:jc w:val="center"/>
            </w:pPr>
            <w:r>
              <w:rPr>
                <w:color w:val="000000"/>
                <w:sz w:val="24"/>
              </w:rPr>
              <w:t>华兰生物</w:t>
            </w:r>
          </w:p>
        </w:tc>
        <w:tc>
          <w:tcPr>
            <w:tcW w:w="1843" w:type="dxa"/>
            <w:vAlign w:val="center"/>
          </w:tcPr>
          <w:p w:rsidR="001E0B8A" w:rsidRDefault="006764E1">
            <w:pPr>
              <w:jc w:val="right"/>
            </w:pPr>
            <w:r>
              <w:rPr>
                <w:color w:val="000000"/>
                <w:sz w:val="24"/>
              </w:rPr>
              <w:t>14,562,977</w:t>
            </w:r>
          </w:p>
        </w:tc>
        <w:tc>
          <w:tcPr>
            <w:tcW w:w="2126" w:type="dxa"/>
            <w:vAlign w:val="center"/>
          </w:tcPr>
          <w:p w:rsidR="001E0B8A" w:rsidRDefault="006764E1">
            <w:pPr>
              <w:jc w:val="right"/>
            </w:pPr>
            <w:r>
              <w:rPr>
                <w:color w:val="000000"/>
                <w:sz w:val="24"/>
              </w:rPr>
              <w:t>697,857,857.84</w:t>
            </w:r>
          </w:p>
        </w:tc>
        <w:tc>
          <w:tcPr>
            <w:tcW w:w="1134" w:type="dxa"/>
            <w:vAlign w:val="center"/>
          </w:tcPr>
          <w:p w:rsidR="001E0B8A" w:rsidRDefault="006764E1">
            <w:pPr>
              <w:jc w:val="right"/>
            </w:pPr>
            <w:r>
              <w:rPr>
                <w:color w:val="000000"/>
                <w:sz w:val="24"/>
              </w:rPr>
              <w:t>3.75</w:t>
            </w:r>
          </w:p>
        </w:tc>
      </w:tr>
      <w:tr w:rsidR="001E0B8A">
        <w:tc>
          <w:tcPr>
            <w:tcW w:w="817" w:type="dxa"/>
            <w:vAlign w:val="center"/>
          </w:tcPr>
          <w:p w:rsidR="001E0B8A" w:rsidRDefault="006764E1">
            <w:pPr>
              <w:jc w:val="center"/>
            </w:pPr>
            <w:r>
              <w:rPr>
                <w:color w:val="000000"/>
                <w:sz w:val="24"/>
              </w:rPr>
              <w:t>4</w:t>
            </w:r>
          </w:p>
        </w:tc>
        <w:tc>
          <w:tcPr>
            <w:tcW w:w="1276" w:type="dxa"/>
            <w:vAlign w:val="center"/>
          </w:tcPr>
          <w:p w:rsidR="001E0B8A" w:rsidRDefault="006764E1">
            <w:pPr>
              <w:jc w:val="center"/>
            </w:pPr>
            <w:r>
              <w:rPr>
                <w:color w:val="000000"/>
                <w:sz w:val="24"/>
              </w:rPr>
              <w:t>000661</w:t>
            </w:r>
          </w:p>
        </w:tc>
        <w:tc>
          <w:tcPr>
            <w:tcW w:w="1701" w:type="dxa"/>
            <w:vAlign w:val="center"/>
          </w:tcPr>
          <w:p w:rsidR="001E0B8A" w:rsidRDefault="006764E1">
            <w:pPr>
              <w:jc w:val="center"/>
            </w:pPr>
            <w:r>
              <w:rPr>
                <w:color w:val="000000"/>
                <w:sz w:val="24"/>
              </w:rPr>
              <w:t>长春高新</w:t>
            </w:r>
          </w:p>
        </w:tc>
        <w:tc>
          <w:tcPr>
            <w:tcW w:w="1843" w:type="dxa"/>
            <w:vAlign w:val="center"/>
          </w:tcPr>
          <w:p w:rsidR="001E0B8A" w:rsidRDefault="006764E1">
            <w:pPr>
              <w:jc w:val="right"/>
            </w:pPr>
            <w:r>
              <w:rPr>
                <w:color w:val="000000"/>
                <w:sz w:val="24"/>
              </w:rPr>
              <w:t>1,126,999</w:t>
            </w:r>
          </w:p>
        </w:tc>
        <w:tc>
          <w:tcPr>
            <w:tcW w:w="2126" w:type="dxa"/>
            <w:vAlign w:val="center"/>
          </w:tcPr>
          <w:p w:rsidR="001E0B8A" w:rsidRDefault="006764E1">
            <w:pPr>
              <w:jc w:val="right"/>
            </w:pPr>
            <w:r>
              <w:rPr>
                <w:color w:val="000000"/>
                <w:sz w:val="24"/>
              </w:rPr>
              <w:t>617,595,452.00</w:t>
            </w:r>
          </w:p>
        </w:tc>
        <w:tc>
          <w:tcPr>
            <w:tcW w:w="1134" w:type="dxa"/>
            <w:vAlign w:val="center"/>
          </w:tcPr>
          <w:p w:rsidR="001E0B8A" w:rsidRDefault="006764E1">
            <w:pPr>
              <w:jc w:val="right"/>
            </w:pPr>
            <w:r>
              <w:rPr>
                <w:color w:val="000000"/>
                <w:sz w:val="24"/>
              </w:rPr>
              <w:t>3.32</w:t>
            </w:r>
          </w:p>
        </w:tc>
      </w:tr>
      <w:tr w:rsidR="001E0B8A">
        <w:tc>
          <w:tcPr>
            <w:tcW w:w="817" w:type="dxa"/>
            <w:vAlign w:val="center"/>
          </w:tcPr>
          <w:p w:rsidR="001E0B8A" w:rsidRDefault="006764E1">
            <w:pPr>
              <w:jc w:val="center"/>
            </w:pPr>
            <w:r>
              <w:rPr>
                <w:color w:val="000000"/>
                <w:sz w:val="24"/>
              </w:rPr>
              <w:t>5</w:t>
            </w:r>
          </w:p>
        </w:tc>
        <w:tc>
          <w:tcPr>
            <w:tcW w:w="1276" w:type="dxa"/>
            <w:vAlign w:val="center"/>
          </w:tcPr>
          <w:p w:rsidR="001E0B8A" w:rsidRDefault="006764E1">
            <w:pPr>
              <w:jc w:val="center"/>
            </w:pPr>
            <w:r>
              <w:rPr>
                <w:color w:val="000000"/>
                <w:sz w:val="24"/>
              </w:rPr>
              <w:t>002352</w:t>
            </w:r>
          </w:p>
        </w:tc>
        <w:tc>
          <w:tcPr>
            <w:tcW w:w="1701" w:type="dxa"/>
            <w:vAlign w:val="center"/>
          </w:tcPr>
          <w:p w:rsidR="001E0B8A" w:rsidRDefault="006764E1">
            <w:pPr>
              <w:jc w:val="center"/>
            </w:pPr>
            <w:r>
              <w:rPr>
                <w:color w:val="000000"/>
                <w:sz w:val="24"/>
              </w:rPr>
              <w:t>顺丰控股</w:t>
            </w:r>
          </w:p>
        </w:tc>
        <w:tc>
          <w:tcPr>
            <w:tcW w:w="1843" w:type="dxa"/>
            <w:vAlign w:val="center"/>
          </w:tcPr>
          <w:p w:rsidR="001E0B8A" w:rsidRDefault="006764E1">
            <w:pPr>
              <w:jc w:val="right"/>
            </w:pPr>
            <w:r>
              <w:rPr>
                <w:color w:val="000000"/>
                <w:sz w:val="24"/>
              </w:rPr>
              <w:t>6,099,892</w:t>
            </w:r>
          </w:p>
        </w:tc>
        <w:tc>
          <w:tcPr>
            <w:tcW w:w="2126" w:type="dxa"/>
            <w:vAlign w:val="center"/>
          </w:tcPr>
          <w:p w:rsidR="001E0B8A" w:rsidRDefault="006764E1">
            <w:pPr>
              <w:jc w:val="right"/>
            </w:pPr>
            <w:r>
              <w:rPr>
                <w:color w:val="000000"/>
                <w:sz w:val="24"/>
              </w:rPr>
              <w:t>288,158,898.08</w:t>
            </w:r>
          </w:p>
        </w:tc>
        <w:tc>
          <w:tcPr>
            <w:tcW w:w="1134" w:type="dxa"/>
            <w:vAlign w:val="center"/>
          </w:tcPr>
          <w:p w:rsidR="001E0B8A" w:rsidRDefault="006764E1">
            <w:pPr>
              <w:jc w:val="right"/>
            </w:pPr>
            <w:r>
              <w:rPr>
                <w:color w:val="000000"/>
                <w:sz w:val="24"/>
              </w:rPr>
              <w:t>1.55</w:t>
            </w:r>
          </w:p>
        </w:tc>
      </w:tr>
    </w:tbl>
    <w:p w:rsidR="00712EE5" w:rsidRPr="00712EE5" w:rsidRDefault="00A62673" w:rsidP="00712EE5">
      <w:pPr>
        <w:autoSpaceDE w:val="0"/>
        <w:autoSpaceDN w:val="0"/>
        <w:adjustRightInd w:val="0"/>
        <w:spacing w:line="360" w:lineRule="auto"/>
        <w:jc w:val="left"/>
        <w:rPr>
          <w:rFonts w:eastAsiaTheme="minorEastAsia"/>
          <w:b/>
          <w:color w:val="000000" w:themeColor="text1"/>
          <w:kern w:val="0"/>
          <w:sz w:val="24"/>
        </w:rPr>
      </w:pPr>
      <w:r w:rsidRPr="00EC5CE0">
        <w:rPr>
          <w:rFonts w:ascii="宋体" w:hAnsi="宋体" w:cs="Arial"/>
          <w:b/>
          <w:color w:val="000000"/>
          <w:kern w:val="0"/>
          <w:sz w:val="24"/>
        </w:rPr>
        <w:t xml:space="preserve">5.4 </w:t>
      </w:r>
      <w:r w:rsidRPr="00EC5CE0">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序号</w:t>
            </w:r>
          </w:p>
        </w:tc>
        <w:tc>
          <w:tcPr>
            <w:tcW w:w="2835"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债券品种</w:t>
            </w:r>
          </w:p>
        </w:tc>
        <w:tc>
          <w:tcPr>
            <w:tcW w:w="2694"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公允价值</w:t>
            </w:r>
            <w:r w:rsidRPr="00712EE5">
              <w:rPr>
                <w:rFonts w:eastAsiaTheme="minorEastAsia"/>
                <w:color w:val="000000" w:themeColor="text1"/>
                <w:sz w:val="24"/>
              </w:rPr>
              <w:t>(</w:t>
            </w:r>
            <w:r w:rsidRPr="00712EE5">
              <w:rPr>
                <w:rFonts w:eastAsiaTheme="minorEastAsia"/>
                <w:color w:val="000000" w:themeColor="text1"/>
                <w:sz w:val="24"/>
              </w:rPr>
              <w:t>元</w:t>
            </w: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占基金资产净值比例</w:t>
            </w:r>
            <w:r w:rsidRPr="00712EE5">
              <w:rPr>
                <w:rFonts w:eastAsiaTheme="minorEastAsia"/>
                <w:color w:val="000000" w:themeColor="text1"/>
                <w:sz w:val="24"/>
              </w:rPr>
              <w:t>(</w:t>
            </w:r>
            <w:r w:rsidRPr="00712EE5">
              <w:rPr>
                <w:rFonts w:eastAsiaTheme="minorEastAsia"/>
                <w:color w:val="000000" w:themeColor="text1"/>
                <w:sz w:val="24"/>
              </w:rPr>
              <w:t>％</w:t>
            </w: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1</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国家债券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2</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央行票据</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3</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金融债券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604,402,000.00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3.25</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其中：政策性金融债</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604,402,000.00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3.25</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4</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企业债券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5</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企业短期融资券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6</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中期票据</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7</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可转债</w:t>
            </w:r>
            <w:r w:rsidR="00165A09" w:rsidRPr="00165A09">
              <w:rPr>
                <w:rFonts w:eastAsiaTheme="minorEastAsia" w:hint="eastAsia"/>
                <w:color w:val="000000" w:themeColor="text1"/>
                <w:sz w:val="24"/>
              </w:rPr>
              <w:t>（可交换债）</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8</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同业存单</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9</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其他</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10</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合计</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604,402,000.00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3.25</w:t>
            </w:r>
          </w:p>
        </w:tc>
      </w:tr>
    </w:tbl>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5.5 </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559"/>
        <w:gridCol w:w="1468"/>
        <w:gridCol w:w="1651"/>
        <w:gridCol w:w="1843"/>
        <w:gridCol w:w="1190"/>
      </w:tblGrid>
      <w:tr w:rsidR="00A62673" w:rsidRPr="00EC5CE0" w:rsidTr="0029046D">
        <w:tc>
          <w:tcPr>
            <w:tcW w:w="817"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序号</w:t>
            </w:r>
          </w:p>
        </w:tc>
        <w:tc>
          <w:tcPr>
            <w:tcW w:w="1559"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债券代码</w:t>
            </w:r>
          </w:p>
        </w:tc>
        <w:tc>
          <w:tcPr>
            <w:tcW w:w="1468"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债券名称</w:t>
            </w:r>
          </w:p>
        </w:tc>
        <w:tc>
          <w:tcPr>
            <w:tcW w:w="1651"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数量</w:t>
            </w:r>
            <w:r w:rsidR="005A2769" w:rsidRPr="00C1648E">
              <w:rPr>
                <w:color w:val="000000"/>
                <w:sz w:val="24"/>
              </w:rPr>
              <w:t>（张）</w:t>
            </w:r>
          </w:p>
        </w:tc>
        <w:tc>
          <w:tcPr>
            <w:tcW w:w="1843"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公允价值</w:t>
            </w:r>
            <w:r w:rsidR="005A2769" w:rsidRPr="00C1648E">
              <w:rPr>
                <w:color w:val="000000"/>
                <w:sz w:val="24"/>
              </w:rPr>
              <w:t>（元）</w:t>
            </w:r>
          </w:p>
        </w:tc>
        <w:tc>
          <w:tcPr>
            <w:tcW w:w="1190"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1E0B8A">
        <w:tc>
          <w:tcPr>
            <w:tcW w:w="817" w:type="dxa"/>
            <w:vAlign w:val="center"/>
          </w:tcPr>
          <w:p w:rsidR="001E0B8A" w:rsidRDefault="006764E1">
            <w:pPr>
              <w:jc w:val="center"/>
            </w:pPr>
            <w:r>
              <w:rPr>
                <w:color w:val="000000"/>
                <w:sz w:val="24"/>
              </w:rPr>
              <w:t>1</w:t>
            </w:r>
          </w:p>
        </w:tc>
        <w:tc>
          <w:tcPr>
            <w:tcW w:w="1559" w:type="dxa"/>
            <w:vAlign w:val="center"/>
          </w:tcPr>
          <w:p w:rsidR="001E0B8A" w:rsidRDefault="006764E1">
            <w:pPr>
              <w:jc w:val="center"/>
            </w:pPr>
            <w:r>
              <w:rPr>
                <w:color w:val="000000"/>
                <w:sz w:val="24"/>
              </w:rPr>
              <w:t>170209</w:t>
            </w:r>
          </w:p>
        </w:tc>
        <w:tc>
          <w:tcPr>
            <w:tcW w:w="1468" w:type="dxa"/>
            <w:vAlign w:val="center"/>
          </w:tcPr>
          <w:p w:rsidR="001E0B8A" w:rsidRDefault="006764E1">
            <w:pPr>
              <w:jc w:val="center"/>
            </w:pPr>
            <w:r>
              <w:rPr>
                <w:color w:val="000000"/>
                <w:sz w:val="24"/>
              </w:rPr>
              <w:t>17</w:t>
            </w:r>
            <w:r>
              <w:rPr>
                <w:color w:val="000000"/>
                <w:sz w:val="24"/>
              </w:rPr>
              <w:t>国开</w:t>
            </w:r>
            <w:r>
              <w:rPr>
                <w:color w:val="000000"/>
                <w:sz w:val="24"/>
              </w:rPr>
              <w:t>09</w:t>
            </w:r>
          </w:p>
        </w:tc>
        <w:tc>
          <w:tcPr>
            <w:tcW w:w="1651" w:type="dxa"/>
            <w:vAlign w:val="center"/>
          </w:tcPr>
          <w:p w:rsidR="001E0B8A" w:rsidRDefault="006764E1">
            <w:pPr>
              <w:jc w:val="right"/>
            </w:pPr>
            <w:r>
              <w:rPr>
                <w:color w:val="000000"/>
                <w:sz w:val="24"/>
              </w:rPr>
              <w:t>3,700,000</w:t>
            </w:r>
          </w:p>
        </w:tc>
        <w:tc>
          <w:tcPr>
            <w:tcW w:w="1843" w:type="dxa"/>
            <w:vAlign w:val="center"/>
          </w:tcPr>
          <w:p w:rsidR="001E0B8A" w:rsidRDefault="006764E1">
            <w:pPr>
              <w:jc w:val="right"/>
            </w:pPr>
            <w:r>
              <w:rPr>
                <w:color w:val="000000"/>
                <w:sz w:val="24"/>
              </w:rPr>
              <w:t>374,218,000.00</w:t>
            </w:r>
          </w:p>
        </w:tc>
        <w:tc>
          <w:tcPr>
            <w:tcW w:w="1190" w:type="dxa"/>
            <w:vAlign w:val="center"/>
          </w:tcPr>
          <w:p w:rsidR="001E0B8A" w:rsidRDefault="006764E1">
            <w:pPr>
              <w:jc w:val="right"/>
            </w:pPr>
            <w:r>
              <w:rPr>
                <w:color w:val="000000"/>
                <w:sz w:val="24"/>
              </w:rPr>
              <w:t>2.01</w:t>
            </w:r>
          </w:p>
        </w:tc>
      </w:tr>
      <w:tr w:rsidR="001E0B8A">
        <w:tc>
          <w:tcPr>
            <w:tcW w:w="817" w:type="dxa"/>
            <w:vAlign w:val="center"/>
          </w:tcPr>
          <w:p w:rsidR="001E0B8A" w:rsidRDefault="006764E1">
            <w:pPr>
              <w:jc w:val="center"/>
            </w:pPr>
            <w:r>
              <w:rPr>
                <w:color w:val="000000"/>
                <w:sz w:val="24"/>
              </w:rPr>
              <w:t>2</w:t>
            </w:r>
          </w:p>
        </w:tc>
        <w:tc>
          <w:tcPr>
            <w:tcW w:w="1559" w:type="dxa"/>
            <w:vAlign w:val="center"/>
          </w:tcPr>
          <w:p w:rsidR="001E0B8A" w:rsidRDefault="006764E1">
            <w:pPr>
              <w:jc w:val="center"/>
            </w:pPr>
            <w:r>
              <w:rPr>
                <w:color w:val="000000"/>
                <w:sz w:val="24"/>
              </w:rPr>
              <w:t>190206</w:t>
            </w:r>
          </w:p>
        </w:tc>
        <w:tc>
          <w:tcPr>
            <w:tcW w:w="1468" w:type="dxa"/>
            <w:vAlign w:val="center"/>
          </w:tcPr>
          <w:p w:rsidR="001E0B8A" w:rsidRDefault="006764E1">
            <w:pPr>
              <w:jc w:val="center"/>
            </w:pPr>
            <w:r>
              <w:rPr>
                <w:color w:val="000000"/>
                <w:sz w:val="24"/>
              </w:rPr>
              <w:t>19</w:t>
            </w:r>
            <w:r>
              <w:rPr>
                <w:color w:val="000000"/>
                <w:sz w:val="24"/>
              </w:rPr>
              <w:t>国开</w:t>
            </w:r>
            <w:r>
              <w:rPr>
                <w:color w:val="000000"/>
                <w:sz w:val="24"/>
              </w:rPr>
              <w:t>06</w:t>
            </w:r>
          </w:p>
        </w:tc>
        <w:tc>
          <w:tcPr>
            <w:tcW w:w="1651" w:type="dxa"/>
            <w:vAlign w:val="center"/>
          </w:tcPr>
          <w:p w:rsidR="001E0B8A" w:rsidRDefault="006764E1">
            <w:pPr>
              <w:jc w:val="right"/>
            </w:pPr>
            <w:r>
              <w:rPr>
                <w:color w:val="000000"/>
                <w:sz w:val="24"/>
              </w:rPr>
              <w:t>2,300,000</w:t>
            </w:r>
          </w:p>
        </w:tc>
        <w:tc>
          <w:tcPr>
            <w:tcW w:w="1843" w:type="dxa"/>
            <w:vAlign w:val="center"/>
          </w:tcPr>
          <w:p w:rsidR="001E0B8A" w:rsidRDefault="006764E1">
            <w:pPr>
              <w:jc w:val="right"/>
            </w:pPr>
            <w:r>
              <w:rPr>
                <w:color w:val="000000"/>
                <w:sz w:val="24"/>
              </w:rPr>
              <w:t>230,184,000.00</w:t>
            </w:r>
          </w:p>
        </w:tc>
        <w:tc>
          <w:tcPr>
            <w:tcW w:w="1190" w:type="dxa"/>
            <w:vAlign w:val="center"/>
          </w:tcPr>
          <w:p w:rsidR="001E0B8A" w:rsidRDefault="006764E1">
            <w:pPr>
              <w:jc w:val="right"/>
            </w:pPr>
            <w:r>
              <w:rPr>
                <w:color w:val="000000"/>
                <w:sz w:val="24"/>
              </w:rPr>
              <w:t>1.24</w:t>
            </w:r>
          </w:p>
        </w:tc>
      </w:tr>
    </w:tbl>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5.6</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的前十名资产支持证券投资明细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本基金本报告期末未持有资产支持证券。</w:t>
      </w:r>
    </w:p>
    <w:p w:rsidR="00A62673" w:rsidRPr="001D63BB" w:rsidRDefault="00A62673" w:rsidP="008021E8">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本基金本报告期末未持有贵金属。</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cs="Arial"/>
          <w:b/>
          <w:color w:val="000000"/>
          <w:kern w:val="0"/>
          <w:sz w:val="24"/>
        </w:rPr>
        <w:t>5.8</w:t>
      </w:r>
      <w:r w:rsidRPr="00EC5CE0">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EC5CE0">
        <w:rPr>
          <w:rFonts w:ascii="宋体" w:hAnsi="宋体" w:hint="eastAsia"/>
          <w:b/>
          <w:bCs/>
          <w:color w:val="000000"/>
          <w:sz w:val="24"/>
        </w:rPr>
        <w:t>的前五名权证投资明细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本基金本报告期末未持有权证。</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 xml:space="preserve">5.9 </w:t>
      </w:r>
      <w:r w:rsidRPr="00EC5CE0">
        <w:rPr>
          <w:rFonts w:ascii="宋体" w:hAnsi="宋体" w:hint="eastAsia"/>
          <w:b/>
          <w:sz w:val="24"/>
        </w:rPr>
        <w:t>报告期末本基金投资的股指期货交易情况说明</w:t>
      </w:r>
    </w:p>
    <w:p w:rsidR="00494580" w:rsidRDefault="00494580" w:rsidP="00494580">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5.10</w:t>
      </w:r>
      <w:r w:rsidRPr="00EC5CE0">
        <w:rPr>
          <w:rFonts w:ascii="宋体" w:hAnsi="宋体" w:hint="eastAsia"/>
          <w:b/>
          <w:sz w:val="24"/>
        </w:rPr>
        <w:t>报告期末本基金投资的国债期货交易情况说明</w:t>
      </w:r>
    </w:p>
    <w:p w:rsidR="00C27466" w:rsidRDefault="00C27466" w:rsidP="00C27466">
      <w:pPr>
        <w:spacing w:line="360" w:lineRule="auto"/>
        <w:ind w:firstLineChars="200" w:firstLine="480"/>
      </w:pPr>
      <w:r>
        <w:rPr>
          <w:color w:val="000000"/>
          <w:sz w:val="24"/>
        </w:rPr>
        <w:t>本基金本报告期末未投资国债期货。</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5.11</w:t>
      </w:r>
      <w:r w:rsidRPr="00EC5CE0">
        <w:rPr>
          <w:rFonts w:ascii="宋体" w:hAnsi="宋体" w:cs="Arial" w:hint="eastAsia"/>
          <w:b/>
          <w:color w:val="000000"/>
          <w:kern w:val="0"/>
          <w:sz w:val="24"/>
        </w:rPr>
        <w:t>投资组合报告附注</w:t>
      </w:r>
    </w:p>
    <w:p w:rsidR="00287D36" w:rsidRPr="00287D36" w:rsidRDefault="00A62673" w:rsidP="00287D36">
      <w:pPr>
        <w:spacing w:line="360" w:lineRule="auto"/>
        <w:rPr>
          <w:rFonts w:hint="eastAsia"/>
          <w:color w:val="000000"/>
          <w:sz w:val="24"/>
        </w:rPr>
      </w:pPr>
      <w:r w:rsidRPr="00EC5CE0">
        <w:rPr>
          <w:rFonts w:ascii="宋体" w:hAnsi="宋体"/>
          <w:color w:val="000000"/>
          <w:sz w:val="24"/>
        </w:rPr>
        <w:t>5.11.1</w:t>
      </w:r>
      <w:r w:rsidR="00A4276F">
        <w:rPr>
          <w:rFonts w:ascii="宋体" w:hAnsi="宋体" w:hint="eastAsia"/>
          <w:color w:val="000000"/>
          <w:sz w:val="24"/>
        </w:rPr>
        <w:t xml:space="preserve"> </w:t>
      </w:r>
      <w:r w:rsidR="00287D36" w:rsidRPr="00287D36">
        <w:rPr>
          <w:rFonts w:hint="eastAsia"/>
          <w:color w:val="000000"/>
          <w:sz w:val="24"/>
        </w:rPr>
        <w:t>招商银行（代码：</w:t>
      </w:r>
      <w:r w:rsidR="00287D36" w:rsidRPr="00287D36">
        <w:rPr>
          <w:rFonts w:hint="eastAsia"/>
          <w:color w:val="000000"/>
          <w:sz w:val="24"/>
        </w:rPr>
        <w:t>600036</w:t>
      </w:r>
      <w:r w:rsidR="00287D36" w:rsidRPr="00287D36">
        <w:rPr>
          <w:rFonts w:hint="eastAsia"/>
          <w:color w:val="000000"/>
          <w:sz w:val="24"/>
        </w:rPr>
        <w:t>）为易方达</w:t>
      </w:r>
      <w:r w:rsidR="00287D36" w:rsidRPr="00287D36">
        <w:rPr>
          <w:rFonts w:hint="eastAsia"/>
          <w:color w:val="000000"/>
          <w:sz w:val="24"/>
        </w:rPr>
        <w:t>50</w:t>
      </w:r>
      <w:r w:rsidR="00287D36" w:rsidRPr="00287D36">
        <w:rPr>
          <w:rFonts w:hint="eastAsia"/>
          <w:color w:val="000000"/>
          <w:sz w:val="24"/>
        </w:rPr>
        <w:t>指数证券投资基金的前十大重仓证券之一。</w:t>
      </w:r>
      <w:r w:rsidR="00287D36" w:rsidRPr="00287D36">
        <w:rPr>
          <w:rFonts w:hint="eastAsia"/>
          <w:color w:val="000000"/>
          <w:sz w:val="24"/>
        </w:rPr>
        <w:t>2019</w:t>
      </w:r>
      <w:r w:rsidR="00287D36" w:rsidRPr="00287D36">
        <w:rPr>
          <w:rFonts w:hint="eastAsia"/>
          <w:color w:val="000000"/>
          <w:sz w:val="24"/>
        </w:rPr>
        <w:t>年</w:t>
      </w:r>
      <w:r w:rsidR="00287D36" w:rsidRPr="00287D36">
        <w:rPr>
          <w:rFonts w:hint="eastAsia"/>
          <w:color w:val="000000"/>
          <w:sz w:val="24"/>
        </w:rPr>
        <w:t>7</w:t>
      </w:r>
      <w:r w:rsidR="00287D36" w:rsidRPr="00287D36">
        <w:rPr>
          <w:rFonts w:hint="eastAsia"/>
          <w:color w:val="000000"/>
          <w:sz w:val="24"/>
        </w:rPr>
        <w:t>月</w:t>
      </w:r>
      <w:r w:rsidR="00287D36" w:rsidRPr="00287D36">
        <w:rPr>
          <w:rFonts w:hint="eastAsia"/>
          <w:color w:val="000000"/>
          <w:sz w:val="24"/>
        </w:rPr>
        <w:t>8</w:t>
      </w:r>
      <w:r w:rsidR="00287D36" w:rsidRPr="00287D36">
        <w:rPr>
          <w:rFonts w:hint="eastAsia"/>
          <w:color w:val="000000"/>
          <w:sz w:val="24"/>
        </w:rPr>
        <w:t>日，中国银行保险监督管理委员会上海监管局对招商银行股份有限公司信用卡中心</w:t>
      </w:r>
      <w:r w:rsidR="00287D36" w:rsidRPr="00287D36">
        <w:rPr>
          <w:rFonts w:hint="eastAsia"/>
          <w:color w:val="000000"/>
          <w:sz w:val="24"/>
        </w:rPr>
        <w:t>2016</w:t>
      </w:r>
      <w:r w:rsidR="00287D36" w:rsidRPr="00287D36">
        <w:rPr>
          <w:rFonts w:hint="eastAsia"/>
          <w:color w:val="000000"/>
          <w:sz w:val="24"/>
        </w:rPr>
        <w:t>年</w:t>
      </w:r>
      <w:r w:rsidR="00287D36" w:rsidRPr="00287D36">
        <w:rPr>
          <w:rFonts w:hint="eastAsia"/>
          <w:color w:val="000000"/>
          <w:sz w:val="24"/>
        </w:rPr>
        <w:t>9</w:t>
      </w:r>
      <w:r w:rsidR="00287D36" w:rsidRPr="00287D36">
        <w:rPr>
          <w:rFonts w:hint="eastAsia"/>
          <w:color w:val="000000"/>
          <w:sz w:val="24"/>
        </w:rPr>
        <w:t>月至</w:t>
      </w:r>
      <w:r w:rsidR="00287D36" w:rsidRPr="00287D36">
        <w:rPr>
          <w:rFonts w:hint="eastAsia"/>
          <w:color w:val="000000"/>
          <w:sz w:val="24"/>
        </w:rPr>
        <w:t>2018</w:t>
      </w:r>
      <w:r w:rsidR="00287D36" w:rsidRPr="00287D36">
        <w:rPr>
          <w:rFonts w:hint="eastAsia"/>
          <w:color w:val="000000"/>
          <w:sz w:val="24"/>
        </w:rPr>
        <w:t>年</w:t>
      </w:r>
      <w:r w:rsidR="00287D36" w:rsidRPr="00287D36">
        <w:rPr>
          <w:rFonts w:hint="eastAsia"/>
          <w:color w:val="000000"/>
          <w:sz w:val="24"/>
        </w:rPr>
        <w:t>6</w:t>
      </w:r>
      <w:r w:rsidR="00287D36" w:rsidRPr="00287D36">
        <w:rPr>
          <w:rFonts w:hint="eastAsia"/>
          <w:color w:val="000000"/>
          <w:sz w:val="24"/>
        </w:rPr>
        <w:t>月在为部分客户办理信用卡业务时，未遵守总授信额度管理制度的违法违规事实，责令改正，并处罚款</w:t>
      </w:r>
      <w:r w:rsidR="00287D36" w:rsidRPr="00287D36">
        <w:rPr>
          <w:rFonts w:hint="eastAsia"/>
          <w:color w:val="000000"/>
          <w:sz w:val="24"/>
        </w:rPr>
        <w:t>20</w:t>
      </w:r>
      <w:r w:rsidR="00287D36" w:rsidRPr="00287D36">
        <w:rPr>
          <w:rFonts w:hint="eastAsia"/>
          <w:color w:val="000000"/>
          <w:sz w:val="24"/>
        </w:rPr>
        <w:t>万元。</w:t>
      </w:r>
    </w:p>
    <w:p w:rsidR="00287D36" w:rsidRPr="00287D36" w:rsidRDefault="00287D36" w:rsidP="00287D36">
      <w:pPr>
        <w:spacing w:line="360" w:lineRule="auto"/>
        <w:ind w:firstLineChars="200" w:firstLine="480"/>
        <w:rPr>
          <w:rFonts w:hint="eastAsia"/>
          <w:color w:val="000000"/>
          <w:sz w:val="24"/>
        </w:rPr>
      </w:pPr>
      <w:bookmarkStart w:id="0" w:name="_GoBack"/>
      <w:r w:rsidRPr="00287D36">
        <w:rPr>
          <w:rFonts w:hint="eastAsia"/>
          <w:color w:val="000000"/>
          <w:sz w:val="24"/>
        </w:rPr>
        <w:t>兴业银行（代码：</w:t>
      </w:r>
      <w:r w:rsidRPr="00287D36">
        <w:rPr>
          <w:rFonts w:hint="eastAsia"/>
          <w:color w:val="000000"/>
          <w:sz w:val="24"/>
        </w:rPr>
        <w:t>601166</w:t>
      </w:r>
      <w:r w:rsidRPr="00287D36">
        <w:rPr>
          <w:rFonts w:hint="eastAsia"/>
          <w:color w:val="000000"/>
          <w:sz w:val="24"/>
        </w:rPr>
        <w:t>）为易方达</w:t>
      </w:r>
      <w:r w:rsidRPr="00287D36">
        <w:rPr>
          <w:rFonts w:hint="eastAsia"/>
          <w:color w:val="000000"/>
          <w:sz w:val="24"/>
        </w:rPr>
        <w:t>50</w:t>
      </w:r>
      <w:r w:rsidRPr="00287D36">
        <w:rPr>
          <w:rFonts w:hint="eastAsia"/>
          <w:color w:val="000000"/>
          <w:sz w:val="24"/>
        </w:rPr>
        <w:t>指数证券投资基金的前十大重仓证券之一。</w:t>
      </w:r>
      <w:r w:rsidRPr="00287D36">
        <w:rPr>
          <w:rFonts w:hint="eastAsia"/>
          <w:color w:val="000000"/>
          <w:sz w:val="24"/>
        </w:rPr>
        <w:t>2019</w:t>
      </w:r>
      <w:r w:rsidRPr="00287D36">
        <w:rPr>
          <w:rFonts w:hint="eastAsia"/>
          <w:color w:val="000000"/>
          <w:sz w:val="24"/>
        </w:rPr>
        <w:t>年</w:t>
      </w:r>
      <w:r w:rsidRPr="00287D36">
        <w:rPr>
          <w:rFonts w:hint="eastAsia"/>
          <w:color w:val="000000"/>
          <w:sz w:val="24"/>
        </w:rPr>
        <w:t>7</w:t>
      </w:r>
      <w:r w:rsidRPr="00287D36">
        <w:rPr>
          <w:rFonts w:hint="eastAsia"/>
          <w:color w:val="000000"/>
          <w:sz w:val="24"/>
        </w:rPr>
        <w:t>月</w:t>
      </w:r>
      <w:r w:rsidRPr="00287D36">
        <w:rPr>
          <w:rFonts w:hint="eastAsia"/>
          <w:color w:val="000000"/>
          <w:sz w:val="24"/>
        </w:rPr>
        <w:t>8</w:t>
      </w:r>
      <w:r w:rsidRPr="00287D36">
        <w:rPr>
          <w:rFonts w:hint="eastAsia"/>
          <w:color w:val="000000"/>
          <w:sz w:val="24"/>
        </w:rPr>
        <w:t>日，中国银行保险监督管理委员会上海监管局针对兴业银行股份有限公司信用卡中心</w:t>
      </w:r>
      <w:r w:rsidRPr="00287D36">
        <w:rPr>
          <w:rFonts w:hint="eastAsia"/>
          <w:color w:val="000000"/>
          <w:sz w:val="24"/>
        </w:rPr>
        <w:t>1</w:t>
      </w:r>
      <w:r w:rsidRPr="00287D36">
        <w:rPr>
          <w:rFonts w:hint="eastAsia"/>
          <w:color w:val="000000"/>
          <w:sz w:val="24"/>
        </w:rPr>
        <w:t>、</w:t>
      </w:r>
      <w:r w:rsidRPr="00287D36">
        <w:rPr>
          <w:rFonts w:hint="eastAsia"/>
          <w:color w:val="000000"/>
          <w:sz w:val="24"/>
        </w:rPr>
        <w:t>2016</w:t>
      </w:r>
      <w:r w:rsidRPr="00287D36">
        <w:rPr>
          <w:rFonts w:hint="eastAsia"/>
          <w:color w:val="000000"/>
          <w:sz w:val="24"/>
        </w:rPr>
        <w:t>年</w:t>
      </w:r>
      <w:r w:rsidRPr="00287D36">
        <w:rPr>
          <w:rFonts w:hint="eastAsia"/>
          <w:color w:val="000000"/>
          <w:sz w:val="24"/>
        </w:rPr>
        <w:t>1</w:t>
      </w:r>
      <w:r w:rsidRPr="00287D36">
        <w:rPr>
          <w:rFonts w:hint="eastAsia"/>
          <w:color w:val="000000"/>
          <w:sz w:val="24"/>
        </w:rPr>
        <w:t>月至</w:t>
      </w:r>
      <w:r w:rsidRPr="00287D36">
        <w:rPr>
          <w:rFonts w:hint="eastAsia"/>
          <w:color w:val="000000"/>
          <w:sz w:val="24"/>
        </w:rPr>
        <w:t>2018</w:t>
      </w:r>
      <w:r w:rsidRPr="00287D36">
        <w:rPr>
          <w:rFonts w:hint="eastAsia"/>
          <w:color w:val="000000"/>
          <w:sz w:val="24"/>
        </w:rPr>
        <w:t>年</w:t>
      </w:r>
      <w:r w:rsidRPr="00287D36">
        <w:rPr>
          <w:rFonts w:hint="eastAsia"/>
          <w:color w:val="000000"/>
          <w:sz w:val="24"/>
        </w:rPr>
        <w:t>1</w:t>
      </w:r>
      <w:r w:rsidRPr="00287D36">
        <w:rPr>
          <w:rFonts w:hint="eastAsia"/>
          <w:color w:val="000000"/>
          <w:sz w:val="24"/>
        </w:rPr>
        <w:t>月在为部分客户办理信用卡业务时未遵守总授信额度管理制度；</w:t>
      </w:r>
      <w:r w:rsidRPr="00287D36">
        <w:rPr>
          <w:rFonts w:hint="eastAsia"/>
          <w:color w:val="000000"/>
          <w:sz w:val="24"/>
        </w:rPr>
        <w:t>2</w:t>
      </w:r>
      <w:r w:rsidRPr="00287D36">
        <w:rPr>
          <w:rFonts w:hint="eastAsia"/>
          <w:color w:val="000000"/>
          <w:sz w:val="24"/>
        </w:rPr>
        <w:t>、</w:t>
      </w:r>
      <w:r w:rsidRPr="00287D36">
        <w:rPr>
          <w:rFonts w:hint="eastAsia"/>
          <w:color w:val="000000"/>
          <w:sz w:val="24"/>
        </w:rPr>
        <w:t>2016</w:t>
      </w:r>
      <w:r w:rsidRPr="00287D36">
        <w:rPr>
          <w:rFonts w:hint="eastAsia"/>
          <w:color w:val="000000"/>
          <w:sz w:val="24"/>
        </w:rPr>
        <w:t>年至</w:t>
      </w:r>
      <w:r w:rsidRPr="00287D36">
        <w:rPr>
          <w:rFonts w:hint="eastAsia"/>
          <w:color w:val="000000"/>
          <w:sz w:val="24"/>
        </w:rPr>
        <w:t>2018</w:t>
      </w:r>
      <w:r w:rsidRPr="00287D36">
        <w:rPr>
          <w:rFonts w:hint="eastAsia"/>
          <w:color w:val="000000"/>
          <w:sz w:val="24"/>
        </w:rPr>
        <w:t>年</w:t>
      </w:r>
      <w:r w:rsidRPr="00287D36">
        <w:rPr>
          <w:rFonts w:hint="eastAsia"/>
          <w:color w:val="000000"/>
          <w:sz w:val="24"/>
        </w:rPr>
        <w:t>8</w:t>
      </w:r>
      <w:r w:rsidRPr="00287D36">
        <w:rPr>
          <w:rFonts w:hint="eastAsia"/>
          <w:color w:val="000000"/>
          <w:sz w:val="24"/>
        </w:rPr>
        <w:t>月对部分信用卡申请人资信水平调查严重不尽职的违法违规行为，责令改正，并处罚款</w:t>
      </w:r>
      <w:r w:rsidRPr="00287D36">
        <w:rPr>
          <w:rFonts w:hint="eastAsia"/>
          <w:color w:val="000000"/>
          <w:sz w:val="24"/>
        </w:rPr>
        <w:t>40</w:t>
      </w:r>
      <w:r w:rsidRPr="00287D36">
        <w:rPr>
          <w:rFonts w:hint="eastAsia"/>
          <w:color w:val="000000"/>
          <w:sz w:val="24"/>
        </w:rPr>
        <w:t>万元。</w:t>
      </w:r>
    </w:p>
    <w:p w:rsidR="00287D36" w:rsidRPr="00287D36" w:rsidRDefault="00287D36" w:rsidP="00287D36">
      <w:pPr>
        <w:spacing w:line="360" w:lineRule="auto"/>
        <w:ind w:firstLineChars="200" w:firstLine="480"/>
        <w:rPr>
          <w:rFonts w:hint="eastAsia"/>
          <w:color w:val="000000"/>
          <w:sz w:val="24"/>
        </w:rPr>
      </w:pPr>
      <w:r w:rsidRPr="00287D36">
        <w:rPr>
          <w:rFonts w:hint="eastAsia"/>
          <w:color w:val="000000"/>
          <w:sz w:val="24"/>
        </w:rPr>
        <w:t>平安银行（代码：</w:t>
      </w:r>
      <w:r w:rsidRPr="00287D36">
        <w:rPr>
          <w:rFonts w:hint="eastAsia"/>
          <w:color w:val="000000"/>
          <w:sz w:val="24"/>
        </w:rPr>
        <w:t>000001</w:t>
      </w:r>
      <w:r w:rsidRPr="00287D36">
        <w:rPr>
          <w:rFonts w:hint="eastAsia"/>
          <w:color w:val="000000"/>
          <w:sz w:val="24"/>
        </w:rPr>
        <w:t>）为易方达</w:t>
      </w:r>
      <w:r w:rsidRPr="00287D36">
        <w:rPr>
          <w:rFonts w:hint="eastAsia"/>
          <w:color w:val="000000"/>
          <w:sz w:val="24"/>
        </w:rPr>
        <w:t>50</w:t>
      </w:r>
      <w:r w:rsidRPr="00287D36">
        <w:rPr>
          <w:rFonts w:hint="eastAsia"/>
          <w:color w:val="000000"/>
          <w:sz w:val="24"/>
        </w:rPr>
        <w:t>指数证券投资基金的前十大重仓证券之一。</w:t>
      </w:r>
      <w:r w:rsidRPr="00287D36">
        <w:rPr>
          <w:rFonts w:hint="eastAsia"/>
          <w:color w:val="000000"/>
          <w:sz w:val="24"/>
        </w:rPr>
        <w:t>2019</w:t>
      </w:r>
      <w:r w:rsidRPr="00287D36">
        <w:rPr>
          <w:rFonts w:hint="eastAsia"/>
          <w:color w:val="000000"/>
          <w:sz w:val="24"/>
        </w:rPr>
        <w:t>年</w:t>
      </w:r>
      <w:r w:rsidRPr="00287D36">
        <w:rPr>
          <w:rFonts w:hint="eastAsia"/>
          <w:color w:val="000000"/>
          <w:sz w:val="24"/>
        </w:rPr>
        <w:t>5</w:t>
      </w:r>
      <w:r w:rsidRPr="00287D36">
        <w:rPr>
          <w:rFonts w:hint="eastAsia"/>
          <w:color w:val="000000"/>
          <w:sz w:val="24"/>
        </w:rPr>
        <w:t>月</w:t>
      </w:r>
      <w:r w:rsidRPr="00287D36">
        <w:rPr>
          <w:rFonts w:hint="eastAsia"/>
          <w:color w:val="000000"/>
          <w:sz w:val="24"/>
        </w:rPr>
        <w:t>10</w:t>
      </w:r>
      <w:r w:rsidRPr="00287D36">
        <w:rPr>
          <w:rFonts w:hint="eastAsia"/>
          <w:color w:val="000000"/>
          <w:sz w:val="24"/>
        </w:rPr>
        <w:t>日，中国银行保险监督管理委员会上海监管局针对平安银行股份有限公司信用卡中心上海分中心</w:t>
      </w:r>
      <w:r w:rsidRPr="00287D36">
        <w:rPr>
          <w:rFonts w:hint="eastAsia"/>
          <w:color w:val="000000"/>
          <w:sz w:val="24"/>
        </w:rPr>
        <w:t>2015</w:t>
      </w:r>
      <w:r w:rsidRPr="00287D36">
        <w:rPr>
          <w:rFonts w:hint="eastAsia"/>
          <w:color w:val="000000"/>
          <w:sz w:val="24"/>
        </w:rPr>
        <w:t>年至</w:t>
      </w:r>
      <w:r w:rsidRPr="00287D36">
        <w:rPr>
          <w:rFonts w:hint="eastAsia"/>
          <w:color w:val="000000"/>
          <w:sz w:val="24"/>
        </w:rPr>
        <w:t>2017</w:t>
      </w:r>
      <w:r w:rsidRPr="00287D36">
        <w:rPr>
          <w:rFonts w:hint="eastAsia"/>
          <w:color w:val="000000"/>
          <w:sz w:val="24"/>
        </w:rPr>
        <w:t>年对员工经商办企业的行为屡禁不止，员工行为管理严重违反审慎经营规则的违法违规事实，责令改正，并处罚款</w:t>
      </w:r>
      <w:r w:rsidRPr="00287D36">
        <w:rPr>
          <w:rFonts w:hint="eastAsia"/>
          <w:color w:val="000000"/>
          <w:sz w:val="24"/>
        </w:rPr>
        <w:t>40</w:t>
      </w:r>
      <w:r w:rsidRPr="00287D36">
        <w:rPr>
          <w:rFonts w:hint="eastAsia"/>
          <w:color w:val="000000"/>
          <w:sz w:val="24"/>
        </w:rPr>
        <w:t>万元。</w:t>
      </w:r>
      <w:r w:rsidRPr="00287D36">
        <w:rPr>
          <w:rFonts w:hint="eastAsia"/>
          <w:color w:val="000000"/>
          <w:sz w:val="24"/>
        </w:rPr>
        <w:t>2019</w:t>
      </w:r>
      <w:r w:rsidRPr="00287D36">
        <w:rPr>
          <w:rFonts w:hint="eastAsia"/>
          <w:color w:val="000000"/>
          <w:sz w:val="24"/>
        </w:rPr>
        <w:t>年</w:t>
      </w:r>
      <w:r w:rsidRPr="00287D36">
        <w:rPr>
          <w:rFonts w:hint="eastAsia"/>
          <w:color w:val="000000"/>
          <w:sz w:val="24"/>
        </w:rPr>
        <w:t>8</w:t>
      </w:r>
      <w:r w:rsidRPr="00287D36">
        <w:rPr>
          <w:rFonts w:hint="eastAsia"/>
          <w:color w:val="000000"/>
          <w:sz w:val="24"/>
        </w:rPr>
        <w:t>月</w:t>
      </w:r>
      <w:r w:rsidRPr="00287D36">
        <w:rPr>
          <w:rFonts w:hint="eastAsia"/>
          <w:color w:val="000000"/>
          <w:sz w:val="24"/>
        </w:rPr>
        <w:t>12</w:t>
      </w:r>
      <w:r w:rsidRPr="00287D36">
        <w:rPr>
          <w:rFonts w:hint="eastAsia"/>
          <w:color w:val="000000"/>
          <w:sz w:val="24"/>
        </w:rPr>
        <w:t>日，中国银行保险监督管理委员会上海监管局针对平安银行股份有限公司资金运营中心</w:t>
      </w:r>
      <w:r w:rsidRPr="00287D36">
        <w:rPr>
          <w:rFonts w:hint="eastAsia"/>
          <w:color w:val="000000"/>
          <w:sz w:val="24"/>
        </w:rPr>
        <w:t>2017</w:t>
      </w:r>
      <w:r w:rsidRPr="00287D36">
        <w:rPr>
          <w:rFonts w:hint="eastAsia"/>
          <w:color w:val="000000"/>
          <w:sz w:val="24"/>
        </w:rPr>
        <w:t>年末至</w:t>
      </w:r>
      <w:r w:rsidRPr="00287D36">
        <w:rPr>
          <w:rFonts w:hint="eastAsia"/>
          <w:color w:val="000000"/>
          <w:sz w:val="24"/>
        </w:rPr>
        <w:t>2018</w:t>
      </w:r>
      <w:r w:rsidRPr="00287D36">
        <w:rPr>
          <w:rFonts w:hint="eastAsia"/>
          <w:color w:val="000000"/>
          <w:sz w:val="24"/>
        </w:rPr>
        <w:t>年</w:t>
      </w:r>
      <w:r w:rsidRPr="00287D36">
        <w:rPr>
          <w:rFonts w:hint="eastAsia"/>
          <w:color w:val="000000"/>
          <w:sz w:val="24"/>
        </w:rPr>
        <w:t>9</w:t>
      </w:r>
      <w:r w:rsidRPr="00287D36">
        <w:rPr>
          <w:rFonts w:hint="eastAsia"/>
          <w:color w:val="000000"/>
          <w:sz w:val="24"/>
        </w:rPr>
        <w:t>月信息科技风险管理严重违反审慎经营规则的违法违规事实，责令改正，并处罚款</w:t>
      </w:r>
      <w:r w:rsidRPr="00287D36">
        <w:rPr>
          <w:rFonts w:hint="eastAsia"/>
          <w:color w:val="000000"/>
          <w:sz w:val="24"/>
        </w:rPr>
        <w:t>20</w:t>
      </w:r>
      <w:r w:rsidRPr="00287D36">
        <w:rPr>
          <w:rFonts w:hint="eastAsia"/>
          <w:color w:val="000000"/>
          <w:sz w:val="24"/>
        </w:rPr>
        <w:t>万元。</w:t>
      </w:r>
      <w:r w:rsidRPr="00287D36">
        <w:rPr>
          <w:rFonts w:hint="eastAsia"/>
          <w:color w:val="000000"/>
          <w:sz w:val="24"/>
        </w:rPr>
        <w:t>2020</w:t>
      </w:r>
      <w:r w:rsidRPr="00287D36">
        <w:rPr>
          <w:rFonts w:hint="eastAsia"/>
          <w:color w:val="000000"/>
          <w:sz w:val="24"/>
        </w:rPr>
        <w:t>年</w:t>
      </w:r>
      <w:r w:rsidRPr="00287D36">
        <w:rPr>
          <w:rFonts w:hint="eastAsia"/>
          <w:color w:val="000000"/>
          <w:sz w:val="24"/>
        </w:rPr>
        <w:t xml:space="preserve">1 </w:t>
      </w:r>
      <w:r w:rsidRPr="00287D36">
        <w:rPr>
          <w:rFonts w:hint="eastAsia"/>
          <w:color w:val="000000"/>
          <w:sz w:val="24"/>
        </w:rPr>
        <w:t>月</w:t>
      </w:r>
      <w:r w:rsidRPr="00287D36">
        <w:rPr>
          <w:rFonts w:hint="eastAsia"/>
          <w:color w:val="000000"/>
          <w:sz w:val="24"/>
        </w:rPr>
        <w:t>20</w:t>
      </w:r>
      <w:r w:rsidRPr="00287D36">
        <w:rPr>
          <w:rFonts w:hint="eastAsia"/>
          <w:color w:val="000000"/>
          <w:sz w:val="24"/>
        </w:rPr>
        <w:t>日，中国银行保险监督管理委员会深圳监管局针对平安银行股份有限公司</w:t>
      </w:r>
      <w:r w:rsidRPr="00287D36">
        <w:rPr>
          <w:rFonts w:hint="eastAsia"/>
          <w:color w:val="000000"/>
          <w:sz w:val="24"/>
        </w:rPr>
        <w:t>1.</w:t>
      </w:r>
      <w:r w:rsidRPr="00287D36">
        <w:rPr>
          <w:rFonts w:hint="eastAsia"/>
          <w:color w:val="000000"/>
          <w:sz w:val="24"/>
        </w:rPr>
        <w:t>汽车金融事业部将贷款调查的核心事项委托第三方完成；</w:t>
      </w:r>
      <w:r w:rsidRPr="00287D36">
        <w:rPr>
          <w:rFonts w:hint="eastAsia"/>
          <w:color w:val="000000"/>
          <w:sz w:val="24"/>
        </w:rPr>
        <w:t>2.</w:t>
      </w:r>
      <w:r w:rsidRPr="00287D36">
        <w:rPr>
          <w:rFonts w:hint="eastAsia"/>
          <w:color w:val="000000"/>
          <w:sz w:val="24"/>
        </w:rPr>
        <w:t>代理保险销售的人员为非商业银行人员；</w:t>
      </w:r>
      <w:r w:rsidRPr="00287D36">
        <w:rPr>
          <w:rFonts w:hint="eastAsia"/>
          <w:color w:val="000000"/>
          <w:sz w:val="24"/>
        </w:rPr>
        <w:t>3.</w:t>
      </w:r>
      <w:r w:rsidRPr="00287D36">
        <w:rPr>
          <w:rFonts w:hint="eastAsia"/>
          <w:color w:val="000000"/>
          <w:sz w:val="24"/>
        </w:rPr>
        <w:t>汽车消费贷款风险分类结果不能反映真实风险水平；</w:t>
      </w:r>
      <w:r w:rsidRPr="00287D36">
        <w:rPr>
          <w:rFonts w:hint="eastAsia"/>
          <w:color w:val="000000"/>
          <w:sz w:val="24"/>
        </w:rPr>
        <w:t>4.</w:t>
      </w:r>
      <w:r w:rsidRPr="00287D36">
        <w:rPr>
          <w:rFonts w:hint="eastAsia"/>
          <w:color w:val="000000"/>
          <w:sz w:val="24"/>
        </w:rPr>
        <w:t>个人消费贷款风险分类结果不能反映真实风险水平；</w:t>
      </w:r>
      <w:r w:rsidRPr="00287D36">
        <w:rPr>
          <w:rFonts w:hint="eastAsia"/>
          <w:color w:val="000000"/>
          <w:sz w:val="24"/>
        </w:rPr>
        <w:t>5.</w:t>
      </w:r>
      <w:r w:rsidRPr="00287D36">
        <w:rPr>
          <w:rFonts w:hint="eastAsia"/>
          <w:color w:val="000000"/>
          <w:sz w:val="24"/>
        </w:rPr>
        <w:t>个人经营性贷款分类结果不能反映真实风险水平；</w:t>
      </w:r>
      <w:r w:rsidRPr="00287D36">
        <w:rPr>
          <w:rFonts w:hint="eastAsia"/>
          <w:color w:val="000000"/>
          <w:sz w:val="24"/>
        </w:rPr>
        <w:t>6.</w:t>
      </w:r>
      <w:r w:rsidRPr="00287D36">
        <w:rPr>
          <w:rFonts w:hint="eastAsia"/>
          <w:color w:val="000000"/>
          <w:sz w:val="24"/>
        </w:rPr>
        <w:t>汽车消费贷款和汽车抵押贷款贷前调查存在缺失；</w:t>
      </w:r>
      <w:r w:rsidRPr="00287D36">
        <w:rPr>
          <w:rFonts w:hint="eastAsia"/>
          <w:color w:val="000000"/>
          <w:sz w:val="24"/>
        </w:rPr>
        <w:t>7.</w:t>
      </w:r>
      <w:r w:rsidRPr="00287D36">
        <w:rPr>
          <w:rFonts w:hint="eastAsia"/>
          <w:color w:val="000000"/>
          <w:sz w:val="24"/>
        </w:rPr>
        <w:t>汽车消费及经营贷款审查不到位；</w:t>
      </w:r>
      <w:r w:rsidRPr="00287D36">
        <w:rPr>
          <w:rFonts w:hint="eastAsia"/>
          <w:color w:val="000000"/>
          <w:sz w:val="24"/>
        </w:rPr>
        <w:t>8.</w:t>
      </w:r>
      <w:r w:rsidRPr="00287D36">
        <w:rPr>
          <w:rFonts w:hint="eastAsia"/>
          <w:color w:val="000000"/>
          <w:sz w:val="24"/>
        </w:rPr>
        <w:t>个人汽车贷款和汽车抵押贷款业务存在同一抵押物重复抵押；</w:t>
      </w:r>
      <w:r w:rsidRPr="00287D36">
        <w:rPr>
          <w:rFonts w:hint="eastAsia"/>
          <w:color w:val="000000"/>
          <w:sz w:val="24"/>
        </w:rPr>
        <w:t>9.</w:t>
      </w:r>
      <w:r w:rsidRPr="00287D36">
        <w:rPr>
          <w:rFonts w:hint="eastAsia"/>
          <w:color w:val="000000"/>
          <w:sz w:val="24"/>
        </w:rPr>
        <w:t>个别汽车消费贷款和汽车抵押贷款用途管控不力，贷款资金被挪用；</w:t>
      </w:r>
      <w:r w:rsidRPr="00287D36">
        <w:rPr>
          <w:rFonts w:hint="eastAsia"/>
          <w:color w:val="000000"/>
          <w:sz w:val="24"/>
        </w:rPr>
        <w:t>10.</w:t>
      </w:r>
      <w:r w:rsidRPr="00287D36">
        <w:rPr>
          <w:rFonts w:hint="eastAsia"/>
          <w:color w:val="000000"/>
          <w:sz w:val="24"/>
        </w:rPr>
        <w:t>个人消费贷款及个人经营性贷款用途管控不力，贷款资金被挪用；</w:t>
      </w:r>
      <w:r w:rsidRPr="00287D36">
        <w:rPr>
          <w:rFonts w:hint="eastAsia"/>
          <w:color w:val="000000"/>
          <w:sz w:val="24"/>
        </w:rPr>
        <w:t>11.</w:t>
      </w:r>
      <w:r w:rsidRPr="00287D36">
        <w:rPr>
          <w:rFonts w:hint="eastAsia"/>
          <w:color w:val="000000"/>
          <w:sz w:val="24"/>
        </w:rPr>
        <w:t>部分个人消费贷款未按要求进行受托支付；</w:t>
      </w:r>
      <w:r w:rsidRPr="00287D36">
        <w:rPr>
          <w:rFonts w:hint="eastAsia"/>
          <w:color w:val="000000"/>
          <w:sz w:val="24"/>
        </w:rPr>
        <w:t>12.</w:t>
      </w:r>
      <w:r w:rsidRPr="00287D36">
        <w:rPr>
          <w:rFonts w:hint="eastAsia"/>
          <w:color w:val="000000"/>
          <w:sz w:val="24"/>
        </w:rPr>
        <w:t>信用卡现金分期用途管控不力；</w:t>
      </w:r>
      <w:r w:rsidRPr="00287D36">
        <w:rPr>
          <w:rFonts w:hint="eastAsia"/>
          <w:color w:val="000000"/>
          <w:sz w:val="24"/>
        </w:rPr>
        <w:t>13.</w:t>
      </w:r>
      <w:r w:rsidRPr="00287D36">
        <w:rPr>
          <w:rFonts w:hint="eastAsia"/>
          <w:color w:val="000000"/>
          <w:sz w:val="24"/>
        </w:rPr>
        <w:t>代销产品风险评级结果与合作机构评级结果不一致，未采用较高风险评级的评级结果；</w:t>
      </w:r>
      <w:r w:rsidRPr="00287D36">
        <w:rPr>
          <w:rFonts w:hint="eastAsia"/>
          <w:color w:val="000000"/>
          <w:sz w:val="24"/>
        </w:rPr>
        <w:t>14.</w:t>
      </w:r>
      <w:r w:rsidRPr="00287D36">
        <w:rPr>
          <w:rFonts w:hint="eastAsia"/>
          <w:color w:val="000000"/>
          <w:sz w:val="24"/>
        </w:rPr>
        <w:t>代销产品底层资产涉及本行非标资产，没有实现代销业务与其他业务的风险隔离；</w:t>
      </w:r>
      <w:r w:rsidRPr="00287D36">
        <w:rPr>
          <w:rFonts w:hint="eastAsia"/>
          <w:color w:val="000000"/>
          <w:sz w:val="24"/>
        </w:rPr>
        <w:t>15.</w:t>
      </w:r>
      <w:r w:rsidRPr="00287D36">
        <w:rPr>
          <w:rFonts w:hint="eastAsia"/>
          <w:color w:val="000000"/>
          <w:sz w:val="24"/>
        </w:rPr>
        <w:t>“双录”管理审慎性不足，理财销售人员销售话术不当的违法事实，罚款</w:t>
      </w:r>
      <w:r w:rsidRPr="00287D36">
        <w:rPr>
          <w:rFonts w:hint="eastAsia"/>
          <w:color w:val="000000"/>
          <w:sz w:val="24"/>
        </w:rPr>
        <w:t>720</w:t>
      </w:r>
      <w:r w:rsidRPr="00287D36">
        <w:rPr>
          <w:rFonts w:hint="eastAsia"/>
          <w:color w:val="000000"/>
          <w:sz w:val="24"/>
        </w:rPr>
        <w:t>万元。</w:t>
      </w:r>
    </w:p>
    <w:p w:rsidR="00287D36" w:rsidRPr="00287D36" w:rsidRDefault="00287D36" w:rsidP="00287D36">
      <w:pPr>
        <w:spacing w:line="360" w:lineRule="auto"/>
        <w:ind w:firstLineChars="200" w:firstLine="480"/>
        <w:rPr>
          <w:rFonts w:hint="eastAsia"/>
          <w:color w:val="000000"/>
          <w:sz w:val="24"/>
        </w:rPr>
      </w:pPr>
      <w:r w:rsidRPr="00287D36">
        <w:rPr>
          <w:rFonts w:hint="eastAsia"/>
          <w:color w:val="000000"/>
          <w:sz w:val="24"/>
        </w:rPr>
        <w:t>中国建筑（代码：</w:t>
      </w:r>
      <w:r w:rsidRPr="00287D36">
        <w:rPr>
          <w:rFonts w:hint="eastAsia"/>
          <w:color w:val="000000"/>
          <w:sz w:val="24"/>
        </w:rPr>
        <w:t>601668</w:t>
      </w:r>
      <w:r w:rsidRPr="00287D36">
        <w:rPr>
          <w:rFonts w:hint="eastAsia"/>
          <w:color w:val="000000"/>
          <w:sz w:val="24"/>
        </w:rPr>
        <w:t>）为易方达</w:t>
      </w:r>
      <w:r w:rsidRPr="00287D36">
        <w:rPr>
          <w:rFonts w:hint="eastAsia"/>
          <w:color w:val="000000"/>
          <w:sz w:val="24"/>
        </w:rPr>
        <w:t>50</w:t>
      </w:r>
      <w:r w:rsidRPr="00287D36">
        <w:rPr>
          <w:rFonts w:hint="eastAsia"/>
          <w:color w:val="000000"/>
          <w:sz w:val="24"/>
        </w:rPr>
        <w:t>指数证券投资基金的前十大重仓证券之一。</w:t>
      </w:r>
      <w:r w:rsidRPr="00287D36">
        <w:rPr>
          <w:rFonts w:hint="eastAsia"/>
          <w:color w:val="000000"/>
          <w:sz w:val="24"/>
        </w:rPr>
        <w:t>2019</w:t>
      </w:r>
      <w:r w:rsidRPr="00287D36">
        <w:rPr>
          <w:rFonts w:hint="eastAsia"/>
          <w:color w:val="000000"/>
          <w:sz w:val="24"/>
        </w:rPr>
        <w:t>年</w:t>
      </w:r>
      <w:r w:rsidRPr="00287D36">
        <w:rPr>
          <w:rFonts w:hint="eastAsia"/>
          <w:color w:val="000000"/>
          <w:sz w:val="24"/>
        </w:rPr>
        <w:t>6</w:t>
      </w:r>
      <w:r w:rsidRPr="00287D36">
        <w:rPr>
          <w:rFonts w:hint="eastAsia"/>
          <w:color w:val="000000"/>
          <w:sz w:val="24"/>
        </w:rPr>
        <w:t>月</w:t>
      </w:r>
      <w:r w:rsidRPr="00287D36">
        <w:rPr>
          <w:rFonts w:hint="eastAsia"/>
          <w:color w:val="000000"/>
          <w:sz w:val="24"/>
        </w:rPr>
        <w:t>17</w:t>
      </w:r>
      <w:r w:rsidRPr="00287D36">
        <w:rPr>
          <w:rFonts w:hint="eastAsia"/>
          <w:color w:val="000000"/>
          <w:sz w:val="24"/>
        </w:rPr>
        <w:t>日，深圳市住房和建设局对中国建筑股份有限公司违反“《中华人民共和国安全生产法》第九十四条第（五）项”的行为作出罚款</w:t>
      </w:r>
      <w:r w:rsidRPr="00287D36">
        <w:rPr>
          <w:rFonts w:hint="eastAsia"/>
          <w:color w:val="000000"/>
          <w:sz w:val="24"/>
        </w:rPr>
        <w:t>50000</w:t>
      </w:r>
      <w:r w:rsidRPr="00287D36">
        <w:rPr>
          <w:rFonts w:hint="eastAsia"/>
          <w:color w:val="000000"/>
          <w:sz w:val="24"/>
        </w:rPr>
        <w:t>元的处罚。</w:t>
      </w:r>
      <w:r w:rsidRPr="00287D36">
        <w:rPr>
          <w:rFonts w:hint="eastAsia"/>
          <w:color w:val="000000"/>
          <w:sz w:val="24"/>
        </w:rPr>
        <w:t>2019</w:t>
      </w:r>
      <w:r w:rsidRPr="00287D36">
        <w:rPr>
          <w:rFonts w:hint="eastAsia"/>
          <w:color w:val="000000"/>
          <w:sz w:val="24"/>
        </w:rPr>
        <w:t>年</w:t>
      </w:r>
      <w:r w:rsidRPr="00287D36">
        <w:rPr>
          <w:rFonts w:hint="eastAsia"/>
          <w:color w:val="000000"/>
          <w:sz w:val="24"/>
        </w:rPr>
        <w:t>9</w:t>
      </w:r>
      <w:r w:rsidRPr="00287D36">
        <w:rPr>
          <w:rFonts w:hint="eastAsia"/>
          <w:color w:val="000000"/>
          <w:sz w:val="24"/>
        </w:rPr>
        <w:t>月</w:t>
      </w:r>
      <w:r w:rsidRPr="00287D36">
        <w:rPr>
          <w:rFonts w:hint="eastAsia"/>
          <w:color w:val="000000"/>
          <w:sz w:val="24"/>
        </w:rPr>
        <w:t>28</w:t>
      </w:r>
      <w:r w:rsidRPr="00287D36">
        <w:rPr>
          <w:rFonts w:hint="eastAsia"/>
          <w:color w:val="000000"/>
          <w:sz w:val="24"/>
        </w:rPr>
        <w:t>日，深圳市住房和建设局对中国建筑股份有限公司违反“《中华人民共和国安全生产法》第三十八条第一款”的行为作出罚款</w:t>
      </w:r>
      <w:r w:rsidRPr="00287D36">
        <w:rPr>
          <w:rFonts w:hint="eastAsia"/>
          <w:color w:val="000000"/>
          <w:sz w:val="24"/>
        </w:rPr>
        <w:t>50000</w:t>
      </w:r>
      <w:r w:rsidRPr="00287D36">
        <w:rPr>
          <w:rFonts w:hint="eastAsia"/>
          <w:color w:val="000000"/>
          <w:sz w:val="24"/>
        </w:rPr>
        <w:t>元的处罚。</w:t>
      </w:r>
      <w:r w:rsidRPr="00287D36">
        <w:rPr>
          <w:rFonts w:hint="eastAsia"/>
          <w:color w:val="000000"/>
          <w:sz w:val="24"/>
        </w:rPr>
        <w:t>2020</w:t>
      </w:r>
      <w:r w:rsidRPr="00287D36">
        <w:rPr>
          <w:rFonts w:hint="eastAsia"/>
          <w:color w:val="000000"/>
          <w:sz w:val="24"/>
        </w:rPr>
        <w:t>年</w:t>
      </w:r>
      <w:r w:rsidRPr="00287D36">
        <w:rPr>
          <w:rFonts w:hint="eastAsia"/>
          <w:color w:val="000000"/>
          <w:sz w:val="24"/>
        </w:rPr>
        <w:t>3</w:t>
      </w:r>
      <w:r w:rsidRPr="00287D36">
        <w:rPr>
          <w:rFonts w:hint="eastAsia"/>
          <w:color w:val="000000"/>
          <w:sz w:val="24"/>
        </w:rPr>
        <w:t>月</w:t>
      </w:r>
      <w:r w:rsidRPr="00287D36">
        <w:rPr>
          <w:rFonts w:hint="eastAsia"/>
          <w:color w:val="000000"/>
          <w:sz w:val="24"/>
        </w:rPr>
        <w:t>19</w:t>
      </w:r>
      <w:r w:rsidRPr="00287D36">
        <w:rPr>
          <w:rFonts w:hint="eastAsia"/>
          <w:color w:val="000000"/>
          <w:sz w:val="24"/>
        </w:rPr>
        <w:t>日，西安市人力资源和社会保障局对中国建筑股份有限公司违反“《西安市农民工工资保障办法》第二十三条第一项”的行为作出罚款</w:t>
      </w:r>
      <w:r w:rsidRPr="00287D36">
        <w:rPr>
          <w:rFonts w:hint="eastAsia"/>
          <w:color w:val="000000"/>
          <w:sz w:val="24"/>
        </w:rPr>
        <w:t>10000</w:t>
      </w:r>
      <w:r w:rsidRPr="00287D36">
        <w:rPr>
          <w:rFonts w:hint="eastAsia"/>
          <w:color w:val="000000"/>
          <w:sz w:val="24"/>
        </w:rPr>
        <w:t>元的处罚。</w:t>
      </w:r>
    </w:p>
    <w:p w:rsidR="00287D36" w:rsidRPr="00287D36" w:rsidRDefault="00287D36" w:rsidP="00287D36">
      <w:pPr>
        <w:spacing w:line="360" w:lineRule="auto"/>
        <w:ind w:firstLineChars="200" w:firstLine="480"/>
        <w:rPr>
          <w:rFonts w:hint="eastAsia"/>
          <w:color w:val="000000"/>
          <w:sz w:val="24"/>
        </w:rPr>
      </w:pPr>
      <w:r w:rsidRPr="00287D36">
        <w:rPr>
          <w:rFonts w:hint="eastAsia"/>
          <w:color w:val="000000"/>
          <w:sz w:val="24"/>
        </w:rPr>
        <w:t>本基金为指数增强型基金，招商银行、兴业银行、平安银行、中国建筑的投资决策程序符合公司投资制度的规定。</w:t>
      </w:r>
    </w:p>
    <w:p w:rsidR="001E0B8A" w:rsidRDefault="00287D36" w:rsidP="00287D36">
      <w:pPr>
        <w:spacing w:line="360" w:lineRule="auto"/>
        <w:ind w:firstLineChars="200" w:firstLine="480"/>
        <w:rPr>
          <w:color w:val="000000"/>
          <w:sz w:val="24"/>
        </w:rPr>
      </w:pPr>
      <w:r w:rsidRPr="00287D36">
        <w:rPr>
          <w:rFonts w:hint="eastAsia"/>
          <w:color w:val="000000"/>
          <w:sz w:val="24"/>
        </w:rPr>
        <w:t>除招商银行、兴业银行、平安银行、中国建筑外，本基金投资的前十名证券的发行主体本期没有出现被监管部门立案调查，或在报告编制日前一年内受到公开谴责、处罚的情形。</w:t>
      </w:r>
    </w:p>
    <w:bookmarkEnd w:id="0"/>
    <w:p w:rsidR="00A62673" w:rsidRPr="00C1648E" w:rsidRDefault="00A62673" w:rsidP="00045BEC">
      <w:pPr>
        <w:spacing w:line="360" w:lineRule="auto"/>
        <w:rPr>
          <w:color w:val="000000"/>
          <w:sz w:val="24"/>
        </w:rPr>
      </w:pPr>
      <w:r w:rsidRPr="00EC5CE0">
        <w:rPr>
          <w:rFonts w:ascii="宋体" w:hAnsi="宋体"/>
          <w:color w:val="000000"/>
          <w:sz w:val="24"/>
        </w:rPr>
        <w:t>5.11.2</w:t>
      </w:r>
      <w:r w:rsidR="00A4276F">
        <w:rPr>
          <w:rFonts w:ascii="宋体" w:hAnsi="宋体" w:hint="eastAsia"/>
          <w:color w:val="000000"/>
          <w:sz w:val="24"/>
        </w:rPr>
        <w:t xml:space="preserve"> </w:t>
      </w:r>
      <w:r w:rsidRPr="00C1648E">
        <w:rPr>
          <w:color w:val="000000"/>
          <w:sz w:val="24"/>
        </w:rPr>
        <w:t>本基金投资的前十名股票没有超出基金合同规定的备选股票库。</w:t>
      </w:r>
    </w:p>
    <w:p w:rsidR="00A62673" w:rsidRPr="00977154" w:rsidRDefault="00A62673" w:rsidP="00045BEC">
      <w:pPr>
        <w:autoSpaceDE w:val="0"/>
        <w:autoSpaceDN w:val="0"/>
        <w:adjustRightInd w:val="0"/>
        <w:spacing w:line="360" w:lineRule="auto"/>
        <w:jc w:val="left"/>
        <w:rPr>
          <w:rFonts w:ascii="宋体" w:cs="Arial"/>
          <w:color w:val="000000"/>
          <w:kern w:val="0"/>
          <w:sz w:val="24"/>
        </w:rPr>
      </w:pPr>
      <w:r w:rsidRPr="00977154">
        <w:rPr>
          <w:rFonts w:ascii="宋体" w:hAnsi="宋体"/>
          <w:color w:val="000000"/>
          <w:kern w:val="0"/>
          <w:sz w:val="24"/>
        </w:rPr>
        <w:t>5.11.3</w:t>
      </w:r>
      <w:r w:rsidRPr="00977154">
        <w:rPr>
          <w:rFonts w:ascii="宋体" w:hAnsi="宋体" w:cs="Arial" w:hint="eastAsia"/>
          <w:color w:val="000000"/>
          <w:kern w:val="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2761"/>
        <w:gridCol w:w="4808"/>
      </w:tblGrid>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序号</w:t>
            </w:r>
          </w:p>
        </w:tc>
        <w:tc>
          <w:tcPr>
            <w:tcW w:w="2761"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名称</w:t>
            </w:r>
          </w:p>
        </w:tc>
        <w:tc>
          <w:tcPr>
            <w:tcW w:w="4808"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金额</w:t>
            </w:r>
            <w:r w:rsidR="005A2769" w:rsidRPr="00C1648E">
              <w:rPr>
                <w:color w:val="000000"/>
                <w:kern w:val="0"/>
                <w:sz w:val="24"/>
              </w:rPr>
              <w:t>（元）</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kern w:val="0"/>
                <w:sz w:val="24"/>
              </w:rPr>
            </w:pPr>
            <w:r w:rsidRPr="00C1648E">
              <w:rPr>
                <w:color w:val="000000"/>
                <w:sz w:val="24"/>
              </w:rPr>
              <w:t>1</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存出保证金</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1,449,268.58</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2</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应收证券清算款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3</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应收股利</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4</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应收利息</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14,421,125.61</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5</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应收申购款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86,197,307.83</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6</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其他应收款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7</w:t>
            </w:r>
          </w:p>
        </w:tc>
        <w:tc>
          <w:tcPr>
            <w:tcW w:w="2761" w:type="dxa"/>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待摊费用</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sz w:val="24"/>
              </w:rPr>
            </w:pPr>
            <w:r w:rsidRPr="00C1648E">
              <w:rPr>
                <w:color w:val="00000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8</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9</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合计</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102,067,702.02</w:t>
            </w:r>
          </w:p>
        </w:tc>
      </w:tr>
    </w:tbl>
    <w:p w:rsidR="00A62673" w:rsidRPr="00977154" w:rsidRDefault="00A62673" w:rsidP="00045BEC">
      <w:pPr>
        <w:autoSpaceDE w:val="0"/>
        <w:autoSpaceDN w:val="0"/>
        <w:adjustRightInd w:val="0"/>
        <w:spacing w:line="360" w:lineRule="auto"/>
        <w:jc w:val="left"/>
        <w:rPr>
          <w:rFonts w:ascii="宋体" w:cs="Arial"/>
          <w:color w:val="000000"/>
          <w:kern w:val="0"/>
          <w:sz w:val="24"/>
        </w:rPr>
      </w:pPr>
      <w:r w:rsidRPr="00977154">
        <w:rPr>
          <w:rFonts w:ascii="宋体" w:hAnsi="宋体"/>
          <w:color w:val="000000"/>
          <w:kern w:val="0"/>
          <w:sz w:val="24"/>
        </w:rPr>
        <w:t>5.11.4</w:t>
      </w:r>
      <w:r w:rsidRPr="00977154">
        <w:rPr>
          <w:rFonts w:ascii="宋体" w:hAnsi="宋体" w:cs="Arial" w:hint="eastAsia"/>
          <w:color w:val="000000"/>
          <w:kern w:val="0"/>
          <w:sz w:val="24"/>
        </w:rPr>
        <w:t>报告期末持有的处于转股期的可转换债券明细</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本基金本报告期末未持有处于转股期的可转换债券。</w:t>
      </w:r>
    </w:p>
    <w:p w:rsidR="00774C7D" w:rsidRPr="00977154" w:rsidRDefault="00774C7D" w:rsidP="00774C7D">
      <w:pPr>
        <w:spacing w:line="360" w:lineRule="auto"/>
        <w:rPr>
          <w:rFonts w:ascii="宋体" w:cs="Arial"/>
          <w:color w:val="000000"/>
          <w:kern w:val="0"/>
          <w:sz w:val="24"/>
        </w:rPr>
      </w:pPr>
      <w:r w:rsidRPr="00977154">
        <w:rPr>
          <w:rFonts w:ascii="宋体" w:hAnsi="宋体"/>
          <w:color w:val="000000"/>
          <w:kern w:val="0"/>
          <w:sz w:val="24"/>
        </w:rPr>
        <w:t>5.11.5</w:t>
      </w:r>
      <w:r w:rsidRPr="00977154">
        <w:rPr>
          <w:rFonts w:ascii="宋体" w:hAnsi="宋体" w:hint="eastAsia"/>
          <w:sz w:val="24"/>
        </w:rPr>
        <w:t>报告期末前十名股票中存在流通受限情况的说明</w:t>
      </w:r>
    </w:p>
    <w:p w:rsidR="00774C7D" w:rsidRPr="00977154" w:rsidRDefault="00774C7D" w:rsidP="00774C7D">
      <w:pPr>
        <w:spacing w:line="360" w:lineRule="auto"/>
        <w:rPr>
          <w:rFonts w:ascii="宋体" w:cs="Arial"/>
          <w:color w:val="000000"/>
          <w:kern w:val="0"/>
          <w:sz w:val="24"/>
        </w:rPr>
      </w:pPr>
      <w:r w:rsidRPr="00977154">
        <w:rPr>
          <w:rFonts w:ascii="宋体" w:hAnsi="宋体"/>
          <w:color w:val="000000"/>
          <w:kern w:val="0"/>
          <w:sz w:val="24"/>
        </w:rPr>
        <w:t>5.11.5</w:t>
      </w:r>
      <w:r w:rsidRPr="00977154">
        <w:rPr>
          <w:rFonts w:ascii="宋体" w:cs="Arial"/>
          <w:color w:val="000000"/>
          <w:kern w:val="0"/>
          <w:sz w:val="24"/>
        </w:rPr>
        <w:t>.</w:t>
      </w:r>
      <w:r w:rsidRPr="00977154">
        <w:rPr>
          <w:rFonts w:ascii="宋体" w:hAnsi="宋体" w:cs="Arial"/>
          <w:color w:val="000000"/>
          <w:kern w:val="0"/>
          <w:sz w:val="24"/>
        </w:rPr>
        <w:t>1</w:t>
      </w:r>
      <w:r w:rsidRPr="00977154">
        <w:rPr>
          <w:rFonts w:ascii="宋体" w:hAnsi="宋体" w:hint="eastAsia"/>
          <w:sz w:val="24"/>
        </w:rPr>
        <w:t>期末指数投资前十名股票中存在流通受限情况的说明</w:t>
      </w:r>
    </w:p>
    <w:p w:rsidR="00774C7D" w:rsidRPr="00DC315B" w:rsidRDefault="00774C7D" w:rsidP="00774C7D">
      <w:pPr>
        <w:spacing w:line="360" w:lineRule="auto"/>
        <w:ind w:firstLineChars="200" w:firstLine="480"/>
        <w:rPr>
          <w:color w:val="000000"/>
          <w:sz w:val="24"/>
        </w:rPr>
      </w:pPr>
      <w:r w:rsidRPr="00DC315B">
        <w:rPr>
          <w:color w:val="000000"/>
          <w:sz w:val="24"/>
        </w:rPr>
        <w:t>本基金本报告期末指数投资前十名股票中不存在流通受限情况。</w:t>
      </w:r>
    </w:p>
    <w:p w:rsidR="00774C7D" w:rsidRPr="00977154" w:rsidRDefault="00774C7D" w:rsidP="00774C7D">
      <w:pPr>
        <w:spacing w:line="360" w:lineRule="auto"/>
        <w:rPr>
          <w:rFonts w:ascii="宋体" w:cs="STSong-Light"/>
          <w:sz w:val="24"/>
        </w:rPr>
      </w:pPr>
      <w:r w:rsidRPr="00977154">
        <w:rPr>
          <w:rFonts w:ascii="宋体" w:hAnsi="宋体"/>
          <w:color w:val="000000"/>
          <w:kern w:val="0"/>
          <w:sz w:val="24"/>
        </w:rPr>
        <w:t>5.11.5</w:t>
      </w:r>
      <w:r w:rsidRPr="00977154">
        <w:rPr>
          <w:rFonts w:ascii="宋体" w:cs="Arial"/>
          <w:color w:val="000000"/>
          <w:kern w:val="0"/>
          <w:sz w:val="24"/>
        </w:rPr>
        <w:t>.</w:t>
      </w:r>
      <w:r w:rsidRPr="00977154">
        <w:rPr>
          <w:rFonts w:ascii="宋体" w:hAnsi="宋体" w:cs="Arial"/>
          <w:color w:val="000000"/>
          <w:kern w:val="0"/>
          <w:sz w:val="24"/>
        </w:rPr>
        <w:t>2</w:t>
      </w:r>
      <w:r w:rsidRPr="00977154">
        <w:rPr>
          <w:rFonts w:ascii="宋体" w:hAnsi="宋体" w:hint="eastAsia"/>
          <w:sz w:val="24"/>
        </w:rPr>
        <w:t>期末积极投资前五名股票中存在流通受限情况的说明</w:t>
      </w:r>
    </w:p>
    <w:p w:rsidR="00A62673" w:rsidRPr="00C1648E" w:rsidRDefault="00774C7D" w:rsidP="00C1648E">
      <w:pPr>
        <w:spacing w:line="360" w:lineRule="auto"/>
        <w:ind w:firstLineChars="200" w:firstLine="480"/>
        <w:rPr>
          <w:color w:val="000000"/>
          <w:sz w:val="24"/>
        </w:rPr>
      </w:pPr>
      <w:r w:rsidRPr="00DC315B">
        <w:rPr>
          <w:color w:val="000000"/>
          <w:sz w:val="24"/>
        </w:rPr>
        <w:t>本基金本报告期末积极投资前五名股票中不存在流通受限情况。</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6  </w:t>
      </w:r>
      <w:r w:rsidRPr="00EC5CE0">
        <w:rPr>
          <w:rFonts w:ascii="宋体" w:hAnsi="宋体" w:cs="Arial" w:hint="eastAsia"/>
          <w:color w:val="000000"/>
          <w:kern w:val="0"/>
          <w:sz w:val="24"/>
          <w:szCs w:val="24"/>
        </w:rPr>
        <w:t>开放式基金份额变动</w:t>
      </w:r>
    </w:p>
    <w:p w:rsidR="004976EE" w:rsidRPr="00FA472B" w:rsidRDefault="004976EE" w:rsidP="004976EE">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sz w:val="24"/>
              </w:rPr>
              <w:t>易方达上证</w:t>
            </w:r>
            <w:r w:rsidRPr="00FA472B">
              <w:rPr>
                <w:sz w:val="24"/>
              </w:rPr>
              <w:t>50</w:t>
            </w:r>
            <w:r w:rsidRPr="00FA472B">
              <w:rPr>
                <w:sz w:val="24"/>
              </w:rPr>
              <w:t>指数</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sz w:val="24"/>
              </w:rPr>
              <w:t>易方达上证</w:t>
            </w:r>
            <w:r w:rsidRPr="00FA472B">
              <w:rPr>
                <w:sz w:val="24"/>
              </w:rPr>
              <w:t>50</w:t>
            </w:r>
            <w:r w:rsidRPr="00FA472B">
              <w:rPr>
                <w:sz w:val="24"/>
              </w:rPr>
              <w:t>指数</w:t>
            </w:r>
            <w:r w:rsidRPr="00FA472B">
              <w:rPr>
                <w:sz w:val="24"/>
              </w:rPr>
              <w:t>C</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9,505,344,127.86</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1,422,381,097.38</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2,965,843,804.17</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1,091,648,674.09</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2,740,925,832.40</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1,087,941,375.39</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r w:rsidR="003F1BDC">
              <w:rPr>
                <w:rFonts w:hint="eastAsia"/>
                <w:color w:val="000000"/>
                <w:kern w:val="0"/>
                <w:sz w:val="24"/>
              </w:rPr>
              <w:t>（份额减少以“</w:t>
            </w:r>
            <w:r w:rsidR="003F1BDC">
              <w:rPr>
                <w:color w:val="000000"/>
                <w:kern w:val="0"/>
                <w:sz w:val="24"/>
              </w:rPr>
              <w:t>-</w:t>
            </w:r>
            <w:r w:rsidR="003F1BDC">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w:t>
            </w:r>
          </w:p>
        </w:tc>
      </w:tr>
      <w:tr w:rsidR="004976EE" w:rsidRPr="0078105B" w:rsidTr="004971F0">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9,730,262,099.63</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4971F0">
            <w:pPr>
              <w:autoSpaceDE w:val="0"/>
              <w:autoSpaceDN w:val="0"/>
              <w:adjustRightInd w:val="0"/>
              <w:spacing w:before="29" w:line="360" w:lineRule="auto"/>
              <w:ind w:left="17"/>
              <w:jc w:val="right"/>
              <w:rPr>
                <w:color w:val="000000"/>
                <w:sz w:val="24"/>
              </w:rPr>
            </w:pPr>
            <w:r w:rsidRPr="00FA472B">
              <w:rPr>
                <w:color w:val="000000"/>
                <w:sz w:val="24"/>
              </w:rPr>
              <w:t>1,426,088,396.08</w:t>
            </w:r>
          </w:p>
        </w:tc>
      </w:tr>
    </w:tbl>
    <w:p w:rsidR="00A62673" w:rsidRDefault="00A62673" w:rsidP="00F729DC">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A62673" w:rsidRDefault="00A62673" w:rsidP="00413689">
      <w:pPr>
        <w:spacing w:line="360" w:lineRule="auto"/>
        <w:jc w:val="left"/>
        <w:rPr>
          <w:sz w:val="24"/>
        </w:rPr>
      </w:pPr>
      <w:r>
        <w:rPr>
          <w:b/>
          <w:sz w:val="24"/>
        </w:rPr>
        <w:t xml:space="preserve">7.1 </w:t>
      </w:r>
      <w:r>
        <w:rPr>
          <w:rFonts w:hint="eastAsia"/>
          <w:b/>
          <w:sz w:val="24"/>
        </w:rPr>
        <w:t>基金管理人持有本基金份额变动情况</w:t>
      </w:r>
    </w:p>
    <w:p w:rsidR="00A62673" w:rsidRPr="00C1648E" w:rsidRDefault="004D5C1F" w:rsidP="00C1648E">
      <w:pPr>
        <w:spacing w:line="360" w:lineRule="auto"/>
        <w:ind w:firstLineChars="200" w:firstLine="480"/>
        <w:rPr>
          <w:color w:val="000000"/>
          <w:sz w:val="24"/>
        </w:rPr>
      </w:pPr>
      <w:r w:rsidRPr="00DF18FE">
        <w:rPr>
          <w:color w:val="000000"/>
          <w:sz w:val="24"/>
        </w:rPr>
        <w:t>本报告期内基金管理人未持有本基金份额。</w:t>
      </w:r>
    </w:p>
    <w:p w:rsidR="00A62673" w:rsidRDefault="00A62673" w:rsidP="00413689">
      <w:pPr>
        <w:spacing w:line="360" w:lineRule="auto"/>
        <w:jc w:val="left"/>
        <w:rPr>
          <w:sz w:val="24"/>
        </w:rPr>
      </w:pPr>
      <w:r>
        <w:rPr>
          <w:b/>
          <w:sz w:val="24"/>
        </w:rPr>
        <w:t xml:space="preserve">7.2 </w:t>
      </w:r>
      <w:r>
        <w:rPr>
          <w:rFonts w:hint="eastAsia"/>
          <w:b/>
          <w:sz w:val="24"/>
        </w:rPr>
        <w:t>基金管理人运用固有资金投资本基金交易明细</w:t>
      </w:r>
    </w:p>
    <w:p w:rsidR="00A62673" w:rsidRPr="00DC315B" w:rsidRDefault="004D5C1F" w:rsidP="00DC315B">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8</w:t>
      </w:r>
      <w:r w:rsidR="00900A07" w:rsidRPr="00EC5CE0">
        <w:rPr>
          <w:rFonts w:ascii="宋体" w:hAnsi="宋体" w:cs="Arial"/>
          <w:color w:val="000000"/>
          <w:kern w:val="0"/>
          <w:sz w:val="24"/>
          <w:szCs w:val="24"/>
        </w:rPr>
        <w:t xml:space="preserve">  </w:t>
      </w:r>
      <w:r w:rsidRPr="00EC5CE0">
        <w:rPr>
          <w:rFonts w:ascii="宋体" w:hAnsi="宋体" w:cs="Arial" w:hint="eastAsia"/>
          <w:color w:val="000000"/>
          <w:kern w:val="0"/>
          <w:sz w:val="24"/>
          <w:szCs w:val="24"/>
        </w:rPr>
        <w:t>备查文件目录</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8.1 </w:t>
      </w:r>
      <w:r w:rsidRPr="00511B6A">
        <w:rPr>
          <w:rFonts w:ascii="宋体" w:hAnsi="宋体" w:hint="eastAsia"/>
          <w:b/>
          <w:color w:val="000000"/>
          <w:sz w:val="24"/>
        </w:rPr>
        <w:t>备查文件目录</w:t>
      </w:r>
    </w:p>
    <w:p w:rsidR="001E0B8A" w:rsidRDefault="006764E1">
      <w:pPr>
        <w:spacing w:line="360" w:lineRule="auto"/>
        <w:ind w:firstLineChars="200" w:firstLine="480"/>
        <w:rPr>
          <w:color w:val="000000"/>
          <w:sz w:val="24"/>
        </w:rPr>
      </w:pPr>
      <w:r>
        <w:rPr>
          <w:color w:val="000000"/>
          <w:sz w:val="24"/>
        </w:rPr>
        <w:t>1.</w:t>
      </w:r>
      <w:r>
        <w:rPr>
          <w:color w:val="000000"/>
          <w:sz w:val="24"/>
        </w:rPr>
        <w:t>中国证监会批准易方达</w:t>
      </w:r>
      <w:r>
        <w:rPr>
          <w:color w:val="000000"/>
          <w:sz w:val="24"/>
        </w:rPr>
        <w:t>50</w:t>
      </w:r>
      <w:r>
        <w:rPr>
          <w:color w:val="000000"/>
          <w:sz w:val="24"/>
        </w:rPr>
        <w:t>指数证券投资基金设立的文件；</w:t>
      </w:r>
    </w:p>
    <w:p w:rsidR="001E0B8A" w:rsidRDefault="006764E1">
      <w:pPr>
        <w:spacing w:line="360" w:lineRule="auto"/>
        <w:ind w:firstLineChars="200" w:firstLine="480"/>
        <w:rPr>
          <w:color w:val="000000"/>
          <w:sz w:val="24"/>
        </w:rPr>
      </w:pPr>
      <w:r>
        <w:rPr>
          <w:color w:val="000000"/>
          <w:sz w:val="24"/>
        </w:rPr>
        <w:t>2.</w:t>
      </w:r>
      <w:r>
        <w:rPr>
          <w:color w:val="000000"/>
          <w:sz w:val="24"/>
        </w:rPr>
        <w:t>《易方达</w:t>
      </w:r>
      <w:r>
        <w:rPr>
          <w:color w:val="000000"/>
          <w:sz w:val="24"/>
        </w:rPr>
        <w:t>50</w:t>
      </w:r>
      <w:r>
        <w:rPr>
          <w:color w:val="000000"/>
          <w:sz w:val="24"/>
        </w:rPr>
        <w:t>指数证券投资基金基金合同》；</w:t>
      </w:r>
    </w:p>
    <w:p w:rsidR="001E0B8A" w:rsidRDefault="006764E1">
      <w:pPr>
        <w:spacing w:line="360" w:lineRule="auto"/>
        <w:ind w:firstLineChars="200" w:firstLine="480"/>
        <w:rPr>
          <w:color w:val="000000"/>
          <w:sz w:val="24"/>
        </w:rPr>
      </w:pPr>
      <w:r>
        <w:rPr>
          <w:color w:val="000000"/>
          <w:sz w:val="24"/>
        </w:rPr>
        <w:t>3.</w:t>
      </w:r>
      <w:r>
        <w:rPr>
          <w:color w:val="000000"/>
          <w:sz w:val="24"/>
        </w:rPr>
        <w:t>《易方达</w:t>
      </w:r>
      <w:r>
        <w:rPr>
          <w:color w:val="000000"/>
          <w:sz w:val="24"/>
        </w:rPr>
        <w:t>50</w:t>
      </w:r>
      <w:r>
        <w:rPr>
          <w:color w:val="000000"/>
          <w:sz w:val="24"/>
        </w:rPr>
        <w:t>指数证券投资基金托管协议》；</w:t>
      </w:r>
    </w:p>
    <w:p w:rsidR="001E0B8A" w:rsidRDefault="006764E1">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A62673" w:rsidRPr="00C1648E" w:rsidRDefault="00A62673" w:rsidP="00C1648E">
      <w:pPr>
        <w:spacing w:line="360" w:lineRule="auto"/>
        <w:ind w:firstLineChars="200" w:firstLine="480"/>
        <w:rPr>
          <w:color w:val="000000"/>
          <w:sz w:val="24"/>
        </w:rPr>
      </w:pPr>
      <w:r w:rsidRPr="00DC315B">
        <w:rPr>
          <w:color w:val="000000"/>
          <w:sz w:val="24"/>
        </w:rPr>
        <w:t>5.</w:t>
      </w:r>
      <w:r w:rsidRPr="00DC315B">
        <w:rPr>
          <w:color w:val="000000"/>
          <w:sz w:val="24"/>
        </w:rPr>
        <w:t>基金管理人业务资格批件和营业执照。</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8.2 </w:t>
      </w:r>
      <w:r w:rsidRPr="00511B6A">
        <w:rPr>
          <w:rFonts w:ascii="宋体" w:hAnsi="宋体" w:hint="eastAsia"/>
          <w:b/>
          <w:color w:val="000000"/>
          <w:sz w:val="24"/>
        </w:rPr>
        <w:t>存放地点</w:t>
      </w:r>
    </w:p>
    <w:p w:rsidR="00A62673" w:rsidRPr="00C1648E" w:rsidRDefault="00A62673" w:rsidP="00C1648E">
      <w:pPr>
        <w:spacing w:line="360" w:lineRule="auto"/>
        <w:ind w:firstLineChars="200" w:firstLine="480"/>
        <w:rPr>
          <w:color w:val="000000"/>
          <w:sz w:val="24"/>
        </w:rPr>
      </w:pPr>
      <w:r w:rsidRPr="00DC315B">
        <w:rPr>
          <w:color w:val="000000"/>
          <w:sz w:val="24"/>
        </w:rPr>
        <w:t>广州市天河区珠江新城珠江东路</w:t>
      </w:r>
      <w:r w:rsidRPr="00DC315B">
        <w:rPr>
          <w:color w:val="000000"/>
          <w:sz w:val="24"/>
        </w:rPr>
        <w:t>30</w:t>
      </w:r>
      <w:r w:rsidRPr="00DC315B">
        <w:rPr>
          <w:color w:val="000000"/>
          <w:sz w:val="24"/>
        </w:rPr>
        <w:t>号广州银行大厦</w:t>
      </w:r>
      <w:r w:rsidRPr="00DC315B">
        <w:rPr>
          <w:color w:val="000000"/>
          <w:sz w:val="24"/>
        </w:rPr>
        <w:t>40-43</w:t>
      </w:r>
      <w:r w:rsidRPr="00DC315B">
        <w:rPr>
          <w:color w:val="000000"/>
          <w:sz w:val="24"/>
        </w:rPr>
        <w:t>楼。</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8.3 </w:t>
      </w:r>
      <w:r w:rsidRPr="00511B6A">
        <w:rPr>
          <w:rFonts w:ascii="宋体" w:hAnsi="宋体" w:hint="eastAsia"/>
          <w:b/>
          <w:color w:val="000000"/>
          <w:sz w:val="24"/>
        </w:rPr>
        <w:t>查阅方式</w:t>
      </w:r>
    </w:p>
    <w:p w:rsidR="00A62673" w:rsidRPr="00DC315B" w:rsidRDefault="00A62673" w:rsidP="005A2769">
      <w:pPr>
        <w:spacing w:line="360" w:lineRule="auto"/>
        <w:ind w:firstLineChars="200" w:firstLine="480"/>
        <w:rPr>
          <w:color w:val="000000"/>
          <w:sz w:val="24"/>
        </w:rPr>
      </w:pPr>
      <w:r w:rsidRPr="00DC315B">
        <w:rPr>
          <w:color w:val="000000"/>
          <w:sz w:val="24"/>
        </w:rPr>
        <w:t>投资者可在营业时间免费查阅，也可按工本费购买复印件。</w:t>
      </w: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Pr="00EC5CE0" w:rsidRDefault="00A62673" w:rsidP="0019563C">
      <w:pPr>
        <w:spacing w:line="360" w:lineRule="auto"/>
        <w:ind w:left="840"/>
        <w:jc w:val="right"/>
        <w:rPr>
          <w:rFonts w:ascii="宋体"/>
          <w:color w:val="000000"/>
          <w:sz w:val="24"/>
        </w:rPr>
      </w:pPr>
    </w:p>
    <w:p w:rsidR="00A62673" w:rsidRPr="00EC5CE0" w:rsidRDefault="00A62673" w:rsidP="0019563C">
      <w:pPr>
        <w:spacing w:line="360" w:lineRule="auto"/>
        <w:ind w:left="840"/>
        <w:jc w:val="right"/>
        <w:rPr>
          <w:rFonts w:ascii="宋体"/>
          <w:color w:val="000000"/>
          <w:sz w:val="24"/>
        </w:rPr>
      </w:pPr>
    </w:p>
    <w:p w:rsidR="00A62673" w:rsidRPr="00EC5CE0" w:rsidRDefault="00A62673" w:rsidP="009A037F">
      <w:pPr>
        <w:spacing w:line="360" w:lineRule="auto"/>
        <w:jc w:val="right"/>
        <w:rPr>
          <w:rFonts w:ascii="宋体" w:hAnsi="宋体"/>
          <w:b/>
          <w:bCs/>
          <w:sz w:val="24"/>
        </w:rPr>
      </w:pPr>
      <w:r w:rsidRPr="00EC5CE0">
        <w:rPr>
          <w:rFonts w:ascii="宋体" w:hAnsi="宋体"/>
          <w:b/>
          <w:bCs/>
          <w:sz w:val="24"/>
        </w:rPr>
        <w:t>易方达基金管理有限公司</w:t>
      </w:r>
    </w:p>
    <w:p w:rsidR="00A62673" w:rsidRPr="00C06372" w:rsidRDefault="00A62673" w:rsidP="00C06372">
      <w:pPr>
        <w:spacing w:line="360" w:lineRule="auto"/>
        <w:jc w:val="right"/>
        <w:rPr>
          <w:rFonts w:ascii="宋体" w:hAnsi="宋体"/>
          <w:b/>
          <w:bCs/>
          <w:sz w:val="24"/>
        </w:rPr>
      </w:pPr>
      <w:r w:rsidRPr="00EC5CE0">
        <w:rPr>
          <w:rFonts w:ascii="宋体" w:hAnsi="宋体"/>
          <w:b/>
          <w:bCs/>
          <w:sz w:val="24"/>
        </w:rPr>
        <w:t>二〇二〇年四月二十一日</w:t>
      </w:r>
    </w:p>
    <w:sectPr w:rsidR="00A62673" w:rsidRPr="00C06372" w:rsidSect="00DB4450">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42" w:rsidRDefault="009F7442">
      <w:r>
        <w:separator/>
      </w:r>
    </w:p>
  </w:endnote>
  <w:endnote w:type="continuationSeparator" w:id="0">
    <w:p w:rsidR="009F7442" w:rsidRDefault="009F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78" w:rsidRPr="001D0DB0" w:rsidRDefault="002C4578" w:rsidP="00230A66">
    <w:pPr>
      <w:pStyle w:val="a6"/>
      <w:jc w:val="center"/>
    </w:pPr>
    <w:r>
      <w:rPr>
        <w:rFonts w:hint="eastAsia"/>
        <w:szCs w:val="21"/>
      </w:rPr>
      <w:t>第</w:t>
    </w:r>
    <w:r w:rsidR="005F7D6F">
      <w:rPr>
        <w:szCs w:val="21"/>
      </w:rPr>
      <w:fldChar w:fldCharType="begin"/>
    </w:r>
    <w:r>
      <w:rPr>
        <w:szCs w:val="21"/>
      </w:rPr>
      <w:instrText xml:space="preserve"> PAGE </w:instrText>
    </w:r>
    <w:r w:rsidR="005F7D6F">
      <w:rPr>
        <w:szCs w:val="21"/>
      </w:rPr>
      <w:fldChar w:fldCharType="separate"/>
    </w:r>
    <w:r w:rsidR="009F7442">
      <w:rPr>
        <w:noProof/>
        <w:szCs w:val="21"/>
      </w:rPr>
      <w:t>1</w:t>
    </w:r>
    <w:r w:rsidR="005F7D6F">
      <w:rPr>
        <w:szCs w:val="21"/>
      </w:rPr>
      <w:fldChar w:fldCharType="end"/>
    </w:r>
    <w:r>
      <w:rPr>
        <w:rFonts w:hint="eastAsia"/>
        <w:szCs w:val="21"/>
      </w:rPr>
      <w:t>页共</w:t>
    </w:r>
    <w:r w:rsidR="005F7D6F">
      <w:rPr>
        <w:szCs w:val="21"/>
      </w:rPr>
      <w:fldChar w:fldCharType="begin"/>
    </w:r>
    <w:r>
      <w:rPr>
        <w:szCs w:val="21"/>
      </w:rPr>
      <w:instrText xml:space="preserve"> NUMPAGES </w:instrText>
    </w:r>
    <w:r w:rsidR="005F7D6F">
      <w:rPr>
        <w:szCs w:val="21"/>
      </w:rPr>
      <w:fldChar w:fldCharType="separate"/>
    </w:r>
    <w:r w:rsidR="009F7442">
      <w:rPr>
        <w:noProof/>
        <w:szCs w:val="21"/>
      </w:rPr>
      <w:t>1</w:t>
    </w:r>
    <w:r w:rsidR="005F7D6F">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78" w:rsidRDefault="005F7D6F">
    <w:pPr>
      <w:pStyle w:val="a6"/>
      <w:framePr w:wrap="around" w:vAnchor="text" w:hAnchor="margin" w:xAlign="center" w:y="1"/>
      <w:rPr>
        <w:rStyle w:val="a7"/>
      </w:rPr>
    </w:pPr>
    <w:r>
      <w:rPr>
        <w:rStyle w:val="a7"/>
      </w:rPr>
      <w:fldChar w:fldCharType="begin"/>
    </w:r>
    <w:r w:rsidR="002C4578">
      <w:rPr>
        <w:rStyle w:val="a7"/>
      </w:rPr>
      <w:instrText xml:space="preserve">PAGE  </w:instrText>
    </w:r>
    <w:r>
      <w:rPr>
        <w:rStyle w:val="a7"/>
      </w:rPr>
      <w:fldChar w:fldCharType="end"/>
    </w:r>
  </w:p>
  <w:p w:rsidR="002C4578" w:rsidRDefault="002C457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78" w:rsidRDefault="005F7D6F">
    <w:pPr>
      <w:pStyle w:val="a6"/>
      <w:framePr w:wrap="around" w:vAnchor="text" w:hAnchor="margin" w:xAlign="center" w:y="1"/>
      <w:rPr>
        <w:rStyle w:val="a7"/>
      </w:rPr>
    </w:pPr>
    <w:r>
      <w:rPr>
        <w:rStyle w:val="a7"/>
      </w:rPr>
      <w:fldChar w:fldCharType="begin"/>
    </w:r>
    <w:r w:rsidR="002C4578">
      <w:rPr>
        <w:rStyle w:val="a7"/>
      </w:rPr>
      <w:instrText xml:space="preserve">PAGE  </w:instrText>
    </w:r>
    <w:r>
      <w:rPr>
        <w:rStyle w:val="a7"/>
      </w:rPr>
      <w:fldChar w:fldCharType="separate"/>
    </w:r>
    <w:r w:rsidR="00287D36">
      <w:rPr>
        <w:rStyle w:val="a7"/>
        <w:noProof/>
      </w:rPr>
      <w:t>14</w:t>
    </w:r>
    <w:r>
      <w:rPr>
        <w:rStyle w:val="a7"/>
      </w:rPr>
      <w:fldChar w:fldCharType="end"/>
    </w:r>
  </w:p>
  <w:p w:rsidR="002C4578" w:rsidRDefault="002C45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42" w:rsidRDefault="009F7442">
      <w:r>
        <w:separator/>
      </w:r>
    </w:p>
  </w:footnote>
  <w:footnote w:type="continuationSeparator" w:id="0">
    <w:p w:rsidR="009F7442" w:rsidRDefault="009F7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78" w:rsidRPr="00977154" w:rsidRDefault="002C4578" w:rsidP="005E491F">
    <w:pPr>
      <w:pStyle w:val="a9"/>
      <w:pBdr>
        <w:bottom w:val="single" w:sz="6" w:space="0" w:color="auto"/>
      </w:pBdr>
      <w:jc w:val="right"/>
    </w:pPr>
    <w:r w:rsidRPr="00977154">
      <w:t>易方达</w:t>
    </w:r>
    <w:r w:rsidRPr="00977154">
      <w:t>50</w:t>
    </w:r>
    <w:r w:rsidRPr="00977154">
      <w:t>指数证券投资基金</w:t>
    </w:r>
    <w:r w:rsidRPr="00977154">
      <w:t>2020</w:t>
    </w:r>
    <w:r w:rsidRPr="00977154">
      <w:t>年第</w:t>
    </w:r>
    <w:r w:rsidRPr="00977154">
      <w:t>1</w:t>
    </w:r>
    <w:r w:rsidRPr="0097715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56"/>
    <w:rsid w:val="000020BB"/>
    <w:rsid w:val="0000369F"/>
    <w:rsid w:val="0000403B"/>
    <w:rsid w:val="00005911"/>
    <w:rsid w:val="00010A83"/>
    <w:rsid w:val="00010A8E"/>
    <w:rsid w:val="00010AC3"/>
    <w:rsid w:val="000115A7"/>
    <w:rsid w:val="00011EB5"/>
    <w:rsid w:val="0001280C"/>
    <w:rsid w:val="00017581"/>
    <w:rsid w:val="00020583"/>
    <w:rsid w:val="00021DD4"/>
    <w:rsid w:val="00023BE7"/>
    <w:rsid w:val="00024709"/>
    <w:rsid w:val="00037FCF"/>
    <w:rsid w:val="000421B8"/>
    <w:rsid w:val="00043ABF"/>
    <w:rsid w:val="000445E4"/>
    <w:rsid w:val="00045BEC"/>
    <w:rsid w:val="000510AB"/>
    <w:rsid w:val="00055AF1"/>
    <w:rsid w:val="000625A6"/>
    <w:rsid w:val="00064AE3"/>
    <w:rsid w:val="0006511D"/>
    <w:rsid w:val="00066524"/>
    <w:rsid w:val="00070CD1"/>
    <w:rsid w:val="0007171B"/>
    <w:rsid w:val="00072E4F"/>
    <w:rsid w:val="00074E9F"/>
    <w:rsid w:val="000770DE"/>
    <w:rsid w:val="00081D05"/>
    <w:rsid w:val="000820A8"/>
    <w:rsid w:val="00084EE5"/>
    <w:rsid w:val="00087CF7"/>
    <w:rsid w:val="00091560"/>
    <w:rsid w:val="00093160"/>
    <w:rsid w:val="00094876"/>
    <w:rsid w:val="00095912"/>
    <w:rsid w:val="00095CE0"/>
    <w:rsid w:val="00096933"/>
    <w:rsid w:val="00097230"/>
    <w:rsid w:val="0009778D"/>
    <w:rsid w:val="000A391B"/>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0F709D"/>
    <w:rsid w:val="00100C12"/>
    <w:rsid w:val="00101DBA"/>
    <w:rsid w:val="001049B6"/>
    <w:rsid w:val="001051C6"/>
    <w:rsid w:val="00107CB4"/>
    <w:rsid w:val="0011177A"/>
    <w:rsid w:val="00112E9B"/>
    <w:rsid w:val="00116E31"/>
    <w:rsid w:val="00122A26"/>
    <w:rsid w:val="0012304E"/>
    <w:rsid w:val="001248EF"/>
    <w:rsid w:val="001257C7"/>
    <w:rsid w:val="00126DDF"/>
    <w:rsid w:val="001270BF"/>
    <w:rsid w:val="00127BAC"/>
    <w:rsid w:val="0013360F"/>
    <w:rsid w:val="00141121"/>
    <w:rsid w:val="00142A56"/>
    <w:rsid w:val="00143AF1"/>
    <w:rsid w:val="00144DF5"/>
    <w:rsid w:val="00145A97"/>
    <w:rsid w:val="00146485"/>
    <w:rsid w:val="00150AD6"/>
    <w:rsid w:val="001526F9"/>
    <w:rsid w:val="00153B40"/>
    <w:rsid w:val="00154ADA"/>
    <w:rsid w:val="0015531A"/>
    <w:rsid w:val="001600E8"/>
    <w:rsid w:val="00163B27"/>
    <w:rsid w:val="00165317"/>
    <w:rsid w:val="00165A09"/>
    <w:rsid w:val="00171BAD"/>
    <w:rsid w:val="00172606"/>
    <w:rsid w:val="0017347D"/>
    <w:rsid w:val="001744B4"/>
    <w:rsid w:val="001756A1"/>
    <w:rsid w:val="001761EE"/>
    <w:rsid w:val="0017659B"/>
    <w:rsid w:val="00176EAA"/>
    <w:rsid w:val="0017725A"/>
    <w:rsid w:val="001779ED"/>
    <w:rsid w:val="00177C4B"/>
    <w:rsid w:val="00182635"/>
    <w:rsid w:val="0018325A"/>
    <w:rsid w:val="00185053"/>
    <w:rsid w:val="00186199"/>
    <w:rsid w:val="001928F7"/>
    <w:rsid w:val="00194537"/>
    <w:rsid w:val="0019563C"/>
    <w:rsid w:val="00195F18"/>
    <w:rsid w:val="001968CE"/>
    <w:rsid w:val="00196E83"/>
    <w:rsid w:val="001A0A1E"/>
    <w:rsid w:val="001A21A9"/>
    <w:rsid w:val="001A59D8"/>
    <w:rsid w:val="001A5FA6"/>
    <w:rsid w:val="001A6A3B"/>
    <w:rsid w:val="001A6F8A"/>
    <w:rsid w:val="001B0A62"/>
    <w:rsid w:val="001B2F0C"/>
    <w:rsid w:val="001C13C9"/>
    <w:rsid w:val="001C37F6"/>
    <w:rsid w:val="001C6288"/>
    <w:rsid w:val="001D0DB0"/>
    <w:rsid w:val="001D0F6A"/>
    <w:rsid w:val="001D21BC"/>
    <w:rsid w:val="001D2FA5"/>
    <w:rsid w:val="001D35E0"/>
    <w:rsid w:val="001D3711"/>
    <w:rsid w:val="001D3CDF"/>
    <w:rsid w:val="001D5045"/>
    <w:rsid w:val="001D5A44"/>
    <w:rsid w:val="001D63BB"/>
    <w:rsid w:val="001D724B"/>
    <w:rsid w:val="001E0B8A"/>
    <w:rsid w:val="001E11D3"/>
    <w:rsid w:val="001E2A6A"/>
    <w:rsid w:val="001E3742"/>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17C2"/>
    <w:rsid w:val="0025281A"/>
    <w:rsid w:val="00253D3C"/>
    <w:rsid w:val="00255292"/>
    <w:rsid w:val="00257D8C"/>
    <w:rsid w:val="00257F8D"/>
    <w:rsid w:val="00260200"/>
    <w:rsid w:val="00263563"/>
    <w:rsid w:val="002648D8"/>
    <w:rsid w:val="00264E55"/>
    <w:rsid w:val="00267B74"/>
    <w:rsid w:val="00270548"/>
    <w:rsid w:val="00273F86"/>
    <w:rsid w:val="002774F0"/>
    <w:rsid w:val="00283272"/>
    <w:rsid w:val="0028459B"/>
    <w:rsid w:val="00284C5F"/>
    <w:rsid w:val="002873F0"/>
    <w:rsid w:val="00287AC3"/>
    <w:rsid w:val="00287D36"/>
    <w:rsid w:val="0029046D"/>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4578"/>
    <w:rsid w:val="002C5777"/>
    <w:rsid w:val="002C5CB7"/>
    <w:rsid w:val="002D32E3"/>
    <w:rsid w:val="002D7B86"/>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5AA8"/>
    <w:rsid w:val="00350238"/>
    <w:rsid w:val="0035109C"/>
    <w:rsid w:val="00351F0A"/>
    <w:rsid w:val="0035432B"/>
    <w:rsid w:val="00357172"/>
    <w:rsid w:val="0035753B"/>
    <w:rsid w:val="003613A8"/>
    <w:rsid w:val="00361E7E"/>
    <w:rsid w:val="0036360E"/>
    <w:rsid w:val="00364504"/>
    <w:rsid w:val="00364559"/>
    <w:rsid w:val="00370AA4"/>
    <w:rsid w:val="00371FF4"/>
    <w:rsid w:val="00376C39"/>
    <w:rsid w:val="00377520"/>
    <w:rsid w:val="003802CC"/>
    <w:rsid w:val="00380D36"/>
    <w:rsid w:val="003822D3"/>
    <w:rsid w:val="0038237A"/>
    <w:rsid w:val="003834E0"/>
    <w:rsid w:val="00384C43"/>
    <w:rsid w:val="00386630"/>
    <w:rsid w:val="00390B25"/>
    <w:rsid w:val="00397156"/>
    <w:rsid w:val="00397960"/>
    <w:rsid w:val="003A0A94"/>
    <w:rsid w:val="003A13F8"/>
    <w:rsid w:val="003A3BC4"/>
    <w:rsid w:val="003A458A"/>
    <w:rsid w:val="003B2DA8"/>
    <w:rsid w:val="003B2F13"/>
    <w:rsid w:val="003B405E"/>
    <w:rsid w:val="003B57D3"/>
    <w:rsid w:val="003C1A49"/>
    <w:rsid w:val="003C1F58"/>
    <w:rsid w:val="003C6C58"/>
    <w:rsid w:val="003C792F"/>
    <w:rsid w:val="003D124B"/>
    <w:rsid w:val="003D18F3"/>
    <w:rsid w:val="003D23CB"/>
    <w:rsid w:val="003D6F64"/>
    <w:rsid w:val="003D78B5"/>
    <w:rsid w:val="003E244F"/>
    <w:rsid w:val="003E62A6"/>
    <w:rsid w:val="003E688B"/>
    <w:rsid w:val="003E68A0"/>
    <w:rsid w:val="003E695F"/>
    <w:rsid w:val="003E6C9B"/>
    <w:rsid w:val="003E709C"/>
    <w:rsid w:val="003E7B89"/>
    <w:rsid w:val="003F1BDC"/>
    <w:rsid w:val="003F4241"/>
    <w:rsid w:val="003F7040"/>
    <w:rsid w:val="003F7C45"/>
    <w:rsid w:val="0040132C"/>
    <w:rsid w:val="00405085"/>
    <w:rsid w:val="00405481"/>
    <w:rsid w:val="004066FC"/>
    <w:rsid w:val="00407C10"/>
    <w:rsid w:val="004103DF"/>
    <w:rsid w:val="00410E6E"/>
    <w:rsid w:val="004113B4"/>
    <w:rsid w:val="00413689"/>
    <w:rsid w:val="004143D6"/>
    <w:rsid w:val="00414827"/>
    <w:rsid w:val="00416C10"/>
    <w:rsid w:val="00420355"/>
    <w:rsid w:val="00421E6B"/>
    <w:rsid w:val="00424EF3"/>
    <w:rsid w:val="004268BB"/>
    <w:rsid w:val="00431047"/>
    <w:rsid w:val="004318F0"/>
    <w:rsid w:val="00431B86"/>
    <w:rsid w:val="00435368"/>
    <w:rsid w:val="004408EC"/>
    <w:rsid w:val="004419E2"/>
    <w:rsid w:val="00441E6A"/>
    <w:rsid w:val="0044398D"/>
    <w:rsid w:val="00443C8F"/>
    <w:rsid w:val="00447C82"/>
    <w:rsid w:val="00450215"/>
    <w:rsid w:val="00452481"/>
    <w:rsid w:val="00457251"/>
    <w:rsid w:val="004575E9"/>
    <w:rsid w:val="004576F2"/>
    <w:rsid w:val="00457804"/>
    <w:rsid w:val="004646BF"/>
    <w:rsid w:val="00464744"/>
    <w:rsid w:val="004665E3"/>
    <w:rsid w:val="00467683"/>
    <w:rsid w:val="004731F1"/>
    <w:rsid w:val="00475162"/>
    <w:rsid w:val="00480BC8"/>
    <w:rsid w:val="00481265"/>
    <w:rsid w:val="004814BF"/>
    <w:rsid w:val="0048587E"/>
    <w:rsid w:val="00487C2B"/>
    <w:rsid w:val="00490626"/>
    <w:rsid w:val="00491631"/>
    <w:rsid w:val="0049297D"/>
    <w:rsid w:val="004929F2"/>
    <w:rsid w:val="00494580"/>
    <w:rsid w:val="00494E27"/>
    <w:rsid w:val="00495A03"/>
    <w:rsid w:val="004967FC"/>
    <w:rsid w:val="00497079"/>
    <w:rsid w:val="004976EE"/>
    <w:rsid w:val="004A00BD"/>
    <w:rsid w:val="004A1A57"/>
    <w:rsid w:val="004A1BBA"/>
    <w:rsid w:val="004A3E3C"/>
    <w:rsid w:val="004B0E4B"/>
    <w:rsid w:val="004B0E6D"/>
    <w:rsid w:val="004B16E8"/>
    <w:rsid w:val="004B2DB9"/>
    <w:rsid w:val="004B5E54"/>
    <w:rsid w:val="004B6250"/>
    <w:rsid w:val="004B76B1"/>
    <w:rsid w:val="004C0057"/>
    <w:rsid w:val="004C03A7"/>
    <w:rsid w:val="004C0541"/>
    <w:rsid w:val="004C2C46"/>
    <w:rsid w:val="004C5189"/>
    <w:rsid w:val="004C7235"/>
    <w:rsid w:val="004C7955"/>
    <w:rsid w:val="004D047F"/>
    <w:rsid w:val="004D1930"/>
    <w:rsid w:val="004D1A45"/>
    <w:rsid w:val="004D3D96"/>
    <w:rsid w:val="004D5C1F"/>
    <w:rsid w:val="004D650F"/>
    <w:rsid w:val="004E2133"/>
    <w:rsid w:val="004E5AB9"/>
    <w:rsid w:val="004E60FB"/>
    <w:rsid w:val="004F4EA9"/>
    <w:rsid w:val="004F779C"/>
    <w:rsid w:val="004F7846"/>
    <w:rsid w:val="005000D4"/>
    <w:rsid w:val="0050069E"/>
    <w:rsid w:val="005009C0"/>
    <w:rsid w:val="00500F1D"/>
    <w:rsid w:val="0050148E"/>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4EC3"/>
    <w:rsid w:val="00525E59"/>
    <w:rsid w:val="005318CC"/>
    <w:rsid w:val="00531D1B"/>
    <w:rsid w:val="005349B1"/>
    <w:rsid w:val="005374BC"/>
    <w:rsid w:val="00543188"/>
    <w:rsid w:val="00543367"/>
    <w:rsid w:val="00543BFA"/>
    <w:rsid w:val="00547D9C"/>
    <w:rsid w:val="00547DA1"/>
    <w:rsid w:val="00551CED"/>
    <w:rsid w:val="00554EAB"/>
    <w:rsid w:val="0055513C"/>
    <w:rsid w:val="00560C94"/>
    <w:rsid w:val="00560F37"/>
    <w:rsid w:val="0056291C"/>
    <w:rsid w:val="00565A63"/>
    <w:rsid w:val="00566588"/>
    <w:rsid w:val="00570B1A"/>
    <w:rsid w:val="00572736"/>
    <w:rsid w:val="0057275D"/>
    <w:rsid w:val="005800A9"/>
    <w:rsid w:val="00580488"/>
    <w:rsid w:val="0058074D"/>
    <w:rsid w:val="00580FD1"/>
    <w:rsid w:val="0058111B"/>
    <w:rsid w:val="00582FAD"/>
    <w:rsid w:val="00583489"/>
    <w:rsid w:val="00583A98"/>
    <w:rsid w:val="00584D71"/>
    <w:rsid w:val="005858C4"/>
    <w:rsid w:val="00590FE4"/>
    <w:rsid w:val="00591D9C"/>
    <w:rsid w:val="00597057"/>
    <w:rsid w:val="00597D8B"/>
    <w:rsid w:val="005A1C30"/>
    <w:rsid w:val="005A2769"/>
    <w:rsid w:val="005A2DCB"/>
    <w:rsid w:val="005A3295"/>
    <w:rsid w:val="005A46FF"/>
    <w:rsid w:val="005A6166"/>
    <w:rsid w:val="005B011E"/>
    <w:rsid w:val="005B1C7D"/>
    <w:rsid w:val="005B1DEC"/>
    <w:rsid w:val="005B2E84"/>
    <w:rsid w:val="005B53CA"/>
    <w:rsid w:val="005B5A0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23CA"/>
    <w:rsid w:val="005F43B9"/>
    <w:rsid w:val="005F68CB"/>
    <w:rsid w:val="005F6A4A"/>
    <w:rsid w:val="005F7D6F"/>
    <w:rsid w:val="00602154"/>
    <w:rsid w:val="006033E3"/>
    <w:rsid w:val="00604FE3"/>
    <w:rsid w:val="0061321C"/>
    <w:rsid w:val="00620DB0"/>
    <w:rsid w:val="0062386E"/>
    <w:rsid w:val="00623D9A"/>
    <w:rsid w:val="00623F01"/>
    <w:rsid w:val="006242FB"/>
    <w:rsid w:val="00626E2D"/>
    <w:rsid w:val="00627D94"/>
    <w:rsid w:val="00630B42"/>
    <w:rsid w:val="00636CDE"/>
    <w:rsid w:val="00637BA7"/>
    <w:rsid w:val="00640ACD"/>
    <w:rsid w:val="00642072"/>
    <w:rsid w:val="00643330"/>
    <w:rsid w:val="006440ED"/>
    <w:rsid w:val="00645293"/>
    <w:rsid w:val="00647C64"/>
    <w:rsid w:val="00651B78"/>
    <w:rsid w:val="00652263"/>
    <w:rsid w:val="00652881"/>
    <w:rsid w:val="00661974"/>
    <w:rsid w:val="00664551"/>
    <w:rsid w:val="00664E44"/>
    <w:rsid w:val="00665677"/>
    <w:rsid w:val="0066704D"/>
    <w:rsid w:val="006676A0"/>
    <w:rsid w:val="00670857"/>
    <w:rsid w:val="00671124"/>
    <w:rsid w:val="006727B0"/>
    <w:rsid w:val="0067307E"/>
    <w:rsid w:val="006764E1"/>
    <w:rsid w:val="00677AC6"/>
    <w:rsid w:val="00687AD5"/>
    <w:rsid w:val="00691AFA"/>
    <w:rsid w:val="0069335C"/>
    <w:rsid w:val="00695251"/>
    <w:rsid w:val="00695ADE"/>
    <w:rsid w:val="00695C0D"/>
    <w:rsid w:val="00696356"/>
    <w:rsid w:val="006A72C6"/>
    <w:rsid w:val="006B02DA"/>
    <w:rsid w:val="006B2065"/>
    <w:rsid w:val="006B315F"/>
    <w:rsid w:val="006B3940"/>
    <w:rsid w:val="006C168D"/>
    <w:rsid w:val="006C1D5C"/>
    <w:rsid w:val="006C3C80"/>
    <w:rsid w:val="006C3F43"/>
    <w:rsid w:val="006C642C"/>
    <w:rsid w:val="006C6FC6"/>
    <w:rsid w:val="006D442E"/>
    <w:rsid w:val="006D6A40"/>
    <w:rsid w:val="006D6F20"/>
    <w:rsid w:val="006D7693"/>
    <w:rsid w:val="006E231B"/>
    <w:rsid w:val="006E346E"/>
    <w:rsid w:val="006E34B7"/>
    <w:rsid w:val="006E7B46"/>
    <w:rsid w:val="006F0F87"/>
    <w:rsid w:val="006F2F3E"/>
    <w:rsid w:val="006F4CD8"/>
    <w:rsid w:val="006F53D9"/>
    <w:rsid w:val="006F6A94"/>
    <w:rsid w:val="007004DC"/>
    <w:rsid w:val="00701575"/>
    <w:rsid w:val="00701A03"/>
    <w:rsid w:val="00703E8A"/>
    <w:rsid w:val="00711522"/>
    <w:rsid w:val="007124FE"/>
    <w:rsid w:val="00712EE5"/>
    <w:rsid w:val="00713186"/>
    <w:rsid w:val="00713757"/>
    <w:rsid w:val="0071379B"/>
    <w:rsid w:val="0071497D"/>
    <w:rsid w:val="00717772"/>
    <w:rsid w:val="0072122C"/>
    <w:rsid w:val="00721AF1"/>
    <w:rsid w:val="0072280F"/>
    <w:rsid w:val="00722B5E"/>
    <w:rsid w:val="00723309"/>
    <w:rsid w:val="00723845"/>
    <w:rsid w:val="0072708F"/>
    <w:rsid w:val="007323FB"/>
    <w:rsid w:val="00732D1D"/>
    <w:rsid w:val="00736034"/>
    <w:rsid w:val="0073681C"/>
    <w:rsid w:val="00741EBE"/>
    <w:rsid w:val="00746130"/>
    <w:rsid w:val="007467A8"/>
    <w:rsid w:val="00746A40"/>
    <w:rsid w:val="007479DC"/>
    <w:rsid w:val="00750358"/>
    <w:rsid w:val="00755CDF"/>
    <w:rsid w:val="00757A4C"/>
    <w:rsid w:val="0076110A"/>
    <w:rsid w:val="00764A94"/>
    <w:rsid w:val="00764DC3"/>
    <w:rsid w:val="007651E5"/>
    <w:rsid w:val="007670DC"/>
    <w:rsid w:val="00767239"/>
    <w:rsid w:val="0077111A"/>
    <w:rsid w:val="00772272"/>
    <w:rsid w:val="00774C7D"/>
    <w:rsid w:val="007756ED"/>
    <w:rsid w:val="007869A0"/>
    <w:rsid w:val="00786A23"/>
    <w:rsid w:val="007870FC"/>
    <w:rsid w:val="00787CD0"/>
    <w:rsid w:val="00791053"/>
    <w:rsid w:val="00791A3A"/>
    <w:rsid w:val="00794196"/>
    <w:rsid w:val="00797637"/>
    <w:rsid w:val="007A2E54"/>
    <w:rsid w:val="007A3680"/>
    <w:rsid w:val="007A59B8"/>
    <w:rsid w:val="007B2862"/>
    <w:rsid w:val="007B662A"/>
    <w:rsid w:val="007B6FEC"/>
    <w:rsid w:val="007C1A93"/>
    <w:rsid w:val="007C751E"/>
    <w:rsid w:val="007D021A"/>
    <w:rsid w:val="007D28C9"/>
    <w:rsid w:val="007D3CC8"/>
    <w:rsid w:val="007D62F9"/>
    <w:rsid w:val="007D63A4"/>
    <w:rsid w:val="007E1AA2"/>
    <w:rsid w:val="007E4C1F"/>
    <w:rsid w:val="007F0746"/>
    <w:rsid w:val="007F0759"/>
    <w:rsid w:val="007F25C0"/>
    <w:rsid w:val="007F456A"/>
    <w:rsid w:val="007F4C9B"/>
    <w:rsid w:val="007F5F52"/>
    <w:rsid w:val="007F77C6"/>
    <w:rsid w:val="007F77D8"/>
    <w:rsid w:val="008003A1"/>
    <w:rsid w:val="008006B7"/>
    <w:rsid w:val="00800FDB"/>
    <w:rsid w:val="00802081"/>
    <w:rsid w:val="008020B5"/>
    <w:rsid w:val="008021E8"/>
    <w:rsid w:val="008034CF"/>
    <w:rsid w:val="00803F15"/>
    <w:rsid w:val="008063D8"/>
    <w:rsid w:val="00806461"/>
    <w:rsid w:val="00806722"/>
    <w:rsid w:val="0081096D"/>
    <w:rsid w:val="00810EAD"/>
    <w:rsid w:val="00811833"/>
    <w:rsid w:val="008174D4"/>
    <w:rsid w:val="00820FE6"/>
    <w:rsid w:val="00821A66"/>
    <w:rsid w:val="00822476"/>
    <w:rsid w:val="00822882"/>
    <w:rsid w:val="0082435E"/>
    <w:rsid w:val="00824CB2"/>
    <w:rsid w:val="00825F68"/>
    <w:rsid w:val="008273D3"/>
    <w:rsid w:val="00835408"/>
    <w:rsid w:val="008359DA"/>
    <w:rsid w:val="00837CEF"/>
    <w:rsid w:val="00840035"/>
    <w:rsid w:val="00840220"/>
    <w:rsid w:val="008419D5"/>
    <w:rsid w:val="00841B65"/>
    <w:rsid w:val="008428A9"/>
    <w:rsid w:val="00844112"/>
    <w:rsid w:val="008444F2"/>
    <w:rsid w:val="008456C9"/>
    <w:rsid w:val="0084611D"/>
    <w:rsid w:val="00847BEF"/>
    <w:rsid w:val="00847D9E"/>
    <w:rsid w:val="00850C62"/>
    <w:rsid w:val="008624F9"/>
    <w:rsid w:val="00863011"/>
    <w:rsid w:val="00865075"/>
    <w:rsid w:val="00866F96"/>
    <w:rsid w:val="0086748F"/>
    <w:rsid w:val="00872CE4"/>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2265"/>
    <w:rsid w:val="008D3DE6"/>
    <w:rsid w:val="008D4223"/>
    <w:rsid w:val="008D44CC"/>
    <w:rsid w:val="008D46E3"/>
    <w:rsid w:val="008D6709"/>
    <w:rsid w:val="008D7EF7"/>
    <w:rsid w:val="008E083A"/>
    <w:rsid w:val="008E1338"/>
    <w:rsid w:val="008E2450"/>
    <w:rsid w:val="008E2983"/>
    <w:rsid w:val="008E6038"/>
    <w:rsid w:val="008E7896"/>
    <w:rsid w:val="008F2477"/>
    <w:rsid w:val="008F2F2B"/>
    <w:rsid w:val="008F385C"/>
    <w:rsid w:val="008F3EF6"/>
    <w:rsid w:val="008F4AAB"/>
    <w:rsid w:val="008F60C5"/>
    <w:rsid w:val="00900A07"/>
    <w:rsid w:val="009010F0"/>
    <w:rsid w:val="00901162"/>
    <w:rsid w:val="0090223A"/>
    <w:rsid w:val="009028E2"/>
    <w:rsid w:val="009135C1"/>
    <w:rsid w:val="00914EAB"/>
    <w:rsid w:val="00916597"/>
    <w:rsid w:val="00922D49"/>
    <w:rsid w:val="009259CF"/>
    <w:rsid w:val="00925E37"/>
    <w:rsid w:val="00925EDD"/>
    <w:rsid w:val="00927D0E"/>
    <w:rsid w:val="009309DA"/>
    <w:rsid w:val="00936688"/>
    <w:rsid w:val="00937CFA"/>
    <w:rsid w:val="009406B3"/>
    <w:rsid w:val="00942DF0"/>
    <w:rsid w:val="00945CF5"/>
    <w:rsid w:val="009500A1"/>
    <w:rsid w:val="0095037E"/>
    <w:rsid w:val="00950845"/>
    <w:rsid w:val="00952AAD"/>
    <w:rsid w:val="00954567"/>
    <w:rsid w:val="009547A9"/>
    <w:rsid w:val="009548FE"/>
    <w:rsid w:val="009550A5"/>
    <w:rsid w:val="00956F0B"/>
    <w:rsid w:val="00957466"/>
    <w:rsid w:val="0096260B"/>
    <w:rsid w:val="009664D5"/>
    <w:rsid w:val="00970C69"/>
    <w:rsid w:val="00971DF7"/>
    <w:rsid w:val="00971F1C"/>
    <w:rsid w:val="0097211D"/>
    <w:rsid w:val="00972E10"/>
    <w:rsid w:val="009746CA"/>
    <w:rsid w:val="00974975"/>
    <w:rsid w:val="00974EA8"/>
    <w:rsid w:val="00975555"/>
    <w:rsid w:val="00977154"/>
    <w:rsid w:val="00981963"/>
    <w:rsid w:val="00983C82"/>
    <w:rsid w:val="00984520"/>
    <w:rsid w:val="0098545C"/>
    <w:rsid w:val="00992BA2"/>
    <w:rsid w:val="00992F83"/>
    <w:rsid w:val="0099508A"/>
    <w:rsid w:val="009974EB"/>
    <w:rsid w:val="009A037F"/>
    <w:rsid w:val="009A1126"/>
    <w:rsid w:val="009A552C"/>
    <w:rsid w:val="009A63AC"/>
    <w:rsid w:val="009B1584"/>
    <w:rsid w:val="009B1B32"/>
    <w:rsid w:val="009B21CA"/>
    <w:rsid w:val="009B2648"/>
    <w:rsid w:val="009B2EE9"/>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D7F16"/>
    <w:rsid w:val="009E0F1A"/>
    <w:rsid w:val="009E140D"/>
    <w:rsid w:val="009E348F"/>
    <w:rsid w:val="009E4465"/>
    <w:rsid w:val="009E4DF2"/>
    <w:rsid w:val="009E6401"/>
    <w:rsid w:val="009E6C54"/>
    <w:rsid w:val="009F2261"/>
    <w:rsid w:val="009F2A25"/>
    <w:rsid w:val="009F5235"/>
    <w:rsid w:val="009F531A"/>
    <w:rsid w:val="009F6550"/>
    <w:rsid w:val="009F7442"/>
    <w:rsid w:val="009F786E"/>
    <w:rsid w:val="00A00902"/>
    <w:rsid w:val="00A039FF"/>
    <w:rsid w:val="00A0522C"/>
    <w:rsid w:val="00A05ACE"/>
    <w:rsid w:val="00A078CB"/>
    <w:rsid w:val="00A125F9"/>
    <w:rsid w:val="00A14AE3"/>
    <w:rsid w:val="00A16675"/>
    <w:rsid w:val="00A22CD6"/>
    <w:rsid w:val="00A234EC"/>
    <w:rsid w:val="00A2417A"/>
    <w:rsid w:val="00A26668"/>
    <w:rsid w:val="00A27804"/>
    <w:rsid w:val="00A3489D"/>
    <w:rsid w:val="00A348F0"/>
    <w:rsid w:val="00A36822"/>
    <w:rsid w:val="00A36AB5"/>
    <w:rsid w:val="00A411D1"/>
    <w:rsid w:val="00A4276F"/>
    <w:rsid w:val="00A428A4"/>
    <w:rsid w:val="00A42CE1"/>
    <w:rsid w:val="00A43389"/>
    <w:rsid w:val="00A43E71"/>
    <w:rsid w:val="00A45753"/>
    <w:rsid w:val="00A47B15"/>
    <w:rsid w:val="00A52F84"/>
    <w:rsid w:val="00A56B05"/>
    <w:rsid w:val="00A57678"/>
    <w:rsid w:val="00A60E2F"/>
    <w:rsid w:val="00A61166"/>
    <w:rsid w:val="00A618F3"/>
    <w:rsid w:val="00A62673"/>
    <w:rsid w:val="00A63284"/>
    <w:rsid w:val="00A64CB8"/>
    <w:rsid w:val="00A67018"/>
    <w:rsid w:val="00A672F3"/>
    <w:rsid w:val="00A673DC"/>
    <w:rsid w:val="00A677FA"/>
    <w:rsid w:val="00A7076E"/>
    <w:rsid w:val="00A709BE"/>
    <w:rsid w:val="00A7162E"/>
    <w:rsid w:val="00A7195A"/>
    <w:rsid w:val="00A72D71"/>
    <w:rsid w:val="00A75705"/>
    <w:rsid w:val="00A77C69"/>
    <w:rsid w:val="00A829DE"/>
    <w:rsid w:val="00A83953"/>
    <w:rsid w:val="00A84113"/>
    <w:rsid w:val="00A85AF5"/>
    <w:rsid w:val="00A903B6"/>
    <w:rsid w:val="00A90F4F"/>
    <w:rsid w:val="00A92C40"/>
    <w:rsid w:val="00A947AA"/>
    <w:rsid w:val="00AA0AC5"/>
    <w:rsid w:val="00AA19FE"/>
    <w:rsid w:val="00AA1B53"/>
    <w:rsid w:val="00AA3556"/>
    <w:rsid w:val="00AA35FD"/>
    <w:rsid w:val="00AA38A5"/>
    <w:rsid w:val="00AA3ADC"/>
    <w:rsid w:val="00AA3DB7"/>
    <w:rsid w:val="00AA6B2E"/>
    <w:rsid w:val="00AB3012"/>
    <w:rsid w:val="00AB321C"/>
    <w:rsid w:val="00AB5B99"/>
    <w:rsid w:val="00AB688F"/>
    <w:rsid w:val="00AB75EA"/>
    <w:rsid w:val="00AB7AA2"/>
    <w:rsid w:val="00AC44D9"/>
    <w:rsid w:val="00AC4BC1"/>
    <w:rsid w:val="00AC6FFD"/>
    <w:rsid w:val="00AD04BD"/>
    <w:rsid w:val="00AD25F6"/>
    <w:rsid w:val="00AD67CB"/>
    <w:rsid w:val="00AD7214"/>
    <w:rsid w:val="00AE1066"/>
    <w:rsid w:val="00AE4518"/>
    <w:rsid w:val="00AE5D7F"/>
    <w:rsid w:val="00AE79F0"/>
    <w:rsid w:val="00AE7FCD"/>
    <w:rsid w:val="00AF0030"/>
    <w:rsid w:val="00AF2DAE"/>
    <w:rsid w:val="00AF5585"/>
    <w:rsid w:val="00AF6EC1"/>
    <w:rsid w:val="00B00331"/>
    <w:rsid w:val="00B01A80"/>
    <w:rsid w:val="00B03EF2"/>
    <w:rsid w:val="00B07C27"/>
    <w:rsid w:val="00B10017"/>
    <w:rsid w:val="00B10DE1"/>
    <w:rsid w:val="00B10FF8"/>
    <w:rsid w:val="00B203C4"/>
    <w:rsid w:val="00B20E50"/>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7508"/>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07B5"/>
    <w:rsid w:val="00BB1EB3"/>
    <w:rsid w:val="00BB22CA"/>
    <w:rsid w:val="00BB2678"/>
    <w:rsid w:val="00BB3E96"/>
    <w:rsid w:val="00BC013A"/>
    <w:rsid w:val="00BC2343"/>
    <w:rsid w:val="00BC23F8"/>
    <w:rsid w:val="00BD30C8"/>
    <w:rsid w:val="00BD3EB4"/>
    <w:rsid w:val="00BD5C65"/>
    <w:rsid w:val="00BD7DB4"/>
    <w:rsid w:val="00BE1A80"/>
    <w:rsid w:val="00BE2F07"/>
    <w:rsid w:val="00BE6018"/>
    <w:rsid w:val="00BF0F8F"/>
    <w:rsid w:val="00BF18E8"/>
    <w:rsid w:val="00BF1F57"/>
    <w:rsid w:val="00BF4086"/>
    <w:rsid w:val="00BF426C"/>
    <w:rsid w:val="00BF47C9"/>
    <w:rsid w:val="00BF4E32"/>
    <w:rsid w:val="00BF58D0"/>
    <w:rsid w:val="00BF7D6A"/>
    <w:rsid w:val="00C013E1"/>
    <w:rsid w:val="00C01611"/>
    <w:rsid w:val="00C02D59"/>
    <w:rsid w:val="00C030B6"/>
    <w:rsid w:val="00C03284"/>
    <w:rsid w:val="00C050D7"/>
    <w:rsid w:val="00C05B5F"/>
    <w:rsid w:val="00C06372"/>
    <w:rsid w:val="00C104CC"/>
    <w:rsid w:val="00C152FE"/>
    <w:rsid w:val="00C1648E"/>
    <w:rsid w:val="00C16739"/>
    <w:rsid w:val="00C21C43"/>
    <w:rsid w:val="00C22C7D"/>
    <w:rsid w:val="00C22CCE"/>
    <w:rsid w:val="00C231D6"/>
    <w:rsid w:val="00C23BA2"/>
    <w:rsid w:val="00C27466"/>
    <w:rsid w:val="00C32AF2"/>
    <w:rsid w:val="00C33204"/>
    <w:rsid w:val="00C338EB"/>
    <w:rsid w:val="00C3465D"/>
    <w:rsid w:val="00C379E9"/>
    <w:rsid w:val="00C439FB"/>
    <w:rsid w:val="00C43F23"/>
    <w:rsid w:val="00C47790"/>
    <w:rsid w:val="00C50011"/>
    <w:rsid w:val="00C5274B"/>
    <w:rsid w:val="00C55A77"/>
    <w:rsid w:val="00C55B19"/>
    <w:rsid w:val="00C645E6"/>
    <w:rsid w:val="00C64D82"/>
    <w:rsid w:val="00C64FBC"/>
    <w:rsid w:val="00C65A83"/>
    <w:rsid w:val="00C72C6F"/>
    <w:rsid w:val="00C76CF1"/>
    <w:rsid w:val="00C80F23"/>
    <w:rsid w:val="00C81151"/>
    <w:rsid w:val="00C82CC6"/>
    <w:rsid w:val="00C850A3"/>
    <w:rsid w:val="00C85C32"/>
    <w:rsid w:val="00C85F94"/>
    <w:rsid w:val="00C87568"/>
    <w:rsid w:val="00C90DA7"/>
    <w:rsid w:val="00C90DB6"/>
    <w:rsid w:val="00C9394F"/>
    <w:rsid w:val="00C93B1A"/>
    <w:rsid w:val="00C96A14"/>
    <w:rsid w:val="00C96F5F"/>
    <w:rsid w:val="00CA21B5"/>
    <w:rsid w:val="00CA5927"/>
    <w:rsid w:val="00CA79EC"/>
    <w:rsid w:val="00CB26A5"/>
    <w:rsid w:val="00CB39C2"/>
    <w:rsid w:val="00CB4664"/>
    <w:rsid w:val="00CB4C8C"/>
    <w:rsid w:val="00CB5BFD"/>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200BD"/>
    <w:rsid w:val="00D22399"/>
    <w:rsid w:val="00D26460"/>
    <w:rsid w:val="00D3268B"/>
    <w:rsid w:val="00D33751"/>
    <w:rsid w:val="00D33924"/>
    <w:rsid w:val="00D36F6E"/>
    <w:rsid w:val="00D37343"/>
    <w:rsid w:val="00D4205E"/>
    <w:rsid w:val="00D42507"/>
    <w:rsid w:val="00D50E63"/>
    <w:rsid w:val="00D5574C"/>
    <w:rsid w:val="00D61982"/>
    <w:rsid w:val="00D6267A"/>
    <w:rsid w:val="00D67D12"/>
    <w:rsid w:val="00D7585A"/>
    <w:rsid w:val="00D80618"/>
    <w:rsid w:val="00D81A17"/>
    <w:rsid w:val="00D82494"/>
    <w:rsid w:val="00D84A4B"/>
    <w:rsid w:val="00D8681D"/>
    <w:rsid w:val="00D92168"/>
    <w:rsid w:val="00D940A9"/>
    <w:rsid w:val="00D940B5"/>
    <w:rsid w:val="00D95CB0"/>
    <w:rsid w:val="00D977C0"/>
    <w:rsid w:val="00DA00A3"/>
    <w:rsid w:val="00DA13F3"/>
    <w:rsid w:val="00DA2DE3"/>
    <w:rsid w:val="00DA7146"/>
    <w:rsid w:val="00DA716A"/>
    <w:rsid w:val="00DB1F4F"/>
    <w:rsid w:val="00DB37EE"/>
    <w:rsid w:val="00DB4450"/>
    <w:rsid w:val="00DB4A22"/>
    <w:rsid w:val="00DB7B69"/>
    <w:rsid w:val="00DC02EC"/>
    <w:rsid w:val="00DC234A"/>
    <w:rsid w:val="00DC315B"/>
    <w:rsid w:val="00DC41E4"/>
    <w:rsid w:val="00DC5116"/>
    <w:rsid w:val="00DC77DD"/>
    <w:rsid w:val="00DC7C77"/>
    <w:rsid w:val="00DD2417"/>
    <w:rsid w:val="00DD51D8"/>
    <w:rsid w:val="00DD7EA2"/>
    <w:rsid w:val="00DE00F2"/>
    <w:rsid w:val="00DE117F"/>
    <w:rsid w:val="00DE401C"/>
    <w:rsid w:val="00DE4CDE"/>
    <w:rsid w:val="00DF1ED6"/>
    <w:rsid w:val="00DF63FA"/>
    <w:rsid w:val="00E00A1C"/>
    <w:rsid w:val="00E012CC"/>
    <w:rsid w:val="00E02B71"/>
    <w:rsid w:val="00E02DEB"/>
    <w:rsid w:val="00E042A1"/>
    <w:rsid w:val="00E04CE6"/>
    <w:rsid w:val="00E062A5"/>
    <w:rsid w:val="00E07355"/>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094"/>
    <w:rsid w:val="00E55A61"/>
    <w:rsid w:val="00E57F92"/>
    <w:rsid w:val="00E616DB"/>
    <w:rsid w:val="00E627A4"/>
    <w:rsid w:val="00E630ED"/>
    <w:rsid w:val="00E70C95"/>
    <w:rsid w:val="00E74E84"/>
    <w:rsid w:val="00E74EC5"/>
    <w:rsid w:val="00E75FDC"/>
    <w:rsid w:val="00E76B86"/>
    <w:rsid w:val="00E8342F"/>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576"/>
    <w:rsid w:val="00EB1F02"/>
    <w:rsid w:val="00EB5BC5"/>
    <w:rsid w:val="00EB74C2"/>
    <w:rsid w:val="00EC086C"/>
    <w:rsid w:val="00EC42D0"/>
    <w:rsid w:val="00EC5CE0"/>
    <w:rsid w:val="00EC638F"/>
    <w:rsid w:val="00ED48AC"/>
    <w:rsid w:val="00EE224C"/>
    <w:rsid w:val="00EE4874"/>
    <w:rsid w:val="00EE4A8C"/>
    <w:rsid w:val="00EE674E"/>
    <w:rsid w:val="00EE79A6"/>
    <w:rsid w:val="00EF2689"/>
    <w:rsid w:val="00EF454D"/>
    <w:rsid w:val="00EF6111"/>
    <w:rsid w:val="00F005A0"/>
    <w:rsid w:val="00F03BE0"/>
    <w:rsid w:val="00F06616"/>
    <w:rsid w:val="00F11352"/>
    <w:rsid w:val="00F1498D"/>
    <w:rsid w:val="00F14DDF"/>
    <w:rsid w:val="00F152AD"/>
    <w:rsid w:val="00F20DFE"/>
    <w:rsid w:val="00F2285F"/>
    <w:rsid w:val="00F23155"/>
    <w:rsid w:val="00F24236"/>
    <w:rsid w:val="00F24E0E"/>
    <w:rsid w:val="00F26693"/>
    <w:rsid w:val="00F3366A"/>
    <w:rsid w:val="00F36130"/>
    <w:rsid w:val="00F40444"/>
    <w:rsid w:val="00F40868"/>
    <w:rsid w:val="00F423BD"/>
    <w:rsid w:val="00F432FF"/>
    <w:rsid w:val="00F4715C"/>
    <w:rsid w:val="00F54869"/>
    <w:rsid w:val="00F556B2"/>
    <w:rsid w:val="00F5754B"/>
    <w:rsid w:val="00F576DE"/>
    <w:rsid w:val="00F63BF7"/>
    <w:rsid w:val="00F65617"/>
    <w:rsid w:val="00F710BE"/>
    <w:rsid w:val="00F729DC"/>
    <w:rsid w:val="00F736D2"/>
    <w:rsid w:val="00F7564C"/>
    <w:rsid w:val="00F76220"/>
    <w:rsid w:val="00F769BE"/>
    <w:rsid w:val="00F76A67"/>
    <w:rsid w:val="00F82E6B"/>
    <w:rsid w:val="00F97B71"/>
    <w:rsid w:val="00FA0209"/>
    <w:rsid w:val="00FA1EC5"/>
    <w:rsid w:val="00FA2DDA"/>
    <w:rsid w:val="00FA34CA"/>
    <w:rsid w:val="00FA4A55"/>
    <w:rsid w:val="00FA4D4F"/>
    <w:rsid w:val="00FA54E8"/>
    <w:rsid w:val="00FA7193"/>
    <w:rsid w:val="00FA7EC0"/>
    <w:rsid w:val="00FB2D17"/>
    <w:rsid w:val="00FB2F69"/>
    <w:rsid w:val="00FB368B"/>
    <w:rsid w:val="00FB45FF"/>
    <w:rsid w:val="00FB5D97"/>
    <w:rsid w:val="00FC1BE5"/>
    <w:rsid w:val="00FC1CA5"/>
    <w:rsid w:val="00FC2979"/>
    <w:rsid w:val="00FD1C3C"/>
    <w:rsid w:val="00FD38A8"/>
    <w:rsid w:val="00FD4622"/>
    <w:rsid w:val="00FD5477"/>
    <w:rsid w:val="00FD6AC8"/>
    <w:rsid w:val="00FD7C9C"/>
    <w:rsid w:val="00FE2D29"/>
    <w:rsid w:val="00FE3EA1"/>
    <w:rsid w:val="00FE4818"/>
    <w:rsid w:val="00FE5D80"/>
    <w:rsid w:val="00FF157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A965A443-4C00-46D9-90C2-71E71272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337293"/>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F4EA9"/>
    <w:rPr>
      <w:rFonts w:cs="Times New Roman"/>
      <w:b/>
      <w:bCs/>
      <w:kern w:val="44"/>
      <w:sz w:val="44"/>
      <w:szCs w:val="44"/>
    </w:rPr>
  </w:style>
  <w:style w:type="character" w:customStyle="1" w:styleId="2Char">
    <w:name w:val="标题 2 Char"/>
    <w:link w:val="2"/>
    <w:uiPriority w:val="99"/>
    <w:semiHidden/>
    <w:locked/>
    <w:rsid w:val="00F76A67"/>
    <w:rPr>
      <w:rFonts w:ascii="Cambria" w:eastAsia="宋体" w:hAnsi="Cambria" w:cs="Times New Roman"/>
      <w:b/>
      <w:bCs/>
      <w:sz w:val="32"/>
      <w:szCs w:val="32"/>
    </w:rPr>
  </w:style>
  <w:style w:type="paragraph" w:styleId="a0">
    <w:name w:val="Normal Indent"/>
    <w:basedOn w:val="a"/>
    <w:uiPriority w:val="99"/>
    <w:rsid w:val="00337293"/>
    <w:pPr>
      <w:ind w:firstLineChars="200" w:firstLine="420"/>
    </w:pPr>
  </w:style>
  <w:style w:type="paragraph" w:styleId="a4">
    <w:name w:val="Body Text Indent"/>
    <w:basedOn w:val="a"/>
    <w:link w:val="Char"/>
    <w:uiPriority w:val="99"/>
    <w:rsid w:val="00337293"/>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F76A67"/>
    <w:rPr>
      <w:rFonts w:cs="Times New Roman"/>
      <w:sz w:val="24"/>
      <w:szCs w:val="24"/>
    </w:rPr>
  </w:style>
  <w:style w:type="paragraph" w:styleId="a5">
    <w:name w:val="Plain Text"/>
    <w:basedOn w:val="a"/>
    <w:link w:val="Char0"/>
    <w:uiPriority w:val="99"/>
    <w:rsid w:val="00337293"/>
    <w:rPr>
      <w:rFonts w:ascii="宋体" w:hAnsi="Courier New"/>
      <w:szCs w:val="20"/>
    </w:rPr>
  </w:style>
  <w:style w:type="character" w:customStyle="1" w:styleId="Char0">
    <w:name w:val="纯文本 Char"/>
    <w:link w:val="a5"/>
    <w:uiPriority w:val="99"/>
    <w:locked/>
    <w:rsid w:val="00CE3519"/>
    <w:rPr>
      <w:rFonts w:ascii="宋体" w:hAnsi="Courier New" w:cs="Times New Roman"/>
      <w:kern w:val="2"/>
      <w:sz w:val="21"/>
    </w:rPr>
  </w:style>
  <w:style w:type="paragraph" w:styleId="20">
    <w:name w:val="Body Text Indent 2"/>
    <w:basedOn w:val="a"/>
    <w:link w:val="2Char0"/>
    <w:uiPriority w:val="99"/>
    <w:rsid w:val="00337293"/>
    <w:pPr>
      <w:spacing w:line="560" w:lineRule="exact"/>
      <w:ind w:firstLineChars="200" w:firstLine="480"/>
    </w:pPr>
    <w:rPr>
      <w:kern w:val="0"/>
      <w:sz w:val="24"/>
    </w:rPr>
  </w:style>
  <w:style w:type="character" w:customStyle="1" w:styleId="2Char0">
    <w:name w:val="正文文本缩进 2 Char"/>
    <w:link w:val="20"/>
    <w:uiPriority w:val="99"/>
    <w:semiHidden/>
    <w:locked/>
    <w:rsid w:val="00F76A67"/>
    <w:rPr>
      <w:rFonts w:cs="Times New Roman"/>
      <w:sz w:val="24"/>
      <w:szCs w:val="24"/>
    </w:rPr>
  </w:style>
  <w:style w:type="paragraph" w:styleId="a6">
    <w:name w:val="footer"/>
    <w:basedOn w:val="a"/>
    <w:link w:val="Char1"/>
    <w:uiPriority w:val="99"/>
    <w:rsid w:val="00337293"/>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F76A67"/>
    <w:rPr>
      <w:rFonts w:cs="Times New Roman"/>
      <w:sz w:val="18"/>
      <w:szCs w:val="18"/>
    </w:rPr>
  </w:style>
  <w:style w:type="character" w:styleId="a7">
    <w:name w:val="page number"/>
    <w:uiPriority w:val="99"/>
    <w:rsid w:val="00337293"/>
    <w:rPr>
      <w:rFonts w:cs="Times New Roman"/>
    </w:rPr>
  </w:style>
  <w:style w:type="character" w:styleId="a8">
    <w:name w:val="Hyperlink"/>
    <w:uiPriority w:val="99"/>
    <w:rsid w:val="00337293"/>
    <w:rPr>
      <w:rFonts w:cs="Times New Roman"/>
      <w:color w:val="0000FF"/>
      <w:u w:val="single"/>
    </w:rPr>
  </w:style>
  <w:style w:type="paragraph" w:styleId="3">
    <w:name w:val="Body Text Indent 3"/>
    <w:basedOn w:val="a"/>
    <w:link w:val="3Char"/>
    <w:uiPriority w:val="99"/>
    <w:rsid w:val="00337293"/>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F76A67"/>
    <w:rPr>
      <w:rFonts w:cs="Times New Roman"/>
      <w:sz w:val="16"/>
      <w:szCs w:val="16"/>
    </w:rPr>
  </w:style>
  <w:style w:type="paragraph" w:styleId="a9">
    <w:name w:val="header"/>
    <w:basedOn w:val="a"/>
    <w:link w:val="Char2"/>
    <w:uiPriority w:val="99"/>
    <w:rsid w:val="0033729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5E491F"/>
    <w:rPr>
      <w:rFonts w:cs="Times New Roman"/>
      <w:kern w:val="2"/>
      <w:sz w:val="18"/>
      <w:szCs w:val="18"/>
    </w:rPr>
  </w:style>
  <w:style w:type="character" w:styleId="aa">
    <w:name w:val="FollowedHyperlink"/>
    <w:uiPriority w:val="99"/>
    <w:rsid w:val="00337293"/>
    <w:rPr>
      <w:rFonts w:cs="Times New Roman"/>
      <w:color w:val="800080"/>
      <w:u w:val="single"/>
    </w:rPr>
  </w:style>
  <w:style w:type="paragraph" w:styleId="ab">
    <w:name w:val="List"/>
    <w:basedOn w:val="ac"/>
    <w:uiPriority w:val="99"/>
    <w:rsid w:val="00337293"/>
    <w:pPr>
      <w:spacing w:after="220" w:line="220" w:lineRule="atLeast"/>
      <w:ind w:left="1440" w:hanging="360"/>
    </w:pPr>
    <w:rPr>
      <w:szCs w:val="20"/>
    </w:rPr>
  </w:style>
  <w:style w:type="paragraph" w:styleId="ac">
    <w:name w:val="Body Text"/>
    <w:basedOn w:val="a"/>
    <w:link w:val="Char3"/>
    <w:uiPriority w:val="99"/>
    <w:rsid w:val="00337293"/>
    <w:pPr>
      <w:spacing w:after="120"/>
    </w:pPr>
    <w:rPr>
      <w:kern w:val="0"/>
      <w:sz w:val="24"/>
    </w:rPr>
  </w:style>
  <w:style w:type="character" w:customStyle="1" w:styleId="Char3">
    <w:name w:val="正文文本 Char"/>
    <w:link w:val="ac"/>
    <w:uiPriority w:val="99"/>
    <w:semiHidden/>
    <w:locked/>
    <w:rsid w:val="00F76A67"/>
    <w:rPr>
      <w:rFonts w:cs="Times New Roman"/>
      <w:sz w:val="24"/>
      <w:szCs w:val="24"/>
    </w:rPr>
  </w:style>
  <w:style w:type="paragraph" w:styleId="ad">
    <w:name w:val="Date"/>
    <w:basedOn w:val="a"/>
    <w:next w:val="a"/>
    <w:link w:val="Char4"/>
    <w:uiPriority w:val="99"/>
    <w:rsid w:val="00337293"/>
    <w:rPr>
      <w:sz w:val="24"/>
      <w:szCs w:val="20"/>
    </w:rPr>
  </w:style>
  <w:style w:type="character" w:customStyle="1" w:styleId="Char4">
    <w:name w:val="日期 Char"/>
    <w:link w:val="ad"/>
    <w:uiPriority w:val="99"/>
    <w:locked/>
    <w:rsid w:val="005B1DEC"/>
    <w:rPr>
      <w:rFonts w:cs="Times New Roman"/>
      <w:kern w:val="2"/>
      <w:sz w:val="24"/>
    </w:rPr>
  </w:style>
  <w:style w:type="character" w:customStyle="1" w:styleId="c1">
    <w:name w:val="c1"/>
    <w:uiPriority w:val="99"/>
    <w:rsid w:val="00337293"/>
    <w:rPr>
      <w:rFonts w:cs="Times New Roman"/>
      <w:color w:val="000000"/>
      <w:sz w:val="18"/>
      <w:szCs w:val="18"/>
    </w:rPr>
  </w:style>
  <w:style w:type="paragraph" w:styleId="10">
    <w:name w:val="index 1"/>
    <w:basedOn w:val="a"/>
    <w:next w:val="a"/>
    <w:autoRedefine/>
    <w:uiPriority w:val="99"/>
    <w:semiHidden/>
    <w:rsid w:val="00337293"/>
    <w:pPr>
      <w:jc w:val="right"/>
    </w:pPr>
    <w:rPr>
      <w:color w:val="008000"/>
    </w:rPr>
  </w:style>
  <w:style w:type="paragraph" w:customStyle="1" w:styleId="font5">
    <w:name w:val="font5"/>
    <w:basedOn w:val="a"/>
    <w:uiPriority w:val="99"/>
    <w:rsid w:val="0033729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337293"/>
    <w:rPr>
      <w:kern w:val="0"/>
      <w:sz w:val="2"/>
      <w:szCs w:val="20"/>
    </w:rPr>
  </w:style>
  <w:style w:type="character" w:customStyle="1" w:styleId="Char5">
    <w:name w:val="批注框文本 Char"/>
    <w:link w:val="ae"/>
    <w:uiPriority w:val="99"/>
    <w:semiHidden/>
    <w:locked/>
    <w:rsid w:val="00F76A67"/>
    <w:rPr>
      <w:rFonts w:cs="Times New Roman"/>
      <w:sz w:val="2"/>
    </w:rPr>
  </w:style>
  <w:style w:type="character" w:styleId="af">
    <w:name w:val="annotation reference"/>
    <w:uiPriority w:val="99"/>
    <w:semiHidden/>
    <w:rsid w:val="00337293"/>
    <w:rPr>
      <w:rFonts w:cs="Times New Roman"/>
      <w:sz w:val="21"/>
      <w:szCs w:val="21"/>
    </w:rPr>
  </w:style>
  <w:style w:type="paragraph" w:styleId="af0">
    <w:name w:val="annotation text"/>
    <w:basedOn w:val="a"/>
    <w:link w:val="Char6"/>
    <w:uiPriority w:val="99"/>
    <w:semiHidden/>
    <w:rsid w:val="00337293"/>
    <w:pPr>
      <w:jc w:val="left"/>
    </w:pPr>
    <w:rPr>
      <w:kern w:val="0"/>
      <w:sz w:val="24"/>
    </w:rPr>
  </w:style>
  <w:style w:type="character" w:customStyle="1" w:styleId="Char6">
    <w:name w:val="批注文字 Char"/>
    <w:link w:val="af0"/>
    <w:uiPriority w:val="99"/>
    <w:semiHidden/>
    <w:locked/>
    <w:rsid w:val="00F76A67"/>
    <w:rPr>
      <w:rFonts w:cs="Times New Roman"/>
      <w:sz w:val="24"/>
      <w:szCs w:val="24"/>
    </w:rPr>
  </w:style>
  <w:style w:type="paragraph" w:styleId="af1">
    <w:name w:val="annotation subject"/>
    <w:basedOn w:val="af0"/>
    <w:next w:val="af0"/>
    <w:link w:val="Char7"/>
    <w:uiPriority w:val="99"/>
    <w:semiHidden/>
    <w:rsid w:val="00337293"/>
    <w:rPr>
      <w:b/>
      <w:bCs/>
    </w:rPr>
  </w:style>
  <w:style w:type="character" w:customStyle="1" w:styleId="Char7">
    <w:name w:val="批注主题 Char"/>
    <w:link w:val="af1"/>
    <w:uiPriority w:val="99"/>
    <w:semiHidden/>
    <w:locked/>
    <w:rsid w:val="00F76A67"/>
    <w:rPr>
      <w:rFonts w:cs="Times New Roman"/>
      <w:b/>
      <w:bCs/>
      <w:sz w:val="24"/>
      <w:szCs w:val="24"/>
    </w:rPr>
  </w:style>
  <w:style w:type="paragraph" w:customStyle="1" w:styleId="Char8">
    <w:name w:val="Char"/>
    <w:basedOn w:val="a"/>
    <w:uiPriority w:val="99"/>
    <w:rsid w:val="00337293"/>
  </w:style>
  <w:style w:type="paragraph" w:styleId="af2">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2"/>
    <w:uiPriority w:val="99"/>
    <w:semiHidden/>
    <w:locked/>
    <w:rsid w:val="00F76A67"/>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kern w:val="0"/>
      <w:sz w:val="18"/>
      <w:szCs w:val="18"/>
    </w:rPr>
  </w:style>
  <w:style w:type="character" w:customStyle="1" w:styleId="Chara">
    <w:name w:val="脚注文本 Char"/>
    <w:link w:val="af4"/>
    <w:uiPriority w:val="99"/>
    <w:semiHidden/>
    <w:locked/>
    <w:rsid w:val="00F76A67"/>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295C5D"/>
    <w:pPr>
      <w:widowControl w:val="0"/>
      <w:autoSpaceDE w:val="0"/>
      <w:autoSpaceDN w:val="0"/>
      <w:adjustRightInd w:val="0"/>
    </w:pPr>
    <w:rPr>
      <w:rFonts w:ascii="FangSong" w:hAnsi="FangSong" w:cs="FangSong"/>
      <w:color w:val="000000"/>
      <w:sz w:val="24"/>
      <w:szCs w:val="24"/>
    </w:rPr>
  </w:style>
  <w:style w:type="character" w:styleId="af8">
    <w:name w:val="Strong"/>
    <w:uiPriority w:val="22"/>
    <w:qFormat/>
    <w:locked/>
    <w:rsid w:val="00457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99598">
      <w:bodyDiv w:val="1"/>
      <w:marLeft w:val="0"/>
      <w:marRight w:val="0"/>
      <w:marTop w:val="0"/>
      <w:marBottom w:val="0"/>
      <w:divBdr>
        <w:top w:val="none" w:sz="0" w:space="0" w:color="auto"/>
        <w:left w:val="none" w:sz="0" w:space="0" w:color="auto"/>
        <w:bottom w:val="none" w:sz="0" w:space="0" w:color="auto"/>
        <w:right w:val="none" w:sz="0" w:space="0" w:color="auto"/>
      </w:divBdr>
    </w:div>
    <w:div w:id="784084020">
      <w:bodyDiv w:val="1"/>
      <w:marLeft w:val="0"/>
      <w:marRight w:val="0"/>
      <w:marTop w:val="0"/>
      <w:marBottom w:val="0"/>
      <w:divBdr>
        <w:top w:val="none" w:sz="0" w:space="0" w:color="auto"/>
        <w:left w:val="none" w:sz="0" w:space="0" w:color="auto"/>
        <w:bottom w:val="none" w:sz="0" w:space="0" w:color="auto"/>
        <w:right w:val="none" w:sz="0" w:space="0" w:color="auto"/>
      </w:divBdr>
    </w:div>
    <w:div w:id="861357189">
      <w:bodyDiv w:val="1"/>
      <w:marLeft w:val="0"/>
      <w:marRight w:val="0"/>
      <w:marTop w:val="0"/>
      <w:marBottom w:val="0"/>
      <w:divBdr>
        <w:top w:val="none" w:sz="0" w:space="0" w:color="auto"/>
        <w:left w:val="none" w:sz="0" w:space="0" w:color="auto"/>
        <w:bottom w:val="none" w:sz="0" w:space="0" w:color="auto"/>
        <w:right w:val="none" w:sz="0" w:space="0" w:color="auto"/>
      </w:divBdr>
    </w:div>
    <w:div w:id="1863275524">
      <w:marLeft w:val="0"/>
      <w:marRight w:val="0"/>
      <w:marTop w:val="0"/>
      <w:marBottom w:val="0"/>
      <w:divBdr>
        <w:top w:val="none" w:sz="0" w:space="0" w:color="auto"/>
        <w:left w:val="none" w:sz="0" w:space="0" w:color="auto"/>
        <w:bottom w:val="none" w:sz="0" w:space="0" w:color="auto"/>
        <w:right w:val="none" w:sz="0" w:space="0" w:color="auto"/>
      </w:divBdr>
    </w:div>
    <w:div w:id="1863275525">
      <w:marLeft w:val="0"/>
      <w:marRight w:val="0"/>
      <w:marTop w:val="0"/>
      <w:marBottom w:val="0"/>
      <w:divBdr>
        <w:top w:val="none" w:sz="0" w:space="0" w:color="auto"/>
        <w:left w:val="none" w:sz="0" w:space="0" w:color="auto"/>
        <w:bottom w:val="none" w:sz="0" w:space="0" w:color="auto"/>
        <w:right w:val="none" w:sz="0" w:space="0" w:color="auto"/>
      </w:divBdr>
    </w:div>
    <w:div w:id="1863275526">
      <w:marLeft w:val="0"/>
      <w:marRight w:val="0"/>
      <w:marTop w:val="0"/>
      <w:marBottom w:val="0"/>
      <w:divBdr>
        <w:top w:val="none" w:sz="0" w:space="0" w:color="auto"/>
        <w:left w:val="none" w:sz="0" w:space="0" w:color="auto"/>
        <w:bottom w:val="none" w:sz="0" w:space="0" w:color="auto"/>
        <w:right w:val="none" w:sz="0" w:space="0" w:color="auto"/>
      </w:divBdr>
    </w:div>
    <w:div w:id="1863275527">
      <w:marLeft w:val="0"/>
      <w:marRight w:val="0"/>
      <w:marTop w:val="0"/>
      <w:marBottom w:val="0"/>
      <w:divBdr>
        <w:top w:val="none" w:sz="0" w:space="0" w:color="auto"/>
        <w:left w:val="none" w:sz="0" w:space="0" w:color="auto"/>
        <w:bottom w:val="none" w:sz="0" w:space="0" w:color="auto"/>
        <w:right w:val="none" w:sz="0" w:space="0" w:color="auto"/>
      </w:divBdr>
    </w:div>
    <w:div w:id="1863275528">
      <w:marLeft w:val="0"/>
      <w:marRight w:val="0"/>
      <w:marTop w:val="0"/>
      <w:marBottom w:val="0"/>
      <w:divBdr>
        <w:top w:val="none" w:sz="0" w:space="0" w:color="auto"/>
        <w:left w:val="none" w:sz="0" w:space="0" w:color="auto"/>
        <w:bottom w:val="none" w:sz="0" w:space="0" w:color="auto"/>
        <w:right w:val="none" w:sz="0" w:space="0" w:color="auto"/>
      </w:divBdr>
    </w:div>
    <w:div w:id="1863275529">
      <w:marLeft w:val="0"/>
      <w:marRight w:val="0"/>
      <w:marTop w:val="0"/>
      <w:marBottom w:val="0"/>
      <w:divBdr>
        <w:top w:val="none" w:sz="0" w:space="0" w:color="auto"/>
        <w:left w:val="none" w:sz="0" w:space="0" w:color="auto"/>
        <w:bottom w:val="none" w:sz="0" w:space="0" w:color="auto"/>
        <w:right w:val="none" w:sz="0" w:space="0" w:color="auto"/>
      </w:divBdr>
    </w:div>
    <w:div w:id="1863275530">
      <w:marLeft w:val="0"/>
      <w:marRight w:val="0"/>
      <w:marTop w:val="0"/>
      <w:marBottom w:val="0"/>
      <w:divBdr>
        <w:top w:val="none" w:sz="0" w:space="0" w:color="auto"/>
        <w:left w:val="none" w:sz="0" w:space="0" w:color="auto"/>
        <w:bottom w:val="none" w:sz="0" w:space="0" w:color="auto"/>
        <w:right w:val="none" w:sz="0" w:space="0" w:color="auto"/>
      </w:divBdr>
    </w:div>
    <w:div w:id="1863275531">
      <w:marLeft w:val="0"/>
      <w:marRight w:val="0"/>
      <w:marTop w:val="0"/>
      <w:marBottom w:val="0"/>
      <w:divBdr>
        <w:top w:val="none" w:sz="0" w:space="0" w:color="auto"/>
        <w:left w:val="none" w:sz="0" w:space="0" w:color="auto"/>
        <w:bottom w:val="none" w:sz="0" w:space="0" w:color="auto"/>
        <w:right w:val="none" w:sz="0" w:space="0" w:color="auto"/>
      </w:divBdr>
    </w:div>
    <w:div w:id="1863275532">
      <w:marLeft w:val="0"/>
      <w:marRight w:val="0"/>
      <w:marTop w:val="0"/>
      <w:marBottom w:val="0"/>
      <w:divBdr>
        <w:top w:val="none" w:sz="0" w:space="0" w:color="auto"/>
        <w:left w:val="none" w:sz="0" w:space="0" w:color="auto"/>
        <w:bottom w:val="none" w:sz="0" w:space="0" w:color="auto"/>
        <w:right w:val="none" w:sz="0" w:space="0" w:color="auto"/>
      </w:divBdr>
    </w:div>
    <w:div w:id="1863275533">
      <w:marLeft w:val="0"/>
      <w:marRight w:val="0"/>
      <w:marTop w:val="0"/>
      <w:marBottom w:val="0"/>
      <w:divBdr>
        <w:top w:val="none" w:sz="0" w:space="0" w:color="auto"/>
        <w:left w:val="none" w:sz="0" w:space="0" w:color="auto"/>
        <w:bottom w:val="none" w:sz="0" w:space="0" w:color="auto"/>
        <w:right w:val="none" w:sz="0" w:space="0" w:color="auto"/>
      </w:divBdr>
    </w:div>
    <w:div w:id="2031027843">
      <w:bodyDiv w:val="1"/>
      <w:marLeft w:val="0"/>
      <w:marRight w:val="0"/>
      <w:marTop w:val="0"/>
      <w:marBottom w:val="0"/>
      <w:divBdr>
        <w:top w:val="none" w:sz="0" w:space="0" w:color="auto"/>
        <w:left w:val="none" w:sz="0" w:space="0" w:color="auto"/>
        <w:bottom w:val="none" w:sz="0" w:space="0" w:color="auto"/>
        <w:right w:val="none" w:sz="0" w:space="0" w:color="auto"/>
      </w:divBdr>
    </w:div>
    <w:div w:id="2084137702">
      <w:bodyDiv w:val="1"/>
      <w:marLeft w:val="0"/>
      <w:marRight w:val="0"/>
      <w:marTop w:val="0"/>
      <w:marBottom w:val="0"/>
      <w:divBdr>
        <w:top w:val="none" w:sz="0" w:space="0" w:color="auto"/>
        <w:left w:val="none" w:sz="0" w:space="0" w:color="auto"/>
        <w:bottom w:val="none" w:sz="0" w:space="0" w:color="auto"/>
        <w:right w:val="none" w:sz="0" w:space="0" w:color="auto"/>
      </w:divBdr>
    </w:div>
    <w:div w:id="21176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1453</Words>
  <Characters>8285</Characters>
  <Application>Microsoft Office Word</Application>
  <DocSecurity>0</DocSecurity>
  <Lines>69</Lines>
  <Paragraphs>19</Paragraphs>
  <ScaleCrop>false</ScaleCrop>
  <Company>TRT. Ltd. Co.</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许兆枫</dc:creator>
  <cp:lastModifiedBy>许兆枫</cp:lastModifiedBy>
  <cp:revision>2</cp:revision>
  <cp:lastPrinted>2007-07-19T00:46:00Z</cp:lastPrinted>
  <dcterms:created xsi:type="dcterms:W3CDTF">2020-04-17T04:59:00Z</dcterms:created>
  <dcterms:modified xsi:type="dcterms:W3CDTF">2020-04-17T04:59:00Z</dcterms:modified>
</cp:coreProperties>
</file>