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易方达现代服务业灵活配置混合型证券投资基金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D42F0B" w:rsidRDefault="00502187">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42F0B" w:rsidRDefault="00502187">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42F0B" w:rsidRDefault="00502187">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42F0B" w:rsidRDefault="00502187">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42F0B" w:rsidRDefault="00502187">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易方达现代服务业混合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001857</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001857</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2017</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426,094,644.35</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基于定量与定性相结合的宏观及市场分析，考虑宏观经济走势和市场估值与流动性进行资产配置。股票投资方面，本基金综合考虑行业景气度及可持续性、行业竞争格局、技术水平及其发展趋势、政策变化等因素在现代服务产业中进行子行业</w:t>
            </w:r>
            <w:r w:rsidRPr="00232B03">
              <w:rPr>
                <w:color w:val="000000"/>
                <w:kern w:val="0"/>
                <w:sz w:val="24"/>
                <w:szCs w:val="24"/>
              </w:rPr>
              <w:lastRenderedPageBreak/>
              <w:t>配置，同时在公司基本面评价、估值水平分析等基础上进行股票组合的构建。在债券投资方面，本基金将主要通过类属配置与券种选择两个层次进行投资管理。</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65%×</w:t>
            </w:r>
            <w:r w:rsidRPr="00232B03">
              <w:rPr>
                <w:color w:val="000000"/>
                <w:kern w:val="0"/>
                <w:sz w:val="24"/>
                <w:szCs w:val="24"/>
              </w:rPr>
              <w:t>中证</w:t>
            </w:r>
            <w:r w:rsidRPr="00232B03">
              <w:rPr>
                <w:color w:val="000000"/>
                <w:kern w:val="0"/>
                <w:sz w:val="24"/>
                <w:szCs w:val="24"/>
              </w:rPr>
              <w:t xml:space="preserve">800 </w:t>
            </w:r>
            <w:r w:rsidRPr="00232B03">
              <w:rPr>
                <w:color w:val="000000"/>
                <w:kern w:val="0"/>
                <w:sz w:val="24"/>
                <w:szCs w:val="24"/>
              </w:rPr>
              <w:t>指数收益率＋</w:t>
            </w:r>
            <w:r w:rsidRPr="00232B03">
              <w:rPr>
                <w:color w:val="000000"/>
                <w:kern w:val="0"/>
                <w:sz w:val="24"/>
                <w:szCs w:val="24"/>
              </w:rPr>
              <w:t>35%×</w:t>
            </w:r>
            <w:r w:rsidRPr="00232B03">
              <w:rPr>
                <w:color w:val="000000"/>
                <w:kern w:val="0"/>
                <w:sz w:val="24"/>
                <w:szCs w:val="24"/>
              </w:rPr>
              <w:t>一年期人民币定期存款利率（税后）</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03076" w:rsidRPr="006506EF" w:rsidTr="00703076">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703076" w:rsidRPr="006506EF" w:rsidTr="00703076">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75,746,130.56</w:t>
            </w:r>
          </w:p>
        </w:tc>
      </w:tr>
      <w:tr w:rsidR="00703076" w:rsidRPr="006506EF" w:rsidTr="00703076">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-61,873,389.36</w:t>
            </w:r>
          </w:p>
        </w:tc>
      </w:tr>
      <w:tr w:rsidR="00703076" w:rsidRPr="006506EF" w:rsidTr="00703076">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-0.1243</w:t>
            </w:r>
          </w:p>
        </w:tc>
      </w:tr>
      <w:tr w:rsidR="00703076" w:rsidRPr="006506EF" w:rsidTr="00703076">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493,111,071.27</w:t>
            </w:r>
          </w:p>
        </w:tc>
      </w:tr>
      <w:tr w:rsidR="00703076" w:rsidRPr="006506EF" w:rsidTr="00703076">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1.157</w:t>
            </w:r>
          </w:p>
        </w:tc>
      </w:tr>
    </w:tbl>
    <w:p w:rsidR="00D42F0B" w:rsidRDefault="00502187">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lastRenderedPageBreak/>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D42F0B">
        <w:tc>
          <w:tcPr>
            <w:tcW w:w="1395" w:type="dxa"/>
            <w:vAlign w:val="center"/>
          </w:tcPr>
          <w:p w:rsidR="00D42F0B" w:rsidRDefault="00502187">
            <w:pPr>
              <w:jc w:val="left"/>
            </w:pPr>
            <w:r>
              <w:rPr>
                <w:color w:val="000000"/>
                <w:kern w:val="0"/>
                <w:sz w:val="24"/>
                <w:szCs w:val="24"/>
              </w:rPr>
              <w:t>过去三个月</w:t>
            </w:r>
          </w:p>
        </w:tc>
        <w:tc>
          <w:tcPr>
            <w:tcW w:w="1092" w:type="dxa"/>
            <w:vAlign w:val="center"/>
          </w:tcPr>
          <w:p w:rsidR="00D42F0B" w:rsidRDefault="00502187">
            <w:pPr>
              <w:jc w:val="center"/>
            </w:pPr>
            <w:r>
              <w:rPr>
                <w:color w:val="000000"/>
                <w:kern w:val="0"/>
                <w:sz w:val="24"/>
                <w:szCs w:val="24"/>
              </w:rPr>
              <w:t>-8.54%</w:t>
            </w:r>
          </w:p>
        </w:tc>
        <w:tc>
          <w:tcPr>
            <w:tcW w:w="1161" w:type="dxa"/>
            <w:vAlign w:val="center"/>
          </w:tcPr>
          <w:p w:rsidR="00D42F0B" w:rsidRDefault="00502187">
            <w:pPr>
              <w:jc w:val="center"/>
            </w:pPr>
            <w:r>
              <w:rPr>
                <w:color w:val="000000"/>
                <w:kern w:val="0"/>
                <w:sz w:val="24"/>
                <w:szCs w:val="24"/>
              </w:rPr>
              <w:t>2.16%</w:t>
            </w:r>
          </w:p>
        </w:tc>
        <w:tc>
          <w:tcPr>
            <w:tcW w:w="1181" w:type="dxa"/>
            <w:vAlign w:val="center"/>
          </w:tcPr>
          <w:p w:rsidR="00D42F0B" w:rsidRDefault="00502187">
            <w:pPr>
              <w:jc w:val="center"/>
            </w:pPr>
            <w:r>
              <w:rPr>
                <w:color w:val="000000"/>
                <w:kern w:val="0"/>
                <w:sz w:val="24"/>
                <w:szCs w:val="24"/>
              </w:rPr>
              <w:t>-5.33%</w:t>
            </w:r>
          </w:p>
        </w:tc>
        <w:tc>
          <w:tcPr>
            <w:tcW w:w="1188" w:type="dxa"/>
            <w:vAlign w:val="center"/>
          </w:tcPr>
          <w:p w:rsidR="00D42F0B" w:rsidRDefault="00502187">
            <w:pPr>
              <w:jc w:val="center"/>
            </w:pPr>
            <w:r>
              <w:rPr>
                <w:color w:val="000000"/>
                <w:kern w:val="0"/>
                <w:sz w:val="24"/>
                <w:szCs w:val="24"/>
              </w:rPr>
              <w:t>1.30%</w:t>
            </w:r>
          </w:p>
        </w:tc>
        <w:tc>
          <w:tcPr>
            <w:tcW w:w="1199" w:type="dxa"/>
            <w:vAlign w:val="center"/>
          </w:tcPr>
          <w:p w:rsidR="00D42F0B" w:rsidRDefault="00502187">
            <w:pPr>
              <w:jc w:val="center"/>
            </w:pPr>
            <w:r>
              <w:rPr>
                <w:color w:val="000000"/>
                <w:kern w:val="0"/>
                <w:sz w:val="24"/>
                <w:szCs w:val="24"/>
              </w:rPr>
              <w:t>-3.21%</w:t>
            </w:r>
          </w:p>
        </w:tc>
        <w:tc>
          <w:tcPr>
            <w:tcW w:w="1204" w:type="dxa"/>
            <w:vAlign w:val="center"/>
          </w:tcPr>
          <w:p w:rsidR="00D42F0B" w:rsidRDefault="00502187">
            <w:pPr>
              <w:jc w:val="center"/>
            </w:pPr>
            <w:r>
              <w:rPr>
                <w:color w:val="000000"/>
                <w:kern w:val="0"/>
                <w:sz w:val="24"/>
                <w:szCs w:val="24"/>
              </w:rPr>
              <w:t>0.86%</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易方达现代服务业灵活配置混合型证券投资基金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2017</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22</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0A0A84"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15.70%</w:t>
      </w:r>
      <w:r w:rsidRPr="006C56AA">
        <w:rPr>
          <w:color w:val="000000"/>
          <w:sz w:val="24"/>
          <w:szCs w:val="24"/>
        </w:rPr>
        <w:t>，同期业绩比较基准收益率为</w:t>
      </w:r>
      <w:r w:rsidRPr="006C56AA">
        <w:rPr>
          <w:color w:val="000000"/>
          <w:sz w:val="24"/>
          <w:szCs w:val="24"/>
        </w:rPr>
        <w:t>-7.70%</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lastRenderedPageBreak/>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D42F0B">
        <w:tc>
          <w:tcPr>
            <w:tcW w:w="567" w:type="dxa"/>
            <w:vAlign w:val="center"/>
          </w:tcPr>
          <w:p w:rsidR="00D42F0B" w:rsidRDefault="00502187">
            <w:pPr>
              <w:jc w:val="center"/>
            </w:pPr>
            <w:r>
              <w:rPr>
                <w:color w:val="000000"/>
                <w:sz w:val="24"/>
              </w:rPr>
              <w:t>萧楠</w:t>
            </w:r>
          </w:p>
        </w:tc>
        <w:tc>
          <w:tcPr>
            <w:tcW w:w="2835" w:type="dxa"/>
            <w:vAlign w:val="center"/>
          </w:tcPr>
          <w:p w:rsidR="00D42F0B" w:rsidRDefault="00502187">
            <w:pPr>
              <w:jc w:val="left"/>
            </w:pPr>
            <w:r>
              <w:rPr>
                <w:color w:val="000000"/>
                <w:sz w:val="24"/>
              </w:rPr>
              <w:t>本基金的基金经理、易方达消费行业股票型证券投资基金的基金经理、易方达大健康主题灵活配置混合型证券投资基金的基金经理、易方达瑞恒灵活配置混合型证券投资基金的基金经理、易方达科顺定期开放灵活配置混合型证券投资基金的基金经理、投资三部总经理、研究部副总经理</w:t>
            </w:r>
          </w:p>
        </w:tc>
        <w:tc>
          <w:tcPr>
            <w:tcW w:w="851" w:type="dxa"/>
            <w:vAlign w:val="center"/>
          </w:tcPr>
          <w:p w:rsidR="00D42F0B" w:rsidRDefault="00502187">
            <w:pPr>
              <w:jc w:val="center"/>
            </w:pPr>
            <w:r>
              <w:rPr>
                <w:color w:val="000000"/>
                <w:sz w:val="24"/>
              </w:rPr>
              <w:t>2017-11-22</w:t>
            </w:r>
          </w:p>
        </w:tc>
        <w:tc>
          <w:tcPr>
            <w:tcW w:w="850" w:type="dxa"/>
            <w:vAlign w:val="center"/>
          </w:tcPr>
          <w:p w:rsidR="00D42F0B" w:rsidRDefault="00502187">
            <w:pPr>
              <w:jc w:val="center"/>
            </w:pPr>
            <w:r>
              <w:rPr>
                <w:color w:val="000000"/>
                <w:sz w:val="24"/>
              </w:rPr>
              <w:t>-</w:t>
            </w:r>
          </w:p>
        </w:tc>
        <w:tc>
          <w:tcPr>
            <w:tcW w:w="851" w:type="dxa"/>
            <w:vAlign w:val="center"/>
          </w:tcPr>
          <w:p w:rsidR="00D42F0B" w:rsidRDefault="00502187">
            <w:pPr>
              <w:jc w:val="center"/>
            </w:pPr>
            <w:r>
              <w:rPr>
                <w:color w:val="000000"/>
                <w:sz w:val="24"/>
              </w:rPr>
              <w:t>14</w:t>
            </w:r>
            <w:r>
              <w:rPr>
                <w:color w:val="000000"/>
                <w:sz w:val="24"/>
              </w:rPr>
              <w:t>年</w:t>
            </w:r>
          </w:p>
        </w:tc>
        <w:tc>
          <w:tcPr>
            <w:tcW w:w="2977" w:type="dxa"/>
            <w:vAlign w:val="center"/>
          </w:tcPr>
          <w:p w:rsidR="00D42F0B" w:rsidRDefault="00502187">
            <w:r>
              <w:rPr>
                <w:color w:val="000000"/>
                <w:sz w:val="24"/>
              </w:rPr>
              <w:t>硕士研究生，具有基金从业资格。曾任易方达基金管理有限公司研究部行业研究员、基金投资部基金经理助理、投资经理、易方达裕如灵活配置混合型证券投资基金基金经理、易方达新享灵活配置混合型证券投资基金基金经理、易方达瑞和灵活配置混合型证券投资基金基金经理、易方达价值成长混合型证券投资基金基金经理助理。</w:t>
            </w:r>
          </w:p>
        </w:tc>
      </w:tr>
      <w:tr w:rsidR="00D42F0B">
        <w:tc>
          <w:tcPr>
            <w:tcW w:w="567" w:type="dxa"/>
            <w:vAlign w:val="center"/>
          </w:tcPr>
          <w:p w:rsidR="00D42F0B" w:rsidRDefault="00502187">
            <w:pPr>
              <w:jc w:val="center"/>
            </w:pPr>
            <w:r>
              <w:rPr>
                <w:color w:val="000000"/>
                <w:sz w:val="24"/>
              </w:rPr>
              <w:t>王元春</w:t>
            </w:r>
          </w:p>
        </w:tc>
        <w:tc>
          <w:tcPr>
            <w:tcW w:w="2835" w:type="dxa"/>
            <w:vAlign w:val="center"/>
          </w:tcPr>
          <w:p w:rsidR="00D42F0B" w:rsidRDefault="00502187">
            <w:pPr>
              <w:jc w:val="left"/>
            </w:pPr>
            <w:r>
              <w:rPr>
                <w:color w:val="000000"/>
                <w:sz w:val="24"/>
              </w:rPr>
              <w:t>本基金的基金经理、易方达瑞恒灵活配置混合型证券投资基金的基金经理、易方达消费行业股票型证券投资基金的基金经理助理</w:t>
            </w:r>
          </w:p>
        </w:tc>
        <w:tc>
          <w:tcPr>
            <w:tcW w:w="851" w:type="dxa"/>
            <w:vAlign w:val="center"/>
          </w:tcPr>
          <w:p w:rsidR="00D42F0B" w:rsidRDefault="00502187">
            <w:pPr>
              <w:jc w:val="center"/>
            </w:pPr>
            <w:r>
              <w:rPr>
                <w:color w:val="000000"/>
                <w:sz w:val="24"/>
              </w:rPr>
              <w:t>2018-12-08</w:t>
            </w:r>
          </w:p>
        </w:tc>
        <w:tc>
          <w:tcPr>
            <w:tcW w:w="850" w:type="dxa"/>
            <w:vAlign w:val="center"/>
          </w:tcPr>
          <w:p w:rsidR="00D42F0B" w:rsidRDefault="00502187">
            <w:pPr>
              <w:jc w:val="center"/>
            </w:pPr>
            <w:r>
              <w:rPr>
                <w:color w:val="000000"/>
                <w:sz w:val="24"/>
              </w:rPr>
              <w:t>-</w:t>
            </w:r>
          </w:p>
        </w:tc>
        <w:tc>
          <w:tcPr>
            <w:tcW w:w="851" w:type="dxa"/>
            <w:vAlign w:val="center"/>
          </w:tcPr>
          <w:p w:rsidR="00D42F0B" w:rsidRDefault="00502187">
            <w:pPr>
              <w:jc w:val="center"/>
            </w:pPr>
            <w:r>
              <w:rPr>
                <w:color w:val="000000"/>
                <w:sz w:val="24"/>
              </w:rPr>
              <w:t>9</w:t>
            </w:r>
            <w:r>
              <w:rPr>
                <w:color w:val="000000"/>
                <w:sz w:val="24"/>
              </w:rPr>
              <w:t>年</w:t>
            </w:r>
          </w:p>
        </w:tc>
        <w:tc>
          <w:tcPr>
            <w:tcW w:w="2977" w:type="dxa"/>
            <w:vAlign w:val="center"/>
          </w:tcPr>
          <w:p w:rsidR="00D42F0B" w:rsidRDefault="00502187">
            <w:r>
              <w:rPr>
                <w:color w:val="000000"/>
                <w:sz w:val="24"/>
              </w:rPr>
              <w:t>硕士研究生，具有基金从业资格。曾任广东新价值投资有限公司研究部行业研究员，光大永明资产管理股份有限公司研究部行业研究员，易方达基金管理有限公司研究部行业研究员、易方达现代服务业灵活配置混合型证券投资基金基金经理助理。</w:t>
            </w:r>
          </w:p>
        </w:tc>
      </w:tr>
    </w:tbl>
    <w:p w:rsidR="00D42F0B" w:rsidRDefault="00502187">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lastRenderedPageBreak/>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D42F0B" w:rsidRDefault="00502187">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D42F0B" w:rsidRDefault="00502187">
      <w:pPr>
        <w:spacing w:line="360" w:lineRule="auto"/>
        <w:ind w:firstLineChars="200" w:firstLine="480"/>
        <w:rPr>
          <w:color w:val="000000"/>
          <w:sz w:val="24"/>
          <w:szCs w:val="24"/>
        </w:rPr>
      </w:pPr>
      <w:r>
        <w:rPr>
          <w:color w:val="000000"/>
          <w:sz w:val="24"/>
          <w:szCs w:val="24"/>
        </w:rPr>
        <w:t>受疫情以及疫情引起的海外资本市场剧烈波动影响，</w:t>
      </w:r>
      <w:r>
        <w:rPr>
          <w:color w:val="000000"/>
          <w:sz w:val="24"/>
          <w:szCs w:val="24"/>
        </w:rPr>
        <w:t>2020</w:t>
      </w:r>
      <w:r>
        <w:rPr>
          <w:color w:val="000000"/>
          <w:sz w:val="24"/>
          <w:szCs w:val="24"/>
        </w:rPr>
        <w:t>年一季度</w:t>
      </w:r>
      <w:r>
        <w:rPr>
          <w:color w:val="000000"/>
          <w:sz w:val="24"/>
          <w:szCs w:val="24"/>
        </w:rPr>
        <w:t>A</w:t>
      </w:r>
      <w:r>
        <w:rPr>
          <w:color w:val="000000"/>
          <w:sz w:val="24"/>
          <w:szCs w:val="24"/>
        </w:rPr>
        <w:t>股市场较为动荡，上证</w:t>
      </w:r>
      <w:r>
        <w:rPr>
          <w:color w:val="000000"/>
          <w:sz w:val="24"/>
          <w:szCs w:val="24"/>
        </w:rPr>
        <w:t>50</w:t>
      </w:r>
      <w:r>
        <w:rPr>
          <w:color w:val="000000"/>
          <w:sz w:val="24"/>
          <w:szCs w:val="24"/>
        </w:rPr>
        <w:t>指数下跌</w:t>
      </w:r>
      <w:r>
        <w:rPr>
          <w:color w:val="000000"/>
          <w:sz w:val="24"/>
          <w:szCs w:val="24"/>
        </w:rPr>
        <w:t>12.20%</w:t>
      </w:r>
      <w:r>
        <w:rPr>
          <w:color w:val="000000"/>
          <w:sz w:val="24"/>
          <w:szCs w:val="24"/>
        </w:rPr>
        <w:t>，创业板指数则先扬后抑，单季度仍上涨</w:t>
      </w:r>
      <w:r>
        <w:rPr>
          <w:color w:val="000000"/>
          <w:sz w:val="24"/>
          <w:szCs w:val="24"/>
        </w:rPr>
        <w:t>4.10%</w:t>
      </w:r>
      <w:r>
        <w:rPr>
          <w:color w:val="000000"/>
          <w:sz w:val="24"/>
          <w:szCs w:val="24"/>
        </w:rPr>
        <w:t>。</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针对疫情和流动性带来的冲击，我们降低了部分股票仓位，同时根据个股的前景和估值情况对组合进行微调，主要增持了部分短期受疫情影响下跌较多但长期其实是受益于格局优化的个股。我们青睐这种在困难的环境中仍然能比同行出色很多的公司，这也是我们组合超额收益的最重要来源。</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1.157</w:t>
      </w:r>
      <w:r w:rsidRPr="006C56AA">
        <w:rPr>
          <w:color w:val="000000"/>
          <w:sz w:val="24"/>
          <w:szCs w:val="24"/>
        </w:rPr>
        <w:t>元，本报告期份额净值增长率为</w:t>
      </w:r>
      <w:r w:rsidRPr="006C56AA">
        <w:rPr>
          <w:color w:val="000000"/>
          <w:sz w:val="24"/>
          <w:szCs w:val="24"/>
        </w:rPr>
        <w:t>-8.54%</w:t>
      </w:r>
      <w:r w:rsidRPr="006C56AA">
        <w:rPr>
          <w:color w:val="000000"/>
          <w:sz w:val="24"/>
          <w:szCs w:val="24"/>
        </w:rPr>
        <w:t>，同期业绩比较基准收益率为</w:t>
      </w:r>
      <w:r w:rsidRPr="006C56AA">
        <w:rPr>
          <w:color w:val="000000"/>
          <w:sz w:val="24"/>
          <w:szCs w:val="24"/>
        </w:rPr>
        <w:t>-5.33%</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433,208,359.28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87.03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433,208,359.28</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87.03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2,703,475.40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0.54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2,703,475.40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0.54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60,023,262.79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12.06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1,811,958.98</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0.36</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497,747,056.45</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386,638,247.93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78.41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13,586,365.73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2.76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524,507.46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0.11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32,422,537.87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6.58</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433,208,359.28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87.85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D42F0B">
        <w:tc>
          <w:tcPr>
            <w:tcW w:w="851" w:type="dxa"/>
            <w:vAlign w:val="center"/>
          </w:tcPr>
          <w:p w:rsidR="00D42F0B" w:rsidRDefault="00502187">
            <w:pPr>
              <w:jc w:val="center"/>
            </w:pPr>
            <w:r>
              <w:rPr>
                <w:color w:val="000000"/>
                <w:kern w:val="0"/>
                <w:sz w:val="24"/>
                <w:szCs w:val="24"/>
              </w:rPr>
              <w:t>1</w:t>
            </w:r>
          </w:p>
        </w:tc>
        <w:tc>
          <w:tcPr>
            <w:tcW w:w="1276" w:type="dxa"/>
            <w:vAlign w:val="center"/>
          </w:tcPr>
          <w:p w:rsidR="00D42F0B" w:rsidRDefault="00502187">
            <w:pPr>
              <w:jc w:val="center"/>
            </w:pPr>
            <w:r>
              <w:rPr>
                <w:color w:val="000000"/>
                <w:kern w:val="0"/>
                <w:sz w:val="24"/>
                <w:szCs w:val="24"/>
              </w:rPr>
              <w:t>600519</w:t>
            </w:r>
          </w:p>
        </w:tc>
        <w:tc>
          <w:tcPr>
            <w:tcW w:w="1418" w:type="dxa"/>
            <w:vAlign w:val="center"/>
          </w:tcPr>
          <w:p w:rsidR="00D42F0B" w:rsidRDefault="00502187">
            <w:pPr>
              <w:jc w:val="center"/>
            </w:pPr>
            <w:r>
              <w:rPr>
                <w:color w:val="000000"/>
                <w:kern w:val="0"/>
                <w:sz w:val="24"/>
                <w:szCs w:val="24"/>
              </w:rPr>
              <w:t>贵州茅台</w:t>
            </w:r>
          </w:p>
        </w:tc>
        <w:tc>
          <w:tcPr>
            <w:tcW w:w="1701" w:type="dxa"/>
            <w:vAlign w:val="center"/>
          </w:tcPr>
          <w:p w:rsidR="00D42F0B" w:rsidRDefault="00502187">
            <w:pPr>
              <w:jc w:val="right"/>
            </w:pPr>
            <w:r>
              <w:rPr>
                <w:color w:val="000000"/>
                <w:kern w:val="0"/>
                <w:sz w:val="24"/>
                <w:szCs w:val="24"/>
              </w:rPr>
              <w:t>43,919</w:t>
            </w:r>
          </w:p>
        </w:tc>
        <w:tc>
          <w:tcPr>
            <w:tcW w:w="1984" w:type="dxa"/>
            <w:vAlign w:val="center"/>
          </w:tcPr>
          <w:p w:rsidR="00D42F0B" w:rsidRDefault="00502187">
            <w:pPr>
              <w:jc w:val="right"/>
            </w:pPr>
            <w:r>
              <w:rPr>
                <w:color w:val="000000"/>
                <w:kern w:val="0"/>
                <w:sz w:val="24"/>
                <w:szCs w:val="24"/>
              </w:rPr>
              <w:t>48,794,009.00</w:t>
            </w:r>
          </w:p>
        </w:tc>
        <w:tc>
          <w:tcPr>
            <w:tcW w:w="1559" w:type="dxa"/>
            <w:vAlign w:val="center"/>
          </w:tcPr>
          <w:p w:rsidR="00D42F0B" w:rsidRDefault="00502187">
            <w:pPr>
              <w:jc w:val="right"/>
            </w:pPr>
            <w:r>
              <w:rPr>
                <w:color w:val="000000"/>
                <w:kern w:val="0"/>
                <w:sz w:val="24"/>
                <w:szCs w:val="24"/>
              </w:rPr>
              <w:t>9.90</w:t>
            </w:r>
          </w:p>
        </w:tc>
      </w:tr>
      <w:tr w:rsidR="00D42F0B">
        <w:tc>
          <w:tcPr>
            <w:tcW w:w="851" w:type="dxa"/>
            <w:vAlign w:val="center"/>
          </w:tcPr>
          <w:p w:rsidR="00D42F0B" w:rsidRDefault="00502187">
            <w:pPr>
              <w:jc w:val="center"/>
            </w:pPr>
            <w:r>
              <w:rPr>
                <w:color w:val="000000"/>
                <w:kern w:val="0"/>
                <w:sz w:val="24"/>
                <w:szCs w:val="24"/>
              </w:rPr>
              <w:t>2</w:t>
            </w:r>
          </w:p>
        </w:tc>
        <w:tc>
          <w:tcPr>
            <w:tcW w:w="1276" w:type="dxa"/>
            <w:vAlign w:val="center"/>
          </w:tcPr>
          <w:p w:rsidR="00D42F0B" w:rsidRDefault="00502187">
            <w:pPr>
              <w:jc w:val="center"/>
            </w:pPr>
            <w:r>
              <w:rPr>
                <w:color w:val="000000"/>
                <w:kern w:val="0"/>
                <w:sz w:val="24"/>
                <w:szCs w:val="24"/>
              </w:rPr>
              <w:t>000860</w:t>
            </w:r>
          </w:p>
        </w:tc>
        <w:tc>
          <w:tcPr>
            <w:tcW w:w="1418" w:type="dxa"/>
            <w:vAlign w:val="center"/>
          </w:tcPr>
          <w:p w:rsidR="00D42F0B" w:rsidRDefault="00502187">
            <w:pPr>
              <w:jc w:val="center"/>
            </w:pPr>
            <w:r>
              <w:rPr>
                <w:color w:val="000000"/>
                <w:kern w:val="0"/>
                <w:sz w:val="24"/>
                <w:szCs w:val="24"/>
              </w:rPr>
              <w:t>顺鑫农业</w:t>
            </w:r>
          </w:p>
        </w:tc>
        <w:tc>
          <w:tcPr>
            <w:tcW w:w="1701" w:type="dxa"/>
            <w:vAlign w:val="center"/>
          </w:tcPr>
          <w:p w:rsidR="00D42F0B" w:rsidRDefault="00502187">
            <w:pPr>
              <w:jc w:val="right"/>
            </w:pPr>
            <w:r>
              <w:rPr>
                <w:color w:val="000000"/>
                <w:kern w:val="0"/>
                <w:sz w:val="24"/>
                <w:szCs w:val="24"/>
              </w:rPr>
              <w:t>778,407</w:t>
            </w:r>
          </w:p>
        </w:tc>
        <w:tc>
          <w:tcPr>
            <w:tcW w:w="1984" w:type="dxa"/>
            <w:vAlign w:val="center"/>
          </w:tcPr>
          <w:p w:rsidR="00D42F0B" w:rsidRDefault="00502187">
            <w:pPr>
              <w:jc w:val="right"/>
            </w:pPr>
            <w:r>
              <w:rPr>
                <w:color w:val="000000"/>
                <w:kern w:val="0"/>
                <w:sz w:val="24"/>
                <w:szCs w:val="24"/>
              </w:rPr>
              <w:t>47,786,405.73</w:t>
            </w:r>
          </w:p>
        </w:tc>
        <w:tc>
          <w:tcPr>
            <w:tcW w:w="1559" w:type="dxa"/>
            <w:vAlign w:val="center"/>
          </w:tcPr>
          <w:p w:rsidR="00D42F0B" w:rsidRDefault="00502187">
            <w:pPr>
              <w:jc w:val="right"/>
            </w:pPr>
            <w:r>
              <w:rPr>
                <w:color w:val="000000"/>
                <w:kern w:val="0"/>
                <w:sz w:val="24"/>
                <w:szCs w:val="24"/>
              </w:rPr>
              <w:t>9.69</w:t>
            </w:r>
          </w:p>
        </w:tc>
      </w:tr>
      <w:tr w:rsidR="00D42F0B">
        <w:tc>
          <w:tcPr>
            <w:tcW w:w="851" w:type="dxa"/>
            <w:vAlign w:val="center"/>
          </w:tcPr>
          <w:p w:rsidR="00D42F0B" w:rsidRDefault="00502187">
            <w:pPr>
              <w:jc w:val="center"/>
            </w:pPr>
            <w:r>
              <w:rPr>
                <w:color w:val="000000"/>
                <w:kern w:val="0"/>
                <w:sz w:val="24"/>
                <w:szCs w:val="24"/>
              </w:rPr>
              <w:t>3</w:t>
            </w:r>
          </w:p>
        </w:tc>
        <w:tc>
          <w:tcPr>
            <w:tcW w:w="1276" w:type="dxa"/>
            <w:vAlign w:val="center"/>
          </w:tcPr>
          <w:p w:rsidR="00D42F0B" w:rsidRDefault="00502187">
            <w:pPr>
              <w:jc w:val="center"/>
            </w:pPr>
            <w:r>
              <w:rPr>
                <w:color w:val="000000"/>
                <w:kern w:val="0"/>
                <w:sz w:val="24"/>
                <w:szCs w:val="24"/>
              </w:rPr>
              <w:t>000858</w:t>
            </w:r>
          </w:p>
        </w:tc>
        <w:tc>
          <w:tcPr>
            <w:tcW w:w="1418" w:type="dxa"/>
            <w:vAlign w:val="center"/>
          </w:tcPr>
          <w:p w:rsidR="00D42F0B" w:rsidRDefault="00502187">
            <w:pPr>
              <w:jc w:val="center"/>
            </w:pPr>
            <w:r>
              <w:rPr>
                <w:color w:val="000000"/>
                <w:kern w:val="0"/>
                <w:sz w:val="24"/>
                <w:szCs w:val="24"/>
              </w:rPr>
              <w:t>五粮液</w:t>
            </w:r>
          </w:p>
        </w:tc>
        <w:tc>
          <w:tcPr>
            <w:tcW w:w="1701" w:type="dxa"/>
            <w:vAlign w:val="center"/>
          </w:tcPr>
          <w:p w:rsidR="00D42F0B" w:rsidRDefault="00502187">
            <w:pPr>
              <w:jc w:val="right"/>
            </w:pPr>
            <w:r>
              <w:rPr>
                <w:color w:val="000000"/>
                <w:kern w:val="0"/>
                <w:sz w:val="24"/>
                <w:szCs w:val="24"/>
              </w:rPr>
              <w:t>378,433</w:t>
            </w:r>
          </w:p>
        </w:tc>
        <w:tc>
          <w:tcPr>
            <w:tcW w:w="1984" w:type="dxa"/>
            <w:vAlign w:val="center"/>
          </w:tcPr>
          <w:p w:rsidR="00D42F0B" w:rsidRDefault="00502187">
            <w:pPr>
              <w:jc w:val="right"/>
            </w:pPr>
            <w:r>
              <w:rPr>
                <w:color w:val="000000"/>
                <w:kern w:val="0"/>
                <w:sz w:val="24"/>
                <w:szCs w:val="24"/>
              </w:rPr>
              <w:t>43,595,481.60</w:t>
            </w:r>
          </w:p>
        </w:tc>
        <w:tc>
          <w:tcPr>
            <w:tcW w:w="1559" w:type="dxa"/>
            <w:vAlign w:val="center"/>
          </w:tcPr>
          <w:p w:rsidR="00D42F0B" w:rsidRDefault="00502187">
            <w:pPr>
              <w:jc w:val="right"/>
            </w:pPr>
            <w:r>
              <w:rPr>
                <w:color w:val="000000"/>
                <w:kern w:val="0"/>
                <w:sz w:val="24"/>
                <w:szCs w:val="24"/>
              </w:rPr>
              <w:t>8.84</w:t>
            </w:r>
          </w:p>
        </w:tc>
      </w:tr>
      <w:tr w:rsidR="00D42F0B">
        <w:tc>
          <w:tcPr>
            <w:tcW w:w="851" w:type="dxa"/>
            <w:vAlign w:val="center"/>
          </w:tcPr>
          <w:p w:rsidR="00D42F0B" w:rsidRDefault="00502187">
            <w:pPr>
              <w:jc w:val="center"/>
            </w:pPr>
            <w:r>
              <w:rPr>
                <w:color w:val="000000"/>
                <w:kern w:val="0"/>
                <w:sz w:val="24"/>
                <w:szCs w:val="24"/>
              </w:rPr>
              <w:t>4</w:t>
            </w:r>
          </w:p>
        </w:tc>
        <w:tc>
          <w:tcPr>
            <w:tcW w:w="1276" w:type="dxa"/>
            <w:vAlign w:val="center"/>
          </w:tcPr>
          <w:p w:rsidR="00D42F0B" w:rsidRDefault="00502187">
            <w:pPr>
              <w:jc w:val="center"/>
            </w:pPr>
            <w:r>
              <w:rPr>
                <w:color w:val="000000"/>
                <w:kern w:val="0"/>
                <w:sz w:val="24"/>
                <w:szCs w:val="24"/>
              </w:rPr>
              <w:t>000651</w:t>
            </w:r>
          </w:p>
        </w:tc>
        <w:tc>
          <w:tcPr>
            <w:tcW w:w="1418" w:type="dxa"/>
            <w:vAlign w:val="center"/>
          </w:tcPr>
          <w:p w:rsidR="00D42F0B" w:rsidRDefault="00502187">
            <w:pPr>
              <w:jc w:val="center"/>
            </w:pPr>
            <w:r>
              <w:rPr>
                <w:color w:val="000000"/>
                <w:kern w:val="0"/>
                <w:sz w:val="24"/>
                <w:szCs w:val="24"/>
              </w:rPr>
              <w:t>格力电器</w:t>
            </w:r>
          </w:p>
        </w:tc>
        <w:tc>
          <w:tcPr>
            <w:tcW w:w="1701" w:type="dxa"/>
            <w:vAlign w:val="center"/>
          </w:tcPr>
          <w:p w:rsidR="00D42F0B" w:rsidRDefault="00502187">
            <w:pPr>
              <w:jc w:val="right"/>
            </w:pPr>
            <w:r>
              <w:rPr>
                <w:color w:val="000000"/>
                <w:kern w:val="0"/>
                <w:sz w:val="24"/>
                <w:szCs w:val="24"/>
              </w:rPr>
              <w:t>832,028</w:t>
            </w:r>
          </w:p>
        </w:tc>
        <w:tc>
          <w:tcPr>
            <w:tcW w:w="1984" w:type="dxa"/>
            <w:vAlign w:val="center"/>
          </w:tcPr>
          <w:p w:rsidR="00D42F0B" w:rsidRDefault="00502187">
            <w:pPr>
              <w:jc w:val="right"/>
            </w:pPr>
            <w:r>
              <w:rPr>
                <w:color w:val="000000"/>
                <w:kern w:val="0"/>
                <w:sz w:val="24"/>
                <w:szCs w:val="24"/>
              </w:rPr>
              <w:t>43,431,861.60</w:t>
            </w:r>
          </w:p>
        </w:tc>
        <w:tc>
          <w:tcPr>
            <w:tcW w:w="1559" w:type="dxa"/>
            <w:vAlign w:val="center"/>
          </w:tcPr>
          <w:p w:rsidR="00D42F0B" w:rsidRDefault="00502187">
            <w:pPr>
              <w:jc w:val="right"/>
            </w:pPr>
            <w:r>
              <w:rPr>
                <w:color w:val="000000"/>
                <w:kern w:val="0"/>
                <w:sz w:val="24"/>
                <w:szCs w:val="24"/>
              </w:rPr>
              <w:t>8.81</w:t>
            </w:r>
          </w:p>
        </w:tc>
      </w:tr>
      <w:tr w:rsidR="00D42F0B">
        <w:tc>
          <w:tcPr>
            <w:tcW w:w="851" w:type="dxa"/>
            <w:vAlign w:val="center"/>
          </w:tcPr>
          <w:p w:rsidR="00D42F0B" w:rsidRDefault="00502187">
            <w:pPr>
              <w:jc w:val="center"/>
            </w:pPr>
            <w:r>
              <w:rPr>
                <w:color w:val="000000"/>
                <w:kern w:val="0"/>
                <w:sz w:val="24"/>
                <w:szCs w:val="24"/>
              </w:rPr>
              <w:t>5</w:t>
            </w:r>
          </w:p>
        </w:tc>
        <w:tc>
          <w:tcPr>
            <w:tcW w:w="1276" w:type="dxa"/>
            <w:vAlign w:val="center"/>
          </w:tcPr>
          <w:p w:rsidR="00D42F0B" w:rsidRDefault="00502187">
            <w:pPr>
              <w:jc w:val="center"/>
            </w:pPr>
            <w:r>
              <w:rPr>
                <w:color w:val="000000"/>
                <w:kern w:val="0"/>
                <w:sz w:val="24"/>
                <w:szCs w:val="24"/>
              </w:rPr>
              <w:t>000596</w:t>
            </w:r>
          </w:p>
        </w:tc>
        <w:tc>
          <w:tcPr>
            <w:tcW w:w="1418" w:type="dxa"/>
            <w:vAlign w:val="center"/>
          </w:tcPr>
          <w:p w:rsidR="00D42F0B" w:rsidRDefault="00502187">
            <w:pPr>
              <w:jc w:val="center"/>
            </w:pPr>
            <w:r>
              <w:rPr>
                <w:color w:val="000000"/>
                <w:kern w:val="0"/>
                <w:sz w:val="24"/>
                <w:szCs w:val="24"/>
              </w:rPr>
              <w:t>古井贡酒</w:t>
            </w:r>
          </w:p>
        </w:tc>
        <w:tc>
          <w:tcPr>
            <w:tcW w:w="1701" w:type="dxa"/>
            <w:vAlign w:val="center"/>
          </w:tcPr>
          <w:p w:rsidR="00D42F0B" w:rsidRDefault="00502187">
            <w:pPr>
              <w:jc w:val="right"/>
            </w:pPr>
            <w:r>
              <w:rPr>
                <w:color w:val="000000"/>
                <w:kern w:val="0"/>
                <w:sz w:val="24"/>
                <w:szCs w:val="24"/>
              </w:rPr>
              <w:t>365,710</w:t>
            </w:r>
          </w:p>
        </w:tc>
        <w:tc>
          <w:tcPr>
            <w:tcW w:w="1984" w:type="dxa"/>
            <w:vAlign w:val="center"/>
          </w:tcPr>
          <w:p w:rsidR="00D42F0B" w:rsidRDefault="00502187">
            <w:pPr>
              <w:jc w:val="right"/>
            </w:pPr>
            <w:r>
              <w:rPr>
                <w:color w:val="000000"/>
                <w:kern w:val="0"/>
                <w:sz w:val="24"/>
                <w:szCs w:val="24"/>
              </w:rPr>
              <w:t>41,775,053.30</w:t>
            </w:r>
          </w:p>
        </w:tc>
        <w:tc>
          <w:tcPr>
            <w:tcW w:w="1559" w:type="dxa"/>
            <w:vAlign w:val="center"/>
          </w:tcPr>
          <w:p w:rsidR="00D42F0B" w:rsidRDefault="00502187">
            <w:pPr>
              <w:jc w:val="right"/>
            </w:pPr>
            <w:r>
              <w:rPr>
                <w:color w:val="000000"/>
                <w:kern w:val="0"/>
                <w:sz w:val="24"/>
                <w:szCs w:val="24"/>
              </w:rPr>
              <w:t>8.47</w:t>
            </w:r>
          </w:p>
        </w:tc>
      </w:tr>
      <w:tr w:rsidR="00D42F0B">
        <w:tc>
          <w:tcPr>
            <w:tcW w:w="851" w:type="dxa"/>
            <w:vAlign w:val="center"/>
          </w:tcPr>
          <w:p w:rsidR="00D42F0B" w:rsidRDefault="00502187">
            <w:pPr>
              <w:jc w:val="center"/>
            </w:pPr>
            <w:r>
              <w:rPr>
                <w:color w:val="000000"/>
                <w:kern w:val="0"/>
                <w:sz w:val="24"/>
                <w:szCs w:val="24"/>
              </w:rPr>
              <w:t>6</w:t>
            </w:r>
          </w:p>
        </w:tc>
        <w:tc>
          <w:tcPr>
            <w:tcW w:w="1276" w:type="dxa"/>
            <w:vAlign w:val="center"/>
          </w:tcPr>
          <w:p w:rsidR="00D42F0B" w:rsidRDefault="00502187">
            <w:pPr>
              <w:jc w:val="center"/>
            </w:pPr>
            <w:r>
              <w:rPr>
                <w:color w:val="000000"/>
                <w:kern w:val="0"/>
                <w:sz w:val="24"/>
                <w:szCs w:val="24"/>
              </w:rPr>
              <w:t>000568</w:t>
            </w:r>
          </w:p>
        </w:tc>
        <w:tc>
          <w:tcPr>
            <w:tcW w:w="1418" w:type="dxa"/>
            <w:vAlign w:val="center"/>
          </w:tcPr>
          <w:p w:rsidR="00D42F0B" w:rsidRDefault="00502187">
            <w:pPr>
              <w:jc w:val="center"/>
            </w:pPr>
            <w:r>
              <w:rPr>
                <w:color w:val="000000"/>
                <w:kern w:val="0"/>
                <w:sz w:val="24"/>
                <w:szCs w:val="24"/>
              </w:rPr>
              <w:t>泸州老窖</w:t>
            </w:r>
          </w:p>
        </w:tc>
        <w:tc>
          <w:tcPr>
            <w:tcW w:w="1701" w:type="dxa"/>
            <w:vAlign w:val="center"/>
          </w:tcPr>
          <w:p w:rsidR="00D42F0B" w:rsidRDefault="00502187">
            <w:pPr>
              <w:jc w:val="right"/>
            </w:pPr>
            <w:r>
              <w:rPr>
                <w:color w:val="000000"/>
                <w:kern w:val="0"/>
                <w:sz w:val="24"/>
                <w:szCs w:val="24"/>
              </w:rPr>
              <w:t>537,880</w:t>
            </w:r>
          </w:p>
        </w:tc>
        <w:tc>
          <w:tcPr>
            <w:tcW w:w="1984" w:type="dxa"/>
            <w:vAlign w:val="center"/>
          </w:tcPr>
          <w:p w:rsidR="00D42F0B" w:rsidRDefault="00502187">
            <w:pPr>
              <w:jc w:val="right"/>
            </w:pPr>
            <w:r>
              <w:rPr>
                <w:color w:val="000000"/>
                <w:kern w:val="0"/>
                <w:sz w:val="24"/>
                <w:szCs w:val="24"/>
              </w:rPr>
              <w:t>39,614,862.00</w:t>
            </w:r>
          </w:p>
        </w:tc>
        <w:tc>
          <w:tcPr>
            <w:tcW w:w="1559" w:type="dxa"/>
            <w:vAlign w:val="center"/>
          </w:tcPr>
          <w:p w:rsidR="00D42F0B" w:rsidRDefault="00502187">
            <w:pPr>
              <w:jc w:val="right"/>
            </w:pPr>
            <w:r>
              <w:rPr>
                <w:color w:val="000000"/>
                <w:kern w:val="0"/>
                <w:sz w:val="24"/>
                <w:szCs w:val="24"/>
              </w:rPr>
              <w:t>8.03</w:t>
            </w:r>
          </w:p>
        </w:tc>
      </w:tr>
      <w:tr w:rsidR="00D42F0B">
        <w:tc>
          <w:tcPr>
            <w:tcW w:w="851" w:type="dxa"/>
            <w:vAlign w:val="center"/>
          </w:tcPr>
          <w:p w:rsidR="00D42F0B" w:rsidRDefault="00502187">
            <w:pPr>
              <w:jc w:val="center"/>
            </w:pPr>
            <w:r>
              <w:rPr>
                <w:color w:val="000000"/>
                <w:kern w:val="0"/>
                <w:sz w:val="24"/>
                <w:szCs w:val="24"/>
              </w:rPr>
              <w:t>7</w:t>
            </w:r>
          </w:p>
        </w:tc>
        <w:tc>
          <w:tcPr>
            <w:tcW w:w="1276" w:type="dxa"/>
            <w:vAlign w:val="center"/>
          </w:tcPr>
          <w:p w:rsidR="00D42F0B" w:rsidRDefault="00502187">
            <w:pPr>
              <w:jc w:val="center"/>
            </w:pPr>
            <w:r>
              <w:rPr>
                <w:color w:val="000000"/>
                <w:kern w:val="0"/>
                <w:sz w:val="24"/>
                <w:szCs w:val="24"/>
              </w:rPr>
              <w:t>000333</w:t>
            </w:r>
          </w:p>
        </w:tc>
        <w:tc>
          <w:tcPr>
            <w:tcW w:w="1418" w:type="dxa"/>
            <w:vAlign w:val="center"/>
          </w:tcPr>
          <w:p w:rsidR="00D42F0B" w:rsidRDefault="00502187">
            <w:pPr>
              <w:jc w:val="center"/>
            </w:pPr>
            <w:r>
              <w:rPr>
                <w:color w:val="000000"/>
                <w:kern w:val="0"/>
                <w:sz w:val="24"/>
                <w:szCs w:val="24"/>
              </w:rPr>
              <w:t>美的集团</w:t>
            </w:r>
          </w:p>
        </w:tc>
        <w:tc>
          <w:tcPr>
            <w:tcW w:w="1701" w:type="dxa"/>
            <w:vAlign w:val="center"/>
          </w:tcPr>
          <w:p w:rsidR="00D42F0B" w:rsidRDefault="00502187">
            <w:pPr>
              <w:jc w:val="right"/>
            </w:pPr>
            <w:r>
              <w:rPr>
                <w:color w:val="000000"/>
                <w:kern w:val="0"/>
                <w:sz w:val="24"/>
                <w:szCs w:val="24"/>
              </w:rPr>
              <w:t>717,693</w:t>
            </w:r>
          </w:p>
        </w:tc>
        <w:tc>
          <w:tcPr>
            <w:tcW w:w="1984" w:type="dxa"/>
            <w:vAlign w:val="center"/>
          </w:tcPr>
          <w:p w:rsidR="00D42F0B" w:rsidRDefault="00502187">
            <w:pPr>
              <w:jc w:val="right"/>
            </w:pPr>
            <w:r>
              <w:rPr>
                <w:color w:val="000000"/>
                <w:kern w:val="0"/>
                <w:sz w:val="24"/>
                <w:szCs w:val="24"/>
              </w:rPr>
              <w:t>34,750,695.06</w:t>
            </w:r>
          </w:p>
        </w:tc>
        <w:tc>
          <w:tcPr>
            <w:tcW w:w="1559" w:type="dxa"/>
            <w:vAlign w:val="center"/>
          </w:tcPr>
          <w:p w:rsidR="00D42F0B" w:rsidRDefault="00502187">
            <w:pPr>
              <w:jc w:val="right"/>
            </w:pPr>
            <w:r>
              <w:rPr>
                <w:color w:val="000000"/>
                <w:kern w:val="0"/>
                <w:sz w:val="24"/>
                <w:szCs w:val="24"/>
              </w:rPr>
              <w:t>7.05</w:t>
            </w:r>
          </w:p>
        </w:tc>
      </w:tr>
      <w:tr w:rsidR="00D42F0B">
        <w:tc>
          <w:tcPr>
            <w:tcW w:w="851" w:type="dxa"/>
            <w:vAlign w:val="center"/>
          </w:tcPr>
          <w:p w:rsidR="00D42F0B" w:rsidRDefault="00502187">
            <w:pPr>
              <w:jc w:val="center"/>
            </w:pPr>
            <w:r>
              <w:rPr>
                <w:color w:val="000000"/>
                <w:kern w:val="0"/>
                <w:sz w:val="24"/>
                <w:szCs w:val="24"/>
              </w:rPr>
              <w:t>8</w:t>
            </w:r>
          </w:p>
        </w:tc>
        <w:tc>
          <w:tcPr>
            <w:tcW w:w="1276" w:type="dxa"/>
            <w:vAlign w:val="center"/>
          </w:tcPr>
          <w:p w:rsidR="00D42F0B" w:rsidRDefault="00502187">
            <w:pPr>
              <w:jc w:val="center"/>
            </w:pPr>
            <w:r>
              <w:rPr>
                <w:color w:val="000000"/>
                <w:kern w:val="0"/>
                <w:sz w:val="24"/>
                <w:szCs w:val="24"/>
              </w:rPr>
              <w:t>600809</w:t>
            </w:r>
          </w:p>
        </w:tc>
        <w:tc>
          <w:tcPr>
            <w:tcW w:w="1418" w:type="dxa"/>
            <w:vAlign w:val="center"/>
          </w:tcPr>
          <w:p w:rsidR="00D42F0B" w:rsidRDefault="00502187">
            <w:pPr>
              <w:jc w:val="center"/>
            </w:pPr>
            <w:r>
              <w:rPr>
                <w:color w:val="000000"/>
                <w:kern w:val="0"/>
                <w:sz w:val="24"/>
                <w:szCs w:val="24"/>
              </w:rPr>
              <w:t>山西汾酒</w:t>
            </w:r>
          </w:p>
        </w:tc>
        <w:tc>
          <w:tcPr>
            <w:tcW w:w="1701" w:type="dxa"/>
            <w:vAlign w:val="center"/>
          </w:tcPr>
          <w:p w:rsidR="00D42F0B" w:rsidRDefault="00502187">
            <w:pPr>
              <w:jc w:val="right"/>
            </w:pPr>
            <w:r>
              <w:rPr>
                <w:color w:val="000000"/>
                <w:kern w:val="0"/>
                <w:sz w:val="24"/>
                <w:szCs w:val="24"/>
              </w:rPr>
              <w:t>377,169</w:t>
            </w:r>
          </w:p>
        </w:tc>
        <w:tc>
          <w:tcPr>
            <w:tcW w:w="1984" w:type="dxa"/>
            <w:vAlign w:val="center"/>
          </w:tcPr>
          <w:p w:rsidR="00D42F0B" w:rsidRDefault="00502187">
            <w:pPr>
              <w:jc w:val="right"/>
            </w:pPr>
            <w:r>
              <w:rPr>
                <w:color w:val="000000"/>
                <w:kern w:val="0"/>
                <w:sz w:val="24"/>
                <w:szCs w:val="24"/>
              </w:rPr>
              <w:t>34,013,100.42</w:t>
            </w:r>
          </w:p>
        </w:tc>
        <w:tc>
          <w:tcPr>
            <w:tcW w:w="1559" w:type="dxa"/>
            <w:vAlign w:val="center"/>
          </w:tcPr>
          <w:p w:rsidR="00D42F0B" w:rsidRDefault="00502187">
            <w:pPr>
              <w:jc w:val="right"/>
            </w:pPr>
            <w:r>
              <w:rPr>
                <w:color w:val="000000"/>
                <w:kern w:val="0"/>
                <w:sz w:val="24"/>
                <w:szCs w:val="24"/>
              </w:rPr>
              <w:t>6.90</w:t>
            </w:r>
          </w:p>
        </w:tc>
      </w:tr>
      <w:tr w:rsidR="00D42F0B">
        <w:tc>
          <w:tcPr>
            <w:tcW w:w="851" w:type="dxa"/>
            <w:vAlign w:val="center"/>
          </w:tcPr>
          <w:p w:rsidR="00D42F0B" w:rsidRDefault="00502187">
            <w:pPr>
              <w:jc w:val="center"/>
            </w:pPr>
            <w:r>
              <w:rPr>
                <w:color w:val="000000"/>
                <w:kern w:val="0"/>
                <w:sz w:val="24"/>
                <w:szCs w:val="24"/>
              </w:rPr>
              <w:t>9</w:t>
            </w:r>
          </w:p>
        </w:tc>
        <w:tc>
          <w:tcPr>
            <w:tcW w:w="1276" w:type="dxa"/>
            <w:vAlign w:val="center"/>
          </w:tcPr>
          <w:p w:rsidR="00D42F0B" w:rsidRDefault="00502187">
            <w:pPr>
              <w:jc w:val="center"/>
            </w:pPr>
            <w:r>
              <w:rPr>
                <w:color w:val="000000"/>
                <w:kern w:val="0"/>
                <w:sz w:val="24"/>
                <w:szCs w:val="24"/>
              </w:rPr>
              <w:t>000661</w:t>
            </w:r>
          </w:p>
        </w:tc>
        <w:tc>
          <w:tcPr>
            <w:tcW w:w="1418" w:type="dxa"/>
            <w:vAlign w:val="center"/>
          </w:tcPr>
          <w:p w:rsidR="00D42F0B" w:rsidRDefault="00502187">
            <w:pPr>
              <w:jc w:val="center"/>
            </w:pPr>
            <w:r>
              <w:rPr>
                <w:color w:val="000000"/>
                <w:kern w:val="0"/>
                <w:sz w:val="24"/>
                <w:szCs w:val="24"/>
              </w:rPr>
              <w:t>长春高新</w:t>
            </w:r>
          </w:p>
        </w:tc>
        <w:tc>
          <w:tcPr>
            <w:tcW w:w="1701" w:type="dxa"/>
            <w:vAlign w:val="center"/>
          </w:tcPr>
          <w:p w:rsidR="00D42F0B" w:rsidRDefault="00502187">
            <w:pPr>
              <w:jc w:val="right"/>
            </w:pPr>
            <w:r>
              <w:rPr>
                <w:color w:val="000000"/>
                <w:kern w:val="0"/>
                <w:sz w:val="24"/>
                <w:szCs w:val="24"/>
              </w:rPr>
              <w:t>46,376</w:t>
            </w:r>
          </w:p>
        </w:tc>
        <w:tc>
          <w:tcPr>
            <w:tcW w:w="1984" w:type="dxa"/>
            <w:vAlign w:val="center"/>
          </w:tcPr>
          <w:p w:rsidR="00D42F0B" w:rsidRDefault="00502187">
            <w:pPr>
              <w:jc w:val="right"/>
            </w:pPr>
            <w:r>
              <w:rPr>
                <w:color w:val="000000"/>
                <w:kern w:val="0"/>
                <w:sz w:val="24"/>
                <w:szCs w:val="24"/>
              </w:rPr>
              <w:t>25,414,048.00</w:t>
            </w:r>
          </w:p>
        </w:tc>
        <w:tc>
          <w:tcPr>
            <w:tcW w:w="1559" w:type="dxa"/>
            <w:vAlign w:val="center"/>
          </w:tcPr>
          <w:p w:rsidR="00D42F0B" w:rsidRDefault="00502187">
            <w:pPr>
              <w:jc w:val="right"/>
            </w:pPr>
            <w:r>
              <w:rPr>
                <w:color w:val="000000"/>
                <w:kern w:val="0"/>
                <w:sz w:val="24"/>
                <w:szCs w:val="24"/>
              </w:rPr>
              <w:t>5.15</w:t>
            </w:r>
          </w:p>
        </w:tc>
      </w:tr>
      <w:tr w:rsidR="00D42F0B">
        <w:tc>
          <w:tcPr>
            <w:tcW w:w="851" w:type="dxa"/>
            <w:vAlign w:val="center"/>
          </w:tcPr>
          <w:p w:rsidR="00D42F0B" w:rsidRDefault="00502187">
            <w:pPr>
              <w:jc w:val="center"/>
            </w:pPr>
            <w:r>
              <w:rPr>
                <w:color w:val="000000"/>
                <w:kern w:val="0"/>
                <w:sz w:val="24"/>
                <w:szCs w:val="24"/>
              </w:rPr>
              <w:t>10</w:t>
            </w:r>
          </w:p>
        </w:tc>
        <w:tc>
          <w:tcPr>
            <w:tcW w:w="1276" w:type="dxa"/>
            <w:vAlign w:val="center"/>
          </w:tcPr>
          <w:p w:rsidR="00D42F0B" w:rsidRDefault="00502187">
            <w:pPr>
              <w:jc w:val="center"/>
            </w:pPr>
            <w:r>
              <w:rPr>
                <w:color w:val="000000"/>
                <w:kern w:val="0"/>
                <w:sz w:val="24"/>
                <w:szCs w:val="24"/>
              </w:rPr>
              <w:t>601318</w:t>
            </w:r>
          </w:p>
        </w:tc>
        <w:tc>
          <w:tcPr>
            <w:tcW w:w="1418" w:type="dxa"/>
            <w:vAlign w:val="center"/>
          </w:tcPr>
          <w:p w:rsidR="00D42F0B" w:rsidRDefault="00502187">
            <w:pPr>
              <w:jc w:val="center"/>
            </w:pPr>
            <w:r>
              <w:rPr>
                <w:color w:val="000000"/>
                <w:kern w:val="0"/>
                <w:sz w:val="24"/>
                <w:szCs w:val="24"/>
              </w:rPr>
              <w:t>中国平安</w:t>
            </w:r>
          </w:p>
        </w:tc>
        <w:tc>
          <w:tcPr>
            <w:tcW w:w="1701" w:type="dxa"/>
            <w:vAlign w:val="center"/>
          </w:tcPr>
          <w:p w:rsidR="00D42F0B" w:rsidRDefault="00502187">
            <w:pPr>
              <w:jc w:val="right"/>
            </w:pPr>
            <w:r>
              <w:rPr>
                <w:color w:val="000000"/>
                <w:kern w:val="0"/>
                <w:sz w:val="24"/>
                <w:szCs w:val="24"/>
              </w:rPr>
              <w:t>264,732</w:t>
            </w:r>
          </w:p>
        </w:tc>
        <w:tc>
          <w:tcPr>
            <w:tcW w:w="1984" w:type="dxa"/>
            <w:vAlign w:val="center"/>
          </w:tcPr>
          <w:p w:rsidR="00D42F0B" w:rsidRDefault="00502187">
            <w:pPr>
              <w:jc w:val="right"/>
            </w:pPr>
            <w:r>
              <w:rPr>
                <w:color w:val="000000"/>
                <w:kern w:val="0"/>
                <w:sz w:val="24"/>
                <w:szCs w:val="24"/>
              </w:rPr>
              <w:t>18,311,512.44</w:t>
            </w:r>
          </w:p>
        </w:tc>
        <w:tc>
          <w:tcPr>
            <w:tcW w:w="1559" w:type="dxa"/>
            <w:vAlign w:val="center"/>
          </w:tcPr>
          <w:p w:rsidR="00D42F0B" w:rsidRDefault="00502187">
            <w:pPr>
              <w:jc w:val="right"/>
            </w:pPr>
            <w:r>
              <w:rPr>
                <w:color w:val="000000"/>
                <w:kern w:val="0"/>
                <w:sz w:val="24"/>
                <w:szCs w:val="24"/>
              </w:rPr>
              <w:t>3.71</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2,703,475.40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0.55</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2,703,475.40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0.55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D42F0B">
        <w:tc>
          <w:tcPr>
            <w:tcW w:w="959" w:type="dxa"/>
            <w:vAlign w:val="center"/>
          </w:tcPr>
          <w:p w:rsidR="00D42F0B" w:rsidRDefault="00502187">
            <w:pPr>
              <w:jc w:val="center"/>
            </w:pPr>
            <w:r>
              <w:rPr>
                <w:color w:val="000000"/>
                <w:kern w:val="0"/>
                <w:sz w:val="24"/>
                <w:szCs w:val="24"/>
              </w:rPr>
              <w:t>1</w:t>
            </w:r>
          </w:p>
        </w:tc>
        <w:tc>
          <w:tcPr>
            <w:tcW w:w="1276" w:type="dxa"/>
            <w:vAlign w:val="center"/>
          </w:tcPr>
          <w:p w:rsidR="00D42F0B" w:rsidRDefault="00502187">
            <w:pPr>
              <w:jc w:val="center"/>
            </w:pPr>
            <w:r>
              <w:rPr>
                <w:color w:val="000000"/>
                <w:kern w:val="0"/>
                <w:sz w:val="24"/>
                <w:szCs w:val="24"/>
              </w:rPr>
              <w:t>128045</w:t>
            </w:r>
          </w:p>
        </w:tc>
        <w:tc>
          <w:tcPr>
            <w:tcW w:w="1275" w:type="dxa"/>
            <w:vAlign w:val="center"/>
          </w:tcPr>
          <w:p w:rsidR="00D42F0B" w:rsidRDefault="00502187">
            <w:pPr>
              <w:jc w:val="center"/>
            </w:pPr>
            <w:r>
              <w:rPr>
                <w:color w:val="000000"/>
                <w:kern w:val="0"/>
                <w:sz w:val="24"/>
                <w:szCs w:val="24"/>
              </w:rPr>
              <w:t>机电转债</w:t>
            </w:r>
          </w:p>
        </w:tc>
        <w:tc>
          <w:tcPr>
            <w:tcW w:w="1560" w:type="dxa"/>
            <w:vAlign w:val="center"/>
          </w:tcPr>
          <w:p w:rsidR="00D42F0B" w:rsidRDefault="00502187">
            <w:pPr>
              <w:jc w:val="right"/>
            </w:pPr>
            <w:r>
              <w:rPr>
                <w:color w:val="000000"/>
                <w:kern w:val="0"/>
                <w:sz w:val="24"/>
                <w:szCs w:val="24"/>
              </w:rPr>
              <w:t>19,710</w:t>
            </w:r>
          </w:p>
        </w:tc>
        <w:tc>
          <w:tcPr>
            <w:tcW w:w="1984" w:type="dxa"/>
            <w:vAlign w:val="center"/>
          </w:tcPr>
          <w:p w:rsidR="00D42F0B" w:rsidRDefault="00502187">
            <w:pPr>
              <w:jc w:val="right"/>
            </w:pPr>
            <w:r>
              <w:rPr>
                <w:color w:val="000000"/>
                <w:kern w:val="0"/>
                <w:sz w:val="24"/>
                <w:szCs w:val="24"/>
              </w:rPr>
              <w:t>2,419,205.40</w:t>
            </w:r>
          </w:p>
        </w:tc>
        <w:tc>
          <w:tcPr>
            <w:tcW w:w="1474" w:type="dxa"/>
            <w:vAlign w:val="center"/>
          </w:tcPr>
          <w:p w:rsidR="00D42F0B" w:rsidRDefault="00502187">
            <w:pPr>
              <w:jc w:val="right"/>
            </w:pPr>
            <w:r>
              <w:rPr>
                <w:color w:val="000000"/>
                <w:kern w:val="0"/>
                <w:sz w:val="24"/>
                <w:szCs w:val="24"/>
              </w:rPr>
              <w:t>0.49</w:t>
            </w:r>
          </w:p>
        </w:tc>
      </w:tr>
      <w:tr w:rsidR="00D42F0B">
        <w:tc>
          <w:tcPr>
            <w:tcW w:w="959" w:type="dxa"/>
            <w:vAlign w:val="center"/>
          </w:tcPr>
          <w:p w:rsidR="00D42F0B" w:rsidRDefault="00502187">
            <w:pPr>
              <w:jc w:val="center"/>
            </w:pPr>
            <w:r>
              <w:rPr>
                <w:color w:val="000000"/>
                <w:kern w:val="0"/>
                <w:sz w:val="24"/>
                <w:szCs w:val="24"/>
              </w:rPr>
              <w:t>2</w:t>
            </w:r>
          </w:p>
        </w:tc>
        <w:tc>
          <w:tcPr>
            <w:tcW w:w="1276" w:type="dxa"/>
            <w:vAlign w:val="center"/>
          </w:tcPr>
          <w:p w:rsidR="00D42F0B" w:rsidRDefault="00502187">
            <w:pPr>
              <w:jc w:val="center"/>
            </w:pPr>
            <w:r>
              <w:rPr>
                <w:color w:val="000000"/>
                <w:kern w:val="0"/>
                <w:sz w:val="24"/>
                <w:szCs w:val="24"/>
              </w:rPr>
              <w:t>113021</w:t>
            </w:r>
          </w:p>
        </w:tc>
        <w:tc>
          <w:tcPr>
            <w:tcW w:w="1275" w:type="dxa"/>
            <w:vAlign w:val="center"/>
          </w:tcPr>
          <w:p w:rsidR="00D42F0B" w:rsidRDefault="00502187">
            <w:pPr>
              <w:jc w:val="center"/>
            </w:pPr>
            <w:r>
              <w:rPr>
                <w:color w:val="000000"/>
                <w:kern w:val="0"/>
                <w:sz w:val="24"/>
                <w:szCs w:val="24"/>
              </w:rPr>
              <w:t>中信转债</w:t>
            </w:r>
          </w:p>
        </w:tc>
        <w:tc>
          <w:tcPr>
            <w:tcW w:w="1560" w:type="dxa"/>
            <w:vAlign w:val="center"/>
          </w:tcPr>
          <w:p w:rsidR="00D42F0B" w:rsidRDefault="00502187">
            <w:pPr>
              <w:jc w:val="right"/>
            </w:pPr>
            <w:r>
              <w:rPr>
                <w:color w:val="000000"/>
                <w:kern w:val="0"/>
                <w:sz w:val="24"/>
                <w:szCs w:val="24"/>
              </w:rPr>
              <w:t>2,620</w:t>
            </w:r>
          </w:p>
        </w:tc>
        <w:tc>
          <w:tcPr>
            <w:tcW w:w="1984" w:type="dxa"/>
            <w:vAlign w:val="center"/>
          </w:tcPr>
          <w:p w:rsidR="00D42F0B" w:rsidRDefault="00502187">
            <w:pPr>
              <w:jc w:val="right"/>
            </w:pPr>
            <w:r>
              <w:rPr>
                <w:color w:val="000000"/>
                <w:kern w:val="0"/>
                <w:sz w:val="24"/>
                <w:szCs w:val="24"/>
              </w:rPr>
              <w:t>284,270.00</w:t>
            </w:r>
          </w:p>
        </w:tc>
        <w:tc>
          <w:tcPr>
            <w:tcW w:w="1474" w:type="dxa"/>
            <w:vAlign w:val="center"/>
          </w:tcPr>
          <w:p w:rsidR="00D42F0B" w:rsidRDefault="00502187">
            <w:pPr>
              <w:jc w:val="right"/>
            </w:pPr>
            <w:r>
              <w:rPr>
                <w:color w:val="000000"/>
                <w:kern w:val="0"/>
                <w:sz w:val="24"/>
                <w:szCs w:val="24"/>
              </w:rPr>
              <w:t>0.06</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03076" w:rsidRPr="00703076" w:rsidRDefault="00750D48" w:rsidP="00703076">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00703076" w:rsidRPr="00703076">
        <w:rPr>
          <w:rFonts w:ascii="宋体" w:hAnsi="宋体" w:hint="eastAsia"/>
          <w:color w:val="000000"/>
          <w:sz w:val="24"/>
          <w:szCs w:val="24"/>
        </w:rPr>
        <w:t>格力电器（代码：000651）为易方达现代服务业灵活配置混合型证券投资基金的前十大重仓证券之一。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rsidR="00703076" w:rsidRPr="00703076" w:rsidRDefault="00703076" w:rsidP="00703076">
      <w:pPr>
        <w:spacing w:line="360" w:lineRule="auto"/>
        <w:ind w:firstLineChars="200" w:firstLine="480"/>
        <w:rPr>
          <w:rFonts w:ascii="宋体" w:hAnsi="宋体"/>
          <w:color w:val="000000"/>
          <w:sz w:val="24"/>
          <w:szCs w:val="24"/>
        </w:rPr>
      </w:pPr>
      <w:r w:rsidRPr="00703076">
        <w:rPr>
          <w:rFonts w:ascii="宋体" w:hAnsi="宋体" w:hint="eastAsia"/>
          <w:color w:val="000000"/>
          <w:sz w:val="24"/>
          <w:szCs w:val="24"/>
        </w:rPr>
        <w:t>本基金投资格力电器的投资决策程序符合公司投资制度的规定。</w:t>
      </w:r>
    </w:p>
    <w:p w:rsidR="00750D48" w:rsidRPr="00264E55" w:rsidRDefault="00703076" w:rsidP="00703076">
      <w:pPr>
        <w:spacing w:line="360" w:lineRule="auto"/>
        <w:ind w:firstLineChars="200" w:firstLine="480"/>
        <w:rPr>
          <w:rFonts w:ascii="宋体" w:hAnsi="宋体"/>
          <w:color w:val="000000"/>
          <w:sz w:val="24"/>
          <w:szCs w:val="24"/>
        </w:rPr>
      </w:pPr>
      <w:r w:rsidRPr="00703076">
        <w:rPr>
          <w:rFonts w:ascii="宋体" w:hAnsi="宋体" w:hint="eastAsia"/>
          <w:color w:val="000000"/>
          <w:sz w:val="24"/>
          <w:szCs w:val="24"/>
        </w:rPr>
        <w:t>除格力电器外，本基金投资的前十名证券的发行主体本期没有出现被监管部门立案调查，或在报告编制日前一年内受到公开谴责、处罚的情形。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151,097.18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270,569.88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17,074.26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1,373,217.66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1,811,958.98</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D42F0B">
        <w:tc>
          <w:tcPr>
            <w:tcW w:w="1808" w:type="dxa"/>
            <w:vAlign w:val="center"/>
          </w:tcPr>
          <w:p w:rsidR="00D42F0B" w:rsidRDefault="00502187">
            <w:pPr>
              <w:jc w:val="center"/>
            </w:pPr>
            <w:r>
              <w:rPr>
                <w:color w:val="000000"/>
                <w:kern w:val="0"/>
                <w:sz w:val="24"/>
                <w:szCs w:val="24"/>
              </w:rPr>
              <w:t>1</w:t>
            </w:r>
          </w:p>
        </w:tc>
        <w:tc>
          <w:tcPr>
            <w:tcW w:w="1729" w:type="dxa"/>
            <w:vAlign w:val="center"/>
          </w:tcPr>
          <w:p w:rsidR="00D42F0B" w:rsidRDefault="00502187">
            <w:pPr>
              <w:jc w:val="center"/>
            </w:pPr>
            <w:r>
              <w:rPr>
                <w:color w:val="000000"/>
                <w:kern w:val="0"/>
                <w:sz w:val="24"/>
                <w:szCs w:val="24"/>
              </w:rPr>
              <w:t>128045</w:t>
            </w:r>
          </w:p>
        </w:tc>
        <w:tc>
          <w:tcPr>
            <w:tcW w:w="1658" w:type="dxa"/>
            <w:vAlign w:val="center"/>
          </w:tcPr>
          <w:p w:rsidR="00D42F0B" w:rsidRDefault="00502187">
            <w:pPr>
              <w:jc w:val="center"/>
            </w:pPr>
            <w:r>
              <w:rPr>
                <w:color w:val="000000"/>
                <w:kern w:val="0"/>
                <w:sz w:val="24"/>
                <w:szCs w:val="24"/>
              </w:rPr>
              <w:t>机电转债</w:t>
            </w:r>
          </w:p>
        </w:tc>
        <w:tc>
          <w:tcPr>
            <w:tcW w:w="1697" w:type="dxa"/>
            <w:vAlign w:val="center"/>
          </w:tcPr>
          <w:p w:rsidR="00D42F0B" w:rsidRDefault="00502187">
            <w:pPr>
              <w:jc w:val="right"/>
            </w:pPr>
            <w:r>
              <w:rPr>
                <w:color w:val="000000"/>
                <w:kern w:val="0"/>
                <w:sz w:val="24"/>
                <w:szCs w:val="24"/>
              </w:rPr>
              <w:t>2,419,205.40</w:t>
            </w:r>
          </w:p>
        </w:tc>
        <w:tc>
          <w:tcPr>
            <w:tcW w:w="1621" w:type="dxa"/>
            <w:vAlign w:val="center"/>
          </w:tcPr>
          <w:p w:rsidR="00D42F0B" w:rsidRDefault="00502187">
            <w:pPr>
              <w:jc w:val="right"/>
            </w:pPr>
            <w:r>
              <w:rPr>
                <w:color w:val="000000"/>
                <w:kern w:val="0"/>
                <w:sz w:val="24"/>
                <w:szCs w:val="24"/>
              </w:rPr>
              <w:t>0.49</w:t>
            </w:r>
          </w:p>
        </w:tc>
      </w:tr>
      <w:tr w:rsidR="00D42F0B">
        <w:tc>
          <w:tcPr>
            <w:tcW w:w="1808" w:type="dxa"/>
            <w:vAlign w:val="center"/>
          </w:tcPr>
          <w:p w:rsidR="00D42F0B" w:rsidRDefault="00502187">
            <w:pPr>
              <w:jc w:val="center"/>
            </w:pPr>
            <w:r>
              <w:rPr>
                <w:color w:val="000000"/>
                <w:kern w:val="0"/>
                <w:sz w:val="24"/>
                <w:szCs w:val="24"/>
              </w:rPr>
              <w:t>2</w:t>
            </w:r>
          </w:p>
        </w:tc>
        <w:tc>
          <w:tcPr>
            <w:tcW w:w="1729" w:type="dxa"/>
            <w:vAlign w:val="center"/>
          </w:tcPr>
          <w:p w:rsidR="00D42F0B" w:rsidRDefault="00502187">
            <w:pPr>
              <w:jc w:val="center"/>
            </w:pPr>
            <w:r>
              <w:rPr>
                <w:color w:val="000000"/>
                <w:kern w:val="0"/>
                <w:sz w:val="24"/>
                <w:szCs w:val="24"/>
              </w:rPr>
              <w:t>113021</w:t>
            </w:r>
          </w:p>
        </w:tc>
        <w:tc>
          <w:tcPr>
            <w:tcW w:w="1658" w:type="dxa"/>
            <w:vAlign w:val="center"/>
          </w:tcPr>
          <w:p w:rsidR="00D42F0B" w:rsidRDefault="00502187">
            <w:pPr>
              <w:jc w:val="center"/>
            </w:pPr>
            <w:r>
              <w:rPr>
                <w:color w:val="000000"/>
                <w:kern w:val="0"/>
                <w:sz w:val="24"/>
                <w:szCs w:val="24"/>
              </w:rPr>
              <w:t>中信转债</w:t>
            </w:r>
          </w:p>
        </w:tc>
        <w:tc>
          <w:tcPr>
            <w:tcW w:w="1697" w:type="dxa"/>
            <w:vAlign w:val="center"/>
          </w:tcPr>
          <w:p w:rsidR="00D42F0B" w:rsidRDefault="00502187">
            <w:pPr>
              <w:jc w:val="right"/>
            </w:pPr>
            <w:r>
              <w:rPr>
                <w:color w:val="000000"/>
                <w:kern w:val="0"/>
                <w:sz w:val="24"/>
                <w:szCs w:val="24"/>
              </w:rPr>
              <w:t>284,270.00</w:t>
            </w:r>
          </w:p>
        </w:tc>
        <w:tc>
          <w:tcPr>
            <w:tcW w:w="1621" w:type="dxa"/>
            <w:vAlign w:val="center"/>
          </w:tcPr>
          <w:p w:rsidR="00D42F0B" w:rsidRDefault="00502187">
            <w:pPr>
              <w:jc w:val="right"/>
            </w:pPr>
            <w:r>
              <w:rPr>
                <w:color w:val="000000"/>
                <w:kern w:val="0"/>
                <w:sz w:val="24"/>
                <w:szCs w:val="24"/>
              </w:rPr>
              <w:t>0.06</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648,602,188.05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92,275,279.57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314,782,823.27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426,094,644.35</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D42F0B" w:rsidRDefault="00502187">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中国证监会准予易方达现代服务业灵活配置混合型证券投资基金注册的文件；</w:t>
      </w:r>
    </w:p>
    <w:p w:rsidR="00D42F0B" w:rsidRDefault="00502187">
      <w:pPr>
        <w:spacing w:line="360" w:lineRule="auto"/>
        <w:ind w:firstLineChars="200" w:firstLine="480"/>
        <w:rPr>
          <w:color w:val="000000"/>
          <w:sz w:val="24"/>
          <w:szCs w:val="24"/>
        </w:rPr>
      </w:pPr>
      <w:r>
        <w:rPr>
          <w:color w:val="000000"/>
          <w:sz w:val="24"/>
          <w:szCs w:val="24"/>
        </w:rPr>
        <w:t>2.</w:t>
      </w:r>
      <w:r>
        <w:rPr>
          <w:color w:val="000000"/>
          <w:sz w:val="24"/>
          <w:szCs w:val="24"/>
        </w:rPr>
        <w:t>《易方达现代服务业灵活配置混合型证券投资基金基金合同》；</w:t>
      </w:r>
    </w:p>
    <w:p w:rsidR="00D42F0B" w:rsidRDefault="00502187">
      <w:pPr>
        <w:spacing w:line="360" w:lineRule="auto"/>
        <w:ind w:firstLineChars="200" w:firstLine="480"/>
        <w:rPr>
          <w:color w:val="000000"/>
          <w:sz w:val="24"/>
          <w:szCs w:val="24"/>
        </w:rPr>
      </w:pPr>
      <w:r>
        <w:rPr>
          <w:color w:val="000000"/>
          <w:sz w:val="24"/>
          <w:szCs w:val="24"/>
        </w:rPr>
        <w:t>3.</w:t>
      </w:r>
      <w:r>
        <w:rPr>
          <w:color w:val="000000"/>
          <w:sz w:val="24"/>
          <w:szCs w:val="24"/>
        </w:rPr>
        <w:t>《易方达现代服务业灵活配置混合型证券投资基金托管协议》；</w:t>
      </w:r>
    </w:p>
    <w:p w:rsidR="00D42F0B" w:rsidRDefault="00502187">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E8" w:rsidRDefault="002D79E8" w:rsidP="00876D65">
      <w:r>
        <w:separator/>
      </w:r>
    </w:p>
  </w:endnote>
  <w:endnote w:type="continuationSeparator" w:id="0">
    <w:p w:rsidR="002D79E8" w:rsidRDefault="002D79E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A0A84">
      <w:rPr>
        <w:rStyle w:val="a7"/>
        <w:noProof/>
      </w:rPr>
      <w:t>1</w:t>
    </w:r>
    <w:r>
      <w:rPr>
        <w:rStyle w:val="a7"/>
      </w:rPr>
      <w:fldChar w:fldCharType="end"/>
    </w:r>
    <w:r>
      <w:rPr>
        <w:rStyle w:val="a7"/>
        <w:rFonts w:hint="eastAsia"/>
      </w:rPr>
      <w:t>页共</w:t>
    </w:r>
    <w:r w:rsidR="002D79E8">
      <w:rPr>
        <w:rStyle w:val="a7"/>
        <w:noProof/>
      </w:rPr>
      <w:fldChar w:fldCharType="begin"/>
    </w:r>
    <w:r w:rsidR="002D79E8">
      <w:rPr>
        <w:rStyle w:val="a7"/>
        <w:noProof/>
      </w:rPr>
      <w:instrText xml:space="preserve"> NUMPAGES  \* Arabic  \* MERGEFORMAT </w:instrText>
    </w:r>
    <w:r w:rsidR="002D79E8">
      <w:rPr>
        <w:rStyle w:val="a7"/>
        <w:noProof/>
      </w:rPr>
      <w:fldChar w:fldCharType="separate"/>
    </w:r>
    <w:r w:rsidR="000A0A84">
      <w:rPr>
        <w:rStyle w:val="a7"/>
        <w:noProof/>
      </w:rPr>
      <w:t>6</w:t>
    </w:r>
    <w:r w:rsidR="002D79E8">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A0A84">
      <w:rPr>
        <w:rStyle w:val="a7"/>
        <w:noProof/>
      </w:rPr>
      <w:t>5</w:t>
    </w:r>
    <w:r>
      <w:rPr>
        <w:rStyle w:val="a7"/>
      </w:rPr>
      <w:fldChar w:fldCharType="end"/>
    </w:r>
    <w:r>
      <w:rPr>
        <w:rStyle w:val="a7"/>
        <w:rFonts w:hint="eastAsia"/>
      </w:rPr>
      <w:t>页共</w:t>
    </w:r>
    <w:r w:rsidR="000A0A84">
      <w:fldChar w:fldCharType="begin"/>
    </w:r>
    <w:r w:rsidR="000A0A84">
      <w:instrText xml:space="preserve"> NUMPAGES  \* Arabic  \* MERGEFORMAT </w:instrText>
    </w:r>
    <w:r w:rsidR="000A0A84">
      <w:fldChar w:fldCharType="separate"/>
    </w:r>
    <w:r w:rsidR="000A0A84" w:rsidRPr="000A0A84">
      <w:rPr>
        <w:rStyle w:val="a7"/>
        <w:noProof/>
      </w:rPr>
      <w:t>5</w:t>
    </w:r>
    <w:r w:rsidR="000A0A84">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E8" w:rsidRDefault="002D79E8" w:rsidP="00876D65">
      <w:r>
        <w:separator/>
      </w:r>
    </w:p>
  </w:footnote>
  <w:footnote w:type="continuationSeparator" w:id="0">
    <w:p w:rsidR="002D79E8" w:rsidRDefault="002D79E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易方达现代服务业灵活配置混合型证券投资基金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0A84"/>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D79E8"/>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2187"/>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3076"/>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2F0B"/>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5768AB33-C0CE-4570-B8F9-65D738DD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6252-A5F8-43FB-B5A8-81384E51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李维</cp:lastModifiedBy>
  <cp:revision>4</cp:revision>
  <dcterms:created xsi:type="dcterms:W3CDTF">2020-04-14T01:38:00Z</dcterms:created>
  <dcterms:modified xsi:type="dcterms:W3CDTF">2020-04-17T03:28:00Z</dcterms:modified>
</cp:coreProperties>
</file>