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易方达量化策略精选灵活配置混合型证券投资基金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2020年第1季度报告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2020年3月31日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中国建设银行股份有限公司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二〇二〇年四月二十一日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395962" w:rsidRDefault="009737AB">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95962" w:rsidRDefault="009737AB">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95962" w:rsidRDefault="009737AB">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95962" w:rsidRDefault="009737AB">
      <w:pPr>
        <w:spacing w:line="360" w:lineRule="auto"/>
        <w:ind w:firstLineChars="200" w:firstLine="480"/>
        <w:rPr>
          <w:color w:val="000000"/>
          <w:sz w:val="24"/>
        </w:rPr>
      </w:pPr>
      <w:r>
        <w:rPr>
          <w:color w:val="000000"/>
          <w:sz w:val="24"/>
        </w:rPr>
        <w:t>基金的过往业绩并不代表其未来表现。投资有风</w:t>
      </w:r>
      <w:r>
        <w:rPr>
          <w:color w:val="000000"/>
          <w:sz w:val="24"/>
        </w:rPr>
        <w:t>险，投资者在作出投资决策前应仔细阅读本基金的招募说明书。</w:t>
      </w:r>
      <w:r>
        <w:rPr>
          <w:color w:val="000000"/>
          <w:sz w:val="24"/>
        </w:rPr>
        <w:t xml:space="preserve"> </w:t>
      </w:r>
    </w:p>
    <w:p w:rsidR="00395962" w:rsidRDefault="009737AB">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2020</w:t>
      </w:r>
      <w:r w:rsidRPr="00C30CFF">
        <w:rPr>
          <w:color w:val="000000"/>
          <w:sz w:val="24"/>
        </w:rPr>
        <w:t>年</w:t>
      </w:r>
      <w:r w:rsidRPr="00C30CFF">
        <w:rPr>
          <w:color w:val="000000"/>
          <w:sz w:val="24"/>
        </w:rPr>
        <w:t>1</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3</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易方达量化策略精选混合</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002216</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2017</w:t>
            </w:r>
            <w:r w:rsidRPr="00C30CFF">
              <w:rPr>
                <w:color w:val="000000"/>
                <w:kern w:val="0"/>
                <w:sz w:val="24"/>
              </w:rPr>
              <w:t>年</w:t>
            </w:r>
            <w:r w:rsidRPr="00C30CFF">
              <w:rPr>
                <w:color w:val="000000"/>
                <w:kern w:val="0"/>
                <w:sz w:val="24"/>
              </w:rPr>
              <w:t>12</w:t>
            </w:r>
            <w:r w:rsidRPr="00C30CFF">
              <w:rPr>
                <w:color w:val="000000"/>
                <w:kern w:val="0"/>
                <w:sz w:val="24"/>
              </w:rPr>
              <w:t>月</w:t>
            </w:r>
            <w:r w:rsidRPr="00C30CFF">
              <w:rPr>
                <w:color w:val="000000"/>
                <w:kern w:val="0"/>
                <w:sz w:val="24"/>
              </w:rPr>
              <w:t>19</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101,811,408.31</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本基金采用量化策略进行投资组合管理，追求基金资产的长期稳健增值。</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量化策略是指根据金融市场历史数据，借助量化模型，进行金融市场的分析、判断和交易的策略。本基金基于不同市场情况，精选多种量化模型进行投资，运用的量化模型包括但不限于量化资产配置模型、多因子量化模型、行业轮动模型、事件超额收益模型。精选多种量化模型进行投资的原因，一是</w:t>
            </w:r>
            <w:r w:rsidRPr="00C30CFF">
              <w:rPr>
                <w:color w:val="000000"/>
                <w:kern w:val="0"/>
                <w:sz w:val="24"/>
              </w:rPr>
              <w:lastRenderedPageBreak/>
              <w:t>建立多种量化策略可以弥补单一量化策略失效的可能，并形成互补，保证整体投资业绩的持续性；二是精选多种量化策略进行投资，量化策略之间相关性越低，组合的整体风险越分散，有利于追求基金资产的长期稳健增值。</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沪深</w:t>
            </w:r>
            <w:r w:rsidRPr="00C30CFF">
              <w:rPr>
                <w:color w:val="000000"/>
                <w:kern w:val="0"/>
                <w:sz w:val="24"/>
              </w:rPr>
              <w:t>300</w:t>
            </w:r>
            <w:r w:rsidRPr="00C30CFF">
              <w:rPr>
                <w:color w:val="000000"/>
                <w:kern w:val="0"/>
                <w:sz w:val="24"/>
              </w:rPr>
              <w:t>指数收益率</w:t>
            </w:r>
            <w:r w:rsidRPr="00C30CFF">
              <w:rPr>
                <w:color w:val="000000"/>
                <w:kern w:val="0"/>
                <w:sz w:val="24"/>
              </w:rPr>
              <w:t>×60% +</w:t>
            </w:r>
            <w:r w:rsidRPr="00C30CFF">
              <w:rPr>
                <w:color w:val="000000"/>
                <w:kern w:val="0"/>
                <w:sz w:val="24"/>
              </w:rPr>
              <w:t>上证国债指数收益率</w:t>
            </w:r>
            <w:r w:rsidRPr="00C30CFF">
              <w:rPr>
                <w:color w:val="000000"/>
                <w:kern w:val="0"/>
                <w:sz w:val="24"/>
              </w:rPr>
              <w:t>×40%</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本基金为混合型基金，理论上其预期风险与预期收益水平低于股票型基金，高于债券型基金和货币市场基金。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中国建设银行股份有限公司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易方达量化策略精选混合</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易方达量化策略精选混合</w:t>
            </w:r>
            <w:r w:rsidRPr="00C30CFF">
              <w:rPr>
                <w:sz w:val="24"/>
              </w:rPr>
              <w:t>C</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002216</w:t>
            </w:r>
          </w:p>
        </w:tc>
        <w:tc>
          <w:tcPr>
            <w:tcW w:w="2790" w:type="dxa"/>
            <w:vAlign w:val="center"/>
          </w:tcPr>
          <w:p w:rsidR="00F016DD" w:rsidRPr="00C30CFF" w:rsidRDefault="00F016DD" w:rsidP="00950413">
            <w:pPr>
              <w:jc w:val="left"/>
              <w:rPr>
                <w:color w:val="000000"/>
                <w:sz w:val="24"/>
              </w:rPr>
            </w:pPr>
            <w:r w:rsidRPr="00C30CFF">
              <w:rPr>
                <w:color w:val="000000"/>
                <w:sz w:val="24"/>
              </w:rPr>
              <w:t>002217</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72,391,562.65</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29,419,845.66</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1</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3</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易方达量化策略精选混合</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易方达量化策略精选混合</w:t>
            </w:r>
            <w:r w:rsidRPr="00FA472B">
              <w:rPr>
                <w:sz w:val="24"/>
              </w:rPr>
              <w:t>C</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2,313,370.61</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758,696.20</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-240,019.75</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-1,334,654.28</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-0.0032</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-0.0477</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76,823,218.15</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30,867,738.63</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1.061</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1.049</w:t>
            </w:r>
          </w:p>
        </w:tc>
      </w:tr>
    </w:tbl>
    <w:p w:rsidR="00395962" w:rsidRDefault="009737AB">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易方达量化策略精选混合A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395962">
        <w:tc>
          <w:tcPr>
            <w:tcW w:w="0" w:type="auto"/>
            <w:vAlign w:val="center"/>
          </w:tcPr>
          <w:p w:rsidR="00395962" w:rsidRDefault="009737AB">
            <w:pPr>
              <w:jc w:val="left"/>
            </w:pPr>
            <w:r>
              <w:rPr>
                <w:color w:val="000000"/>
                <w:sz w:val="24"/>
              </w:rPr>
              <w:t>过去三个月</w:t>
            </w:r>
          </w:p>
        </w:tc>
        <w:tc>
          <w:tcPr>
            <w:tcW w:w="0" w:type="auto"/>
            <w:vAlign w:val="center"/>
          </w:tcPr>
          <w:p w:rsidR="00395962" w:rsidRDefault="009737AB">
            <w:pPr>
              <w:jc w:val="center"/>
            </w:pPr>
            <w:r>
              <w:rPr>
                <w:color w:val="000000"/>
                <w:sz w:val="24"/>
              </w:rPr>
              <w:t>-0.66%</w:t>
            </w:r>
          </w:p>
        </w:tc>
        <w:tc>
          <w:tcPr>
            <w:tcW w:w="0" w:type="auto"/>
            <w:vAlign w:val="center"/>
          </w:tcPr>
          <w:p w:rsidR="00395962" w:rsidRDefault="009737AB">
            <w:pPr>
              <w:jc w:val="center"/>
            </w:pPr>
            <w:r>
              <w:rPr>
                <w:color w:val="000000"/>
                <w:sz w:val="24"/>
              </w:rPr>
              <w:t>2.06%</w:t>
            </w:r>
          </w:p>
        </w:tc>
        <w:tc>
          <w:tcPr>
            <w:tcW w:w="0" w:type="auto"/>
            <w:vAlign w:val="center"/>
          </w:tcPr>
          <w:p w:rsidR="00395962" w:rsidRDefault="009737AB">
            <w:pPr>
              <w:jc w:val="center"/>
            </w:pPr>
            <w:r>
              <w:rPr>
                <w:color w:val="000000"/>
                <w:sz w:val="24"/>
              </w:rPr>
              <w:t>-5.01%</w:t>
            </w:r>
          </w:p>
        </w:tc>
        <w:tc>
          <w:tcPr>
            <w:tcW w:w="0" w:type="auto"/>
            <w:vAlign w:val="center"/>
          </w:tcPr>
          <w:p w:rsidR="00395962" w:rsidRDefault="009737AB">
            <w:pPr>
              <w:jc w:val="center"/>
            </w:pPr>
            <w:r>
              <w:rPr>
                <w:color w:val="000000"/>
                <w:sz w:val="24"/>
              </w:rPr>
              <w:t>1.16%</w:t>
            </w:r>
          </w:p>
        </w:tc>
        <w:tc>
          <w:tcPr>
            <w:tcW w:w="0" w:type="auto"/>
            <w:vAlign w:val="center"/>
          </w:tcPr>
          <w:p w:rsidR="00395962" w:rsidRDefault="009737AB">
            <w:pPr>
              <w:jc w:val="center"/>
            </w:pPr>
            <w:r>
              <w:rPr>
                <w:color w:val="000000"/>
                <w:sz w:val="24"/>
              </w:rPr>
              <w:t>4.35%</w:t>
            </w:r>
          </w:p>
        </w:tc>
        <w:tc>
          <w:tcPr>
            <w:tcW w:w="0" w:type="auto"/>
            <w:vAlign w:val="center"/>
          </w:tcPr>
          <w:p w:rsidR="00395962" w:rsidRDefault="009737AB">
            <w:pPr>
              <w:jc w:val="center"/>
            </w:pPr>
            <w:r>
              <w:rPr>
                <w:color w:val="000000"/>
                <w:sz w:val="24"/>
              </w:rPr>
              <w:t>0.90%</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易方达量化策略精选混合C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395962">
        <w:tc>
          <w:tcPr>
            <w:tcW w:w="0" w:type="auto"/>
            <w:vAlign w:val="center"/>
          </w:tcPr>
          <w:p w:rsidR="00395962" w:rsidRDefault="009737AB">
            <w:pPr>
              <w:jc w:val="left"/>
            </w:pPr>
            <w:r>
              <w:rPr>
                <w:color w:val="000000"/>
                <w:sz w:val="24"/>
              </w:rPr>
              <w:t>过去三个月</w:t>
            </w:r>
          </w:p>
        </w:tc>
        <w:tc>
          <w:tcPr>
            <w:tcW w:w="0" w:type="auto"/>
            <w:vAlign w:val="center"/>
          </w:tcPr>
          <w:p w:rsidR="00395962" w:rsidRDefault="009737AB">
            <w:pPr>
              <w:jc w:val="center"/>
            </w:pPr>
            <w:r>
              <w:rPr>
                <w:color w:val="000000"/>
                <w:sz w:val="24"/>
              </w:rPr>
              <w:t>-0.76%</w:t>
            </w:r>
          </w:p>
        </w:tc>
        <w:tc>
          <w:tcPr>
            <w:tcW w:w="0" w:type="auto"/>
            <w:vAlign w:val="center"/>
          </w:tcPr>
          <w:p w:rsidR="00395962" w:rsidRDefault="009737AB">
            <w:pPr>
              <w:jc w:val="center"/>
            </w:pPr>
            <w:r>
              <w:rPr>
                <w:color w:val="000000"/>
                <w:sz w:val="24"/>
              </w:rPr>
              <w:t>2.06%</w:t>
            </w:r>
          </w:p>
        </w:tc>
        <w:tc>
          <w:tcPr>
            <w:tcW w:w="0" w:type="auto"/>
            <w:vAlign w:val="center"/>
          </w:tcPr>
          <w:p w:rsidR="00395962" w:rsidRDefault="009737AB">
            <w:pPr>
              <w:jc w:val="center"/>
            </w:pPr>
            <w:r>
              <w:rPr>
                <w:color w:val="000000"/>
                <w:sz w:val="24"/>
              </w:rPr>
              <w:t>-5.01%</w:t>
            </w:r>
          </w:p>
        </w:tc>
        <w:tc>
          <w:tcPr>
            <w:tcW w:w="0" w:type="auto"/>
            <w:vAlign w:val="center"/>
          </w:tcPr>
          <w:p w:rsidR="00395962" w:rsidRDefault="009737AB">
            <w:pPr>
              <w:jc w:val="center"/>
            </w:pPr>
            <w:r>
              <w:rPr>
                <w:color w:val="000000"/>
                <w:sz w:val="24"/>
              </w:rPr>
              <w:t>1.16%</w:t>
            </w:r>
          </w:p>
        </w:tc>
        <w:tc>
          <w:tcPr>
            <w:tcW w:w="0" w:type="auto"/>
            <w:vAlign w:val="center"/>
          </w:tcPr>
          <w:p w:rsidR="00395962" w:rsidRDefault="009737AB">
            <w:pPr>
              <w:jc w:val="center"/>
            </w:pPr>
            <w:r>
              <w:rPr>
                <w:color w:val="000000"/>
                <w:sz w:val="24"/>
              </w:rPr>
              <w:t>4.25%</w:t>
            </w:r>
          </w:p>
        </w:tc>
        <w:tc>
          <w:tcPr>
            <w:tcW w:w="0" w:type="auto"/>
            <w:vAlign w:val="center"/>
          </w:tcPr>
          <w:p w:rsidR="00395962" w:rsidRDefault="009737AB">
            <w:pPr>
              <w:jc w:val="center"/>
            </w:pPr>
            <w:r>
              <w:rPr>
                <w:color w:val="000000"/>
                <w:sz w:val="24"/>
              </w:rPr>
              <w:t>0.90%</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易方达量化策略精选灵活配置混合型证券投资基金</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2017</w:t>
      </w:r>
      <w:r w:rsidRPr="00526282">
        <w:rPr>
          <w:rFonts w:ascii="Times New Roman" w:hAnsi="Times New Roman"/>
          <w:sz w:val="24"/>
          <w:szCs w:val="24"/>
        </w:rPr>
        <w:t>年</w:t>
      </w:r>
      <w:r w:rsidRPr="00526282">
        <w:rPr>
          <w:rFonts w:ascii="Times New Roman" w:hAnsi="Times New Roman"/>
          <w:sz w:val="24"/>
          <w:szCs w:val="24"/>
        </w:rPr>
        <w:t>12</w:t>
      </w:r>
      <w:r w:rsidRPr="00526282">
        <w:rPr>
          <w:rFonts w:ascii="Times New Roman" w:hAnsi="Times New Roman"/>
          <w:sz w:val="24"/>
          <w:szCs w:val="24"/>
        </w:rPr>
        <w:t>月</w:t>
      </w:r>
      <w:r w:rsidRPr="00526282">
        <w:rPr>
          <w:rFonts w:ascii="Times New Roman" w:hAnsi="Times New Roman"/>
          <w:sz w:val="24"/>
          <w:szCs w:val="24"/>
        </w:rPr>
        <w:t>19</w:t>
      </w:r>
      <w:r w:rsidRPr="00526282">
        <w:rPr>
          <w:rFonts w:ascii="Times New Roman" w:hAnsi="Times New Roman"/>
          <w:sz w:val="24"/>
          <w:szCs w:val="24"/>
        </w:rPr>
        <w:t>日至</w:t>
      </w:r>
      <w:r w:rsidRPr="00526282">
        <w:rPr>
          <w:rFonts w:ascii="Times New Roman" w:hAnsi="Times New Roman"/>
          <w:sz w:val="24"/>
          <w:szCs w:val="24"/>
        </w:rPr>
        <w:t>2020</w:t>
      </w:r>
      <w:r w:rsidRPr="00526282">
        <w:rPr>
          <w:rFonts w:ascii="Times New Roman" w:hAnsi="Times New Roman"/>
          <w:sz w:val="24"/>
          <w:szCs w:val="24"/>
        </w:rPr>
        <w:t>年</w:t>
      </w:r>
      <w:r w:rsidRPr="00526282">
        <w:rPr>
          <w:rFonts w:ascii="Times New Roman" w:hAnsi="Times New Roman"/>
          <w:sz w:val="24"/>
          <w:szCs w:val="24"/>
        </w:rPr>
        <w:t>3</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易方达量化策略精选混合</w:t>
      </w:r>
      <w:r w:rsidRPr="00611CB2">
        <w:rPr>
          <w:color w:val="000000"/>
          <w:sz w:val="24"/>
        </w:rPr>
        <w:t>A</w:t>
      </w:r>
    </w:p>
    <w:p w:rsidR="00F016DD" w:rsidRPr="0078105B" w:rsidRDefault="009737AB"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易方达量化策略精选混合</w:t>
      </w:r>
      <w:r w:rsidRPr="00611CB2">
        <w:rPr>
          <w:color w:val="000000"/>
          <w:sz w:val="24"/>
        </w:rPr>
        <w:t>C</w:t>
      </w:r>
    </w:p>
    <w:p w:rsidR="00F016DD" w:rsidRPr="0078105B" w:rsidRDefault="009737AB"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6.10%</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4.90%</w:t>
      </w:r>
      <w:r w:rsidRPr="00DF18FE">
        <w:rPr>
          <w:color w:val="000000"/>
          <w:sz w:val="24"/>
        </w:rPr>
        <w:t>，同期业绩比较基准收益率为</w:t>
      </w:r>
      <w:r w:rsidRPr="00DF18FE">
        <w:rPr>
          <w:color w:val="000000"/>
          <w:sz w:val="24"/>
        </w:rPr>
        <w:t>1.38%</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395962">
        <w:tc>
          <w:tcPr>
            <w:tcW w:w="0" w:type="auto"/>
            <w:vAlign w:val="center"/>
          </w:tcPr>
          <w:p w:rsidR="00395962" w:rsidRDefault="009737AB">
            <w:pPr>
              <w:jc w:val="center"/>
            </w:pPr>
            <w:r>
              <w:rPr>
                <w:color w:val="000000"/>
                <w:sz w:val="24"/>
              </w:rPr>
              <w:t>官泽帆</w:t>
            </w:r>
          </w:p>
        </w:tc>
        <w:tc>
          <w:tcPr>
            <w:tcW w:w="0" w:type="auto"/>
            <w:vAlign w:val="center"/>
          </w:tcPr>
          <w:p w:rsidR="00395962" w:rsidRDefault="009737AB">
            <w:pPr>
              <w:jc w:val="left"/>
            </w:pPr>
            <w:r>
              <w:rPr>
                <w:color w:val="000000"/>
                <w:sz w:val="24"/>
              </w:rPr>
              <w:t>本基金的基金经理、易方达沪深</w:t>
            </w:r>
            <w:r>
              <w:rPr>
                <w:color w:val="000000"/>
                <w:sz w:val="24"/>
              </w:rPr>
              <w:t>300</w:t>
            </w:r>
            <w:r>
              <w:rPr>
                <w:color w:val="000000"/>
                <w:sz w:val="24"/>
              </w:rPr>
              <w:t>量化增强证券投资基金的基金经理、易方达易百智能量化策略灵活配置混合型证券投资基金的基金经理</w:t>
            </w:r>
          </w:p>
        </w:tc>
        <w:tc>
          <w:tcPr>
            <w:tcW w:w="0" w:type="auto"/>
            <w:vAlign w:val="center"/>
          </w:tcPr>
          <w:p w:rsidR="00395962" w:rsidRDefault="009737AB">
            <w:pPr>
              <w:jc w:val="center"/>
            </w:pPr>
            <w:r>
              <w:rPr>
                <w:color w:val="000000"/>
                <w:sz w:val="24"/>
              </w:rPr>
              <w:t>2017-12-19</w:t>
            </w:r>
          </w:p>
        </w:tc>
        <w:tc>
          <w:tcPr>
            <w:tcW w:w="0" w:type="auto"/>
            <w:vAlign w:val="center"/>
          </w:tcPr>
          <w:p w:rsidR="00395962" w:rsidRDefault="009737AB">
            <w:pPr>
              <w:jc w:val="center"/>
            </w:pPr>
            <w:r>
              <w:rPr>
                <w:color w:val="000000"/>
                <w:sz w:val="24"/>
              </w:rPr>
              <w:t>-</w:t>
            </w:r>
          </w:p>
        </w:tc>
        <w:tc>
          <w:tcPr>
            <w:tcW w:w="0" w:type="auto"/>
            <w:vAlign w:val="center"/>
          </w:tcPr>
          <w:p w:rsidR="00395962" w:rsidRDefault="009737AB">
            <w:pPr>
              <w:jc w:val="center"/>
            </w:pPr>
            <w:r>
              <w:rPr>
                <w:color w:val="000000"/>
                <w:sz w:val="24"/>
              </w:rPr>
              <w:t>10</w:t>
            </w:r>
            <w:r>
              <w:rPr>
                <w:color w:val="000000"/>
                <w:sz w:val="24"/>
              </w:rPr>
              <w:t>年</w:t>
            </w:r>
          </w:p>
        </w:tc>
        <w:tc>
          <w:tcPr>
            <w:tcW w:w="0" w:type="auto"/>
            <w:vAlign w:val="center"/>
          </w:tcPr>
          <w:p w:rsidR="00395962" w:rsidRDefault="009737AB">
            <w:r>
              <w:rPr>
                <w:color w:val="000000"/>
                <w:sz w:val="24"/>
              </w:rPr>
              <w:t>硕士研究生，具有基金从业资格。曾任招商基金管理有限公司投资开发工程师，摩根士丹利华鑫基金管理有限公司数量化研究员、基金经理助理，易方达基金管理有限公司易方达沪深</w:t>
            </w:r>
            <w:r>
              <w:rPr>
                <w:color w:val="000000"/>
                <w:sz w:val="24"/>
              </w:rPr>
              <w:t>300</w:t>
            </w:r>
            <w:r>
              <w:rPr>
                <w:color w:val="000000"/>
                <w:sz w:val="24"/>
              </w:rPr>
              <w:t>量化增强证券投资基金基金经理助理。</w:t>
            </w:r>
          </w:p>
        </w:tc>
      </w:tr>
      <w:tr w:rsidR="00395962">
        <w:tc>
          <w:tcPr>
            <w:tcW w:w="0" w:type="auto"/>
            <w:vAlign w:val="center"/>
          </w:tcPr>
          <w:p w:rsidR="00395962" w:rsidRDefault="009737AB">
            <w:pPr>
              <w:jc w:val="center"/>
            </w:pPr>
            <w:r>
              <w:rPr>
                <w:color w:val="000000"/>
                <w:sz w:val="24"/>
              </w:rPr>
              <w:t>HUANG JIANSHENG</w:t>
            </w:r>
            <w:r>
              <w:rPr>
                <w:color w:val="000000"/>
                <w:sz w:val="24"/>
              </w:rPr>
              <w:t>（黄健生）</w:t>
            </w:r>
          </w:p>
        </w:tc>
        <w:tc>
          <w:tcPr>
            <w:tcW w:w="0" w:type="auto"/>
            <w:vAlign w:val="center"/>
          </w:tcPr>
          <w:p w:rsidR="00395962" w:rsidRDefault="009737AB">
            <w:pPr>
              <w:jc w:val="left"/>
            </w:pPr>
            <w:r>
              <w:rPr>
                <w:color w:val="000000"/>
                <w:sz w:val="24"/>
              </w:rPr>
              <w:t>本基金的基金经理、易方达沪深</w:t>
            </w:r>
            <w:r>
              <w:rPr>
                <w:color w:val="000000"/>
                <w:sz w:val="24"/>
              </w:rPr>
              <w:t>300</w:t>
            </w:r>
            <w:r>
              <w:rPr>
                <w:color w:val="000000"/>
                <w:sz w:val="24"/>
              </w:rPr>
              <w:t>量化增强证券投资基金的基金经理、量化投资部总经理</w:t>
            </w:r>
          </w:p>
        </w:tc>
        <w:tc>
          <w:tcPr>
            <w:tcW w:w="0" w:type="auto"/>
            <w:vAlign w:val="center"/>
          </w:tcPr>
          <w:p w:rsidR="00395962" w:rsidRDefault="009737AB">
            <w:pPr>
              <w:jc w:val="center"/>
            </w:pPr>
            <w:r>
              <w:rPr>
                <w:color w:val="000000"/>
                <w:sz w:val="24"/>
              </w:rPr>
              <w:t>2020-03-12</w:t>
            </w:r>
          </w:p>
        </w:tc>
        <w:tc>
          <w:tcPr>
            <w:tcW w:w="0" w:type="auto"/>
            <w:vAlign w:val="center"/>
          </w:tcPr>
          <w:p w:rsidR="00395962" w:rsidRDefault="009737AB">
            <w:pPr>
              <w:jc w:val="center"/>
            </w:pPr>
            <w:r>
              <w:rPr>
                <w:color w:val="000000"/>
                <w:sz w:val="24"/>
              </w:rPr>
              <w:t>-</w:t>
            </w:r>
          </w:p>
        </w:tc>
        <w:tc>
          <w:tcPr>
            <w:tcW w:w="0" w:type="auto"/>
            <w:vAlign w:val="center"/>
          </w:tcPr>
          <w:p w:rsidR="00395962" w:rsidRDefault="009737AB">
            <w:pPr>
              <w:jc w:val="center"/>
            </w:pPr>
            <w:r>
              <w:rPr>
                <w:color w:val="000000"/>
                <w:sz w:val="24"/>
              </w:rPr>
              <w:t>9</w:t>
            </w:r>
            <w:r>
              <w:rPr>
                <w:color w:val="000000"/>
                <w:sz w:val="24"/>
              </w:rPr>
              <w:t>年</w:t>
            </w:r>
          </w:p>
        </w:tc>
        <w:tc>
          <w:tcPr>
            <w:tcW w:w="0" w:type="auto"/>
            <w:vAlign w:val="center"/>
          </w:tcPr>
          <w:p w:rsidR="00395962" w:rsidRDefault="009737AB">
            <w:r>
              <w:rPr>
                <w:color w:val="000000"/>
                <w:sz w:val="24"/>
              </w:rPr>
              <w:t>加拿大籍，硕士研究生，具有基金从业资格。曾任美国</w:t>
            </w:r>
            <w:r>
              <w:rPr>
                <w:color w:val="000000"/>
                <w:sz w:val="24"/>
              </w:rPr>
              <w:t>Sun Microsystems</w:t>
            </w:r>
            <w:r>
              <w:rPr>
                <w:color w:val="000000"/>
                <w:sz w:val="24"/>
              </w:rPr>
              <w:t>资深软件工程师，美国</w:t>
            </w:r>
            <w:r>
              <w:rPr>
                <w:color w:val="000000"/>
                <w:sz w:val="24"/>
              </w:rPr>
              <w:t>GMN Capital/</w:t>
            </w:r>
            <w:r>
              <w:rPr>
                <w:color w:val="000000"/>
                <w:sz w:val="24"/>
              </w:rPr>
              <w:t>伦敦</w:t>
            </w:r>
            <w:r>
              <w:rPr>
                <w:color w:val="000000"/>
                <w:sz w:val="24"/>
              </w:rPr>
              <w:t>GSA Capital</w:t>
            </w:r>
            <w:r>
              <w:rPr>
                <w:color w:val="000000"/>
                <w:sz w:val="24"/>
              </w:rPr>
              <w:t>量化投资研究员，美国巴克莱全球投资者（</w:t>
            </w:r>
            <w:r>
              <w:rPr>
                <w:color w:val="000000"/>
                <w:sz w:val="24"/>
              </w:rPr>
              <w:t>Barclays Global Investors</w:t>
            </w:r>
            <w:r>
              <w:rPr>
                <w:color w:val="000000"/>
                <w:sz w:val="24"/>
              </w:rPr>
              <w:t>）量化研究员，加拿大阿尔伯塔投资管理公司副基金经理，华泰柏瑞基金管理有限公司量化投资部门总监、投资经理。</w:t>
            </w:r>
          </w:p>
        </w:tc>
      </w:tr>
    </w:tbl>
    <w:p w:rsidR="00395962" w:rsidRDefault="009737AB">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w:t>
      </w:r>
      <w:r>
        <w:rPr>
          <w:color w:val="000000"/>
          <w:sz w:val="24"/>
        </w:rPr>
        <w:t>别指根据公司决定确定的聘任日期和解聘日期。</w:t>
      </w:r>
    </w:p>
    <w:p w:rsidR="00F016DD" w:rsidRPr="00EA6415" w:rsidRDefault="00F016DD" w:rsidP="00DF18FE">
      <w:pPr>
        <w:spacing w:line="360" w:lineRule="auto"/>
        <w:ind w:firstLineChars="200" w:firstLine="480"/>
        <w:rPr>
          <w:color w:val="000000"/>
          <w:sz w:val="24"/>
        </w:rPr>
      </w:pPr>
      <w:r w:rsidRPr="00DF18FE">
        <w:rPr>
          <w:color w:val="000000"/>
          <w:sz w:val="24"/>
        </w:rPr>
        <w:t>2.</w:t>
      </w:r>
      <w:r w:rsidRPr="00DF18FE">
        <w:rPr>
          <w:color w:val="000000"/>
          <w:sz w:val="24"/>
        </w:rPr>
        <w:t>证券从业的含义遵从《证券业从业人员资格管理办法》的相关规定。</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395962" w:rsidRDefault="009737AB">
      <w:pPr>
        <w:spacing w:line="360" w:lineRule="auto"/>
        <w:ind w:firstLineChars="200" w:firstLine="480"/>
        <w:rPr>
          <w:color w:val="000000"/>
          <w:sz w:val="24"/>
        </w:rPr>
      </w:pPr>
      <w:r>
        <w:rPr>
          <w:color w:val="000000"/>
          <w:sz w:val="24"/>
        </w:rPr>
        <w:t>本报告期内，公司旗下所有投资组合参</w:t>
      </w:r>
      <w:r>
        <w:rPr>
          <w:color w:val="000000"/>
          <w:sz w:val="24"/>
        </w:rPr>
        <w:t>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395962" w:rsidRDefault="009737AB">
      <w:pPr>
        <w:spacing w:line="360" w:lineRule="auto"/>
        <w:ind w:firstLineChars="200" w:firstLine="480"/>
        <w:rPr>
          <w:color w:val="000000"/>
          <w:sz w:val="24"/>
        </w:rPr>
      </w:pPr>
      <w:r>
        <w:rPr>
          <w:color w:val="000000"/>
          <w:sz w:val="24"/>
        </w:rPr>
        <w:t>回顾本报告期，年初爆发的新冠疫情使得全国范围停工停产，致使国内经济生产活动下滑明显。从经济数据来看，投资方面，</w:t>
      </w:r>
      <w:r>
        <w:rPr>
          <w:color w:val="000000"/>
          <w:sz w:val="24"/>
        </w:rPr>
        <w:t>1-2</w:t>
      </w:r>
      <w:r>
        <w:rPr>
          <w:color w:val="000000"/>
          <w:sz w:val="24"/>
        </w:rPr>
        <w:t>月全国固定资产投资同比下降</w:t>
      </w:r>
      <w:r>
        <w:rPr>
          <w:color w:val="000000"/>
          <w:sz w:val="24"/>
        </w:rPr>
        <w:t>24.5%</w:t>
      </w:r>
      <w:r>
        <w:rPr>
          <w:color w:val="000000"/>
          <w:sz w:val="24"/>
        </w:rPr>
        <w:t>，其中基础设施投资同比下降</w:t>
      </w:r>
      <w:r>
        <w:rPr>
          <w:color w:val="000000"/>
          <w:sz w:val="24"/>
        </w:rPr>
        <w:t>30.3%</w:t>
      </w:r>
      <w:r>
        <w:rPr>
          <w:color w:val="000000"/>
          <w:sz w:val="24"/>
        </w:rPr>
        <w:t>，制造业投资同比下降</w:t>
      </w:r>
      <w:r>
        <w:rPr>
          <w:color w:val="000000"/>
          <w:sz w:val="24"/>
        </w:rPr>
        <w:t>31.5%</w:t>
      </w:r>
      <w:r>
        <w:rPr>
          <w:color w:val="000000"/>
          <w:sz w:val="24"/>
        </w:rPr>
        <w:t>，房地产开发投资同比下降</w:t>
      </w:r>
      <w:r>
        <w:rPr>
          <w:color w:val="000000"/>
          <w:sz w:val="24"/>
        </w:rPr>
        <w:t>16.3%</w:t>
      </w:r>
      <w:r>
        <w:rPr>
          <w:color w:val="000000"/>
          <w:sz w:val="24"/>
        </w:rPr>
        <w:t>；消费方面：</w:t>
      </w:r>
      <w:r>
        <w:rPr>
          <w:color w:val="000000"/>
          <w:sz w:val="24"/>
        </w:rPr>
        <w:t>1-2</w:t>
      </w:r>
      <w:r>
        <w:rPr>
          <w:color w:val="000000"/>
          <w:sz w:val="24"/>
        </w:rPr>
        <w:t>月社零增速同比下降</w:t>
      </w:r>
      <w:r>
        <w:rPr>
          <w:color w:val="000000"/>
          <w:sz w:val="24"/>
        </w:rPr>
        <w:t>20.5%</w:t>
      </w:r>
      <w:r>
        <w:rPr>
          <w:color w:val="000000"/>
          <w:sz w:val="24"/>
        </w:rPr>
        <w:t>。企业盈利方面，</w:t>
      </w:r>
      <w:r>
        <w:rPr>
          <w:color w:val="000000"/>
          <w:sz w:val="24"/>
        </w:rPr>
        <w:t>1-2</w:t>
      </w:r>
      <w:r>
        <w:rPr>
          <w:color w:val="000000"/>
          <w:sz w:val="24"/>
        </w:rPr>
        <w:t>月规上工业企业利润总额同比下降</w:t>
      </w:r>
      <w:r>
        <w:rPr>
          <w:color w:val="000000"/>
          <w:sz w:val="24"/>
        </w:rPr>
        <w:t>38.3%</w:t>
      </w:r>
      <w:r>
        <w:rPr>
          <w:color w:val="000000"/>
          <w:sz w:val="24"/>
        </w:rPr>
        <w:t>，量、价、利润率全部下行；</w:t>
      </w:r>
      <w:r>
        <w:rPr>
          <w:color w:val="000000"/>
          <w:sz w:val="24"/>
        </w:rPr>
        <w:t>2</w:t>
      </w:r>
      <w:r>
        <w:rPr>
          <w:color w:val="000000"/>
          <w:sz w:val="24"/>
        </w:rPr>
        <w:t>月</w:t>
      </w:r>
      <w:r>
        <w:rPr>
          <w:color w:val="000000"/>
          <w:sz w:val="24"/>
        </w:rPr>
        <w:t>PMI</w:t>
      </w:r>
      <w:r>
        <w:rPr>
          <w:color w:val="000000"/>
          <w:sz w:val="24"/>
        </w:rPr>
        <w:t>降至历史最低，仅</w:t>
      </w:r>
      <w:r>
        <w:rPr>
          <w:color w:val="000000"/>
          <w:sz w:val="24"/>
        </w:rPr>
        <w:t>35.7</w:t>
      </w:r>
      <w:r>
        <w:rPr>
          <w:color w:val="000000"/>
          <w:sz w:val="24"/>
        </w:rPr>
        <w:t>。</w:t>
      </w:r>
      <w:r>
        <w:rPr>
          <w:color w:val="000000"/>
          <w:sz w:val="24"/>
        </w:rPr>
        <w:t>3</w:t>
      </w:r>
      <w:r>
        <w:rPr>
          <w:color w:val="000000"/>
          <w:sz w:val="24"/>
        </w:rPr>
        <w:t>月以来，国内加速复工复产，除湖北等个别省份，其他省份复工率已超过</w:t>
      </w:r>
      <w:r>
        <w:rPr>
          <w:color w:val="000000"/>
          <w:sz w:val="24"/>
        </w:rPr>
        <w:t>90%</w:t>
      </w:r>
      <w:r>
        <w:rPr>
          <w:color w:val="000000"/>
          <w:sz w:val="24"/>
        </w:rPr>
        <w:t>，复工复产支撑</w:t>
      </w:r>
      <w:r>
        <w:rPr>
          <w:color w:val="000000"/>
          <w:sz w:val="24"/>
        </w:rPr>
        <w:t>3</w:t>
      </w:r>
      <w:r>
        <w:rPr>
          <w:color w:val="000000"/>
          <w:sz w:val="24"/>
        </w:rPr>
        <w:t>月</w:t>
      </w:r>
      <w:r>
        <w:rPr>
          <w:color w:val="000000"/>
          <w:sz w:val="24"/>
        </w:rPr>
        <w:t>PMI</w:t>
      </w:r>
      <w:r>
        <w:rPr>
          <w:color w:val="000000"/>
          <w:sz w:val="24"/>
        </w:rPr>
        <w:t>回升至</w:t>
      </w:r>
      <w:r>
        <w:rPr>
          <w:color w:val="000000"/>
          <w:sz w:val="24"/>
        </w:rPr>
        <w:t xml:space="preserve">52 </w:t>
      </w:r>
      <w:r>
        <w:rPr>
          <w:color w:val="000000"/>
          <w:sz w:val="24"/>
        </w:rPr>
        <w:t>，</w:t>
      </w:r>
      <w:r>
        <w:rPr>
          <w:color w:val="000000"/>
          <w:sz w:val="24"/>
        </w:rPr>
        <w:t>PMI</w:t>
      </w:r>
      <w:r>
        <w:rPr>
          <w:color w:val="000000"/>
          <w:sz w:val="24"/>
        </w:rPr>
        <w:t>生产和新订单指数显示生产和需求端均在出现改善。</w:t>
      </w:r>
      <w:r>
        <w:rPr>
          <w:color w:val="000000"/>
          <w:sz w:val="24"/>
        </w:rPr>
        <w:t xml:space="preserve"> </w:t>
      </w:r>
      <w:r>
        <w:rPr>
          <w:color w:val="000000"/>
          <w:sz w:val="24"/>
        </w:rPr>
        <w:t>与此同时，海外疫情逐步蔓延扩散，叠加石油价格冲击与美元流动性短缺，海外市场纷纷经历了罕见的暴跌，</w:t>
      </w:r>
      <w:r>
        <w:rPr>
          <w:color w:val="000000"/>
          <w:sz w:val="24"/>
        </w:rPr>
        <w:t>3</w:t>
      </w:r>
      <w:r>
        <w:rPr>
          <w:color w:val="000000"/>
          <w:sz w:val="24"/>
        </w:rPr>
        <w:t>月份主要发达市场指数普遍下跌超过</w:t>
      </w:r>
      <w:r>
        <w:rPr>
          <w:color w:val="000000"/>
          <w:sz w:val="24"/>
        </w:rPr>
        <w:t>20%</w:t>
      </w:r>
      <w:r>
        <w:rPr>
          <w:color w:val="000000"/>
          <w:sz w:val="24"/>
        </w:rPr>
        <w:t>，对国内投资者情绪造成一定的冲击。</w:t>
      </w:r>
    </w:p>
    <w:p w:rsidR="00395962" w:rsidRDefault="009737AB">
      <w:pPr>
        <w:spacing w:line="360" w:lineRule="auto"/>
        <w:ind w:firstLineChars="200" w:firstLine="480"/>
        <w:rPr>
          <w:color w:val="000000"/>
          <w:sz w:val="24"/>
        </w:rPr>
      </w:pPr>
      <w:r>
        <w:rPr>
          <w:color w:val="000000"/>
          <w:sz w:val="24"/>
        </w:rPr>
        <w:t>报告期内，主流市场宽基指数在风格上分化明显，上证综指下跌</w:t>
      </w:r>
      <w:r>
        <w:rPr>
          <w:color w:val="000000"/>
          <w:sz w:val="24"/>
        </w:rPr>
        <w:t>9.83%</w:t>
      </w:r>
      <w:r>
        <w:rPr>
          <w:color w:val="000000"/>
          <w:sz w:val="24"/>
        </w:rPr>
        <w:t>，沪深</w:t>
      </w:r>
      <w:r>
        <w:rPr>
          <w:color w:val="000000"/>
          <w:sz w:val="24"/>
        </w:rPr>
        <w:t>300</w:t>
      </w:r>
      <w:r>
        <w:rPr>
          <w:color w:val="000000"/>
          <w:sz w:val="24"/>
        </w:rPr>
        <w:t>下跌</w:t>
      </w:r>
      <w:r>
        <w:rPr>
          <w:color w:val="000000"/>
          <w:sz w:val="24"/>
        </w:rPr>
        <w:t>10.02%</w:t>
      </w:r>
      <w:r>
        <w:rPr>
          <w:color w:val="000000"/>
          <w:sz w:val="24"/>
        </w:rPr>
        <w:t>，中证</w:t>
      </w:r>
      <w:r>
        <w:rPr>
          <w:color w:val="000000"/>
          <w:sz w:val="24"/>
        </w:rPr>
        <w:t>500</w:t>
      </w:r>
      <w:r>
        <w:rPr>
          <w:color w:val="000000"/>
          <w:sz w:val="24"/>
        </w:rPr>
        <w:t>下跌</w:t>
      </w:r>
      <w:r>
        <w:rPr>
          <w:color w:val="000000"/>
          <w:sz w:val="24"/>
        </w:rPr>
        <w:t>4.29%</w:t>
      </w:r>
      <w:r>
        <w:rPr>
          <w:color w:val="000000"/>
          <w:sz w:val="24"/>
        </w:rPr>
        <w:t>，中证</w:t>
      </w:r>
      <w:r>
        <w:rPr>
          <w:color w:val="000000"/>
          <w:sz w:val="24"/>
        </w:rPr>
        <w:t>1000</w:t>
      </w:r>
      <w:r>
        <w:rPr>
          <w:color w:val="000000"/>
          <w:sz w:val="24"/>
        </w:rPr>
        <w:t>下跌</w:t>
      </w:r>
      <w:r>
        <w:rPr>
          <w:color w:val="000000"/>
          <w:sz w:val="24"/>
        </w:rPr>
        <w:t>2.51%</w:t>
      </w:r>
      <w:r>
        <w:rPr>
          <w:color w:val="000000"/>
          <w:sz w:val="24"/>
        </w:rPr>
        <w:t>，创业板指上涨</w:t>
      </w:r>
      <w:r>
        <w:rPr>
          <w:color w:val="000000"/>
          <w:sz w:val="24"/>
        </w:rPr>
        <w:t>4.10%</w:t>
      </w:r>
      <w:r>
        <w:rPr>
          <w:color w:val="000000"/>
          <w:sz w:val="24"/>
        </w:rPr>
        <w:t>，市场成长风格表现较为领先。从行业结构上来看，农林牧渔、医药生物、计算机、通信等累计涨幅靠前，</w:t>
      </w:r>
      <w:r>
        <w:rPr>
          <w:color w:val="000000"/>
          <w:sz w:val="24"/>
        </w:rPr>
        <w:t>且均为正收益；休闲服务、采掘、家用电器、非银金融等表现相对靠后，其中休闲服务受疫情影响突出，累计跌幅达</w:t>
      </w:r>
      <w:r>
        <w:rPr>
          <w:color w:val="000000"/>
          <w:sz w:val="24"/>
        </w:rPr>
        <w:t>20.08%</w:t>
      </w:r>
      <w:r>
        <w:rPr>
          <w:color w:val="000000"/>
          <w:sz w:val="24"/>
        </w:rPr>
        <w:t>。从市场成交量来看，整体流动性改善明显，但风险偏好随着疫情影响深入而逐步走低。在选股因子方面，多数因子波动明显加大，但受益于市场整体交投活跃程度有所上升，整体累计收益趋正，为组合超额收益提供一定的正贡献。</w:t>
      </w:r>
    </w:p>
    <w:p w:rsidR="00F016DD" w:rsidRPr="00DF18FE" w:rsidRDefault="00F016DD" w:rsidP="00DF18FE">
      <w:pPr>
        <w:spacing w:line="360" w:lineRule="auto"/>
        <w:ind w:firstLineChars="200" w:firstLine="480"/>
        <w:rPr>
          <w:color w:val="000000"/>
          <w:sz w:val="24"/>
        </w:rPr>
      </w:pPr>
      <w:r w:rsidRPr="00DF18FE">
        <w:rPr>
          <w:color w:val="000000"/>
          <w:sz w:val="24"/>
        </w:rPr>
        <w:t>报告期内，本基金在行业方面顺应市场风格趋势均衡配置，其中电子、医药生物、食品饮料、银行等行业权重相对较高，在选股方面依托量化选股模型，立足长期投资逻辑，优选经营稳健、盈利质量高的个股。本基金将继续坚持采用基本面量化模型，以长期稳健收益为目标优化策略模型，力争为投资人创造优良的投资回报。</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1.061</w:t>
      </w:r>
      <w:r w:rsidRPr="00DF18FE">
        <w:rPr>
          <w:color w:val="000000"/>
          <w:sz w:val="24"/>
        </w:rPr>
        <w:t>元，本报告期份额净值增长率为</w:t>
      </w:r>
      <w:r w:rsidRPr="00DF18FE">
        <w:rPr>
          <w:color w:val="000000"/>
          <w:sz w:val="24"/>
        </w:rPr>
        <w:t>-0.66%</w:t>
      </w:r>
      <w:r w:rsidRPr="00DF18FE">
        <w:rPr>
          <w:color w:val="000000"/>
          <w:sz w:val="24"/>
        </w:rPr>
        <w:t>；</w:t>
      </w:r>
      <w:r w:rsidRPr="00DF18FE">
        <w:rPr>
          <w:color w:val="000000"/>
          <w:sz w:val="24"/>
        </w:rPr>
        <w:t>C</w:t>
      </w:r>
      <w:r w:rsidRPr="00DF18FE">
        <w:rPr>
          <w:color w:val="000000"/>
          <w:sz w:val="24"/>
        </w:rPr>
        <w:t>类基金份额净值为</w:t>
      </w:r>
      <w:r w:rsidRPr="00DF18FE">
        <w:rPr>
          <w:color w:val="000000"/>
          <w:sz w:val="24"/>
        </w:rPr>
        <w:t>1.049</w:t>
      </w:r>
      <w:r w:rsidRPr="00DF18FE">
        <w:rPr>
          <w:color w:val="000000"/>
          <w:sz w:val="24"/>
        </w:rPr>
        <w:t>元，本报告期份额净值增长率为</w:t>
      </w:r>
      <w:r w:rsidRPr="00DF18FE">
        <w:rPr>
          <w:color w:val="000000"/>
          <w:sz w:val="24"/>
        </w:rPr>
        <w:t>-0.76%</w:t>
      </w:r>
      <w:r w:rsidRPr="00DF18FE">
        <w:rPr>
          <w:color w:val="000000"/>
          <w:sz w:val="24"/>
        </w:rPr>
        <w:t>；同期业绩比较基准收益率为</w:t>
      </w:r>
      <w:r w:rsidRPr="00DF18FE">
        <w:rPr>
          <w:color w:val="000000"/>
          <w:sz w:val="24"/>
        </w:rPr>
        <w:t>-5.01%</w:t>
      </w:r>
      <w:r w:rsidRPr="00DF18FE">
        <w:rPr>
          <w:color w:val="000000"/>
          <w:sz w:val="24"/>
        </w:rPr>
        <w:t>，各项指标均在合同规定的目标控制范围之内。</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99,112,983.63</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91.51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99,112,983.63</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91.51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9,048,841.56</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8.36</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140,848.26</w:t>
            </w:r>
          </w:p>
        </w:tc>
        <w:tc>
          <w:tcPr>
            <w:tcW w:w="1843" w:type="dxa"/>
            <w:vAlign w:val="center"/>
          </w:tcPr>
          <w:p w:rsidR="00F016DD" w:rsidRPr="00FA472B" w:rsidRDefault="00F016DD" w:rsidP="00F4518C">
            <w:pPr>
              <w:jc w:val="right"/>
              <w:rPr>
                <w:color w:val="000000"/>
                <w:sz w:val="24"/>
              </w:rPr>
            </w:pPr>
            <w:r w:rsidRPr="00FA472B">
              <w:rPr>
                <w:color w:val="000000"/>
                <w:sz w:val="24"/>
              </w:rPr>
              <w:t>0.13</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108,302,673.45</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74AA3" w:rsidRPr="00C70969" w:rsidTr="0071134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占基金资产净值比例（％）</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659,934.00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0.61</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2,922,436.00</w:t>
            </w:r>
          </w:p>
          <w:p w:rsidR="00874AA3" w:rsidRPr="00C70969" w:rsidRDefault="00874AA3" w:rsidP="0071134C">
            <w:pPr>
              <w:jc w:val="right"/>
              <w:rPr>
                <w:rFonts w:eastAsiaTheme="minorEastAsia"/>
                <w:color w:val="000000" w:themeColor="text1"/>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2.71</w:t>
            </w:r>
          </w:p>
          <w:p w:rsidR="00874AA3" w:rsidRPr="00C70969" w:rsidRDefault="00874AA3" w:rsidP="0071134C">
            <w:pPr>
              <w:jc w:val="right"/>
              <w:rPr>
                <w:rFonts w:eastAsiaTheme="minorEastAsia"/>
                <w:color w:val="000000" w:themeColor="text1"/>
                <w:sz w:val="24"/>
              </w:rPr>
            </w:pP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59,373,533.36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55.13</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896,245.00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0.83</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1,995,110.00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1.85</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1,707,540.31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1.59</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1,918,511.00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1.78</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7,603,740.36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7.06</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13,247,632.47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12.30</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4,300,098.00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3.99</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412,757.00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0.38</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962,407.13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0.89</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261,316.00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0.24</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970,002.00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0.90</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700,570.00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0.65</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1,181,151.00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1.10</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99,112,983.63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92.03</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417"/>
        <w:gridCol w:w="1560"/>
        <w:gridCol w:w="2268"/>
        <w:gridCol w:w="1559"/>
      </w:tblGrid>
      <w:tr w:rsidR="00F016DD" w:rsidRPr="0078105B" w:rsidTr="00174038">
        <w:tc>
          <w:tcPr>
            <w:tcW w:w="8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序号</w:t>
            </w:r>
          </w:p>
        </w:tc>
        <w:tc>
          <w:tcPr>
            <w:tcW w:w="1276"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股票代码</w:t>
            </w:r>
          </w:p>
        </w:tc>
        <w:tc>
          <w:tcPr>
            <w:tcW w:w="14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股票名称</w:t>
            </w:r>
          </w:p>
        </w:tc>
        <w:tc>
          <w:tcPr>
            <w:tcW w:w="1560"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w="2268" w:type="dxa"/>
            <w:vAlign w:val="center"/>
          </w:tcPr>
          <w:p w:rsidR="00F016DD" w:rsidRPr="00FA472B" w:rsidRDefault="00F016DD" w:rsidP="000871D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w="1559"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rsidR="00395962">
        <w:tc>
          <w:tcPr>
            <w:tcW w:w="0" w:type="auto"/>
            <w:vAlign w:val="center"/>
          </w:tcPr>
          <w:p w:rsidR="00395962" w:rsidRDefault="009737AB">
            <w:pPr>
              <w:jc w:val="center"/>
            </w:pPr>
            <w:r>
              <w:rPr>
                <w:color w:val="000000"/>
                <w:sz w:val="24"/>
              </w:rPr>
              <w:t>1</w:t>
            </w:r>
          </w:p>
        </w:tc>
        <w:tc>
          <w:tcPr>
            <w:tcW w:w="0" w:type="auto"/>
            <w:vAlign w:val="center"/>
          </w:tcPr>
          <w:p w:rsidR="00395962" w:rsidRDefault="009737AB">
            <w:pPr>
              <w:jc w:val="center"/>
            </w:pPr>
            <w:r>
              <w:rPr>
                <w:color w:val="000000"/>
                <w:sz w:val="24"/>
              </w:rPr>
              <w:t>600519</w:t>
            </w:r>
          </w:p>
        </w:tc>
        <w:tc>
          <w:tcPr>
            <w:tcW w:w="0" w:type="auto"/>
            <w:vAlign w:val="center"/>
          </w:tcPr>
          <w:p w:rsidR="00395962" w:rsidRDefault="009737AB">
            <w:pPr>
              <w:jc w:val="center"/>
            </w:pPr>
            <w:r>
              <w:rPr>
                <w:color w:val="000000"/>
                <w:sz w:val="24"/>
              </w:rPr>
              <w:t>贵州茅台</w:t>
            </w:r>
          </w:p>
        </w:tc>
        <w:tc>
          <w:tcPr>
            <w:tcW w:w="0" w:type="auto"/>
            <w:vAlign w:val="center"/>
          </w:tcPr>
          <w:p w:rsidR="00395962" w:rsidRDefault="009737AB">
            <w:pPr>
              <w:jc w:val="right"/>
            </w:pPr>
            <w:r>
              <w:rPr>
                <w:color w:val="000000"/>
                <w:sz w:val="24"/>
              </w:rPr>
              <w:t>3,400</w:t>
            </w:r>
          </w:p>
        </w:tc>
        <w:tc>
          <w:tcPr>
            <w:tcW w:w="0" w:type="auto"/>
            <w:vAlign w:val="center"/>
          </w:tcPr>
          <w:p w:rsidR="00395962" w:rsidRDefault="009737AB">
            <w:pPr>
              <w:jc w:val="right"/>
            </w:pPr>
            <w:r>
              <w:rPr>
                <w:color w:val="000000"/>
                <w:sz w:val="24"/>
              </w:rPr>
              <w:t>3,777,400.00</w:t>
            </w:r>
          </w:p>
        </w:tc>
        <w:tc>
          <w:tcPr>
            <w:tcW w:w="0" w:type="auto"/>
            <w:vAlign w:val="center"/>
          </w:tcPr>
          <w:p w:rsidR="00395962" w:rsidRDefault="009737AB">
            <w:pPr>
              <w:jc w:val="right"/>
            </w:pPr>
            <w:r>
              <w:rPr>
                <w:color w:val="000000"/>
                <w:sz w:val="24"/>
              </w:rPr>
              <w:t>3.51</w:t>
            </w:r>
          </w:p>
        </w:tc>
      </w:tr>
      <w:tr w:rsidR="00395962">
        <w:tc>
          <w:tcPr>
            <w:tcW w:w="0" w:type="auto"/>
            <w:vAlign w:val="center"/>
          </w:tcPr>
          <w:p w:rsidR="00395962" w:rsidRDefault="009737AB">
            <w:pPr>
              <w:jc w:val="center"/>
            </w:pPr>
            <w:r>
              <w:rPr>
                <w:color w:val="000000"/>
                <w:sz w:val="24"/>
              </w:rPr>
              <w:t>2</w:t>
            </w:r>
          </w:p>
        </w:tc>
        <w:tc>
          <w:tcPr>
            <w:tcW w:w="0" w:type="auto"/>
            <w:vAlign w:val="center"/>
          </w:tcPr>
          <w:p w:rsidR="00395962" w:rsidRDefault="009737AB">
            <w:pPr>
              <w:jc w:val="center"/>
            </w:pPr>
            <w:r>
              <w:rPr>
                <w:color w:val="000000"/>
                <w:sz w:val="24"/>
              </w:rPr>
              <w:t>600036</w:t>
            </w:r>
          </w:p>
        </w:tc>
        <w:tc>
          <w:tcPr>
            <w:tcW w:w="0" w:type="auto"/>
            <w:vAlign w:val="center"/>
          </w:tcPr>
          <w:p w:rsidR="00395962" w:rsidRDefault="009737AB">
            <w:pPr>
              <w:jc w:val="center"/>
            </w:pPr>
            <w:r>
              <w:rPr>
                <w:color w:val="000000"/>
                <w:sz w:val="24"/>
              </w:rPr>
              <w:t>招商银行</w:t>
            </w:r>
          </w:p>
        </w:tc>
        <w:tc>
          <w:tcPr>
            <w:tcW w:w="0" w:type="auto"/>
            <w:vAlign w:val="center"/>
          </w:tcPr>
          <w:p w:rsidR="00395962" w:rsidRDefault="009737AB">
            <w:pPr>
              <w:jc w:val="right"/>
            </w:pPr>
            <w:r>
              <w:rPr>
                <w:color w:val="000000"/>
                <w:sz w:val="24"/>
              </w:rPr>
              <w:t>112,900</w:t>
            </w:r>
          </w:p>
        </w:tc>
        <w:tc>
          <w:tcPr>
            <w:tcW w:w="0" w:type="auto"/>
            <w:vAlign w:val="center"/>
          </w:tcPr>
          <w:p w:rsidR="00395962" w:rsidRDefault="009737AB">
            <w:pPr>
              <w:jc w:val="right"/>
            </w:pPr>
            <w:r>
              <w:rPr>
                <w:color w:val="000000"/>
                <w:sz w:val="24"/>
              </w:rPr>
              <w:t>3,644,412.00</w:t>
            </w:r>
          </w:p>
        </w:tc>
        <w:tc>
          <w:tcPr>
            <w:tcW w:w="0" w:type="auto"/>
            <w:vAlign w:val="center"/>
          </w:tcPr>
          <w:p w:rsidR="00395962" w:rsidRDefault="009737AB">
            <w:pPr>
              <w:jc w:val="right"/>
            </w:pPr>
            <w:r>
              <w:rPr>
                <w:color w:val="000000"/>
                <w:sz w:val="24"/>
              </w:rPr>
              <w:t>3.38</w:t>
            </w:r>
          </w:p>
        </w:tc>
      </w:tr>
      <w:tr w:rsidR="00395962">
        <w:tc>
          <w:tcPr>
            <w:tcW w:w="0" w:type="auto"/>
            <w:vAlign w:val="center"/>
          </w:tcPr>
          <w:p w:rsidR="00395962" w:rsidRDefault="009737AB">
            <w:pPr>
              <w:jc w:val="center"/>
            </w:pPr>
            <w:r>
              <w:rPr>
                <w:color w:val="000000"/>
                <w:sz w:val="24"/>
              </w:rPr>
              <w:t>3</w:t>
            </w:r>
          </w:p>
        </w:tc>
        <w:tc>
          <w:tcPr>
            <w:tcW w:w="0" w:type="auto"/>
            <w:vAlign w:val="center"/>
          </w:tcPr>
          <w:p w:rsidR="00395962" w:rsidRDefault="009737AB">
            <w:pPr>
              <w:jc w:val="center"/>
            </w:pPr>
            <w:r>
              <w:rPr>
                <w:color w:val="000000"/>
                <w:sz w:val="24"/>
              </w:rPr>
              <w:t>002475</w:t>
            </w:r>
          </w:p>
        </w:tc>
        <w:tc>
          <w:tcPr>
            <w:tcW w:w="0" w:type="auto"/>
            <w:vAlign w:val="center"/>
          </w:tcPr>
          <w:p w:rsidR="00395962" w:rsidRDefault="009737AB">
            <w:pPr>
              <w:jc w:val="center"/>
            </w:pPr>
            <w:r>
              <w:rPr>
                <w:color w:val="000000"/>
                <w:sz w:val="24"/>
              </w:rPr>
              <w:t>立讯精密</w:t>
            </w:r>
          </w:p>
        </w:tc>
        <w:tc>
          <w:tcPr>
            <w:tcW w:w="0" w:type="auto"/>
            <w:vAlign w:val="center"/>
          </w:tcPr>
          <w:p w:rsidR="00395962" w:rsidRDefault="009737AB">
            <w:pPr>
              <w:jc w:val="right"/>
            </w:pPr>
            <w:r>
              <w:rPr>
                <w:color w:val="000000"/>
                <w:sz w:val="24"/>
              </w:rPr>
              <w:t>80,200</w:t>
            </w:r>
          </w:p>
        </w:tc>
        <w:tc>
          <w:tcPr>
            <w:tcW w:w="0" w:type="auto"/>
            <w:vAlign w:val="center"/>
          </w:tcPr>
          <w:p w:rsidR="00395962" w:rsidRDefault="009737AB">
            <w:pPr>
              <w:jc w:val="right"/>
            </w:pPr>
            <w:r>
              <w:rPr>
                <w:color w:val="000000"/>
                <w:sz w:val="24"/>
              </w:rPr>
              <w:t>3,060,432.00</w:t>
            </w:r>
          </w:p>
        </w:tc>
        <w:tc>
          <w:tcPr>
            <w:tcW w:w="0" w:type="auto"/>
            <w:vAlign w:val="center"/>
          </w:tcPr>
          <w:p w:rsidR="00395962" w:rsidRDefault="009737AB">
            <w:pPr>
              <w:jc w:val="right"/>
            </w:pPr>
            <w:r>
              <w:rPr>
                <w:color w:val="000000"/>
                <w:sz w:val="24"/>
              </w:rPr>
              <w:t>2.84</w:t>
            </w:r>
          </w:p>
        </w:tc>
      </w:tr>
      <w:tr w:rsidR="00395962">
        <w:tc>
          <w:tcPr>
            <w:tcW w:w="0" w:type="auto"/>
            <w:vAlign w:val="center"/>
          </w:tcPr>
          <w:p w:rsidR="00395962" w:rsidRDefault="009737AB">
            <w:pPr>
              <w:jc w:val="center"/>
            </w:pPr>
            <w:r>
              <w:rPr>
                <w:color w:val="000000"/>
                <w:sz w:val="24"/>
              </w:rPr>
              <w:t>4</w:t>
            </w:r>
          </w:p>
        </w:tc>
        <w:tc>
          <w:tcPr>
            <w:tcW w:w="0" w:type="auto"/>
            <w:vAlign w:val="center"/>
          </w:tcPr>
          <w:p w:rsidR="00395962" w:rsidRDefault="009737AB">
            <w:pPr>
              <w:jc w:val="center"/>
            </w:pPr>
            <w:r>
              <w:rPr>
                <w:color w:val="000000"/>
                <w:sz w:val="24"/>
              </w:rPr>
              <w:t>600276</w:t>
            </w:r>
          </w:p>
        </w:tc>
        <w:tc>
          <w:tcPr>
            <w:tcW w:w="0" w:type="auto"/>
            <w:vAlign w:val="center"/>
          </w:tcPr>
          <w:p w:rsidR="00395962" w:rsidRDefault="009737AB">
            <w:pPr>
              <w:jc w:val="center"/>
            </w:pPr>
            <w:r>
              <w:rPr>
                <w:color w:val="000000"/>
                <w:sz w:val="24"/>
              </w:rPr>
              <w:t>恒瑞医药</w:t>
            </w:r>
          </w:p>
        </w:tc>
        <w:tc>
          <w:tcPr>
            <w:tcW w:w="0" w:type="auto"/>
            <w:vAlign w:val="center"/>
          </w:tcPr>
          <w:p w:rsidR="00395962" w:rsidRDefault="009737AB">
            <w:pPr>
              <w:jc w:val="right"/>
            </w:pPr>
            <w:r>
              <w:rPr>
                <w:color w:val="000000"/>
                <w:sz w:val="24"/>
              </w:rPr>
              <w:t>30,860</w:t>
            </w:r>
          </w:p>
        </w:tc>
        <w:tc>
          <w:tcPr>
            <w:tcW w:w="0" w:type="auto"/>
            <w:vAlign w:val="center"/>
          </w:tcPr>
          <w:p w:rsidR="00395962" w:rsidRDefault="009737AB">
            <w:pPr>
              <w:jc w:val="right"/>
            </w:pPr>
            <w:r>
              <w:rPr>
                <w:color w:val="000000"/>
                <w:sz w:val="24"/>
              </w:rPr>
              <w:t>2,840,045.80</w:t>
            </w:r>
          </w:p>
        </w:tc>
        <w:tc>
          <w:tcPr>
            <w:tcW w:w="0" w:type="auto"/>
            <w:vAlign w:val="center"/>
          </w:tcPr>
          <w:p w:rsidR="00395962" w:rsidRDefault="009737AB">
            <w:pPr>
              <w:jc w:val="right"/>
            </w:pPr>
            <w:r>
              <w:rPr>
                <w:color w:val="000000"/>
                <w:sz w:val="24"/>
              </w:rPr>
              <w:t>2.64</w:t>
            </w:r>
          </w:p>
        </w:tc>
      </w:tr>
      <w:tr w:rsidR="00395962">
        <w:tc>
          <w:tcPr>
            <w:tcW w:w="0" w:type="auto"/>
            <w:vAlign w:val="center"/>
          </w:tcPr>
          <w:p w:rsidR="00395962" w:rsidRDefault="009737AB">
            <w:pPr>
              <w:jc w:val="center"/>
            </w:pPr>
            <w:r>
              <w:rPr>
                <w:color w:val="000000"/>
                <w:sz w:val="24"/>
              </w:rPr>
              <w:t>5</w:t>
            </w:r>
          </w:p>
        </w:tc>
        <w:tc>
          <w:tcPr>
            <w:tcW w:w="0" w:type="auto"/>
            <w:vAlign w:val="center"/>
          </w:tcPr>
          <w:p w:rsidR="00395962" w:rsidRDefault="009737AB">
            <w:pPr>
              <w:jc w:val="center"/>
            </w:pPr>
            <w:r>
              <w:rPr>
                <w:color w:val="000000"/>
                <w:sz w:val="24"/>
              </w:rPr>
              <w:t>600030</w:t>
            </w:r>
          </w:p>
        </w:tc>
        <w:tc>
          <w:tcPr>
            <w:tcW w:w="0" w:type="auto"/>
            <w:vAlign w:val="center"/>
          </w:tcPr>
          <w:p w:rsidR="00395962" w:rsidRDefault="009737AB">
            <w:pPr>
              <w:jc w:val="center"/>
            </w:pPr>
            <w:r>
              <w:rPr>
                <w:color w:val="000000"/>
                <w:sz w:val="24"/>
              </w:rPr>
              <w:t>中信证券</w:t>
            </w:r>
          </w:p>
        </w:tc>
        <w:tc>
          <w:tcPr>
            <w:tcW w:w="0" w:type="auto"/>
            <w:vAlign w:val="center"/>
          </w:tcPr>
          <w:p w:rsidR="00395962" w:rsidRDefault="009737AB">
            <w:pPr>
              <w:jc w:val="right"/>
            </w:pPr>
            <w:r>
              <w:rPr>
                <w:color w:val="000000"/>
                <w:sz w:val="24"/>
              </w:rPr>
              <w:t>123,000</w:t>
            </w:r>
          </w:p>
        </w:tc>
        <w:tc>
          <w:tcPr>
            <w:tcW w:w="0" w:type="auto"/>
            <w:vAlign w:val="center"/>
          </w:tcPr>
          <w:p w:rsidR="00395962" w:rsidRDefault="009737AB">
            <w:pPr>
              <w:jc w:val="right"/>
            </w:pPr>
            <w:r>
              <w:rPr>
                <w:color w:val="000000"/>
                <w:sz w:val="24"/>
              </w:rPr>
              <w:t>2,725,680.00</w:t>
            </w:r>
          </w:p>
        </w:tc>
        <w:tc>
          <w:tcPr>
            <w:tcW w:w="0" w:type="auto"/>
            <w:vAlign w:val="center"/>
          </w:tcPr>
          <w:p w:rsidR="00395962" w:rsidRDefault="009737AB">
            <w:pPr>
              <w:jc w:val="right"/>
            </w:pPr>
            <w:r>
              <w:rPr>
                <w:color w:val="000000"/>
                <w:sz w:val="24"/>
              </w:rPr>
              <w:t>2.53</w:t>
            </w:r>
          </w:p>
        </w:tc>
      </w:tr>
      <w:tr w:rsidR="00395962">
        <w:tc>
          <w:tcPr>
            <w:tcW w:w="0" w:type="auto"/>
            <w:vAlign w:val="center"/>
          </w:tcPr>
          <w:p w:rsidR="00395962" w:rsidRDefault="009737AB">
            <w:pPr>
              <w:jc w:val="center"/>
            </w:pPr>
            <w:r>
              <w:rPr>
                <w:color w:val="000000"/>
                <w:sz w:val="24"/>
              </w:rPr>
              <w:t>6</w:t>
            </w:r>
          </w:p>
        </w:tc>
        <w:tc>
          <w:tcPr>
            <w:tcW w:w="0" w:type="auto"/>
            <w:vAlign w:val="center"/>
          </w:tcPr>
          <w:p w:rsidR="00395962" w:rsidRDefault="009737AB">
            <w:pPr>
              <w:jc w:val="center"/>
            </w:pPr>
            <w:r>
              <w:rPr>
                <w:color w:val="000000"/>
                <w:sz w:val="24"/>
              </w:rPr>
              <w:t>601166</w:t>
            </w:r>
          </w:p>
        </w:tc>
        <w:tc>
          <w:tcPr>
            <w:tcW w:w="0" w:type="auto"/>
            <w:vAlign w:val="center"/>
          </w:tcPr>
          <w:p w:rsidR="00395962" w:rsidRDefault="009737AB">
            <w:pPr>
              <w:jc w:val="center"/>
            </w:pPr>
            <w:r>
              <w:rPr>
                <w:color w:val="000000"/>
                <w:sz w:val="24"/>
              </w:rPr>
              <w:t>兴业银行</w:t>
            </w:r>
          </w:p>
        </w:tc>
        <w:tc>
          <w:tcPr>
            <w:tcW w:w="0" w:type="auto"/>
            <w:vAlign w:val="center"/>
          </w:tcPr>
          <w:p w:rsidR="00395962" w:rsidRDefault="009737AB">
            <w:pPr>
              <w:jc w:val="right"/>
            </w:pPr>
            <w:r>
              <w:rPr>
                <w:color w:val="000000"/>
                <w:sz w:val="24"/>
              </w:rPr>
              <w:t>168,417</w:t>
            </w:r>
          </w:p>
        </w:tc>
        <w:tc>
          <w:tcPr>
            <w:tcW w:w="0" w:type="auto"/>
            <w:vAlign w:val="center"/>
          </w:tcPr>
          <w:p w:rsidR="00395962" w:rsidRDefault="009737AB">
            <w:pPr>
              <w:jc w:val="right"/>
            </w:pPr>
            <w:r>
              <w:rPr>
                <w:color w:val="000000"/>
                <w:sz w:val="24"/>
              </w:rPr>
              <w:t>2,679,514.47</w:t>
            </w:r>
          </w:p>
        </w:tc>
        <w:tc>
          <w:tcPr>
            <w:tcW w:w="0" w:type="auto"/>
            <w:vAlign w:val="center"/>
          </w:tcPr>
          <w:p w:rsidR="00395962" w:rsidRDefault="009737AB">
            <w:pPr>
              <w:jc w:val="right"/>
            </w:pPr>
            <w:r>
              <w:rPr>
                <w:color w:val="000000"/>
                <w:sz w:val="24"/>
              </w:rPr>
              <w:t>2.49</w:t>
            </w:r>
          </w:p>
        </w:tc>
      </w:tr>
      <w:tr w:rsidR="00395962">
        <w:tc>
          <w:tcPr>
            <w:tcW w:w="0" w:type="auto"/>
            <w:vAlign w:val="center"/>
          </w:tcPr>
          <w:p w:rsidR="00395962" w:rsidRDefault="009737AB">
            <w:pPr>
              <w:jc w:val="center"/>
            </w:pPr>
            <w:r>
              <w:rPr>
                <w:color w:val="000000"/>
                <w:sz w:val="24"/>
              </w:rPr>
              <w:t>7</w:t>
            </w:r>
          </w:p>
        </w:tc>
        <w:tc>
          <w:tcPr>
            <w:tcW w:w="0" w:type="auto"/>
            <w:vAlign w:val="center"/>
          </w:tcPr>
          <w:p w:rsidR="00395962" w:rsidRDefault="009737AB">
            <w:pPr>
              <w:jc w:val="center"/>
            </w:pPr>
            <w:r>
              <w:rPr>
                <w:color w:val="000000"/>
                <w:sz w:val="24"/>
              </w:rPr>
              <w:t>600570</w:t>
            </w:r>
          </w:p>
        </w:tc>
        <w:tc>
          <w:tcPr>
            <w:tcW w:w="0" w:type="auto"/>
            <w:vAlign w:val="center"/>
          </w:tcPr>
          <w:p w:rsidR="00395962" w:rsidRDefault="009737AB">
            <w:pPr>
              <w:jc w:val="center"/>
            </w:pPr>
            <w:r>
              <w:rPr>
                <w:color w:val="000000"/>
                <w:sz w:val="24"/>
              </w:rPr>
              <w:t>恒生电子</w:t>
            </w:r>
          </w:p>
        </w:tc>
        <w:tc>
          <w:tcPr>
            <w:tcW w:w="0" w:type="auto"/>
            <w:vAlign w:val="center"/>
          </w:tcPr>
          <w:p w:rsidR="00395962" w:rsidRDefault="009737AB">
            <w:pPr>
              <w:jc w:val="right"/>
            </w:pPr>
            <w:r>
              <w:rPr>
                <w:color w:val="000000"/>
                <w:sz w:val="24"/>
              </w:rPr>
              <w:t>27,100</w:t>
            </w:r>
          </w:p>
        </w:tc>
        <w:tc>
          <w:tcPr>
            <w:tcW w:w="0" w:type="auto"/>
            <w:vAlign w:val="center"/>
          </w:tcPr>
          <w:p w:rsidR="00395962" w:rsidRDefault="009737AB">
            <w:pPr>
              <w:jc w:val="right"/>
            </w:pPr>
            <w:r>
              <w:rPr>
                <w:color w:val="000000"/>
                <w:sz w:val="24"/>
              </w:rPr>
              <w:t>2,382,090.00</w:t>
            </w:r>
          </w:p>
        </w:tc>
        <w:tc>
          <w:tcPr>
            <w:tcW w:w="0" w:type="auto"/>
            <w:vAlign w:val="center"/>
          </w:tcPr>
          <w:p w:rsidR="00395962" w:rsidRDefault="009737AB">
            <w:pPr>
              <w:jc w:val="right"/>
            </w:pPr>
            <w:r>
              <w:rPr>
                <w:color w:val="000000"/>
                <w:sz w:val="24"/>
              </w:rPr>
              <w:t>2.21</w:t>
            </w:r>
          </w:p>
        </w:tc>
      </w:tr>
      <w:tr w:rsidR="00395962">
        <w:tc>
          <w:tcPr>
            <w:tcW w:w="0" w:type="auto"/>
            <w:vAlign w:val="center"/>
          </w:tcPr>
          <w:p w:rsidR="00395962" w:rsidRDefault="009737AB">
            <w:pPr>
              <w:jc w:val="center"/>
            </w:pPr>
            <w:r>
              <w:rPr>
                <w:color w:val="000000"/>
                <w:sz w:val="24"/>
              </w:rPr>
              <w:t>8</w:t>
            </w:r>
          </w:p>
        </w:tc>
        <w:tc>
          <w:tcPr>
            <w:tcW w:w="0" w:type="auto"/>
            <w:vAlign w:val="center"/>
          </w:tcPr>
          <w:p w:rsidR="00395962" w:rsidRDefault="009737AB">
            <w:pPr>
              <w:jc w:val="center"/>
            </w:pPr>
            <w:r>
              <w:rPr>
                <w:color w:val="000000"/>
                <w:sz w:val="24"/>
              </w:rPr>
              <w:t>600690</w:t>
            </w:r>
          </w:p>
        </w:tc>
        <w:tc>
          <w:tcPr>
            <w:tcW w:w="0" w:type="auto"/>
            <w:vAlign w:val="center"/>
          </w:tcPr>
          <w:p w:rsidR="00395962" w:rsidRDefault="009737AB">
            <w:pPr>
              <w:jc w:val="center"/>
            </w:pPr>
            <w:r>
              <w:rPr>
                <w:color w:val="000000"/>
                <w:sz w:val="24"/>
              </w:rPr>
              <w:t>海尔智家</w:t>
            </w:r>
          </w:p>
        </w:tc>
        <w:tc>
          <w:tcPr>
            <w:tcW w:w="0" w:type="auto"/>
            <w:vAlign w:val="center"/>
          </w:tcPr>
          <w:p w:rsidR="00395962" w:rsidRDefault="009737AB">
            <w:pPr>
              <w:jc w:val="right"/>
            </w:pPr>
            <w:r>
              <w:rPr>
                <w:color w:val="000000"/>
                <w:sz w:val="24"/>
              </w:rPr>
              <w:t>165,100</w:t>
            </w:r>
          </w:p>
        </w:tc>
        <w:tc>
          <w:tcPr>
            <w:tcW w:w="0" w:type="auto"/>
            <w:vAlign w:val="center"/>
          </w:tcPr>
          <w:p w:rsidR="00395962" w:rsidRDefault="009737AB">
            <w:pPr>
              <w:jc w:val="right"/>
            </w:pPr>
            <w:r>
              <w:rPr>
                <w:color w:val="000000"/>
                <w:sz w:val="24"/>
              </w:rPr>
              <w:t>2,377,440.00</w:t>
            </w:r>
          </w:p>
        </w:tc>
        <w:tc>
          <w:tcPr>
            <w:tcW w:w="0" w:type="auto"/>
            <w:vAlign w:val="center"/>
          </w:tcPr>
          <w:p w:rsidR="00395962" w:rsidRDefault="009737AB">
            <w:pPr>
              <w:jc w:val="right"/>
            </w:pPr>
            <w:r>
              <w:rPr>
                <w:color w:val="000000"/>
                <w:sz w:val="24"/>
              </w:rPr>
              <w:t>2.21</w:t>
            </w:r>
          </w:p>
        </w:tc>
      </w:tr>
      <w:tr w:rsidR="00395962">
        <w:tc>
          <w:tcPr>
            <w:tcW w:w="0" w:type="auto"/>
            <w:vAlign w:val="center"/>
          </w:tcPr>
          <w:p w:rsidR="00395962" w:rsidRDefault="009737AB">
            <w:pPr>
              <w:jc w:val="center"/>
            </w:pPr>
            <w:r>
              <w:rPr>
                <w:color w:val="000000"/>
                <w:sz w:val="24"/>
              </w:rPr>
              <w:t>9</w:t>
            </w:r>
          </w:p>
        </w:tc>
        <w:tc>
          <w:tcPr>
            <w:tcW w:w="0" w:type="auto"/>
            <w:vAlign w:val="center"/>
          </w:tcPr>
          <w:p w:rsidR="00395962" w:rsidRDefault="009737AB">
            <w:pPr>
              <w:jc w:val="center"/>
            </w:pPr>
            <w:r>
              <w:rPr>
                <w:color w:val="000000"/>
                <w:sz w:val="24"/>
              </w:rPr>
              <w:t>300059</w:t>
            </w:r>
          </w:p>
        </w:tc>
        <w:tc>
          <w:tcPr>
            <w:tcW w:w="0" w:type="auto"/>
            <w:vAlign w:val="center"/>
          </w:tcPr>
          <w:p w:rsidR="00395962" w:rsidRDefault="009737AB">
            <w:pPr>
              <w:jc w:val="center"/>
            </w:pPr>
            <w:r>
              <w:rPr>
                <w:color w:val="000000"/>
                <w:sz w:val="24"/>
              </w:rPr>
              <w:t>东方财富</w:t>
            </w:r>
          </w:p>
        </w:tc>
        <w:tc>
          <w:tcPr>
            <w:tcW w:w="0" w:type="auto"/>
            <w:vAlign w:val="center"/>
          </w:tcPr>
          <w:p w:rsidR="00395962" w:rsidRDefault="009737AB">
            <w:pPr>
              <w:jc w:val="right"/>
            </w:pPr>
            <w:r>
              <w:rPr>
                <w:color w:val="000000"/>
                <w:sz w:val="24"/>
              </w:rPr>
              <w:t>137,900</w:t>
            </w:r>
          </w:p>
        </w:tc>
        <w:tc>
          <w:tcPr>
            <w:tcW w:w="0" w:type="auto"/>
            <w:vAlign w:val="center"/>
          </w:tcPr>
          <w:p w:rsidR="00395962" w:rsidRDefault="009737AB">
            <w:pPr>
              <w:jc w:val="right"/>
            </w:pPr>
            <w:r>
              <w:rPr>
                <w:color w:val="000000"/>
                <w:sz w:val="24"/>
              </w:rPr>
              <w:t>2,213,295.00</w:t>
            </w:r>
          </w:p>
        </w:tc>
        <w:tc>
          <w:tcPr>
            <w:tcW w:w="0" w:type="auto"/>
            <w:vAlign w:val="center"/>
          </w:tcPr>
          <w:p w:rsidR="00395962" w:rsidRDefault="009737AB">
            <w:pPr>
              <w:jc w:val="right"/>
            </w:pPr>
            <w:r>
              <w:rPr>
                <w:color w:val="000000"/>
                <w:sz w:val="24"/>
              </w:rPr>
              <w:t>2.06</w:t>
            </w:r>
          </w:p>
        </w:tc>
      </w:tr>
      <w:tr w:rsidR="00395962">
        <w:tc>
          <w:tcPr>
            <w:tcW w:w="0" w:type="auto"/>
            <w:vAlign w:val="center"/>
          </w:tcPr>
          <w:p w:rsidR="00395962" w:rsidRDefault="009737AB">
            <w:pPr>
              <w:jc w:val="center"/>
            </w:pPr>
            <w:r>
              <w:rPr>
                <w:color w:val="000000"/>
                <w:sz w:val="24"/>
              </w:rPr>
              <w:t>10</w:t>
            </w:r>
          </w:p>
        </w:tc>
        <w:tc>
          <w:tcPr>
            <w:tcW w:w="0" w:type="auto"/>
            <w:vAlign w:val="center"/>
          </w:tcPr>
          <w:p w:rsidR="00395962" w:rsidRDefault="009737AB">
            <w:pPr>
              <w:jc w:val="center"/>
            </w:pPr>
            <w:r>
              <w:rPr>
                <w:color w:val="000000"/>
                <w:sz w:val="24"/>
              </w:rPr>
              <w:t>600466</w:t>
            </w:r>
          </w:p>
        </w:tc>
        <w:tc>
          <w:tcPr>
            <w:tcW w:w="0" w:type="auto"/>
            <w:vAlign w:val="center"/>
          </w:tcPr>
          <w:p w:rsidR="00395962" w:rsidRDefault="009737AB">
            <w:pPr>
              <w:jc w:val="center"/>
            </w:pPr>
            <w:r>
              <w:rPr>
                <w:color w:val="000000"/>
                <w:sz w:val="24"/>
              </w:rPr>
              <w:t>蓝光发展</w:t>
            </w:r>
          </w:p>
        </w:tc>
        <w:tc>
          <w:tcPr>
            <w:tcW w:w="0" w:type="auto"/>
            <w:vAlign w:val="center"/>
          </w:tcPr>
          <w:p w:rsidR="00395962" w:rsidRDefault="009737AB">
            <w:pPr>
              <w:jc w:val="right"/>
            </w:pPr>
            <w:r>
              <w:rPr>
                <w:color w:val="000000"/>
                <w:sz w:val="24"/>
              </w:rPr>
              <w:t>349,700</w:t>
            </w:r>
          </w:p>
        </w:tc>
        <w:tc>
          <w:tcPr>
            <w:tcW w:w="0" w:type="auto"/>
            <w:vAlign w:val="center"/>
          </w:tcPr>
          <w:p w:rsidR="00395962" w:rsidRDefault="009737AB">
            <w:pPr>
              <w:jc w:val="right"/>
            </w:pPr>
            <w:r>
              <w:rPr>
                <w:color w:val="000000"/>
                <w:sz w:val="24"/>
              </w:rPr>
              <w:t>2,108,691.00</w:t>
            </w:r>
          </w:p>
        </w:tc>
        <w:tc>
          <w:tcPr>
            <w:tcW w:w="0" w:type="auto"/>
            <w:vAlign w:val="center"/>
          </w:tcPr>
          <w:p w:rsidR="00395962" w:rsidRDefault="009737AB">
            <w:pPr>
              <w:jc w:val="right"/>
            </w:pPr>
            <w:r>
              <w:rPr>
                <w:color w:val="000000"/>
                <w:sz w:val="24"/>
              </w:rPr>
              <w:t>1.96</w:t>
            </w:r>
          </w:p>
        </w:tc>
      </w:tr>
    </w:tbl>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p w:rsidR="00F016DD" w:rsidRPr="00EA6415" w:rsidRDefault="006A1153" w:rsidP="006A1153">
      <w:pPr>
        <w:spacing w:line="360" w:lineRule="auto"/>
        <w:ind w:firstLineChars="200" w:firstLine="480"/>
        <w:rPr>
          <w:color w:val="000000"/>
          <w:sz w:val="24"/>
        </w:rPr>
      </w:pPr>
      <w:r w:rsidRPr="00EA6415">
        <w:rPr>
          <w:color w:val="000000"/>
          <w:sz w:val="24"/>
        </w:rPr>
        <w:t>本基金本报告期末未持有债券。</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本基金本报告期末未持有债券。</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本基金本报告期末未持有资产支持证券。</w:t>
      </w:r>
    </w:p>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00293065">
        <w:rPr>
          <w:rFonts w:hint="eastAsia"/>
          <w:color w:val="000000"/>
          <w:sz w:val="24"/>
        </w:rPr>
        <w:t xml:space="preserve"> </w:t>
      </w:r>
      <w:r w:rsidRPr="00414367">
        <w:rPr>
          <w:color w:val="000000"/>
          <w:sz w:val="24"/>
        </w:rPr>
        <w:t>招商银行（代码：</w:t>
      </w:r>
      <w:r w:rsidRPr="00414367">
        <w:rPr>
          <w:color w:val="000000"/>
          <w:sz w:val="24"/>
        </w:rPr>
        <w:t>600036</w:t>
      </w:r>
      <w:r w:rsidRPr="00414367">
        <w:rPr>
          <w:color w:val="000000"/>
          <w:sz w:val="24"/>
        </w:rPr>
        <w:t>）为易方达量化策略精选灵活配置混合型证券投资基金的前十大重仓证券之一。</w:t>
      </w:r>
      <w:r w:rsidRPr="00414367">
        <w:rPr>
          <w:color w:val="000000"/>
          <w:sz w:val="24"/>
        </w:rPr>
        <w:t>2019</w:t>
      </w:r>
      <w:r w:rsidRPr="00414367">
        <w:rPr>
          <w:color w:val="000000"/>
          <w:sz w:val="24"/>
        </w:rPr>
        <w:t>年</w:t>
      </w:r>
      <w:r w:rsidRPr="00414367">
        <w:rPr>
          <w:color w:val="000000"/>
          <w:sz w:val="24"/>
        </w:rPr>
        <w:t>7</w:t>
      </w:r>
      <w:r w:rsidRPr="00414367">
        <w:rPr>
          <w:color w:val="000000"/>
          <w:sz w:val="24"/>
        </w:rPr>
        <w:t>月</w:t>
      </w:r>
      <w:r w:rsidRPr="00414367">
        <w:rPr>
          <w:color w:val="000000"/>
          <w:sz w:val="24"/>
        </w:rPr>
        <w:t>8</w:t>
      </w:r>
      <w:r w:rsidRPr="00414367">
        <w:rPr>
          <w:color w:val="000000"/>
          <w:sz w:val="24"/>
        </w:rPr>
        <w:t>日，中国银行保险监督管理委员会上海监管局对招商银行股份有限公司信用卡中心</w:t>
      </w:r>
      <w:r w:rsidRPr="00414367">
        <w:rPr>
          <w:color w:val="000000"/>
          <w:sz w:val="24"/>
        </w:rPr>
        <w:t>2016</w:t>
      </w:r>
      <w:r w:rsidRPr="00414367">
        <w:rPr>
          <w:color w:val="000000"/>
          <w:sz w:val="24"/>
        </w:rPr>
        <w:t>年</w:t>
      </w:r>
      <w:r w:rsidRPr="00414367">
        <w:rPr>
          <w:color w:val="000000"/>
          <w:sz w:val="24"/>
        </w:rPr>
        <w:t>9</w:t>
      </w:r>
      <w:r w:rsidRPr="00414367">
        <w:rPr>
          <w:color w:val="000000"/>
          <w:sz w:val="24"/>
        </w:rPr>
        <w:t>月至</w:t>
      </w:r>
      <w:r w:rsidRPr="00414367">
        <w:rPr>
          <w:color w:val="000000"/>
          <w:sz w:val="24"/>
        </w:rPr>
        <w:t>2018</w:t>
      </w:r>
      <w:r w:rsidRPr="00414367">
        <w:rPr>
          <w:color w:val="000000"/>
          <w:sz w:val="24"/>
        </w:rPr>
        <w:t>年</w:t>
      </w:r>
      <w:r w:rsidRPr="00414367">
        <w:rPr>
          <w:color w:val="000000"/>
          <w:sz w:val="24"/>
        </w:rPr>
        <w:t>6</w:t>
      </w:r>
      <w:r w:rsidRPr="00414367">
        <w:rPr>
          <w:color w:val="000000"/>
          <w:sz w:val="24"/>
        </w:rPr>
        <w:t>月在为部分客户办理信用卡业务时，未遵守总授信额度管理制度的违法违规事实，责令改正，并处罚款</w:t>
      </w:r>
      <w:r w:rsidRPr="00414367">
        <w:rPr>
          <w:color w:val="000000"/>
          <w:sz w:val="24"/>
        </w:rPr>
        <w:t>20</w:t>
      </w:r>
      <w:r w:rsidRPr="00414367">
        <w:rPr>
          <w:color w:val="000000"/>
          <w:sz w:val="24"/>
        </w:rPr>
        <w:t>万元。</w:t>
      </w:r>
    </w:p>
    <w:p w:rsidR="00395962" w:rsidRDefault="009737AB">
      <w:pPr>
        <w:widowControl/>
        <w:spacing w:line="360" w:lineRule="auto"/>
        <w:rPr>
          <w:color w:val="000000"/>
          <w:sz w:val="24"/>
        </w:rPr>
      </w:pPr>
      <w:r>
        <w:rPr>
          <w:color w:val="000000"/>
          <w:sz w:val="24"/>
        </w:rPr>
        <w:t>兴业银行（代码：</w:t>
      </w:r>
      <w:r>
        <w:rPr>
          <w:color w:val="000000"/>
          <w:sz w:val="24"/>
        </w:rPr>
        <w:t>601166</w:t>
      </w:r>
      <w:r>
        <w:rPr>
          <w:color w:val="000000"/>
          <w:sz w:val="24"/>
        </w:rPr>
        <w:t>）为易方达量化策略精选灵活配置混合型证券投资基金的前十大重仓证券之一。</w:t>
      </w:r>
      <w:r>
        <w:rPr>
          <w:color w:val="000000"/>
          <w:sz w:val="24"/>
        </w:rPr>
        <w:t>2019</w:t>
      </w:r>
      <w:r>
        <w:rPr>
          <w:color w:val="000000"/>
          <w:sz w:val="24"/>
        </w:rPr>
        <w:t>年</w:t>
      </w:r>
      <w:r>
        <w:rPr>
          <w:color w:val="000000"/>
          <w:sz w:val="24"/>
        </w:rPr>
        <w:t>7</w:t>
      </w:r>
      <w:r>
        <w:rPr>
          <w:color w:val="000000"/>
          <w:sz w:val="24"/>
        </w:rPr>
        <w:t>月</w:t>
      </w:r>
      <w:r>
        <w:rPr>
          <w:color w:val="000000"/>
          <w:sz w:val="24"/>
        </w:rPr>
        <w:t>8</w:t>
      </w:r>
      <w:r>
        <w:rPr>
          <w:color w:val="000000"/>
          <w:sz w:val="24"/>
        </w:rPr>
        <w:t>日，中国银行保险监督管理委员会上海监管局针对兴业银行股份有限公司信用卡中心的如下违法违规行为作出责令改正、并处罚款</w:t>
      </w:r>
      <w:r>
        <w:rPr>
          <w:color w:val="000000"/>
          <w:sz w:val="24"/>
        </w:rPr>
        <w:t>40</w:t>
      </w:r>
      <w:r>
        <w:rPr>
          <w:color w:val="000000"/>
          <w:sz w:val="24"/>
        </w:rPr>
        <w:t>万元的行政处罚决定：</w:t>
      </w:r>
      <w:r>
        <w:rPr>
          <w:color w:val="000000"/>
          <w:sz w:val="24"/>
        </w:rPr>
        <w:t>1</w:t>
      </w:r>
      <w:r>
        <w:rPr>
          <w:color w:val="000000"/>
          <w:sz w:val="24"/>
        </w:rPr>
        <w:t>、</w:t>
      </w:r>
      <w:r>
        <w:rPr>
          <w:color w:val="000000"/>
          <w:sz w:val="24"/>
        </w:rPr>
        <w:t>2016</w:t>
      </w:r>
      <w:r>
        <w:rPr>
          <w:color w:val="000000"/>
          <w:sz w:val="24"/>
        </w:rPr>
        <w:t>年</w:t>
      </w:r>
      <w:r>
        <w:rPr>
          <w:color w:val="000000"/>
          <w:sz w:val="24"/>
        </w:rPr>
        <w:t>1</w:t>
      </w:r>
      <w:r>
        <w:rPr>
          <w:color w:val="000000"/>
          <w:sz w:val="24"/>
        </w:rPr>
        <w:t>月至</w:t>
      </w:r>
      <w:r>
        <w:rPr>
          <w:color w:val="000000"/>
          <w:sz w:val="24"/>
        </w:rPr>
        <w:t>2018</w:t>
      </w:r>
      <w:r>
        <w:rPr>
          <w:color w:val="000000"/>
          <w:sz w:val="24"/>
        </w:rPr>
        <w:t>年</w:t>
      </w:r>
      <w:r>
        <w:rPr>
          <w:color w:val="000000"/>
          <w:sz w:val="24"/>
        </w:rPr>
        <w:t>1</w:t>
      </w:r>
      <w:r>
        <w:rPr>
          <w:color w:val="000000"/>
          <w:sz w:val="24"/>
        </w:rPr>
        <w:t>月在为部分客户办理信用卡业务时未遵守总授信额度管理制度；</w:t>
      </w:r>
      <w:r>
        <w:rPr>
          <w:color w:val="000000"/>
          <w:sz w:val="24"/>
        </w:rPr>
        <w:t>2</w:t>
      </w:r>
      <w:r>
        <w:rPr>
          <w:color w:val="000000"/>
          <w:sz w:val="24"/>
        </w:rPr>
        <w:t>、</w:t>
      </w:r>
      <w:r>
        <w:rPr>
          <w:color w:val="000000"/>
          <w:sz w:val="24"/>
        </w:rPr>
        <w:t>2016</w:t>
      </w:r>
      <w:r>
        <w:rPr>
          <w:color w:val="000000"/>
          <w:sz w:val="24"/>
        </w:rPr>
        <w:t>年至</w:t>
      </w:r>
      <w:r>
        <w:rPr>
          <w:color w:val="000000"/>
          <w:sz w:val="24"/>
        </w:rPr>
        <w:t>2018</w:t>
      </w:r>
      <w:r>
        <w:rPr>
          <w:color w:val="000000"/>
          <w:sz w:val="24"/>
        </w:rPr>
        <w:t>年</w:t>
      </w:r>
      <w:r>
        <w:rPr>
          <w:color w:val="000000"/>
          <w:sz w:val="24"/>
        </w:rPr>
        <w:t>8</w:t>
      </w:r>
      <w:r>
        <w:rPr>
          <w:color w:val="000000"/>
          <w:sz w:val="24"/>
        </w:rPr>
        <w:t>月对部分信用卡申请人资信水平调查严重不尽职的违法违规行为。</w:t>
      </w:r>
    </w:p>
    <w:p w:rsidR="00395962" w:rsidRDefault="009737AB">
      <w:pPr>
        <w:widowControl/>
        <w:spacing w:line="360" w:lineRule="auto"/>
        <w:rPr>
          <w:color w:val="000000"/>
          <w:sz w:val="24"/>
        </w:rPr>
      </w:pPr>
      <w:r>
        <w:rPr>
          <w:color w:val="000000"/>
          <w:sz w:val="24"/>
        </w:rPr>
        <w:t>本基金投资招商银行、兴业银行的投资决策程序符合公司投资制度的规定。</w:t>
      </w:r>
    </w:p>
    <w:p w:rsidR="00395962" w:rsidRDefault="009737AB">
      <w:pPr>
        <w:widowControl/>
        <w:spacing w:line="360" w:lineRule="auto"/>
        <w:rPr>
          <w:color w:val="000000"/>
          <w:sz w:val="24"/>
        </w:rPr>
      </w:pPr>
      <w:r>
        <w:rPr>
          <w:color w:val="000000"/>
          <w:sz w:val="24"/>
        </w:rPr>
        <w:t>除招商银行、兴业</w:t>
      </w:r>
      <w:r>
        <w:rPr>
          <w:color w:val="000000"/>
          <w:sz w:val="24"/>
        </w:rPr>
        <w:t>银行外，本基金投资的前十名证券的发行主体本期没有出现被监管部门立案调查，或在报告编制日前一年内受到公开谴责、处罚的情形。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00293065">
        <w:rPr>
          <w:rFonts w:hint="eastAsia"/>
          <w:color w:val="000000"/>
          <w:sz w:val="24"/>
        </w:rPr>
        <w:t xml:space="preserve"> </w:t>
      </w:r>
      <w:r w:rsidRPr="00414367">
        <w:rPr>
          <w:color w:val="000000"/>
          <w:sz w:val="24"/>
        </w:rPr>
        <w:t>本基金投资的前十名股票没有超出基金合同规定的备选股票库。</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29,328.58</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2,050.16</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109,469.52</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140,848.26</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本基金本报告期末未持有处于转股期的可转换债券。</w:t>
      </w:r>
    </w:p>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本基金本报告期末前十名股票中不存在流通受限情况。</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易方达量化策略精选混合</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易方达量化策略精选混合</w:t>
            </w:r>
            <w:r w:rsidRPr="00FA472B">
              <w:rPr>
                <w:sz w:val="24"/>
              </w:rPr>
              <w:t>C</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80,000,488.47</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20,427,967.72</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6,392,452.49</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26,266,998.13</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14,001,378.31</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17,275,120.19</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72,391,562.65</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29,419,845.66</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F016DD" w:rsidRPr="00DF18FE" w:rsidRDefault="00CC78C7" w:rsidP="00DF18FE">
      <w:pPr>
        <w:spacing w:line="360" w:lineRule="auto"/>
        <w:ind w:firstLineChars="200" w:firstLine="480"/>
        <w:rPr>
          <w:color w:val="000000"/>
          <w:sz w:val="24"/>
        </w:rPr>
      </w:pPr>
      <w:r w:rsidRPr="00DF18FE">
        <w:rPr>
          <w:color w:val="000000"/>
          <w:sz w:val="24"/>
        </w:rPr>
        <w:t>本报告期内基金管理人未持有本基金份额。</w:t>
      </w:r>
    </w:p>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997454" w:rsidRPr="00B75F09" w:rsidRDefault="00997454" w:rsidP="00997454">
      <w:pPr>
        <w:pStyle w:val="1"/>
        <w:spacing w:beforeLines="100" w:before="312" w:afterLines="100" w:after="312" w:line="360" w:lineRule="auto"/>
        <w:jc w:val="center"/>
        <w:rPr>
          <w:rFonts w:ascii="宋体" w:hAnsi="宋体" w:cs="Arial"/>
          <w:color w:val="000000"/>
          <w:kern w:val="0"/>
          <w:sz w:val="24"/>
          <w:szCs w:val="24"/>
        </w:rPr>
      </w:pPr>
      <w:r w:rsidRPr="00B75F09">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B75F09">
        <w:rPr>
          <w:rFonts w:ascii="宋体" w:hAnsi="宋体" w:cs="Arial"/>
          <w:color w:val="000000"/>
          <w:kern w:val="0"/>
          <w:sz w:val="24"/>
          <w:szCs w:val="24"/>
        </w:rPr>
        <w:t>影响投资者决策的其他重要信息</w:t>
      </w:r>
    </w:p>
    <w:p w:rsidR="00575C75" w:rsidRPr="001F5F5D" w:rsidRDefault="00575C75" w:rsidP="00575C75">
      <w:pPr>
        <w:autoSpaceDE w:val="0"/>
        <w:autoSpaceDN w:val="0"/>
        <w:adjustRightInd w:val="0"/>
        <w:spacing w:line="360" w:lineRule="auto"/>
        <w:jc w:val="left"/>
        <w:rPr>
          <w:rFonts w:ascii="宋体"/>
          <w:b/>
          <w:bCs/>
          <w:color w:val="000000"/>
          <w:kern w:val="0"/>
          <w:sz w:val="24"/>
        </w:rPr>
      </w:pPr>
      <w:r w:rsidRPr="001F5F5D">
        <w:rPr>
          <w:rFonts w:ascii="宋体"/>
          <w:b/>
          <w:bCs/>
          <w:color w:val="000000"/>
          <w:kern w:val="0"/>
          <w:sz w:val="24"/>
        </w:rPr>
        <w:t>8.1 报告期内单一投资者持有基金份额比例达到或超过20%的情况</w:t>
      </w:r>
    </w:p>
    <w:tbl>
      <w:tblPr>
        <w:tblStyle w:val="af2"/>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48"/>
        <w:gridCol w:w="3"/>
      </w:tblGrid>
      <w:tr w:rsidR="00575C75" w:rsidRPr="00FC0759" w:rsidTr="00CD72D6">
        <w:trPr>
          <w:jc w:val="center"/>
        </w:trPr>
        <w:tc>
          <w:tcPr>
            <w:tcW w:w="709" w:type="dxa"/>
            <w:vMerge w:val="restart"/>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投资者类别</w:t>
            </w:r>
          </w:p>
        </w:tc>
        <w:tc>
          <w:tcPr>
            <w:tcW w:w="6663" w:type="dxa"/>
            <w:gridSpan w:val="5"/>
            <w:vAlign w:val="center"/>
          </w:tcPr>
          <w:p w:rsidR="00575C75" w:rsidRPr="00FC0759" w:rsidRDefault="00575C75" w:rsidP="00CD72D6">
            <w:pPr>
              <w:autoSpaceDE w:val="0"/>
              <w:autoSpaceDN w:val="0"/>
              <w:adjustRightInd w:val="0"/>
              <w:ind w:firstLine="1126"/>
              <w:jc w:val="center"/>
              <w:rPr>
                <w:rFonts w:eastAsiaTheme="minorEastAsia"/>
                <w:b/>
                <w:bCs/>
                <w:color w:val="000000" w:themeColor="text1"/>
                <w:sz w:val="24"/>
              </w:rPr>
            </w:pPr>
            <w:r w:rsidRPr="00FC0759">
              <w:rPr>
                <w:color w:val="000000"/>
                <w:sz w:val="24"/>
              </w:rPr>
              <w:t>报告期内持有基金份额变化情况</w:t>
            </w:r>
          </w:p>
        </w:tc>
        <w:tc>
          <w:tcPr>
            <w:tcW w:w="2268" w:type="dxa"/>
            <w:gridSpan w:val="3"/>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报告期末持有基金情况</w:t>
            </w:r>
          </w:p>
        </w:tc>
      </w:tr>
      <w:tr w:rsidR="00575C75" w:rsidRPr="00FC0759" w:rsidTr="00CD72D6">
        <w:trPr>
          <w:jc w:val="center"/>
        </w:trPr>
        <w:tc>
          <w:tcPr>
            <w:tcW w:w="709" w:type="dxa"/>
            <w:vMerge/>
            <w:vAlign w:val="center"/>
          </w:tcPr>
          <w:p w:rsidR="00575C75" w:rsidRPr="00FC0759" w:rsidRDefault="00575C75" w:rsidP="00CD72D6">
            <w:pPr>
              <w:autoSpaceDE w:val="0"/>
              <w:autoSpaceDN w:val="0"/>
              <w:adjustRightInd w:val="0"/>
              <w:ind w:firstLine="1234"/>
              <w:jc w:val="center"/>
              <w:rPr>
                <w:rFonts w:eastAsiaTheme="minorEastAsia"/>
                <w:b/>
                <w:bCs/>
                <w:color w:val="000000" w:themeColor="text1"/>
                <w:sz w:val="24"/>
              </w:rPr>
            </w:pPr>
          </w:p>
        </w:tc>
        <w:tc>
          <w:tcPr>
            <w:tcW w:w="709" w:type="dxa"/>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序号</w:t>
            </w:r>
          </w:p>
        </w:tc>
        <w:tc>
          <w:tcPr>
            <w:tcW w:w="2126" w:type="dxa"/>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持有基金份额比例达到或者超过</w:t>
            </w:r>
            <w:r w:rsidRPr="00FC0759">
              <w:rPr>
                <w:color w:val="000000"/>
                <w:sz w:val="24"/>
              </w:rPr>
              <w:t>20%</w:t>
            </w:r>
            <w:r w:rsidRPr="00FC0759">
              <w:rPr>
                <w:color w:val="000000"/>
                <w:sz w:val="24"/>
              </w:rPr>
              <w:t>的时间区间</w:t>
            </w:r>
          </w:p>
        </w:tc>
        <w:tc>
          <w:tcPr>
            <w:tcW w:w="1276" w:type="dxa"/>
            <w:vAlign w:val="center"/>
          </w:tcPr>
          <w:p w:rsidR="00575C75" w:rsidRPr="00FC0759" w:rsidRDefault="00575C75" w:rsidP="00CD72D6">
            <w:pPr>
              <w:widowControl/>
              <w:rPr>
                <w:rFonts w:eastAsiaTheme="minorEastAsia"/>
                <w:b/>
                <w:bCs/>
                <w:color w:val="000000" w:themeColor="text1"/>
                <w:sz w:val="24"/>
              </w:rPr>
            </w:pPr>
            <w:r w:rsidRPr="00FC0759">
              <w:rPr>
                <w:color w:val="000000"/>
                <w:sz w:val="24"/>
              </w:rPr>
              <w:t>期初份额</w:t>
            </w:r>
          </w:p>
        </w:tc>
        <w:tc>
          <w:tcPr>
            <w:tcW w:w="1276" w:type="dxa"/>
            <w:vAlign w:val="center"/>
          </w:tcPr>
          <w:p w:rsidR="00575C75" w:rsidRPr="00FC0759" w:rsidRDefault="00575C75" w:rsidP="00CD72D6">
            <w:pPr>
              <w:widowControl/>
              <w:rPr>
                <w:rFonts w:eastAsiaTheme="minorEastAsia"/>
                <w:b/>
                <w:bCs/>
                <w:color w:val="000000" w:themeColor="text1"/>
                <w:sz w:val="24"/>
              </w:rPr>
            </w:pPr>
            <w:r w:rsidRPr="00FC0759">
              <w:rPr>
                <w:color w:val="000000"/>
                <w:sz w:val="24"/>
              </w:rPr>
              <w:t>申购份额</w:t>
            </w:r>
          </w:p>
        </w:tc>
        <w:tc>
          <w:tcPr>
            <w:tcW w:w="1276" w:type="dxa"/>
            <w:vAlign w:val="center"/>
          </w:tcPr>
          <w:p w:rsidR="00575C75" w:rsidRPr="00FC0759" w:rsidRDefault="00575C75" w:rsidP="00CD72D6">
            <w:pPr>
              <w:widowControl/>
              <w:rPr>
                <w:rFonts w:eastAsiaTheme="minorEastAsia"/>
                <w:b/>
                <w:bCs/>
                <w:color w:val="000000" w:themeColor="text1"/>
                <w:sz w:val="24"/>
              </w:rPr>
            </w:pPr>
            <w:r w:rsidRPr="00FC0759">
              <w:rPr>
                <w:color w:val="000000"/>
                <w:sz w:val="24"/>
              </w:rPr>
              <w:t>赎回份额</w:t>
            </w:r>
          </w:p>
        </w:tc>
        <w:tc>
          <w:tcPr>
            <w:tcW w:w="1417" w:type="dxa"/>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持有份额</w:t>
            </w:r>
          </w:p>
        </w:tc>
        <w:tc>
          <w:tcPr>
            <w:tcW w:w="851" w:type="dxa"/>
            <w:gridSpan w:val="2"/>
            <w:vAlign w:val="center"/>
          </w:tcPr>
          <w:p w:rsidR="00575C75" w:rsidRPr="00FC0759" w:rsidRDefault="00575C75" w:rsidP="00CD72D6">
            <w:pPr>
              <w:autoSpaceDE w:val="0"/>
              <w:autoSpaceDN w:val="0"/>
              <w:adjustRightInd w:val="0"/>
              <w:jc w:val="center"/>
              <w:rPr>
                <w:rFonts w:eastAsiaTheme="minorEastAsia"/>
                <w:b/>
                <w:bCs/>
                <w:color w:val="000000" w:themeColor="text1"/>
                <w:sz w:val="24"/>
              </w:rPr>
            </w:pPr>
            <w:r w:rsidRPr="00FC0759">
              <w:rPr>
                <w:color w:val="000000"/>
                <w:sz w:val="24"/>
              </w:rPr>
              <w:t>份额占比</w:t>
            </w:r>
          </w:p>
        </w:tc>
      </w:tr>
      <w:tr w:rsidR="00395962">
        <w:trPr>
          <w:jc w:val="center"/>
        </w:trPr>
        <w:tc>
          <w:tcPr>
            <w:tcW w:w="0" w:type="auto"/>
            <w:vMerge w:val="restart"/>
            <w:vAlign w:val="center"/>
          </w:tcPr>
          <w:p w:rsidR="00395962" w:rsidRDefault="009737AB">
            <w:r>
              <w:rPr>
                <w:rFonts w:eastAsiaTheme="minorEastAsia"/>
                <w:bCs/>
                <w:color w:val="000000" w:themeColor="text1"/>
                <w:sz w:val="24"/>
              </w:rPr>
              <w:t>机构</w:t>
            </w:r>
          </w:p>
        </w:tc>
        <w:tc>
          <w:tcPr>
            <w:tcW w:w="0" w:type="auto"/>
            <w:vAlign w:val="center"/>
          </w:tcPr>
          <w:p w:rsidR="00395962" w:rsidRDefault="009737AB">
            <w:pPr>
              <w:jc w:val="center"/>
            </w:pPr>
            <w:r>
              <w:rPr>
                <w:sz w:val="24"/>
              </w:rPr>
              <w:t>1</w:t>
            </w:r>
          </w:p>
        </w:tc>
        <w:tc>
          <w:tcPr>
            <w:tcW w:w="0" w:type="auto"/>
            <w:vAlign w:val="center"/>
          </w:tcPr>
          <w:p w:rsidR="00395962" w:rsidRDefault="009737AB">
            <w:pPr>
              <w:jc w:val="center"/>
            </w:pPr>
            <w:r>
              <w:rPr>
                <w:sz w:val="24"/>
              </w:rPr>
              <w:t>2020</w:t>
            </w:r>
            <w:r>
              <w:rPr>
                <w:sz w:val="24"/>
              </w:rPr>
              <w:t>年</w:t>
            </w:r>
            <w:r>
              <w:rPr>
                <w:sz w:val="24"/>
              </w:rPr>
              <w:t>01</w:t>
            </w:r>
            <w:r>
              <w:rPr>
                <w:sz w:val="24"/>
              </w:rPr>
              <w:t>月</w:t>
            </w:r>
            <w:r>
              <w:rPr>
                <w:sz w:val="24"/>
              </w:rPr>
              <w:t>01</w:t>
            </w:r>
            <w:r>
              <w:rPr>
                <w:sz w:val="24"/>
              </w:rPr>
              <w:t>日</w:t>
            </w:r>
            <w:r>
              <w:rPr>
                <w:sz w:val="24"/>
              </w:rPr>
              <w:t>~2020</w:t>
            </w:r>
            <w:r>
              <w:rPr>
                <w:sz w:val="24"/>
              </w:rPr>
              <w:t>年</w:t>
            </w:r>
            <w:r>
              <w:rPr>
                <w:sz w:val="24"/>
              </w:rPr>
              <w:t>03</w:t>
            </w:r>
            <w:r>
              <w:rPr>
                <w:sz w:val="24"/>
              </w:rPr>
              <w:t>月</w:t>
            </w:r>
            <w:r>
              <w:rPr>
                <w:sz w:val="24"/>
              </w:rPr>
              <w:t>31</w:t>
            </w:r>
            <w:r>
              <w:rPr>
                <w:sz w:val="24"/>
              </w:rPr>
              <w:t>日</w:t>
            </w:r>
          </w:p>
        </w:tc>
        <w:tc>
          <w:tcPr>
            <w:tcW w:w="0" w:type="auto"/>
            <w:vAlign w:val="center"/>
          </w:tcPr>
          <w:p w:rsidR="00395962" w:rsidRDefault="009737AB">
            <w:pPr>
              <w:jc w:val="center"/>
            </w:pPr>
            <w:r>
              <w:rPr>
                <w:sz w:val="24"/>
              </w:rPr>
              <w:t>49,999,000.00</w:t>
            </w:r>
          </w:p>
        </w:tc>
        <w:tc>
          <w:tcPr>
            <w:tcW w:w="0" w:type="auto"/>
            <w:vAlign w:val="center"/>
          </w:tcPr>
          <w:p w:rsidR="00395962" w:rsidRDefault="009737AB">
            <w:pPr>
              <w:jc w:val="center"/>
            </w:pPr>
            <w:r>
              <w:rPr>
                <w:sz w:val="24"/>
              </w:rPr>
              <w:t>-</w:t>
            </w:r>
          </w:p>
        </w:tc>
        <w:tc>
          <w:tcPr>
            <w:tcW w:w="0" w:type="auto"/>
            <w:vAlign w:val="center"/>
          </w:tcPr>
          <w:p w:rsidR="00395962" w:rsidRDefault="009737AB">
            <w:pPr>
              <w:jc w:val="center"/>
            </w:pPr>
            <w:r>
              <w:rPr>
                <w:sz w:val="24"/>
              </w:rPr>
              <w:t>-</w:t>
            </w:r>
          </w:p>
        </w:tc>
        <w:tc>
          <w:tcPr>
            <w:tcW w:w="0" w:type="auto"/>
            <w:vAlign w:val="center"/>
          </w:tcPr>
          <w:p w:rsidR="00395962" w:rsidRDefault="009737AB">
            <w:pPr>
              <w:jc w:val="center"/>
            </w:pPr>
            <w:r>
              <w:rPr>
                <w:sz w:val="24"/>
              </w:rPr>
              <w:t>49,999,000.00</w:t>
            </w:r>
          </w:p>
        </w:tc>
        <w:tc>
          <w:tcPr>
            <w:tcW w:w="0" w:type="auto"/>
            <w:gridSpan w:val="2"/>
            <w:vAlign w:val="center"/>
          </w:tcPr>
          <w:p w:rsidR="00395962" w:rsidRDefault="009737AB">
            <w:pPr>
              <w:jc w:val="center"/>
            </w:pPr>
            <w:r>
              <w:rPr>
                <w:sz w:val="24"/>
              </w:rPr>
              <w:t>49.11%</w:t>
            </w:r>
          </w:p>
        </w:tc>
      </w:tr>
      <w:tr w:rsidR="00575C75" w:rsidRPr="00FC0759" w:rsidTr="00CD72D6">
        <w:trPr>
          <w:gridAfter w:val="1"/>
          <w:jc w:val="center"/>
        </w:trPr>
        <w:tc>
          <w:tcPr>
            <w:tcW w:w="9637" w:type="dxa"/>
            <w:gridSpan w:val="8"/>
            <w:vAlign w:val="center"/>
          </w:tcPr>
          <w:p w:rsidR="00575C75" w:rsidRPr="00FC0759" w:rsidRDefault="00575C75" w:rsidP="00BF07C4">
            <w:pPr>
              <w:autoSpaceDE w:val="0"/>
              <w:autoSpaceDN w:val="0"/>
              <w:adjustRightInd w:val="0"/>
              <w:jc w:val="center"/>
              <w:rPr>
                <w:sz w:val="24"/>
              </w:rPr>
            </w:pPr>
            <w:r w:rsidRPr="00FC0759">
              <w:rPr>
                <w:color w:val="000000"/>
                <w:sz w:val="24"/>
              </w:rPr>
              <w:t>产品特有风险</w:t>
            </w:r>
          </w:p>
        </w:tc>
      </w:tr>
      <w:tr w:rsidR="00575C75" w:rsidRPr="00FC0759" w:rsidTr="00CD72D6">
        <w:trPr>
          <w:gridAfter w:val="1"/>
          <w:jc w:val="center"/>
        </w:trPr>
        <w:tc>
          <w:tcPr>
            <w:tcW w:w="9637" w:type="dxa"/>
            <w:gridSpan w:val="8"/>
            <w:vAlign w:val="center"/>
          </w:tcPr>
          <w:p w:rsidR="00575C75" w:rsidRPr="00FC0759" w:rsidRDefault="00575C75" w:rsidP="00CD72D6">
            <w:pPr>
              <w:autoSpaceDE w:val="0"/>
              <w:autoSpaceDN w:val="0"/>
              <w:adjustRightInd w:val="0"/>
              <w:jc w:val="left"/>
              <w:rPr>
                <w:sz w:val="24"/>
              </w:rPr>
            </w:pPr>
            <w:r w:rsidRPr="00FC0759">
              <w:rPr>
                <w:sz w:val="24"/>
              </w:rPr>
              <w:t>报告期内，本基金存在单一投资者持有份额比例达到或超过</w:t>
            </w:r>
            <w:r w:rsidRPr="00FC0759">
              <w:rPr>
                <w:sz w:val="24"/>
              </w:rPr>
              <w:t>20%</w:t>
            </w:r>
            <w:r w:rsidRPr="00FC0759">
              <w:rPr>
                <w:sz w:val="24"/>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FC0759">
              <w:rPr>
                <w:sz w:val="24"/>
              </w:rPr>
              <w:t>5000</w:t>
            </w:r>
            <w:r w:rsidRPr="00FC0759">
              <w:rPr>
                <w:sz w:val="24"/>
              </w:rPr>
              <w:t>万元，基金还可能面临转换运作方式、与其他基金合并或者终止基金合同等情形；持有基金份额占比较高的投资者在召开持有人大会并对审议事项进行投票表决时可能拥有较大话语权。</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9</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9.1</w:t>
      </w:r>
      <w:r w:rsidRPr="00E8153C">
        <w:rPr>
          <w:color w:val="000000"/>
          <w:kern w:val="0"/>
          <w:sz w:val="24"/>
        </w:rPr>
        <w:t>备查文件目录</w:t>
      </w:r>
    </w:p>
    <w:p w:rsidR="00395962" w:rsidRDefault="009737AB">
      <w:pPr>
        <w:spacing w:line="360" w:lineRule="auto"/>
        <w:ind w:firstLineChars="200" w:firstLine="480"/>
        <w:rPr>
          <w:color w:val="000000"/>
          <w:sz w:val="24"/>
        </w:rPr>
      </w:pPr>
      <w:r>
        <w:rPr>
          <w:color w:val="000000"/>
          <w:sz w:val="24"/>
        </w:rPr>
        <w:t xml:space="preserve">1. </w:t>
      </w:r>
      <w:r>
        <w:rPr>
          <w:color w:val="000000"/>
          <w:sz w:val="24"/>
        </w:rPr>
        <w:t>中国证监会准予易方达量化策略精选灵活配置混合型证券投资基金注册的文件；</w:t>
      </w:r>
    </w:p>
    <w:p w:rsidR="00395962" w:rsidRDefault="009737AB">
      <w:pPr>
        <w:spacing w:line="360" w:lineRule="auto"/>
        <w:ind w:firstLineChars="200" w:firstLine="480"/>
        <w:rPr>
          <w:color w:val="000000"/>
          <w:sz w:val="24"/>
        </w:rPr>
      </w:pPr>
      <w:r>
        <w:rPr>
          <w:color w:val="000000"/>
          <w:sz w:val="24"/>
        </w:rPr>
        <w:t xml:space="preserve">2. </w:t>
      </w:r>
      <w:r>
        <w:rPr>
          <w:color w:val="000000"/>
          <w:sz w:val="24"/>
        </w:rPr>
        <w:t>《易方达量化策略精选灵活配置混合型证券投资基金基金合同》；</w:t>
      </w:r>
    </w:p>
    <w:p w:rsidR="00395962" w:rsidRDefault="009737AB">
      <w:pPr>
        <w:spacing w:line="360" w:lineRule="auto"/>
        <w:ind w:firstLineChars="200" w:firstLine="480"/>
        <w:rPr>
          <w:color w:val="000000"/>
          <w:sz w:val="24"/>
        </w:rPr>
      </w:pPr>
      <w:r>
        <w:rPr>
          <w:color w:val="000000"/>
          <w:sz w:val="24"/>
        </w:rPr>
        <w:t xml:space="preserve">3. </w:t>
      </w:r>
      <w:r>
        <w:rPr>
          <w:color w:val="000000"/>
          <w:sz w:val="24"/>
        </w:rPr>
        <w:t>《易方达量化策略精选灵活配置混合型证券投资基金托管协议》；</w:t>
      </w:r>
    </w:p>
    <w:p w:rsidR="00395962" w:rsidRDefault="009737AB">
      <w:pPr>
        <w:spacing w:line="360" w:lineRule="auto"/>
        <w:ind w:firstLineChars="200" w:firstLine="480"/>
        <w:rPr>
          <w:color w:val="000000"/>
          <w:sz w:val="24"/>
        </w:rPr>
      </w:pPr>
      <w:r>
        <w:rPr>
          <w:color w:val="000000"/>
          <w:sz w:val="24"/>
        </w:rPr>
        <w:t xml:space="preserve">4. </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 xml:space="preserve">5. </w:t>
      </w:r>
      <w:r w:rsidRPr="00E8153C">
        <w:rPr>
          <w:color w:val="000000"/>
          <w:sz w:val="24"/>
        </w:rPr>
        <w:t>基金管理人业务资格批件、营业执照。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9.3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二〇二〇年四月二十一日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146" w:rsidRDefault="00835146">
      <w:r>
        <w:separator/>
      </w:r>
    </w:p>
  </w:endnote>
  <w:endnote w:type="continuationSeparator" w:id="0">
    <w:p w:rsidR="00835146" w:rsidRDefault="0083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9737AB">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9737AB">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9737AB">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146" w:rsidRDefault="00835146">
      <w:r>
        <w:separator/>
      </w:r>
    </w:p>
  </w:footnote>
  <w:footnote w:type="continuationSeparator" w:id="0">
    <w:p w:rsidR="00835146" w:rsidRDefault="00835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易方达量化策略精选灵活配置混合型证券投资基金</w:t>
    </w:r>
    <w:r w:rsidRPr="00DA451D">
      <w:t>2020</w:t>
    </w:r>
    <w:r w:rsidRPr="00DA451D">
      <w:t>年第</w:t>
    </w:r>
    <w:r w:rsidRPr="00DA451D">
      <w:t>1</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5962"/>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7AB"/>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7C952B0-DA14-4F40-8443-BB4F988E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1172</Words>
  <Characters>6685</Characters>
  <Application>Microsoft Office Word</Application>
  <DocSecurity>4</DocSecurity>
  <Lines>55</Lines>
  <Paragraphs>15</Paragraphs>
  <ScaleCrop>false</ScaleCrop>
  <Company>TRT. Ltd. Co.</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2020-04-14T01:39:00Z</dcterms:created>
  <dcterms:modified xsi:type="dcterms:W3CDTF">2020-04-14T01:39:00Z</dcterms:modified>
</cp:coreProperties>
</file>