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易方达国防军工混合型证券投资基金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中国建设银行股份有限公司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B42F0C" w:rsidRDefault="0075308B">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42F0C" w:rsidRDefault="0075308B">
      <w:pPr>
        <w:spacing w:line="360"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42F0C" w:rsidRDefault="0075308B">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42F0C" w:rsidRDefault="0075308B">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42F0C" w:rsidRDefault="0075308B">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易方达国防军工混合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001475</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001475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2015</w:t>
            </w:r>
            <w:r w:rsidRPr="00232B03">
              <w:rPr>
                <w:color w:val="000000"/>
                <w:kern w:val="0"/>
                <w:sz w:val="24"/>
                <w:szCs w:val="24"/>
              </w:rPr>
              <w:t>年</w:t>
            </w:r>
            <w:r w:rsidRPr="00232B03">
              <w:rPr>
                <w:color w:val="000000"/>
                <w:kern w:val="0"/>
                <w:sz w:val="24"/>
                <w:szCs w:val="24"/>
              </w:rPr>
              <w:t>6</w:t>
            </w:r>
            <w:r w:rsidRPr="00232B03">
              <w:rPr>
                <w:color w:val="000000"/>
                <w:kern w:val="0"/>
                <w:sz w:val="24"/>
                <w:szCs w:val="24"/>
              </w:rPr>
              <w:t>月</w:t>
            </w:r>
            <w:r w:rsidRPr="00232B03">
              <w:rPr>
                <w:color w:val="000000"/>
                <w:kern w:val="0"/>
                <w:sz w:val="24"/>
                <w:szCs w:val="24"/>
              </w:rPr>
              <w:t>19</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3,348,088,998.27</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本基金在严格控制风险的前提下，追求超越业绩比较基准的投资回报。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将基于定量与定性相结合的宏观及市场分析，确定组合中股票、债券、货币市场工具及其他金融工具的比例。在股票投资方面，本基金将根据对国防军工行业各细分子行业（主要包括航空、航天、兵器、船舶、信息安全等）的综合分析，确定</w:t>
            </w:r>
            <w:r w:rsidRPr="00232B03">
              <w:rPr>
                <w:color w:val="000000"/>
                <w:kern w:val="0"/>
                <w:sz w:val="24"/>
                <w:szCs w:val="24"/>
              </w:rPr>
              <w:lastRenderedPageBreak/>
              <w:t>各细分子行业的资产配置比例。在各细分子行业中，本基金将选择具有较强竞争优势且估值具有吸引力的上市公司进行投资。当各细分子行业与上市公司的基本面、股票的估值水平出现较大变化时，本基金将对股票组合适时进行调整。在债券投资方面，本基金将通过类属配置与券种选择两个层次进行投资管理。</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申万国防军工指数收益率</w:t>
            </w:r>
            <w:r w:rsidRPr="00232B03">
              <w:rPr>
                <w:color w:val="000000"/>
                <w:kern w:val="0"/>
                <w:sz w:val="24"/>
                <w:szCs w:val="24"/>
              </w:rPr>
              <w:t>×70%+</w:t>
            </w:r>
            <w:r w:rsidRPr="00232B03">
              <w:rPr>
                <w:color w:val="000000"/>
                <w:kern w:val="0"/>
                <w:sz w:val="24"/>
                <w:szCs w:val="24"/>
              </w:rPr>
              <w:t>一年期人民币定期存款利率（税后）</w:t>
            </w:r>
            <w:r w:rsidRPr="00232B03">
              <w:rPr>
                <w:color w:val="000000"/>
                <w:kern w:val="0"/>
                <w:sz w:val="24"/>
                <w:szCs w:val="24"/>
              </w:rPr>
              <w:t>×30%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本基金为混合基金，理论上其预期风险与预期收益水平低于股票基金，高于债券基金和货币市场基金。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中国建设银行股份有限公司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38,313,520.49</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-27,927,385.27</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-0.0073</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2,627,021,386.05</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0.785</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B42F0C" w:rsidRDefault="0075308B">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B42F0C">
        <w:tc>
          <w:tcPr>
            <w:tcW w:w="0" w:type="auto"/>
            <w:vAlign w:val="center"/>
          </w:tcPr>
          <w:p w:rsidR="00B42F0C" w:rsidRDefault="0075308B">
            <w:pPr>
              <w:jc w:val="left"/>
            </w:pPr>
            <w:r>
              <w:rPr>
                <w:color w:val="000000"/>
                <w:kern w:val="0"/>
                <w:sz w:val="24"/>
                <w:szCs w:val="24"/>
              </w:rPr>
              <w:t>过去三个月</w:t>
            </w:r>
          </w:p>
        </w:tc>
        <w:tc>
          <w:tcPr>
            <w:tcW w:w="0" w:type="auto"/>
            <w:vAlign w:val="center"/>
          </w:tcPr>
          <w:p w:rsidR="00B42F0C" w:rsidRDefault="0075308B">
            <w:pPr>
              <w:jc w:val="center"/>
            </w:pPr>
            <w:r>
              <w:rPr>
                <w:color w:val="000000"/>
                <w:kern w:val="0"/>
                <w:sz w:val="24"/>
                <w:szCs w:val="24"/>
              </w:rPr>
              <w:t>-2.85%</w:t>
            </w:r>
          </w:p>
        </w:tc>
        <w:tc>
          <w:tcPr>
            <w:tcW w:w="0" w:type="auto"/>
            <w:vAlign w:val="center"/>
          </w:tcPr>
          <w:p w:rsidR="00B42F0C" w:rsidRDefault="0075308B">
            <w:pPr>
              <w:jc w:val="center"/>
            </w:pPr>
            <w:r>
              <w:rPr>
                <w:color w:val="000000"/>
                <w:kern w:val="0"/>
                <w:sz w:val="24"/>
                <w:szCs w:val="24"/>
              </w:rPr>
              <w:t>2.36%</w:t>
            </w:r>
          </w:p>
        </w:tc>
        <w:tc>
          <w:tcPr>
            <w:tcW w:w="0" w:type="auto"/>
            <w:vAlign w:val="center"/>
          </w:tcPr>
          <w:p w:rsidR="00B42F0C" w:rsidRDefault="0075308B">
            <w:pPr>
              <w:jc w:val="center"/>
            </w:pPr>
            <w:r>
              <w:rPr>
                <w:color w:val="000000"/>
                <w:kern w:val="0"/>
                <w:sz w:val="24"/>
                <w:szCs w:val="24"/>
              </w:rPr>
              <w:t>-2.81%</w:t>
            </w:r>
          </w:p>
        </w:tc>
        <w:tc>
          <w:tcPr>
            <w:tcW w:w="0" w:type="auto"/>
            <w:vAlign w:val="center"/>
          </w:tcPr>
          <w:p w:rsidR="00B42F0C" w:rsidRDefault="0075308B">
            <w:pPr>
              <w:jc w:val="center"/>
            </w:pPr>
            <w:r>
              <w:rPr>
                <w:color w:val="000000"/>
                <w:kern w:val="0"/>
                <w:sz w:val="24"/>
                <w:szCs w:val="24"/>
              </w:rPr>
              <w:t>1.85%</w:t>
            </w:r>
          </w:p>
        </w:tc>
        <w:tc>
          <w:tcPr>
            <w:tcW w:w="0" w:type="auto"/>
            <w:vAlign w:val="center"/>
          </w:tcPr>
          <w:p w:rsidR="00B42F0C" w:rsidRDefault="0075308B">
            <w:pPr>
              <w:jc w:val="center"/>
            </w:pPr>
            <w:r>
              <w:rPr>
                <w:color w:val="000000"/>
                <w:kern w:val="0"/>
                <w:sz w:val="24"/>
                <w:szCs w:val="24"/>
              </w:rPr>
              <w:t>-0.04%</w:t>
            </w:r>
          </w:p>
        </w:tc>
        <w:tc>
          <w:tcPr>
            <w:tcW w:w="0" w:type="auto"/>
            <w:vAlign w:val="center"/>
          </w:tcPr>
          <w:p w:rsidR="00B42F0C" w:rsidRDefault="0075308B">
            <w:pPr>
              <w:jc w:val="center"/>
            </w:pPr>
            <w:r>
              <w:rPr>
                <w:color w:val="000000"/>
                <w:kern w:val="0"/>
                <w:sz w:val="24"/>
                <w:szCs w:val="24"/>
              </w:rPr>
              <w:t>0.51%</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易方达国防军工混合型证券投资基金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2015</w:t>
      </w:r>
      <w:r w:rsidRPr="0074694E">
        <w:rPr>
          <w:rFonts w:ascii="Times New Roman" w:hAnsi="Times New Roman"/>
          <w:sz w:val="24"/>
          <w:szCs w:val="24"/>
        </w:rPr>
        <w:t>年</w:t>
      </w:r>
      <w:r w:rsidRPr="0074694E">
        <w:rPr>
          <w:rFonts w:ascii="Times New Roman" w:hAnsi="Times New Roman"/>
          <w:sz w:val="24"/>
          <w:szCs w:val="24"/>
        </w:rPr>
        <w:t>6</w:t>
      </w:r>
      <w:r w:rsidRPr="0074694E">
        <w:rPr>
          <w:rFonts w:ascii="Times New Roman" w:hAnsi="Times New Roman"/>
          <w:sz w:val="24"/>
          <w:szCs w:val="24"/>
        </w:rPr>
        <w:t>月</w:t>
      </w:r>
      <w:r w:rsidRPr="0074694E">
        <w:rPr>
          <w:rFonts w:ascii="Times New Roman" w:hAnsi="Times New Roman"/>
          <w:sz w:val="24"/>
          <w:szCs w:val="24"/>
        </w:rPr>
        <w:t>19</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75308B"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-21.50%</w:t>
      </w:r>
      <w:r w:rsidRPr="006C56AA">
        <w:rPr>
          <w:color w:val="000000"/>
          <w:sz w:val="24"/>
          <w:szCs w:val="24"/>
        </w:rPr>
        <w:t>，同期业绩比较基准收益率为</w:t>
      </w:r>
      <w:r w:rsidRPr="006C56AA">
        <w:rPr>
          <w:color w:val="000000"/>
          <w:sz w:val="24"/>
          <w:szCs w:val="24"/>
        </w:rPr>
        <w:t>-45.29%</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B42F0C">
        <w:tc>
          <w:tcPr>
            <w:tcW w:w="0" w:type="auto"/>
            <w:vAlign w:val="center"/>
          </w:tcPr>
          <w:p w:rsidR="00B42F0C" w:rsidRDefault="0075308B">
            <w:pPr>
              <w:jc w:val="center"/>
            </w:pPr>
            <w:r>
              <w:rPr>
                <w:color w:val="000000"/>
                <w:sz w:val="24"/>
              </w:rPr>
              <w:t>陈皓</w:t>
            </w:r>
          </w:p>
        </w:tc>
        <w:tc>
          <w:tcPr>
            <w:tcW w:w="0" w:type="auto"/>
            <w:vAlign w:val="center"/>
          </w:tcPr>
          <w:p w:rsidR="00B42F0C" w:rsidRDefault="0075308B">
            <w:pPr>
              <w:jc w:val="left"/>
            </w:pPr>
            <w:r>
              <w:rPr>
                <w:color w:val="000000"/>
                <w:sz w:val="24"/>
              </w:rPr>
              <w:t>本基金的基金经理、易方达平稳增长证券投资基金的基金经理、易方达科翔混合型证券投资基金的基金经理、易方达新经济灵活配置混合型证券投资基金的基金经理、易方达科讯混合型证券投资基金的基金经理、易方达科融混合型证券投资基金的基金经理、投资一部总经理</w:t>
            </w:r>
          </w:p>
        </w:tc>
        <w:tc>
          <w:tcPr>
            <w:tcW w:w="0" w:type="auto"/>
            <w:vAlign w:val="center"/>
          </w:tcPr>
          <w:p w:rsidR="00B42F0C" w:rsidRDefault="0075308B">
            <w:pPr>
              <w:jc w:val="center"/>
            </w:pPr>
            <w:r>
              <w:rPr>
                <w:color w:val="000000"/>
                <w:sz w:val="24"/>
              </w:rPr>
              <w:t>2015-06-19</w:t>
            </w:r>
          </w:p>
        </w:tc>
        <w:tc>
          <w:tcPr>
            <w:tcW w:w="0" w:type="auto"/>
            <w:vAlign w:val="center"/>
          </w:tcPr>
          <w:p w:rsidR="00B42F0C" w:rsidRDefault="0075308B">
            <w:pPr>
              <w:jc w:val="center"/>
            </w:pPr>
            <w:r>
              <w:rPr>
                <w:color w:val="000000"/>
                <w:sz w:val="24"/>
              </w:rPr>
              <w:t>-</w:t>
            </w:r>
          </w:p>
        </w:tc>
        <w:tc>
          <w:tcPr>
            <w:tcW w:w="0" w:type="auto"/>
            <w:vAlign w:val="center"/>
          </w:tcPr>
          <w:p w:rsidR="00B42F0C" w:rsidRDefault="0075308B">
            <w:pPr>
              <w:jc w:val="center"/>
            </w:pPr>
            <w:r>
              <w:rPr>
                <w:color w:val="000000"/>
                <w:sz w:val="24"/>
              </w:rPr>
              <w:t>13</w:t>
            </w:r>
            <w:r>
              <w:rPr>
                <w:color w:val="000000"/>
                <w:sz w:val="24"/>
              </w:rPr>
              <w:t>年</w:t>
            </w:r>
          </w:p>
        </w:tc>
        <w:tc>
          <w:tcPr>
            <w:tcW w:w="0" w:type="auto"/>
            <w:vAlign w:val="center"/>
          </w:tcPr>
          <w:p w:rsidR="00B42F0C" w:rsidRDefault="0075308B">
            <w:r>
              <w:rPr>
                <w:color w:val="000000"/>
                <w:sz w:val="24"/>
              </w:rPr>
              <w:t>硕士研究生，具有基金从业资格。曾任易方达基金管理有限公司行业研究员、基金经理助理、基金投资部基金经理助理、投资一部总经理助理、投资一部副总经理、投资经理、易方达价值精选混合型证券投资基金基金经理、易方达供给改革灵活配置混合型证券投资基金基金经理。</w:t>
            </w:r>
          </w:p>
        </w:tc>
      </w:tr>
      <w:tr w:rsidR="00B42F0C">
        <w:tc>
          <w:tcPr>
            <w:tcW w:w="0" w:type="auto"/>
            <w:vAlign w:val="center"/>
          </w:tcPr>
          <w:p w:rsidR="00B42F0C" w:rsidRDefault="0075308B">
            <w:pPr>
              <w:jc w:val="center"/>
            </w:pPr>
            <w:r>
              <w:rPr>
                <w:color w:val="000000"/>
                <w:sz w:val="24"/>
              </w:rPr>
              <w:t>何崇恺</w:t>
            </w:r>
          </w:p>
        </w:tc>
        <w:tc>
          <w:tcPr>
            <w:tcW w:w="0" w:type="auto"/>
            <w:vAlign w:val="center"/>
          </w:tcPr>
          <w:p w:rsidR="00B42F0C" w:rsidRDefault="0075308B">
            <w:pPr>
              <w:jc w:val="left"/>
            </w:pPr>
            <w:r>
              <w:rPr>
                <w:color w:val="000000"/>
                <w:sz w:val="24"/>
              </w:rPr>
              <w:t>本基金的基金经理、行业研究员</w:t>
            </w:r>
          </w:p>
        </w:tc>
        <w:tc>
          <w:tcPr>
            <w:tcW w:w="0" w:type="auto"/>
            <w:vAlign w:val="center"/>
          </w:tcPr>
          <w:p w:rsidR="00B42F0C" w:rsidRDefault="0075308B">
            <w:pPr>
              <w:jc w:val="center"/>
            </w:pPr>
            <w:r>
              <w:rPr>
                <w:color w:val="000000"/>
                <w:sz w:val="24"/>
              </w:rPr>
              <w:t>2019-11-28</w:t>
            </w:r>
          </w:p>
        </w:tc>
        <w:tc>
          <w:tcPr>
            <w:tcW w:w="0" w:type="auto"/>
            <w:vAlign w:val="center"/>
          </w:tcPr>
          <w:p w:rsidR="00B42F0C" w:rsidRDefault="0075308B">
            <w:pPr>
              <w:jc w:val="center"/>
            </w:pPr>
            <w:r>
              <w:rPr>
                <w:color w:val="000000"/>
                <w:sz w:val="24"/>
              </w:rPr>
              <w:t>-</w:t>
            </w:r>
          </w:p>
        </w:tc>
        <w:tc>
          <w:tcPr>
            <w:tcW w:w="0" w:type="auto"/>
            <w:vAlign w:val="center"/>
          </w:tcPr>
          <w:p w:rsidR="00B42F0C" w:rsidRDefault="0075308B">
            <w:pPr>
              <w:jc w:val="center"/>
            </w:pPr>
            <w:r>
              <w:rPr>
                <w:color w:val="000000"/>
                <w:sz w:val="24"/>
              </w:rPr>
              <w:t>5</w:t>
            </w:r>
            <w:r>
              <w:rPr>
                <w:color w:val="000000"/>
                <w:sz w:val="24"/>
              </w:rPr>
              <w:t>年</w:t>
            </w:r>
          </w:p>
        </w:tc>
        <w:tc>
          <w:tcPr>
            <w:tcW w:w="0" w:type="auto"/>
            <w:vAlign w:val="center"/>
          </w:tcPr>
          <w:p w:rsidR="00B42F0C" w:rsidRDefault="0075308B">
            <w:r>
              <w:rPr>
                <w:color w:val="000000"/>
                <w:sz w:val="24"/>
              </w:rPr>
              <w:t>硕士研究生，具有基金从业资格。曾任易方达基金管理有限公司行业研究员。</w:t>
            </w:r>
          </w:p>
        </w:tc>
      </w:tr>
    </w:tbl>
    <w:p w:rsidR="00B42F0C" w:rsidRDefault="0075308B">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B42F0C" w:rsidRDefault="0075308B">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B42F0C" w:rsidRDefault="0075308B">
      <w:pPr>
        <w:spacing w:line="360" w:lineRule="auto"/>
        <w:ind w:firstLineChars="200" w:firstLine="480"/>
        <w:rPr>
          <w:color w:val="000000"/>
          <w:sz w:val="24"/>
          <w:szCs w:val="24"/>
        </w:rPr>
      </w:pPr>
      <w:r>
        <w:rPr>
          <w:color w:val="000000"/>
          <w:sz w:val="24"/>
          <w:szCs w:val="24"/>
        </w:rPr>
        <w:t>2020</w:t>
      </w:r>
      <w:r>
        <w:rPr>
          <w:color w:val="000000"/>
          <w:sz w:val="24"/>
          <w:szCs w:val="24"/>
        </w:rPr>
        <w:t>年一季度市场受新冠疫情影响整体波动幅度较大，上证指数下跌</w:t>
      </w:r>
      <w:r>
        <w:rPr>
          <w:color w:val="000000"/>
          <w:sz w:val="24"/>
          <w:szCs w:val="24"/>
        </w:rPr>
        <w:t>9.83%</w:t>
      </w:r>
      <w:r>
        <w:rPr>
          <w:color w:val="000000"/>
          <w:sz w:val="24"/>
          <w:szCs w:val="24"/>
        </w:rPr>
        <w:t>，创业板指数上涨</w:t>
      </w:r>
      <w:r>
        <w:rPr>
          <w:color w:val="000000"/>
          <w:sz w:val="24"/>
          <w:szCs w:val="24"/>
        </w:rPr>
        <w:t>4.10%</w:t>
      </w:r>
      <w:r>
        <w:rPr>
          <w:color w:val="000000"/>
          <w:sz w:val="24"/>
          <w:szCs w:val="24"/>
        </w:rPr>
        <w:t>，同期中证军工指数下跌</w:t>
      </w:r>
      <w:r>
        <w:rPr>
          <w:color w:val="000000"/>
          <w:sz w:val="24"/>
          <w:szCs w:val="24"/>
        </w:rPr>
        <w:t>1.44%</w:t>
      </w:r>
      <w:r>
        <w:rPr>
          <w:color w:val="000000"/>
          <w:sz w:val="24"/>
          <w:szCs w:val="24"/>
        </w:rPr>
        <w:t>，军工板块表现好于上证指数，弱于创业板指数。</w:t>
      </w:r>
      <w:r>
        <w:rPr>
          <w:color w:val="000000"/>
          <w:sz w:val="24"/>
          <w:szCs w:val="24"/>
        </w:rPr>
        <w:t>2020</w:t>
      </w:r>
      <w:r>
        <w:rPr>
          <w:color w:val="000000"/>
          <w:sz w:val="24"/>
          <w:szCs w:val="24"/>
        </w:rPr>
        <w:t>年一季度军工板块中与民用卫星投资相关的主题股票上涨幅度较大，此外与新冠疫情相关的红外主题表现也较好。</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一季度采取了比较积极的投资策略，保持了较高的股票仓位，除了维持对优质军工白马股配置以外，适当增配了部分业绩增速较快且估值吸引力较大的细分领域成长股。军工板块业绩核心受到军费增长的驱动，与宏观经济短期波动相关性较小。疫情结束后，军工领域经营生产活动有望迎来较好的恢复，同时目前军工板块整体估值处于历史偏低位置，是较好的投资时点。</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0.785</w:t>
      </w:r>
      <w:r w:rsidRPr="006C56AA">
        <w:rPr>
          <w:color w:val="000000"/>
          <w:sz w:val="24"/>
          <w:szCs w:val="24"/>
        </w:rPr>
        <w:t>元，本报告期份额净值增长率为</w:t>
      </w:r>
      <w:r w:rsidRPr="006C56AA">
        <w:rPr>
          <w:color w:val="000000"/>
          <w:sz w:val="24"/>
          <w:szCs w:val="24"/>
        </w:rPr>
        <w:t>-2.85%</w:t>
      </w:r>
      <w:r w:rsidRPr="006C56AA">
        <w:rPr>
          <w:color w:val="000000"/>
          <w:sz w:val="24"/>
          <w:szCs w:val="24"/>
        </w:rPr>
        <w:t>，同期业绩比较基准收益率为</w:t>
      </w:r>
      <w:r w:rsidRPr="006C56AA">
        <w:rPr>
          <w:color w:val="000000"/>
          <w:sz w:val="24"/>
          <w:szCs w:val="24"/>
        </w:rPr>
        <w:t>-2.81%</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2,246,804,124.76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84.78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2,246,804,124.76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84.78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400,403,868.28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15.11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2,941,583.10</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0.11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2,650,149,576.14</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2,170,028,218.21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82.60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142.92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3,379,728.00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23,845,000.00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0.91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32,561,167.00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4,894,719.64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12,076,001.68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0.46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2,246,804,124.76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85.53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B42F0C">
        <w:tc>
          <w:tcPr>
            <w:tcW w:w="0" w:type="auto"/>
            <w:vAlign w:val="center"/>
          </w:tcPr>
          <w:p w:rsidR="00B42F0C" w:rsidRDefault="0075308B">
            <w:pPr>
              <w:jc w:val="center"/>
            </w:pPr>
            <w:r>
              <w:rPr>
                <w:color w:val="000000"/>
                <w:kern w:val="0"/>
                <w:sz w:val="24"/>
                <w:szCs w:val="24"/>
              </w:rPr>
              <w:t>1</w:t>
            </w:r>
          </w:p>
        </w:tc>
        <w:tc>
          <w:tcPr>
            <w:tcW w:w="0" w:type="auto"/>
            <w:vAlign w:val="center"/>
          </w:tcPr>
          <w:p w:rsidR="00B42F0C" w:rsidRDefault="0075308B">
            <w:pPr>
              <w:jc w:val="center"/>
            </w:pPr>
            <w:r>
              <w:rPr>
                <w:color w:val="000000"/>
                <w:kern w:val="0"/>
                <w:sz w:val="24"/>
                <w:szCs w:val="24"/>
              </w:rPr>
              <w:t>002013</w:t>
            </w:r>
          </w:p>
        </w:tc>
        <w:tc>
          <w:tcPr>
            <w:tcW w:w="0" w:type="auto"/>
            <w:vAlign w:val="center"/>
          </w:tcPr>
          <w:p w:rsidR="00B42F0C" w:rsidRDefault="0075308B">
            <w:pPr>
              <w:jc w:val="center"/>
            </w:pPr>
            <w:r>
              <w:rPr>
                <w:color w:val="000000"/>
                <w:kern w:val="0"/>
                <w:sz w:val="24"/>
                <w:szCs w:val="24"/>
              </w:rPr>
              <w:t>中航机电</w:t>
            </w:r>
          </w:p>
        </w:tc>
        <w:tc>
          <w:tcPr>
            <w:tcW w:w="0" w:type="auto"/>
            <w:vAlign w:val="center"/>
          </w:tcPr>
          <w:p w:rsidR="00B42F0C" w:rsidRDefault="0075308B">
            <w:pPr>
              <w:jc w:val="right"/>
            </w:pPr>
            <w:r>
              <w:rPr>
                <w:color w:val="000000"/>
                <w:kern w:val="0"/>
                <w:sz w:val="24"/>
                <w:szCs w:val="24"/>
              </w:rPr>
              <w:t>36,788,600</w:t>
            </w:r>
          </w:p>
        </w:tc>
        <w:tc>
          <w:tcPr>
            <w:tcW w:w="0" w:type="auto"/>
            <w:vAlign w:val="center"/>
          </w:tcPr>
          <w:p w:rsidR="00B42F0C" w:rsidRDefault="0075308B">
            <w:pPr>
              <w:jc w:val="right"/>
            </w:pPr>
            <w:r>
              <w:rPr>
                <w:color w:val="000000"/>
                <w:kern w:val="0"/>
                <w:sz w:val="24"/>
                <w:szCs w:val="24"/>
              </w:rPr>
              <w:t>265,245,806.00</w:t>
            </w:r>
          </w:p>
        </w:tc>
        <w:tc>
          <w:tcPr>
            <w:tcW w:w="0" w:type="auto"/>
            <w:vAlign w:val="center"/>
          </w:tcPr>
          <w:p w:rsidR="00B42F0C" w:rsidRDefault="0075308B">
            <w:pPr>
              <w:jc w:val="right"/>
            </w:pPr>
            <w:r>
              <w:rPr>
                <w:color w:val="000000"/>
                <w:kern w:val="0"/>
                <w:sz w:val="24"/>
                <w:szCs w:val="24"/>
              </w:rPr>
              <w:t>10.10</w:t>
            </w:r>
          </w:p>
        </w:tc>
      </w:tr>
      <w:tr w:rsidR="00B42F0C">
        <w:tc>
          <w:tcPr>
            <w:tcW w:w="0" w:type="auto"/>
            <w:vAlign w:val="center"/>
          </w:tcPr>
          <w:p w:rsidR="00B42F0C" w:rsidRDefault="0075308B">
            <w:pPr>
              <w:jc w:val="center"/>
            </w:pPr>
            <w:r>
              <w:rPr>
                <w:color w:val="000000"/>
                <w:kern w:val="0"/>
                <w:sz w:val="24"/>
                <w:szCs w:val="24"/>
              </w:rPr>
              <w:t>2</w:t>
            </w:r>
          </w:p>
        </w:tc>
        <w:tc>
          <w:tcPr>
            <w:tcW w:w="0" w:type="auto"/>
            <w:vAlign w:val="center"/>
          </w:tcPr>
          <w:p w:rsidR="00B42F0C" w:rsidRDefault="0075308B">
            <w:pPr>
              <w:jc w:val="center"/>
            </w:pPr>
            <w:r>
              <w:rPr>
                <w:color w:val="000000"/>
                <w:kern w:val="0"/>
                <w:sz w:val="24"/>
                <w:szCs w:val="24"/>
              </w:rPr>
              <w:t>002179</w:t>
            </w:r>
          </w:p>
        </w:tc>
        <w:tc>
          <w:tcPr>
            <w:tcW w:w="0" w:type="auto"/>
            <w:vAlign w:val="center"/>
          </w:tcPr>
          <w:p w:rsidR="00B42F0C" w:rsidRDefault="0075308B">
            <w:pPr>
              <w:jc w:val="center"/>
            </w:pPr>
            <w:r>
              <w:rPr>
                <w:color w:val="000000"/>
                <w:kern w:val="0"/>
                <w:sz w:val="24"/>
                <w:szCs w:val="24"/>
              </w:rPr>
              <w:t>中航光电</w:t>
            </w:r>
          </w:p>
        </w:tc>
        <w:tc>
          <w:tcPr>
            <w:tcW w:w="0" w:type="auto"/>
            <w:vAlign w:val="center"/>
          </w:tcPr>
          <w:p w:rsidR="00B42F0C" w:rsidRDefault="0075308B">
            <w:pPr>
              <w:jc w:val="right"/>
            </w:pPr>
            <w:r>
              <w:rPr>
                <w:color w:val="000000"/>
                <w:kern w:val="0"/>
                <w:sz w:val="24"/>
                <w:szCs w:val="24"/>
              </w:rPr>
              <w:t>7,429,800</w:t>
            </w:r>
          </w:p>
        </w:tc>
        <w:tc>
          <w:tcPr>
            <w:tcW w:w="0" w:type="auto"/>
            <w:vAlign w:val="center"/>
          </w:tcPr>
          <w:p w:rsidR="00B42F0C" w:rsidRDefault="0075308B">
            <w:pPr>
              <w:jc w:val="right"/>
            </w:pPr>
            <w:r>
              <w:rPr>
                <w:color w:val="000000"/>
                <w:kern w:val="0"/>
                <w:sz w:val="24"/>
                <w:szCs w:val="24"/>
              </w:rPr>
              <w:t>254,099,160.00</w:t>
            </w:r>
          </w:p>
        </w:tc>
        <w:tc>
          <w:tcPr>
            <w:tcW w:w="0" w:type="auto"/>
            <w:vAlign w:val="center"/>
          </w:tcPr>
          <w:p w:rsidR="00B42F0C" w:rsidRDefault="0075308B">
            <w:pPr>
              <w:jc w:val="right"/>
            </w:pPr>
            <w:r>
              <w:rPr>
                <w:color w:val="000000"/>
                <w:kern w:val="0"/>
                <w:sz w:val="24"/>
                <w:szCs w:val="24"/>
              </w:rPr>
              <w:t>9.67</w:t>
            </w:r>
          </w:p>
        </w:tc>
      </w:tr>
      <w:tr w:rsidR="00B42F0C">
        <w:tc>
          <w:tcPr>
            <w:tcW w:w="0" w:type="auto"/>
            <w:vAlign w:val="center"/>
          </w:tcPr>
          <w:p w:rsidR="00B42F0C" w:rsidRDefault="0075308B">
            <w:pPr>
              <w:jc w:val="center"/>
            </w:pPr>
            <w:r>
              <w:rPr>
                <w:color w:val="000000"/>
                <w:kern w:val="0"/>
                <w:sz w:val="24"/>
                <w:szCs w:val="24"/>
              </w:rPr>
              <w:t>3</w:t>
            </w:r>
          </w:p>
        </w:tc>
        <w:tc>
          <w:tcPr>
            <w:tcW w:w="0" w:type="auto"/>
            <w:vAlign w:val="center"/>
          </w:tcPr>
          <w:p w:rsidR="00B42F0C" w:rsidRDefault="0075308B">
            <w:pPr>
              <w:jc w:val="center"/>
            </w:pPr>
            <w:r>
              <w:rPr>
                <w:color w:val="000000"/>
                <w:kern w:val="0"/>
                <w:sz w:val="24"/>
                <w:szCs w:val="24"/>
              </w:rPr>
              <w:t>600967</w:t>
            </w:r>
          </w:p>
        </w:tc>
        <w:tc>
          <w:tcPr>
            <w:tcW w:w="0" w:type="auto"/>
            <w:vAlign w:val="center"/>
          </w:tcPr>
          <w:p w:rsidR="00B42F0C" w:rsidRDefault="0075308B">
            <w:pPr>
              <w:jc w:val="center"/>
            </w:pPr>
            <w:r>
              <w:rPr>
                <w:color w:val="000000"/>
                <w:kern w:val="0"/>
                <w:sz w:val="24"/>
                <w:szCs w:val="24"/>
              </w:rPr>
              <w:t>内蒙一机</w:t>
            </w:r>
          </w:p>
        </w:tc>
        <w:tc>
          <w:tcPr>
            <w:tcW w:w="0" w:type="auto"/>
            <w:vAlign w:val="center"/>
          </w:tcPr>
          <w:p w:rsidR="00B42F0C" w:rsidRDefault="0075308B">
            <w:pPr>
              <w:jc w:val="right"/>
            </w:pPr>
            <w:r>
              <w:rPr>
                <w:color w:val="000000"/>
                <w:kern w:val="0"/>
                <w:sz w:val="24"/>
                <w:szCs w:val="24"/>
              </w:rPr>
              <w:t>27,517,300</w:t>
            </w:r>
          </w:p>
        </w:tc>
        <w:tc>
          <w:tcPr>
            <w:tcW w:w="0" w:type="auto"/>
            <w:vAlign w:val="center"/>
          </w:tcPr>
          <w:p w:rsidR="00B42F0C" w:rsidRDefault="0075308B">
            <w:pPr>
              <w:jc w:val="right"/>
            </w:pPr>
            <w:r>
              <w:rPr>
                <w:color w:val="000000"/>
                <w:kern w:val="0"/>
                <w:sz w:val="24"/>
                <w:szCs w:val="24"/>
              </w:rPr>
              <w:t>250,682,603.00</w:t>
            </w:r>
          </w:p>
        </w:tc>
        <w:tc>
          <w:tcPr>
            <w:tcW w:w="0" w:type="auto"/>
            <w:vAlign w:val="center"/>
          </w:tcPr>
          <w:p w:rsidR="00B42F0C" w:rsidRDefault="0075308B">
            <w:pPr>
              <w:jc w:val="right"/>
            </w:pPr>
            <w:r>
              <w:rPr>
                <w:color w:val="000000"/>
                <w:kern w:val="0"/>
                <w:sz w:val="24"/>
                <w:szCs w:val="24"/>
              </w:rPr>
              <w:t>9.54</w:t>
            </w:r>
          </w:p>
        </w:tc>
      </w:tr>
      <w:tr w:rsidR="00B42F0C">
        <w:tc>
          <w:tcPr>
            <w:tcW w:w="0" w:type="auto"/>
            <w:vAlign w:val="center"/>
          </w:tcPr>
          <w:p w:rsidR="00B42F0C" w:rsidRDefault="0075308B">
            <w:pPr>
              <w:jc w:val="center"/>
            </w:pPr>
            <w:r>
              <w:rPr>
                <w:color w:val="000000"/>
                <w:kern w:val="0"/>
                <w:sz w:val="24"/>
                <w:szCs w:val="24"/>
              </w:rPr>
              <w:t>4</w:t>
            </w:r>
          </w:p>
        </w:tc>
        <w:tc>
          <w:tcPr>
            <w:tcW w:w="0" w:type="auto"/>
            <w:vAlign w:val="center"/>
          </w:tcPr>
          <w:p w:rsidR="00B42F0C" w:rsidRDefault="0075308B">
            <w:pPr>
              <w:jc w:val="center"/>
            </w:pPr>
            <w:r>
              <w:rPr>
                <w:color w:val="000000"/>
                <w:kern w:val="0"/>
                <w:sz w:val="24"/>
                <w:szCs w:val="24"/>
              </w:rPr>
              <w:t>002025</w:t>
            </w:r>
          </w:p>
        </w:tc>
        <w:tc>
          <w:tcPr>
            <w:tcW w:w="0" w:type="auto"/>
            <w:vAlign w:val="center"/>
          </w:tcPr>
          <w:p w:rsidR="00B42F0C" w:rsidRDefault="0075308B">
            <w:pPr>
              <w:jc w:val="center"/>
            </w:pPr>
            <w:r>
              <w:rPr>
                <w:color w:val="000000"/>
                <w:kern w:val="0"/>
                <w:sz w:val="24"/>
                <w:szCs w:val="24"/>
              </w:rPr>
              <w:t>航天电器</w:t>
            </w:r>
          </w:p>
        </w:tc>
        <w:tc>
          <w:tcPr>
            <w:tcW w:w="0" w:type="auto"/>
            <w:vAlign w:val="center"/>
          </w:tcPr>
          <w:p w:rsidR="00B42F0C" w:rsidRDefault="0075308B">
            <w:pPr>
              <w:jc w:val="right"/>
            </w:pPr>
            <w:r>
              <w:rPr>
                <w:color w:val="000000"/>
                <w:kern w:val="0"/>
                <w:sz w:val="24"/>
                <w:szCs w:val="24"/>
              </w:rPr>
              <w:t>9,822,600</w:t>
            </w:r>
          </w:p>
        </w:tc>
        <w:tc>
          <w:tcPr>
            <w:tcW w:w="0" w:type="auto"/>
            <w:vAlign w:val="center"/>
          </w:tcPr>
          <w:p w:rsidR="00B42F0C" w:rsidRDefault="0075308B">
            <w:pPr>
              <w:jc w:val="right"/>
            </w:pPr>
            <w:r>
              <w:rPr>
                <w:color w:val="000000"/>
                <w:kern w:val="0"/>
                <w:sz w:val="24"/>
                <w:szCs w:val="24"/>
              </w:rPr>
              <w:t>238,787,406.00</w:t>
            </w:r>
          </w:p>
        </w:tc>
        <w:tc>
          <w:tcPr>
            <w:tcW w:w="0" w:type="auto"/>
            <w:vAlign w:val="center"/>
          </w:tcPr>
          <w:p w:rsidR="00B42F0C" w:rsidRDefault="0075308B">
            <w:pPr>
              <w:jc w:val="right"/>
            </w:pPr>
            <w:r>
              <w:rPr>
                <w:color w:val="000000"/>
                <w:kern w:val="0"/>
                <w:sz w:val="24"/>
                <w:szCs w:val="24"/>
              </w:rPr>
              <w:t>9.09</w:t>
            </w:r>
          </w:p>
        </w:tc>
      </w:tr>
      <w:tr w:rsidR="00B42F0C">
        <w:tc>
          <w:tcPr>
            <w:tcW w:w="0" w:type="auto"/>
            <w:vAlign w:val="center"/>
          </w:tcPr>
          <w:p w:rsidR="00B42F0C" w:rsidRDefault="0075308B">
            <w:pPr>
              <w:jc w:val="center"/>
            </w:pPr>
            <w:r>
              <w:rPr>
                <w:color w:val="000000"/>
                <w:kern w:val="0"/>
                <w:sz w:val="24"/>
                <w:szCs w:val="24"/>
              </w:rPr>
              <w:t>5</w:t>
            </w:r>
          </w:p>
        </w:tc>
        <w:tc>
          <w:tcPr>
            <w:tcW w:w="0" w:type="auto"/>
            <w:vAlign w:val="center"/>
          </w:tcPr>
          <w:p w:rsidR="00B42F0C" w:rsidRDefault="0075308B">
            <w:pPr>
              <w:jc w:val="center"/>
            </w:pPr>
            <w:r>
              <w:rPr>
                <w:color w:val="000000"/>
                <w:kern w:val="0"/>
                <w:sz w:val="24"/>
                <w:szCs w:val="24"/>
              </w:rPr>
              <w:t>300476</w:t>
            </w:r>
          </w:p>
        </w:tc>
        <w:tc>
          <w:tcPr>
            <w:tcW w:w="0" w:type="auto"/>
            <w:vAlign w:val="center"/>
          </w:tcPr>
          <w:p w:rsidR="00B42F0C" w:rsidRDefault="0075308B">
            <w:pPr>
              <w:jc w:val="center"/>
            </w:pPr>
            <w:r>
              <w:rPr>
                <w:color w:val="000000"/>
                <w:kern w:val="0"/>
                <w:sz w:val="24"/>
                <w:szCs w:val="24"/>
              </w:rPr>
              <w:t>胜宏科技</w:t>
            </w:r>
          </w:p>
        </w:tc>
        <w:tc>
          <w:tcPr>
            <w:tcW w:w="0" w:type="auto"/>
            <w:vAlign w:val="center"/>
          </w:tcPr>
          <w:p w:rsidR="00B42F0C" w:rsidRDefault="0075308B">
            <w:pPr>
              <w:jc w:val="right"/>
            </w:pPr>
            <w:r>
              <w:rPr>
                <w:color w:val="000000"/>
                <w:kern w:val="0"/>
                <w:sz w:val="24"/>
                <w:szCs w:val="24"/>
              </w:rPr>
              <w:t>10,872,515</w:t>
            </w:r>
          </w:p>
        </w:tc>
        <w:tc>
          <w:tcPr>
            <w:tcW w:w="0" w:type="auto"/>
            <w:vAlign w:val="center"/>
          </w:tcPr>
          <w:p w:rsidR="00B42F0C" w:rsidRDefault="0075308B">
            <w:pPr>
              <w:jc w:val="right"/>
            </w:pPr>
            <w:r>
              <w:rPr>
                <w:color w:val="000000"/>
                <w:kern w:val="0"/>
                <w:sz w:val="24"/>
                <w:szCs w:val="24"/>
              </w:rPr>
              <w:t>193,249,968.80</w:t>
            </w:r>
          </w:p>
        </w:tc>
        <w:tc>
          <w:tcPr>
            <w:tcW w:w="0" w:type="auto"/>
            <w:vAlign w:val="center"/>
          </w:tcPr>
          <w:p w:rsidR="00B42F0C" w:rsidRDefault="0075308B">
            <w:pPr>
              <w:jc w:val="right"/>
            </w:pPr>
            <w:r>
              <w:rPr>
                <w:color w:val="000000"/>
                <w:kern w:val="0"/>
                <w:sz w:val="24"/>
                <w:szCs w:val="24"/>
              </w:rPr>
              <w:t>7.36</w:t>
            </w:r>
          </w:p>
        </w:tc>
      </w:tr>
      <w:tr w:rsidR="00B42F0C">
        <w:tc>
          <w:tcPr>
            <w:tcW w:w="0" w:type="auto"/>
            <w:vAlign w:val="center"/>
          </w:tcPr>
          <w:p w:rsidR="00B42F0C" w:rsidRDefault="0075308B">
            <w:pPr>
              <w:jc w:val="center"/>
            </w:pPr>
            <w:r>
              <w:rPr>
                <w:color w:val="000000"/>
                <w:kern w:val="0"/>
                <w:sz w:val="24"/>
                <w:szCs w:val="24"/>
              </w:rPr>
              <w:t>6</w:t>
            </w:r>
          </w:p>
        </w:tc>
        <w:tc>
          <w:tcPr>
            <w:tcW w:w="0" w:type="auto"/>
            <w:vAlign w:val="center"/>
          </w:tcPr>
          <w:p w:rsidR="00B42F0C" w:rsidRDefault="0075308B">
            <w:pPr>
              <w:jc w:val="center"/>
            </w:pPr>
            <w:r>
              <w:rPr>
                <w:color w:val="000000"/>
                <w:kern w:val="0"/>
                <w:sz w:val="24"/>
                <w:szCs w:val="24"/>
              </w:rPr>
              <w:t>000733</w:t>
            </w:r>
          </w:p>
        </w:tc>
        <w:tc>
          <w:tcPr>
            <w:tcW w:w="0" w:type="auto"/>
            <w:vAlign w:val="center"/>
          </w:tcPr>
          <w:p w:rsidR="00B42F0C" w:rsidRDefault="0075308B">
            <w:pPr>
              <w:jc w:val="center"/>
            </w:pPr>
            <w:r>
              <w:rPr>
                <w:color w:val="000000"/>
                <w:kern w:val="0"/>
                <w:sz w:val="24"/>
                <w:szCs w:val="24"/>
              </w:rPr>
              <w:t>振华科技</w:t>
            </w:r>
          </w:p>
        </w:tc>
        <w:tc>
          <w:tcPr>
            <w:tcW w:w="0" w:type="auto"/>
            <w:vAlign w:val="center"/>
          </w:tcPr>
          <w:p w:rsidR="00B42F0C" w:rsidRDefault="0075308B">
            <w:pPr>
              <w:jc w:val="right"/>
            </w:pPr>
            <w:r>
              <w:rPr>
                <w:color w:val="000000"/>
                <w:kern w:val="0"/>
                <w:sz w:val="24"/>
                <w:szCs w:val="24"/>
              </w:rPr>
              <w:t>9,891,900</w:t>
            </w:r>
          </w:p>
        </w:tc>
        <w:tc>
          <w:tcPr>
            <w:tcW w:w="0" w:type="auto"/>
            <w:vAlign w:val="center"/>
          </w:tcPr>
          <w:p w:rsidR="00B42F0C" w:rsidRDefault="0075308B">
            <w:pPr>
              <w:jc w:val="right"/>
            </w:pPr>
            <w:r>
              <w:rPr>
                <w:color w:val="000000"/>
                <w:kern w:val="0"/>
                <w:sz w:val="24"/>
                <w:szCs w:val="24"/>
              </w:rPr>
              <w:t>185,769,882.00</w:t>
            </w:r>
          </w:p>
        </w:tc>
        <w:tc>
          <w:tcPr>
            <w:tcW w:w="0" w:type="auto"/>
            <w:vAlign w:val="center"/>
          </w:tcPr>
          <w:p w:rsidR="00B42F0C" w:rsidRDefault="0075308B">
            <w:pPr>
              <w:jc w:val="right"/>
            </w:pPr>
            <w:r>
              <w:rPr>
                <w:color w:val="000000"/>
                <w:kern w:val="0"/>
                <w:sz w:val="24"/>
                <w:szCs w:val="24"/>
              </w:rPr>
              <w:t>7.07</w:t>
            </w:r>
          </w:p>
        </w:tc>
      </w:tr>
      <w:tr w:rsidR="00B42F0C">
        <w:tc>
          <w:tcPr>
            <w:tcW w:w="0" w:type="auto"/>
            <w:vAlign w:val="center"/>
          </w:tcPr>
          <w:p w:rsidR="00B42F0C" w:rsidRDefault="0075308B">
            <w:pPr>
              <w:jc w:val="center"/>
            </w:pPr>
            <w:r>
              <w:rPr>
                <w:color w:val="000000"/>
                <w:kern w:val="0"/>
                <w:sz w:val="24"/>
                <w:szCs w:val="24"/>
              </w:rPr>
              <w:t>7</w:t>
            </w:r>
          </w:p>
        </w:tc>
        <w:tc>
          <w:tcPr>
            <w:tcW w:w="0" w:type="auto"/>
            <w:vAlign w:val="center"/>
          </w:tcPr>
          <w:p w:rsidR="00B42F0C" w:rsidRDefault="0075308B">
            <w:pPr>
              <w:jc w:val="center"/>
            </w:pPr>
            <w:r>
              <w:rPr>
                <w:color w:val="000000"/>
                <w:kern w:val="0"/>
                <w:sz w:val="24"/>
                <w:szCs w:val="24"/>
              </w:rPr>
              <w:t>600760</w:t>
            </w:r>
          </w:p>
        </w:tc>
        <w:tc>
          <w:tcPr>
            <w:tcW w:w="0" w:type="auto"/>
            <w:vAlign w:val="center"/>
          </w:tcPr>
          <w:p w:rsidR="00B42F0C" w:rsidRDefault="0075308B">
            <w:pPr>
              <w:jc w:val="center"/>
            </w:pPr>
            <w:r>
              <w:rPr>
                <w:color w:val="000000"/>
                <w:kern w:val="0"/>
                <w:sz w:val="24"/>
                <w:szCs w:val="24"/>
              </w:rPr>
              <w:t>中航沈飞</w:t>
            </w:r>
          </w:p>
        </w:tc>
        <w:tc>
          <w:tcPr>
            <w:tcW w:w="0" w:type="auto"/>
            <w:vAlign w:val="center"/>
          </w:tcPr>
          <w:p w:rsidR="00B42F0C" w:rsidRDefault="0075308B">
            <w:pPr>
              <w:jc w:val="right"/>
            </w:pPr>
            <w:r>
              <w:rPr>
                <w:color w:val="000000"/>
                <w:kern w:val="0"/>
                <w:sz w:val="24"/>
                <w:szCs w:val="24"/>
              </w:rPr>
              <w:t>3,996,100</w:t>
            </w:r>
          </w:p>
        </w:tc>
        <w:tc>
          <w:tcPr>
            <w:tcW w:w="0" w:type="auto"/>
            <w:vAlign w:val="center"/>
          </w:tcPr>
          <w:p w:rsidR="00B42F0C" w:rsidRDefault="0075308B">
            <w:pPr>
              <w:jc w:val="right"/>
            </w:pPr>
            <w:r>
              <w:rPr>
                <w:color w:val="000000"/>
                <w:kern w:val="0"/>
                <w:sz w:val="24"/>
                <w:szCs w:val="24"/>
              </w:rPr>
              <w:t>114,408,343.00</w:t>
            </w:r>
          </w:p>
        </w:tc>
        <w:tc>
          <w:tcPr>
            <w:tcW w:w="0" w:type="auto"/>
            <w:vAlign w:val="center"/>
          </w:tcPr>
          <w:p w:rsidR="00B42F0C" w:rsidRDefault="0075308B">
            <w:pPr>
              <w:jc w:val="right"/>
            </w:pPr>
            <w:r>
              <w:rPr>
                <w:color w:val="000000"/>
                <w:kern w:val="0"/>
                <w:sz w:val="24"/>
                <w:szCs w:val="24"/>
              </w:rPr>
              <w:t>4.36</w:t>
            </w:r>
          </w:p>
        </w:tc>
      </w:tr>
      <w:tr w:rsidR="00B42F0C">
        <w:tc>
          <w:tcPr>
            <w:tcW w:w="0" w:type="auto"/>
            <w:vAlign w:val="center"/>
          </w:tcPr>
          <w:p w:rsidR="00B42F0C" w:rsidRDefault="0075308B">
            <w:pPr>
              <w:jc w:val="center"/>
            </w:pPr>
            <w:r>
              <w:rPr>
                <w:color w:val="000000"/>
                <w:kern w:val="0"/>
                <w:sz w:val="24"/>
                <w:szCs w:val="24"/>
              </w:rPr>
              <w:t>8</w:t>
            </w:r>
          </w:p>
        </w:tc>
        <w:tc>
          <w:tcPr>
            <w:tcW w:w="0" w:type="auto"/>
            <w:vAlign w:val="center"/>
          </w:tcPr>
          <w:p w:rsidR="00B42F0C" w:rsidRDefault="0075308B">
            <w:pPr>
              <w:jc w:val="center"/>
            </w:pPr>
            <w:r>
              <w:rPr>
                <w:color w:val="000000"/>
                <w:kern w:val="0"/>
                <w:sz w:val="24"/>
                <w:szCs w:val="24"/>
              </w:rPr>
              <w:t>600038</w:t>
            </w:r>
          </w:p>
        </w:tc>
        <w:tc>
          <w:tcPr>
            <w:tcW w:w="0" w:type="auto"/>
            <w:vAlign w:val="center"/>
          </w:tcPr>
          <w:p w:rsidR="00B42F0C" w:rsidRDefault="0075308B">
            <w:pPr>
              <w:jc w:val="center"/>
            </w:pPr>
            <w:r>
              <w:rPr>
                <w:color w:val="000000"/>
                <w:kern w:val="0"/>
                <w:sz w:val="24"/>
                <w:szCs w:val="24"/>
              </w:rPr>
              <w:t>中直股份</w:t>
            </w:r>
          </w:p>
        </w:tc>
        <w:tc>
          <w:tcPr>
            <w:tcW w:w="0" w:type="auto"/>
            <w:vAlign w:val="center"/>
          </w:tcPr>
          <w:p w:rsidR="00B42F0C" w:rsidRDefault="0075308B">
            <w:pPr>
              <w:jc w:val="right"/>
            </w:pPr>
            <w:r>
              <w:rPr>
                <w:color w:val="000000"/>
                <w:kern w:val="0"/>
                <w:sz w:val="24"/>
                <w:szCs w:val="24"/>
              </w:rPr>
              <w:t>2,388,600</w:t>
            </w:r>
          </w:p>
        </w:tc>
        <w:tc>
          <w:tcPr>
            <w:tcW w:w="0" w:type="auto"/>
            <w:vAlign w:val="center"/>
          </w:tcPr>
          <w:p w:rsidR="00B42F0C" w:rsidRDefault="0075308B">
            <w:pPr>
              <w:jc w:val="right"/>
            </w:pPr>
            <w:r>
              <w:rPr>
                <w:color w:val="000000"/>
                <w:kern w:val="0"/>
                <w:sz w:val="24"/>
                <w:szCs w:val="24"/>
              </w:rPr>
              <w:t>99,341,874.00</w:t>
            </w:r>
          </w:p>
        </w:tc>
        <w:tc>
          <w:tcPr>
            <w:tcW w:w="0" w:type="auto"/>
            <w:vAlign w:val="center"/>
          </w:tcPr>
          <w:p w:rsidR="00B42F0C" w:rsidRDefault="0075308B">
            <w:pPr>
              <w:jc w:val="right"/>
            </w:pPr>
            <w:r>
              <w:rPr>
                <w:color w:val="000000"/>
                <w:kern w:val="0"/>
                <w:sz w:val="24"/>
                <w:szCs w:val="24"/>
              </w:rPr>
              <w:t>3.78</w:t>
            </w:r>
          </w:p>
        </w:tc>
      </w:tr>
      <w:tr w:rsidR="00B42F0C">
        <w:tc>
          <w:tcPr>
            <w:tcW w:w="0" w:type="auto"/>
            <w:vAlign w:val="center"/>
          </w:tcPr>
          <w:p w:rsidR="00B42F0C" w:rsidRDefault="0075308B">
            <w:pPr>
              <w:jc w:val="center"/>
            </w:pPr>
            <w:r>
              <w:rPr>
                <w:color w:val="000000"/>
                <w:kern w:val="0"/>
                <w:sz w:val="24"/>
                <w:szCs w:val="24"/>
              </w:rPr>
              <w:t>9</w:t>
            </w:r>
          </w:p>
        </w:tc>
        <w:tc>
          <w:tcPr>
            <w:tcW w:w="0" w:type="auto"/>
            <w:vAlign w:val="center"/>
          </w:tcPr>
          <w:p w:rsidR="00B42F0C" w:rsidRDefault="0075308B">
            <w:pPr>
              <w:jc w:val="center"/>
            </w:pPr>
            <w:r>
              <w:rPr>
                <w:color w:val="000000"/>
                <w:kern w:val="0"/>
                <w:sz w:val="24"/>
                <w:szCs w:val="24"/>
              </w:rPr>
              <w:t>000547</w:t>
            </w:r>
          </w:p>
        </w:tc>
        <w:tc>
          <w:tcPr>
            <w:tcW w:w="0" w:type="auto"/>
            <w:vAlign w:val="center"/>
          </w:tcPr>
          <w:p w:rsidR="00B42F0C" w:rsidRDefault="0075308B">
            <w:pPr>
              <w:jc w:val="center"/>
            </w:pPr>
            <w:r>
              <w:rPr>
                <w:color w:val="000000"/>
                <w:kern w:val="0"/>
                <w:sz w:val="24"/>
                <w:szCs w:val="24"/>
              </w:rPr>
              <w:t>航天发展</w:t>
            </w:r>
          </w:p>
        </w:tc>
        <w:tc>
          <w:tcPr>
            <w:tcW w:w="0" w:type="auto"/>
            <w:vAlign w:val="center"/>
          </w:tcPr>
          <w:p w:rsidR="00B42F0C" w:rsidRDefault="0075308B">
            <w:pPr>
              <w:jc w:val="right"/>
            </w:pPr>
            <w:r>
              <w:rPr>
                <w:color w:val="000000"/>
                <w:kern w:val="0"/>
                <w:sz w:val="24"/>
                <w:szCs w:val="24"/>
              </w:rPr>
              <w:t>5,463,390</w:t>
            </w:r>
          </w:p>
        </w:tc>
        <w:tc>
          <w:tcPr>
            <w:tcW w:w="0" w:type="auto"/>
            <w:vAlign w:val="center"/>
          </w:tcPr>
          <w:p w:rsidR="00B42F0C" w:rsidRDefault="0075308B">
            <w:pPr>
              <w:jc w:val="right"/>
            </w:pPr>
            <w:r>
              <w:rPr>
                <w:color w:val="000000"/>
                <w:kern w:val="0"/>
                <w:sz w:val="24"/>
                <w:szCs w:val="24"/>
              </w:rPr>
              <w:t>73,482,595.50</w:t>
            </w:r>
          </w:p>
        </w:tc>
        <w:tc>
          <w:tcPr>
            <w:tcW w:w="0" w:type="auto"/>
            <w:vAlign w:val="center"/>
          </w:tcPr>
          <w:p w:rsidR="00B42F0C" w:rsidRDefault="0075308B">
            <w:pPr>
              <w:jc w:val="right"/>
            </w:pPr>
            <w:r>
              <w:rPr>
                <w:color w:val="000000"/>
                <w:kern w:val="0"/>
                <w:sz w:val="24"/>
                <w:szCs w:val="24"/>
              </w:rPr>
              <w:t>2.80</w:t>
            </w:r>
          </w:p>
        </w:tc>
      </w:tr>
      <w:tr w:rsidR="00B42F0C">
        <w:tc>
          <w:tcPr>
            <w:tcW w:w="0" w:type="auto"/>
            <w:vAlign w:val="center"/>
          </w:tcPr>
          <w:p w:rsidR="00B42F0C" w:rsidRDefault="0075308B">
            <w:pPr>
              <w:jc w:val="center"/>
            </w:pPr>
            <w:r>
              <w:rPr>
                <w:color w:val="000000"/>
                <w:kern w:val="0"/>
                <w:sz w:val="24"/>
                <w:szCs w:val="24"/>
              </w:rPr>
              <w:t>10</w:t>
            </w:r>
          </w:p>
        </w:tc>
        <w:tc>
          <w:tcPr>
            <w:tcW w:w="0" w:type="auto"/>
            <w:vAlign w:val="center"/>
          </w:tcPr>
          <w:p w:rsidR="00B42F0C" w:rsidRDefault="0075308B">
            <w:pPr>
              <w:jc w:val="center"/>
            </w:pPr>
            <w:r>
              <w:rPr>
                <w:color w:val="000000"/>
                <w:kern w:val="0"/>
                <w:sz w:val="24"/>
                <w:szCs w:val="24"/>
              </w:rPr>
              <w:t>600893</w:t>
            </w:r>
          </w:p>
        </w:tc>
        <w:tc>
          <w:tcPr>
            <w:tcW w:w="0" w:type="auto"/>
            <w:vAlign w:val="center"/>
          </w:tcPr>
          <w:p w:rsidR="00B42F0C" w:rsidRDefault="0075308B">
            <w:pPr>
              <w:jc w:val="center"/>
            </w:pPr>
            <w:r>
              <w:rPr>
                <w:color w:val="000000"/>
                <w:kern w:val="0"/>
                <w:sz w:val="24"/>
                <w:szCs w:val="24"/>
              </w:rPr>
              <w:t>航发动力</w:t>
            </w:r>
          </w:p>
        </w:tc>
        <w:tc>
          <w:tcPr>
            <w:tcW w:w="0" w:type="auto"/>
            <w:vAlign w:val="center"/>
          </w:tcPr>
          <w:p w:rsidR="00B42F0C" w:rsidRDefault="0075308B">
            <w:pPr>
              <w:jc w:val="right"/>
            </w:pPr>
            <w:r>
              <w:rPr>
                <w:color w:val="000000"/>
                <w:kern w:val="0"/>
                <w:sz w:val="24"/>
                <w:szCs w:val="24"/>
              </w:rPr>
              <w:t>3,347,700</w:t>
            </w:r>
          </w:p>
        </w:tc>
        <w:tc>
          <w:tcPr>
            <w:tcW w:w="0" w:type="auto"/>
            <w:vAlign w:val="center"/>
          </w:tcPr>
          <w:p w:rsidR="00B42F0C" w:rsidRDefault="0075308B">
            <w:pPr>
              <w:jc w:val="right"/>
            </w:pPr>
            <w:r>
              <w:rPr>
                <w:color w:val="000000"/>
                <w:kern w:val="0"/>
                <w:sz w:val="24"/>
                <w:szCs w:val="24"/>
              </w:rPr>
              <w:t>70,971,240.00</w:t>
            </w:r>
          </w:p>
        </w:tc>
        <w:tc>
          <w:tcPr>
            <w:tcW w:w="0" w:type="auto"/>
            <w:vAlign w:val="center"/>
          </w:tcPr>
          <w:p w:rsidR="00B42F0C" w:rsidRDefault="0075308B">
            <w:pPr>
              <w:jc w:val="right"/>
            </w:pPr>
            <w:r>
              <w:rPr>
                <w:color w:val="000000"/>
                <w:kern w:val="0"/>
                <w:sz w:val="24"/>
                <w:szCs w:val="24"/>
              </w:rPr>
              <w:t>2.70</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注：本报告期末本基金投资中航机电占基金资产净值比例超过</w:t>
      </w:r>
      <w:r w:rsidRPr="006C56AA">
        <w:rPr>
          <w:color w:val="000000"/>
          <w:sz w:val="24"/>
          <w:szCs w:val="24"/>
        </w:rPr>
        <w:t>10%,</w:t>
      </w:r>
      <w:r w:rsidRPr="006C56AA">
        <w:rPr>
          <w:color w:val="000000"/>
          <w:sz w:val="24"/>
          <w:szCs w:val="24"/>
        </w:rPr>
        <w:t>属于被动超标。</w:t>
      </w:r>
    </w:p>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R="00750D48" w:rsidRPr="00232B03" w:rsidRDefault="00CA4677" w:rsidP="00403A06">
      <w:pPr>
        <w:spacing w:line="360" w:lineRule="auto"/>
        <w:ind w:firstLineChars="200" w:firstLine="480"/>
        <w:rPr>
          <w:color w:val="000000"/>
          <w:sz w:val="24"/>
          <w:szCs w:val="24"/>
        </w:rPr>
      </w:pPr>
      <w:r w:rsidRPr="00403A06">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本基金本报告期末未持有债券。</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518,750.81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82,468.17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2,340,364.12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2,941,583.10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B42F0C">
        <w:tc>
          <w:tcPr>
            <w:tcW w:w="0" w:type="auto"/>
            <w:vAlign w:val="center"/>
          </w:tcPr>
          <w:p w:rsidR="00B42F0C" w:rsidRDefault="0075308B">
            <w:pPr>
              <w:jc w:val="center"/>
            </w:pPr>
            <w:r>
              <w:rPr>
                <w:color w:val="000000"/>
                <w:kern w:val="0"/>
                <w:sz w:val="24"/>
                <w:szCs w:val="24"/>
              </w:rPr>
              <w:t>1</w:t>
            </w:r>
          </w:p>
        </w:tc>
        <w:tc>
          <w:tcPr>
            <w:tcW w:w="0" w:type="auto"/>
            <w:vAlign w:val="center"/>
          </w:tcPr>
          <w:p w:rsidR="00B42F0C" w:rsidRDefault="0075308B">
            <w:pPr>
              <w:jc w:val="center"/>
            </w:pPr>
            <w:r>
              <w:rPr>
                <w:color w:val="000000"/>
                <w:kern w:val="0"/>
                <w:sz w:val="24"/>
                <w:szCs w:val="24"/>
              </w:rPr>
              <w:t>300476</w:t>
            </w:r>
          </w:p>
        </w:tc>
        <w:tc>
          <w:tcPr>
            <w:tcW w:w="0" w:type="auto"/>
            <w:vAlign w:val="center"/>
          </w:tcPr>
          <w:p w:rsidR="00B42F0C" w:rsidRDefault="0075308B">
            <w:pPr>
              <w:jc w:val="center"/>
            </w:pPr>
            <w:r>
              <w:rPr>
                <w:color w:val="000000"/>
                <w:kern w:val="0"/>
                <w:sz w:val="24"/>
                <w:szCs w:val="24"/>
              </w:rPr>
              <w:t>胜宏科技</w:t>
            </w:r>
          </w:p>
        </w:tc>
        <w:tc>
          <w:tcPr>
            <w:tcW w:w="0" w:type="auto"/>
            <w:vAlign w:val="center"/>
          </w:tcPr>
          <w:p w:rsidR="00B42F0C" w:rsidRDefault="0075308B">
            <w:pPr>
              <w:jc w:val="right"/>
            </w:pPr>
            <w:r>
              <w:rPr>
                <w:color w:val="000000"/>
                <w:kern w:val="0"/>
                <w:sz w:val="24"/>
                <w:szCs w:val="24"/>
              </w:rPr>
              <w:t>17,230,500.00</w:t>
            </w:r>
          </w:p>
        </w:tc>
        <w:tc>
          <w:tcPr>
            <w:tcW w:w="0" w:type="auto"/>
            <w:vAlign w:val="center"/>
          </w:tcPr>
          <w:p w:rsidR="00B42F0C" w:rsidRDefault="0075308B">
            <w:pPr>
              <w:jc w:val="right"/>
            </w:pPr>
            <w:r>
              <w:rPr>
                <w:color w:val="000000"/>
                <w:kern w:val="0"/>
                <w:sz w:val="24"/>
                <w:szCs w:val="24"/>
              </w:rPr>
              <w:t>0.66</w:t>
            </w:r>
          </w:p>
        </w:tc>
        <w:tc>
          <w:tcPr>
            <w:tcW w:w="0" w:type="auto"/>
            <w:vAlign w:val="center"/>
          </w:tcPr>
          <w:p w:rsidR="00B42F0C" w:rsidRDefault="0075308B">
            <w:pPr>
              <w:jc w:val="right"/>
            </w:pPr>
            <w:r>
              <w:rPr>
                <w:color w:val="000000"/>
                <w:kern w:val="0"/>
                <w:sz w:val="24"/>
                <w:szCs w:val="24"/>
              </w:rPr>
              <w:t>大宗交易流通受限</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注：根据《深圳</w:t>
      </w:r>
      <w:r w:rsidRPr="006C56AA">
        <w:rPr>
          <w:color w:val="000000"/>
          <w:sz w:val="24"/>
          <w:szCs w:val="24"/>
        </w:rPr>
        <w:t>/</w:t>
      </w:r>
      <w:r w:rsidRPr="006C56AA">
        <w:rPr>
          <w:color w:val="000000"/>
          <w:sz w:val="24"/>
          <w:szCs w:val="24"/>
        </w:rPr>
        <w:t>上海证券交易所上市公司股东及董事、监事、高级管理人员减持股份实施细则》，大股东减持或者特定股东减持，采取大宗交易方式的，在任意连续</w:t>
      </w:r>
      <w:r w:rsidRPr="006C56AA">
        <w:rPr>
          <w:color w:val="000000"/>
          <w:sz w:val="24"/>
          <w:szCs w:val="24"/>
        </w:rPr>
        <w:t>90</w:t>
      </w:r>
      <w:r w:rsidRPr="006C56AA">
        <w:rPr>
          <w:color w:val="000000"/>
          <w:sz w:val="24"/>
          <w:szCs w:val="24"/>
        </w:rPr>
        <w:t>日内，减持股份的总数不得超过公司股份总数的</w:t>
      </w:r>
      <w:r w:rsidRPr="006C56AA">
        <w:rPr>
          <w:color w:val="000000"/>
          <w:sz w:val="24"/>
          <w:szCs w:val="24"/>
        </w:rPr>
        <w:t>2%</w:t>
      </w:r>
      <w:r w:rsidRPr="006C56AA">
        <w:rPr>
          <w:color w:val="000000"/>
          <w:sz w:val="24"/>
          <w:szCs w:val="24"/>
        </w:rPr>
        <w:t>；前款交易的受让方在受让后</w:t>
      </w:r>
      <w:r w:rsidRPr="006C56AA">
        <w:rPr>
          <w:color w:val="000000"/>
          <w:sz w:val="24"/>
          <w:szCs w:val="24"/>
        </w:rPr>
        <w:t>6</w:t>
      </w:r>
      <w:r w:rsidRPr="006C56AA">
        <w:rPr>
          <w:color w:val="000000"/>
          <w:sz w:val="24"/>
          <w:szCs w:val="24"/>
        </w:rPr>
        <w:t>个月内，不得转让所受让的股份。</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4,273,786,891.18</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516,187,516.79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1,441,885,409.70</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3,348,088,998.27</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B42F0C" w:rsidRDefault="0075308B">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中国证监会准予易方达国防军工混合型证券投资基金注册的文件；</w:t>
      </w:r>
    </w:p>
    <w:p w:rsidR="00B42F0C" w:rsidRDefault="0075308B">
      <w:pPr>
        <w:spacing w:line="360" w:lineRule="auto"/>
        <w:ind w:firstLineChars="200" w:firstLine="480"/>
        <w:rPr>
          <w:color w:val="000000"/>
          <w:sz w:val="24"/>
          <w:szCs w:val="24"/>
        </w:rPr>
      </w:pPr>
      <w:r>
        <w:rPr>
          <w:color w:val="000000"/>
          <w:sz w:val="24"/>
          <w:szCs w:val="24"/>
        </w:rPr>
        <w:t>2.</w:t>
      </w:r>
      <w:r>
        <w:rPr>
          <w:color w:val="000000"/>
          <w:sz w:val="24"/>
          <w:szCs w:val="24"/>
        </w:rPr>
        <w:t>《易方达国防军工混合型证券投资基金基金合同》；</w:t>
      </w:r>
    </w:p>
    <w:p w:rsidR="00B42F0C" w:rsidRDefault="0075308B">
      <w:pPr>
        <w:spacing w:line="360" w:lineRule="auto"/>
        <w:ind w:firstLineChars="200" w:firstLine="480"/>
        <w:rPr>
          <w:color w:val="000000"/>
          <w:sz w:val="24"/>
          <w:szCs w:val="24"/>
        </w:rPr>
      </w:pPr>
      <w:r>
        <w:rPr>
          <w:color w:val="000000"/>
          <w:sz w:val="24"/>
          <w:szCs w:val="24"/>
        </w:rPr>
        <w:t>3.</w:t>
      </w:r>
      <w:r>
        <w:rPr>
          <w:color w:val="000000"/>
          <w:sz w:val="24"/>
          <w:szCs w:val="24"/>
        </w:rPr>
        <w:t>《易方达国防军工混合型证券投资基金托管协议》；</w:t>
      </w:r>
    </w:p>
    <w:p w:rsidR="00B42F0C" w:rsidRDefault="0075308B">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75308B">
      <w:rPr>
        <w:rStyle w:val="a7"/>
        <w:noProof/>
      </w:rPr>
      <w:t>1</w:t>
    </w:r>
    <w:r>
      <w:rPr>
        <w:rStyle w:val="a7"/>
      </w:rPr>
      <w:fldChar w:fldCharType="end"/>
    </w:r>
    <w:r>
      <w:rPr>
        <w:rStyle w:val="a7"/>
        <w:rFonts w:hint="eastAsia"/>
      </w:rPr>
      <w:t>页共</w:t>
    </w:r>
    <w:fldSimple w:instr=" NUMPAGES  \* Arabic  \* MERGEFORMAT ">
      <w:r w:rsidR="0075308B" w:rsidRPr="0075308B">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75308B">
      <w:rPr>
        <w:rStyle w:val="a7"/>
        <w:noProof/>
      </w:rPr>
      <w:t>2</w:t>
    </w:r>
    <w:r>
      <w:rPr>
        <w:rStyle w:val="a7"/>
      </w:rPr>
      <w:fldChar w:fldCharType="end"/>
    </w:r>
    <w:r>
      <w:rPr>
        <w:rStyle w:val="a7"/>
        <w:rFonts w:hint="eastAsia"/>
      </w:rPr>
      <w:t>页共</w:t>
    </w:r>
    <w:r w:rsidR="0075308B">
      <w:fldChar w:fldCharType="begin"/>
    </w:r>
    <w:r w:rsidR="0075308B">
      <w:instrText xml:space="preserve"> NUMPAGES  \* Arabic  \* MERGEFORMAT </w:instrText>
    </w:r>
    <w:r w:rsidR="0075308B">
      <w:fldChar w:fldCharType="separate"/>
    </w:r>
    <w:r w:rsidR="0075308B" w:rsidRPr="0075308B">
      <w:rPr>
        <w:rStyle w:val="a7"/>
        <w:noProof/>
      </w:rPr>
      <w:t>2</w:t>
    </w:r>
    <w:r w:rsidR="0075308B">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易方达国防军工混合型证券投资基金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308B"/>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42F0C"/>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3D94B596-2ED5-44EE-A72B-A62767D9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5E8D-3545-49AB-B4AD-31241B2B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5118</Characters>
  <Application>Microsoft Office Word</Application>
  <DocSecurity>4</DocSecurity>
  <Lines>42</Lines>
  <Paragraphs>12</Paragraphs>
  <ScaleCrop>false</ScaleCrop>
  <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2020-04-14T01:37:00Z</dcterms:created>
  <dcterms:modified xsi:type="dcterms:W3CDTF">2020-04-14T01:37:00Z</dcterms:modified>
</cp:coreProperties>
</file>