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易方达国企改革混合型证券投资基金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EA38BD" w:rsidRDefault="00183B9D">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A38BD" w:rsidRDefault="00183B9D">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A38BD" w:rsidRDefault="00183B9D">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A38BD" w:rsidRDefault="00183B9D">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A38BD" w:rsidRDefault="00183B9D">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易方达国企改革混合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001382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001382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68,739,652.59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政策分析，综合考虑宏观经济环境、政策形势、市场估值与流动性等因素，关注国家宏观经济与产业经济层面相关改革政策的政策导向及其变化对市场和相关产业的影响。股票投资方面，本基金将采取自上而下</w:t>
            </w:r>
            <w:r w:rsidRPr="00232B03">
              <w:rPr>
                <w:color w:val="000000"/>
                <w:kern w:val="0"/>
                <w:sz w:val="24"/>
                <w:szCs w:val="24"/>
              </w:rPr>
              <w:lastRenderedPageBreak/>
              <w:t>的政策跟踪和分析，结合自下而上的国企改革事件分析、基本面评价及估值分析，优选受益于国有企业改革或在全面深化国企改革推动下预期盈利水平将显著提升的上市公司。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中证国有企业改革指数收益率</w:t>
            </w:r>
            <w:r w:rsidRPr="00232B03">
              <w:rPr>
                <w:color w:val="000000"/>
                <w:kern w:val="0"/>
                <w:sz w:val="24"/>
                <w:szCs w:val="24"/>
              </w:rPr>
              <w:t>×80%+</w:t>
            </w:r>
            <w:r w:rsidRPr="00232B03">
              <w:rPr>
                <w:color w:val="000000"/>
                <w:kern w:val="0"/>
                <w:sz w:val="24"/>
                <w:szCs w:val="24"/>
              </w:rPr>
              <w:t>一年期人民币定期存款利率（税后）</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4413C" w:rsidRPr="006506EF" w:rsidTr="00D4413C">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D4413C" w:rsidRPr="006506EF" w:rsidTr="00D4413C">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7,165,347.98</w:t>
            </w:r>
          </w:p>
        </w:tc>
      </w:tr>
      <w:tr w:rsidR="00D4413C" w:rsidRPr="006506EF" w:rsidTr="00D4413C">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-10,826,533.84</w:t>
            </w:r>
          </w:p>
        </w:tc>
      </w:tr>
      <w:tr w:rsidR="00D4413C" w:rsidRPr="006506EF" w:rsidTr="00D4413C">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-0.1377</w:t>
            </w:r>
          </w:p>
        </w:tc>
      </w:tr>
      <w:tr w:rsidR="00D4413C" w:rsidRPr="006506EF" w:rsidTr="00D4413C">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87,052,612.18</w:t>
            </w:r>
          </w:p>
        </w:tc>
      </w:tr>
      <w:tr w:rsidR="00D4413C" w:rsidRPr="006506EF" w:rsidTr="00D4413C">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1.266</w:t>
            </w:r>
          </w:p>
        </w:tc>
      </w:tr>
    </w:tbl>
    <w:p w:rsidR="00EA38BD" w:rsidRDefault="00183B9D">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w:t>
      </w:r>
      <w:r w:rsidRPr="006506EF">
        <w:rPr>
          <w:color w:val="000000"/>
          <w:sz w:val="24"/>
        </w:rPr>
        <w:lastRenderedPageBreak/>
        <w:t>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EA38BD">
        <w:tc>
          <w:tcPr>
            <w:tcW w:w="1395" w:type="dxa"/>
            <w:vAlign w:val="center"/>
          </w:tcPr>
          <w:p w:rsidR="00EA38BD" w:rsidRDefault="00183B9D">
            <w:pPr>
              <w:jc w:val="left"/>
            </w:pPr>
            <w:r>
              <w:rPr>
                <w:color w:val="000000"/>
                <w:kern w:val="0"/>
                <w:sz w:val="24"/>
                <w:szCs w:val="24"/>
              </w:rPr>
              <w:t>过去三个月</w:t>
            </w:r>
          </w:p>
        </w:tc>
        <w:tc>
          <w:tcPr>
            <w:tcW w:w="1092" w:type="dxa"/>
            <w:vAlign w:val="center"/>
          </w:tcPr>
          <w:p w:rsidR="00EA38BD" w:rsidRDefault="00183B9D">
            <w:pPr>
              <w:jc w:val="center"/>
            </w:pPr>
            <w:r>
              <w:rPr>
                <w:color w:val="000000"/>
                <w:kern w:val="0"/>
                <w:sz w:val="24"/>
                <w:szCs w:val="24"/>
              </w:rPr>
              <w:t>-9.64%</w:t>
            </w:r>
          </w:p>
        </w:tc>
        <w:tc>
          <w:tcPr>
            <w:tcW w:w="1161" w:type="dxa"/>
            <w:vAlign w:val="center"/>
          </w:tcPr>
          <w:p w:rsidR="00EA38BD" w:rsidRDefault="00183B9D">
            <w:pPr>
              <w:jc w:val="center"/>
            </w:pPr>
            <w:r>
              <w:rPr>
                <w:color w:val="000000"/>
                <w:kern w:val="0"/>
                <w:sz w:val="24"/>
                <w:szCs w:val="24"/>
              </w:rPr>
              <w:t>2.12%</w:t>
            </w:r>
          </w:p>
        </w:tc>
        <w:tc>
          <w:tcPr>
            <w:tcW w:w="1181" w:type="dxa"/>
            <w:vAlign w:val="center"/>
          </w:tcPr>
          <w:p w:rsidR="00EA38BD" w:rsidRDefault="00183B9D">
            <w:pPr>
              <w:jc w:val="center"/>
            </w:pPr>
            <w:r>
              <w:rPr>
                <w:color w:val="000000"/>
                <w:kern w:val="0"/>
                <w:sz w:val="24"/>
                <w:szCs w:val="24"/>
              </w:rPr>
              <w:t>-7.83%</w:t>
            </w:r>
          </w:p>
        </w:tc>
        <w:tc>
          <w:tcPr>
            <w:tcW w:w="1188" w:type="dxa"/>
            <w:vAlign w:val="center"/>
          </w:tcPr>
          <w:p w:rsidR="00EA38BD" w:rsidRDefault="00183B9D">
            <w:pPr>
              <w:jc w:val="center"/>
            </w:pPr>
            <w:r>
              <w:rPr>
                <w:color w:val="000000"/>
                <w:kern w:val="0"/>
                <w:sz w:val="24"/>
                <w:szCs w:val="24"/>
              </w:rPr>
              <w:t>1.63%</w:t>
            </w:r>
          </w:p>
        </w:tc>
        <w:tc>
          <w:tcPr>
            <w:tcW w:w="1199" w:type="dxa"/>
            <w:vAlign w:val="center"/>
          </w:tcPr>
          <w:p w:rsidR="00EA38BD" w:rsidRDefault="00183B9D">
            <w:pPr>
              <w:jc w:val="center"/>
            </w:pPr>
            <w:r>
              <w:rPr>
                <w:color w:val="000000"/>
                <w:kern w:val="0"/>
                <w:sz w:val="24"/>
                <w:szCs w:val="24"/>
              </w:rPr>
              <w:t>-1.81%</w:t>
            </w:r>
          </w:p>
        </w:tc>
        <w:tc>
          <w:tcPr>
            <w:tcW w:w="1204" w:type="dxa"/>
            <w:vAlign w:val="center"/>
          </w:tcPr>
          <w:p w:rsidR="00EA38BD" w:rsidRDefault="00183B9D">
            <w:pPr>
              <w:jc w:val="center"/>
            </w:pPr>
            <w:r>
              <w:rPr>
                <w:color w:val="000000"/>
                <w:kern w:val="0"/>
                <w:sz w:val="24"/>
                <w:szCs w:val="24"/>
              </w:rPr>
              <w:t>0.49%</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易方达国企改革混合型证券投资基金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8D021F"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26.60%</w:t>
      </w:r>
      <w:r w:rsidRPr="006C56AA">
        <w:rPr>
          <w:color w:val="000000"/>
          <w:sz w:val="24"/>
          <w:szCs w:val="24"/>
        </w:rPr>
        <w:t>，同期业绩比较基准收益率为</w:t>
      </w:r>
      <w:r w:rsidRPr="006C56AA">
        <w:rPr>
          <w:color w:val="000000"/>
          <w:sz w:val="24"/>
          <w:szCs w:val="24"/>
        </w:rPr>
        <w:t>-6.32%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EA38BD">
        <w:tc>
          <w:tcPr>
            <w:tcW w:w="567" w:type="dxa"/>
            <w:vAlign w:val="center"/>
          </w:tcPr>
          <w:p w:rsidR="00EA38BD" w:rsidRDefault="00183B9D">
            <w:pPr>
              <w:jc w:val="center"/>
            </w:pPr>
            <w:r>
              <w:rPr>
                <w:color w:val="000000"/>
                <w:sz w:val="24"/>
              </w:rPr>
              <w:t>郭杰</w:t>
            </w:r>
          </w:p>
        </w:tc>
        <w:tc>
          <w:tcPr>
            <w:tcW w:w="2835" w:type="dxa"/>
            <w:vAlign w:val="center"/>
          </w:tcPr>
          <w:p w:rsidR="00EA38BD" w:rsidRDefault="00183B9D">
            <w:pPr>
              <w:jc w:val="left"/>
            </w:pPr>
            <w:r>
              <w:rPr>
                <w:color w:val="000000"/>
                <w:sz w:val="24"/>
              </w:rPr>
              <w:t>本基金的基金经理、易方达改革红利混合型证券投资基金的基金经理、易方达</w:t>
            </w:r>
            <w:r>
              <w:rPr>
                <w:color w:val="000000"/>
                <w:sz w:val="24"/>
              </w:rPr>
              <w:t>ESG</w:t>
            </w:r>
            <w:r>
              <w:rPr>
                <w:color w:val="000000"/>
                <w:sz w:val="24"/>
              </w:rPr>
              <w:t>责任投资股票型发起式证券投资基金的基金经理、研究部副总经理</w:t>
            </w:r>
          </w:p>
        </w:tc>
        <w:tc>
          <w:tcPr>
            <w:tcW w:w="851" w:type="dxa"/>
            <w:vAlign w:val="center"/>
          </w:tcPr>
          <w:p w:rsidR="00EA38BD" w:rsidRDefault="00183B9D">
            <w:pPr>
              <w:jc w:val="center"/>
            </w:pPr>
            <w:r>
              <w:rPr>
                <w:color w:val="000000"/>
                <w:sz w:val="24"/>
              </w:rPr>
              <w:t>2017-08-23</w:t>
            </w:r>
          </w:p>
        </w:tc>
        <w:tc>
          <w:tcPr>
            <w:tcW w:w="850" w:type="dxa"/>
            <w:vAlign w:val="center"/>
          </w:tcPr>
          <w:p w:rsidR="00EA38BD" w:rsidRDefault="00183B9D">
            <w:pPr>
              <w:jc w:val="center"/>
            </w:pPr>
            <w:r>
              <w:rPr>
                <w:color w:val="000000"/>
                <w:sz w:val="24"/>
              </w:rPr>
              <w:t>-</w:t>
            </w:r>
          </w:p>
        </w:tc>
        <w:tc>
          <w:tcPr>
            <w:tcW w:w="851" w:type="dxa"/>
            <w:vAlign w:val="center"/>
          </w:tcPr>
          <w:p w:rsidR="00EA38BD" w:rsidRDefault="00183B9D">
            <w:pPr>
              <w:jc w:val="center"/>
            </w:pPr>
            <w:r>
              <w:rPr>
                <w:color w:val="000000"/>
                <w:sz w:val="24"/>
              </w:rPr>
              <w:t>12</w:t>
            </w:r>
            <w:r>
              <w:rPr>
                <w:color w:val="000000"/>
                <w:sz w:val="24"/>
              </w:rPr>
              <w:t>年</w:t>
            </w:r>
          </w:p>
        </w:tc>
        <w:tc>
          <w:tcPr>
            <w:tcW w:w="2977" w:type="dxa"/>
            <w:vAlign w:val="center"/>
          </w:tcPr>
          <w:p w:rsidR="00EA38BD" w:rsidRDefault="00183B9D">
            <w:r>
              <w:rPr>
                <w:color w:val="000000"/>
                <w:sz w:val="24"/>
              </w:rPr>
              <w:t>硕士研究生，具有基金从业资格。曾任易方达基金管理有限公司行业研究员、基金经理助理、易方达资源行业股票型证券投资基金基金经理、易方达科汇灵活配置混合型证券投资基金基金经理、易方达新丝路灵活配置混合型证券投资基金基金经理。</w:t>
            </w:r>
          </w:p>
        </w:tc>
      </w:tr>
    </w:tbl>
    <w:p w:rsidR="00EA38BD" w:rsidRDefault="00183B9D">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w:t>
      </w:r>
      <w:r w:rsidRPr="006C56AA">
        <w:rPr>
          <w:color w:val="000000"/>
          <w:sz w:val="24"/>
          <w:szCs w:val="24"/>
        </w:rPr>
        <w:lastRenderedPageBreak/>
        <w:t>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EA38BD" w:rsidRDefault="00183B9D">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EA38BD" w:rsidRDefault="00183B9D">
      <w:pPr>
        <w:spacing w:line="360" w:lineRule="auto"/>
        <w:ind w:firstLineChars="200" w:firstLine="480"/>
        <w:rPr>
          <w:color w:val="000000"/>
          <w:sz w:val="24"/>
          <w:szCs w:val="24"/>
        </w:rPr>
      </w:pPr>
      <w:r>
        <w:rPr>
          <w:color w:val="000000"/>
          <w:sz w:val="24"/>
          <w:szCs w:val="24"/>
        </w:rPr>
        <w:t>一季度国内外先后发生了新冠病毒疫情，本来预期弱复苏的国内经济在短期受到较大冲击，全球经济也面临短期衰退的风险。虽然中国和全球各国政府都对疫情采取了积极应对措施，但股票市场因为投资者对疫情的恐慌和对经济衰退的担心，出现了较大幅度的震荡和下跌。到一季度末，沪深</w:t>
      </w:r>
      <w:r>
        <w:rPr>
          <w:color w:val="000000"/>
          <w:sz w:val="24"/>
          <w:szCs w:val="24"/>
        </w:rPr>
        <w:t>300</w:t>
      </w:r>
      <w:r>
        <w:rPr>
          <w:color w:val="000000"/>
          <w:sz w:val="24"/>
          <w:szCs w:val="24"/>
        </w:rPr>
        <w:t>指数收于</w:t>
      </w:r>
      <w:r>
        <w:rPr>
          <w:color w:val="000000"/>
          <w:sz w:val="24"/>
          <w:szCs w:val="24"/>
        </w:rPr>
        <w:t>3686</w:t>
      </w:r>
      <w:r>
        <w:rPr>
          <w:color w:val="000000"/>
          <w:sz w:val="24"/>
          <w:szCs w:val="24"/>
        </w:rPr>
        <w:t>点，下跌</w:t>
      </w:r>
      <w:r>
        <w:rPr>
          <w:color w:val="000000"/>
          <w:sz w:val="24"/>
          <w:szCs w:val="24"/>
        </w:rPr>
        <w:t>10.02%</w:t>
      </w:r>
      <w:r>
        <w:rPr>
          <w:color w:val="000000"/>
          <w:sz w:val="24"/>
          <w:szCs w:val="24"/>
        </w:rPr>
        <w:t>。某些主题类板块个股的表现明显好于蓝筹类个股，一些短期受疫情影响比较明显的个股跌幅较大。</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秉持一贯的长期持有策略，选择股票的原则是判断其是否拥有长期可持续的竞争优势。因此，对于疫情的冲击，我们仅需判断疫情是否改变了现有持股公司的长期竞争优势。本基金优选出的这些国企，或天赋异禀，或垄断市场，凭借着极高的竞争壁垒，享受着明显高出平均水平的资本回报。疫情对于它们的影响，只是短期暂时的，长期看并不会改变其壁垒和地位。基于以上原则和判断，我们在一季度没有对组合做大幅的调整。虽然基金的净值在一季度表现一般，但我们依然对坚持的理念和方法充满信心，对在中长期取得稳定的良好业绩充满信心。</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1.266</w:t>
      </w:r>
      <w:r w:rsidRPr="006C56AA">
        <w:rPr>
          <w:color w:val="000000"/>
          <w:sz w:val="24"/>
          <w:szCs w:val="24"/>
        </w:rPr>
        <w:t>元，本报告期份额净值增长率为</w:t>
      </w:r>
      <w:r w:rsidRPr="006C56AA">
        <w:rPr>
          <w:color w:val="000000"/>
          <w:sz w:val="24"/>
          <w:szCs w:val="24"/>
        </w:rPr>
        <w:t>-9.64%</w:t>
      </w:r>
      <w:r w:rsidRPr="006C56AA">
        <w:rPr>
          <w:color w:val="000000"/>
          <w:sz w:val="24"/>
          <w:szCs w:val="24"/>
        </w:rPr>
        <w:t>，同期业绩比较基准收益率为</w:t>
      </w:r>
      <w:r w:rsidRPr="006C56AA">
        <w:rPr>
          <w:color w:val="000000"/>
          <w:sz w:val="24"/>
          <w:szCs w:val="24"/>
        </w:rPr>
        <w:t>-7.83%</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77,370,548.64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88.00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77,370,548.64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88.00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9,956,886.11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11.32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594,951.98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0.68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87,922,386.73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62,386,017.14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71.66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14,947,831.21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77,370,548.64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88.88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A38BD">
        <w:tc>
          <w:tcPr>
            <w:tcW w:w="851" w:type="dxa"/>
            <w:vAlign w:val="center"/>
          </w:tcPr>
          <w:p w:rsidR="00EA38BD" w:rsidRDefault="00183B9D">
            <w:pPr>
              <w:jc w:val="center"/>
            </w:pPr>
            <w:r>
              <w:rPr>
                <w:color w:val="000000"/>
                <w:kern w:val="0"/>
                <w:sz w:val="24"/>
                <w:szCs w:val="24"/>
              </w:rPr>
              <w:t>1</w:t>
            </w:r>
          </w:p>
        </w:tc>
        <w:tc>
          <w:tcPr>
            <w:tcW w:w="1276" w:type="dxa"/>
            <w:vAlign w:val="center"/>
          </w:tcPr>
          <w:p w:rsidR="00EA38BD" w:rsidRDefault="00183B9D">
            <w:pPr>
              <w:jc w:val="center"/>
            </w:pPr>
            <w:r>
              <w:rPr>
                <w:color w:val="000000"/>
                <w:kern w:val="0"/>
                <w:sz w:val="24"/>
                <w:szCs w:val="24"/>
              </w:rPr>
              <w:t>600519</w:t>
            </w:r>
          </w:p>
        </w:tc>
        <w:tc>
          <w:tcPr>
            <w:tcW w:w="1418" w:type="dxa"/>
            <w:vAlign w:val="center"/>
          </w:tcPr>
          <w:p w:rsidR="00EA38BD" w:rsidRDefault="00183B9D">
            <w:pPr>
              <w:jc w:val="center"/>
            </w:pPr>
            <w:r>
              <w:rPr>
                <w:color w:val="000000"/>
                <w:kern w:val="0"/>
                <w:sz w:val="24"/>
                <w:szCs w:val="24"/>
              </w:rPr>
              <w:t>贵州茅台</w:t>
            </w:r>
          </w:p>
        </w:tc>
        <w:tc>
          <w:tcPr>
            <w:tcW w:w="1701" w:type="dxa"/>
            <w:vAlign w:val="center"/>
          </w:tcPr>
          <w:p w:rsidR="00EA38BD" w:rsidRDefault="00183B9D">
            <w:pPr>
              <w:jc w:val="right"/>
            </w:pPr>
            <w:r>
              <w:rPr>
                <w:color w:val="000000"/>
                <w:kern w:val="0"/>
                <w:sz w:val="24"/>
                <w:szCs w:val="24"/>
              </w:rPr>
              <w:t>7,982</w:t>
            </w:r>
          </w:p>
        </w:tc>
        <w:tc>
          <w:tcPr>
            <w:tcW w:w="1984" w:type="dxa"/>
            <w:vAlign w:val="center"/>
          </w:tcPr>
          <w:p w:rsidR="00EA38BD" w:rsidRDefault="00183B9D">
            <w:pPr>
              <w:jc w:val="right"/>
            </w:pPr>
            <w:r>
              <w:rPr>
                <w:color w:val="000000"/>
                <w:kern w:val="0"/>
                <w:sz w:val="24"/>
                <w:szCs w:val="24"/>
              </w:rPr>
              <w:t>8,868,002.00</w:t>
            </w:r>
          </w:p>
        </w:tc>
        <w:tc>
          <w:tcPr>
            <w:tcW w:w="1559" w:type="dxa"/>
            <w:vAlign w:val="center"/>
          </w:tcPr>
          <w:p w:rsidR="00EA38BD" w:rsidRDefault="00183B9D">
            <w:pPr>
              <w:jc w:val="right"/>
            </w:pPr>
            <w:r>
              <w:rPr>
                <w:color w:val="000000"/>
                <w:kern w:val="0"/>
                <w:sz w:val="24"/>
                <w:szCs w:val="24"/>
              </w:rPr>
              <w:t>10.19</w:t>
            </w:r>
          </w:p>
        </w:tc>
      </w:tr>
      <w:tr w:rsidR="00EA38BD">
        <w:tc>
          <w:tcPr>
            <w:tcW w:w="851" w:type="dxa"/>
            <w:vAlign w:val="center"/>
          </w:tcPr>
          <w:p w:rsidR="00EA38BD" w:rsidRDefault="00183B9D">
            <w:pPr>
              <w:jc w:val="center"/>
            </w:pPr>
            <w:r>
              <w:rPr>
                <w:color w:val="000000"/>
                <w:kern w:val="0"/>
                <w:sz w:val="24"/>
                <w:szCs w:val="24"/>
              </w:rPr>
              <w:t>2</w:t>
            </w:r>
          </w:p>
        </w:tc>
        <w:tc>
          <w:tcPr>
            <w:tcW w:w="1276" w:type="dxa"/>
            <w:vAlign w:val="center"/>
          </w:tcPr>
          <w:p w:rsidR="00EA38BD" w:rsidRDefault="00183B9D">
            <w:pPr>
              <w:jc w:val="center"/>
            </w:pPr>
            <w:r>
              <w:rPr>
                <w:color w:val="000000"/>
                <w:kern w:val="0"/>
                <w:sz w:val="24"/>
                <w:szCs w:val="24"/>
              </w:rPr>
              <w:t>000568</w:t>
            </w:r>
          </w:p>
        </w:tc>
        <w:tc>
          <w:tcPr>
            <w:tcW w:w="1418" w:type="dxa"/>
            <w:vAlign w:val="center"/>
          </w:tcPr>
          <w:p w:rsidR="00EA38BD" w:rsidRDefault="00183B9D">
            <w:pPr>
              <w:jc w:val="center"/>
            </w:pPr>
            <w:r>
              <w:rPr>
                <w:color w:val="000000"/>
                <w:kern w:val="0"/>
                <w:sz w:val="24"/>
                <w:szCs w:val="24"/>
              </w:rPr>
              <w:t>泸州老窖</w:t>
            </w:r>
          </w:p>
        </w:tc>
        <w:tc>
          <w:tcPr>
            <w:tcW w:w="1701" w:type="dxa"/>
            <w:vAlign w:val="center"/>
          </w:tcPr>
          <w:p w:rsidR="00EA38BD" w:rsidRDefault="00183B9D">
            <w:pPr>
              <w:jc w:val="right"/>
            </w:pPr>
            <w:r>
              <w:rPr>
                <w:color w:val="000000"/>
                <w:kern w:val="0"/>
                <w:sz w:val="24"/>
                <w:szCs w:val="24"/>
              </w:rPr>
              <w:t>117,455</w:t>
            </w:r>
          </w:p>
        </w:tc>
        <w:tc>
          <w:tcPr>
            <w:tcW w:w="1984" w:type="dxa"/>
            <w:vAlign w:val="center"/>
          </w:tcPr>
          <w:p w:rsidR="00EA38BD" w:rsidRDefault="00183B9D">
            <w:pPr>
              <w:jc w:val="right"/>
            </w:pPr>
            <w:r>
              <w:rPr>
                <w:color w:val="000000"/>
                <w:kern w:val="0"/>
                <w:sz w:val="24"/>
                <w:szCs w:val="24"/>
              </w:rPr>
              <w:t>8,650,560.75</w:t>
            </w:r>
          </w:p>
        </w:tc>
        <w:tc>
          <w:tcPr>
            <w:tcW w:w="1559" w:type="dxa"/>
            <w:vAlign w:val="center"/>
          </w:tcPr>
          <w:p w:rsidR="00EA38BD" w:rsidRDefault="00183B9D">
            <w:pPr>
              <w:jc w:val="right"/>
            </w:pPr>
            <w:r>
              <w:rPr>
                <w:color w:val="000000"/>
                <w:kern w:val="0"/>
                <w:sz w:val="24"/>
                <w:szCs w:val="24"/>
              </w:rPr>
              <w:t>9.94</w:t>
            </w:r>
          </w:p>
        </w:tc>
      </w:tr>
      <w:tr w:rsidR="00EA38BD">
        <w:tc>
          <w:tcPr>
            <w:tcW w:w="851" w:type="dxa"/>
            <w:vAlign w:val="center"/>
          </w:tcPr>
          <w:p w:rsidR="00EA38BD" w:rsidRDefault="00183B9D">
            <w:pPr>
              <w:jc w:val="center"/>
            </w:pPr>
            <w:r>
              <w:rPr>
                <w:color w:val="000000"/>
                <w:kern w:val="0"/>
                <w:sz w:val="24"/>
                <w:szCs w:val="24"/>
              </w:rPr>
              <w:t>3</w:t>
            </w:r>
          </w:p>
        </w:tc>
        <w:tc>
          <w:tcPr>
            <w:tcW w:w="1276" w:type="dxa"/>
            <w:vAlign w:val="center"/>
          </w:tcPr>
          <w:p w:rsidR="00EA38BD" w:rsidRDefault="00183B9D">
            <w:pPr>
              <w:jc w:val="center"/>
            </w:pPr>
            <w:r>
              <w:rPr>
                <w:color w:val="000000"/>
                <w:kern w:val="0"/>
                <w:sz w:val="24"/>
                <w:szCs w:val="24"/>
              </w:rPr>
              <w:t>000858</w:t>
            </w:r>
          </w:p>
        </w:tc>
        <w:tc>
          <w:tcPr>
            <w:tcW w:w="1418" w:type="dxa"/>
            <w:vAlign w:val="center"/>
          </w:tcPr>
          <w:p w:rsidR="00EA38BD" w:rsidRDefault="00183B9D">
            <w:pPr>
              <w:jc w:val="center"/>
            </w:pPr>
            <w:r>
              <w:rPr>
                <w:color w:val="000000"/>
                <w:kern w:val="0"/>
                <w:sz w:val="24"/>
                <w:szCs w:val="24"/>
              </w:rPr>
              <w:t>五粮液</w:t>
            </w:r>
          </w:p>
        </w:tc>
        <w:tc>
          <w:tcPr>
            <w:tcW w:w="1701" w:type="dxa"/>
            <w:vAlign w:val="center"/>
          </w:tcPr>
          <w:p w:rsidR="00EA38BD" w:rsidRDefault="00183B9D">
            <w:pPr>
              <w:jc w:val="right"/>
            </w:pPr>
            <w:r>
              <w:rPr>
                <w:color w:val="000000"/>
                <w:kern w:val="0"/>
                <w:sz w:val="24"/>
                <w:szCs w:val="24"/>
              </w:rPr>
              <w:t>74,250</w:t>
            </w:r>
          </w:p>
        </w:tc>
        <w:tc>
          <w:tcPr>
            <w:tcW w:w="1984" w:type="dxa"/>
            <w:vAlign w:val="center"/>
          </w:tcPr>
          <w:p w:rsidR="00EA38BD" w:rsidRDefault="00183B9D">
            <w:pPr>
              <w:jc w:val="right"/>
            </w:pPr>
            <w:r>
              <w:rPr>
                <w:color w:val="000000"/>
                <w:kern w:val="0"/>
                <w:sz w:val="24"/>
                <w:szCs w:val="24"/>
              </w:rPr>
              <w:t>8,553,600.00</w:t>
            </w:r>
          </w:p>
        </w:tc>
        <w:tc>
          <w:tcPr>
            <w:tcW w:w="1559" w:type="dxa"/>
            <w:vAlign w:val="center"/>
          </w:tcPr>
          <w:p w:rsidR="00EA38BD" w:rsidRDefault="00183B9D">
            <w:pPr>
              <w:jc w:val="right"/>
            </w:pPr>
            <w:r>
              <w:rPr>
                <w:color w:val="000000"/>
                <w:kern w:val="0"/>
                <w:sz w:val="24"/>
                <w:szCs w:val="24"/>
              </w:rPr>
              <w:t>9.83</w:t>
            </w:r>
          </w:p>
        </w:tc>
      </w:tr>
      <w:tr w:rsidR="00EA38BD">
        <w:tc>
          <w:tcPr>
            <w:tcW w:w="851" w:type="dxa"/>
            <w:vAlign w:val="center"/>
          </w:tcPr>
          <w:p w:rsidR="00EA38BD" w:rsidRDefault="00183B9D">
            <w:pPr>
              <w:jc w:val="center"/>
            </w:pPr>
            <w:r>
              <w:rPr>
                <w:color w:val="000000"/>
                <w:kern w:val="0"/>
                <w:sz w:val="24"/>
                <w:szCs w:val="24"/>
              </w:rPr>
              <w:t>4</w:t>
            </w:r>
          </w:p>
        </w:tc>
        <w:tc>
          <w:tcPr>
            <w:tcW w:w="1276" w:type="dxa"/>
            <w:vAlign w:val="center"/>
          </w:tcPr>
          <w:p w:rsidR="00EA38BD" w:rsidRDefault="00183B9D">
            <w:pPr>
              <w:jc w:val="center"/>
            </w:pPr>
            <w:r>
              <w:rPr>
                <w:color w:val="000000"/>
                <w:kern w:val="0"/>
                <w:sz w:val="24"/>
                <w:szCs w:val="24"/>
              </w:rPr>
              <w:t>000651</w:t>
            </w:r>
          </w:p>
        </w:tc>
        <w:tc>
          <w:tcPr>
            <w:tcW w:w="1418" w:type="dxa"/>
            <w:vAlign w:val="center"/>
          </w:tcPr>
          <w:p w:rsidR="00EA38BD" w:rsidRDefault="00183B9D">
            <w:pPr>
              <w:jc w:val="center"/>
            </w:pPr>
            <w:r>
              <w:rPr>
                <w:color w:val="000000"/>
                <w:kern w:val="0"/>
                <w:sz w:val="24"/>
                <w:szCs w:val="24"/>
              </w:rPr>
              <w:t>格力电器</w:t>
            </w:r>
          </w:p>
        </w:tc>
        <w:tc>
          <w:tcPr>
            <w:tcW w:w="1701" w:type="dxa"/>
            <w:vAlign w:val="center"/>
          </w:tcPr>
          <w:p w:rsidR="00EA38BD" w:rsidRDefault="00183B9D">
            <w:pPr>
              <w:jc w:val="right"/>
            </w:pPr>
            <w:r>
              <w:rPr>
                <w:color w:val="000000"/>
                <w:kern w:val="0"/>
                <w:sz w:val="24"/>
                <w:szCs w:val="24"/>
              </w:rPr>
              <w:t>159,124</w:t>
            </w:r>
          </w:p>
        </w:tc>
        <w:tc>
          <w:tcPr>
            <w:tcW w:w="1984" w:type="dxa"/>
            <w:vAlign w:val="center"/>
          </w:tcPr>
          <w:p w:rsidR="00EA38BD" w:rsidRDefault="00183B9D">
            <w:pPr>
              <w:jc w:val="right"/>
            </w:pPr>
            <w:r>
              <w:rPr>
                <w:color w:val="000000"/>
                <w:kern w:val="0"/>
                <w:sz w:val="24"/>
                <w:szCs w:val="24"/>
              </w:rPr>
              <w:t>8,306,272.80</w:t>
            </w:r>
          </w:p>
        </w:tc>
        <w:tc>
          <w:tcPr>
            <w:tcW w:w="1559" w:type="dxa"/>
            <w:vAlign w:val="center"/>
          </w:tcPr>
          <w:p w:rsidR="00EA38BD" w:rsidRDefault="00183B9D">
            <w:pPr>
              <w:jc w:val="right"/>
            </w:pPr>
            <w:r>
              <w:rPr>
                <w:color w:val="000000"/>
                <w:kern w:val="0"/>
                <w:sz w:val="24"/>
                <w:szCs w:val="24"/>
              </w:rPr>
              <w:t>9.54</w:t>
            </w:r>
          </w:p>
        </w:tc>
      </w:tr>
      <w:tr w:rsidR="00EA38BD">
        <w:tc>
          <w:tcPr>
            <w:tcW w:w="851" w:type="dxa"/>
            <w:vAlign w:val="center"/>
          </w:tcPr>
          <w:p w:rsidR="00EA38BD" w:rsidRDefault="00183B9D">
            <w:pPr>
              <w:jc w:val="center"/>
            </w:pPr>
            <w:r>
              <w:rPr>
                <w:color w:val="000000"/>
                <w:kern w:val="0"/>
                <w:sz w:val="24"/>
                <w:szCs w:val="24"/>
              </w:rPr>
              <w:t>5</w:t>
            </w:r>
          </w:p>
        </w:tc>
        <w:tc>
          <w:tcPr>
            <w:tcW w:w="1276" w:type="dxa"/>
            <w:vAlign w:val="center"/>
          </w:tcPr>
          <w:p w:rsidR="00EA38BD" w:rsidRDefault="00183B9D">
            <w:pPr>
              <w:jc w:val="center"/>
            </w:pPr>
            <w:r>
              <w:rPr>
                <w:color w:val="000000"/>
                <w:kern w:val="0"/>
                <w:sz w:val="24"/>
                <w:szCs w:val="24"/>
              </w:rPr>
              <w:t>600809</w:t>
            </w:r>
          </w:p>
        </w:tc>
        <w:tc>
          <w:tcPr>
            <w:tcW w:w="1418" w:type="dxa"/>
            <w:vAlign w:val="center"/>
          </w:tcPr>
          <w:p w:rsidR="00EA38BD" w:rsidRDefault="00183B9D">
            <w:pPr>
              <w:jc w:val="center"/>
            </w:pPr>
            <w:r>
              <w:rPr>
                <w:color w:val="000000"/>
                <w:kern w:val="0"/>
                <w:sz w:val="24"/>
                <w:szCs w:val="24"/>
              </w:rPr>
              <w:t>山西汾酒</w:t>
            </w:r>
          </w:p>
        </w:tc>
        <w:tc>
          <w:tcPr>
            <w:tcW w:w="1701" w:type="dxa"/>
            <w:vAlign w:val="center"/>
          </w:tcPr>
          <w:p w:rsidR="00EA38BD" w:rsidRDefault="00183B9D">
            <w:pPr>
              <w:jc w:val="right"/>
            </w:pPr>
            <w:r>
              <w:rPr>
                <w:color w:val="000000"/>
                <w:kern w:val="0"/>
                <w:sz w:val="24"/>
                <w:szCs w:val="24"/>
              </w:rPr>
              <w:t>84,482</w:t>
            </w:r>
          </w:p>
        </w:tc>
        <w:tc>
          <w:tcPr>
            <w:tcW w:w="1984" w:type="dxa"/>
            <w:vAlign w:val="center"/>
          </w:tcPr>
          <w:p w:rsidR="00EA38BD" w:rsidRDefault="00183B9D">
            <w:pPr>
              <w:jc w:val="right"/>
            </w:pPr>
            <w:r>
              <w:rPr>
                <w:color w:val="000000"/>
                <w:kern w:val="0"/>
                <w:sz w:val="24"/>
                <w:szCs w:val="24"/>
              </w:rPr>
              <w:t>7,618,586.76</w:t>
            </w:r>
          </w:p>
        </w:tc>
        <w:tc>
          <w:tcPr>
            <w:tcW w:w="1559" w:type="dxa"/>
            <w:vAlign w:val="center"/>
          </w:tcPr>
          <w:p w:rsidR="00EA38BD" w:rsidRDefault="00183B9D">
            <w:pPr>
              <w:jc w:val="right"/>
            </w:pPr>
            <w:r>
              <w:rPr>
                <w:color w:val="000000"/>
                <w:kern w:val="0"/>
                <w:sz w:val="24"/>
                <w:szCs w:val="24"/>
              </w:rPr>
              <w:t>8.75</w:t>
            </w:r>
          </w:p>
        </w:tc>
      </w:tr>
      <w:tr w:rsidR="00EA38BD">
        <w:tc>
          <w:tcPr>
            <w:tcW w:w="851" w:type="dxa"/>
            <w:vAlign w:val="center"/>
          </w:tcPr>
          <w:p w:rsidR="00EA38BD" w:rsidRDefault="00183B9D">
            <w:pPr>
              <w:jc w:val="center"/>
            </w:pPr>
            <w:r>
              <w:rPr>
                <w:color w:val="000000"/>
                <w:kern w:val="0"/>
                <w:sz w:val="24"/>
                <w:szCs w:val="24"/>
              </w:rPr>
              <w:t>6</w:t>
            </w:r>
          </w:p>
        </w:tc>
        <w:tc>
          <w:tcPr>
            <w:tcW w:w="1276" w:type="dxa"/>
            <w:vAlign w:val="center"/>
          </w:tcPr>
          <w:p w:rsidR="00EA38BD" w:rsidRDefault="00183B9D">
            <w:pPr>
              <w:jc w:val="center"/>
            </w:pPr>
            <w:r>
              <w:rPr>
                <w:color w:val="000000"/>
                <w:kern w:val="0"/>
                <w:sz w:val="24"/>
                <w:szCs w:val="24"/>
              </w:rPr>
              <w:t>600004</w:t>
            </w:r>
          </w:p>
        </w:tc>
        <w:tc>
          <w:tcPr>
            <w:tcW w:w="1418" w:type="dxa"/>
            <w:vAlign w:val="center"/>
          </w:tcPr>
          <w:p w:rsidR="00EA38BD" w:rsidRDefault="00183B9D">
            <w:pPr>
              <w:jc w:val="center"/>
            </w:pPr>
            <w:r>
              <w:rPr>
                <w:color w:val="000000"/>
                <w:kern w:val="0"/>
                <w:sz w:val="24"/>
                <w:szCs w:val="24"/>
              </w:rPr>
              <w:t>白云机场</w:t>
            </w:r>
          </w:p>
        </w:tc>
        <w:tc>
          <w:tcPr>
            <w:tcW w:w="1701" w:type="dxa"/>
            <w:vAlign w:val="center"/>
          </w:tcPr>
          <w:p w:rsidR="00EA38BD" w:rsidRDefault="00183B9D">
            <w:pPr>
              <w:jc w:val="right"/>
            </w:pPr>
            <w:r>
              <w:rPr>
                <w:color w:val="000000"/>
                <w:kern w:val="0"/>
                <w:sz w:val="24"/>
                <w:szCs w:val="24"/>
              </w:rPr>
              <w:t>427,472</w:t>
            </w:r>
          </w:p>
        </w:tc>
        <w:tc>
          <w:tcPr>
            <w:tcW w:w="1984" w:type="dxa"/>
            <w:vAlign w:val="center"/>
          </w:tcPr>
          <w:p w:rsidR="00EA38BD" w:rsidRDefault="00183B9D">
            <w:pPr>
              <w:jc w:val="right"/>
            </w:pPr>
            <w:r>
              <w:rPr>
                <w:color w:val="000000"/>
                <w:kern w:val="0"/>
                <w:sz w:val="24"/>
                <w:szCs w:val="24"/>
              </w:rPr>
              <w:t>5,364,773.60</w:t>
            </w:r>
          </w:p>
        </w:tc>
        <w:tc>
          <w:tcPr>
            <w:tcW w:w="1559" w:type="dxa"/>
            <w:vAlign w:val="center"/>
          </w:tcPr>
          <w:p w:rsidR="00EA38BD" w:rsidRDefault="00183B9D">
            <w:pPr>
              <w:jc w:val="right"/>
            </w:pPr>
            <w:r>
              <w:rPr>
                <w:color w:val="000000"/>
                <w:kern w:val="0"/>
                <w:sz w:val="24"/>
                <w:szCs w:val="24"/>
              </w:rPr>
              <w:t>6.16</w:t>
            </w:r>
          </w:p>
        </w:tc>
      </w:tr>
      <w:tr w:rsidR="00EA38BD">
        <w:tc>
          <w:tcPr>
            <w:tcW w:w="851" w:type="dxa"/>
            <w:vAlign w:val="center"/>
          </w:tcPr>
          <w:p w:rsidR="00EA38BD" w:rsidRDefault="00183B9D">
            <w:pPr>
              <w:jc w:val="center"/>
            </w:pPr>
            <w:r>
              <w:rPr>
                <w:color w:val="000000"/>
                <w:kern w:val="0"/>
                <w:sz w:val="24"/>
                <w:szCs w:val="24"/>
              </w:rPr>
              <w:t>7</w:t>
            </w:r>
          </w:p>
        </w:tc>
        <w:tc>
          <w:tcPr>
            <w:tcW w:w="1276" w:type="dxa"/>
            <w:vAlign w:val="center"/>
          </w:tcPr>
          <w:p w:rsidR="00EA38BD" w:rsidRDefault="00183B9D">
            <w:pPr>
              <w:jc w:val="center"/>
            </w:pPr>
            <w:r>
              <w:rPr>
                <w:color w:val="000000"/>
                <w:kern w:val="0"/>
                <w:sz w:val="24"/>
                <w:szCs w:val="24"/>
              </w:rPr>
              <w:t>601816</w:t>
            </w:r>
          </w:p>
        </w:tc>
        <w:tc>
          <w:tcPr>
            <w:tcW w:w="1418" w:type="dxa"/>
            <w:vAlign w:val="center"/>
          </w:tcPr>
          <w:p w:rsidR="00EA38BD" w:rsidRDefault="00183B9D">
            <w:pPr>
              <w:jc w:val="center"/>
            </w:pPr>
            <w:r>
              <w:rPr>
                <w:color w:val="000000"/>
                <w:kern w:val="0"/>
                <w:sz w:val="24"/>
                <w:szCs w:val="24"/>
              </w:rPr>
              <w:t>京沪高铁</w:t>
            </w:r>
          </w:p>
        </w:tc>
        <w:tc>
          <w:tcPr>
            <w:tcW w:w="1701" w:type="dxa"/>
            <w:vAlign w:val="center"/>
          </w:tcPr>
          <w:p w:rsidR="00EA38BD" w:rsidRDefault="00183B9D">
            <w:pPr>
              <w:jc w:val="right"/>
            </w:pPr>
            <w:r>
              <w:rPr>
                <w:color w:val="000000"/>
                <w:kern w:val="0"/>
                <w:sz w:val="24"/>
                <w:szCs w:val="24"/>
              </w:rPr>
              <w:t>906,536</w:t>
            </w:r>
          </w:p>
        </w:tc>
        <w:tc>
          <w:tcPr>
            <w:tcW w:w="1984" w:type="dxa"/>
            <w:vAlign w:val="center"/>
          </w:tcPr>
          <w:p w:rsidR="00EA38BD" w:rsidRDefault="00183B9D">
            <w:pPr>
              <w:jc w:val="right"/>
            </w:pPr>
            <w:r>
              <w:rPr>
                <w:color w:val="000000"/>
                <w:kern w:val="0"/>
                <w:sz w:val="24"/>
                <w:szCs w:val="24"/>
              </w:rPr>
              <w:t>5,094,732.32</w:t>
            </w:r>
          </w:p>
        </w:tc>
        <w:tc>
          <w:tcPr>
            <w:tcW w:w="1559" w:type="dxa"/>
            <w:vAlign w:val="center"/>
          </w:tcPr>
          <w:p w:rsidR="00EA38BD" w:rsidRDefault="00183B9D">
            <w:pPr>
              <w:jc w:val="right"/>
            </w:pPr>
            <w:r>
              <w:rPr>
                <w:color w:val="000000"/>
                <w:kern w:val="0"/>
                <w:sz w:val="24"/>
                <w:szCs w:val="24"/>
              </w:rPr>
              <w:t>5.85</w:t>
            </w:r>
          </w:p>
        </w:tc>
      </w:tr>
      <w:tr w:rsidR="00EA38BD">
        <w:tc>
          <w:tcPr>
            <w:tcW w:w="851" w:type="dxa"/>
            <w:vAlign w:val="center"/>
          </w:tcPr>
          <w:p w:rsidR="00EA38BD" w:rsidRDefault="00183B9D">
            <w:pPr>
              <w:jc w:val="center"/>
            </w:pPr>
            <w:r>
              <w:rPr>
                <w:color w:val="000000"/>
                <w:kern w:val="0"/>
                <w:sz w:val="24"/>
                <w:szCs w:val="24"/>
              </w:rPr>
              <w:t>8</w:t>
            </w:r>
          </w:p>
        </w:tc>
        <w:tc>
          <w:tcPr>
            <w:tcW w:w="1276" w:type="dxa"/>
            <w:vAlign w:val="center"/>
          </w:tcPr>
          <w:p w:rsidR="00EA38BD" w:rsidRDefault="00183B9D">
            <w:pPr>
              <w:jc w:val="center"/>
            </w:pPr>
            <w:r>
              <w:rPr>
                <w:color w:val="000000"/>
                <w:kern w:val="0"/>
                <w:sz w:val="24"/>
                <w:szCs w:val="24"/>
              </w:rPr>
              <w:t>000596</w:t>
            </w:r>
          </w:p>
        </w:tc>
        <w:tc>
          <w:tcPr>
            <w:tcW w:w="1418" w:type="dxa"/>
            <w:vAlign w:val="center"/>
          </w:tcPr>
          <w:p w:rsidR="00EA38BD" w:rsidRDefault="00183B9D">
            <w:pPr>
              <w:jc w:val="center"/>
            </w:pPr>
            <w:r>
              <w:rPr>
                <w:color w:val="000000"/>
                <w:kern w:val="0"/>
                <w:sz w:val="24"/>
                <w:szCs w:val="24"/>
              </w:rPr>
              <w:t>古井贡酒</w:t>
            </w:r>
          </w:p>
        </w:tc>
        <w:tc>
          <w:tcPr>
            <w:tcW w:w="1701" w:type="dxa"/>
            <w:vAlign w:val="center"/>
          </w:tcPr>
          <w:p w:rsidR="00EA38BD" w:rsidRDefault="00183B9D">
            <w:pPr>
              <w:jc w:val="right"/>
            </w:pPr>
            <w:r>
              <w:rPr>
                <w:color w:val="000000"/>
                <w:kern w:val="0"/>
                <w:sz w:val="24"/>
                <w:szCs w:val="24"/>
              </w:rPr>
              <w:t>41,900</w:t>
            </w:r>
          </w:p>
        </w:tc>
        <w:tc>
          <w:tcPr>
            <w:tcW w:w="1984" w:type="dxa"/>
            <w:vAlign w:val="center"/>
          </w:tcPr>
          <w:p w:rsidR="00EA38BD" w:rsidRDefault="00183B9D">
            <w:pPr>
              <w:jc w:val="right"/>
            </w:pPr>
            <w:r>
              <w:rPr>
                <w:color w:val="000000"/>
                <w:kern w:val="0"/>
                <w:sz w:val="24"/>
                <w:szCs w:val="24"/>
              </w:rPr>
              <w:t>4,786,237.00</w:t>
            </w:r>
          </w:p>
        </w:tc>
        <w:tc>
          <w:tcPr>
            <w:tcW w:w="1559" w:type="dxa"/>
            <w:vAlign w:val="center"/>
          </w:tcPr>
          <w:p w:rsidR="00EA38BD" w:rsidRDefault="00183B9D">
            <w:pPr>
              <w:jc w:val="right"/>
            </w:pPr>
            <w:r>
              <w:rPr>
                <w:color w:val="000000"/>
                <w:kern w:val="0"/>
                <w:sz w:val="24"/>
                <w:szCs w:val="24"/>
              </w:rPr>
              <w:t>5.50</w:t>
            </w:r>
          </w:p>
        </w:tc>
      </w:tr>
      <w:tr w:rsidR="00EA38BD">
        <w:tc>
          <w:tcPr>
            <w:tcW w:w="851" w:type="dxa"/>
            <w:vAlign w:val="center"/>
          </w:tcPr>
          <w:p w:rsidR="00EA38BD" w:rsidRDefault="00183B9D">
            <w:pPr>
              <w:jc w:val="center"/>
            </w:pPr>
            <w:r>
              <w:rPr>
                <w:color w:val="000000"/>
                <w:kern w:val="0"/>
                <w:sz w:val="24"/>
                <w:szCs w:val="24"/>
              </w:rPr>
              <w:t>9</w:t>
            </w:r>
          </w:p>
        </w:tc>
        <w:tc>
          <w:tcPr>
            <w:tcW w:w="1276" w:type="dxa"/>
            <w:vAlign w:val="center"/>
          </w:tcPr>
          <w:p w:rsidR="00EA38BD" w:rsidRDefault="00183B9D">
            <w:pPr>
              <w:jc w:val="center"/>
            </w:pPr>
            <w:r>
              <w:rPr>
                <w:color w:val="000000"/>
                <w:kern w:val="0"/>
                <w:sz w:val="24"/>
                <w:szCs w:val="24"/>
              </w:rPr>
              <w:t>002304</w:t>
            </w:r>
          </w:p>
        </w:tc>
        <w:tc>
          <w:tcPr>
            <w:tcW w:w="1418" w:type="dxa"/>
            <w:vAlign w:val="center"/>
          </w:tcPr>
          <w:p w:rsidR="00EA38BD" w:rsidRDefault="00183B9D">
            <w:pPr>
              <w:jc w:val="center"/>
            </w:pPr>
            <w:r>
              <w:rPr>
                <w:color w:val="000000"/>
                <w:kern w:val="0"/>
                <w:sz w:val="24"/>
                <w:szCs w:val="24"/>
              </w:rPr>
              <w:t>洋河股份</w:t>
            </w:r>
          </w:p>
        </w:tc>
        <w:tc>
          <w:tcPr>
            <w:tcW w:w="1701" w:type="dxa"/>
            <w:vAlign w:val="center"/>
          </w:tcPr>
          <w:p w:rsidR="00EA38BD" w:rsidRDefault="00183B9D">
            <w:pPr>
              <w:jc w:val="right"/>
            </w:pPr>
            <w:r>
              <w:rPr>
                <w:color w:val="000000"/>
                <w:kern w:val="0"/>
                <w:sz w:val="24"/>
                <w:szCs w:val="24"/>
              </w:rPr>
              <w:t>54,267</w:t>
            </w:r>
          </w:p>
        </w:tc>
        <w:tc>
          <w:tcPr>
            <w:tcW w:w="1984" w:type="dxa"/>
            <w:vAlign w:val="center"/>
          </w:tcPr>
          <w:p w:rsidR="00EA38BD" w:rsidRDefault="00183B9D">
            <w:pPr>
              <w:jc w:val="right"/>
            </w:pPr>
            <w:r>
              <w:rPr>
                <w:color w:val="000000"/>
                <w:kern w:val="0"/>
                <w:sz w:val="24"/>
                <w:szCs w:val="24"/>
              </w:rPr>
              <w:t>4,551,373.29</w:t>
            </w:r>
          </w:p>
        </w:tc>
        <w:tc>
          <w:tcPr>
            <w:tcW w:w="1559" w:type="dxa"/>
            <w:vAlign w:val="center"/>
          </w:tcPr>
          <w:p w:rsidR="00EA38BD" w:rsidRDefault="00183B9D">
            <w:pPr>
              <w:jc w:val="right"/>
            </w:pPr>
            <w:r>
              <w:rPr>
                <w:color w:val="000000"/>
                <w:kern w:val="0"/>
                <w:sz w:val="24"/>
                <w:szCs w:val="24"/>
              </w:rPr>
              <w:t>5.23</w:t>
            </w:r>
          </w:p>
        </w:tc>
      </w:tr>
      <w:tr w:rsidR="00EA38BD">
        <w:tc>
          <w:tcPr>
            <w:tcW w:w="851" w:type="dxa"/>
            <w:vAlign w:val="center"/>
          </w:tcPr>
          <w:p w:rsidR="00EA38BD" w:rsidRDefault="00183B9D">
            <w:pPr>
              <w:jc w:val="center"/>
            </w:pPr>
            <w:r>
              <w:rPr>
                <w:color w:val="000000"/>
                <w:kern w:val="0"/>
                <w:sz w:val="24"/>
                <w:szCs w:val="24"/>
              </w:rPr>
              <w:t>10</w:t>
            </w:r>
          </w:p>
        </w:tc>
        <w:tc>
          <w:tcPr>
            <w:tcW w:w="1276" w:type="dxa"/>
            <w:vAlign w:val="center"/>
          </w:tcPr>
          <w:p w:rsidR="00EA38BD" w:rsidRDefault="00183B9D">
            <w:pPr>
              <w:jc w:val="center"/>
            </w:pPr>
            <w:r>
              <w:rPr>
                <w:color w:val="000000"/>
                <w:kern w:val="0"/>
                <w:sz w:val="24"/>
                <w:szCs w:val="24"/>
              </w:rPr>
              <w:t>600009</w:t>
            </w:r>
          </w:p>
        </w:tc>
        <w:tc>
          <w:tcPr>
            <w:tcW w:w="1418" w:type="dxa"/>
            <w:vAlign w:val="center"/>
          </w:tcPr>
          <w:p w:rsidR="00EA38BD" w:rsidRDefault="00183B9D">
            <w:pPr>
              <w:jc w:val="center"/>
            </w:pPr>
            <w:r>
              <w:rPr>
                <w:color w:val="000000"/>
                <w:kern w:val="0"/>
                <w:sz w:val="24"/>
                <w:szCs w:val="24"/>
              </w:rPr>
              <w:t>上海机场</w:t>
            </w:r>
          </w:p>
        </w:tc>
        <w:tc>
          <w:tcPr>
            <w:tcW w:w="1701" w:type="dxa"/>
            <w:vAlign w:val="center"/>
          </w:tcPr>
          <w:p w:rsidR="00EA38BD" w:rsidRDefault="00183B9D">
            <w:pPr>
              <w:jc w:val="right"/>
            </w:pPr>
            <w:r>
              <w:rPr>
                <w:color w:val="000000"/>
                <w:kern w:val="0"/>
                <w:sz w:val="24"/>
                <w:szCs w:val="24"/>
              </w:rPr>
              <w:t>73,809</w:t>
            </w:r>
          </w:p>
        </w:tc>
        <w:tc>
          <w:tcPr>
            <w:tcW w:w="1984" w:type="dxa"/>
            <w:vAlign w:val="center"/>
          </w:tcPr>
          <w:p w:rsidR="00EA38BD" w:rsidRDefault="00183B9D">
            <w:pPr>
              <w:jc w:val="right"/>
            </w:pPr>
            <w:r>
              <w:rPr>
                <w:color w:val="000000"/>
                <w:kern w:val="0"/>
                <w:sz w:val="24"/>
                <w:szCs w:val="24"/>
              </w:rPr>
              <w:t>4,488,325.29</w:t>
            </w:r>
          </w:p>
        </w:tc>
        <w:tc>
          <w:tcPr>
            <w:tcW w:w="1559" w:type="dxa"/>
            <w:vAlign w:val="center"/>
          </w:tcPr>
          <w:p w:rsidR="00EA38BD" w:rsidRDefault="00183B9D">
            <w:pPr>
              <w:jc w:val="right"/>
            </w:pPr>
            <w:r>
              <w:rPr>
                <w:color w:val="000000"/>
                <w:kern w:val="0"/>
                <w:sz w:val="24"/>
                <w:szCs w:val="24"/>
              </w:rPr>
              <w:t>5.16</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注：本报告期末本基金投资贵州茅台占基金资产净值比例超过</w:t>
      </w:r>
      <w:r w:rsidRPr="006C56AA">
        <w:rPr>
          <w:color w:val="000000"/>
          <w:sz w:val="24"/>
          <w:szCs w:val="24"/>
        </w:rPr>
        <w:t>10%,</w:t>
      </w:r>
      <w:r w:rsidRPr="006C56AA">
        <w:rPr>
          <w:color w:val="000000"/>
          <w:sz w:val="24"/>
          <w:szCs w:val="24"/>
        </w:rPr>
        <w:t>属于被动超标。</w:t>
      </w:r>
      <w:r w:rsidRPr="006C56AA">
        <w:rPr>
          <w:color w:val="000000"/>
          <w:sz w:val="24"/>
          <w:szCs w:val="24"/>
        </w:rPr>
        <w:t xml:space="preserve"> </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D4413C" w:rsidRPr="00D4413C" w:rsidRDefault="00750D48" w:rsidP="00D4413C">
      <w:pPr>
        <w:spacing w:line="360" w:lineRule="auto"/>
        <w:ind w:firstLineChars="200" w:firstLine="480"/>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00D4413C" w:rsidRPr="00D4413C">
        <w:rPr>
          <w:rFonts w:ascii="宋体" w:hAnsi="宋体" w:hint="eastAsia"/>
          <w:color w:val="000000"/>
          <w:sz w:val="24"/>
          <w:szCs w:val="24"/>
        </w:rPr>
        <w:t>格力电器（代码：000651）为</w:t>
      </w:r>
      <w:r w:rsidR="00D4413C">
        <w:rPr>
          <w:rFonts w:ascii="宋体" w:hAnsi="宋体" w:hint="eastAsia"/>
          <w:color w:val="000000"/>
          <w:sz w:val="24"/>
          <w:szCs w:val="24"/>
        </w:rPr>
        <w:t>易方达国企改革混合型证券投资</w:t>
      </w:r>
      <w:r w:rsidR="00D4413C" w:rsidRPr="00D4413C">
        <w:rPr>
          <w:rFonts w:ascii="宋体" w:hAnsi="宋体" w:hint="eastAsia"/>
          <w:color w:val="000000"/>
          <w:sz w:val="24"/>
          <w:szCs w:val="24"/>
        </w:rPr>
        <w:t>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D4413C" w:rsidRPr="00D4413C" w:rsidRDefault="00D4413C" w:rsidP="00D4413C">
      <w:pPr>
        <w:spacing w:line="360" w:lineRule="auto"/>
        <w:ind w:firstLineChars="200" w:firstLine="480"/>
        <w:rPr>
          <w:rFonts w:ascii="宋体" w:hAnsi="宋体"/>
          <w:color w:val="000000"/>
          <w:sz w:val="24"/>
          <w:szCs w:val="24"/>
        </w:rPr>
      </w:pPr>
      <w:r w:rsidRPr="00D4413C">
        <w:rPr>
          <w:rFonts w:ascii="宋体" w:hAnsi="宋体" w:hint="eastAsia"/>
          <w:color w:val="000000"/>
          <w:sz w:val="24"/>
          <w:szCs w:val="24"/>
        </w:rPr>
        <w:t>本基金投资格力电器的投资决策程序符合公司投资制度的规定。</w:t>
      </w:r>
    </w:p>
    <w:p w:rsidR="00750D48" w:rsidRPr="00D4413C" w:rsidRDefault="00D4413C" w:rsidP="00D4413C">
      <w:pPr>
        <w:spacing w:line="360" w:lineRule="auto"/>
        <w:ind w:firstLineChars="200" w:firstLine="480"/>
        <w:rPr>
          <w:rFonts w:ascii="宋体" w:hAnsi="宋体"/>
          <w:color w:val="000000"/>
          <w:sz w:val="24"/>
          <w:szCs w:val="24"/>
        </w:rPr>
      </w:pPr>
      <w:r w:rsidRPr="00D4413C">
        <w:rPr>
          <w:rFonts w:ascii="宋体" w:hAnsi="宋体" w:hint="eastAsia"/>
          <w:color w:val="000000"/>
          <w:sz w:val="24"/>
          <w:szCs w:val="24"/>
        </w:rPr>
        <w:t>除格力电器外，本基金投资的前十名证券的发行主体本期没有出现被监管部门立案调查，或在报告编制日前一年内受到公开谴责、处罚的情形。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60,618.36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358,247.48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1,689.08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174,397.06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594,951.98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EA38BD">
        <w:tc>
          <w:tcPr>
            <w:tcW w:w="1083" w:type="dxa"/>
            <w:vAlign w:val="center"/>
          </w:tcPr>
          <w:p w:rsidR="00EA38BD" w:rsidRDefault="00183B9D">
            <w:pPr>
              <w:jc w:val="center"/>
            </w:pPr>
            <w:r>
              <w:rPr>
                <w:color w:val="000000"/>
                <w:kern w:val="0"/>
                <w:sz w:val="24"/>
                <w:szCs w:val="24"/>
              </w:rPr>
              <w:t>1</w:t>
            </w:r>
          </w:p>
        </w:tc>
        <w:tc>
          <w:tcPr>
            <w:tcW w:w="1302" w:type="dxa"/>
            <w:vAlign w:val="center"/>
          </w:tcPr>
          <w:p w:rsidR="00EA38BD" w:rsidRDefault="00183B9D">
            <w:pPr>
              <w:jc w:val="center"/>
            </w:pPr>
            <w:r>
              <w:rPr>
                <w:color w:val="000000"/>
                <w:kern w:val="0"/>
                <w:sz w:val="24"/>
                <w:szCs w:val="24"/>
              </w:rPr>
              <w:t>601816</w:t>
            </w:r>
          </w:p>
        </w:tc>
        <w:tc>
          <w:tcPr>
            <w:tcW w:w="1301" w:type="dxa"/>
            <w:vAlign w:val="center"/>
          </w:tcPr>
          <w:p w:rsidR="00EA38BD" w:rsidRDefault="00183B9D">
            <w:pPr>
              <w:jc w:val="center"/>
            </w:pPr>
            <w:r>
              <w:rPr>
                <w:color w:val="000000"/>
                <w:kern w:val="0"/>
                <w:sz w:val="24"/>
                <w:szCs w:val="24"/>
              </w:rPr>
              <w:t>京沪高铁</w:t>
            </w:r>
          </w:p>
        </w:tc>
        <w:tc>
          <w:tcPr>
            <w:tcW w:w="1805" w:type="dxa"/>
            <w:vAlign w:val="center"/>
          </w:tcPr>
          <w:p w:rsidR="00EA38BD" w:rsidRDefault="00183B9D">
            <w:pPr>
              <w:jc w:val="right"/>
            </w:pPr>
            <w:r>
              <w:rPr>
                <w:color w:val="000000"/>
                <w:kern w:val="0"/>
                <w:sz w:val="24"/>
                <w:szCs w:val="24"/>
              </w:rPr>
              <w:t>5,094,732.32</w:t>
            </w:r>
          </w:p>
        </w:tc>
        <w:tc>
          <w:tcPr>
            <w:tcW w:w="1655" w:type="dxa"/>
            <w:vAlign w:val="center"/>
          </w:tcPr>
          <w:p w:rsidR="00EA38BD" w:rsidRDefault="00183B9D">
            <w:pPr>
              <w:jc w:val="right"/>
            </w:pPr>
            <w:r>
              <w:rPr>
                <w:color w:val="000000"/>
                <w:kern w:val="0"/>
                <w:sz w:val="24"/>
                <w:szCs w:val="24"/>
              </w:rPr>
              <w:t>5.85</w:t>
            </w:r>
          </w:p>
        </w:tc>
        <w:tc>
          <w:tcPr>
            <w:tcW w:w="1367" w:type="dxa"/>
            <w:vAlign w:val="center"/>
          </w:tcPr>
          <w:p w:rsidR="00EA38BD" w:rsidRDefault="00183B9D">
            <w:pPr>
              <w:jc w:val="right"/>
            </w:pPr>
            <w:r>
              <w:rPr>
                <w:color w:val="000000"/>
                <w:kern w:val="0"/>
                <w:sz w:val="24"/>
                <w:szCs w:val="24"/>
              </w:rPr>
              <w:t>新股流通受限</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98,862,017.10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20,988,167.85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51,110,532.36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68,739,652.59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EA38BD" w:rsidRDefault="00183B9D">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中国证监会准予易方达国企改革混合型证券投资基金注册的文件；</w:t>
      </w:r>
    </w:p>
    <w:p w:rsidR="00EA38BD" w:rsidRDefault="00183B9D">
      <w:pPr>
        <w:spacing w:line="360" w:lineRule="auto"/>
        <w:ind w:firstLineChars="200" w:firstLine="480"/>
        <w:rPr>
          <w:color w:val="000000"/>
          <w:sz w:val="24"/>
          <w:szCs w:val="24"/>
        </w:rPr>
      </w:pPr>
      <w:r>
        <w:rPr>
          <w:color w:val="000000"/>
          <w:sz w:val="24"/>
          <w:szCs w:val="24"/>
        </w:rPr>
        <w:t>2.</w:t>
      </w:r>
      <w:r>
        <w:rPr>
          <w:color w:val="000000"/>
          <w:sz w:val="24"/>
          <w:szCs w:val="24"/>
        </w:rPr>
        <w:t>《易方达国企改革混合型证券投资基金基金合同》；</w:t>
      </w:r>
    </w:p>
    <w:p w:rsidR="00EA38BD" w:rsidRDefault="00183B9D">
      <w:pPr>
        <w:spacing w:line="360" w:lineRule="auto"/>
        <w:ind w:firstLineChars="200" w:firstLine="480"/>
        <w:rPr>
          <w:color w:val="000000"/>
          <w:sz w:val="24"/>
          <w:szCs w:val="24"/>
        </w:rPr>
      </w:pPr>
      <w:r>
        <w:rPr>
          <w:color w:val="000000"/>
          <w:sz w:val="24"/>
          <w:szCs w:val="24"/>
        </w:rPr>
        <w:t>3.</w:t>
      </w:r>
      <w:r>
        <w:rPr>
          <w:color w:val="000000"/>
          <w:sz w:val="24"/>
          <w:szCs w:val="24"/>
        </w:rPr>
        <w:t>《易方达国企改革混合型证券投资基金托管协议》；</w:t>
      </w:r>
    </w:p>
    <w:p w:rsidR="00EA38BD" w:rsidRDefault="00183B9D">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9B" w:rsidRDefault="00BF0D9B" w:rsidP="00876D65">
      <w:r>
        <w:separator/>
      </w:r>
    </w:p>
  </w:endnote>
  <w:endnote w:type="continuationSeparator" w:id="0">
    <w:p w:rsidR="00BF0D9B" w:rsidRDefault="00BF0D9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D021F">
      <w:rPr>
        <w:rStyle w:val="a7"/>
        <w:noProof/>
      </w:rPr>
      <w:t>1</w:t>
    </w:r>
    <w:r>
      <w:rPr>
        <w:rStyle w:val="a7"/>
      </w:rPr>
      <w:fldChar w:fldCharType="end"/>
    </w:r>
    <w:r>
      <w:rPr>
        <w:rStyle w:val="a7"/>
        <w:rFonts w:hint="eastAsia"/>
      </w:rPr>
      <w:t>页共</w:t>
    </w:r>
    <w:fldSimple w:instr=" NUMPAGES  \* Arabic  \* MERGEFORMAT ">
      <w:r w:rsidR="008D021F" w:rsidRPr="008D021F">
        <w:rPr>
          <w:rStyle w:val="a7"/>
          <w:noProof/>
        </w:rPr>
        <w:t>6</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D021F">
      <w:rPr>
        <w:rStyle w:val="a7"/>
        <w:noProof/>
      </w:rPr>
      <w:t>5</w:t>
    </w:r>
    <w:r>
      <w:rPr>
        <w:rStyle w:val="a7"/>
      </w:rPr>
      <w:fldChar w:fldCharType="end"/>
    </w:r>
    <w:r>
      <w:rPr>
        <w:rStyle w:val="a7"/>
        <w:rFonts w:hint="eastAsia"/>
      </w:rPr>
      <w:t>页共</w:t>
    </w:r>
    <w:r w:rsidR="008D021F">
      <w:fldChar w:fldCharType="begin"/>
    </w:r>
    <w:r w:rsidR="008D021F">
      <w:instrText xml:space="preserve"> NUMPAGES  \* Arabic  \* MERGEFORMAT </w:instrText>
    </w:r>
    <w:r w:rsidR="008D021F">
      <w:fldChar w:fldCharType="separate"/>
    </w:r>
    <w:r w:rsidR="008D021F" w:rsidRPr="008D021F">
      <w:rPr>
        <w:rStyle w:val="a7"/>
        <w:noProof/>
      </w:rPr>
      <w:t>5</w:t>
    </w:r>
    <w:r w:rsidR="008D021F">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9B" w:rsidRDefault="00BF0D9B" w:rsidP="00876D65">
      <w:r>
        <w:separator/>
      </w:r>
    </w:p>
  </w:footnote>
  <w:footnote w:type="continuationSeparator" w:id="0">
    <w:p w:rsidR="00BF0D9B" w:rsidRDefault="00BF0D9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易方达国企改革混合型证券投资基金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3B9D"/>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21F"/>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F0D9B"/>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4413C"/>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38BD"/>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6F47DA29-4434-452C-B2FB-83D38118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453641082">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29A1-57F0-40EF-93E6-9DE4CD4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李维</cp:lastModifiedBy>
  <cp:revision>4</cp:revision>
  <dcterms:created xsi:type="dcterms:W3CDTF">2020-04-14T01:38:00Z</dcterms:created>
  <dcterms:modified xsi:type="dcterms:W3CDTF">2020-04-17T03:28:00Z</dcterms:modified>
</cp:coreProperties>
</file>