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02085F">
      <w:pPr>
        <w:spacing w:line="360" w:lineRule="auto"/>
        <w:jc w:val="center"/>
        <w:rPr>
          <w:rFonts w:ascii="宋体" w:hAnsi="宋体"/>
          <w:b/>
          <w:sz w:val="36"/>
          <w:szCs w:val="36"/>
        </w:rPr>
      </w:pPr>
      <w:r w:rsidRPr="0097021E">
        <w:rPr>
          <w:rFonts w:ascii="宋体" w:hAnsi="宋体"/>
          <w:b/>
          <w:sz w:val="36"/>
          <w:szCs w:val="36"/>
        </w:rPr>
        <w:t>易方达龙宝货币市场基金</w:t>
      </w:r>
    </w:p>
    <w:p w:rsidR="00EA3F40" w:rsidRPr="0097021E" w:rsidRDefault="00EA3F40" w:rsidP="0002085F">
      <w:pPr>
        <w:spacing w:line="360" w:lineRule="auto"/>
        <w:jc w:val="center"/>
        <w:rPr>
          <w:rFonts w:ascii="宋体" w:hAnsi="宋体"/>
          <w:b/>
          <w:sz w:val="36"/>
          <w:szCs w:val="36"/>
        </w:rPr>
      </w:pPr>
      <w:r w:rsidRPr="0097021E">
        <w:rPr>
          <w:rFonts w:ascii="宋体" w:hAnsi="宋体"/>
          <w:b/>
          <w:sz w:val="36"/>
          <w:szCs w:val="36"/>
        </w:rPr>
        <w:t>2020年第1季度报告</w:t>
      </w:r>
    </w:p>
    <w:p w:rsidR="00EA3F40" w:rsidRPr="00936106" w:rsidRDefault="00EA3F40" w:rsidP="0002085F">
      <w:pPr>
        <w:spacing w:line="360" w:lineRule="auto"/>
        <w:jc w:val="center"/>
        <w:rPr>
          <w:rFonts w:ascii="宋体" w:hAnsi="宋体"/>
          <w:b/>
          <w:sz w:val="24"/>
          <w:szCs w:val="36"/>
        </w:rPr>
      </w:pPr>
      <w:r w:rsidRPr="00936106">
        <w:rPr>
          <w:rFonts w:ascii="宋体" w:hAnsi="宋体"/>
          <w:b/>
          <w:sz w:val="24"/>
          <w:szCs w:val="36"/>
        </w:rPr>
        <w:t>2020年3月31日</w:t>
      </w: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rPr>
          <w:rFonts w:ascii="宋体"/>
          <w:b/>
          <w:color w:val="000000"/>
          <w:sz w:val="24"/>
        </w:rPr>
      </w:pPr>
    </w:p>
    <w:p w:rsidR="00EA3F40" w:rsidRPr="0097021E" w:rsidRDefault="00EA3F40" w:rsidP="009216A0">
      <w:pPr>
        <w:spacing w:line="360" w:lineRule="auto"/>
        <w:ind w:firstLineChars="900" w:firstLine="2168"/>
        <w:rPr>
          <w:rFonts w:ascii="宋体" w:hAnsi="宋体"/>
          <w:b/>
          <w:color w:val="000000"/>
          <w:sz w:val="24"/>
        </w:rPr>
      </w:pPr>
      <w:r w:rsidRPr="0097021E">
        <w:rPr>
          <w:rFonts w:ascii="宋体" w:hAnsi="宋体" w:hint="eastAsia"/>
          <w:b/>
          <w:color w:val="000000"/>
          <w:sz w:val="24"/>
        </w:rPr>
        <w:t>基金管理人：</w:t>
      </w:r>
      <w:r w:rsidRPr="0097021E">
        <w:rPr>
          <w:rFonts w:ascii="宋体" w:hAnsi="宋体"/>
          <w:b/>
          <w:color w:val="000000"/>
          <w:sz w:val="24"/>
        </w:rPr>
        <w:t>易方达基金管理有限公司</w:t>
      </w:r>
    </w:p>
    <w:p w:rsidR="00EA3F40" w:rsidRPr="0097021E" w:rsidRDefault="00EA3F40" w:rsidP="009216A0">
      <w:pPr>
        <w:spacing w:line="360" w:lineRule="auto"/>
        <w:ind w:firstLineChars="900" w:firstLine="2168"/>
        <w:rPr>
          <w:rFonts w:ascii="宋体" w:hAnsi="宋体"/>
          <w:b/>
          <w:color w:val="000000"/>
          <w:sz w:val="24"/>
        </w:rPr>
      </w:pPr>
      <w:r w:rsidRPr="0097021E">
        <w:rPr>
          <w:rFonts w:ascii="宋体" w:hAnsi="宋体" w:hint="eastAsia"/>
          <w:b/>
          <w:color w:val="000000"/>
          <w:sz w:val="24"/>
        </w:rPr>
        <w:t>基金托管人：</w:t>
      </w:r>
      <w:r w:rsidRPr="0097021E">
        <w:rPr>
          <w:rFonts w:ascii="宋体" w:hAnsi="宋体"/>
          <w:b/>
          <w:color w:val="000000"/>
          <w:sz w:val="24"/>
        </w:rPr>
        <w:t>华夏银行股份有限公司</w:t>
      </w:r>
    </w:p>
    <w:p w:rsidR="00EA3F40" w:rsidRPr="0097021E" w:rsidRDefault="00EA3F40" w:rsidP="009216A0">
      <w:pPr>
        <w:spacing w:line="360" w:lineRule="auto"/>
        <w:ind w:firstLineChars="900" w:firstLine="2168"/>
        <w:rPr>
          <w:rFonts w:ascii="宋体" w:hAnsi="宋体"/>
          <w:b/>
          <w:color w:val="000000"/>
          <w:sz w:val="24"/>
        </w:rPr>
        <w:sectPr w:rsidR="00EA3F40" w:rsidRPr="0097021E" w:rsidSect="005633AD">
          <w:headerReference w:type="default" r:id="rId7"/>
          <w:footerReference w:type="default" r:id="rId8"/>
          <w:pgSz w:w="11926" w:h="15840"/>
          <w:pgMar w:top="1418" w:right="1418" w:bottom="851" w:left="1418" w:header="851" w:footer="992" w:gutter="0"/>
          <w:cols w:space="720"/>
          <w:noEndnote/>
        </w:sectPr>
      </w:pPr>
      <w:r w:rsidRPr="0097021E">
        <w:rPr>
          <w:rFonts w:ascii="宋体" w:hAnsi="宋体" w:hint="eastAsia"/>
          <w:b/>
          <w:color w:val="000000"/>
          <w:sz w:val="24"/>
        </w:rPr>
        <w:t>报告送出日期：</w:t>
      </w:r>
      <w:r w:rsidRPr="0097021E">
        <w:rPr>
          <w:rFonts w:ascii="宋体" w:hAnsi="宋体"/>
          <w:b/>
          <w:color w:val="000000"/>
          <w:sz w:val="24"/>
        </w:rPr>
        <w:t>二〇二〇年四月二十一日</w:t>
      </w:r>
    </w:p>
    <w:p w:rsidR="00EA3F40" w:rsidRPr="0097021E" w:rsidRDefault="00EA3F40" w:rsidP="00E23C1B">
      <w:pPr>
        <w:pStyle w:val="1"/>
        <w:spacing w:beforeLines="100" w:before="312" w:afterLines="100" w:after="312" w:line="360" w:lineRule="auto"/>
        <w:jc w:val="center"/>
        <w:rPr>
          <w:rFonts w:ascii="宋体" w:cs="Arial"/>
          <w:b w:val="0"/>
          <w:color w:val="000000"/>
          <w:kern w:val="0"/>
          <w:sz w:val="24"/>
          <w:szCs w:val="24"/>
        </w:rPr>
      </w:pPr>
      <w:r w:rsidRPr="0097021E">
        <w:rPr>
          <w:rFonts w:ascii="宋体" w:hAnsi="宋体" w:cs="Arial" w:hint="eastAsia"/>
          <w:color w:val="000000"/>
          <w:kern w:val="0"/>
          <w:sz w:val="24"/>
          <w:szCs w:val="24"/>
        </w:rPr>
        <w:lastRenderedPageBreak/>
        <w:t>§</w:t>
      </w:r>
      <w:r w:rsidRPr="0097021E">
        <w:rPr>
          <w:rFonts w:ascii="宋体" w:hAnsi="宋体" w:cs="Arial"/>
          <w:color w:val="000000"/>
          <w:kern w:val="0"/>
          <w:sz w:val="24"/>
          <w:szCs w:val="24"/>
        </w:rPr>
        <w:t xml:space="preserve">1  </w:t>
      </w:r>
      <w:r w:rsidRPr="0097021E">
        <w:rPr>
          <w:rFonts w:ascii="宋体" w:hAnsi="宋体" w:cs="Arial" w:hint="eastAsia"/>
          <w:color w:val="000000"/>
          <w:kern w:val="0"/>
          <w:sz w:val="24"/>
          <w:szCs w:val="24"/>
        </w:rPr>
        <w:t>重要提示</w:t>
      </w:r>
    </w:p>
    <w:p w:rsidR="004439D2" w:rsidRDefault="00963B34">
      <w:pPr>
        <w:adjustRightInd w:val="0"/>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4439D2" w:rsidRDefault="00963B34">
      <w:pPr>
        <w:adjustRightInd w:val="0"/>
        <w:spacing w:line="360" w:lineRule="auto"/>
        <w:ind w:firstLineChars="200" w:firstLine="480"/>
        <w:rPr>
          <w:color w:val="000000"/>
          <w:sz w:val="24"/>
        </w:rPr>
      </w:pPr>
      <w:r>
        <w:rPr>
          <w:color w:val="000000"/>
          <w:sz w:val="24"/>
        </w:rPr>
        <w:t>基金托管人华夏银行股份有限公司根据本基金合同规定，于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4439D2" w:rsidRDefault="00963B34">
      <w:pPr>
        <w:adjustRightInd w:val="0"/>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439D2" w:rsidRDefault="00963B34">
      <w:pPr>
        <w:adjustRightInd w:val="0"/>
        <w:spacing w:line="360"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4439D2" w:rsidRDefault="00963B34">
      <w:pPr>
        <w:adjustRightInd w:val="0"/>
        <w:spacing w:line="360" w:lineRule="auto"/>
        <w:ind w:firstLineChars="200" w:firstLine="480"/>
        <w:rPr>
          <w:color w:val="000000"/>
          <w:sz w:val="24"/>
        </w:rPr>
      </w:pPr>
      <w:r>
        <w:rPr>
          <w:color w:val="000000"/>
          <w:sz w:val="24"/>
        </w:rPr>
        <w:t>本报告中财务资料未经审计。</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本报告期自</w:t>
      </w:r>
      <w:r w:rsidRPr="001752C7">
        <w:rPr>
          <w:color w:val="000000"/>
          <w:sz w:val="24"/>
        </w:rPr>
        <w:t>2020</w:t>
      </w:r>
      <w:r w:rsidRPr="001752C7">
        <w:rPr>
          <w:color w:val="000000"/>
          <w:sz w:val="24"/>
        </w:rPr>
        <w:t>年</w:t>
      </w:r>
      <w:r w:rsidRPr="001752C7">
        <w:rPr>
          <w:color w:val="000000"/>
          <w:sz w:val="24"/>
        </w:rPr>
        <w:t>1</w:t>
      </w:r>
      <w:r w:rsidRPr="001752C7">
        <w:rPr>
          <w:color w:val="000000"/>
          <w:sz w:val="24"/>
        </w:rPr>
        <w:t>月</w:t>
      </w:r>
      <w:r w:rsidRPr="001752C7">
        <w:rPr>
          <w:color w:val="000000"/>
          <w:sz w:val="24"/>
        </w:rPr>
        <w:t>1</w:t>
      </w:r>
      <w:r w:rsidRPr="001752C7">
        <w:rPr>
          <w:color w:val="000000"/>
          <w:sz w:val="24"/>
        </w:rPr>
        <w:t>日起至</w:t>
      </w:r>
      <w:r w:rsidRPr="001752C7">
        <w:rPr>
          <w:color w:val="000000"/>
          <w:sz w:val="24"/>
        </w:rPr>
        <w:t>3</w:t>
      </w:r>
      <w:r w:rsidRPr="001752C7">
        <w:rPr>
          <w:color w:val="000000"/>
          <w:sz w:val="24"/>
        </w:rPr>
        <w:t>月</w:t>
      </w:r>
      <w:r w:rsidRPr="001752C7">
        <w:rPr>
          <w:color w:val="000000"/>
          <w:sz w:val="24"/>
        </w:rPr>
        <w:t>31</w:t>
      </w:r>
      <w:r w:rsidRPr="001752C7">
        <w:rPr>
          <w:color w:val="000000"/>
          <w:sz w:val="24"/>
        </w:rPr>
        <w:t>日止。</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2  </w:t>
      </w:r>
      <w:r w:rsidRPr="0097021E">
        <w:rPr>
          <w:rFonts w:ascii="宋体" w:hAnsi="宋体" w:cs="Arial" w:hint="eastAsia"/>
          <w:color w:val="000000"/>
          <w:kern w:val="0"/>
          <w:sz w:val="24"/>
          <w:szCs w:val="24"/>
        </w:rPr>
        <w:t>基金产品概况</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300"/>
        <w:gridCol w:w="2300"/>
        <w:gridCol w:w="2301"/>
      </w:tblGrid>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kern w:val="0"/>
                <w:sz w:val="24"/>
              </w:rPr>
            </w:pPr>
            <w:r w:rsidRPr="00613409">
              <w:rPr>
                <w:kern w:val="0"/>
                <w:sz w:val="24"/>
              </w:rPr>
              <w:t>基金简称</w:t>
            </w:r>
          </w:p>
        </w:tc>
        <w:tc>
          <w:tcPr>
            <w:tcW w:w="6901" w:type="dxa"/>
            <w:gridSpan w:val="3"/>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易方达龙宝货币</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kern w:val="0"/>
                <w:sz w:val="24"/>
              </w:rPr>
            </w:pPr>
            <w:r w:rsidRPr="00613409">
              <w:rPr>
                <w:kern w:val="0"/>
                <w:sz w:val="24"/>
              </w:rPr>
              <w:t>基金主代码</w:t>
            </w:r>
          </w:p>
        </w:tc>
        <w:tc>
          <w:tcPr>
            <w:tcW w:w="6901" w:type="dxa"/>
            <w:gridSpan w:val="3"/>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000789</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基金运作方式</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契约型开放式</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基金合同生效日</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2014</w:t>
            </w:r>
            <w:r w:rsidRPr="00613409">
              <w:rPr>
                <w:color w:val="000000"/>
                <w:kern w:val="0"/>
                <w:sz w:val="24"/>
              </w:rPr>
              <w:t>年</w:t>
            </w:r>
            <w:r w:rsidRPr="00613409">
              <w:rPr>
                <w:color w:val="000000"/>
                <w:kern w:val="0"/>
                <w:sz w:val="24"/>
              </w:rPr>
              <w:t>9</w:t>
            </w:r>
            <w:r w:rsidRPr="00613409">
              <w:rPr>
                <w:color w:val="000000"/>
                <w:kern w:val="0"/>
                <w:sz w:val="24"/>
              </w:rPr>
              <w:t>月</w:t>
            </w:r>
            <w:r w:rsidRPr="00613409">
              <w:rPr>
                <w:color w:val="000000"/>
                <w:kern w:val="0"/>
                <w:sz w:val="24"/>
              </w:rPr>
              <w:t>12</w:t>
            </w:r>
            <w:r w:rsidRPr="00613409">
              <w:rPr>
                <w:color w:val="000000"/>
                <w:kern w:val="0"/>
                <w:sz w:val="24"/>
              </w:rPr>
              <w:t>日</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报告期末基金份额总额</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1,173,324,339.49</w:t>
            </w:r>
            <w:r w:rsidRPr="00613409">
              <w:rPr>
                <w:color w:val="000000"/>
                <w:kern w:val="0"/>
                <w:sz w:val="24"/>
              </w:rPr>
              <w:t>份</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投资目标</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在有效控制投资风险和保持高流动性的基础上，力争获得高于业绩比较基准的投资回报。</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投资策略</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本基金将对基金资产组合进行积极管理，在深入研究国内外的宏观经济走势、货币政策变化趋势、市场资金供求状况的基础上，综合考虑各类投资品种的收益性、流动性和风险特征，力争获得高于业绩比较基准的投资回报。</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lastRenderedPageBreak/>
              <w:t>业绩比较基准</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中国人民银行公布的七天通知存款利率（税后）</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kern w:val="0"/>
                <w:sz w:val="24"/>
              </w:rPr>
            </w:pPr>
            <w:r w:rsidRPr="00613409">
              <w:rPr>
                <w:kern w:val="0"/>
                <w:sz w:val="24"/>
              </w:rPr>
              <w:t>风险收益特征</w:t>
            </w:r>
          </w:p>
        </w:tc>
        <w:tc>
          <w:tcPr>
            <w:tcW w:w="6901" w:type="dxa"/>
            <w:gridSpan w:val="3"/>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本基金为货币市场基金，本基金的风险和预期收益低于股票型基金、混合型基金、债券型基金。</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基金管理人</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易方达基金管理有限公司</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基金托管人</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华夏银行股份有限公司</w:t>
            </w:r>
          </w:p>
        </w:tc>
      </w:tr>
      <w:tr w:rsidR="00EA3F40" w:rsidRPr="0097021E" w:rsidTr="001669F2">
        <w:trPr>
          <w:jc w:val="center"/>
        </w:trPr>
        <w:tc>
          <w:tcPr>
            <w:tcW w:w="2835" w:type="dxa"/>
          </w:tcPr>
          <w:p w:rsidR="00EA3F40" w:rsidRPr="00613409" w:rsidRDefault="00EA3F40" w:rsidP="00D271A9">
            <w:pPr>
              <w:adjustRightInd w:val="0"/>
              <w:spacing w:before="29" w:line="360" w:lineRule="auto"/>
              <w:ind w:left="17"/>
              <w:jc w:val="left"/>
              <w:rPr>
                <w:kern w:val="0"/>
                <w:sz w:val="24"/>
              </w:rPr>
            </w:pPr>
            <w:r w:rsidRPr="00613409">
              <w:rPr>
                <w:color w:val="000000"/>
                <w:sz w:val="24"/>
              </w:rPr>
              <w:t>下属</w:t>
            </w:r>
            <w:r w:rsidR="00D271A9" w:rsidRPr="00613409">
              <w:rPr>
                <w:color w:val="000000"/>
                <w:sz w:val="24"/>
              </w:rPr>
              <w:t>分</w:t>
            </w:r>
            <w:r w:rsidRPr="00613409">
              <w:rPr>
                <w:color w:val="000000"/>
                <w:sz w:val="24"/>
              </w:rPr>
              <w:t>级基金的基金简称</w:t>
            </w:r>
          </w:p>
        </w:tc>
        <w:tc>
          <w:tcPr>
            <w:tcW w:w="2300" w:type="dxa"/>
            <w:vAlign w:val="center"/>
          </w:tcPr>
          <w:p w:rsidR="00EA3F40" w:rsidRPr="00613409" w:rsidRDefault="00EA3F40" w:rsidP="00196812">
            <w:pPr>
              <w:spacing w:line="360" w:lineRule="auto"/>
              <w:jc w:val="left"/>
              <w:rPr>
                <w:sz w:val="24"/>
              </w:rPr>
            </w:pPr>
            <w:r w:rsidRPr="00613409">
              <w:rPr>
                <w:sz w:val="24"/>
              </w:rPr>
              <w:t>易方达龙宝货币</w:t>
            </w:r>
            <w:r w:rsidRPr="00613409">
              <w:rPr>
                <w:sz w:val="24"/>
              </w:rPr>
              <w:t>A</w:t>
            </w:r>
          </w:p>
        </w:tc>
        <w:tc>
          <w:tcPr>
            <w:tcW w:w="2300" w:type="dxa"/>
            <w:vAlign w:val="center"/>
          </w:tcPr>
          <w:p w:rsidR="00EA3F40" w:rsidRPr="00613409" w:rsidRDefault="00EA3F40" w:rsidP="00196812">
            <w:pPr>
              <w:spacing w:line="360" w:lineRule="auto"/>
              <w:jc w:val="left"/>
              <w:rPr>
                <w:sz w:val="24"/>
              </w:rPr>
            </w:pPr>
            <w:r w:rsidRPr="00613409">
              <w:rPr>
                <w:sz w:val="24"/>
              </w:rPr>
              <w:t>易方达龙宝货币</w:t>
            </w:r>
            <w:r w:rsidRPr="00613409">
              <w:rPr>
                <w:sz w:val="24"/>
              </w:rPr>
              <w:t>B</w:t>
            </w:r>
          </w:p>
        </w:tc>
        <w:tc>
          <w:tcPr>
            <w:tcW w:w="2301" w:type="dxa"/>
            <w:vAlign w:val="center"/>
          </w:tcPr>
          <w:p w:rsidR="00EA3F40" w:rsidRPr="00613409" w:rsidRDefault="00EA3F40" w:rsidP="00025C5D">
            <w:pPr>
              <w:spacing w:line="360" w:lineRule="auto"/>
              <w:jc w:val="left"/>
              <w:rPr>
                <w:sz w:val="24"/>
              </w:rPr>
            </w:pPr>
            <w:r w:rsidRPr="00613409">
              <w:rPr>
                <w:sz w:val="24"/>
              </w:rPr>
              <w:t>易方达龙宝货币</w:t>
            </w:r>
            <w:r w:rsidRPr="00613409">
              <w:rPr>
                <w:sz w:val="24"/>
              </w:rPr>
              <w:t>C</w:t>
            </w:r>
          </w:p>
        </w:tc>
      </w:tr>
      <w:tr w:rsidR="00E325AB" w:rsidRPr="0097021E" w:rsidTr="001669F2">
        <w:trPr>
          <w:jc w:val="center"/>
        </w:trPr>
        <w:tc>
          <w:tcPr>
            <w:tcW w:w="2835" w:type="dxa"/>
          </w:tcPr>
          <w:p w:rsidR="00E325AB" w:rsidRPr="00613409" w:rsidRDefault="00E325AB" w:rsidP="00D271A9">
            <w:pPr>
              <w:adjustRightInd w:val="0"/>
              <w:spacing w:before="29" w:line="360" w:lineRule="auto"/>
              <w:ind w:left="17"/>
              <w:jc w:val="left"/>
              <w:rPr>
                <w:color w:val="000000"/>
                <w:sz w:val="24"/>
              </w:rPr>
            </w:pPr>
            <w:r w:rsidRPr="00613409">
              <w:rPr>
                <w:color w:val="000000"/>
                <w:sz w:val="24"/>
              </w:rPr>
              <w:t>下属</w:t>
            </w:r>
            <w:r w:rsidR="00D271A9" w:rsidRPr="00613409">
              <w:rPr>
                <w:color w:val="000000"/>
                <w:sz w:val="24"/>
              </w:rPr>
              <w:t>分</w:t>
            </w:r>
            <w:r w:rsidRPr="00613409">
              <w:rPr>
                <w:color w:val="000000"/>
                <w:sz w:val="24"/>
              </w:rPr>
              <w:t>级基金的交易代码</w:t>
            </w:r>
          </w:p>
        </w:tc>
        <w:tc>
          <w:tcPr>
            <w:tcW w:w="2300" w:type="dxa"/>
            <w:vAlign w:val="center"/>
          </w:tcPr>
          <w:p w:rsidR="00E325AB" w:rsidRPr="00613409" w:rsidRDefault="00E325AB" w:rsidP="00196812">
            <w:pPr>
              <w:spacing w:line="360" w:lineRule="auto"/>
              <w:jc w:val="left"/>
              <w:rPr>
                <w:sz w:val="24"/>
              </w:rPr>
            </w:pPr>
            <w:r w:rsidRPr="00613409">
              <w:rPr>
                <w:sz w:val="24"/>
              </w:rPr>
              <w:t>000789</w:t>
            </w:r>
          </w:p>
        </w:tc>
        <w:tc>
          <w:tcPr>
            <w:tcW w:w="2300" w:type="dxa"/>
            <w:vAlign w:val="center"/>
          </w:tcPr>
          <w:p w:rsidR="00E325AB" w:rsidRPr="00613409" w:rsidRDefault="00E325AB" w:rsidP="00196812">
            <w:pPr>
              <w:spacing w:line="360" w:lineRule="auto"/>
              <w:jc w:val="left"/>
              <w:rPr>
                <w:sz w:val="24"/>
              </w:rPr>
            </w:pPr>
            <w:r w:rsidRPr="00613409">
              <w:rPr>
                <w:sz w:val="24"/>
              </w:rPr>
              <w:t>000790</w:t>
            </w:r>
          </w:p>
        </w:tc>
        <w:tc>
          <w:tcPr>
            <w:tcW w:w="2301" w:type="dxa"/>
            <w:vAlign w:val="center"/>
          </w:tcPr>
          <w:p w:rsidR="00E325AB" w:rsidRPr="00613409" w:rsidRDefault="00E325AB" w:rsidP="001669F2">
            <w:pPr>
              <w:spacing w:line="360" w:lineRule="auto"/>
              <w:jc w:val="left"/>
              <w:rPr>
                <w:sz w:val="24"/>
              </w:rPr>
            </w:pPr>
            <w:r w:rsidRPr="00613409">
              <w:rPr>
                <w:sz w:val="24"/>
              </w:rPr>
              <w:t>005098</w:t>
            </w:r>
          </w:p>
        </w:tc>
      </w:tr>
      <w:tr w:rsidR="00E325AB" w:rsidRPr="0097021E" w:rsidTr="001669F2">
        <w:trPr>
          <w:jc w:val="center"/>
        </w:trPr>
        <w:tc>
          <w:tcPr>
            <w:tcW w:w="2835" w:type="dxa"/>
          </w:tcPr>
          <w:p w:rsidR="00E325AB" w:rsidRPr="00613409" w:rsidRDefault="00E325AB" w:rsidP="00D271A9">
            <w:pPr>
              <w:adjustRightInd w:val="0"/>
              <w:spacing w:before="29" w:line="360" w:lineRule="auto"/>
              <w:ind w:left="17"/>
              <w:jc w:val="left"/>
              <w:rPr>
                <w:color w:val="000000"/>
                <w:sz w:val="24"/>
              </w:rPr>
            </w:pPr>
            <w:r w:rsidRPr="00613409">
              <w:rPr>
                <w:color w:val="000000"/>
                <w:sz w:val="24"/>
              </w:rPr>
              <w:t>报告期末下属</w:t>
            </w:r>
            <w:r w:rsidR="00D271A9" w:rsidRPr="00613409">
              <w:rPr>
                <w:color w:val="000000"/>
                <w:sz w:val="24"/>
              </w:rPr>
              <w:t>分</w:t>
            </w:r>
            <w:r w:rsidRPr="00613409">
              <w:rPr>
                <w:color w:val="000000"/>
                <w:sz w:val="24"/>
              </w:rPr>
              <w:t>级基金的份额总额</w:t>
            </w:r>
          </w:p>
        </w:tc>
        <w:tc>
          <w:tcPr>
            <w:tcW w:w="2300" w:type="dxa"/>
            <w:vAlign w:val="center"/>
          </w:tcPr>
          <w:p w:rsidR="00E325AB" w:rsidRPr="00613409" w:rsidRDefault="00E325AB" w:rsidP="00196812">
            <w:pPr>
              <w:spacing w:line="360" w:lineRule="auto"/>
              <w:jc w:val="left"/>
              <w:rPr>
                <w:sz w:val="24"/>
              </w:rPr>
            </w:pPr>
            <w:r w:rsidRPr="00613409">
              <w:rPr>
                <w:sz w:val="24"/>
              </w:rPr>
              <w:t>876,319,088.66</w:t>
            </w:r>
            <w:r w:rsidRPr="00613409">
              <w:rPr>
                <w:sz w:val="24"/>
              </w:rPr>
              <w:t>份</w:t>
            </w:r>
          </w:p>
        </w:tc>
        <w:tc>
          <w:tcPr>
            <w:tcW w:w="2300" w:type="dxa"/>
            <w:vAlign w:val="center"/>
          </w:tcPr>
          <w:p w:rsidR="00E325AB" w:rsidRPr="00613409" w:rsidRDefault="00E325AB" w:rsidP="00196812">
            <w:pPr>
              <w:spacing w:line="360" w:lineRule="auto"/>
              <w:jc w:val="left"/>
              <w:rPr>
                <w:sz w:val="24"/>
              </w:rPr>
            </w:pPr>
            <w:r w:rsidRPr="00613409">
              <w:rPr>
                <w:sz w:val="24"/>
              </w:rPr>
              <w:t>106,942,257.90</w:t>
            </w:r>
            <w:r w:rsidRPr="00613409">
              <w:rPr>
                <w:sz w:val="24"/>
              </w:rPr>
              <w:t>份</w:t>
            </w:r>
          </w:p>
        </w:tc>
        <w:tc>
          <w:tcPr>
            <w:tcW w:w="2301" w:type="dxa"/>
            <w:vAlign w:val="center"/>
          </w:tcPr>
          <w:p w:rsidR="00E325AB" w:rsidRPr="00613409" w:rsidRDefault="00E325AB" w:rsidP="00025C5D">
            <w:pPr>
              <w:spacing w:line="360" w:lineRule="auto"/>
              <w:jc w:val="left"/>
              <w:rPr>
                <w:sz w:val="24"/>
              </w:rPr>
            </w:pPr>
            <w:r w:rsidRPr="00613409">
              <w:rPr>
                <w:sz w:val="24"/>
              </w:rPr>
              <w:t>190,062,992.93</w:t>
            </w:r>
            <w:r w:rsidRPr="00613409">
              <w:rPr>
                <w:sz w:val="24"/>
              </w:rPr>
              <w:t>份</w:t>
            </w:r>
          </w:p>
        </w:tc>
      </w:tr>
    </w:tbl>
    <w:p w:rsidR="00EA3F40" w:rsidRPr="001752C7" w:rsidRDefault="00EA3F40" w:rsidP="001752C7">
      <w:pPr>
        <w:adjustRightInd w:val="0"/>
        <w:spacing w:line="360" w:lineRule="auto"/>
        <w:ind w:firstLineChars="200" w:firstLine="480"/>
        <w:rPr>
          <w:color w:val="000000"/>
          <w:sz w:val="24"/>
        </w:rPr>
      </w:pPr>
      <w:r w:rsidRPr="001752C7">
        <w:rPr>
          <w:color w:val="000000"/>
          <w:sz w:val="24"/>
        </w:rPr>
        <w:t>注：自</w:t>
      </w:r>
      <w:r w:rsidRPr="001752C7">
        <w:rPr>
          <w:color w:val="000000"/>
          <w:sz w:val="24"/>
        </w:rPr>
        <w:t>2017</w:t>
      </w:r>
      <w:r w:rsidRPr="001752C7">
        <w:rPr>
          <w:color w:val="000000"/>
          <w:sz w:val="24"/>
        </w:rPr>
        <w:t>年</w:t>
      </w:r>
      <w:r w:rsidRPr="001752C7">
        <w:rPr>
          <w:color w:val="000000"/>
          <w:sz w:val="24"/>
        </w:rPr>
        <w:t>8</w:t>
      </w:r>
      <w:r w:rsidRPr="001752C7">
        <w:rPr>
          <w:color w:val="000000"/>
          <w:sz w:val="24"/>
        </w:rPr>
        <w:t>月</w:t>
      </w:r>
      <w:r w:rsidRPr="001752C7">
        <w:rPr>
          <w:color w:val="000000"/>
          <w:sz w:val="24"/>
        </w:rPr>
        <w:t>29</w:t>
      </w:r>
      <w:r w:rsidRPr="001752C7">
        <w:rPr>
          <w:color w:val="000000"/>
          <w:sz w:val="24"/>
        </w:rPr>
        <w:t>日起，本基金增设</w:t>
      </w:r>
      <w:r w:rsidRPr="001752C7">
        <w:rPr>
          <w:color w:val="000000"/>
          <w:sz w:val="24"/>
        </w:rPr>
        <w:t>C</w:t>
      </w:r>
      <w:r w:rsidRPr="001752C7">
        <w:rPr>
          <w:color w:val="000000"/>
          <w:sz w:val="24"/>
        </w:rPr>
        <w:t>类份额类别，份额首次确认日为</w:t>
      </w:r>
      <w:r w:rsidRPr="001752C7">
        <w:rPr>
          <w:color w:val="000000"/>
          <w:sz w:val="24"/>
        </w:rPr>
        <w:t>2017</w:t>
      </w:r>
      <w:r w:rsidRPr="001752C7">
        <w:rPr>
          <w:color w:val="000000"/>
          <w:sz w:val="24"/>
        </w:rPr>
        <w:t>年</w:t>
      </w:r>
      <w:r w:rsidRPr="001752C7">
        <w:rPr>
          <w:color w:val="000000"/>
          <w:sz w:val="24"/>
        </w:rPr>
        <w:t>8</w:t>
      </w:r>
      <w:r w:rsidRPr="001752C7">
        <w:rPr>
          <w:color w:val="000000"/>
          <w:sz w:val="24"/>
        </w:rPr>
        <w:t>月</w:t>
      </w:r>
      <w:r w:rsidRPr="001752C7">
        <w:rPr>
          <w:color w:val="000000"/>
          <w:sz w:val="24"/>
        </w:rPr>
        <w:t>30</w:t>
      </w:r>
      <w:r w:rsidRPr="001752C7">
        <w:rPr>
          <w:color w:val="000000"/>
          <w:sz w:val="24"/>
        </w:rPr>
        <w:t>日。</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3  </w:t>
      </w:r>
      <w:r w:rsidRPr="0097021E">
        <w:rPr>
          <w:rFonts w:ascii="宋体" w:hAnsi="宋体" w:cs="Arial" w:hint="eastAsia"/>
          <w:color w:val="000000"/>
          <w:kern w:val="0"/>
          <w:sz w:val="24"/>
          <w:szCs w:val="24"/>
        </w:rPr>
        <w:t>主要财务指标和基金净值表现</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3.1 </w:t>
      </w:r>
      <w:r w:rsidRPr="0097021E">
        <w:rPr>
          <w:rFonts w:ascii="宋体" w:hAnsi="宋体" w:cs="Arial" w:hint="eastAsia"/>
          <w:b/>
          <w:color w:val="000000"/>
          <w:kern w:val="0"/>
          <w:sz w:val="24"/>
        </w:rPr>
        <w:t>主要财务指标</w:t>
      </w:r>
    </w:p>
    <w:p w:rsidR="00EA3F40" w:rsidRPr="0097021E" w:rsidRDefault="00EA3F40" w:rsidP="00196812">
      <w:pPr>
        <w:autoSpaceDE w:val="0"/>
        <w:autoSpaceDN w:val="0"/>
        <w:adjustRightInd w:val="0"/>
        <w:spacing w:before="29" w:line="360" w:lineRule="auto"/>
        <w:ind w:left="15"/>
        <w:jc w:val="right"/>
        <w:rPr>
          <w:rFonts w:ascii="宋体" w:cs="Arial"/>
          <w:color w:val="000000"/>
          <w:kern w:val="0"/>
          <w:sz w:val="24"/>
        </w:rPr>
      </w:pPr>
      <w:r w:rsidRPr="0097021E">
        <w:rPr>
          <w:rFonts w:ascii="宋体" w:hAnsi="宋体" w:cs="Arial" w:hint="eastAsia"/>
          <w:color w:val="000000"/>
          <w:kern w:val="0"/>
          <w:sz w:val="24"/>
        </w:rPr>
        <w:t>单位：人民币元</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1855"/>
        <w:gridCol w:w="1856"/>
      </w:tblGrid>
      <w:tr w:rsidR="00EA3F40" w:rsidRPr="00613409" w:rsidTr="00025C5D">
        <w:trPr>
          <w:jc w:val="center"/>
        </w:trPr>
        <w:tc>
          <w:tcPr>
            <w:tcW w:w="3402" w:type="dxa"/>
            <w:vMerge w:val="restart"/>
            <w:vAlign w:val="center"/>
          </w:tcPr>
          <w:p w:rsidR="00EA3F40" w:rsidRPr="00613409" w:rsidRDefault="00EA3F40" w:rsidP="00196812">
            <w:pPr>
              <w:adjustRightInd w:val="0"/>
              <w:spacing w:before="29" w:line="360" w:lineRule="auto"/>
              <w:ind w:left="17"/>
              <w:jc w:val="center"/>
              <w:rPr>
                <w:kern w:val="0"/>
                <w:sz w:val="24"/>
              </w:rPr>
            </w:pPr>
            <w:r w:rsidRPr="00613409">
              <w:rPr>
                <w:kern w:val="0"/>
                <w:sz w:val="24"/>
              </w:rPr>
              <w:t>主要财务指标</w:t>
            </w:r>
          </w:p>
        </w:tc>
        <w:tc>
          <w:tcPr>
            <w:tcW w:w="6192" w:type="dxa"/>
            <w:gridSpan w:val="3"/>
            <w:vAlign w:val="center"/>
          </w:tcPr>
          <w:p w:rsidR="00EA3F40" w:rsidRPr="00613409" w:rsidRDefault="00EA3F40" w:rsidP="00196812">
            <w:pPr>
              <w:adjustRightInd w:val="0"/>
              <w:spacing w:before="29" w:line="360" w:lineRule="auto"/>
              <w:ind w:left="17"/>
              <w:jc w:val="center"/>
              <w:rPr>
                <w:color w:val="000000"/>
                <w:sz w:val="24"/>
              </w:rPr>
            </w:pPr>
            <w:r w:rsidRPr="00613409">
              <w:rPr>
                <w:color w:val="000000"/>
                <w:sz w:val="24"/>
              </w:rPr>
              <w:t>报告期</w:t>
            </w:r>
            <w:r w:rsidRPr="00613409">
              <w:rPr>
                <w:color w:val="000000"/>
                <w:sz w:val="24"/>
              </w:rPr>
              <w:t>(2020</w:t>
            </w:r>
            <w:r w:rsidRPr="00613409">
              <w:rPr>
                <w:color w:val="000000"/>
                <w:sz w:val="24"/>
              </w:rPr>
              <w:t>年</w:t>
            </w:r>
            <w:r w:rsidRPr="00613409">
              <w:rPr>
                <w:color w:val="000000"/>
                <w:sz w:val="24"/>
              </w:rPr>
              <w:t>1</w:t>
            </w:r>
            <w:r w:rsidRPr="00613409">
              <w:rPr>
                <w:color w:val="000000"/>
                <w:sz w:val="24"/>
              </w:rPr>
              <w:t>月</w:t>
            </w:r>
            <w:r w:rsidRPr="00613409">
              <w:rPr>
                <w:color w:val="000000"/>
                <w:sz w:val="24"/>
              </w:rPr>
              <w:t>1</w:t>
            </w:r>
            <w:r w:rsidRPr="00613409">
              <w:rPr>
                <w:color w:val="000000"/>
                <w:sz w:val="24"/>
              </w:rPr>
              <w:t>日</w:t>
            </w:r>
            <w:r w:rsidRPr="00613409">
              <w:rPr>
                <w:color w:val="000000"/>
                <w:sz w:val="24"/>
              </w:rPr>
              <w:t>-2020</w:t>
            </w:r>
            <w:r w:rsidRPr="00613409">
              <w:rPr>
                <w:color w:val="000000"/>
                <w:sz w:val="24"/>
              </w:rPr>
              <w:t>年</w:t>
            </w:r>
            <w:r w:rsidRPr="00613409">
              <w:rPr>
                <w:color w:val="000000"/>
                <w:sz w:val="24"/>
              </w:rPr>
              <w:t>3</w:t>
            </w:r>
            <w:r w:rsidRPr="00613409">
              <w:rPr>
                <w:color w:val="000000"/>
                <w:sz w:val="24"/>
              </w:rPr>
              <w:t>月</w:t>
            </w:r>
            <w:r w:rsidRPr="00613409">
              <w:rPr>
                <w:color w:val="000000"/>
                <w:sz w:val="24"/>
              </w:rPr>
              <w:t>31</w:t>
            </w:r>
            <w:r w:rsidRPr="00613409">
              <w:rPr>
                <w:color w:val="000000"/>
                <w:sz w:val="24"/>
              </w:rPr>
              <w:t>日</w:t>
            </w:r>
            <w:r w:rsidRPr="00613409">
              <w:rPr>
                <w:color w:val="000000"/>
                <w:sz w:val="24"/>
              </w:rPr>
              <w:t>)</w:t>
            </w:r>
          </w:p>
        </w:tc>
      </w:tr>
      <w:tr w:rsidR="00EA3F40" w:rsidRPr="00613409" w:rsidTr="00025C5D">
        <w:trPr>
          <w:jc w:val="center"/>
        </w:trPr>
        <w:tc>
          <w:tcPr>
            <w:tcW w:w="3402" w:type="dxa"/>
            <w:vMerge/>
            <w:vAlign w:val="center"/>
          </w:tcPr>
          <w:p w:rsidR="00EA3F40" w:rsidRPr="00613409" w:rsidRDefault="00EA3F40" w:rsidP="00196812">
            <w:pPr>
              <w:adjustRightInd w:val="0"/>
              <w:spacing w:before="29" w:line="360" w:lineRule="auto"/>
              <w:ind w:left="17"/>
              <w:jc w:val="center"/>
              <w:rPr>
                <w:kern w:val="0"/>
                <w:sz w:val="24"/>
              </w:rPr>
            </w:pPr>
          </w:p>
        </w:tc>
        <w:tc>
          <w:tcPr>
            <w:tcW w:w="2481" w:type="dxa"/>
            <w:vAlign w:val="center"/>
          </w:tcPr>
          <w:p w:rsidR="00EA3F40" w:rsidRPr="00613409" w:rsidRDefault="00EA3F40" w:rsidP="00196812">
            <w:pPr>
              <w:adjustRightInd w:val="0"/>
              <w:spacing w:before="29" w:line="360" w:lineRule="auto"/>
              <w:ind w:left="17"/>
              <w:jc w:val="center"/>
              <w:rPr>
                <w:color w:val="000000"/>
                <w:sz w:val="24"/>
              </w:rPr>
            </w:pPr>
            <w:r w:rsidRPr="00613409">
              <w:rPr>
                <w:sz w:val="24"/>
              </w:rPr>
              <w:t>易方达龙宝货币</w:t>
            </w:r>
            <w:r w:rsidRPr="00613409">
              <w:rPr>
                <w:sz w:val="24"/>
              </w:rPr>
              <w:t>A</w:t>
            </w:r>
          </w:p>
        </w:tc>
        <w:tc>
          <w:tcPr>
            <w:tcW w:w="1855" w:type="dxa"/>
            <w:vAlign w:val="center"/>
          </w:tcPr>
          <w:p w:rsidR="00EA3F40" w:rsidRPr="00613409" w:rsidRDefault="00EA3F40" w:rsidP="00196812">
            <w:pPr>
              <w:adjustRightInd w:val="0"/>
              <w:spacing w:before="29" w:line="360" w:lineRule="auto"/>
              <w:ind w:left="17"/>
              <w:jc w:val="center"/>
              <w:rPr>
                <w:color w:val="000000"/>
                <w:sz w:val="24"/>
              </w:rPr>
            </w:pPr>
            <w:r w:rsidRPr="00613409">
              <w:rPr>
                <w:sz w:val="24"/>
              </w:rPr>
              <w:t>易方达龙宝货币</w:t>
            </w:r>
            <w:r w:rsidRPr="00613409">
              <w:rPr>
                <w:sz w:val="24"/>
              </w:rPr>
              <w:t>B</w:t>
            </w:r>
          </w:p>
        </w:tc>
        <w:tc>
          <w:tcPr>
            <w:tcW w:w="1856" w:type="dxa"/>
            <w:vAlign w:val="center"/>
          </w:tcPr>
          <w:p w:rsidR="00EA3F40" w:rsidRPr="00613409" w:rsidRDefault="00EA3F40" w:rsidP="00025C5D">
            <w:pPr>
              <w:adjustRightInd w:val="0"/>
              <w:spacing w:before="29" w:line="360" w:lineRule="auto"/>
              <w:ind w:left="17"/>
              <w:jc w:val="center"/>
              <w:rPr>
                <w:color w:val="000000"/>
                <w:sz w:val="24"/>
              </w:rPr>
            </w:pPr>
            <w:r w:rsidRPr="00613409">
              <w:rPr>
                <w:sz w:val="24"/>
              </w:rPr>
              <w:t>易方达龙宝货币</w:t>
            </w:r>
            <w:r w:rsidRPr="00613409">
              <w:rPr>
                <w:sz w:val="24"/>
              </w:rPr>
              <w:t>C</w:t>
            </w:r>
          </w:p>
        </w:tc>
      </w:tr>
      <w:tr w:rsidR="00EA3F40" w:rsidRPr="00613409" w:rsidTr="00025C5D">
        <w:trPr>
          <w:trHeight w:val="840"/>
          <w:jc w:val="center"/>
        </w:trPr>
        <w:tc>
          <w:tcPr>
            <w:tcW w:w="3402" w:type="dxa"/>
          </w:tcPr>
          <w:p w:rsidR="00EA3F40" w:rsidRPr="00613409" w:rsidRDefault="00EA3F40" w:rsidP="00196812">
            <w:pPr>
              <w:adjustRightInd w:val="0"/>
              <w:spacing w:before="29" w:line="360" w:lineRule="auto"/>
              <w:ind w:left="17"/>
              <w:rPr>
                <w:kern w:val="0"/>
                <w:sz w:val="24"/>
              </w:rPr>
            </w:pPr>
            <w:r w:rsidRPr="00613409">
              <w:rPr>
                <w:kern w:val="0"/>
                <w:sz w:val="24"/>
              </w:rPr>
              <w:t>1.</w:t>
            </w:r>
            <w:r w:rsidRPr="00613409">
              <w:rPr>
                <w:kern w:val="0"/>
                <w:sz w:val="24"/>
              </w:rPr>
              <w:t>本期已实现收益</w:t>
            </w:r>
          </w:p>
        </w:tc>
        <w:tc>
          <w:tcPr>
            <w:tcW w:w="2481"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5,352,924.28</w:t>
            </w:r>
          </w:p>
        </w:tc>
        <w:tc>
          <w:tcPr>
            <w:tcW w:w="1855"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1,223,937.58</w:t>
            </w:r>
          </w:p>
        </w:tc>
        <w:tc>
          <w:tcPr>
            <w:tcW w:w="1856" w:type="dxa"/>
            <w:vAlign w:val="bottom"/>
          </w:tcPr>
          <w:p w:rsidR="00EA3F40" w:rsidRPr="00613409" w:rsidRDefault="00EA3F40" w:rsidP="00025C5D">
            <w:pPr>
              <w:adjustRightInd w:val="0"/>
              <w:spacing w:before="29" w:line="360" w:lineRule="auto"/>
              <w:ind w:left="17"/>
              <w:jc w:val="right"/>
              <w:rPr>
                <w:color w:val="000000"/>
                <w:sz w:val="24"/>
              </w:rPr>
            </w:pPr>
            <w:r w:rsidRPr="00613409">
              <w:rPr>
                <w:color w:val="000000"/>
                <w:sz w:val="24"/>
              </w:rPr>
              <w:t>1,262,478.96</w:t>
            </w:r>
          </w:p>
        </w:tc>
      </w:tr>
      <w:tr w:rsidR="00EA3F40" w:rsidRPr="00613409" w:rsidTr="00025C5D">
        <w:trPr>
          <w:jc w:val="center"/>
        </w:trPr>
        <w:tc>
          <w:tcPr>
            <w:tcW w:w="3402" w:type="dxa"/>
          </w:tcPr>
          <w:p w:rsidR="00EA3F40" w:rsidRPr="00613409" w:rsidRDefault="00EA3F40" w:rsidP="00196812">
            <w:pPr>
              <w:adjustRightInd w:val="0"/>
              <w:spacing w:before="29" w:line="360" w:lineRule="auto"/>
              <w:ind w:left="17"/>
              <w:rPr>
                <w:kern w:val="0"/>
                <w:sz w:val="24"/>
              </w:rPr>
            </w:pPr>
            <w:r w:rsidRPr="00613409">
              <w:rPr>
                <w:kern w:val="0"/>
                <w:sz w:val="24"/>
              </w:rPr>
              <w:t>2.</w:t>
            </w:r>
            <w:r w:rsidRPr="00613409">
              <w:rPr>
                <w:kern w:val="0"/>
                <w:sz w:val="24"/>
              </w:rPr>
              <w:t>本期利润</w:t>
            </w:r>
          </w:p>
        </w:tc>
        <w:tc>
          <w:tcPr>
            <w:tcW w:w="2481"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5,352,924.28</w:t>
            </w:r>
          </w:p>
        </w:tc>
        <w:tc>
          <w:tcPr>
            <w:tcW w:w="1855"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1,223,937.58</w:t>
            </w:r>
          </w:p>
        </w:tc>
        <w:tc>
          <w:tcPr>
            <w:tcW w:w="1856" w:type="dxa"/>
            <w:vAlign w:val="bottom"/>
          </w:tcPr>
          <w:p w:rsidR="00EA3F40" w:rsidRPr="00613409" w:rsidRDefault="00EA3F40" w:rsidP="00025C5D">
            <w:pPr>
              <w:adjustRightInd w:val="0"/>
              <w:spacing w:before="29" w:line="360" w:lineRule="auto"/>
              <w:ind w:left="17"/>
              <w:jc w:val="right"/>
              <w:rPr>
                <w:color w:val="000000"/>
                <w:sz w:val="24"/>
              </w:rPr>
            </w:pPr>
            <w:r w:rsidRPr="00613409">
              <w:rPr>
                <w:color w:val="000000"/>
                <w:sz w:val="24"/>
              </w:rPr>
              <w:t>1,262,478.96</w:t>
            </w:r>
          </w:p>
        </w:tc>
      </w:tr>
      <w:tr w:rsidR="00EA3F40" w:rsidRPr="00613409" w:rsidTr="00025C5D">
        <w:trPr>
          <w:jc w:val="center"/>
        </w:trPr>
        <w:tc>
          <w:tcPr>
            <w:tcW w:w="3402" w:type="dxa"/>
          </w:tcPr>
          <w:p w:rsidR="00EA3F40" w:rsidRPr="00613409" w:rsidRDefault="00EA3F40" w:rsidP="00196812">
            <w:pPr>
              <w:adjustRightInd w:val="0"/>
              <w:spacing w:before="29" w:line="360" w:lineRule="auto"/>
              <w:ind w:left="17"/>
              <w:rPr>
                <w:kern w:val="0"/>
                <w:sz w:val="24"/>
              </w:rPr>
            </w:pPr>
            <w:r w:rsidRPr="00613409">
              <w:rPr>
                <w:kern w:val="0"/>
                <w:sz w:val="24"/>
              </w:rPr>
              <w:t>3.</w:t>
            </w:r>
            <w:r w:rsidRPr="00613409">
              <w:rPr>
                <w:kern w:val="0"/>
                <w:sz w:val="24"/>
              </w:rPr>
              <w:t>期末基金资产净值</w:t>
            </w:r>
          </w:p>
        </w:tc>
        <w:tc>
          <w:tcPr>
            <w:tcW w:w="2481" w:type="dxa"/>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876,319,088.66</w:t>
            </w:r>
          </w:p>
        </w:tc>
        <w:tc>
          <w:tcPr>
            <w:tcW w:w="1855" w:type="dxa"/>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106,942,257.90</w:t>
            </w:r>
          </w:p>
        </w:tc>
        <w:tc>
          <w:tcPr>
            <w:tcW w:w="1856" w:type="dxa"/>
          </w:tcPr>
          <w:p w:rsidR="00EA3F40" w:rsidRPr="00613409" w:rsidRDefault="00EA3F40" w:rsidP="00025C5D">
            <w:pPr>
              <w:adjustRightInd w:val="0"/>
              <w:spacing w:before="29" w:line="360" w:lineRule="auto"/>
              <w:ind w:left="17"/>
              <w:jc w:val="right"/>
              <w:rPr>
                <w:color w:val="000000"/>
                <w:sz w:val="24"/>
              </w:rPr>
            </w:pPr>
            <w:r w:rsidRPr="00613409">
              <w:rPr>
                <w:color w:val="000000"/>
                <w:sz w:val="24"/>
              </w:rPr>
              <w:t>190,062,992.93</w:t>
            </w:r>
          </w:p>
        </w:tc>
      </w:tr>
    </w:tbl>
    <w:p w:rsidR="004439D2" w:rsidRDefault="00963B34">
      <w:pPr>
        <w:adjustRightInd w:val="0"/>
        <w:spacing w:line="360" w:lineRule="auto"/>
        <w:ind w:firstLineChars="200" w:firstLine="480"/>
        <w:rPr>
          <w:color w:val="000000"/>
          <w:sz w:val="24"/>
        </w:rPr>
      </w:pPr>
      <w:r>
        <w:rPr>
          <w:color w:val="000000"/>
          <w:sz w:val="24"/>
        </w:rPr>
        <w:t>注：</w:t>
      </w:r>
      <w:r>
        <w:rPr>
          <w:color w:val="000000"/>
          <w:sz w:val="24"/>
        </w:rPr>
        <w:t>1.</w:t>
      </w:r>
      <w:r>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2.</w:t>
      </w:r>
      <w:r w:rsidRPr="001752C7">
        <w:rPr>
          <w:color w:val="000000"/>
          <w:sz w:val="24"/>
        </w:rPr>
        <w:t>本基金利润分配是按日结转份额。</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3.2 </w:t>
      </w:r>
      <w:r w:rsidRPr="0097021E">
        <w:rPr>
          <w:rFonts w:ascii="宋体" w:hAnsi="宋体" w:cs="Arial" w:hint="eastAsia"/>
          <w:b/>
          <w:color w:val="000000"/>
          <w:kern w:val="0"/>
          <w:sz w:val="24"/>
        </w:rPr>
        <w:t>基金净值表现</w:t>
      </w:r>
    </w:p>
    <w:p w:rsidR="00EA3F40" w:rsidRPr="0097021E" w:rsidRDefault="00EA3F40" w:rsidP="009A755D">
      <w:pPr>
        <w:spacing w:line="360" w:lineRule="auto"/>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cs="Arial"/>
            <w:b/>
            <w:color w:val="000000"/>
            <w:kern w:val="0"/>
            <w:sz w:val="24"/>
          </w:rPr>
          <w:t>3.2.1</w:t>
        </w:r>
      </w:smartTag>
      <w:r w:rsidRPr="0097021E">
        <w:rPr>
          <w:rFonts w:ascii="宋体" w:hAnsi="宋体" w:cs="Arial"/>
          <w:b/>
          <w:color w:val="000000"/>
          <w:kern w:val="0"/>
          <w:sz w:val="24"/>
        </w:rPr>
        <w:t xml:space="preserve"> </w:t>
      </w:r>
      <w:r w:rsidRPr="0097021E">
        <w:rPr>
          <w:rFonts w:ascii="宋体" w:hAnsi="宋体" w:cs="Arial" w:hint="eastAsia"/>
          <w:b/>
          <w:color w:val="000000"/>
          <w:kern w:val="0"/>
          <w:sz w:val="24"/>
        </w:rPr>
        <w:t>本报告期基金份额净值收益率及其与同期业绩比较基准收益率的比较</w:t>
      </w:r>
    </w:p>
    <w:p w:rsidR="00EA3F40" w:rsidRPr="00613409" w:rsidRDefault="00EA3F40" w:rsidP="00613409">
      <w:pPr>
        <w:pStyle w:val="20"/>
        <w:spacing w:line="360" w:lineRule="auto"/>
        <w:ind w:firstLineChars="0" w:firstLine="0"/>
        <w:rPr>
          <w:b/>
          <w:sz w:val="24"/>
        </w:rPr>
      </w:pPr>
      <w:r w:rsidRPr="00613409">
        <w:rPr>
          <w:b/>
          <w:sz w:val="24"/>
        </w:rPr>
        <w:t>易方达龙宝货币</w:t>
      </w:r>
      <w:r w:rsidRPr="00613409">
        <w:rPr>
          <w:b/>
          <w:sz w:val="24"/>
        </w:rPr>
        <w: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4439D2">
        <w:tc>
          <w:tcPr>
            <w:tcW w:w="1328" w:type="dxa"/>
            <w:vAlign w:val="center"/>
          </w:tcPr>
          <w:p w:rsidR="004439D2" w:rsidRDefault="00963B34">
            <w:pPr>
              <w:jc w:val="left"/>
            </w:pPr>
            <w:r>
              <w:rPr>
                <w:color w:val="000000"/>
                <w:sz w:val="24"/>
              </w:rPr>
              <w:t>过去三个月</w:t>
            </w:r>
          </w:p>
        </w:tc>
        <w:tc>
          <w:tcPr>
            <w:tcW w:w="1329" w:type="dxa"/>
            <w:vAlign w:val="center"/>
          </w:tcPr>
          <w:p w:rsidR="004439D2" w:rsidRDefault="00963B34">
            <w:pPr>
              <w:jc w:val="center"/>
            </w:pPr>
            <w:r>
              <w:rPr>
                <w:color w:val="000000"/>
                <w:sz w:val="24"/>
              </w:rPr>
              <w:t>0.6023%</w:t>
            </w:r>
          </w:p>
        </w:tc>
        <w:tc>
          <w:tcPr>
            <w:tcW w:w="1329" w:type="dxa"/>
            <w:vAlign w:val="center"/>
          </w:tcPr>
          <w:p w:rsidR="004439D2" w:rsidRDefault="00963B34">
            <w:pPr>
              <w:jc w:val="center"/>
            </w:pPr>
            <w:r>
              <w:rPr>
                <w:color w:val="000000"/>
                <w:sz w:val="24"/>
              </w:rPr>
              <w:t>0.0008%</w:t>
            </w:r>
          </w:p>
        </w:tc>
        <w:tc>
          <w:tcPr>
            <w:tcW w:w="1329" w:type="dxa"/>
            <w:vAlign w:val="center"/>
          </w:tcPr>
          <w:p w:rsidR="004439D2" w:rsidRDefault="00963B34">
            <w:pPr>
              <w:jc w:val="center"/>
            </w:pPr>
            <w:r>
              <w:rPr>
                <w:color w:val="000000"/>
                <w:sz w:val="24"/>
              </w:rPr>
              <w:t>0.3418%</w:t>
            </w:r>
          </w:p>
        </w:tc>
        <w:tc>
          <w:tcPr>
            <w:tcW w:w="1329" w:type="dxa"/>
            <w:vAlign w:val="center"/>
          </w:tcPr>
          <w:p w:rsidR="004439D2" w:rsidRDefault="00963B34">
            <w:pPr>
              <w:jc w:val="center"/>
            </w:pPr>
            <w:r>
              <w:rPr>
                <w:color w:val="000000"/>
                <w:sz w:val="24"/>
              </w:rPr>
              <w:t>0.0000%</w:t>
            </w:r>
          </w:p>
        </w:tc>
        <w:tc>
          <w:tcPr>
            <w:tcW w:w="1329" w:type="dxa"/>
            <w:vAlign w:val="center"/>
          </w:tcPr>
          <w:p w:rsidR="004439D2" w:rsidRDefault="00963B34">
            <w:pPr>
              <w:jc w:val="center"/>
            </w:pPr>
            <w:r>
              <w:rPr>
                <w:color w:val="000000"/>
                <w:sz w:val="24"/>
              </w:rPr>
              <w:t>0.2605%</w:t>
            </w:r>
          </w:p>
        </w:tc>
        <w:tc>
          <w:tcPr>
            <w:tcW w:w="1329" w:type="dxa"/>
            <w:vAlign w:val="center"/>
          </w:tcPr>
          <w:p w:rsidR="004439D2" w:rsidRDefault="00963B34">
            <w:pPr>
              <w:jc w:val="center"/>
            </w:pPr>
            <w:r>
              <w:rPr>
                <w:color w:val="000000"/>
                <w:sz w:val="24"/>
              </w:rPr>
              <w:t>0.0008%</w:t>
            </w:r>
          </w:p>
        </w:tc>
      </w:tr>
    </w:tbl>
    <w:p w:rsidR="00EA3F40" w:rsidRPr="00613409" w:rsidRDefault="00EA3F40" w:rsidP="00613409">
      <w:pPr>
        <w:pStyle w:val="20"/>
        <w:spacing w:line="360" w:lineRule="auto"/>
        <w:ind w:firstLineChars="0" w:firstLine="0"/>
        <w:rPr>
          <w:b/>
          <w:color w:val="000000"/>
          <w:sz w:val="24"/>
        </w:rPr>
      </w:pPr>
      <w:r w:rsidRPr="00613409">
        <w:rPr>
          <w:b/>
          <w:color w:val="000000"/>
          <w:sz w:val="24"/>
        </w:rPr>
        <w:t>易方达龙宝货币</w:t>
      </w:r>
      <w:r w:rsidRPr="00613409">
        <w:rPr>
          <w:b/>
          <w:color w:val="000000"/>
          <w:sz w:val="24"/>
        </w:rPr>
        <w:t>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4439D2">
        <w:tc>
          <w:tcPr>
            <w:tcW w:w="1328" w:type="dxa"/>
            <w:vAlign w:val="center"/>
          </w:tcPr>
          <w:p w:rsidR="004439D2" w:rsidRDefault="00963B34">
            <w:pPr>
              <w:jc w:val="left"/>
            </w:pPr>
            <w:r>
              <w:rPr>
                <w:color w:val="000000"/>
                <w:sz w:val="24"/>
              </w:rPr>
              <w:t>过去三个月</w:t>
            </w:r>
          </w:p>
        </w:tc>
        <w:tc>
          <w:tcPr>
            <w:tcW w:w="1329" w:type="dxa"/>
            <w:vAlign w:val="center"/>
          </w:tcPr>
          <w:p w:rsidR="004439D2" w:rsidRDefault="00963B34">
            <w:pPr>
              <w:jc w:val="center"/>
            </w:pPr>
            <w:r>
              <w:rPr>
                <w:color w:val="000000"/>
                <w:sz w:val="24"/>
              </w:rPr>
              <w:t>0.6623%</w:t>
            </w:r>
          </w:p>
        </w:tc>
        <w:tc>
          <w:tcPr>
            <w:tcW w:w="1329" w:type="dxa"/>
            <w:vAlign w:val="center"/>
          </w:tcPr>
          <w:p w:rsidR="004439D2" w:rsidRDefault="00963B34">
            <w:pPr>
              <w:jc w:val="center"/>
            </w:pPr>
            <w:r>
              <w:rPr>
                <w:color w:val="000000"/>
                <w:sz w:val="24"/>
              </w:rPr>
              <w:t>0.0008%</w:t>
            </w:r>
          </w:p>
        </w:tc>
        <w:tc>
          <w:tcPr>
            <w:tcW w:w="1329" w:type="dxa"/>
            <w:vAlign w:val="center"/>
          </w:tcPr>
          <w:p w:rsidR="004439D2" w:rsidRDefault="00963B34">
            <w:pPr>
              <w:jc w:val="center"/>
            </w:pPr>
            <w:r>
              <w:rPr>
                <w:color w:val="000000"/>
                <w:sz w:val="24"/>
              </w:rPr>
              <w:t>0.3418%</w:t>
            </w:r>
          </w:p>
        </w:tc>
        <w:tc>
          <w:tcPr>
            <w:tcW w:w="1329" w:type="dxa"/>
            <w:vAlign w:val="center"/>
          </w:tcPr>
          <w:p w:rsidR="004439D2" w:rsidRDefault="00963B34">
            <w:pPr>
              <w:jc w:val="center"/>
            </w:pPr>
            <w:r>
              <w:rPr>
                <w:color w:val="000000"/>
                <w:sz w:val="24"/>
              </w:rPr>
              <w:t>0.0000%</w:t>
            </w:r>
          </w:p>
        </w:tc>
        <w:tc>
          <w:tcPr>
            <w:tcW w:w="1329" w:type="dxa"/>
            <w:vAlign w:val="center"/>
          </w:tcPr>
          <w:p w:rsidR="004439D2" w:rsidRDefault="00963B34">
            <w:pPr>
              <w:jc w:val="center"/>
            </w:pPr>
            <w:r>
              <w:rPr>
                <w:color w:val="000000"/>
                <w:sz w:val="24"/>
              </w:rPr>
              <w:t>0.3205%</w:t>
            </w:r>
          </w:p>
        </w:tc>
        <w:tc>
          <w:tcPr>
            <w:tcW w:w="1329" w:type="dxa"/>
            <w:vAlign w:val="center"/>
          </w:tcPr>
          <w:p w:rsidR="004439D2" w:rsidRDefault="00963B34">
            <w:pPr>
              <w:jc w:val="center"/>
            </w:pPr>
            <w:r>
              <w:rPr>
                <w:color w:val="000000"/>
                <w:sz w:val="24"/>
              </w:rPr>
              <w:t>0.0008%</w:t>
            </w:r>
          </w:p>
        </w:tc>
      </w:tr>
    </w:tbl>
    <w:p w:rsidR="00EA3F40" w:rsidRPr="00613409" w:rsidRDefault="00EA3F40" w:rsidP="00613409">
      <w:pPr>
        <w:pStyle w:val="20"/>
        <w:spacing w:line="360" w:lineRule="auto"/>
        <w:ind w:firstLineChars="0" w:firstLine="0"/>
        <w:rPr>
          <w:b/>
          <w:color w:val="000000"/>
          <w:sz w:val="24"/>
        </w:rPr>
      </w:pPr>
      <w:r w:rsidRPr="00613409">
        <w:rPr>
          <w:b/>
          <w:color w:val="000000"/>
          <w:sz w:val="24"/>
        </w:rPr>
        <w:t>易方达龙宝货币</w:t>
      </w:r>
      <w:r w:rsidRPr="00613409">
        <w:rPr>
          <w:b/>
          <w:color w:val="000000"/>
          <w:sz w:val="24"/>
        </w:rPr>
        <w: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4439D2">
        <w:tc>
          <w:tcPr>
            <w:tcW w:w="1328" w:type="dxa"/>
            <w:vAlign w:val="center"/>
          </w:tcPr>
          <w:p w:rsidR="004439D2" w:rsidRDefault="00963B34">
            <w:pPr>
              <w:jc w:val="left"/>
            </w:pPr>
            <w:r>
              <w:rPr>
                <w:color w:val="000000"/>
                <w:sz w:val="24"/>
              </w:rPr>
              <w:t>过去三个月</w:t>
            </w:r>
          </w:p>
        </w:tc>
        <w:tc>
          <w:tcPr>
            <w:tcW w:w="1329" w:type="dxa"/>
            <w:vAlign w:val="center"/>
          </w:tcPr>
          <w:p w:rsidR="004439D2" w:rsidRDefault="00963B34">
            <w:pPr>
              <w:jc w:val="center"/>
            </w:pPr>
            <w:r>
              <w:rPr>
                <w:color w:val="000000"/>
                <w:sz w:val="24"/>
              </w:rPr>
              <w:t>0.6523%</w:t>
            </w:r>
          </w:p>
        </w:tc>
        <w:tc>
          <w:tcPr>
            <w:tcW w:w="1329" w:type="dxa"/>
            <w:vAlign w:val="center"/>
          </w:tcPr>
          <w:p w:rsidR="004439D2" w:rsidRDefault="00963B34">
            <w:pPr>
              <w:jc w:val="center"/>
            </w:pPr>
            <w:r>
              <w:rPr>
                <w:color w:val="000000"/>
                <w:sz w:val="24"/>
              </w:rPr>
              <w:t>0.0008%</w:t>
            </w:r>
          </w:p>
        </w:tc>
        <w:tc>
          <w:tcPr>
            <w:tcW w:w="1329" w:type="dxa"/>
            <w:vAlign w:val="center"/>
          </w:tcPr>
          <w:p w:rsidR="004439D2" w:rsidRDefault="00963B34">
            <w:pPr>
              <w:jc w:val="center"/>
            </w:pPr>
            <w:r>
              <w:rPr>
                <w:color w:val="000000"/>
                <w:sz w:val="24"/>
              </w:rPr>
              <w:t>0.3418%</w:t>
            </w:r>
          </w:p>
        </w:tc>
        <w:tc>
          <w:tcPr>
            <w:tcW w:w="1329" w:type="dxa"/>
            <w:vAlign w:val="center"/>
          </w:tcPr>
          <w:p w:rsidR="004439D2" w:rsidRDefault="00963B34">
            <w:pPr>
              <w:jc w:val="center"/>
            </w:pPr>
            <w:r>
              <w:rPr>
                <w:color w:val="000000"/>
                <w:sz w:val="24"/>
              </w:rPr>
              <w:t>0.0000%</w:t>
            </w:r>
          </w:p>
        </w:tc>
        <w:tc>
          <w:tcPr>
            <w:tcW w:w="1329" w:type="dxa"/>
            <w:vAlign w:val="center"/>
          </w:tcPr>
          <w:p w:rsidR="004439D2" w:rsidRDefault="00963B34">
            <w:pPr>
              <w:jc w:val="center"/>
            </w:pPr>
            <w:r>
              <w:rPr>
                <w:color w:val="000000"/>
                <w:sz w:val="24"/>
              </w:rPr>
              <w:t>0.3105%</w:t>
            </w:r>
          </w:p>
        </w:tc>
        <w:tc>
          <w:tcPr>
            <w:tcW w:w="1329" w:type="dxa"/>
            <w:vAlign w:val="center"/>
          </w:tcPr>
          <w:p w:rsidR="004439D2" w:rsidRDefault="00963B34">
            <w:pPr>
              <w:jc w:val="center"/>
            </w:pPr>
            <w:r>
              <w:rPr>
                <w:color w:val="000000"/>
                <w:sz w:val="24"/>
              </w:rPr>
              <w:t>0.0008%</w:t>
            </w:r>
          </w:p>
        </w:tc>
      </w:tr>
    </w:tbl>
    <w:p w:rsidR="00EA3F40" w:rsidRPr="0097021E" w:rsidRDefault="00EA3F40" w:rsidP="009A755D">
      <w:pPr>
        <w:spacing w:line="360" w:lineRule="auto"/>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cs="Arial"/>
            <w:b/>
            <w:color w:val="000000"/>
            <w:kern w:val="0"/>
            <w:sz w:val="24"/>
          </w:rPr>
          <w:t>3.2.2</w:t>
        </w:r>
        <w:r w:rsidR="001136E5" w:rsidRPr="00370BEA">
          <w:rPr>
            <w:rStyle w:val="af"/>
            <w:rFonts w:hint="eastAsia"/>
            <w:color w:val="000000"/>
            <w:sz w:val="24"/>
            <w:shd w:val="clear" w:color="auto" w:fill="FFFFFF"/>
          </w:rPr>
          <w:t>自基金合同生效以来</w:t>
        </w:r>
      </w:smartTag>
      <w:r w:rsidRPr="0097021E">
        <w:rPr>
          <w:rFonts w:ascii="宋体" w:hAnsi="宋体" w:cs="Arial" w:hint="eastAsia"/>
          <w:b/>
          <w:color w:val="000000"/>
          <w:kern w:val="0"/>
          <w:sz w:val="24"/>
        </w:rPr>
        <w:t>基金累计净值收益率变动及其与同期业绩比较基准收益率变动的比较</w:t>
      </w:r>
    </w:p>
    <w:p w:rsidR="00EA3F40" w:rsidRPr="00613409" w:rsidRDefault="00EA3F40" w:rsidP="009A755D">
      <w:pPr>
        <w:spacing w:line="360" w:lineRule="auto"/>
        <w:jc w:val="center"/>
        <w:rPr>
          <w:sz w:val="24"/>
        </w:rPr>
      </w:pPr>
      <w:r w:rsidRPr="00613409">
        <w:rPr>
          <w:sz w:val="24"/>
        </w:rPr>
        <w:t>易方达龙宝货币市场基金</w:t>
      </w:r>
    </w:p>
    <w:p w:rsidR="00CB6152" w:rsidRPr="00CB6152" w:rsidRDefault="00EA3F40" w:rsidP="00CB6152">
      <w:pPr>
        <w:pStyle w:val="a6"/>
        <w:snapToGrid w:val="0"/>
        <w:spacing w:line="360" w:lineRule="auto"/>
        <w:jc w:val="center"/>
        <w:rPr>
          <w:rFonts w:ascii="Times New Roman" w:hAnsi="Times New Roman"/>
          <w:color w:val="000000"/>
          <w:sz w:val="24"/>
          <w:szCs w:val="24"/>
        </w:rPr>
      </w:pPr>
      <w:r w:rsidRPr="00613409">
        <w:rPr>
          <w:rFonts w:ascii="Times New Roman" w:hAnsi="Times New Roman"/>
          <w:sz w:val="24"/>
          <w:szCs w:val="24"/>
        </w:rPr>
        <w:t>累计净值收益率与业绩比较基准收益率的历史走势对比图</w:t>
      </w:r>
    </w:p>
    <w:p w:rsidR="00CB6152" w:rsidRPr="00CB6152" w:rsidRDefault="00EA3F40" w:rsidP="00CB6152">
      <w:pPr>
        <w:snapToGrid w:val="0"/>
        <w:spacing w:line="360" w:lineRule="auto"/>
        <w:rPr>
          <w:rFonts w:hAnsi="宋体"/>
          <w:color w:val="000000"/>
          <w:sz w:val="24"/>
        </w:rPr>
      </w:pPr>
      <w:r w:rsidRPr="00613409">
        <w:rPr>
          <w:color w:val="000000"/>
          <w:kern w:val="0"/>
          <w:sz w:val="24"/>
        </w:rPr>
        <w:t>易方达龙宝货币</w:t>
      </w:r>
      <w:r w:rsidRPr="00613409">
        <w:rPr>
          <w:color w:val="000000"/>
          <w:kern w:val="0"/>
          <w:sz w:val="24"/>
        </w:rPr>
        <w:t>A</w:t>
      </w:r>
    </w:p>
    <w:p w:rsidR="00EA3F40" w:rsidRPr="00CB6152" w:rsidRDefault="00CB6152" w:rsidP="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w:t>
      </w:r>
      <w:r w:rsidRPr="00CB6152">
        <w:rPr>
          <w:rFonts w:ascii="Times New Roman" w:hAnsi="Times New Roman"/>
          <w:sz w:val="24"/>
          <w:szCs w:val="24"/>
        </w:rPr>
        <w:t>2014</w:t>
      </w:r>
      <w:r w:rsidRPr="00CB6152">
        <w:rPr>
          <w:rFonts w:ascii="Times New Roman" w:hAnsi="Times New Roman"/>
          <w:sz w:val="24"/>
          <w:szCs w:val="24"/>
        </w:rPr>
        <w:t>年</w:t>
      </w:r>
      <w:r w:rsidRPr="00CB6152">
        <w:rPr>
          <w:rFonts w:ascii="Times New Roman" w:hAnsi="Times New Roman"/>
          <w:sz w:val="24"/>
          <w:szCs w:val="24"/>
        </w:rPr>
        <w:t>9</w:t>
      </w:r>
      <w:r w:rsidRPr="00CB6152">
        <w:rPr>
          <w:rFonts w:ascii="Times New Roman" w:hAnsi="Times New Roman"/>
          <w:sz w:val="24"/>
          <w:szCs w:val="24"/>
        </w:rPr>
        <w:t>月</w:t>
      </w:r>
      <w:r w:rsidRPr="00CB6152">
        <w:rPr>
          <w:rFonts w:ascii="Times New Roman" w:hAnsi="Times New Roman"/>
          <w:sz w:val="24"/>
          <w:szCs w:val="24"/>
        </w:rPr>
        <w:t>12</w:t>
      </w:r>
      <w:r w:rsidRPr="00CB6152">
        <w:rPr>
          <w:rFonts w:ascii="Times New Roman" w:hAnsi="Times New Roman"/>
          <w:sz w:val="24"/>
          <w:szCs w:val="24"/>
        </w:rPr>
        <w:t>日至</w:t>
      </w:r>
      <w:r w:rsidRPr="00CB6152">
        <w:rPr>
          <w:rFonts w:ascii="Times New Roman" w:hAnsi="Times New Roman"/>
          <w:sz w:val="24"/>
          <w:szCs w:val="24"/>
        </w:rPr>
        <w:t>2020</w:t>
      </w:r>
      <w:r w:rsidRPr="00CB6152">
        <w:rPr>
          <w:rFonts w:ascii="Times New Roman" w:hAnsi="Times New Roman"/>
          <w:sz w:val="24"/>
          <w:szCs w:val="24"/>
        </w:rPr>
        <w:t>年</w:t>
      </w:r>
      <w:r w:rsidRPr="00CB6152">
        <w:rPr>
          <w:rFonts w:ascii="Times New Roman" w:hAnsi="Times New Roman"/>
          <w:sz w:val="24"/>
          <w:szCs w:val="24"/>
        </w:rPr>
        <w:t>3</w:t>
      </w:r>
      <w:r w:rsidRPr="00CB6152">
        <w:rPr>
          <w:rFonts w:ascii="Times New Roman" w:hAnsi="Times New Roman"/>
          <w:sz w:val="24"/>
          <w:szCs w:val="24"/>
        </w:rPr>
        <w:t>月</w:t>
      </w:r>
      <w:r w:rsidRPr="00CB6152">
        <w:rPr>
          <w:rFonts w:ascii="Times New Roman" w:hAnsi="Times New Roman"/>
          <w:sz w:val="24"/>
          <w:szCs w:val="24"/>
        </w:rPr>
        <w:t>31</w:t>
      </w:r>
      <w:r w:rsidRPr="00CB6152">
        <w:rPr>
          <w:rFonts w:ascii="Times New Roman" w:hAnsi="Times New Roman"/>
          <w:sz w:val="24"/>
          <w:szCs w:val="24"/>
        </w:rPr>
        <w:t>日）</w:t>
      </w:r>
    </w:p>
    <w:p w:rsidR="00EA3F40" w:rsidRPr="007600BC" w:rsidRDefault="00DA1C79" w:rsidP="00196812">
      <w:pPr>
        <w:tabs>
          <w:tab w:val="left" w:pos="0"/>
        </w:tabs>
        <w:spacing w:line="360" w:lineRule="auto"/>
        <w:jc w:val="center"/>
        <w:rPr>
          <w:rFonts w:ascii="宋体"/>
          <w:color w:val="000000"/>
          <w:sz w:val="24"/>
        </w:rPr>
      </w:pPr>
      <w:r>
        <w:rPr>
          <w:rFonts w:ascii="宋体"/>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2.25pt;height:267pt;visibility:visible">
            <v:imagedata r:id="rId9" o:title=""/>
          </v:shape>
        </w:pict>
      </w:r>
    </w:p>
    <w:p w:rsidR="00EA3F40" w:rsidRPr="0097021E" w:rsidRDefault="00613409" w:rsidP="00613409">
      <w:pPr>
        <w:tabs>
          <w:tab w:val="left" w:pos="825"/>
        </w:tabs>
        <w:adjustRightInd w:val="0"/>
        <w:snapToGrid w:val="0"/>
        <w:spacing w:line="360" w:lineRule="auto"/>
        <w:rPr>
          <w:rFonts w:ascii="宋体"/>
          <w:color w:val="000000"/>
          <w:sz w:val="24"/>
        </w:rPr>
      </w:pPr>
      <w:r>
        <w:rPr>
          <w:rFonts w:ascii="宋体"/>
          <w:color w:val="000000"/>
          <w:sz w:val="24"/>
        </w:rPr>
        <w:tab/>
      </w:r>
    </w:p>
    <w:p w:rsidR="00CB6152" w:rsidRPr="00CB6152" w:rsidRDefault="00EA3F40" w:rsidP="00CB6152">
      <w:pPr>
        <w:snapToGrid w:val="0"/>
        <w:spacing w:beforeLines="100" w:before="312" w:line="360" w:lineRule="auto"/>
        <w:rPr>
          <w:rFonts w:hAnsi="宋体"/>
          <w:color w:val="000000"/>
          <w:sz w:val="24"/>
        </w:rPr>
      </w:pPr>
      <w:r w:rsidRPr="00613409">
        <w:rPr>
          <w:color w:val="000000"/>
          <w:kern w:val="0"/>
          <w:sz w:val="24"/>
        </w:rPr>
        <w:t>易方达龙宝货币</w:t>
      </w:r>
      <w:r w:rsidRPr="00613409">
        <w:rPr>
          <w:color w:val="000000"/>
          <w:kern w:val="0"/>
          <w:sz w:val="24"/>
        </w:rPr>
        <w:t>B</w:t>
      </w:r>
    </w:p>
    <w:p w:rsidR="00EA3F40" w:rsidRPr="00CB6152" w:rsidRDefault="00CB6152" w:rsidP="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w:t>
      </w:r>
      <w:r w:rsidRPr="00CB6152">
        <w:rPr>
          <w:rFonts w:ascii="Times New Roman" w:hAnsi="Times New Roman"/>
          <w:sz w:val="24"/>
          <w:szCs w:val="24"/>
        </w:rPr>
        <w:t>2014</w:t>
      </w:r>
      <w:r w:rsidRPr="00CB6152">
        <w:rPr>
          <w:rFonts w:ascii="Times New Roman" w:hAnsi="Times New Roman"/>
          <w:sz w:val="24"/>
          <w:szCs w:val="24"/>
        </w:rPr>
        <w:t>年</w:t>
      </w:r>
      <w:r w:rsidRPr="00CB6152">
        <w:rPr>
          <w:rFonts w:ascii="Times New Roman" w:hAnsi="Times New Roman"/>
          <w:sz w:val="24"/>
          <w:szCs w:val="24"/>
        </w:rPr>
        <w:t>9</w:t>
      </w:r>
      <w:r w:rsidRPr="00CB6152">
        <w:rPr>
          <w:rFonts w:ascii="Times New Roman" w:hAnsi="Times New Roman"/>
          <w:sz w:val="24"/>
          <w:szCs w:val="24"/>
        </w:rPr>
        <w:t>月</w:t>
      </w:r>
      <w:r w:rsidRPr="00CB6152">
        <w:rPr>
          <w:rFonts w:ascii="Times New Roman" w:hAnsi="Times New Roman"/>
          <w:sz w:val="24"/>
          <w:szCs w:val="24"/>
        </w:rPr>
        <w:t>12</w:t>
      </w:r>
      <w:r w:rsidRPr="00CB6152">
        <w:rPr>
          <w:rFonts w:ascii="Times New Roman" w:hAnsi="Times New Roman"/>
          <w:sz w:val="24"/>
          <w:szCs w:val="24"/>
        </w:rPr>
        <w:t>日至</w:t>
      </w:r>
      <w:r w:rsidRPr="00CB6152">
        <w:rPr>
          <w:rFonts w:ascii="Times New Roman" w:hAnsi="Times New Roman"/>
          <w:sz w:val="24"/>
          <w:szCs w:val="24"/>
        </w:rPr>
        <w:t>2020</w:t>
      </w:r>
      <w:r w:rsidRPr="00CB6152">
        <w:rPr>
          <w:rFonts w:ascii="Times New Roman" w:hAnsi="Times New Roman"/>
          <w:sz w:val="24"/>
          <w:szCs w:val="24"/>
        </w:rPr>
        <w:t>年</w:t>
      </w:r>
      <w:r w:rsidRPr="00CB6152">
        <w:rPr>
          <w:rFonts w:ascii="Times New Roman" w:hAnsi="Times New Roman"/>
          <w:sz w:val="24"/>
          <w:szCs w:val="24"/>
        </w:rPr>
        <w:t>3</w:t>
      </w:r>
      <w:r w:rsidRPr="00CB6152">
        <w:rPr>
          <w:rFonts w:ascii="Times New Roman" w:hAnsi="Times New Roman"/>
          <w:sz w:val="24"/>
          <w:szCs w:val="24"/>
        </w:rPr>
        <w:t>月</w:t>
      </w:r>
      <w:r w:rsidRPr="00CB6152">
        <w:rPr>
          <w:rFonts w:ascii="Times New Roman" w:hAnsi="Times New Roman"/>
          <w:sz w:val="24"/>
          <w:szCs w:val="24"/>
        </w:rPr>
        <w:t>31</w:t>
      </w:r>
      <w:r w:rsidRPr="00CB6152">
        <w:rPr>
          <w:rFonts w:ascii="Times New Roman" w:hAnsi="Times New Roman"/>
          <w:sz w:val="24"/>
          <w:szCs w:val="24"/>
        </w:rPr>
        <w:t>日）</w:t>
      </w:r>
    </w:p>
    <w:p w:rsidR="00EA3F40" w:rsidRPr="0097021E" w:rsidRDefault="00DA1C79" w:rsidP="00196812">
      <w:pPr>
        <w:snapToGrid w:val="0"/>
        <w:spacing w:line="360" w:lineRule="auto"/>
        <w:jc w:val="center"/>
        <w:rPr>
          <w:rFonts w:ascii="宋体"/>
          <w:color w:val="000000"/>
          <w:sz w:val="24"/>
        </w:rPr>
      </w:pPr>
      <w:r>
        <w:rPr>
          <w:rFonts w:ascii="宋体"/>
          <w:noProof/>
          <w:color w:val="000000"/>
          <w:sz w:val="24"/>
        </w:rPr>
        <w:pict>
          <v:shape id="图片 2" o:spid="_x0000_i1026" type="#_x0000_t75" style="width:452.25pt;height:267pt;visibility:visible">
            <v:imagedata r:id="rId10" o:title=""/>
          </v:shape>
        </w:pict>
      </w:r>
    </w:p>
    <w:p w:rsidR="00CB6152" w:rsidRPr="00CB6152" w:rsidRDefault="00EA3F40" w:rsidP="00CB6152">
      <w:pPr>
        <w:snapToGrid w:val="0"/>
        <w:spacing w:beforeLines="100" w:before="312" w:line="360" w:lineRule="auto"/>
        <w:rPr>
          <w:rFonts w:hAnsi="宋体"/>
          <w:color w:val="000000"/>
          <w:sz w:val="24"/>
        </w:rPr>
      </w:pPr>
      <w:r w:rsidRPr="00613409">
        <w:rPr>
          <w:color w:val="000000"/>
          <w:kern w:val="0"/>
          <w:sz w:val="24"/>
        </w:rPr>
        <w:t>易方达龙宝货币</w:t>
      </w:r>
      <w:r w:rsidRPr="00613409">
        <w:rPr>
          <w:color w:val="000000"/>
          <w:kern w:val="0"/>
          <w:sz w:val="24"/>
        </w:rPr>
        <w:t>C</w:t>
      </w:r>
    </w:p>
    <w:p w:rsidR="00EA3F40" w:rsidRPr="00CB6152" w:rsidRDefault="00CB6152" w:rsidP="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w:t>
      </w:r>
      <w:r w:rsidRPr="00CB6152">
        <w:rPr>
          <w:rFonts w:ascii="Times New Roman" w:hAnsi="Times New Roman"/>
          <w:sz w:val="24"/>
          <w:szCs w:val="24"/>
        </w:rPr>
        <w:t>2017</w:t>
      </w:r>
      <w:r w:rsidRPr="00CB6152">
        <w:rPr>
          <w:rFonts w:ascii="Times New Roman" w:hAnsi="Times New Roman"/>
          <w:sz w:val="24"/>
          <w:szCs w:val="24"/>
        </w:rPr>
        <w:t>年</w:t>
      </w:r>
      <w:r w:rsidRPr="00CB6152">
        <w:rPr>
          <w:rFonts w:ascii="Times New Roman" w:hAnsi="Times New Roman"/>
          <w:sz w:val="24"/>
          <w:szCs w:val="24"/>
        </w:rPr>
        <w:t>8</w:t>
      </w:r>
      <w:r w:rsidRPr="00CB6152">
        <w:rPr>
          <w:rFonts w:ascii="Times New Roman" w:hAnsi="Times New Roman"/>
          <w:sz w:val="24"/>
          <w:szCs w:val="24"/>
        </w:rPr>
        <w:t>月</w:t>
      </w:r>
      <w:r w:rsidRPr="00CB6152">
        <w:rPr>
          <w:rFonts w:ascii="Times New Roman" w:hAnsi="Times New Roman"/>
          <w:sz w:val="24"/>
          <w:szCs w:val="24"/>
        </w:rPr>
        <w:t>30</w:t>
      </w:r>
      <w:r w:rsidRPr="00CB6152">
        <w:rPr>
          <w:rFonts w:ascii="Times New Roman" w:hAnsi="Times New Roman"/>
          <w:sz w:val="24"/>
          <w:szCs w:val="24"/>
        </w:rPr>
        <w:t>日至</w:t>
      </w:r>
      <w:r w:rsidRPr="00CB6152">
        <w:rPr>
          <w:rFonts w:ascii="Times New Roman" w:hAnsi="Times New Roman"/>
          <w:sz w:val="24"/>
          <w:szCs w:val="24"/>
        </w:rPr>
        <w:t>2020</w:t>
      </w:r>
      <w:r w:rsidRPr="00CB6152">
        <w:rPr>
          <w:rFonts w:ascii="Times New Roman" w:hAnsi="Times New Roman"/>
          <w:sz w:val="24"/>
          <w:szCs w:val="24"/>
        </w:rPr>
        <w:t>年</w:t>
      </w:r>
      <w:r w:rsidRPr="00CB6152">
        <w:rPr>
          <w:rFonts w:ascii="Times New Roman" w:hAnsi="Times New Roman"/>
          <w:sz w:val="24"/>
          <w:szCs w:val="24"/>
        </w:rPr>
        <w:t>3</w:t>
      </w:r>
      <w:r w:rsidRPr="00CB6152">
        <w:rPr>
          <w:rFonts w:ascii="Times New Roman" w:hAnsi="Times New Roman"/>
          <w:sz w:val="24"/>
          <w:szCs w:val="24"/>
        </w:rPr>
        <w:t>月</w:t>
      </w:r>
      <w:r w:rsidRPr="00CB6152">
        <w:rPr>
          <w:rFonts w:ascii="Times New Roman" w:hAnsi="Times New Roman"/>
          <w:sz w:val="24"/>
          <w:szCs w:val="24"/>
        </w:rPr>
        <w:t>31</w:t>
      </w:r>
      <w:r w:rsidRPr="00CB6152">
        <w:rPr>
          <w:rFonts w:ascii="Times New Roman" w:hAnsi="Times New Roman"/>
          <w:sz w:val="24"/>
          <w:szCs w:val="24"/>
        </w:rPr>
        <w:t>日）</w:t>
      </w:r>
    </w:p>
    <w:p w:rsidR="00EA3F40" w:rsidRPr="000A39AB" w:rsidRDefault="00DA1C79" w:rsidP="00220437">
      <w:pPr>
        <w:autoSpaceDE w:val="0"/>
        <w:autoSpaceDN w:val="0"/>
        <w:adjustRightInd w:val="0"/>
        <w:spacing w:line="360" w:lineRule="auto"/>
        <w:jc w:val="center"/>
        <w:rPr>
          <w:rFonts w:ascii="宋体"/>
          <w:color w:val="000000"/>
          <w:sz w:val="24"/>
        </w:rPr>
      </w:pPr>
      <w:r>
        <w:rPr>
          <w:rFonts w:ascii="宋体"/>
          <w:noProof/>
          <w:color w:val="000000"/>
          <w:sz w:val="24"/>
        </w:rPr>
        <w:pict>
          <v:shape id="图片 6" o:spid="_x0000_i1027" type="#_x0000_t75" style="width:452.25pt;height:267pt;visibility:visible">
            <v:imagedata r:id="rId11" o:title=""/>
          </v:shape>
        </w:pict>
      </w:r>
    </w:p>
    <w:p w:rsidR="004439D2" w:rsidRDefault="00963B34">
      <w:pPr>
        <w:adjustRightInd w:val="0"/>
        <w:spacing w:line="360" w:lineRule="auto"/>
        <w:ind w:firstLineChars="200" w:firstLine="480"/>
        <w:rPr>
          <w:color w:val="000000"/>
          <w:sz w:val="24"/>
        </w:rPr>
      </w:pPr>
      <w:r>
        <w:rPr>
          <w:color w:val="000000"/>
          <w:sz w:val="24"/>
        </w:rPr>
        <w:t>注：</w:t>
      </w:r>
      <w:r>
        <w:rPr>
          <w:color w:val="000000"/>
          <w:sz w:val="24"/>
        </w:rPr>
        <w:t>1.</w:t>
      </w:r>
      <w:r>
        <w:rPr>
          <w:color w:val="000000"/>
          <w:sz w:val="24"/>
        </w:rPr>
        <w:t>自</w:t>
      </w:r>
      <w:r>
        <w:rPr>
          <w:color w:val="000000"/>
          <w:sz w:val="24"/>
        </w:rPr>
        <w:t>2017</w:t>
      </w:r>
      <w:r>
        <w:rPr>
          <w:color w:val="000000"/>
          <w:sz w:val="24"/>
        </w:rPr>
        <w:t>年</w:t>
      </w:r>
      <w:r>
        <w:rPr>
          <w:color w:val="000000"/>
          <w:sz w:val="24"/>
        </w:rPr>
        <w:t>8</w:t>
      </w:r>
      <w:r>
        <w:rPr>
          <w:color w:val="000000"/>
          <w:sz w:val="24"/>
        </w:rPr>
        <w:t>月</w:t>
      </w:r>
      <w:r>
        <w:rPr>
          <w:color w:val="000000"/>
          <w:sz w:val="24"/>
        </w:rPr>
        <w:t>29</w:t>
      </w:r>
      <w:r>
        <w:rPr>
          <w:color w:val="000000"/>
          <w:sz w:val="24"/>
        </w:rPr>
        <w:t>日起</w:t>
      </w:r>
      <w:r>
        <w:rPr>
          <w:color w:val="000000"/>
          <w:sz w:val="24"/>
        </w:rPr>
        <w:t>,</w:t>
      </w:r>
      <w:r>
        <w:rPr>
          <w:color w:val="000000"/>
          <w:sz w:val="24"/>
        </w:rPr>
        <w:t>本基金增设</w:t>
      </w:r>
      <w:r>
        <w:rPr>
          <w:color w:val="000000"/>
          <w:sz w:val="24"/>
        </w:rPr>
        <w:t>C</w:t>
      </w:r>
      <w:r>
        <w:rPr>
          <w:color w:val="000000"/>
          <w:sz w:val="24"/>
        </w:rPr>
        <w:t>类份额类别</w:t>
      </w:r>
      <w:r>
        <w:rPr>
          <w:color w:val="000000"/>
          <w:sz w:val="24"/>
        </w:rPr>
        <w:t>,</w:t>
      </w:r>
      <w:r>
        <w:rPr>
          <w:color w:val="000000"/>
          <w:sz w:val="24"/>
        </w:rPr>
        <w:t>份额首次确认日为</w:t>
      </w:r>
      <w:r>
        <w:rPr>
          <w:color w:val="000000"/>
          <w:sz w:val="24"/>
        </w:rPr>
        <w:t>2017</w:t>
      </w:r>
      <w:r>
        <w:rPr>
          <w:color w:val="000000"/>
          <w:sz w:val="24"/>
        </w:rPr>
        <w:t>年</w:t>
      </w:r>
      <w:r>
        <w:rPr>
          <w:color w:val="000000"/>
          <w:sz w:val="24"/>
        </w:rPr>
        <w:t>8</w:t>
      </w:r>
      <w:r>
        <w:rPr>
          <w:color w:val="000000"/>
          <w:sz w:val="24"/>
        </w:rPr>
        <w:t>月</w:t>
      </w:r>
      <w:r>
        <w:rPr>
          <w:color w:val="000000"/>
          <w:sz w:val="24"/>
        </w:rPr>
        <w:t>30</w:t>
      </w:r>
      <w:r>
        <w:rPr>
          <w:color w:val="000000"/>
          <w:sz w:val="24"/>
        </w:rPr>
        <w:t>日</w:t>
      </w:r>
      <w:r>
        <w:rPr>
          <w:color w:val="000000"/>
          <w:sz w:val="24"/>
        </w:rPr>
        <w:t>,</w:t>
      </w:r>
      <w:r>
        <w:rPr>
          <w:color w:val="000000"/>
          <w:sz w:val="24"/>
        </w:rPr>
        <w:t>增设当期的相关数据和指标按实际存续期计算。</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2.</w:t>
      </w:r>
      <w:r w:rsidRPr="001752C7">
        <w:rPr>
          <w:color w:val="000000"/>
          <w:sz w:val="24"/>
        </w:rPr>
        <w:t>自基金合同生效至报告期末，</w:t>
      </w:r>
      <w:r w:rsidRPr="001752C7">
        <w:rPr>
          <w:color w:val="000000"/>
          <w:sz w:val="24"/>
        </w:rPr>
        <w:t>A</w:t>
      </w:r>
      <w:r w:rsidRPr="001752C7">
        <w:rPr>
          <w:color w:val="000000"/>
          <w:sz w:val="24"/>
        </w:rPr>
        <w:t>类基金份额净值收益率为</w:t>
      </w:r>
      <w:r w:rsidRPr="001752C7">
        <w:rPr>
          <w:color w:val="000000"/>
          <w:sz w:val="24"/>
        </w:rPr>
        <w:t>20.0169%</w:t>
      </w:r>
      <w:r w:rsidRPr="001752C7">
        <w:rPr>
          <w:color w:val="000000"/>
          <w:sz w:val="24"/>
        </w:rPr>
        <w:t>，</w:t>
      </w:r>
      <w:r w:rsidRPr="001752C7">
        <w:rPr>
          <w:color w:val="000000"/>
          <w:sz w:val="24"/>
        </w:rPr>
        <w:t>B</w:t>
      </w:r>
      <w:r w:rsidRPr="001752C7">
        <w:rPr>
          <w:color w:val="000000"/>
          <w:sz w:val="24"/>
        </w:rPr>
        <w:t>类基金份额净值收益率为</w:t>
      </w:r>
      <w:r w:rsidRPr="001752C7">
        <w:rPr>
          <w:color w:val="000000"/>
          <w:sz w:val="24"/>
        </w:rPr>
        <w:t>21.6241%</w:t>
      </w:r>
      <w:r w:rsidRPr="001752C7">
        <w:rPr>
          <w:color w:val="000000"/>
          <w:sz w:val="24"/>
        </w:rPr>
        <w:t>，同期业绩比较基准收益率为</w:t>
      </w:r>
      <w:r w:rsidRPr="001752C7">
        <w:rPr>
          <w:color w:val="000000"/>
          <w:sz w:val="24"/>
        </w:rPr>
        <w:t>7.9015%</w:t>
      </w:r>
      <w:r w:rsidRPr="001752C7">
        <w:rPr>
          <w:color w:val="000000"/>
          <w:sz w:val="24"/>
        </w:rPr>
        <w:t>。</w:t>
      </w:r>
      <w:r w:rsidRPr="001752C7">
        <w:rPr>
          <w:color w:val="000000"/>
          <w:sz w:val="24"/>
        </w:rPr>
        <w:t>C</w:t>
      </w:r>
      <w:r w:rsidRPr="001752C7">
        <w:rPr>
          <w:color w:val="000000"/>
          <w:sz w:val="24"/>
        </w:rPr>
        <w:t>类基金份额净值收益率为</w:t>
      </w:r>
      <w:r w:rsidRPr="001752C7">
        <w:rPr>
          <w:color w:val="000000"/>
          <w:sz w:val="24"/>
        </w:rPr>
        <w:t>9.0507%</w:t>
      </w:r>
      <w:r w:rsidRPr="001752C7">
        <w:rPr>
          <w:color w:val="000000"/>
          <w:sz w:val="24"/>
        </w:rPr>
        <w:t>，同期业绩比较基准收益率为</w:t>
      </w:r>
      <w:r w:rsidRPr="001752C7">
        <w:rPr>
          <w:color w:val="000000"/>
          <w:sz w:val="24"/>
        </w:rPr>
        <w:t>3.6072%</w:t>
      </w:r>
      <w:r w:rsidRPr="001752C7">
        <w:rPr>
          <w:color w:val="000000"/>
          <w:sz w:val="24"/>
        </w:rPr>
        <w:t>。</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4  </w:t>
      </w:r>
      <w:r w:rsidRPr="0097021E">
        <w:rPr>
          <w:rFonts w:ascii="宋体" w:hAnsi="宋体" w:cs="Arial" w:hint="eastAsia"/>
          <w:color w:val="000000"/>
          <w:kern w:val="0"/>
          <w:sz w:val="24"/>
          <w:szCs w:val="24"/>
        </w:rPr>
        <w:t>管理人报告</w:t>
      </w:r>
    </w:p>
    <w:p w:rsidR="00E23C1B" w:rsidRPr="0078105B" w:rsidRDefault="00EA3F40" w:rsidP="00E23C1B">
      <w:pPr>
        <w:autoSpaceDE w:val="0"/>
        <w:autoSpaceDN w:val="0"/>
        <w:adjustRightInd w:val="0"/>
        <w:spacing w:line="360" w:lineRule="auto"/>
        <w:jc w:val="left"/>
        <w:rPr>
          <w:rFonts w:ascii="宋体" w:cs="Arial"/>
          <w:b/>
          <w:color w:val="000000"/>
          <w:kern w:val="0"/>
          <w:sz w:val="24"/>
        </w:rPr>
      </w:pPr>
      <w:r w:rsidRPr="0097021E">
        <w:rPr>
          <w:rFonts w:ascii="宋体" w:hAnsi="宋体" w:cs="Arial"/>
          <w:b/>
          <w:color w:val="000000"/>
          <w:kern w:val="0"/>
          <w:sz w:val="24"/>
        </w:rPr>
        <w:t xml:space="preserve">4.1 </w:t>
      </w:r>
      <w:r w:rsidRPr="0097021E">
        <w:rPr>
          <w:rFonts w:ascii="宋体" w:hAnsi="宋体" w:cs="Arial" w:hint="eastAsia"/>
          <w:b/>
          <w:color w:val="000000"/>
          <w:kern w:val="0"/>
          <w:sz w:val="24"/>
        </w:rPr>
        <w:t>基金经理</w:t>
      </w:r>
      <w:r w:rsidR="007C3671">
        <w:rPr>
          <w:rFonts w:ascii="宋体" w:hAnsi="宋体" w:cs="Arial" w:hint="eastAsia"/>
          <w:b/>
          <w:color w:val="000000"/>
          <w:kern w:val="0"/>
          <w:sz w:val="24"/>
        </w:rPr>
        <w:t>（</w:t>
      </w:r>
      <w:r w:rsidR="007C3671" w:rsidRPr="0097021E">
        <w:rPr>
          <w:rFonts w:ascii="宋体" w:hAnsi="宋体" w:cs="Arial" w:hint="eastAsia"/>
          <w:b/>
          <w:color w:val="000000"/>
          <w:kern w:val="0"/>
          <w:sz w:val="24"/>
        </w:rPr>
        <w:t>或基金经理小组</w:t>
      </w:r>
      <w:r w:rsidR="007C3671">
        <w:rPr>
          <w:rFonts w:ascii="宋体" w:hAnsi="宋体" w:cs="Arial" w:hint="eastAsia"/>
          <w:b/>
          <w:color w:val="000000"/>
          <w:kern w:val="0"/>
          <w:sz w:val="24"/>
        </w:rPr>
        <w:t>）</w:t>
      </w:r>
      <w:r w:rsidRPr="0097021E">
        <w:rPr>
          <w:rFonts w:ascii="宋体" w:hAnsi="宋体" w:cs="Arial" w:hint="eastAsia"/>
          <w:b/>
          <w:color w:val="000000"/>
          <w:kern w:val="0"/>
          <w:sz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E23C1B" w:rsidRPr="0078105B" w:rsidTr="002E41BD">
        <w:trPr>
          <w:cantSplit/>
        </w:trPr>
        <w:tc>
          <w:tcPr>
            <w:tcW w:w="567"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E23C1B" w:rsidRPr="0078105B" w:rsidTr="002E41BD">
        <w:trPr>
          <w:cantSplit/>
        </w:trPr>
        <w:tc>
          <w:tcPr>
            <w:tcW w:w="567"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2835" w:type="dxa"/>
            <w:vMerge/>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851" w:type="dxa"/>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2977"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r>
      <w:tr w:rsidR="004439D2">
        <w:tc>
          <w:tcPr>
            <w:tcW w:w="567" w:type="dxa"/>
            <w:vAlign w:val="center"/>
          </w:tcPr>
          <w:p w:rsidR="004439D2" w:rsidRDefault="00963B34">
            <w:pPr>
              <w:jc w:val="center"/>
            </w:pPr>
            <w:r>
              <w:rPr>
                <w:color w:val="000000"/>
                <w:sz w:val="24"/>
              </w:rPr>
              <w:t>石大怿</w:t>
            </w:r>
          </w:p>
        </w:tc>
        <w:tc>
          <w:tcPr>
            <w:tcW w:w="2835" w:type="dxa"/>
            <w:vAlign w:val="center"/>
          </w:tcPr>
          <w:p w:rsidR="004439D2" w:rsidRDefault="00963B34">
            <w:pPr>
              <w:jc w:val="left"/>
            </w:pPr>
            <w:r>
              <w:rPr>
                <w:color w:val="000000"/>
                <w:sz w:val="24"/>
              </w:rPr>
              <w:t>本基金的基金经理、易方达月月利理财债券型证券投资基金的基金经理、易方达天天理财货币市场基金的基金经理、易方达保证金收益货币市场基金的基金经理、易方达货币市场基金的基金经理、易方达易理财货币市场基金的基金经理、易方达财富快线货币市场基金的基金经理、易方达天天增利货币市场基金的基金经理、易方达现金增利货币市场基金的基金经理、易方达天天发货币市场基金的基金经理、易方达掌柜季季盈理财债券型证券投资基金的基金经理、易方达安瑞短债债券型证券投资基金的基金经理、易方达恒安定期开放债券型发起式证券投资基金的基金经理助理</w:t>
            </w:r>
          </w:p>
        </w:tc>
        <w:tc>
          <w:tcPr>
            <w:tcW w:w="851" w:type="dxa"/>
            <w:vAlign w:val="center"/>
          </w:tcPr>
          <w:p w:rsidR="004439D2" w:rsidRDefault="00963B34">
            <w:pPr>
              <w:jc w:val="center"/>
            </w:pPr>
            <w:r>
              <w:rPr>
                <w:color w:val="000000"/>
                <w:sz w:val="24"/>
              </w:rPr>
              <w:t>2014-09-12</w:t>
            </w:r>
          </w:p>
        </w:tc>
        <w:tc>
          <w:tcPr>
            <w:tcW w:w="850" w:type="dxa"/>
            <w:vAlign w:val="center"/>
          </w:tcPr>
          <w:p w:rsidR="004439D2" w:rsidRDefault="00963B34">
            <w:pPr>
              <w:jc w:val="center"/>
            </w:pPr>
            <w:r>
              <w:rPr>
                <w:color w:val="000000"/>
                <w:sz w:val="24"/>
              </w:rPr>
              <w:t>-</w:t>
            </w:r>
          </w:p>
        </w:tc>
        <w:tc>
          <w:tcPr>
            <w:tcW w:w="851" w:type="dxa"/>
            <w:vAlign w:val="center"/>
          </w:tcPr>
          <w:p w:rsidR="004439D2" w:rsidRDefault="00963B34">
            <w:pPr>
              <w:jc w:val="center"/>
            </w:pPr>
            <w:r>
              <w:rPr>
                <w:color w:val="000000"/>
                <w:sz w:val="24"/>
              </w:rPr>
              <w:t>11</w:t>
            </w:r>
            <w:r>
              <w:rPr>
                <w:color w:val="000000"/>
                <w:sz w:val="24"/>
              </w:rPr>
              <w:t>年</w:t>
            </w:r>
          </w:p>
        </w:tc>
        <w:tc>
          <w:tcPr>
            <w:tcW w:w="2977" w:type="dxa"/>
            <w:vAlign w:val="center"/>
          </w:tcPr>
          <w:p w:rsidR="004439D2" w:rsidRDefault="00963B34">
            <w:r>
              <w:rPr>
                <w:color w:val="000000"/>
                <w:sz w:val="24"/>
              </w:rPr>
              <w:t>硕士研究生，具有基金从业资格。曾任南方基金管理有限公司交易管理部交易员，易方达基金管理有限公司集中交易室债券交易员、固定收益部基金经理助理、易方达双月利理财债券型证券投资基金基金经理、易方达新鑫灵活配置混合型证券投资基金基金经理助理。</w:t>
            </w:r>
          </w:p>
        </w:tc>
      </w:tr>
      <w:tr w:rsidR="004439D2">
        <w:tc>
          <w:tcPr>
            <w:tcW w:w="567" w:type="dxa"/>
            <w:vAlign w:val="center"/>
          </w:tcPr>
          <w:p w:rsidR="004439D2" w:rsidRDefault="00963B34">
            <w:pPr>
              <w:jc w:val="center"/>
            </w:pPr>
            <w:r>
              <w:rPr>
                <w:color w:val="000000"/>
                <w:sz w:val="24"/>
              </w:rPr>
              <w:t>梁莹</w:t>
            </w:r>
          </w:p>
        </w:tc>
        <w:tc>
          <w:tcPr>
            <w:tcW w:w="2835" w:type="dxa"/>
            <w:vAlign w:val="center"/>
          </w:tcPr>
          <w:p w:rsidR="004439D2" w:rsidRDefault="00963B34">
            <w:pPr>
              <w:jc w:val="left"/>
            </w:pPr>
            <w:r>
              <w:rPr>
                <w:color w:val="000000"/>
                <w:sz w:val="24"/>
              </w:rPr>
              <w:t>本基金的基金经理、易方达月月利理财债券型证券投资基金的基金经理、易方达增金宝货币市场基金的基金经理、易方达天天增利货币市场基金的基金经理、易方达财富快线货币市场基金的基金经理、易方达现金增利货币市场基金的基金经理、易方达掌柜季季盈理财债券型证券投资基金的基金经理、易方达保证金收益货币市场基金的基金经理、易方达安悦超短债债券型证券投资基金的基金经理、易方达货币市场基金的基金经理助理、易方达天天理财货币市场基金的基金经理助理、易方达易理财货币市场基金的基金经理助理、投资经理</w:t>
            </w:r>
          </w:p>
        </w:tc>
        <w:tc>
          <w:tcPr>
            <w:tcW w:w="851" w:type="dxa"/>
            <w:vAlign w:val="center"/>
          </w:tcPr>
          <w:p w:rsidR="004439D2" w:rsidRDefault="00963B34">
            <w:pPr>
              <w:jc w:val="center"/>
            </w:pPr>
            <w:r>
              <w:rPr>
                <w:color w:val="000000"/>
                <w:sz w:val="24"/>
              </w:rPr>
              <w:t>2015-03-17</w:t>
            </w:r>
          </w:p>
        </w:tc>
        <w:tc>
          <w:tcPr>
            <w:tcW w:w="850" w:type="dxa"/>
            <w:vAlign w:val="center"/>
          </w:tcPr>
          <w:p w:rsidR="004439D2" w:rsidRDefault="00963B34">
            <w:pPr>
              <w:jc w:val="center"/>
            </w:pPr>
            <w:r>
              <w:rPr>
                <w:color w:val="000000"/>
                <w:sz w:val="24"/>
              </w:rPr>
              <w:t>-</w:t>
            </w:r>
          </w:p>
        </w:tc>
        <w:tc>
          <w:tcPr>
            <w:tcW w:w="851" w:type="dxa"/>
            <w:vAlign w:val="center"/>
          </w:tcPr>
          <w:p w:rsidR="004439D2" w:rsidRDefault="00963B34">
            <w:pPr>
              <w:jc w:val="center"/>
            </w:pPr>
            <w:r>
              <w:rPr>
                <w:color w:val="000000"/>
                <w:sz w:val="24"/>
              </w:rPr>
              <w:t>10</w:t>
            </w:r>
            <w:r>
              <w:rPr>
                <w:color w:val="000000"/>
                <w:sz w:val="24"/>
              </w:rPr>
              <w:t>年</w:t>
            </w:r>
          </w:p>
        </w:tc>
        <w:tc>
          <w:tcPr>
            <w:tcW w:w="2977" w:type="dxa"/>
            <w:vAlign w:val="center"/>
          </w:tcPr>
          <w:p w:rsidR="004439D2" w:rsidRDefault="00963B34">
            <w:r>
              <w:rPr>
                <w:color w:val="000000"/>
                <w:sz w:val="24"/>
              </w:rPr>
              <w:t>硕士研究生，具有基金从业资格。曾任招商证券股份有限公司债券销售交易部交易员，易方达基金管理有限公司固定收益交易员、易方达保证金收益货币市场基金基金经理助理、易方达双月利理财债券型证券投资基金基金经理。</w:t>
            </w:r>
          </w:p>
        </w:tc>
      </w:tr>
    </w:tbl>
    <w:p w:rsidR="004439D2" w:rsidRDefault="00963B34">
      <w:pPr>
        <w:autoSpaceDE w:val="0"/>
        <w:autoSpaceDN w:val="0"/>
        <w:adjustRightInd w:val="0"/>
        <w:spacing w:line="360" w:lineRule="auto"/>
        <w:ind w:firstLineChars="200" w:firstLine="480"/>
        <w:jc w:val="left"/>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EA3F40" w:rsidRPr="00613409" w:rsidRDefault="00E23C1B" w:rsidP="00E23C1B">
      <w:pPr>
        <w:autoSpaceDE w:val="0"/>
        <w:autoSpaceDN w:val="0"/>
        <w:adjustRightInd w:val="0"/>
        <w:spacing w:line="360" w:lineRule="auto"/>
        <w:ind w:firstLineChars="200" w:firstLine="480"/>
        <w:jc w:val="left"/>
        <w:rPr>
          <w:color w:val="000000"/>
          <w:sz w:val="24"/>
        </w:rPr>
      </w:pPr>
      <w:r w:rsidRPr="00DF18FE">
        <w:rPr>
          <w:color w:val="000000"/>
          <w:sz w:val="24"/>
        </w:rPr>
        <w:t>2.</w:t>
      </w:r>
      <w:r w:rsidRPr="00DF18FE">
        <w:rPr>
          <w:color w:val="000000"/>
          <w:sz w:val="24"/>
        </w:rPr>
        <w:t>证券从业的含义遵从《证券业从业人员资格管理办法》的相关规定。</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4.2 </w:t>
      </w:r>
      <w:r w:rsidRPr="0044342F">
        <w:rPr>
          <w:rFonts w:ascii="宋体" w:hAnsi="宋体" w:cs="Arial" w:hint="eastAsia"/>
          <w:b/>
          <w:color w:val="000000"/>
          <w:kern w:val="0"/>
          <w:sz w:val="24"/>
        </w:rPr>
        <w:t>管理人对报告期内本基金运作遵规守信情况的说明</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EA3F40" w:rsidRPr="0097021E" w:rsidRDefault="00EA3F40" w:rsidP="009A755D">
      <w:pPr>
        <w:autoSpaceDE w:val="0"/>
        <w:autoSpaceDN w:val="0"/>
        <w:adjustRightInd w:val="0"/>
        <w:spacing w:line="360" w:lineRule="auto"/>
        <w:jc w:val="left"/>
        <w:rPr>
          <w:rFonts w:ascii="宋体" w:cs="Arial"/>
          <w:b/>
          <w:color w:val="000000"/>
          <w:kern w:val="0"/>
          <w:sz w:val="24"/>
        </w:rPr>
      </w:pPr>
      <w:r w:rsidRPr="0097021E">
        <w:rPr>
          <w:rFonts w:ascii="宋体" w:hAnsi="宋体" w:cs="Arial"/>
          <w:b/>
          <w:color w:val="000000"/>
          <w:kern w:val="0"/>
          <w:sz w:val="24"/>
        </w:rPr>
        <w:t xml:space="preserve">4.3 </w:t>
      </w:r>
      <w:r w:rsidRPr="0097021E">
        <w:rPr>
          <w:rFonts w:ascii="宋体" w:hAnsi="宋体" w:cs="Arial" w:hint="eastAsia"/>
          <w:b/>
          <w:color w:val="000000"/>
          <w:kern w:val="0"/>
          <w:sz w:val="24"/>
        </w:rPr>
        <w:t>公平交易专项说明</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4.3.1</w:t>
        </w:r>
      </w:smartTag>
      <w:r w:rsidRPr="0097021E">
        <w:rPr>
          <w:rFonts w:ascii="宋体" w:hAnsi="宋体"/>
          <w:sz w:val="24"/>
        </w:rPr>
        <w:t xml:space="preserve"> </w:t>
      </w:r>
      <w:r w:rsidRPr="0097021E">
        <w:rPr>
          <w:rFonts w:ascii="宋体" w:hAnsi="宋体" w:hint="eastAsia"/>
          <w:sz w:val="24"/>
        </w:rPr>
        <w:t>公平交易制度的执行情况</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1752C7">
        <w:rPr>
          <w:color w:val="000000"/>
          <w:sz w:val="24"/>
        </w:rPr>
        <w:t>“</w:t>
      </w:r>
      <w:r w:rsidRPr="001752C7">
        <w:rPr>
          <w:color w:val="000000"/>
          <w:sz w:val="24"/>
        </w:rPr>
        <w:t>时间优先、价格优先</w:t>
      </w:r>
      <w:r w:rsidRPr="001752C7">
        <w:rPr>
          <w:color w:val="000000"/>
          <w:sz w:val="24"/>
        </w:rPr>
        <w:t>”</w:t>
      </w:r>
      <w:r w:rsidRPr="001752C7">
        <w:rPr>
          <w:color w:val="000000"/>
          <w:sz w:val="24"/>
        </w:rPr>
        <w:t>作为执行指令的基本原则，通过投资交易系统中的公平交易模块，以尽可能确保公平对待各投资组合。本报告期内，公平交易制度总体执行情况良好。</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4.3.2</w:t>
        </w:r>
      </w:smartTag>
      <w:r w:rsidRPr="0097021E">
        <w:rPr>
          <w:rFonts w:ascii="宋体" w:hAnsi="宋体"/>
          <w:sz w:val="24"/>
        </w:rPr>
        <w:t xml:space="preserve"> </w:t>
      </w:r>
      <w:r w:rsidRPr="0097021E">
        <w:rPr>
          <w:rFonts w:ascii="宋体" w:hAnsi="宋体" w:hint="eastAsia"/>
          <w:sz w:val="24"/>
        </w:rPr>
        <w:t>异常交易行为的专项说明</w:t>
      </w:r>
    </w:p>
    <w:p w:rsidR="004439D2" w:rsidRDefault="00963B34">
      <w:pPr>
        <w:adjustRightInd w:val="0"/>
        <w:spacing w:line="360" w:lineRule="auto"/>
        <w:ind w:firstLineChars="200" w:firstLine="480"/>
        <w:rPr>
          <w:color w:val="000000"/>
          <w:sz w:val="24"/>
        </w:rPr>
      </w:pPr>
      <w:r>
        <w:rPr>
          <w:color w:val="000000"/>
          <w:sz w:val="24"/>
        </w:rPr>
        <w:t>本报告期内，公司旗下所有投资组合参与的交易所公开竞价交易中，同日反向交易成交较少的单边交易量超过该证券当日成交量的</w:t>
      </w:r>
      <w:r>
        <w:rPr>
          <w:color w:val="000000"/>
          <w:sz w:val="24"/>
        </w:rPr>
        <w:t>5%</w:t>
      </w:r>
      <w:r>
        <w:rPr>
          <w:color w:val="000000"/>
          <w:sz w:val="24"/>
        </w:rPr>
        <w:t>的交易共</w:t>
      </w:r>
      <w:r>
        <w:rPr>
          <w:color w:val="000000"/>
          <w:sz w:val="24"/>
        </w:rPr>
        <w:t>17</w:t>
      </w:r>
      <w:r>
        <w:rPr>
          <w:color w:val="000000"/>
          <w:sz w:val="24"/>
        </w:rPr>
        <w:t>次，全部为指数量化投资组合因投资策略需要和其他组合发生的反向交易。</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本报告期内，未发现本基金有可能导致不公平交易和利益输送的异常交易。</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4.4 </w:t>
      </w:r>
      <w:r w:rsidRPr="0097021E">
        <w:rPr>
          <w:rFonts w:ascii="宋体" w:hAnsi="宋体" w:cs="Arial" w:hint="eastAsia"/>
          <w:b/>
          <w:color w:val="000000"/>
          <w:kern w:val="0"/>
          <w:sz w:val="24"/>
        </w:rPr>
        <w:t>报告期内基金的投资策略和业绩表现说明</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4.4.1</w:t>
        </w:r>
      </w:smartTag>
      <w:r w:rsidRPr="0097021E">
        <w:rPr>
          <w:rFonts w:ascii="宋体" w:hAnsi="宋体" w:hint="eastAsia"/>
          <w:sz w:val="24"/>
        </w:rPr>
        <w:t>报告期内基金投资策略和运作分析</w:t>
      </w:r>
    </w:p>
    <w:p w:rsidR="004439D2" w:rsidRDefault="00963B34">
      <w:pPr>
        <w:adjustRightInd w:val="0"/>
        <w:spacing w:line="360" w:lineRule="auto"/>
        <w:ind w:firstLineChars="200" w:firstLine="480"/>
        <w:rPr>
          <w:color w:val="000000"/>
          <w:sz w:val="24"/>
        </w:rPr>
      </w:pPr>
      <w:r>
        <w:rPr>
          <w:color w:val="000000"/>
          <w:sz w:val="24"/>
        </w:rPr>
        <w:t>2020</w:t>
      </w:r>
      <w:r>
        <w:rPr>
          <w:color w:val="000000"/>
          <w:sz w:val="24"/>
        </w:rPr>
        <w:t>年一季度，受新冠疫情影响，国内金融市场避险情绪浓厚，债市收益率大幅震荡下行。分阶段来看，年初，在</w:t>
      </w:r>
      <w:r>
        <w:rPr>
          <w:color w:val="000000"/>
          <w:sz w:val="24"/>
        </w:rPr>
        <w:t>CPI</w:t>
      </w:r>
      <w:r>
        <w:rPr>
          <w:color w:val="000000"/>
          <w:sz w:val="24"/>
        </w:rPr>
        <w:t>低于预期和较为宽松的资金面的双重推动下，债市收益率震荡下行。春节后第一个工作日，国内疫情推升避险情绪，长债收益率单日下行接近</w:t>
      </w:r>
      <w:r>
        <w:rPr>
          <w:color w:val="000000"/>
          <w:sz w:val="24"/>
        </w:rPr>
        <w:t>20BP</w:t>
      </w:r>
      <w:r>
        <w:rPr>
          <w:color w:val="000000"/>
          <w:sz w:val="24"/>
        </w:rPr>
        <w:t>。随后，随着国内疫情逐渐好转和复工预期升温，权益市场走强，债市进入小幅震荡调整模式。</w:t>
      </w:r>
      <w:r>
        <w:rPr>
          <w:color w:val="000000"/>
          <w:sz w:val="24"/>
        </w:rPr>
        <w:t>3</w:t>
      </w:r>
      <w:r>
        <w:rPr>
          <w:color w:val="000000"/>
          <w:sz w:val="24"/>
        </w:rPr>
        <w:t>月初，海外疫情超预期爆发，美联储紧急降息，加之油价暴跌，海外市场不确定性的提升，推动了长债收益率再度大幅下行。在全球股市暴跌引发流动性危机之后，美联储在</w:t>
      </w:r>
      <w:r>
        <w:rPr>
          <w:color w:val="000000"/>
          <w:sz w:val="24"/>
        </w:rPr>
        <w:t>3</w:t>
      </w:r>
      <w:r>
        <w:rPr>
          <w:color w:val="000000"/>
          <w:sz w:val="24"/>
        </w:rPr>
        <w:t>月末开启了无限流动性支持，而此时国内降息预期也在持续发酵，债市收益率继续下行。</w:t>
      </w:r>
    </w:p>
    <w:p w:rsidR="004439D2" w:rsidRDefault="00963B34">
      <w:pPr>
        <w:adjustRightInd w:val="0"/>
        <w:spacing w:line="360" w:lineRule="auto"/>
        <w:ind w:firstLineChars="200" w:firstLine="480"/>
        <w:rPr>
          <w:color w:val="000000"/>
          <w:sz w:val="24"/>
        </w:rPr>
      </w:pPr>
      <w:r>
        <w:rPr>
          <w:color w:val="000000"/>
          <w:sz w:val="24"/>
        </w:rPr>
        <w:t>货币政策在一季度延续了去年</w:t>
      </w:r>
      <w:r>
        <w:rPr>
          <w:color w:val="000000"/>
          <w:sz w:val="24"/>
        </w:rPr>
        <w:t>12</w:t>
      </w:r>
      <w:r>
        <w:rPr>
          <w:color w:val="000000"/>
          <w:sz w:val="24"/>
        </w:rPr>
        <w:t>月中旬后的政策宽松边际加大的基调。</w:t>
      </w:r>
      <w:r>
        <w:rPr>
          <w:color w:val="000000"/>
          <w:sz w:val="24"/>
        </w:rPr>
        <w:t>1</w:t>
      </w:r>
      <w:r>
        <w:rPr>
          <w:color w:val="000000"/>
          <w:sz w:val="24"/>
        </w:rPr>
        <w:t>月，央行下调金融机构存款准备金率</w:t>
      </w:r>
      <w:r>
        <w:rPr>
          <w:color w:val="000000"/>
          <w:sz w:val="24"/>
        </w:rPr>
        <w:t>0.5</w:t>
      </w:r>
      <w:r>
        <w:rPr>
          <w:color w:val="000000"/>
          <w:sz w:val="24"/>
        </w:rPr>
        <w:t>个百分点，释放长期资金</w:t>
      </w:r>
      <w:r>
        <w:rPr>
          <w:color w:val="000000"/>
          <w:sz w:val="24"/>
        </w:rPr>
        <w:t>8000</w:t>
      </w:r>
      <w:r>
        <w:rPr>
          <w:color w:val="000000"/>
          <w:sz w:val="24"/>
        </w:rPr>
        <w:t>多亿；中旬投放</w:t>
      </w:r>
      <w:r>
        <w:rPr>
          <w:color w:val="000000"/>
          <w:sz w:val="24"/>
        </w:rPr>
        <w:t>MLF</w:t>
      </w:r>
      <w:r>
        <w:rPr>
          <w:color w:val="000000"/>
          <w:sz w:val="24"/>
        </w:rPr>
        <w:t>（中期借贷便利）</w:t>
      </w:r>
      <w:r>
        <w:rPr>
          <w:color w:val="000000"/>
          <w:sz w:val="24"/>
        </w:rPr>
        <w:t>3000</w:t>
      </w:r>
      <w:r>
        <w:rPr>
          <w:color w:val="000000"/>
          <w:sz w:val="24"/>
        </w:rPr>
        <w:t>亿。</w:t>
      </w:r>
      <w:r>
        <w:rPr>
          <w:color w:val="000000"/>
          <w:sz w:val="24"/>
        </w:rPr>
        <w:t>2</w:t>
      </w:r>
      <w:r>
        <w:rPr>
          <w:color w:val="000000"/>
          <w:sz w:val="24"/>
        </w:rPr>
        <w:t>月，随着疫情在国内的快速爆发，货币政策进入</w:t>
      </w:r>
      <w:r>
        <w:rPr>
          <w:color w:val="000000"/>
          <w:sz w:val="24"/>
        </w:rPr>
        <w:t>“</w:t>
      </w:r>
      <w:r>
        <w:rPr>
          <w:color w:val="000000"/>
          <w:sz w:val="24"/>
        </w:rPr>
        <w:t>危机模式</w:t>
      </w:r>
      <w:r>
        <w:rPr>
          <w:color w:val="000000"/>
          <w:sz w:val="24"/>
        </w:rPr>
        <w:t>”</w:t>
      </w:r>
      <w:r>
        <w:rPr>
          <w:color w:val="000000"/>
          <w:sz w:val="24"/>
        </w:rPr>
        <w:t>，春节后立即下调公开市场</w:t>
      </w:r>
      <w:r>
        <w:rPr>
          <w:color w:val="000000"/>
          <w:sz w:val="24"/>
        </w:rPr>
        <w:t>7</w:t>
      </w:r>
      <w:r>
        <w:rPr>
          <w:color w:val="000000"/>
          <w:sz w:val="24"/>
        </w:rPr>
        <w:t>天和</w:t>
      </w:r>
      <w:r>
        <w:rPr>
          <w:color w:val="000000"/>
          <w:sz w:val="24"/>
        </w:rPr>
        <w:t>14</w:t>
      </w:r>
      <w:r>
        <w:rPr>
          <w:color w:val="000000"/>
          <w:sz w:val="24"/>
        </w:rPr>
        <w:t>天逆回购利率各</w:t>
      </w:r>
      <w:r>
        <w:rPr>
          <w:color w:val="000000"/>
          <w:sz w:val="24"/>
        </w:rPr>
        <w:t>10BP</w:t>
      </w:r>
      <w:r>
        <w:rPr>
          <w:color w:val="000000"/>
          <w:sz w:val="24"/>
        </w:rPr>
        <w:t>；月中再度投放</w:t>
      </w:r>
      <w:r>
        <w:rPr>
          <w:color w:val="000000"/>
          <w:sz w:val="24"/>
        </w:rPr>
        <w:t>MLF2000</w:t>
      </w:r>
      <w:r>
        <w:rPr>
          <w:color w:val="000000"/>
          <w:sz w:val="24"/>
        </w:rPr>
        <w:t>亿，并下调利率</w:t>
      </w:r>
      <w:r>
        <w:rPr>
          <w:color w:val="000000"/>
          <w:sz w:val="24"/>
        </w:rPr>
        <w:t>10BP</w:t>
      </w:r>
      <w:r>
        <w:rPr>
          <w:color w:val="000000"/>
          <w:sz w:val="24"/>
        </w:rPr>
        <w:t>；随后分别下调</w:t>
      </w:r>
      <w:r>
        <w:rPr>
          <w:color w:val="000000"/>
          <w:sz w:val="24"/>
        </w:rPr>
        <w:t>1</w:t>
      </w:r>
      <w:r>
        <w:rPr>
          <w:color w:val="000000"/>
          <w:sz w:val="24"/>
        </w:rPr>
        <w:t>年和</w:t>
      </w:r>
      <w:r>
        <w:rPr>
          <w:color w:val="000000"/>
          <w:sz w:val="24"/>
        </w:rPr>
        <w:t>5</w:t>
      </w:r>
      <w:r>
        <w:rPr>
          <w:color w:val="000000"/>
          <w:sz w:val="24"/>
        </w:rPr>
        <w:t>年期</w:t>
      </w:r>
      <w:r>
        <w:rPr>
          <w:color w:val="000000"/>
          <w:sz w:val="24"/>
        </w:rPr>
        <w:t>LPR</w:t>
      </w:r>
      <w:r>
        <w:rPr>
          <w:color w:val="000000"/>
          <w:sz w:val="24"/>
        </w:rPr>
        <w:t>（贷款基础利率）</w:t>
      </w:r>
      <w:r>
        <w:rPr>
          <w:color w:val="000000"/>
          <w:sz w:val="24"/>
        </w:rPr>
        <w:t>10BP</w:t>
      </w:r>
      <w:r>
        <w:rPr>
          <w:color w:val="000000"/>
          <w:sz w:val="24"/>
        </w:rPr>
        <w:t>和</w:t>
      </w:r>
      <w:r>
        <w:rPr>
          <w:color w:val="000000"/>
          <w:sz w:val="24"/>
        </w:rPr>
        <w:t>5BP</w:t>
      </w:r>
      <w:r>
        <w:rPr>
          <w:color w:val="000000"/>
          <w:sz w:val="24"/>
        </w:rPr>
        <w:t>，并于</w:t>
      </w:r>
      <w:r>
        <w:rPr>
          <w:color w:val="000000"/>
          <w:sz w:val="24"/>
        </w:rPr>
        <w:t>3</w:t>
      </w:r>
      <w:r>
        <w:rPr>
          <w:color w:val="000000"/>
          <w:sz w:val="24"/>
        </w:rPr>
        <w:t>月起开展存量浮动利率个人贷款定价基准转换工作，进一步推动全社会融资成本下行。</w:t>
      </w:r>
      <w:r>
        <w:rPr>
          <w:color w:val="000000"/>
          <w:sz w:val="24"/>
        </w:rPr>
        <w:t>3</w:t>
      </w:r>
      <w:r>
        <w:rPr>
          <w:color w:val="000000"/>
          <w:sz w:val="24"/>
        </w:rPr>
        <w:t>月，海外央行由于疫情原因纷纷开启降息，而我国由于疫情已得到初步控制，央行坚持精准滴灌和灵活适度的操作，以支持疫情防控、复工复产和实体经济发展。央行运用多种货币工具，在月中投放了</w:t>
      </w:r>
      <w:r>
        <w:rPr>
          <w:color w:val="000000"/>
          <w:sz w:val="24"/>
        </w:rPr>
        <w:t>MLF1000</w:t>
      </w:r>
      <w:r>
        <w:rPr>
          <w:color w:val="000000"/>
          <w:sz w:val="24"/>
        </w:rPr>
        <w:t>亿，并实施定向降准，释放长期资金</w:t>
      </w:r>
      <w:r>
        <w:rPr>
          <w:color w:val="000000"/>
          <w:sz w:val="24"/>
        </w:rPr>
        <w:t>5500</w:t>
      </w:r>
      <w:r>
        <w:rPr>
          <w:color w:val="000000"/>
          <w:sz w:val="24"/>
        </w:rPr>
        <w:t>亿；</w:t>
      </w:r>
      <w:r>
        <w:rPr>
          <w:color w:val="000000"/>
          <w:sz w:val="24"/>
        </w:rPr>
        <w:t>3</w:t>
      </w:r>
      <w:r>
        <w:rPr>
          <w:color w:val="000000"/>
          <w:sz w:val="24"/>
        </w:rPr>
        <w:t>月末在美联储开启无限流动性支持后，再次大幅下调公开市场</w:t>
      </w:r>
      <w:r>
        <w:rPr>
          <w:color w:val="000000"/>
          <w:sz w:val="24"/>
        </w:rPr>
        <w:t>7</w:t>
      </w:r>
      <w:r>
        <w:rPr>
          <w:color w:val="000000"/>
          <w:sz w:val="24"/>
        </w:rPr>
        <w:t>天逆回购利率</w:t>
      </w:r>
      <w:r>
        <w:rPr>
          <w:color w:val="000000"/>
          <w:sz w:val="24"/>
        </w:rPr>
        <w:t>20BP</w:t>
      </w:r>
      <w:r>
        <w:rPr>
          <w:color w:val="000000"/>
          <w:sz w:val="24"/>
        </w:rPr>
        <w:t>。</w:t>
      </w:r>
    </w:p>
    <w:p w:rsidR="004439D2" w:rsidRDefault="00963B34">
      <w:pPr>
        <w:adjustRightInd w:val="0"/>
        <w:spacing w:line="360" w:lineRule="auto"/>
        <w:ind w:firstLineChars="200" w:firstLine="480"/>
        <w:rPr>
          <w:color w:val="000000"/>
          <w:sz w:val="24"/>
        </w:rPr>
      </w:pPr>
      <w:r>
        <w:rPr>
          <w:color w:val="000000"/>
          <w:sz w:val="24"/>
        </w:rPr>
        <w:t>整体来看，</w:t>
      </w:r>
      <w:r>
        <w:rPr>
          <w:color w:val="000000"/>
          <w:sz w:val="24"/>
        </w:rPr>
        <w:t>2020</w:t>
      </w:r>
      <w:r>
        <w:rPr>
          <w:color w:val="000000"/>
          <w:sz w:val="24"/>
        </w:rPr>
        <w:t>年一季度市场避险情绪浓厚，货币政策宽松，货币市场流动性合理充裕，货币市场利率降至近几年最低点。受此影响，货币市场基金收益率较前一季度下行明显。</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操作方面，报告期内基金以同业存单、同业存款、短期逆回购为主要配置资产，同时根据自身的客户结构特性进行了资产配置，维持了适当的剩余期限和杠杆率。总体来看，组合在一季度保持了较好的流动性和稳定的收益率。</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4.4.2</w:t>
        </w:r>
      </w:smartTag>
      <w:r w:rsidRPr="0097021E">
        <w:rPr>
          <w:rFonts w:ascii="宋体" w:hAnsi="宋体" w:hint="eastAsia"/>
          <w:sz w:val="24"/>
        </w:rPr>
        <w:t>报告期内基金的业绩表现</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本基金本报告期内</w:t>
      </w:r>
      <w:r w:rsidRPr="001752C7">
        <w:rPr>
          <w:color w:val="000000"/>
          <w:sz w:val="24"/>
        </w:rPr>
        <w:t>A</w:t>
      </w:r>
      <w:r w:rsidRPr="001752C7">
        <w:rPr>
          <w:color w:val="000000"/>
          <w:sz w:val="24"/>
        </w:rPr>
        <w:t>类基金份额净值收益率为</w:t>
      </w:r>
      <w:r w:rsidRPr="001752C7">
        <w:rPr>
          <w:color w:val="000000"/>
          <w:sz w:val="24"/>
        </w:rPr>
        <w:t>0.6023%</w:t>
      </w:r>
      <w:r w:rsidRPr="001752C7">
        <w:rPr>
          <w:color w:val="000000"/>
          <w:sz w:val="24"/>
        </w:rPr>
        <w:t>；</w:t>
      </w:r>
      <w:r w:rsidRPr="001752C7">
        <w:rPr>
          <w:color w:val="000000"/>
          <w:sz w:val="24"/>
        </w:rPr>
        <w:t>B</w:t>
      </w:r>
      <w:r w:rsidRPr="001752C7">
        <w:rPr>
          <w:color w:val="000000"/>
          <w:sz w:val="24"/>
        </w:rPr>
        <w:t>类基金份额净值收益率为</w:t>
      </w:r>
      <w:r w:rsidRPr="001752C7">
        <w:rPr>
          <w:color w:val="000000"/>
          <w:sz w:val="24"/>
        </w:rPr>
        <w:t>0.6623%</w:t>
      </w:r>
      <w:r w:rsidRPr="001752C7">
        <w:rPr>
          <w:color w:val="000000"/>
          <w:sz w:val="24"/>
        </w:rPr>
        <w:t>；</w:t>
      </w:r>
      <w:r w:rsidRPr="001752C7">
        <w:rPr>
          <w:color w:val="000000"/>
          <w:sz w:val="24"/>
        </w:rPr>
        <w:t>C</w:t>
      </w:r>
      <w:r w:rsidRPr="001752C7">
        <w:rPr>
          <w:color w:val="000000"/>
          <w:sz w:val="24"/>
        </w:rPr>
        <w:t>类基金份额净值收益率为</w:t>
      </w:r>
      <w:r w:rsidRPr="001752C7">
        <w:rPr>
          <w:color w:val="000000"/>
          <w:sz w:val="24"/>
        </w:rPr>
        <w:t>0.6523%</w:t>
      </w:r>
      <w:r w:rsidRPr="001752C7">
        <w:rPr>
          <w:color w:val="000000"/>
          <w:sz w:val="24"/>
        </w:rPr>
        <w:t>；同期业绩比较基准收益率为</w:t>
      </w:r>
      <w:r w:rsidRPr="001752C7">
        <w:rPr>
          <w:color w:val="000000"/>
          <w:sz w:val="24"/>
        </w:rPr>
        <w:t>0.3418%</w:t>
      </w:r>
      <w:r w:rsidRPr="001752C7">
        <w:rPr>
          <w:color w:val="000000"/>
          <w:sz w:val="24"/>
        </w:rPr>
        <w:t>。</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5  </w:t>
      </w:r>
      <w:r w:rsidRPr="0097021E">
        <w:rPr>
          <w:rFonts w:ascii="宋体" w:hAnsi="宋体" w:cs="Arial" w:hint="eastAsia"/>
          <w:color w:val="000000"/>
          <w:kern w:val="0"/>
          <w:sz w:val="24"/>
          <w:szCs w:val="24"/>
        </w:rPr>
        <w:t>投资组合报告</w:t>
      </w:r>
    </w:p>
    <w:p w:rsidR="00EA3F40" w:rsidRPr="0097021E" w:rsidRDefault="00EA3F40" w:rsidP="003A0EC1">
      <w:pPr>
        <w:spacing w:line="360" w:lineRule="auto"/>
        <w:rPr>
          <w:rFonts w:ascii="宋体" w:cs="Arial"/>
          <w:b/>
          <w:color w:val="000000"/>
          <w:kern w:val="0"/>
          <w:sz w:val="24"/>
        </w:rPr>
      </w:pPr>
      <w:r w:rsidRPr="0097021E">
        <w:rPr>
          <w:rFonts w:ascii="宋体" w:hAnsi="宋体" w:cs="Arial"/>
          <w:b/>
          <w:color w:val="000000"/>
          <w:kern w:val="0"/>
          <w:sz w:val="24"/>
        </w:rPr>
        <w:t xml:space="preserve">5.1 </w:t>
      </w:r>
      <w:r w:rsidRPr="0097021E">
        <w:rPr>
          <w:rFonts w:ascii="宋体" w:hAnsi="宋体" w:cs="Arial" w:hint="eastAsia"/>
          <w:b/>
          <w:color w:val="000000"/>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3119"/>
        <w:gridCol w:w="1843"/>
      </w:tblGrid>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序号</w:t>
            </w:r>
          </w:p>
        </w:tc>
        <w:tc>
          <w:tcPr>
            <w:tcW w:w="3357"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项目</w:t>
            </w:r>
          </w:p>
        </w:tc>
        <w:tc>
          <w:tcPr>
            <w:tcW w:w="3119" w:type="dxa"/>
            <w:vAlign w:val="center"/>
          </w:tcPr>
          <w:p w:rsidR="00EA3F40" w:rsidRPr="00613409" w:rsidRDefault="00EA3F40" w:rsidP="007C3671">
            <w:pPr>
              <w:spacing w:before="29" w:line="360" w:lineRule="auto"/>
              <w:ind w:left="17"/>
              <w:jc w:val="center"/>
              <w:rPr>
                <w:color w:val="000000"/>
                <w:sz w:val="24"/>
              </w:rPr>
            </w:pPr>
            <w:r w:rsidRPr="00613409">
              <w:rPr>
                <w:color w:val="000000"/>
                <w:sz w:val="24"/>
              </w:rPr>
              <w:t>金额</w:t>
            </w:r>
            <w:r w:rsidR="007C3671" w:rsidRPr="00613409">
              <w:rPr>
                <w:color w:val="000000"/>
                <w:sz w:val="24"/>
              </w:rPr>
              <w:t>（元）</w:t>
            </w:r>
          </w:p>
        </w:tc>
        <w:tc>
          <w:tcPr>
            <w:tcW w:w="1843" w:type="dxa"/>
            <w:vAlign w:val="center"/>
          </w:tcPr>
          <w:p w:rsidR="00EA3F40" w:rsidRPr="00613409" w:rsidRDefault="00EA3F40" w:rsidP="007C3671">
            <w:pPr>
              <w:spacing w:before="29" w:line="360" w:lineRule="auto"/>
              <w:ind w:left="17"/>
              <w:jc w:val="center"/>
              <w:rPr>
                <w:color w:val="000000"/>
                <w:sz w:val="24"/>
              </w:rPr>
            </w:pPr>
            <w:r w:rsidRPr="00613409">
              <w:rPr>
                <w:color w:val="000000"/>
                <w:sz w:val="24"/>
              </w:rPr>
              <w:t>占基金总资产的比例</w:t>
            </w:r>
            <w:r w:rsidR="007C3671" w:rsidRPr="00613409">
              <w:rPr>
                <w:color w:val="000000"/>
                <w:sz w:val="24"/>
              </w:rPr>
              <w:t>（</w:t>
            </w:r>
            <w:r w:rsidR="007C3671" w:rsidRPr="00613409">
              <w:rPr>
                <w:color w:val="000000"/>
                <w:sz w:val="24"/>
              </w:rPr>
              <w:t>%</w:t>
            </w:r>
            <w:r w:rsidR="007C3671" w:rsidRPr="00613409">
              <w:rPr>
                <w:color w:val="000000"/>
                <w:sz w:val="24"/>
              </w:rPr>
              <w:t>）</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1</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固定收益投资</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593,933,727.15</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43.85</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其中：债券</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583,933,727.15</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43.11</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9216A0">
            <w:pPr>
              <w:autoSpaceDE w:val="0"/>
              <w:autoSpaceDN w:val="0"/>
              <w:adjustRightInd w:val="0"/>
              <w:spacing w:before="29" w:line="360" w:lineRule="auto"/>
              <w:ind w:left="17" w:firstLineChars="300" w:firstLine="720"/>
              <w:jc w:val="left"/>
              <w:rPr>
                <w:color w:val="000000"/>
                <w:sz w:val="24"/>
              </w:rPr>
            </w:pPr>
            <w:r w:rsidRPr="00613409">
              <w:rPr>
                <w:color w:val="000000"/>
                <w:sz w:val="24"/>
              </w:rPr>
              <w:t>资产支持证券</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10,000,000.00</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0.74</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2</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买入返售金融资产</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499,040,693.56</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36.84</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其中：买断式回购的买入返售金融资产</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3</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银行存款和结算备付金合计</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255,261,070.77</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18.84</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4</w:t>
            </w:r>
          </w:p>
        </w:tc>
        <w:tc>
          <w:tcPr>
            <w:tcW w:w="3357" w:type="dxa"/>
            <w:vAlign w:val="center"/>
          </w:tcPr>
          <w:p w:rsidR="00EA3F40" w:rsidRPr="00613409" w:rsidRDefault="00EA3F40" w:rsidP="00196812">
            <w:pPr>
              <w:spacing w:line="360" w:lineRule="auto"/>
              <w:jc w:val="left"/>
              <w:rPr>
                <w:sz w:val="24"/>
              </w:rPr>
            </w:pPr>
            <w:r w:rsidRPr="00613409">
              <w:rPr>
                <w:color w:val="000000"/>
                <w:sz w:val="24"/>
              </w:rPr>
              <w:t>其他资产</w:t>
            </w:r>
          </w:p>
        </w:tc>
        <w:tc>
          <w:tcPr>
            <w:tcW w:w="3119" w:type="dxa"/>
            <w:vAlign w:val="center"/>
          </w:tcPr>
          <w:p w:rsidR="00EA3F40" w:rsidRPr="00613409" w:rsidRDefault="00EA3F40" w:rsidP="00196812">
            <w:pPr>
              <w:spacing w:line="360" w:lineRule="auto"/>
              <w:jc w:val="right"/>
              <w:rPr>
                <w:color w:val="000000"/>
                <w:sz w:val="24"/>
              </w:rPr>
            </w:pPr>
            <w:r w:rsidRPr="00613409">
              <w:rPr>
                <w:color w:val="000000"/>
                <w:sz w:val="24"/>
              </w:rPr>
              <w:t>6,309,198.19</w:t>
            </w:r>
          </w:p>
        </w:tc>
        <w:tc>
          <w:tcPr>
            <w:tcW w:w="1843" w:type="dxa"/>
            <w:vAlign w:val="center"/>
          </w:tcPr>
          <w:p w:rsidR="00EA3F40" w:rsidRPr="00613409" w:rsidRDefault="00EA3F40" w:rsidP="00196812">
            <w:pPr>
              <w:spacing w:line="360" w:lineRule="auto"/>
              <w:jc w:val="right"/>
              <w:rPr>
                <w:color w:val="000000"/>
                <w:sz w:val="24"/>
              </w:rPr>
            </w:pPr>
            <w:r w:rsidRPr="00613409">
              <w:rPr>
                <w:color w:val="000000"/>
                <w:sz w:val="24"/>
              </w:rPr>
              <w:t>0.47</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5</w:t>
            </w:r>
          </w:p>
        </w:tc>
        <w:tc>
          <w:tcPr>
            <w:tcW w:w="3357" w:type="dxa"/>
            <w:vAlign w:val="center"/>
          </w:tcPr>
          <w:p w:rsidR="00EA3F40" w:rsidRPr="00613409" w:rsidRDefault="00EA3F40" w:rsidP="00196812">
            <w:pPr>
              <w:spacing w:line="360" w:lineRule="auto"/>
              <w:jc w:val="left"/>
              <w:rPr>
                <w:sz w:val="24"/>
              </w:rPr>
            </w:pPr>
            <w:r w:rsidRPr="00613409">
              <w:rPr>
                <w:color w:val="000000"/>
                <w:sz w:val="24"/>
              </w:rPr>
              <w:t>合计</w:t>
            </w:r>
          </w:p>
        </w:tc>
        <w:tc>
          <w:tcPr>
            <w:tcW w:w="3119" w:type="dxa"/>
            <w:vAlign w:val="center"/>
          </w:tcPr>
          <w:p w:rsidR="00EA3F40" w:rsidRPr="00613409" w:rsidRDefault="00EA3F40" w:rsidP="00196812">
            <w:pPr>
              <w:spacing w:line="360" w:lineRule="auto"/>
              <w:jc w:val="right"/>
              <w:rPr>
                <w:color w:val="000000"/>
                <w:sz w:val="24"/>
              </w:rPr>
            </w:pPr>
            <w:r w:rsidRPr="00613409">
              <w:rPr>
                <w:color w:val="000000"/>
                <w:sz w:val="24"/>
              </w:rPr>
              <w:t>1,354,544,689.67</w:t>
            </w:r>
          </w:p>
        </w:tc>
        <w:tc>
          <w:tcPr>
            <w:tcW w:w="1843" w:type="dxa"/>
            <w:vAlign w:val="center"/>
          </w:tcPr>
          <w:p w:rsidR="00EA3F40" w:rsidRPr="00613409" w:rsidRDefault="00EA3F40" w:rsidP="00196812">
            <w:pPr>
              <w:spacing w:line="360" w:lineRule="auto"/>
              <w:jc w:val="right"/>
              <w:rPr>
                <w:color w:val="000000"/>
                <w:sz w:val="24"/>
              </w:rPr>
            </w:pPr>
            <w:r w:rsidRPr="00613409">
              <w:rPr>
                <w:color w:val="000000"/>
                <w:sz w:val="24"/>
              </w:rPr>
              <w:t>100.00</w:t>
            </w:r>
          </w:p>
        </w:tc>
      </w:tr>
    </w:tbl>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5.2 </w:t>
      </w:r>
      <w:r w:rsidRPr="0097021E">
        <w:rPr>
          <w:rFonts w:ascii="宋体" w:hAnsi="宋体" w:cs="Arial" w:hint="eastAsia"/>
          <w:b/>
          <w:color w:val="000000"/>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EA3F40" w:rsidRPr="0097021E" w:rsidTr="00F11244">
        <w:tc>
          <w:tcPr>
            <w:tcW w:w="861"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占基金资产净值的比例（％）</w:t>
            </w:r>
          </w:p>
        </w:tc>
      </w:tr>
      <w:tr w:rsidR="00EA3F40" w:rsidRPr="0097021E" w:rsidTr="00F11244">
        <w:tc>
          <w:tcPr>
            <w:tcW w:w="861" w:type="dxa"/>
            <w:tcBorders>
              <w:top w:val="single" w:sz="8" w:space="0" w:color="000000"/>
              <w:left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1</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8.99</w:t>
            </w:r>
          </w:p>
        </w:tc>
      </w:tr>
      <w:tr w:rsidR="00EA3F40" w:rsidRPr="0097021E" w:rsidTr="00F11244">
        <w:trPr>
          <w:trHeight w:val="712"/>
        </w:trPr>
        <w:tc>
          <w:tcPr>
            <w:tcW w:w="861" w:type="dxa"/>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r>
      <w:tr w:rsidR="00EA3F40" w:rsidRPr="0097021E" w:rsidTr="00F11244">
        <w:tc>
          <w:tcPr>
            <w:tcW w:w="861" w:type="dxa"/>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r w:rsidRPr="00613409">
              <w:rPr>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color w:val="000000"/>
                <w:kern w:val="0"/>
                <w:sz w:val="24"/>
              </w:rPr>
              <w:t>占基金资产净值的比例（％）</w:t>
            </w:r>
          </w:p>
        </w:tc>
      </w:tr>
      <w:tr w:rsidR="00EA3F40" w:rsidRPr="0097021E" w:rsidTr="00F11244">
        <w:tc>
          <w:tcPr>
            <w:tcW w:w="861" w:type="dxa"/>
            <w:vMerge w:val="restart"/>
            <w:tcBorders>
              <w:top w:val="single" w:sz="8" w:space="0" w:color="000000"/>
              <w:left w:val="single" w:sz="8" w:space="0" w:color="000000"/>
              <w:right w:val="single" w:sz="8" w:space="0" w:color="000000"/>
            </w:tcBorders>
            <w:vAlign w:val="center"/>
          </w:tcPr>
          <w:p w:rsidR="00EA3F40" w:rsidRPr="00613409" w:rsidRDefault="00EA3F40" w:rsidP="00196812">
            <w:pPr>
              <w:spacing w:line="360" w:lineRule="auto"/>
              <w:rPr>
                <w:color w:val="000000"/>
                <w:sz w:val="24"/>
              </w:rPr>
            </w:pPr>
            <w:r w:rsidRPr="00613409">
              <w:rPr>
                <w:color w:val="000000"/>
                <w:sz w:val="24"/>
              </w:rPr>
              <w:t>2</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178,311,510.84</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15.20</w:t>
            </w:r>
          </w:p>
        </w:tc>
      </w:tr>
      <w:tr w:rsidR="00EA3F40" w:rsidRPr="0097021E" w:rsidTr="00F11244">
        <w:tc>
          <w:tcPr>
            <w:tcW w:w="861" w:type="dxa"/>
            <w:vMerge/>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r>
    </w:tbl>
    <w:p w:rsidR="00EA3F40" w:rsidRPr="00613409" w:rsidRDefault="00EA3F40" w:rsidP="00613409">
      <w:pPr>
        <w:adjustRightInd w:val="0"/>
        <w:spacing w:line="360" w:lineRule="auto"/>
        <w:ind w:firstLineChars="200" w:firstLine="480"/>
        <w:rPr>
          <w:color w:val="000000"/>
          <w:sz w:val="24"/>
        </w:rPr>
      </w:pPr>
      <w:r w:rsidRPr="001752C7">
        <w:rPr>
          <w:color w:val="000000"/>
          <w:sz w:val="24"/>
        </w:rPr>
        <w:t>注：上表中报告期内债券回购融资余额占基金资产净值的比例为报告期内每个交易日融资余额占基金资产净值比例的简单平均值。</w:t>
      </w:r>
    </w:p>
    <w:p w:rsidR="00EA3F40" w:rsidRPr="003A0EC1" w:rsidRDefault="00EA3F40" w:rsidP="00196812">
      <w:pPr>
        <w:spacing w:line="360" w:lineRule="auto"/>
        <w:rPr>
          <w:rFonts w:ascii="宋体" w:cs="Arial"/>
          <w:b/>
          <w:color w:val="000000"/>
          <w:kern w:val="0"/>
          <w:sz w:val="24"/>
        </w:rPr>
      </w:pPr>
      <w:r w:rsidRPr="003A0EC1">
        <w:rPr>
          <w:rFonts w:ascii="宋体" w:hAnsi="宋体" w:cs="Arial" w:hint="eastAsia"/>
          <w:b/>
          <w:color w:val="000000"/>
          <w:kern w:val="0"/>
          <w:sz w:val="24"/>
        </w:rPr>
        <w:t>债券正回购的资金余额超过基金资产净值的</w:t>
      </w:r>
      <w:r w:rsidRPr="003A0EC1">
        <w:rPr>
          <w:rFonts w:ascii="宋体" w:hAnsi="宋体" w:cs="Arial"/>
          <w:b/>
          <w:color w:val="000000"/>
          <w:kern w:val="0"/>
          <w:sz w:val="24"/>
        </w:rPr>
        <w:t>20</w:t>
      </w:r>
      <w:r w:rsidRPr="003A0EC1">
        <w:rPr>
          <w:rFonts w:ascii="宋体" w:hAnsi="宋体" w:cs="Arial" w:hint="eastAsia"/>
          <w:b/>
          <w:color w:val="000000"/>
          <w:kern w:val="0"/>
          <w:sz w:val="24"/>
        </w:rPr>
        <w:t>％的说明</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在本报告期内本货币市场基金债券正回购的资金余额未超过资产净值的</w:t>
      </w:r>
      <w:r w:rsidRPr="001752C7">
        <w:rPr>
          <w:color w:val="000000"/>
          <w:sz w:val="24"/>
        </w:rPr>
        <w:t>20%</w:t>
      </w:r>
      <w:r w:rsidRPr="001752C7">
        <w:rPr>
          <w:color w:val="000000"/>
          <w:sz w:val="24"/>
        </w:rPr>
        <w:t>。</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 </w:t>
      </w:r>
      <w:r w:rsidRPr="0097021E">
        <w:rPr>
          <w:rFonts w:ascii="宋体" w:hAnsi="宋体" w:cs="Arial" w:hint="eastAsia"/>
          <w:b/>
          <w:color w:val="000000"/>
          <w:kern w:val="0"/>
          <w:sz w:val="24"/>
        </w:rPr>
        <w:t>基金投资组合平均剩余期限</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5.3.1 </w:t>
      </w:r>
      <w:r w:rsidRPr="0097021E">
        <w:rPr>
          <w:rFonts w:ascii="宋体" w:hAnsi="宋体" w:cs="Arial" w:hint="eastAsia"/>
          <w:b/>
          <w:color w:val="000000"/>
          <w:kern w:val="0"/>
          <w:sz w:val="24"/>
        </w:rPr>
        <w:t>投资组合平均剩余期限基本情况</w:t>
      </w:r>
    </w:p>
    <w:tbl>
      <w:tblPr>
        <w:tblW w:w="0" w:type="auto"/>
        <w:tblInd w:w="108" w:type="dxa"/>
        <w:tblLayout w:type="fixed"/>
        <w:tblLook w:val="0000" w:firstRow="0" w:lastRow="0" w:firstColumn="0" w:lastColumn="0" w:noHBand="0" w:noVBand="0"/>
      </w:tblPr>
      <w:tblGrid>
        <w:gridCol w:w="4056"/>
        <w:gridCol w:w="5016"/>
      </w:tblGrid>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天数</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报告期末投资组合平均剩余期限</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ind w:right="120"/>
              <w:jc w:val="right"/>
              <w:rPr>
                <w:sz w:val="24"/>
              </w:rPr>
            </w:pPr>
            <w:r w:rsidRPr="00613409">
              <w:rPr>
                <w:sz w:val="24"/>
              </w:rPr>
              <w:t>97</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报告期内投资组合平均剩余期限最高值</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jc w:val="right"/>
              <w:rPr>
                <w:sz w:val="24"/>
              </w:rPr>
            </w:pPr>
            <w:r w:rsidRPr="00613409">
              <w:rPr>
                <w:sz w:val="24"/>
              </w:rPr>
              <w:t>108</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报告期内投资组合平均剩余期限最低值</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ind w:right="120"/>
              <w:jc w:val="right"/>
              <w:rPr>
                <w:sz w:val="24"/>
              </w:rPr>
            </w:pPr>
            <w:r w:rsidRPr="00613409">
              <w:rPr>
                <w:sz w:val="24"/>
              </w:rPr>
              <w:t>57</w:t>
            </w:r>
          </w:p>
        </w:tc>
      </w:tr>
    </w:tbl>
    <w:p w:rsidR="00546492" w:rsidRPr="00546492" w:rsidRDefault="00546492" w:rsidP="00546492">
      <w:pPr>
        <w:spacing w:line="360" w:lineRule="auto"/>
        <w:rPr>
          <w:rFonts w:ascii="宋体" w:hAnsi="宋体" w:cs="Arial"/>
          <w:b/>
          <w:color w:val="000000"/>
          <w:kern w:val="0"/>
          <w:sz w:val="24"/>
        </w:rPr>
      </w:pPr>
      <w:r w:rsidRPr="00546492">
        <w:rPr>
          <w:rFonts w:ascii="宋体" w:hAnsi="宋体" w:cs="Arial" w:hint="eastAsia"/>
          <w:b/>
          <w:color w:val="000000"/>
          <w:kern w:val="0"/>
          <w:sz w:val="24"/>
        </w:rPr>
        <w:t>报告期内投资组合平均剩余期限超过</w:t>
      </w:r>
      <w:r w:rsidRPr="00546492">
        <w:rPr>
          <w:rFonts w:ascii="宋体" w:hAnsi="宋体" w:cs="Arial"/>
          <w:b/>
          <w:color w:val="000000"/>
          <w:kern w:val="0"/>
          <w:sz w:val="24"/>
        </w:rPr>
        <w:t>1</w:t>
      </w:r>
      <w:r w:rsidRPr="00546492">
        <w:rPr>
          <w:rFonts w:ascii="宋体" w:hAnsi="宋体" w:cs="Arial" w:hint="eastAsia"/>
          <w:b/>
          <w:color w:val="000000"/>
          <w:kern w:val="0"/>
          <w:sz w:val="24"/>
        </w:rPr>
        <w:t>20天情况说明</w:t>
      </w:r>
    </w:p>
    <w:p w:rsidR="00546492" w:rsidRPr="00546492" w:rsidRDefault="00546492" w:rsidP="00613409">
      <w:pPr>
        <w:adjustRightInd w:val="0"/>
        <w:spacing w:line="360" w:lineRule="auto"/>
        <w:ind w:firstLineChars="200" w:firstLine="480"/>
        <w:rPr>
          <w:color w:val="000000"/>
          <w:sz w:val="24"/>
        </w:rPr>
      </w:pPr>
      <w:r w:rsidRPr="00546492">
        <w:rPr>
          <w:color w:val="000000"/>
          <w:sz w:val="24"/>
        </w:rPr>
        <w:t>本报告期内本货币市场基金投资组合平均剩余期限未超过</w:t>
      </w:r>
      <w:r w:rsidRPr="00546492">
        <w:rPr>
          <w:color w:val="000000"/>
          <w:sz w:val="24"/>
        </w:rPr>
        <w:t>120</w:t>
      </w:r>
      <w:r w:rsidRPr="00546492">
        <w:rPr>
          <w:color w:val="000000"/>
          <w:sz w:val="24"/>
        </w:rPr>
        <w:t>天。</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5.3.2 </w:t>
      </w:r>
      <w:r w:rsidRPr="0097021E">
        <w:rPr>
          <w:rFonts w:ascii="宋体" w:hAnsi="宋体" w:cs="Arial" w:hint="eastAsia"/>
          <w:b/>
          <w:color w:val="000000"/>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851"/>
        <w:gridCol w:w="3351"/>
        <w:gridCol w:w="2529"/>
        <w:gridCol w:w="2431"/>
      </w:tblGrid>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各期限资产占基金资产净值的比例（</w:t>
            </w:r>
            <w:r w:rsidRPr="007A1ACF">
              <w:rPr>
                <w:color w:val="000000"/>
                <w:kern w:val="0"/>
                <w:sz w:val="24"/>
              </w:rPr>
              <w:t>%</w:t>
            </w:r>
            <w:r w:rsidRPr="007A1ACF">
              <w:rPr>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各期限负债占基金资产净值的比例（％）</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49.80</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15.20</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r w:rsidRPr="007A1ACF">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天（含）</w:t>
            </w:r>
            <w:r w:rsidRPr="007A1ACF">
              <w:rPr>
                <w:color w:val="000000"/>
                <w:sz w:val="24"/>
              </w:rPr>
              <w:t>—60</w:t>
            </w:r>
            <w:r w:rsidRPr="007A1ACF">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9.38</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r w:rsidRPr="007A1ACF">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sz w:val="24"/>
              </w:rPr>
            </w:pPr>
            <w:r w:rsidRPr="007A1ACF">
              <w:rPr>
                <w:color w:val="000000"/>
                <w:sz w:val="24"/>
              </w:rPr>
              <w:t>60</w:t>
            </w:r>
            <w:r w:rsidRPr="007A1ACF">
              <w:rPr>
                <w:color w:val="000000"/>
                <w:sz w:val="24"/>
              </w:rPr>
              <w:t>天（含）</w:t>
            </w:r>
            <w:r w:rsidRPr="007A1ACF">
              <w:rPr>
                <w:color w:val="000000"/>
                <w:sz w:val="24"/>
              </w:rPr>
              <w:t>—90</w:t>
            </w:r>
            <w:r w:rsidRPr="007A1ACF">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11.08</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90</w:t>
            </w:r>
            <w:r w:rsidRPr="009F2322">
              <w:rPr>
                <w:color w:val="000000"/>
                <w:sz w:val="24"/>
              </w:rPr>
              <w:t>天（含）</w:t>
            </w:r>
            <w:r w:rsidRPr="009F2322">
              <w:rPr>
                <w:color w:val="000000"/>
                <w:sz w:val="24"/>
              </w:rPr>
              <w:t>—120</w:t>
            </w:r>
            <w:r w:rsidRPr="009F2322">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4.26</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120</w:t>
            </w:r>
            <w:r w:rsidRPr="009F2322">
              <w:rPr>
                <w:color w:val="000000"/>
                <w:sz w:val="24"/>
              </w:rPr>
              <w:t>天（含）</w:t>
            </w:r>
            <w:r w:rsidRPr="009F2322">
              <w:rPr>
                <w:color w:val="000000"/>
                <w:sz w:val="24"/>
              </w:rPr>
              <w:t>—397</w:t>
            </w:r>
            <w:r w:rsidRPr="009F2322">
              <w:rPr>
                <w:color w:val="000000"/>
                <w:sz w:val="24"/>
              </w:rPr>
              <w:t>天（含）</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40.39</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114.91</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15.20</w:t>
            </w:r>
          </w:p>
        </w:tc>
      </w:tr>
    </w:tbl>
    <w:p w:rsidR="007A1ACF" w:rsidRPr="007A1ACF" w:rsidRDefault="007A1ACF" w:rsidP="007A1ACF">
      <w:pPr>
        <w:spacing w:line="360" w:lineRule="auto"/>
        <w:rPr>
          <w:rFonts w:ascii="宋体" w:hAnsi="宋体" w:cs="Arial"/>
          <w:b/>
          <w:color w:val="000000"/>
          <w:kern w:val="0"/>
          <w:sz w:val="24"/>
        </w:rPr>
      </w:pPr>
      <w:r w:rsidRPr="007A1ACF">
        <w:rPr>
          <w:rFonts w:ascii="宋体" w:hAnsi="宋体" w:cs="Arial" w:hint="eastAsia"/>
          <w:b/>
          <w:color w:val="000000"/>
          <w:kern w:val="0"/>
          <w:sz w:val="24"/>
        </w:rPr>
        <w:t>5.4</w:t>
      </w:r>
      <w:r>
        <w:rPr>
          <w:rFonts w:ascii="宋体" w:hAnsi="宋体" w:hint="eastAsia"/>
          <w:b/>
          <w:color w:val="000000"/>
          <w:sz w:val="24"/>
        </w:rPr>
        <w:t>报告期内投资组合平均剩余存续期超过240天情况说明</w:t>
      </w:r>
    </w:p>
    <w:p w:rsidR="007A1ACF" w:rsidRPr="007A1ACF" w:rsidRDefault="007A1ACF" w:rsidP="00613409">
      <w:pPr>
        <w:adjustRightInd w:val="0"/>
        <w:spacing w:line="360" w:lineRule="auto"/>
        <w:ind w:firstLineChars="200" w:firstLine="480"/>
        <w:rPr>
          <w:color w:val="000000"/>
          <w:sz w:val="24"/>
        </w:rPr>
      </w:pPr>
      <w:r w:rsidRPr="007A1ACF">
        <w:rPr>
          <w:color w:val="000000"/>
          <w:sz w:val="24"/>
        </w:rPr>
        <w:t>本报告期内本货币市场基金投资组合平均剩余存续期未超过</w:t>
      </w:r>
      <w:r w:rsidRPr="007A1ACF">
        <w:rPr>
          <w:color w:val="000000"/>
          <w:sz w:val="24"/>
        </w:rPr>
        <w:t>240</w:t>
      </w:r>
      <w:r w:rsidRPr="007A1ACF">
        <w:rPr>
          <w:color w:val="000000"/>
          <w:sz w:val="24"/>
        </w:rPr>
        <w:t>天。</w:t>
      </w:r>
    </w:p>
    <w:p w:rsidR="00710B11" w:rsidRPr="00675D72" w:rsidRDefault="00EA3F40" w:rsidP="00710B11">
      <w:pPr>
        <w:spacing w:line="360" w:lineRule="auto"/>
        <w:rPr>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5</w:t>
      </w:r>
      <w:r w:rsidRPr="0097021E">
        <w:rPr>
          <w:rFonts w:ascii="宋体" w:hAnsi="宋体" w:cs="Arial"/>
          <w:b/>
          <w:color w:val="000000"/>
          <w:kern w:val="0"/>
          <w:sz w:val="24"/>
        </w:rPr>
        <w:t xml:space="preserve"> </w:t>
      </w:r>
      <w:r w:rsidRPr="0097021E">
        <w:rPr>
          <w:rFonts w:ascii="宋体" w:hAnsi="宋体" w:cs="Arial" w:hint="eastAsia"/>
          <w:b/>
          <w:color w:val="000000"/>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119"/>
        <w:gridCol w:w="1984"/>
      </w:tblGrid>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序号</w:t>
            </w:r>
          </w:p>
        </w:tc>
        <w:tc>
          <w:tcPr>
            <w:tcW w:w="3260"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债券品种</w:t>
            </w:r>
          </w:p>
        </w:tc>
        <w:tc>
          <w:tcPr>
            <w:tcW w:w="3119"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摊余成本（元）</w:t>
            </w:r>
          </w:p>
        </w:tc>
        <w:tc>
          <w:tcPr>
            <w:tcW w:w="1984"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占基金资产净值比例</w:t>
            </w:r>
            <w:r w:rsidRPr="00675D72">
              <w:rPr>
                <w:color w:val="000000"/>
                <w:sz w:val="24"/>
              </w:rPr>
              <w:t>(</w:t>
            </w:r>
            <w:r w:rsidRPr="00675D72">
              <w:rPr>
                <w:color w:val="000000"/>
                <w:sz w:val="24"/>
              </w:rPr>
              <w:t>％</w:t>
            </w: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1</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国家债券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2</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央行票据</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3</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金融债券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59,985,724.40</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5.11</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其中：政策性金融债</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59,985,724.40</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5.11</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4</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企业债券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5</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企业短期融资券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159,831,789.60</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13.62</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6</w:t>
            </w:r>
          </w:p>
        </w:tc>
        <w:tc>
          <w:tcPr>
            <w:tcW w:w="3260" w:type="dxa"/>
            <w:vAlign w:val="center"/>
          </w:tcPr>
          <w:p w:rsidR="00710B11" w:rsidRPr="00675D72" w:rsidRDefault="00710B11" w:rsidP="00C91200">
            <w:pPr>
              <w:spacing w:before="29" w:line="360" w:lineRule="auto"/>
              <w:ind w:left="17"/>
              <w:jc w:val="left"/>
              <w:rPr>
                <w:color w:val="000000"/>
                <w:sz w:val="24"/>
              </w:rPr>
            </w:pPr>
            <w:r w:rsidRPr="00675D72">
              <w:rPr>
                <w:color w:val="000000"/>
                <w:sz w:val="24"/>
              </w:rPr>
              <w:t>中期票据</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20,066,065.24</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1.71</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7</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同业存单</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344,050,147.91</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29.32</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8</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其他</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9</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合计</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583,933,727.15</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49.77</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10</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剩余存续期超过</w:t>
            </w:r>
            <w:r w:rsidRPr="00675D72">
              <w:rPr>
                <w:color w:val="000000"/>
                <w:sz w:val="24"/>
              </w:rPr>
              <w:t>397</w:t>
            </w:r>
            <w:r w:rsidRPr="00675D72">
              <w:rPr>
                <w:color w:val="000000"/>
                <w:sz w:val="24"/>
              </w:rPr>
              <w:t>天的浮动利率债券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bl>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6</w:t>
      </w:r>
      <w:r w:rsidRPr="0097021E">
        <w:rPr>
          <w:rFonts w:ascii="宋体" w:hAnsi="宋体" w:cs="Arial"/>
          <w:b/>
          <w:color w:val="000000"/>
          <w:kern w:val="0"/>
          <w:sz w:val="24"/>
        </w:rPr>
        <w:t xml:space="preserve"> </w:t>
      </w:r>
      <w:r w:rsidR="00AD6777">
        <w:rPr>
          <w:rFonts w:ascii="宋体" w:hAnsi="宋体" w:cs="Arial" w:hint="eastAsia"/>
          <w:b/>
          <w:color w:val="000000"/>
          <w:kern w:val="0"/>
          <w:sz w:val="24"/>
        </w:rPr>
        <w:t>报告期末按摊余成本占基金资产净值比例大小排名</w:t>
      </w:r>
      <w:r w:rsidRPr="0097021E">
        <w:rPr>
          <w:rFonts w:ascii="宋体" w:hAnsi="宋体" w:cs="Arial" w:hint="eastAsia"/>
          <w:b/>
          <w:color w:val="000000"/>
          <w:kern w:val="0"/>
          <w:sz w:val="24"/>
        </w:rPr>
        <w:t>的前十名债券投资明细</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3"/>
        <w:gridCol w:w="1296"/>
        <w:gridCol w:w="1906"/>
        <w:gridCol w:w="1870"/>
        <w:gridCol w:w="1737"/>
        <w:gridCol w:w="1425"/>
      </w:tblGrid>
      <w:tr w:rsidR="00EA3F40" w:rsidRPr="0097021E" w:rsidTr="00053472">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序号</w:t>
            </w:r>
          </w:p>
        </w:tc>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债券代码</w:t>
            </w:r>
          </w:p>
        </w:tc>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债券名称</w:t>
            </w:r>
          </w:p>
        </w:tc>
        <w:tc>
          <w:tcPr>
            <w:tcW w:w="2119"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债券数量</w:t>
            </w:r>
          </w:p>
          <w:p w:rsidR="00EA3F40" w:rsidRPr="00613409" w:rsidRDefault="007C3671"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（张）</w:t>
            </w:r>
          </w:p>
        </w:tc>
        <w:tc>
          <w:tcPr>
            <w:tcW w:w="1787" w:type="dxa"/>
            <w:vAlign w:val="center"/>
          </w:tcPr>
          <w:p w:rsidR="00EA3F40" w:rsidRPr="00613409" w:rsidRDefault="00EA3F40"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摊余成本</w:t>
            </w:r>
            <w:r w:rsidR="007C3671" w:rsidRPr="00613409">
              <w:rPr>
                <w:color w:val="000000"/>
                <w:kern w:val="0"/>
                <w:sz w:val="24"/>
              </w:rPr>
              <w:t>（元）</w:t>
            </w:r>
          </w:p>
        </w:tc>
        <w:tc>
          <w:tcPr>
            <w:tcW w:w="1595"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占基金资产净值比例（％）</w:t>
            </w:r>
          </w:p>
        </w:tc>
      </w:tr>
      <w:tr w:rsidR="004439D2">
        <w:tc>
          <w:tcPr>
            <w:tcW w:w="0" w:type="auto"/>
            <w:vAlign w:val="center"/>
          </w:tcPr>
          <w:p w:rsidR="004439D2" w:rsidRDefault="00963B34">
            <w:pPr>
              <w:jc w:val="center"/>
            </w:pPr>
            <w:r>
              <w:rPr>
                <w:color w:val="000000"/>
                <w:sz w:val="24"/>
              </w:rPr>
              <w:t>1</w:t>
            </w:r>
          </w:p>
        </w:tc>
        <w:tc>
          <w:tcPr>
            <w:tcW w:w="0" w:type="auto"/>
            <w:vAlign w:val="center"/>
          </w:tcPr>
          <w:p w:rsidR="004439D2" w:rsidRDefault="00963B34">
            <w:pPr>
              <w:jc w:val="center"/>
            </w:pPr>
            <w:r>
              <w:rPr>
                <w:color w:val="000000"/>
                <w:sz w:val="24"/>
              </w:rPr>
              <w:t>012000560</w:t>
            </w:r>
          </w:p>
        </w:tc>
        <w:tc>
          <w:tcPr>
            <w:tcW w:w="0" w:type="auto"/>
            <w:vAlign w:val="center"/>
          </w:tcPr>
          <w:p w:rsidR="004439D2" w:rsidRDefault="00963B34">
            <w:pPr>
              <w:jc w:val="center"/>
            </w:pPr>
            <w:r>
              <w:rPr>
                <w:color w:val="000000"/>
                <w:sz w:val="24"/>
              </w:rPr>
              <w:t>20</w:t>
            </w:r>
            <w:r>
              <w:rPr>
                <w:color w:val="000000"/>
                <w:sz w:val="24"/>
              </w:rPr>
              <w:t>浙交投</w:t>
            </w:r>
            <w:r>
              <w:rPr>
                <w:color w:val="000000"/>
                <w:sz w:val="24"/>
              </w:rPr>
              <w:t>SCP002</w:t>
            </w:r>
          </w:p>
        </w:tc>
        <w:tc>
          <w:tcPr>
            <w:tcW w:w="0" w:type="auto"/>
            <w:vAlign w:val="center"/>
          </w:tcPr>
          <w:p w:rsidR="004439D2" w:rsidRDefault="00963B34">
            <w:pPr>
              <w:jc w:val="right"/>
            </w:pPr>
            <w:r>
              <w:rPr>
                <w:color w:val="000000"/>
                <w:sz w:val="24"/>
              </w:rPr>
              <w:t>1,000,000</w:t>
            </w:r>
          </w:p>
        </w:tc>
        <w:tc>
          <w:tcPr>
            <w:tcW w:w="0" w:type="auto"/>
            <w:vAlign w:val="center"/>
          </w:tcPr>
          <w:p w:rsidR="004439D2" w:rsidRDefault="00963B34">
            <w:pPr>
              <w:jc w:val="right"/>
            </w:pPr>
            <w:r>
              <w:rPr>
                <w:color w:val="000000"/>
                <w:sz w:val="24"/>
              </w:rPr>
              <w:t>99,805,241.81</w:t>
            </w:r>
          </w:p>
        </w:tc>
        <w:tc>
          <w:tcPr>
            <w:tcW w:w="0" w:type="auto"/>
            <w:vAlign w:val="center"/>
          </w:tcPr>
          <w:p w:rsidR="004439D2" w:rsidRDefault="00963B34">
            <w:pPr>
              <w:jc w:val="right"/>
            </w:pPr>
            <w:r>
              <w:rPr>
                <w:color w:val="000000"/>
                <w:sz w:val="24"/>
              </w:rPr>
              <w:t>8.51</w:t>
            </w:r>
          </w:p>
        </w:tc>
      </w:tr>
      <w:tr w:rsidR="004439D2">
        <w:tc>
          <w:tcPr>
            <w:tcW w:w="0" w:type="auto"/>
            <w:vAlign w:val="center"/>
          </w:tcPr>
          <w:p w:rsidR="004439D2" w:rsidRDefault="00963B34">
            <w:pPr>
              <w:jc w:val="center"/>
            </w:pPr>
            <w:r>
              <w:rPr>
                <w:color w:val="000000"/>
                <w:sz w:val="24"/>
              </w:rPr>
              <w:t>2</w:t>
            </w:r>
          </w:p>
        </w:tc>
        <w:tc>
          <w:tcPr>
            <w:tcW w:w="0" w:type="auto"/>
            <w:vAlign w:val="center"/>
          </w:tcPr>
          <w:p w:rsidR="004439D2" w:rsidRDefault="00963B34">
            <w:pPr>
              <w:jc w:val="center"/>
            </w:pPr>
            <w:r>
              <w:rPr>
                <w:color w:val="000000"/>
                <w:sz w:val="24"/>
              </w:rPr>
              <w:t>112016060</w:t>
            </w:r>
          </w:p>
        </w:tc>
        <w:tc>
          <w:tcPr>
            <w:tcW w:w="0" w:type="auto"/>
            <w:vAlign w:val="center"/>
          </w:tcPr>
          <w:p w:rsidR="004439D2" w:rsidRDefault="00963B34">
            <w:pPr>
              <w:jc w:val="center"/>
            </w:pPr>
            <w:r>
              <w:rPr>
                <w:color w:val="000000"/>
                <w:sz w:val="24"/>
              </w:rPr>
              <w:t>20</w:t>
            </w:r>
            <w:r>
              <w:rPr>
                <w:color w:val="000000"/>
                <w:sz w:val="24"/>
              </w:rPr>
              <w:t>上海银行</w:t>
            </w:r>
            <w:r>
              <w:rPr>
                <w:color w:val="000000"/>
                <w:sz w:val="24"/>
              </w:rPr>
              <w:t>CD060</w:t>
            </w:r>
          </w:p>
        </w:tc>
        <w:tc>
          <w:tcPr>
            <w:tcW w:w="0" w:type="auto"/>
            <w:vAlign w:val="center"/>
          </w:tcPr>
          <w:p w:rsidR="004439D2" w:rsidRDefault="00963B34">
            <w:pPr>
              <w:jc w:val="right"/>
            </w:pPr>
            <w:r>
              <w:rPr>
                <w:color w:val="000000"/>
                <w:sz w:val="24"/>
              </w:rPr>
              <w:t>1,000,000</w:t>
            </w:r>
          </w:p>
        </w:tc>
        <w:tc>
          <w:tcPr>
            <w:tcW w:w="0" w:type="auto"/>
            <w:vAlign w:val="center"/>
          </w:tcPr>
          <w:p w:rsidR="004439D2" w:rsidRDefault="00963B34">
            <w:pPr>
              <w:jc w:val="right"/>
            </w:pPr>
            <w:r>
              <w:rPr>
                <w:color w:val="000000"/>
                <w:sz w:val="24"/>
              </w:rPr>
              <w:t>98,949,042.86</w:t>
            </w:r>
          </w:p>
        </w:tc>
        <w:tc>
          <w:tcPr>
            <w:tcW w:w="0" w:type="auto"/>
            <w:vAlign w:val="center"/>
          </w:tcPr>
          <w:p w:rsidR="004439D2" w:rsidRDefault="00963B34">
            <w:pPr>
              <w:jc w:val="right"/>
            </w:pPr>
            <w:r>
              <w:rPr>
                <w:color w:val="000000"/>
                <w:sz w:val="24"/>
              </w:rPr>
              <w:t>8.43</w:t>
            </w:r>
          </w:p>
        </w:tc>
      </w:tr>
      <w:tr w:rsidR="004439D2">
        <w:tc>
          <w:tcPr>
            <w:tcW w:w="0" w:type="auto"/>
            <w:vAlign w:val="center"/>
          </w:tcPr>
          <w:p w:rsidR="004439D2" w:rsidRDefault="00963B34">
            <w:pPr>
              <w:jc w:val="center"/>
            </w:pPr>
            <w:r>
              <w:rPr>
                <w:color w:val="000000"/>
                <w:sz w:val="24"/>
              </w:rPr>
              <w:t>3</w:t>
            </w:r>
          </w:p>
        </w:tc>
        <w:tc>
          <w:tcPr>
            <w:tcW w:w="0" w:type="auto"/>
            <w:vAlign w:val="center"/>
          </w:tcPr>
          <w:p w:rsidR="004439D2" w:rsidRDefault="00963B34">
            <w:pPr>
              <w:jc w:val="center"/>
            </w:pPr>
            <w:r>
              <w:rPr>
                <w:color w:val="000000"/>
                <w:sz w:val="24"/>
              </w:rPr>
              <w:t>111903094</w:t>
            </w:r>
          </w:p>
        </w:tc>
        <w:tc>
          <w:tcPr>
            <w:tcW w:w="0" w:type="auto"/>
            <w:vAlign w:val="center"/>
          </w:tcPr>
          <w:p w:rsidR="004439D2" w:rsidRDefault="00963B34">
            <w:pPr>
              <w:jc w:val="center"/>
            </w:pPr>
            <w:r>
              <w:rPr>
                <w:color w:val="000000"/>
                <w:sz w:val="24"/>
              </w:rPr>
              <w:t>19</w:t>
            </w:r>
            <w:r>
              <w:rPr>
                <w:color w:val="000000"/>
                <w:sz w:val="24"/>
              </w:rPr>
              <w:t>农业银行</w:t>
            </w:r>
            <w:r>
              <w:rPr>
                <w:color w:val="000000"/>
                <w:sz w:val="24"/>
              </w:rPr>
              <w:t>CD094</w:t>
            </w:r>
          </w:p>
        </w:tc>
        <w:tc>
          <w:tcPr>
            <w:tcW w:w="0" w:type="auto"/>
            <w:vAlign w:val="center"/>
          </w:tcPr>
          <w:p w:rsidR="004439D2" w:rsidRDefault="00963B34">
            <w:pPr>
              <w:jc w:val="right"/>
            </w:pPr>
            <w:r>
              <w:rPr>
                <w:color w:val="000000"/>
                <w:sz w:val="24"/>
              </w:rPr>
              <w:t>1,000,000</w:t>
            </w:r>
          </w:p>
        </w:tc>
        <w:tc>
          <w:tcPr>
            <w:tcW w:w="0" w:type="auto"/>
            <w:vAlign w:val="center"/>
          </w:tcPr>
          <w:p w:rsidR="004439D2" w:rsidRDefault="00963B34">
            <w:pPr>
              <w:jc w:val="right"/>
            </w:pPr>
            <w:r>
              <w:rPr>
                <w:color w:val="000000"/>
                <w:sz w:val="24"/>
              </w:rPr>
              <w:t>98,900,450.27</w:t>
            </w:r>
          </w:p>
        </w:tc>
        <w:tc>
          <w:tcPr>
            <w:tcW w:w="0" w:type="auto"/>
            <w:vAlign w:val="center"/>
          </w:tcPr>
          <w:p w:rsidR="004439D2" w:rsidRDefault="00963B34">
            <w:pPr>
              <w:jc w:val="right"/>
            </w:pPr>
            <w:r>
              <w:rPr>
                <w:color w:val="000000"/>
                <w:sz w:val="24"/>
              </w:rPr>
              <w:t>8.43</w:t>
            </w:r>
          </w:p>
        </w:tc>
      </w:tr>
      <w:tr w:rsidR="004439D2">
        <w:tc>
          <w:tcPr>
            <w:tcW w:w="0" w:type="auto"/>
            <w:vAlign w:val="center"/>
          </w:tcPr>
          <w:p w:rsidR="004439D2" w:rsidRDefault="00963B34">
            <w:pPr>
              <w:jc w:val="center"/>
            </w:pPr>
            <w:r>
              <w:rPr>
                <w:color w:val="000000"/>
                <w:sz w:val="24"/>
              </w:rPr>
              <w:t>4</w:t>
            </w:r>
          </w:p>
        </w:tc>
        <w:tc>
          <w:tcPr>
            <w:tcW w:w="0" w:type="auto"/>
            <w:vAlign w:val="center"/>
          </w:tcPr>
          <w:p w:rsidR="004439D2" w:rsidRDefault="00963B34">
            <w:pPr>
              <w:jc w:val="center"/>
            </w:pPr>
            <w:r>
              <w:rPr>
                <w:color w:val="000000"/>
                <w:sz w:val="24"/>
              </w:rPr>
              <w:t>112003016</w:t>
            </w:r>
          </w:p>
        </w:tc>
        <w:tc>
          <w:tcPr>
            <w:tcW w:w="0" w:type="auto"/>
            <w:vAlign w:val="center"/>
          </w:tcPr>
          <w:p w:rsidR="004439D2" w:rsidRDefault="00963B34">
            <w:pPr>
              <w:jc w:val="center"/>
            </w:pPr>
            <w:r>
              <w:rPr>
                <w:color w:val="000000"/>
                <w:sz w:val="24"/>
              </w:rPr>
              <w:t>20</w:t>
            </w:r>
            <w:r>
              <w:rPr>
                <w:color w:val="000000"/>
                <w:sz w:val="24"/>
              </w:rPr>
              <w:t>农业银行</w:t>
            </w:r>
            <w:r>
              <w:rPr>
                <w:color w:val="000000"/>
                <w:sz w:val="24"/>
              </w:rPr>
              <w:t>CD016</w:t>
            </w:r>
          </w:p>
        </w:tc>
        <w:tc>
          <w:tcPr>
            <w:tcW w:w="0" w:type="auto"/>
            <w:vAlign w:val="center"/>
          </w:tcPr>
          <w:p w:rsidR="004439D2" w:rsidRDefault="00963B34">
            <w:pPr>
              <w:jc w:val="right"/>
            </w:pPr>
            <w:r>
              <w:rPr>
                <w:color w:val="000000"/>
                <w:sz w:val="24"/>
              </w:rPr>
              <w:t>500,000</w:t>
            </w:r>
          </w:p>
        </w:tc>
        <w:tc>
          <w:tcPr>
            <w:tcW w:w="0" w:type="auto"/>
            <w:vAlign w:val="center"/>
          </w:tcPr>
          <w:p w:rsidR="004439D2" w:rsidRDefault="00963B34">
            <w:pPr>
              <w:jc w:val="right"/>
            </w:pPr>
            <w:r>
              <w:rPr>
                <w:color w:val="000000"/>
                <w:sz w:val="24"/>
              </w:rPr>
              <w:t>48,869,714.33</w:t>
            </w:r>
          </w:p>
        </w:tc>
        <w:tc>
          <w:tcPr>
            <w:tcW w:w="0" w:type="auto"/>
            <w:vAlign w:val="center"/>
          </w:tcPr>
          <w:p w:rsidR="004439D2" w:rsidRDefault="00963B34">
            <w:pPr>
              <w:jc w:val="right"/>
            </w:pPr>
            <w:r>
              <w:rPr>
                <w:color w:val="000000"/>
                <w:sz w:val="24"/>
              </w:rPr>
              <w:t>4.17</w:t>
            </w:r>
          </w:p>
        </w:tc>
      </w:tr>
      <w:tr w:rsidR="004439D2">
        <w:tc>
          <w:tcPr>
            <w:tcW w:w="0" w:type="auto"/>
            <w:vAlign w:val="center"/>
          </w:tcPr>
          <w:p w:rsidR="004439D2" w:rsidRDefault="00963B34">
            <w:pPr>
              <w:jc w:val="center"/>
            </w:pPr>
            <w:r>
              <w:rPr>
                <w:color w:val="000000"/>
                <w:sz w:val="24"/>
              </w:rPr>
              <w:t>5</w:t>
            </w:r>
          </w:p>
        </w:tc>
        <w:tc>
          <w:tcPr>
            <w:tcW w:w="0" w:type="auto"/>
            <w:vAlign w:val="center"/>
          </w:tcPr>
          <w:p w:rsidR="004439D2" w:rsidRDefault="00963B34">
            <w:pPr>
              <w:jc w:val="center"/>
            </w:pPr>
            <w:r>
              <w:rPr>
                <w:color w:val="000000"/>
                <w:sz w:val="24"/>
              </w:rPr>
              <w:t>112006029</w:t>
            </w:r>
          </w:p>
        </w:tc>
        <w:tc>
          <w:tcPr>
            <w:tcW w:w="0" w:type="auto"/>
            <w:vAlign w:val="center"/>
          </w:tcPr>
          <w:p w:rsidR="004439D2" w:rsidRDefault="00963B34">
            <w:pPr>
              <w:jc w:val="center"/>
            </w:pPr>
            <w:r>
              <w:rPr>
                <w:color w:val="000000"/>
                <w:sz w:val="24"/>
              </w:rPr>
              <w:t>20</w:t>
            </w:r>
            <w:r>
              <w:rPr>
                <w:color w:val="000000"/>
                <w:sz w:val="24"/>
              </w:rPr>
              <w:t>交通银行</w:t>
            </w:r>
            <w:r>
              <w:rPr>
                <w:color w:val="000000"/>
                <w:sz w:val="24"/>
              </w:rPr>
              <w:t>CD029</w:t>
            </w:r>
          </w:p>
        </w:tc>
        <w:tc>
          <w:tcPr>
            <w:tcW w:w="0" w:type="auto"/>
            <w:vAlign w:val="center"/>
          </w:tcPr>
          <w:p w:rsidR="004439D2" w:rsidRDefault="00963B34">
            <w:pPr>
              <w:jc w:val="right"/>
            </w:pPr>
            <w:r>
              <w:rPr>
                <w:color w:val="000000"/>
                <w:sz w:val="24"/>
              </w:rPr>
              <w:t>500,000</w:t>
            </w:r>
          </w:p>
        </w:tc>
        <w:tc>
          <w:tcPr>
            <w:tcW w:w="0" w:type="auto"/>
            <w:vAlign w:val="center"/>
          </w:tcPr>
          <w:p w:rsidR="004439D2" w:rsidRDefault="00963B34">
            <w:pPr>
              <w:jc w:val="right"/>
            </w:pPr>
            <w:r>
              <w:rPr>
                <w:color w:val="000000"/>
                <w:sz w:val="24"/>
              </w:rPr>
              <w:t>48,680,883.75</w:t>
            </w:r>
          </w:p>
        </w:tc>
        <w:tc>
          <w:tcPr>
            <w:tcW w:w="0" w:type="auto"/>
            <w:vAlign w:val="center"/>
          </w:tcPr>
          <w:p w:rsidR="004439D2" w:rsidRDefault="00963B34">
            <w:pPr>
              <w:jc w:val="right"/>
            </w:pPr>
            <w:r>
              <w:rPr>
                <w:color w:val="000000"/>
                <w:sz w:val="24"/>
              </w:rPr>
              <w:t>4.15</w:t>
            </w:r>
          </w:p>
        </w:tc>
      </w:tr>
      <w:tr w:rsidR="004439D2">
        <w:tc>
          <w:tcPr>
            <w:tcW w:w="0" w:type="auto"/>
            <w:vAlign w:val="center"/>
          </w:tcPr>
          <w:p w:rsidR="004439D2" w:rsidRDefault="00963B34">
            <w:pPr>
              <w:jc w:val="center"/>
            </w:pPr>
            <w:r>
              <w:rPr>
                <w:color w:val="000000"/>
                <w:sz w:val="24"/>
              </w:rPr>
              <w:t>6</w:t>
            </w:r>
          </w:p>
        </w:tc>
        <w:tc>
          <w:tcPr>
            <w:tcW w:w="0" w:type="auto"/>
            <w:vAlign w:val="center"/>
          </w:tcPr>
          <w:p w:rsidR="004439D2" w:rsidRDefault="00963B34">
            <w:pPr>
              <w:jc w:val="center"/>
            </w:pPr>
            <w:r>
              <w:rPr>
                <w:color w:val="000000"/>
                <w:sz w:val="24"/>
              </w:rPr>
              <w:t>112006020</w:t>
            </w:r>
          </w:p>
        </w:tc>
        <w:tc>
          <w:tcPr>
            <w:tcW w:w="0" w:type="auto"/>
            <w:vAlign w:val="center"/>
          </w:tcPr>
          <w:p w:rsidR="004439D2" w:rsidRDefault="00963B34">
            <w:pPr>
              <w:jc w:val="center"/>
            </w:pPr>
            <w:r>
              <w:rPr>
                <w:color w:val="000000"/>
                <w:sz w:val="24"/>
              </w:rPr>
              <w:t>20</w:t>
            </w:r>
            <w:r>
              <w:rPr>
                <w:color w:val="000000"/>
                <w:sz w:val="24"/>
              </w:rPr>
              <w:t>交通银行</w:t>
            </w:r>
            <w:r>
              <w:rPr>
                <w:color w:val="000000"/>
                <w:sz w:val="24"/>
              </w:rPr>
              <w:t>CD020</w:t>
            </w:r>
          </w:p>
        </w:tc>
        <w:tc>
          <w:tcPr>
            <w:tcW w:w="0" w:type="auto"/>
            <w:vAlign w:val="center"/>
          </w:tcPr>
          <w:p w:rsidR="004439D2" w:rsidRDefault="00963B34">
            <w:pPr>
              <w:jc w:val="right"/>
            </w:pPr>
            <w:r>
              <w:rPr>
                <w:color w:val="000000"/>
                <w:sz w:val="24"/>
              </w:rPr>
              <w:t>500,000</w:t>
            </w:r>
          </w:p>
        </w:tc>
        <w:tc>
          <w:tcPr>
            <w:tcW w:w="0" w:type="auto"/>
            <w:vAlign w:val="center"/>
          </w:tcPr>
          <w:p w:rsidR="004439D2" w:rsidRDefault="00963B34">
            <w:pPr>
              <w:jc w:val="right"/>
            </w:pPr>
            <w:r>
              <w:rPr>
                <w:color w:val="000000"/>
                <w:sz w:val="24"/>
              </w:rPr>
              <w:t>48,650,056.70</w:t>
            </w:r>
          </w:p>
        </w:tc>
        <w:tc>
          <w:tcPr>
            <w:tcW w:w="0" w:type="auto"/>
            <w:vAlign w:val="center"/>
          </w:tcPr>
          <w:p w:rsidR="004439D2" w:rsidRDefault="00963B34">
            <w:pPr>
              <w:jc w:val="right"/>
            </w:pPr>
            <w:r>
              <w:rPr>
                <w:color w:val="000000"/>
                <w:sz w:val="24"/>
              </w:rPr>
              <w:t>4.15</w:t>
            </w:r>
          </w:p>
        </w:tc>
      </w:tr>
      <w:tr w:rsidR="004439D2">
        <w:tc>
          <w:tcPr>
            <w:tcW w:w="0" w:type="auto"/>
            <w:vAlign w:val="center"/>
          </w:tcPr>
          <w:p w:rsidR="004439D2" w:rsidRDefault="00963B34">
            <w:pPr>
              <w:jc w:val="center"/>
            </w:pPr>
            <w:r>
              <w:rPr>
                <w:color w:val="000000"/>
                <w:sz w:val="24"/>
              </w:rPr>
              <w:t>7</w:t>
            </w:r>
          </w:p>
        </w:tc>
        <w:tc>
          <w:tcPr>
            <w:tcW w:w="0" w:type="auto"/>
            <w:vAlign w:val="center"/>
          </w:tcPr>
          <w:p w:rsidR="004439D2" w:rsidRDefault="00963B34">
            <w:pPr>
              <w:jc w:val="center"/>
            </w:pPr>
            <w:r>
              <w:rPr>
                <w:color w:val="000000"/>
                <w:sz w:val="24"/>
              </w:rPr>
              <w:t>190206</w:t>
            </w:r>
          </w:p>
        </w:tc>
        <w:tc>
          <w:tcPr>
            <w:tcW w:w="0" w:type="auto"/>
            <w:vAlign w:val="center"/>
          </w:tcPr>
          <w:p w:rsidR="004439D2" w:rsidRDefault="00963B34">
            <w:pPr>
              <w:jc w:val="center"/>
            </w:pPr>
            <w:r>
              <w:rPr>
                <w:color w:val="000000"/>
                <w:sz w:val="24"/>
              </w:rPr>
              <w:t>19</w:t>
            </w:r>
            <w:r>
              <w:rPr>
                <w:color w:val="000000"/>
                <w:sz w:val="24"/>
              </w:rPr>
              <w:t>国开</w:t>
            </w:r>
            <w:r>
              <w:rPr>
                <w:color w:val="000000"/>
                <w:sz w:val="24"/>
              </w:rPr>
              <w:t>06</w:t>
            </w:r>
          </w:p>
        </w:tc>
        <w:tc>
          <w:tcPr>
            <w:tcW w:w="0" w:type="auto"/>
            <w:vAlign w:val="center"/>
          </w:tcPr>
          <w:p w:rsidR="004439D2" w:rsidRDefault="00963B34">
            <w:pPr>
              <w:jc w:val="right"/>
            </w:pPr>
            <w:r>
              <w:rPr>
                <w:color w:val="000000"/>
                <w:sz w:val="24"/>
              </w:rPr>
              <w:t>300,000</w:t>
            </w:r>
          </w:p>
        </w:tc>
        <w:tc>
          <w:tcPr>
            <w:tcW w:w="0" w:type="auto"/>
            <w:vAlign w:val="center"/>
          </w:tcPr>
          <w:p w:rsidR="004439D2" w:rsidRDefault="00963B34">
            <w:pPr>
              <w:jc w:val="right"/>
            </w:pPr>
            <w:r>
              <w:rPr>
                <w:color w:val="000000"/>
                <w:sz w:val="24"/>
              </w:rPr>
              <w:t>29,998,877.35</w:t>
            </w:r>
          </w:p>
        </w:tc>
        <w:tc>
          <w:tcPr>
            <w:tcW w:w="0" w:type="auto"/>
            <w:vAlign w:val="center"/>
          </w:tcPr>
          <w:p w:rsidR="004439D2" w:rsidRDefault="00963B34">
            <w:pPr>
              <w:jc w:val="right"/>
            </w:pPr>
            <w:r>
              <w:rPr>
                <w:color w:val="000000"/>
                <w:sz w:val="24"/>
              </w:rPr>
              <w:t>2.56</w:t>
            </w:r>
          </w:p>
        </w:tc>
      </w:tr>
      <w:tr w:rsidR="004439D2">
        <w:tc>
          <w:tcPr>
            <w:tcW w:w="0" w:type="auto"/>
            <w:vAlign w:val="center"/>
          </w:tcPr>
          <w:p w:rsidR="004439D2" w:rsidRDefault="00963B34">
            <w:pPr>
              <w:jc w:val="center"/>
            </w:pPr>
            <w:r>
              <w:rPr>
                <w:color w:val="000000"/>
                <w:sz w:val="24"/>
              </w:rPr>
              <w:t>8</w:t>
            </w:r>
          </w:p>
        </w:tc>
        <w:tc>
          <w:tcPr>
            <w:tcW w:w="0" w:type="auto"/>
            <w:vAlign w:val="center"/>
          </w:tcPr>
          <w:p w:rsidR="004439D2" w:rsidRDefault="00963B34">
            <w:pPr>
              <w:jc w:val="center"/>
            </w:pPr>
            <w:r>
              <w:rPr>
                <w:color w:val="000000"/>
                <w:sz w:val="24"/>
              </w:rPr>
              <w:t>190405</w:t>
            </w:r>
          </w:p>
        </w:tc>
        <w:tc>
          <w:tcPr>
            <w:tcW w:w="0" w:type="auto"/>
            <w:vAlign w:val="center"/>
          </w:tcPr>
          <w:p w:rsidR="004439D2" w:rsidRDefault="00963B34">
            <w:pPr>
              <w:jc w:val="center"/>
            </w:pPr>
            <w:r>
              <w:rPr>
                <w:color w:val="000000"/>
                <w:sz w:val="24"/>
              </w:rPr>
              <w:t>19</w:t>
            </w:r>
            <w:r>
              <w:rPr>
                <w:color w:val="000000"/>
                <w:sz w:val="24"/>
              </w:rPr>
              <w:t>农发</w:t>
            </w:r>
            <w:r>
              <w:rPr>
                <w:color w:val="000000"/>
                <w:sz w:val="24"/>
              </w:rPr>
              <w:t>05</w:t>
            </w:r>
          </w:p>
        </w:tc>
        <w:tc>
          <w:tcPr>
            <w:tcW w:w="0" w:type="auto"/>
            <w:vAlign w:val="center"/>
          </w:tcPr>
          <w:p w:rsidR="004439D2" w:rsidRDefault="00963B34">
            <w:pPr>
              <w:jc w:val="right"/>
            </w:pPr>
            <w:r>
              <w:rPr>
                <w:color w:val="000000"/>
                <w:sz w:val="24"/>
              </w:rPr>
              <w:t>300,000</w:t>
            </w:r>
          </w:p>
        </w:tc>
        <w:tc>
          <w:tcPr>
            <w:tcW w:w="0" w:type="auto"/>
            <w:vAlign w:val="center"/>
          </w:tcPr>
          <w:p w:rsidR="004439D2" w:rsidRDefault="00963B34">
            <w:pPr>
              <w:jc w:val="right"/>
            </w:pPr>
            <w:r>
              <w:rPr>
                <w:color w:val="000000"/>
                <w:sz w:val="24"/>
              </w:rPr>
              <w:t>29,986,847.05</w:t>
            </w:r>
          </w:p>
        </w:tc>
        <w:tc>
          <w:tcPr>
            <w:tcW w:w="0" w:type="auto"/>
            <w:vAlign w:val="center"/>
          </w:tcPr>
          <w:p w:rsidR="004439D2" w:rsidRDefault="00963B34">
            <w:pPr>
              <w:jc w:val="right"/>
            </w:pPr>
            <w:r>
              <w:rPr>
                <w:color w:val="000000"/>
                <w:sz w:val="24"/>
              </w:rPr>
              <w:t>2.56</w:t>
            </w:r>
          </w:p>
        </w:tc>
      </w:tr>
      <w:tr w:rsidR="004439D2">
        <w:tc>
          <w:tcPr>
            <w:tcW w:w="0" w:type="auto"/>
            <w:vAlign w:val="center"/>
          </w:tcPr>
          <w:p w:rsidR="004439D2" w:rsidRDefault="00963B34">
            <w:pPr>
              <w:jc w:val="center"/>
            </w:pPr>
            <w:r>
              <w:rPr>
                <w:color w:val="000000"/>
                <w:sz w:val="24"/>
              </w:rPr>
              <w:t>9</w:t>
            </w:r>
          </w:p>
        </w:tc>
        <w:tc>
          <w:tcPr>
            <w:tcW w:w="0" w:type="auto"/>
            <w:vAlign w:val="center"/>
          </w:tcPr>
          <w:p w:rsidR="004439D2" w:rsidRDefault="00963B34">
            <w:pPr>
              <w:jc w:val="center"/>
            </w:pPr>
            <w:r>
              <w:rPr>
                <w:color w:val="000000"/>
                <w:sz w:val="24"/>
              </w:rPr>
              <w:t>011902517</w:t>
            </w:r>
          </w:p>
        </w:tc>
        <w:tc>
          <w:tcPr>
            <w:tcW w:w="0" w:type="auto"/>
            <w:vAlign w:val="center"/>
          </w:tcPr>
          <w:p w:rsidR="004439D2" w:rsidRDefault="00963B34">
            <w:pPr>
              <w:jc w:val="center"/>
            </w:pPr>
            <w:r>
              <w:rPr>
                <w:color w:val="000000"/>
                <w:sz w:val="24"/>
              </w:rPr>
              <w:t>19</w:t>
            </w:r>
            <w:r>
              <w:rPr>
                <w:color w:val="000000"/>
                <w:sz w:val="24"/>
              </w:rPr>
              <w:t>中铝集</w:t>
            </w:r>
            <w:r>
              <w:rPr>
                <w:color w:val="000000"/>
                <w:sz w:val="24"/>
              </w:rPr>
              <w:t>SCP013</w:t>
            </w:r>
          </w:p>
        </w:tc>
        <w:tc>
          <w:tcPr>
            <w:tcW w:w="0" w:type="auto"/>
            <w:vAlign w:val="center"/>
          </w:tcPr>
          <w:p w:rsidR="004439D2" w:rsidRDefault="00963B34">
            <w:pPr>
              <w:jc w:val="right"/>
            </w:pPr>
            <w:r>
              <w:rPr>
                <w:color w:val="000000"/>
                <w:sz w:val="24"/>
              </w:rPr>
              <w:t>200,000</w:t>
            </w:r>
          </w:p>
        </w:tc>
        <w:tc>
          <w:tcPr>
            <w:tcW w:w="0" w:type="auto"/>
            <w:vAlign w:val="center"/>
          </w:tcPr>
          <w:p w:rsidR="004439D2" w:rsidRDefault="00963B34">
            <w:pPr>
              <w:jc w:val="right"/>
            </w:pPr>
            <w:r>
              <w:rPr>
                <w:color w:val="000000"/>
                <w:sz w:val="24"/>
              </w:rPr>
              <w:t>20,000,350.44</w:t>
            </w:r>
          </w:p>
        </w:tc>
        <w:tc>
          <w:tcPr>
            <w:tcW w:w="0" w:type="auto"/>
            <w:vAlign w:val="center"/>
          </w:tcPr>
          <w:p w:rsidR="004439D2" w:rsidRDefault="00963B34">
            <w:pPr>
              <w:jc w:val="right"/>
            </w:pPr>
            <w:r>
              <w:rPr>
                <w:color w:val="000000"/>
                <w:sz w:val="24"/>
              </w:rPr>
              <w:t>1.70</w:t>
            </w:r>
          </w:p>
        </w:tc>
      </w:tr>
      <w:tr w:rsidR="004439D2">
        <w:tc>
          <w:tcPr>
            <w:tcW w:w="0" w:type="auto"/>
            <w:vAlign w:val="center"/>
          </w:tcPr>
          <w:p w:rsidR="004439D2" w:rsidRDefault="00963B34">
            <w:pPr>
              <w:jc w:val="center"/>
            </w:pPr>
            <w:r>
              <w:rPr>
                <w:color w:val="000000"/>
                <w:sz w:val="24"/>
              </w:rPr>
              <w:t>10</w:t>
            </w:r>
          </w:p>
        </w:tc>
        <w:tc>
          <w:tcPr>
            <w:tcW w:w="0" w:type="auto"/>
            <w:vAlign w:val="center"/>
          </w:tcPr>
          <w:p w:rsidR="004439D2" w:rsidRDefault="00963B34">
            <w:pPr>
              <w:jc w:val="center"/>
            </w:pPr>
            <w:r>
              <w:rPr>
                <w:color w:val="000000"/>
                <w:sz w:val="24"/>
              </w:rPr>
              <w:t>011902307</w:t>
            </w:r>
          </w:p>
        </w:tc>
        <w:tc>
          <w:tcPr>
            <w:tcW w:w="0" w:type="auto"/>
            <w:vAlign w:val="center"/>
          </w:tcPr>
          <w:p w:rsidR="004439D2" w:rsidRDefault="00963B34">
            <w:pPr>
              <w:jc w:val="center"/>
            </w:pPr>
            <w:r>
              <w:rPr>
                <w:color w:val="000000"/>
                <w:sz w:val="24"/>
              </w:rPr>
              <w:t>19</w:t>
            </w:r>
            <w:r>
              <w:rPr>
                <w:color w:val="000000"/>
                <w:sz w:val="24"/>
              </w:rPr>
              <w:t>鲁能源</w:t>
            </w:r>
            <w:r>
              <w:rPr>
                <w:color w:val="000000"/>
                <w:sz w:val="24"/>
              </w:rPr>
              <w:t>SCP001</w:t>
            </w:r>
          </w:p>
        </w:tc>
        <w:tc>
          <w:tcPr>
            <w:tcW w:w="0" w:type="auto"/>
            <w:vAlign w:val="center"/>
          </w:tcPr>
          <w:p w:rsidR="004439D2" w:rsidRDefault="00963B34">
            <w:pPr>
              <w:jc w:val="right"/>
            </w:pPr>
            <w:r>
              <w:rPr>
                <w:color w:val="000000"/>
                <w:sz w:val="24"/>
              </w:rPr>
              <w:t>200,000</w:t>
            </w:r>
          </w:p>
        </w:tc>
        <w:tc>
          <w:tcPr>
            <w:tcW w:w="0" w:type="auto"/>
            <w:vAlign w:val="center"/>
          </w:tcPr>
          <w:p w:rsidR="004439D2" w:rsidRDefault="00963B34">
            <w:pPr>
              <w:jc w:val="right"/>
            </w:pPr>
            <w:r>
              <w:rPr>
                <w:color w:val="000000"/>
                <w:sz w:val="24"/>
              </w:rPr>
              <w:t>19,979,872.66</w:t>
            </w:r>
          </w:p>
        </w:tc>
        <w:tc>
          <w:tcPr>
            <w:tcW w:w="0" w:type="auto"/>
            <w:vAlign w:val="center"/>
          </w:tcPr>
          <w:p w:rsidR="004439D2" w:rsidRDefault="00963B34">
            <w:pPr>
              <w:jc w:val="right"/>
            </w:pPr>
            <w:r>
              <w:rPr>
                <w:color w:val="000000"/>
                <w:sz w:val="24"/>
              </w:rPr>
              <w:t>1.70</w:t>
            </w:r>
          </w:p>
        </w:tc>
      </w:tr>
    </w:tbl>
    <w:p w:rsidR="00EA3F40" w:rsidRPr="0097021E" w:rsidRDefault="00EA3F40" w:rsidP="003A0EC1">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7</w:t>
      </w:r>
      <w:r w:rsidRPr="0097021E">
        <w:rPr>
          <w:rFonts w:ascii="宋体" w:hAnsi="宋体" w:cs="Arial" w:hint="eastAsia"/>
          <w:b/>
          <w:color w:val="000000"/>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812"/>
        <w:gridCol w:w="3382"/>
      </w:tblGrid>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偏离情况</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报告期内偏离度的绝对值在</w:t>
            </w:r>
            <w:r w:rsidRPr="00613409">
              <w:rPr>
                <w:color w:val="000000"/>
                <w:kern w:val="0"/>
                <w:sz w:val="24"/>
              </w:rPr>
              <w:t>0.25(</w:t>
            </w:r>
            <w:r w:rsidRPr="00613409">
              <w:rPr>
                <w:color w:val="000000"/>
                <w:kern w:val="0"/>
                <w:sz w:val="24"/>
              </w:rPr>
              <w:t>含</w:t>
            </w:r>
            <w:r w:rsidRPr="00613409">
              <w:rPr>
                <w:color w:val="000000"/>
                <w:kern w:val="0"/>
                <w:sz w:val="24"/>
              </w:rPr>
              <w:t>)-0.5%</w:t>
            </w:r>
            <w:r w:rsidRPr="00613409">
              <w:rPr>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w:t>
            </w:r>
            <w:r w:rsidRPr="00613409">
              <w:rPr>
                <w:color w:val="000000"/>
                <w:sz w:val="24"/>
              </w:rPr>
              <w:t>次</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0.1968%</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0.0759%</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BD0F36">
            <w:pPr>
              <w:autoSpaceDE w:val="0"/>
              <w:autoSpaceDN w:val="0"/>
              <w:adjustRightInd w:val="0"/>
              <w:spacing w:before="29" w:line="360" w:lineRule="auto"/>
              <w:ind w:left="15"/>
              <w:jc w:val="left"/>
              <w:rPr>
                <w:color w:val="000000"/>
                <w:kern w:val="0"/>
                <w:sz w:val="24"/>
              </w:rPr>
            </w:pPr>
            <w:r w:rsidRPr="00613409">
              <w:rPr>
                <w:color w:val="000000"/>
                <w:kern w:val="0"/>
                <w:sz w:val="24"/>
              </w:rPr>
              <w:t>报告期内每个工作日偏离度的绝对值的简单平均值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0.1161%</w:t>
            </w:r>
          </w:p>
        </w:tc>
      </w:tr>
    </w:tbl>
    <w:p w:rsidR="007A1ACF" w:rsidRPr="007A1ACF" w:rsidRDefault="007A1ACF" w:rsidP="007A1ACF">
      <w:pPr>
        <w:spacing w:line="360" w:lineRule="auto"/>
        <w:rPr>
          <w:b/>
          <w:color w:val="000000"/>
          <w:kern w:val="0"/>
          <w:sz w:val="24"/>
        </w:rPr>
      </w:pPr>
      <w:r w:rsidRPr="007A1ACF">
        <w:rPr>
          <w:b/>
          <w:color w:val="000000"/>
          <w:sz w:val="24"/>
        </w:rPr>
        <w:t>报告期内负偏离度的绝对值达到</w:t>
      </w:r>
      <w:r w:rsidRPr="007A1ACF">
        <w:rPr>
          <w:b/>
          <w:color w:val="000000"/>
          <w:sz w:val="24"/>
        </w:rPr>
        <w:t>0.25%</w:t>
      </w:r>
      <w:r w:rsidRPr="007A1ACF">
        <w:rPr>
          <w:b/>
          <w:color w:val="000000"/>
          <w:sz w:val="24"/>
        </w:rPr>
        <w:t>情况说明</w:t>
      </w:r>
    </w:p>
    <w:p w:rsidR="007A1ACF" w:rsidRPr="007A1ACF" w:rsidRDefault="007A1ACF" w:rsidP="007A1ACF">
      <w:pPr>
        <w:adjustRightInd w:val="0"/>
        <w:spacing w:line="360" w:lineRule="auto"/>
        <w:ind w:firstLineChars="200" w:firstLine="480"/>
        <w:rPr>
          <w:color w:val="000000"/>
          <w:sz w:val="24"/>
        </w:rPr>
      </w:pPr>
      <w:r w:rsidRPr="007A1ACF">
        <w:rPr>
          <w:color w:val="000000"/>
          <w:sz w:val="24"/>
        </w:rPr>
        <w:t>本基金本报告期内不存在负偏离度的绝对值达到</w:t>
      </w:r>
      <w:r w:rsidRPr="007A1ACF">
        <w:rPr>
          <w:color w:val="000000"/>
          <w:sz w:val="24"/>
        </w:rPr>
        <w:t>0.25%</w:t>
      </w:r>
      <w:r w:rsidRPr="007A1ACF">
        <w:rPr>
          <w:color w:val="000000"/>
          <w:sz w:val="24"/>
        </w:rPr>
        <w:t>的情况。</w:t>
      </w:r>
    </w:p>
    <w:p w:rsidR="007A1ACF" w:rsidRPr="007A1ACF" w:rsidRDefault="007A1ACF" w:rsidP="007A1ACF">
      <w:pPr>
        <w:spacing w:line="360" w:lineRule="auto"/>
        <w:rPr>
          <w:b/>
          <w:color w:val="000000"/>
          <w:kern w:val="0"/>
          <w:sz w:val="24"/>
        </w:rPr>
      </w:pPr>
      <w:r w:rsidRPr="007A1ACF">
        <w:rPr>
          <w:b/>
          <w:color w:val="000000"/>
          <w:sz w:val="24"/>
        </w:rPr>
        <w:t>报告期内正偏离度的绝对值达到</w:t>
      </w:r>
      <w:r w:rsidRPr="007A1ACF">
        <w:rPr>
          <w:b/>
          <w:color w:val="000000"/>
          <w:sz w:val="24"/>
        </w:rPr>
        <w:t>0.5%</w:t>
      </w:r>
      <w:r w:rsidRPr="007A1ACF">
        <w:rPr>
          <w:b/>
          <w:color w:val="000000"/>
          <w:sz w:val="24"/>
        </w:rPr>
        <w:t>情况说明</w:t>
      </w:r>
    </w:p>
    <w:p w:rsidR="007A1ACF" w:rsidRPr="007A1ACF" w:rsidRDefault="007A1ACF" w:rsidP="00613409">
      <w:pPr>
        <w:adjustRightInd w:val="0"/>
        <w:spacing w:line="360" w:lineRule="auto"/>
        <w:ind w:firstLineChars="200" w:firstLine="480"/>
        <w:rPr>
          <w:color w:val="000000"/>
          <w:sz w:val="24"/>
        </w:rPr>
      </w:pPr>
      <w:r w:rsidRPr="007A1ACF">
        <w:rPr>
          <w:color w:val="000000"/>
          <w:sz w:val="24"/>
        </w:rPr>
        <w:t>本基金本报告期内不存在正偏离度的绝对值达到</w:t>
      </w:r>
      <w:r w:rsidRPr="007A1ACF">
        <w:rPr>
          <w:color w:val="000000"/>
          <w:sz w:val="24"/>
        </w:rPr>
        <w:t>0.5%</w:t>
      </w:r>
      <w:r w:rsidRPr="007A1ACF">
        <w:rPr>
          <w:color w:val="000000"/>
          <w:sz w:val="24"/>
        </w:rPr>
        <w:t>的情况。</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8</w:t>
      </w:r>
      <w:r w:rsidR="00AD6777">
        <w:rPr>
          <w:rFonts w:ascii="宋体" w:hAnsi="宋体" w:cs="Arial" w:hint="eastAsia"/>
          <w:b/>
          <w:color w:val="000000"/>
          <w:kern w:val="0"/>
          <w:sz w:val="24"/>
        </w:rPr>
        <w:t>报告期末按公允价值占基金资产净值比例大小排名</w:t>
      </w:r>
      <w:r w:rsidRPr="0097021E">
        <w:rPr>
          <w:rFonts w:ascii="宋体" w:hAnsi="宋体" w:cs="Arial" w:hint="eastAsia"/>
          <w:b/>
          <w:color w:val="000000"/>
          <w:kern w:val="0"/>
          <w:sz w:val="24"/>
        </w:rPr>
        <w:t>的前十名资产支持证券投资明细</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4"/>
        <w:gridCol w:w="1540"/>
        <w:gridCol w:w="1535"/>
        <w:gridCol w:w="1541"/>
        <w:gridCol w:w="1596"/>
        <w:gridCol w:w="1541"/>
      </w:tblGrid>
      <w:tr w:rsidR="00EA3F40" w:rsidRPr="0097021E" w:rsidTr="00841A22">
        <w:tc>
          <w:tcPr>
            <w:tcW w:w="1547"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序号</w:t>
            </w:r>
          </w:p>
        </w:tc>
        <w:tc>
          <w:tcPr>
            <w:tcW w:w="1548"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证券代码</w:t>
            </w:r>
          </w:p>
        </w:tc>
        <w:tc>
          <w:tcPr>
            <w:tcW w:w="1548"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证券名称</w:t>
            </w:r>
          </w:p>
        </w:tc>
        <w:tc>
          <w:tcPr>
            <w:tcW w:w="1548" w:type="dxa"/>
            <w:vAlign w:val="center"/>
          </w:tcPr>
          <w:p w:rsidR="00EA3F40" w:rsidRPr="00613409" w:rsidRDefault="00EA3F40"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数量</w:t>
            </w:r>
            <w:r w:rsidR="007C3671" w:rsidRPr="00613409">
              <w:rPr>
                <w:color w:val="000000"/>
                <w:kern w:val="0"/>
                <w:sz w:val="24"/>
              </w:rPr>
              <w:t>（份）</w:t>
            </w:r>
          </w:p>
        </w:tc>
        <w:tc>
          <w:tcPr>
            <w:tcW w:w="1548" w:type="dxa"/>
            <w:vAlign w:val="center"/>
          </w:tcPr>
          <w:p w:rsidR="00EA3F40" w:rsidRPr="00613409" w:rsidRDefault="00DA1C79" w:rsidP="007C3671">
            <w:pPr>
              <w:autoSpaceDE w:val="0"/>
              <w:autoSpaceDN w:val="0"/>
              <w:adjustRightInd w:val="0"/>
              <w:spacing w:before="29" w:line="360" w:lineRule="auto"/>
              <w:ind w:left="15"/>
              <w:jc w:val="center"/>
              <w:rPr>
                <w:color w:val="000000"/>
                <w:kern w:val="0"/>
                <w:sz w:val="24"/>
              </w:rPr>
            </w:pPr>
            <w:r>
              <w:rPr>
                <w:rFonts w:hint="eastAsia"/>
                <w:color w:val="000000"/>
                <w:kern w:val="0"/>
                <w:sz w:val="24"/>
              </w:rPr>
              <w:t>摊余成本</w:t>
            </w:r>
            <w:bookmarkStart w:id="0" w:name="_GoBack"/>
            <w:bookmarkEnd w:id="0"/>
            <w:r w:rsidR="007C3671" w:rsidRPr="00613409">
              <w:rPr>
                <w:color w:val="000000"/>
                <w:kern w:val="0"/>
                <w:sz w:val="24"/>
              </w:rPr>
              <w:t>（元）</w:t>
            </w:r>
          </w:p>
        </w:tc>
        <w:tc>
          <w:tcPr>
            <w:tcW w:w="1548"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占基金资产净值比例（％）</w:t>
            </w:r>
          </w:p>
        </w:tc>
      </w:tr>
      <w:tr w:rsidR="004439D2">
        <w:tc>
          <w:tcPr>
            <w:tcW w:w="0" w:type="auto"/>
            <w:vAlign w:val="center"/>
          </w:tcPr>
          <w:p w:rsidR="004439D2" w:rsidRDefault="00963B34">
            <w:pPr>
              <w:jc w:val="center"/>
            </w:pPr>
            <w:r>
              <w:rPr>
                <w:color w:val="000000"/>
                <w:sz w:val="24"/>
              </w:rPr>
              <w:t>1</w:t>
            </w:r>
          </w:p>
        </w:tc>
        <w:tc>
          <w:tcPr>
            <w:tcW w:w="0" w:type="auto"/>
            <w:vAlign w:val="center"/>
          </w:tcPr>
          <w:p w:rsidR="004439D2" w:rsidRDefault="00963B34">
            <w:pPr>
              <w:jc w:val="center"/>
            </w:pPr>
            <w:r>
              <w:rPr>
                <w:color w:val="000000"/>
                <w:sz w:val="24"/>
              </w:rPr>
              <w:t>138276</w:t>
            </w:r>
          </w:p>
        </w:tc>
        <w:tc>
          <w:tcPr>
            <w:tcW w:w="0" w:type="auto"/>
            <w:vAlign w:val="center"/>
          </w:tcPr>
          <w:p w:rsidR="004439D2" w:rsidRDefault="00963B34">
            <w:pPr>
              <w:jc w:val="center"/>
            </w:pPr>
            <w:r>
              <w:rPr>
                <w:color w:val="000000"/>
                <w:sz w:val="24"/>
              </w:rPr>
              <w:t>永熙优</w:t>
            </w:r>
            <w:r>
              <w:rPr>
                <w:color w:val="000000"/>
                <w:sz w:val="24"/>
              </w:rPr>
              <w:t>20</w:t>
            </w:r>
          </w:p>
        </w:tc>
        <w:tc>
          <w:tcPr>
            <w:tcW w:w="0" w:type="auto"/>
            <w:vAlign w:val="center"/>
          </w:tcPr>
          <w:p w:rsidR="004439D2" w:rsidRDefault="00963B34">
            <w:pPr>
              <w:jc w:val="right"/>
            </w:pPr>
            <w:r>
              <w:rPr>
                <w:color w:val="000000"/>
                <w:sz w:val="24"/>
              </w:rPr>
              <w:t>100,000</w:t>
            </w:r>
          </w:p>
        </w:tc>
        <w:tc>
          <w:tcPr>
            <w:tcW w:w="0" w:type="auto"/>
            <w:vAlign w:val="center"/>
          </w:tcPr>
          <w:p w:rsidR="004439D2" w:rsidRDefault="00963B34">
            <w:pPr>
              <w:jc w:val="right"/>
            </w:pPr>
            <w:r>
              <w:rPr>
                <w:color w:val="000000"/>
                <w:sz w:val="24"/>
              </w:rPr>
              <w:t>10,000,000.00</w:t>
            </w:r>
          </w:p>
        </w:tc>
        <w:tc>
          <w:tcPr>
            <w:tcW w:w="0" w:type="auto"/>
            <w:vAlign w:val="center"/>
          </w:tcPr>
          <w:p w:rsidR="004439D2" w:rsidRDefault="00963B34">
            <w:pPr>
              <w:jc w:val="right"/>
            </w:pPr>
            <w:r>
              <w:rPr>
                <w:color w:val="000000"/>
                <w:sz w:val="24"/>
              </w:rPr>
              <w:t>0.85</w:t>
            </w:r>
          </w:p>
        </w:tc>
      </w:tr>
    </w:tbl>
    <w:p w:rsidR="00EA3F40" w:rsidRPr="006662B2" w:rsidRDefault="00EA3F40" w:rsidP="00976A1A">
      <w:pPr>
        <w:spacing w:line="360" w:lineRule="auto"/>
        <w:rPr>
          <w:rFonts w:ascii="宋体" w:cs="Arial"/>
          <w:b/>
          <w:color w:val="000000"/>
          <w:kern w:val="0"/>
          <w:sz w:val="24"/>
        </w:rPr>
      </w:pPr>
      <w:r>
        <w:rPr>
          <w:rFonts w:ascii="宋体" w:hAnsi="宋体" w:cs="Arial"/>
          <w:b/>
          <w:color w:val="000000"/>
          <w:kern w:val="0"/>
          <w:sz w:val="24"/>
        </w:rPr>
        <w:t>5</w:t>
      </w:r>
      <w:r w:rsidRPr="006662B2">
        <w:rPr>
          <w:rFonts w:ascii="宋体" w:hAnsi="宋体" w:cs="Arial"/>
          <w:b/>
          <w:color w:val="000000"/>
          <w:kern w:val="0"/>
          <w:sz w:val="24"/>
        </w:rPr>
        <w:t>.</w:t>
      </w:r>
      <w:r>
        <w:rPr>
          <w:rFonts w:ascii="宋体" w:hAnsi="宋体" w:cs="Arial"/>
          <w:b/>
          <w:color w:val="000000"/>
          <w:kern w:val="0"/>
          <w:sz w:val="24"/>
        </w:rPr>
        <w:t>9</w:t>
      </w:r>
      <w:r w:rsidRPr="006662B2">
        <w:rPr>
          <w:rFonts w:ascii="宋体" w:hAnsi="宋体" w:cs="Arial"/>
          <w:b/>
          <w:color w:val="000000"/>
          <w:kern w:val="0"/>
          <w:sz w:val="24"/>
        </w:rPr>
        <w:t xml:space="preserve"> </w:t>
      </w:r>
      <w:r w:rsidRPr="006662B2">
        <w:rPr>
          <w:rFonts w:ascii="宋体" w:hAnsi="宋体" w:cs="Arial" w:hint="eastAsia"/>
          <w:b/>
          <w:color w:val="000000"/>
          <w:kern w:val="0"/>
          <w:sz w:val="24"/>
        </w:rPr>
        <w:t>投资组合报告附注</w:t>
      </w:r>
    </w:p>
    <w:p w:rsidR="007A1ACF" w:rsidRPr="007A1ACF" w:rsidRDefault="007A1ACF" w:rsidP="007A1ACF">
      <w:pPr>
        <w:spacing w:line="360" w:lineRule="auto"/>
        <w:rPr>
          <w:color w:val="000000"/>
          <w:sz w:val="24"/>
        </w:rPr>
      </w:pPr>
      <w:r w:rsidRPr="007A1ACF">
        <w:rPr>
          <w:color w:val="000000"/>
          <w:sz w:val="24"/>
        </w:rPr>
        <w:t>5.9.1</w:t>
      </w:r>
      <w:r w:rsidRPr="007A1ACF">
        <w:rPr>
          <w:color w:val="000000"/>
          <w:sz w:val="24"/>
        </w:rPr>
        <w:t>基金计价方法说明</w:t>
      </w:r>
    </w:p>
    <w:p w:rsidR="004439D2" w:rsidRDefault="00963B34">
      <w:pPr>
        <w:spacing w:line="360" w:lineRule="auto"/>
        <w:ind w:firstLineChars="200" w:firstLine="480"/>
        <w:rPr>
          <w:color w:val="000000"/>
          <w:sz w:val="24"/>
        </w:rPr>
      </w:pPr>
      <w:r>
        <w:rPr>
          <w:color w:val="000000"/>
          <w:sz w:val="24"/>
        </w:rPr>
        <w:t>本基金目前投资工具的估值方法如下：</w:t>
      </w:r>
    </w:p>
    <w:p w:rsidR="004439D2" w:rsidRDefault="00963B34">
      <w:pPr>
        <w:spacing w:line="360" w:lineRule="auto"/>
        <w:ind w:firstLineChars="200" w:firstLine="480"/>
        <w:rPr>
          <w:color w:val="000000"/>
          <w:sz w:val="24"/>
        </w:rPr>
      </w:pPr>
      <w:r>
        <w:rPr>
          <w:color w:val="000000"/>
          <w:sz w:val="24"/>
        </w:rPr>
        <w:t>（</w:t>
      </w:r>
      <w:r>
        <w:rPr>
          <w:color w:val="000000"/>
          <w:sz w:val="24"/>
        </w:rPr>
        <w:t>1</w:t>
      </w:r>
      <w:r>
        <w:rPr>
          <w:color w:val="000000"/>
          <w:sz w:val="24"/>
        </w:rPr>
        <w:t>）基金持有的债券（包括票据）购买时采用实际支付价款（包含交易费用）确定初始成本，按实际利率计算其摊余成本及各期利息收入，每日计提收益；</w:t>
      </w:r>
    </w:p>
    <w:p w:rsidR="004439D2" w:rsidRDefault="00963B34">
      <w:pPr>
        <w:spacing w:line="360" w:lineRule="auto"/>
        <w:ind w:firstLineChars="200" w:firstLine="480"/>
        <w:rPr>
          <w:color w:val="000000"/>
          <w:sz w:val="24"/>
        </w:rPr>
      </w:pPr>
      <w:r>
        <w:rPr>
          <w:color w:val="000000"/>
          <w:sz w:val="24"/>
        </w:rPr>
        <w:t>（</w:t>
      </w:r>
      <w:r>
        <w:rPr>
          <w:color w:val="000000"/>
          <w:sz w:val="24"/>
        </w:rPr>
        <w:t>2</w:t>
      </w:r>
      <w:r>
        <w:rPr>
          <w:color w:val="000000"/>
          <w:sz w:val="24"/>
        </w:rPr>
        <w:t>）基金持有的回购以成本列示，按实际利率在实际持有期间内逐日计提利息；合同利率与实际利率差异较小的，也可采用合同利率计算确定利息收入；</w:t>
      </w:r>
    </w:p>
    <w:p w:rsidR="004439D2" w:rsidRDefault="00963B34">
      <w:pPr>
        <w:spacing w:line="360" w:lineRule="auto"/>
        <w:ind w:firstLineChars="200" w:firstLine="480"/>
        <w:rPr>
          <w:color w:val="000000"/>
          <w:sz w:val="24"/>
        </w:rPr>
      </w:pPr>
      <w:r>
        <w:rPr>
          <w:color w:val="000000"/>
          <w:sz w:val="24"/>
        </w:rPr>
        <w:t>（</w:t>
      </w:r>
      <w:r>
        <w:rPr>
          <w:color w:val="000000"/>
          <w:sz w:val="24"/>
        </w:rPr>
        <w:t>3</w:t>
      </w:r>
      <w:r>
        <w:rPr>
          <w:color w:val="000000"/>
          <w:sz w:val="24"/>
        </w:rPr>
        <w:t>）基金持有的银行存款以本金列示，按实际协议利率逐日计提利息。</w:t>
      </w:r>
    </w:p>
    <w:p w:rsidR="004439D2" w:rsidRDefault="00963B34">
      <w:pPr>
        <w:spacing w:line="360" w:lineRule="auto"/>
        <w:ind w:firstLineChars="200" w:firstLine="480"/>
        <w:rPr>
          <w:color w:val="000000"/>
          <w:sz w:val="24"/>
        </w:rPr>
      </w:pPr>
      <w:r>
        <w:rPr>
          <w:color w:val="000000"/>
          <w:sz w:val="24"/>
        </w:rPr>
        <w:t>如有确凿证据表明按上述方法进行估值不能客观反映其公允价值的，基金管理人可根据具体情况与基金托管人商定后，按最能反映公允价值的方法估值。</w:t>
      </w:r>
    </w:p>
    <w:p w:rsidR="007A1ACF" w:rsidRPr="007A1ACF" w:rsidRDefault="007A1ACF" w:rsidP="007A1ACF">
      <w:pPr>
        <w:spacing w:line="360" w:lineRule="auto"/>
        <w:ind w:firstLineChars="200" w:firstLine="480"/>
        <w:rPr>
          <w:color w:val="000000"/>
          <w:sz w:val="24"/>
        </w:rPr>
      </w:pPr>
      <w:r w:rsidRPr="007A1ACF">
        <w:rPr>
          <w:color w:val="000000"/>
          <w:sz w:val="24"/>
        </w:rPr>
        <w:t>如有新增事项，按国家最新规定估值。</w:t>
      </w:r>
    </w:p>
    <w:p w:rsidR="00EA3F40" w:rsidRPr="007A1ACF" w:rsidRDefault="007A1ACF" w:rsidP="00613409">
      <w:pPr>
        <w:widowControl/>
        <w:spacing w:line="360" w:lineRule="auto"/>
        <w:rPr>
          <w:color w:val="000000"/>
          <w:sz w:val="24"/>
        </w:rPr>
      </w:pPr>
      <w:r w:rsidRPr="007A1ACF">
        <w:rPr>
          <w:color w:val="000000"/>
          <w:sz w:val="24"/>
        </w:rPr>
        <w:t>5.9.2</w:t>
      </w:r>
      <w:r w:rsidR="00D568AA">
        <w:rPr>
          <w:rFonts w:hint="eastAsia"/>
          <w:color w:val="000000"/>
          <w:sz w:val="24"/>
        </w:rPr>
        <w:t xml:space="preserve"> </w:t>
      </w:r>
      <w:r w:rsidRPr="007A1ACF">
        <w:rPr>
          <w:color w:val="000000"/>
          <w:sz w:val="24"/>
        </w:rPr>
        <w:t>19</w:t>
      </w:r>
      <w:r w:rsidRPr="007A1ACF">
        <w:rPr>
          <w:color w:val="000000"/>
          <w:sz w:val="24"/>
        </w:rPr>
        <w:t>农业银行</w:t>
      </w:r>
      <w:r w:rsidRPr="007A1ACF">
        <w:rPr>
          <w:color w:val="000000"/>
          <w:sz w:val="24"/>
        </w:rPr>
        <w:t>CD094</w:t>
      </w:r>
      <w:r w:rsidRPr="007A1ACF">
        <w:rPr>
          <w:color w:val="000000"/>
          <w:sz w:val="24"/>
        </w:rPr>
        <w:t>（代码：</w:t>
      </w:r>
      <w:r w:rsidRPr="007A1ACF">
        <w:rPr>
          <w:color w:val="000000"/>
          <w:sz w:val="24"/>
        </w:rPr>
        <w:t>111903094</w:t>
      </w:r>
      <w:r w:rsidRPr="007A1ACF">
        <w:rPr>
          <w:color w:val="000000"/>
          <w:sz w:val="24"/>
        </w:rPr>
        <w:t>）、</w:t>
      </w:r>
      <w:r w:rsidRPr="007A1ACF">
        <w:rPr>
          <w:color w:val="000000"/>
          <w:sz w:val="24"/>
        </w:rPr>
        <w:t>20</w:t>
      </w:r>
      <w:r w:rsidRPr="007A1ACF">
        <w:rPr>
          <w:color w:val="000000"/>
          <w:sz w:val="24"/>
        </w:rPr>
        <w:t>农业银行</w:t>
      </w:r>
      <w:r w:rsidRPr="007A1ACF">
        <w:rPr>
          <w:color w:val="000000"/>
          <w:sz w:val="24"/>
        </w:rPr>
        <w:t>CD016</w:t>
      </w:r>
      <w:r w:rsidRPr="007A1ACF">
        <w:rPr>
          <w:color w:val="000000"/>
          <w:sz w:val="24"/>
        </w:rPr>
        <w:t>（代码：</w:t>
      </w:r>
      <w:r w:rsidRPr="007A1ACF">
        <w:rPr>
          <w:color w:val="000000"/>
          <w:sz w:val="24"/>
        </w:rPr>
        <w:t>112003016</w:t>
      </w:r>
      <w:r w:rsidRPr="007A1ACF">
        <w:rPr>
          <w:color w:val="000000"/>
          <w:sz w:val="24"/>
        </w:rPr>
        <w:t>）是易方达龙宝货币市场基金的前十大持仓证券。</w:t>
      </w:r>
      <w:r w:rsidRPr="007A1ACF">
        <w:rPr>
          <w:color w:val="000000"/>
          <w:sz w:val="24"/>
        </w:rPr>
        <w:t>2019</w:t>
      </w:r>
      <w:r w:rsidRPr="007A1ACF">
        <w:rPr>
          <w:color w:val="000000"/>
          <w:sz w:val="24"/>
        </w:rPr>
        <w:t>年</w:t>
      </w:r>
      <w:r w:rsidRPr="007A1ACF">
        <w:rPr>
          <w:color w:val="000000"/>
          <w:sz w:val="24"/>
        </w:rPr>
        <w:t>5</w:t>
      </w:r>
      <w:r w:rsidRPr="007A1ACF">
        <w:rPr>
          <w:color w:val="000000"/>
          <w:sz w:val="24"/>
        </w:rPr>
        <w:t>月</w:t>
      </w:r>
      <w:r w:rsidRPr="007A1ACF">
        <w:rPr>
          <w:color w:val="000000"/>
          <w:sz w:val="24"/>
        </w:rPr>
        <w:t>7</w:t>
      </w:r>
      <w:r w:rsidRPr="007A1ACF">
        <w:rPr>
          <w:color w:val="000000"/>
          <w:sz w:val="24"/>
        </w:rPr>
        <w:t>日，中国银保监会上海监管局针对中国农业银行股份有限公司中心部分信用卡资金违规用于非消费领域的违法违规行为，作出</w:t>
      </w:r>
      <w:r w:rsidRPr="007A1ACF">
        <w:rPr>
          <w:color w:val="000000"/>
          <w:sz w:val="24"/>
        </w:rPr>
        <w:t>“</w:t>
      </w:r>
      <w:r w:rsidRPr="007A1ACF">
        <w:rPr>
          <w:color w:val="000000"/>
          <w:sz w:val="24"/>
        </w:rPr>
        <w:t>责令改正，并处罚款</w:t>
      </w:r>
      <w:r w:rsidRPr="007A1ACF">
        <w:rPr>
          <w:color w:val="000000"/>
          <w:sz w:val="24"/>
        </w:rPr>
        <w:t>50</w:t>
      </w:r>
      <w:r w:rsidRPr="007A1ACF">
        <w:rPr>
          <w:color w:val="000000"/>
          <w:sz w:val="24"/>
        </w:rPr>
        <w:t>万元</w:t>
      </w:r>
      <w:r w:rsidRPr="007A1ACF">
        <w:rPr>
          <w:color w:val="000000"/>
          <w:sz w:val="24"/>
        </w:rPr>
        <w:t>”</w:t>
      </w:r>
      <w:r w:rsidRPr="007A1ACF">
        <w:rPr>
          <w:color w:val="000000"/>
          <w:sz w:val="24"/>
        </w:rPr>
        <w:t>的行政处罚决定。</w:t>
      </w:r>
      <w:r w:rsidRPr="007A1ACF">
        <w:rPr>
          <w:color w:val="000000"/>
          <w:sz w:val="24"/>
        </w:rPr>
        <w:t>2019</w:t>
      </w:r>
      <w:r w:rsidRPr="007A1ACF">
        <w:rPr>
          <w:color w:val="000000"/>
          <w:sz w:val="24"/>
        </w:rPr>
        <w:t>年</w:t>
      </w:r>
      <w:r w:rsidRPr="007A1ACF">
        <w:rPr>
          <w:color w:val="000000"/>
          <w:sz w:val="24"/>
        </w:rPr>
        <w:t>7</w:t>
      </w:r>
      <w:r w:rsidRPr="007A1ACF">
        <w:rPr>
          <w:color w:val="000000"/>
          <w:sz w:val="24"/>
        </w:rPr>
        <w:t>月</w:t>
      </w:r>
      <w:r w:rsidRPr="007A1ACF">
        <w:rPr>
          <w:color w:val="000000"/>
          <w:sz w:val="24"/>
        </w:rPr>
        <w:t>25</w:t>
      </w:r>
      <w:r w:rsidRPr="007A1ACF">
        <w:rPr>
          <w:color w:val="000000"/>
          <w:sz w:val="24"/>
        </w:rPr>
        <w:t>日，中国银行保险监督管理委员会上海监管局针对中国农业银行股份有限公司信用卡中心的如下违法违规行为作出</w:t>
      </w:r>
      <w:r w:rsidRPr="007A1ACF">
        <w:rPr>
          <w:color w:val="000000"/>
          <w:sz w:val="24"/>
        </w:rPr>
        <w:t>“</w:t>
      </w:r>
      <w:r w:rsidRPr="007A1ACF">
        <w:rPr>
          <w:color w:val="000000"/>
          <w:sz w:val="24"/>
        </w:rPr>
        <w:t>责令改正，并处罚款</w:t>
      </w:r>
      <w:r w:rsidRPr="007A1ACF">
        <w:rPr>
          <w:color w:val="000000"/>
          <w:sz w:val="24"/>
        </w:rPr>
        <w:t>20</w:t>
      </w:r>
      <w:r w:rsidRPr="007A1ACF">
        <w:rPr>
          <w:color w:val="000000"/>
          <w:sz w:val="24"/>
        </w:rPr>
        <w:t>万元</w:t>
      </w:r>
      <w:r w:rsidRPr="007A1ACF">
        <w:rPr>
          <w:color w:val="000000"/>
          <w:sz w:val="24"/>
        </w:rPr>
        <w:t>”</w:t>
      </w:r>
      <w:r w:rsidRPr="007A1ACF">
        <w:rPr>
          <w:color w:val="000000"/>
          <w:sz w:val="24"/>
        </w:rPr>
        <w:t>的行政处罚决定：</w:t>
      </w:r>
      <w:r w:rsidRPr="007A1ACF">
        <w:rPr>
          <w:color w:val="000000"/>
          <w:sz w:val="24"/>
        </w:rPr>
        <w:t>2017</w:t>
      </w:r>
      <w:r w:rsidRPr="007A1ACF">
        <w:rPr>
          <w:color w:val="000000"/>
          <w:sz w:val="24"/>
        </w:rPr>
        <w:t>年</w:t>
      </w:r>
      <w:r w:rsidRPr="007A1ACF">
        <w:rPr>
          <w:color w:val="000000"/>
          <w:sz w:val="24"/>
        </w:rPr>
        <w:t>5</w:t>
      </w:r>
      <w:r w:rsidRPr="007A1ACF">
        <w:rPr>
          <w:color w:val="000000"/>
          <w:sz w:val="24"/>
        </w:rPr>
        <w:t>月至</w:t>
      </w:r>
      <w:r w:rsidRPr="007A1ACF">
        <w:rPr>
          <w:color w:val="000000"/>
          <w:sz w:val="24"/>
        </w:rPr>
        <w:t>2018</w:t>
      </w:r>
      <w:r w:rsidRPr="007A1ACF">
        <w:rPr>
          <w:color w:val="000000"/>
          <w:sz w:val="24"/>
        </w:rPr>
        <w:t>年</w:t>
      </w:r>
      <w:r w:rsidRPr="007A1ACF">
        <w:rPr>
          <w:color w:val="000000"/>
          <w:sz w:val="24"/>
        </w:rPr>
        <w:t>6</w:t>
      </w:r>
      <w:r w:rsidRPr="007A1ACF">
        <w:rPr>
          <w:color w:val="000000"/>
          <w:sz w:val="24"/>
        </w:rPr>
        <w:t>月在办理部分客户信用卡业务时未遵守总授信额度管理制度的违法违规事实。</w:t>
      </w:r>
      <w:r w:rsidRPr="007A1ACF">
        <w:rPr>
          <w:color w:val="000000"/>
          <w:sz w:val="24"/>
        </w:rPr>
        <w:t>2020</w:t>
      </w:r>
      <w:r w:rsidRPr="007A1ACF">
        <w:rPr>
          <w:color w:val="000000"/>
          <w:sz w:val="24"/>
        </w:rPr>
        <w:t>年</w:t>
      </w:r>
      <w:r w:rsidRPr="007A1ACF">
        <w:rPr>
          <w:color w:val="000000"/>
          <w:sz w:val="24"/>
        </w:rPr>
        <w:t>1</w:t>
      </w:r>
      <w:r w:rsidRPr="007A1ACF">
        <w:rPr>
          <w:color w:val="000000"/>
          <w:sz w:val="24"/>
        </w:rPr>
        <w:t>月</w:t>
      </w:r>
      <w:r w:rsidRPr="007A1ACF">
        <w:rPr>
          <w:color w:val="000000"/>
          <w:sz w:val="24"/>
        </w:rPr>
        <w:t>19</w:t>
      </w:r>
      <w:r w:rsidRPr="007A1ACF">
        <w:rPr>
          <w:color w:val="000000"/>
          <w:sz w:val="24"/>
        </w:rPr>
        <w:t>日，国家税务总局北京市海淀区税务局对中国农业银行股份有限公司未按照规定期限办理纳税申报和报送纳税资料的违法违规事实，作出罚款</w:t>
      </w:r>
      <w:r w:rsidRPr="007A1ACF">
        <w:rPr>
          <w:color w:val="000000"/>
          <w:sz w:val="24"/>
        </w:rPr>
        <w:t>50</w:t>
      </w:r>
      <w:r w:rsidRPr="007A1ACF">
        <w:rPr>
          <w:color w:val="000000"/>
          <w:sz w:val="24"/>
        </w:rPr>
        <w:t>万元的行政处罚决定。</w:t>
      </w:r>
      <w:r w:rsidRPr="007A1ACF">
        <w:rPr>
          <w:color w:val="000000"/>
          <w:sz w:val="24"/>
        </w:rPr>
        <w:t>2020</w:t>
      </w:r>
      <w:r w:rsidRPr="007A1ACF">
        <w:rPr>
          <w:color w:val="000000"/>
          <w:sz w:val="24"/>
        </w:rPr>
        <w:t>年</w:t>
      </w:r>
      <w:r w:rsidRPr="007A1ACF">
        <w:rPr>
          <w:color w:val="000000"/>
          <w:sz w:val="24"/>
        </w:rPr>
        <w:t>3</w:t>
      </w:r>
      <w:r w:rsidRPr="007A1ACF">
        <w:rPr>
          <w:color w:val="000000"/>
          <w:sz w:val="24"/>
        </w:rPr>
        <w:t>月</w:t>
      </w:r>
      <w:r w:rsidRPr="007A1ACF">
        <w:rPr>
          <w:color w:val="000000"/>
          <w:sz w:val="24"/>
        </w:rPr>
        <w:t>9</w:t>
      </w:r>
      <w:r w:rsidRPr="007A1ACF">
        <w:rPr>
          <w:color w:val="000000"/>
          <w:sz w:val="24"/>
        </w:rPr>
        <w:t>日，中国银行保险监督管理委员会对中国农业银行股份有限公司的如下违法违规行为作出罚款</w:t>
      </w:r>
      <w:r w:rsidRPr="007A1ACF">
        <w:rPr>
          <w:color w:val="000000"/>
          <w:sz w:val="24"/>
        </w:rPr>
        <w:t>50</w:t>
      </w:r>
      <w:r w:rsidRPr="007A1ACF">
        <w:rPr>
          <w:color w:val="000000"/>
          <w:sz w:val="24"/>
        </w:rPr>
        <w:t>万元的行政处罚决定：可回溯制度执行不到位、可回溯基础管理不到位、部分可回溯视频质检结果未反馈给保险公司、可回溯资料不符合监管规定。</w:t>
      </w:r>
    </w:p>
    <w:p w:rsidR="004439D2" w:rsidRDefault="00963B34">
      <w:pPr>
        <w:widowControl/>
        <w:spacing w:line="360" w:lineRule="auto"/>
        <w:rPr>
          <w:color w:val="000000"/>
          <w:sz w:val="24"/>
        </w:rPr>
      </w:pPr>
      <w:r>
        <w:rPr>
          <w:color w:val="000000"/>
          <w:sz w:val="24"/>
        </w:rPr>
        <w:t>20</w:t>
      </w:r>
      <w:r>
        <w:rPr>
          <w:color w:val="000000"/>
          <w:sz w:val="24"/>
        </w:rPr>
        <w:t>上海银行</w:t>
      </w:r>
      <w:r>
        <w:rPr>
          <w:color w:val="000000"/>
          <w:sz w:val="24"/>
        </w:rPr>
        <w:t>CD060</w:t>
      </w:r>
      <w:r>
        <w:rPr>
          <w:color w:val="000000"/>
          <w:sz w:val="24"/>
        </w:rPr>
        <w:t>（代码：</w:t>
      </w:r>
      <w:r>
        <w:rPr>
          <w:color w:val="000000"/>
          <w:sz w:val="24"/>
        </w:rPr>
        <w:t>112016060</w:t>
      </w:r>
      <w:r>
        <w:rPr>
          <w:color w:val="000000"/>
          <w:sz w:val="24"/>
        </w:rPr>
        <w:t>）是易方达龙宝货币市场基金的前十大持仓证券。</w:t>
      </w:r>
      <w:r>
        <w:rPr>
          <w:color w:val="000000"/>
          <w:sz w:val="24"/>
        </w:rPr>
        <w:t>2019</w:t>
      </w:r>
      <w:r>
        <w:rPr>
          <w:color w:val="000000"/>
          <w:sz w:val="24"/>
        </w:rPr>
        <w:t>年</w:t>
      </w:r>
      <w:r>
        <w:rPr>
          <w:color w:val="000000"/>
          <w:sz w:val="24"/>
        </w:rPr>
        <w:t>7</w:t>
      </w:r>
      <w:r>
        <w:rPr>
          <w:color w:val="000000"/>
          <w:sz w:val="24"/>
        </w:rPr>
        <w:t>月</w:t>
      </w:r>
      <w:r>
        <w:rPr>
          <w:color w:val="000000"/>
          <w:sz w:val="24"/>
        </w:rPr>
        <w:t>8</w:t>
      </w:r>
      <w:r>
        <w:rPr>
          <w:color w:val="000000"/>
          <w:sz w:val="24"/>
        </w:rPr>
        <w:t>日，中国银行保险监督管理委员会上海监管局对上海银行股份有限公司信用卡中心的如下违法违规行为作出</w:t>
      </w:r>
      <w:r>
        <w:rPr>
          <w:color w:val="000000"/>
          <w:sz w:val="24"/>
        </w:rPr>
        <w:t>“</w:t>
      </w:r>
      <w:r>
        <w:rPr>
          <w:color w:val="000000"/>
          <w:sz w:val="24"/>
        </w:rPr>
        <w:t>责令改正，并处罚款</w:t>
      </w:r>
      <w:r>
        <w:rPr>
          <w:color w:val="000000"/>
          <w:sz w:val="24"/>
        </w:rPr>
        <w:t>40</w:t>
      </w:r>
      <w:r>
        <w:rPr>
          <w:color w:val="000000"/>
          <w:sz w:val="24"/>
        </w:rPr>
        <w:t>万元</w:t>
      </w:r>
      <w:r>
        <w:rPr>
          <w:color w:val="000000"/>
          <w:sz w:val="24"/>
        </w:rPr>
        <w:t>”</w:t>
      </w:r>
      <w:r>
        <w:rPr>
          <w:color w:val="000000"/>
          <w:sz w:val="24"/>
        </w:rPr>
        <w:t>的行政处罚决定：</w:t>
      </w:r>
      <w:r>
        <w:rPr>
          <w:color w:val="000000"/>
          <w:sz w:val="24"/>
        </w:rPr>
        <w:t>2017</w:t>
      </w:r>
      <w:r>
        <w:rPr>
          <w:color w:val="000000"/>
          <w:sz w:val="24"/>
        </w:rPr>
        <w:t>年</w:t>
      </w:r>
      <w:r>
        <w:rPr>
          <w:color w:val="000000"/>
          <w:sz w:val="24"/>
        </w:rPr>
        <w:t>12</w:t>
      </w:r>
      <w:r>
        <w:rPr>
          <w:color w:val="000000"/>
          <w:sz w:val="24"/>
        </w:rPr>
        <w:t>月，该中心在为部分客户办理信用卡业务时，未遵守总授信额度管理制度。</w:t>
      </w:r>
      <w:r>
        <w:rPr>
          <w:color w:val="000000"/>
          <w:sz w:val="24"/>
        </w:rPr>
        <w:t>2019</w:t>
      </w:r>
      <w:r>
        <w:rPr>
          <w:color w:val="000000"/>
          <w:sz w:val="24"/>
        </w:rPr>
        <w:t>年</w:t>
      </w:r>
      <w:r>
        <w:rPr>
          <w:color w:val="000000"/>
          <w:sz w:val="24"/>
        </w:rPr>
        <w:t>11</w:t>
      </w:r>
      <w:r>
        <w:rPr>
          <w:color w:val="000000"/>
          <w:sz w:val="24"/>
        </w:rPr>
        <w:t>月</w:t>
      </w:r>
      <w:r>
        <w:rPr>
          <w:color w:val="000000"/>
          <w:sz w:val="24"/>
        </w:rPr>
        <w:t>2</w:t>
      </w:r>
      <w:r>
        <w:rPr>
          <w:color w:val="000000"/>
          <w:sz w:val="24"/>
        </w:rPr>
        <w:t>日，中国人民银行上海分行对上海银行股份有限公司违反支付业务规定的行为，没收违法所得</w:t>
      </w:r>
      <w:r>
        <w:rPr>
          <w:color w:val="000000"/>
          <w:sz w:val="24"/>
        </w:rPr>
        <w:t>1,762,787.61</w:t>
      </w:r>
      <w:r>
        <w:rPr>
          <w:color w:val="000000"/>
          <w:sz w:val="24"/>
        </w:rPr>
        <w:t>元，并处以</w:t>
      </w:r>
      <w:r>
        <w:rPr>
          <w:color w:val="000000"/>
          <w:sz w:val="24"/>
        </w:rPr>
        <w:t>1,762,787.61</w:t>
      </w:r>
      <w:r>
        <w:rPr>
          <w:color w:val="000000"/>
          <w:sz w:val="24"/>
        </w:rPr>
        <w:t>元罚款，共计</w:t>
      </w:r>
      <w:r>
        <w:rPr>
          <w:color w:val="000000"/>
          <w:sz w:val="24"/>
        </w:rPr>
        <w:t>3,525,575.22</w:t>
      </w:r>
      <w:r>
        <w:rPr>
          <w:color w:val="000000"/>
          <w:sz w:val="24"/>
        </w:rPr>
        <w:t>元，同时对相关高级管理人员作出处罚。</w:t>
      </w:r>
    </w:p>
    <w:p w:rsidR="004439D2" w:rsidRDefault="00963B34">
      <w:pPr>
        <w:widowControl/>
        <w:spacing w:line="360" w:lineRule="auto"/>
        <w:rPr>
          <w:color w:val="000000"/>
          <w:sz w:val="24"/>
        </w:rPr>
      </w:pPr>
      <w:r>
        <w:rPr>
          <w:color w:val="000000"/>
          <w:sz w:val="24"/>
        </w:rPr>
        <w:t>20</w:t>
      </w:r>
      <w:r>
        <w:rPr>
          <w:color w:val="000000"/>
          <w:sz w:val="24"/>
        </w:rPr>
        <w:t>交通银行</w:t>
      </w:r>
      <w:r>
        <w:rPr>
          <w:color w:val="000000"/>
          <w:sz w:val="24"/>
        </w:rPr>
        <w:t>CD029</w:t>
      </w:r>
      <w:r>
        <w:rPr>
          <w:color w:val="000000"/>
          <w:sz w:val="24"/>
        </w:rPr>
        <w:t>（代码：</w:t>
      </w:r>
      <w:r>
        <w:rPr>
          <w:color w:val="000000"/>
          <w:sz w:val="24"/>
        </w:rPr>
        <w:t>112006029</w:t>
      </w:r>
      <w:r>
        <w:rPr>
          <w:color w:val="000000"/>
          <w:sz w:val="24"/>
        </w:rPr>
        <w:t>）、</w:t>
      </w:r>
      <w:r>
        <w:rPr>
          <w:color w:val="000000"/>
          <w:sz w:val="24"/>
        </w:rPr>
        <w:t>20</w:t>
      </w:r>
      <w:r>
        <w:rPr>
          <w:color w:val="000000"/>
          <w:sz w:val="24"/>
        </w:rPr>
        <w:t>交通银行</w:t>
      </w:r>
      <w:r>
        <w:rPr>
          <w:color w:val="000000"/>
          <w:sz w:val="24"/>
        </w:rPr>
        <w:t>CD020</w:t>
      </w:r>
      <w:r>
        <w:rPr>
          <w:color w:val="000000"/>
          <w:sz w:val="24"/>
        </w:rPr>
        <w:t>（代码：</w:t>
      </w:r>
      <w:r>
        <w:rPr>
          <w:color w:val="000000"/>
          <w:sz w:val="24"/>
        </w:rPr>
        <w:t>112006020</w:t>
      </w:r>
      <w:r>
        <w:rPr>
          <w:color w:val="000000"/>
          <w:sz w:val="24"/>
        </w:rPr>
        <w:t>）是易方达龙宝货币市场基金的前十大持仓证券。</w:t>
      </w:r>
      <w:r>
        <w:rPr>
          <w:color w:val="000000"/>
          <w:sz w:val="24"/>
        </w:rPr>
        <w:t>2019</w:t>
      </w:r>
      <w:r>
        <w:rPr>
          <w:color w:val="000000"/>
          <w:sz w:val="24"/>
        </w:rPr>
        <w:t>年</w:t>
      </w:r>
      <w:r>
        <w:rPr>
          <w:color w:val="000000"/>
          <w:sz w:val="24"/>
        </w:rPr>
        <w:t>7</w:t>
      </w:r>
      <w:r>
        <w:rPr>
          <w:color w:val="000000"/>
          <w:sz w:val="24"/>
        </w:rPr>
        <w:t>月</w:t>
      </w:r>
      <w:r>
        <w:rPr>
          <w:color w:val="000000"/>
          <w:sz w:val="24"/>
        </w:rPr>
        <w:t>25</w:t>
      </w:r>
      <w:r>
        <w:rPr>
          <w:color w:val="000000"/>
          <w:sz w:val="24"/>
        </w:rPr>
        <w:t>日，中国银行保险监督管理委员会上海监管局对交通银行股份有限公司太平洋信用卡中心的如下违法违规行为作出</w:t>
      </w:r>
      <w:r>
        <w:rPr>
          <w:color w:val="000000"/>
          <w:sz w:val="24"/>
        </w:rPr>
        <w:t>“</w:t>
      </w:r>
      <w:r>
        <w:rPr>
          <w:color w:val="000000"/>
          <w:sz w:val="24"/>
        </w:rPr>
        <w:t>处以责令改正，并处罚款</w:t>
      </w:r>
      <w:r>
        <w:rPr>
          <w:color w:val="000000"/>
          <w:sz w:val="24"/>
        </w:rPr>
        <w:t>40</w:t>
      </w:r>
      <w:r>
        <w:rPr>
          <w:color w:val="000000"/>
          <w:sz w:val="24"/>
        </w:rPr>
        <w:t>万元</w:t>
      </w:r>
      <w:r>
        <w:rPr>
          <w:color w:val="000000"/>
          <w:sz w:val="24"/>
        </w:rPr>
        <w:t>”</w:t>
      </w:r>
      <w:r>
        <w:rPr>
          <w:color w:val="000000"/>
          <w:sz w:val="24"/>
        </w:rPr>
        <w:t>的行政处罚决定：</w:t>
      </w:r>
      <w:r>
        <w:rPr>
          <w:color w:val="000000"/>
          <w:sz w:val="24"/>
        </w:rPr>
        <w:t>2017</w:t>
      </w:r>
      <w:r>
        <w:rPr>
          <w:color w:val="000000"/>
          <w:sz w:val="24"/>
        </w:rPr>
        <w:t>年</w:t>
      </w:r>
      <w:r>
        <w:rPr>
          <w:color w:val="000000"/>
          <w:sz w:val="24"/>
        </w:rPr>
        <w:t>6</w:t>
      </w:r>
      <w:r>
        <w:rPr>
          <w:color w:val="000000"/>
          <w:sz w:val="24"/>
        </w:rPr>
        <w:t>月至</w:t>
      </w:r>
      <w:r>
        <w:rPr>
          <w:color w:val="000000"/>
          <w:sz w:val="24"/>
        </w:rPr>
        <w:t>10</w:t>
      </w:r>
      <w:r>
        <w:rPr>
          <w:color w:val="000000"/>
          <w:sz w:val="24"/>
        </w:rPr>
        <w:t>月期间在办理部分客户信用卡业务时未遵守总授信额度管理制度。</w:t>
      </w:r>
      <w:r>
        <w:rPr>
          <w:color w:val="000000"/>
          <w:sz w:val="24"/>
        </w:rPr>
        <w:t>2019</w:t>
      </w:r>
      <w:r>
        <w:rPr>
          <w:color w:val="000000"/>
          <w:sz w:val="24"/>
        </w:rPr>
        <w:t>年</w:t>
      </w:r>
      <w:r>
        <w:rPr>
          <w:color w:val="000000"/>
          <w:sz w:val="24"/>
        </w:rPr>
        <w:t>12</w:t>
      </w:r>
      <w:r>
        <w:rPr>
          <w:color w:val="000000"/>
          <w:sz w:val="24"/>
        </w:rPr>
        <w:t>月</w:t>
      </w:r>
      <w:r>
        <w:rPr>
          <w:color w:val="000000"/>
          <w:sz w:val="24"/>
        </w:rPr>
        <w:t>27</w:t>
      </w:r>
      <w:r>
        <w:rPr>
          <w:color w:val="000000"/>
          <w:sz w:val="24"/>
        </w:rPr>
        <w:t>日，中国银行保险监督管理委员会对交通银行股份有限公司如下违法违规行为作出</w:t>
      </w:r>
      <w:r>
        <w:rPr>
          <w:color w:val="000000"/>
          <w:sz w:val="24"/>
        </w:rPr>
        <w:t>“</w:t>
      </w:r>
      <w:r>
        <w:rPr>
          <w:color w:val="000000"/>
          <w:sz w:val="24"/>
        </w:rPr>
        <w:t>罚款</w:t>
      </w:r>
      <w:r>
        <w:rPr>
          <w:color w:val="000000"/>
          <w:sz w:val="24"/>
        </w:rPr>
        <w:t>150</w:t>
      </w:r>
      <w:r>
        <w:rPr>
          <w:color w:val="000000"/>
          <w:sz w:val="24"/>
        </w:rPr>
        <w:t>万元</w:t>
      </w:r>
      <w:r>
        <w:rPr>
          <w:color w:val="000000"/>
          <w:sz w:val="24"/>
        </w:rPr>
        <w:t>”</w:t>
      </w:r>
      <w:r>
        <w:rPr>
          <w:color w:val="000000"/>
          <w:sz w:val="24"/>
        </w:rPr>
        <w:t>的行政处罚：</w:t>
      </w:r>
      <w:r>
        <w:rPr>
          <w:color w:val="000000"/>
          <w:sz w:val="24"/>
        </w:rPr>
        <w:t>1</w:t>
      </w:r>
      <w:r>
        <w:rPr>
          <w:color w:val="000000"/>
          <w:sz w:val="24"/>
        </w:rPr>
        <w:t>、授信审批不审慎；</w:t>
      </w:r>
      <w:r>
        <w:rPr>
          <w:color w:val="000000"/>
          <w:sz w:val="24"/>
        </w:rPr>
        <w:t>2</w:t>
      </w:r>
      <w:r>
        <w:rPr>
          <w:color w:val="000000"/>
          <w:sz w:val="24"/>
        </w:rPr>
        <w:t>、总行对分支机构管控不力承担管理责任。</w:t>
      </w:r>
    </w:p>
    <w:p w:rsidR="004439D2" w:rsidRDefault="00963B34">
      <w:pPr>
        <w:widowControl/>
        <w:spacing w:line="360" w:lineRule="auto"/>
        <w:rPr>
          <w:color w:val="000000"/>
          <w:sz w:val="24"/>
        </w:rPr>
      </w:pPr>
      <w:r>
        <w:rPr>
          <w:color w:val="000000"/>
          <w:sz w:val="24"/>
        </w:rPr>
        <w:t>本基金投资</w:t>
      </w:r>
      <w:r>
        <w:rPr>
          <w:color w:val="000000"/>
          <w:sz w:val="24"/>
        </w:rPr>
        <w:t>19</w:t>
      </w:r>
      <w:r>
        <w:rPr>
          <w:color w:val="000000"/>
          <w:sz w:val="24"/>
        </w:rPr>
        <w:t>农业银行</w:t>
      </w:r>
      <w:r>
        <w:rPr>
          <w:color w:val="000000"/>
          <w:sz w:val="24"/>
        </w:rPr>
        <w:t>CD094</w:t>
      </w:r>
      <w:r>
        <w:rPr>
          <w:color w:val="000000"/>
          <w:sz w:val="24"/>
        </w:rPr>
        <w:t>、</w:t>
      </w:r>
      <w:r>
        <w:rPr>
          <w:color w:val="000000"/>
          <w:sz w:val="24"/>
        </w:rPr>
        <w:t>20</w:t>
      </w:r>
      <w:r>
        <w:rPr>
          <w:color w:val="000000"/>
          <w:sz w:val="24"/>
        </w:rPr>
        <w:t>农业银行</w:t>
      </w:r>
      <w:r>
        <w:rPr>
          <w:color w:val="000000"/>
          <w:sz w:val="24"/>
        </w:rPr>
        <w:t>CD016</w:t>
      </w:r>
      <w:r>
        <w:rPr>
          <w:color w:val="000000"/>
          <w:sz w:val="24"/>
        </w:rPr>
        <w:t>、</w:t>
      </w:r>
      <w:r>
        <w:rPr>
          <w:color w:val="000000"/>
          <w:sz w:val="24"/>
        </w:rPr>
        <w:t>20</w:t>
      </w:r>
      <w:r>
        <w:rPr>
          <w:color w:val="000000"/>
          <w:sz w:val="24"/>
        </w:rPr>
        <w:t>上海银行</w:t>
      </w:r>
      <w:r>
        <w:rPr>
          <w:color w:val="000000"/>
          <w:sz w:val="24"/>
        </w:rPr>
        <w:t>CD060</w:t>
      </w:r>
      <w:r>
        <w:rPr>
          <w:color w:val="000000"/>
          <w:sz w:val="24"/>
        </w:rPr>
        <w:t>、</w:t>
      </w:r>
      <w:r>
        <w:rPr>
          <w:color w:val="000000"/>
          <w:sz w:val="24"/>
        </w:rPr>
        <w:t>20</w:t>
      </w:r>
      <w:r>
        <w:rPr>
          <w:color w:val="000000"/>
          <w:sz w:val="24"/>
        </w:rPr>
        <w:t>交通银行</w:t>
      </w:r>
      <w:r>
        <w:rPr>
          <w:color w:val="000000"/>
          <w:sz w:val="24"/>
        </w:rPr>
        <w:t>CD029</w:t>
      </w:r>
      <w:r>
        <w:rPr>
          <w:color w:val="000000"/>
          <w:sz w:val="24"/>
        </w:rPr>
        <w:t>、</w:t>
      </w:r>
      <w:r>
        <w:rPr>
          <w:color w:val="000000"/>
          <w:sz w:val="24"/>
        </w:rPr>
        <w:t>20</w:t>
      </w:r>
      <w:r>
        <w:rPr>
          <w:color w:val="000000"/>
          <w:sz w:val="24"/>
        </w:rPr>
        <w:t>交通银行</w:t>
      </w:r>
      <w:r>
        <w:rPr>
          <w:color w:val="000000"/>
          <w:sz w:val="24"/>
        </w:rPr>
        <w:t>CD020</w:t>
      </w:r>
      <w:r>
        <w:rPr>
          <w:color w:val="000000"/>
          <w:sz w:val="24"/>
        </w:rPr>
        <w:t>的投资决策程序符合公司投资制度的规定。</w:t>
      </w:r>
    </w:p>
    <w:p w:rsidR="004439D2" w:rsidRDefault="00963B34">
      <w:pPr>
        <w:widowControl/>
        <w:spacing w:line="360" w:lineRule="auto"/>
        <w:rPr>
          <w:color w:val="000000"/>
          <w:sz w:val="24"/>
        </w:rPr>
      </w:pPr>
      <w:r>
        <w:rPr>
          <w:color w:val="000000"/>
          <w:sz w:val="24"/>
        </w:rPr>
        <w:t>除</w:t>
      </w:r>
      <w:r>
        <w:rPr>
          <w:color w:val="000000"/>
          <w:sz w:val="24"/>
        </w:rPr>
        <w:t>19</w:t>
      </w:r>
      <w:r>
        <w:rPr>
          <w:color w:val="000000"/>
          <w:sz w:val="24"/>
        </w:rPr>
        <w:t>农业银行</w:t>
      </w:r>
      <w:r>
        <w:rPr>
          <w:color w:val="000000"/>
          <w:sz w:val="24"/>
        </w:rPr>
        <w:t>CD094</w:t>
      </w:r>
      <w:r>
        <w:rPr>
          <w:color w:val="000000"/>
          <w:sz w:val="24"/>
        </w:rPr>
        <w:t>、</w:t>
      </w:r>
      <w:r>
        <w:rPr>
          <w:color w:val="000000"/>
          <w:sz w:val="24"/>
        </w:rPr>
        <w:t>20</w:t>
      </w:r>
      <w:r>
        <w:rPr>
          <w:color w:val="000000"/>
          <w:sz w:val="24"/>
        </w:rPr>
        <w:t>农业银行</w:t>
      </w:r>
      <w:r>
        <w:rPr>
          <w:color w:val="000000"/>
          <w:sz w:val="24"/>
        </w:rPr>
        <w:t>CD016</w:t>
      </w:r>
      <w:r>
        <w:rPr>
          <w:color w:val="000000"/>
          <w:sz w:val="24"/>
        </w:rPr>
        <w:t>、</w:t>
      </w:r>
      <w:r>
        <w:rPr>
          <w:color w:val="000000"/>
          <w:sz w:val="24"/>
        </w:rPr>
        <w:t>20</w:t>
      </w:r>
      <w:r>
        <w:rPr>
          <w:color w:val="000000"/>
          <w:sz w:val="24"/>
        </w:rPr>
        <w:t>上海银行</w:t>
      </w:r>
      <w:r>
        <w:rPr>
          <w:color w:val="000000"/>
          <w:sz w:val="24"/>
        </w:rPr>
        <w:t>CD060</w:t>
      </w:r>
      <w:r>
        <w:rPr>
          <w:color w:val="000000"/>
          <w:sz w:val="24"/>
        </w:rPr>
        <w:t>、</w:t>
      </w:r>
      <w:r>
        <w:rPr>
          <w:color w:val="000000"/>
          <w:sz w:val="24"/>
        </w:rPr>
        <w:t>20</w:t>
      </w:r>
      <w:r>
        <w:rPr>
          <w:color w:val="000000"/>
          <w:sz w:val="24"/>
        </w:rPr>
        <w:t>交通银行</w:t>
      </w:r>
      <w:r>
        <w:rPr>
          <w:color w:val="000000"/>
          <w:sz w:val="24"/>
        </w:rPr>
        <w:t>CD029</w:t>
      </w:r>
      <w:r>
        <w:rPr>
          <w:color w:val="000000"/>
          <w:sz w:val="24"/>
        </w:rPr>
        <w:t>、</w:t>
      </w:r>
      <w:r>
        <w:rPr>
          <w:color w:val="000000"/>
          <w:sz w:val="24"/>
        </w:rPr>
        <w:t>20</w:t>
      </w:r>
      <w:r>
        <w:rPr>
          <w:color w:val="000000"/>
          <w:sz w:val="24"/>
        </w:rPr>
        <w:t>交通银行</w:t>
      </w:r>
      <w:r>
        <w:rPr>
          <w:color w:val="000000"/>
          <w:sz w:val="24"/>
        </w:rPr>
        <w:t>CD020</w:t>
      </w:r>
      <w:r>
        <w:rPr>
          <w:color w:val="000000"/>
          <w:sz w:val="24"/>
        </w:rPr>
        <w:t>外，本基金投资的前十名证券的发行主体本期没有出现被监管部门立案调查，或在报告编制日前一年内受到公开谴责、处罚的情形。</w:t>
      </w:r>
    </w:p>
    <w:p w:rsidR="00EA3F40" w:rsidRPr="007A1ACF" w:rsidRDefault="00EA3F40" w:rsidP="00976A1A">
      <w:pPr>
        <w:spacing w:line="360" w:lineRule="auto"/>
        <w:rPr>
          <w:bCs/>
          <w:sz w:val="24"/>
        </w:rPr>
      </w:pPr>
      <w:r w:rsidRPr="007A1ACF">
        <w:rPr>
          <w:sz w:val="24"/>
        </w:rPr>
        <w:t>5.9.3</w:t>
      </w:r>
      <w:r w:rsidRPr="007A1ACF">
        <w:rPr>
          <w:sz w:val="24"/>
        </w:rPr>
        <w:t>其他各项资产构成</w:t>
      </w: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2"/>
        <w:gridCol w:w="3535"/>
        <w:gridCol w:w="4808"/>
      </w:tblGrid>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7"/>
              <w:jc w:val="center"/>
              <w:rPr>
                <w:color w:val="000000"/>
                <w:kern w:val="0"/>
                <w:sz w:val="24"/>
              </w:rPr>
            </w:pPr>
            <w:r w:rsidRPr="00613409">
              <w:rPr>
                <w:color w:val="000000"/>
                <w:kern w:val="0"/>
                <w:sz w:val="24"/>
              </w:rPr>
              <w:t>序号</w:t>
            </w:r>
          </w:p>
        </w:tc>
        <w:tc>
          <w:tcPr>
            <w:tcW w:w="3535" w:type="dxa"/>
            <w:vAlign w:val="center"/>
          </w:tcPr>
          <w:p w:rsidR="00EA3F40" w:rsidRPr="00613409" w:rsidRDefault="00EA3F40" w:rsidP="00841A22">
            <w:pPr>
              <w:autoSpaceDE w:val="0"/>
              <w:autoSpaceDN w:val="0"/>
              <w:adjustRightInd w:val="0"/>
              <w:spacing w:before="29" w:line="360" w:lineRule="auto"/>
              <w:ind w:left="17"/>
              <w:jc w:val="center"/>
              <w:rPr>
                <w:color w:val="000000"/>
                <w:kern w:val="0"/>
                <w:sz w:val="24"/>
              </w:rPr>
            </w:pPr>
            <w:r w:rsidRPr="00613409">
              <w:rPr>
                <w:color w:val="000000"/>
                <w:kern w:val="0"/>
                <w:sz w:val="24"/>
              </w:rPr>
              <w:t>名称</w:t>
            </w:r>
          </w:p>
        </w:tc>
        <w:tc>
          <w:tcPr>
            <w:tcW w:w="4808" w:type="dxa"/>
            <w:vAlign w:val="center"/>
          </w:tcPr>
          <w:p w:rsidR="00EA3F40" w:rsidRPr="00613409" w:rsidRDefault="00EA3F40" w:rsidP="007C3671">
            <w:pPr>
              <w:autoSpaceDE w:val="0"/>
              <w:autoSpaceDN w:val="0"/>
              <w:adjustRightInd w:val="0"/>
              <w:spacing w:before="29" w:line="360" w:lineRule="auto"/>
              <w:ind w:left="17"/>
              <w:jc w:val="center"/>
              <w:rPr>
                <w:color w:val="000000"/>
                <w:kern w:val="0"/>
                <w:sz w:val="24"/>
              </w:rPr>
            </w:pPr>
            <w:r w:rsidRPr="00613409">
              <w:rPr>
                <w:color w:val="000000"/>
                <w:kern w:val="0"/>
                <w:sz w:val="24"/>
              </w:rPr>
              <w:t>金额</w:t>
            </w:r>
            <w:r w:rsidR="007C3671" w:rsidRPr="00613409">
              <w:rPr>
                <w:color w:val="000000"/>
                <w:kern w:val="0"/>
                <w:sz w:val="24"/>
              </w:rPr>
              <w:t>（元）</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sz w:val="24"/>
              </w:rPr>
              <w:t>1</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存出保证金</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2</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应收证券清算款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9,013.69</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3</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应收利息</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5,047,972.78</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4</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应收申购款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1,252,211.72</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5</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其他应收款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6</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待摊费用</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7</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其他</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8</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合计</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6,309,198.19</w:t>
            </w:r>
          </w:p>
        </w:tc>
      </w:tr>
    </w:tbl>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6  </w:t>
      </w:r>
      <w:r w:rsidRPr="0097021E">
        <w:rPr>
          <w:rFonts w:ascii="宋体" w:hAnsi="宋体" w:cs="Arial" w:hint="eastAsia"/>
          <w:color w:val="000000"/>
          <w:kern w:val="0"/>
          <w:sz w:val="24"/>
          <w:szCs w:val="24"/>
        </w:rPr>
        <w:t>开放式基金份额变动</w:t>
      </w:r>
    </w:p>
    <w:p w:rsidR="00EA3F40" w:rsidRPr="0097021E" w:rsidRDefault="00EA3F40" w:rsidP="00196812">
      <w:pPr>
        <w:autoSpaceDE w:val="0"/>
        <w:autoSpaceDN w:val="0"/>
        <w:adjustRightInd w:val="0"/>
        <w:spacing w:before="29" w:line="360" w:lineRule="auto"/>
        <w:ind w:left="15"/>
        <w:jc w:val="right"/>
        <w:rPr>
          <w:rFonts w:ascii="宋体" w:cs="Arial"/>
          <w:color w:val="000000"/>
          <w:kern w:val="0"/>
          <w:sz w:val="24"/>
        </w:rPr>
      </w:pPr>
      <w:r w:rsidRPr="0097021E">
        <w:rPr>
          <w:rFonts w:ascii="宋体" w:hAnsi="宋体" w:cs="Arial" w:hint="eastAsia"/>
          <w:color w:val="000000"/>
          <w:kern w:val="0"/>
          <w:sz w:val="24"/>
        </w:rPr>
        <w:t>单位：份</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2268"/>
        <w:gridCol w:w="2268"/>
        <w:gridCol w:w="2269"/>
      </w:tblGrid>
      <w:tr w:rsidR="00EA3F40" w:rsidRPr="0097021E" w:rsidTr="00102307">
        <w:trPr>
          <w:jc w:val="center"/>
        </w:trPr>
        <w:tc>
          <w:tcPr>
            <w:tcW w:w="3279" w:type="dxa"/>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2268" w:type="dxa"/>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sz w:val="24"/>
              </w:rPr>
              <w:t>易方达龙宝货币</w:t>
            </w:r>
            <w:r w:rsidRPr="00613409">
              <w:rPr>
                <w:sz w:val="24"/>
              </w:rPr>
              <w:t>A</w:t>
            </w:r>
          </w:p>
        </w:tc>
        <w:tc>
          <w:tcPr>
            <w:tcW w:w="2268" w:type="dxa"/>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sz w:val="24"/>
              </w:rPr>
              <w:t>易方达龙宝货币</w:t>
            </w:r>
            <w:r w:rsidRPr="00613409">
              <w:rPr>
                <w:sz w:val="24"/>
              </w:rPr>
              <w:t>B</w:t>
            </w:r>
          </w:p>
        </w:tc>
        <w:tc>
          <w:tcPr>
            <w:tcW w:w="2269" w:type="dxa"/>
          </w:tcPr>
          <w:p w:rsidR="00EA3F40" w:rsidRPr="00613409" w:rsidRDefault="00EA3F40" w:rsidP="003451F3">
            <w:pPr>
              <w:autoSpaceDE w:val="0"/>
              <w:autoSpaceDN w:val="0"/>
              <w:adjustRightInd w:val="0"/>
              <w:spacing w:before="29" w:line="360" w:lineRule="auto"/>
              <w:ind w:left="15"/>
              <w:jc w:val="center"/>
              <w:rPr>
                <w:color w:val="000000"/>
                <w:kern w:val="0"/>
                <w:sz w:val="24"/>
              </w:rPr>
            </w:pPr>
            <w:r w:rsidRPr="00613409">
              <w:rPr>
                <w:sz w:val="24"/>
              </w:rPr>
              <w:t>易方达龙宝货币</w:t>
            </w:r>
            <w:r w:rsidRPr="00613409">
              <w:rPr>
                <w:sz w:val="24"/>
              </w:rPr>
              <w:t>C</w:t>
            </w:r>
          </w:p>
        </w:tc>
      </w:tr>
      <w:tr w:rsidR="00EA3F40" w:rsidRPr="0097021E" w:rsidTr="00F56FBC">
        <w:trPr>
          <w:jc w:val="center"/>
        </w:trPr>
        <w:tc>
          <w:tcPr>
            <w:tcW w:w="3279" w:type="dxa"/>
            <w:vAlign w:val="center"/>
          </w:tcPr>
          <w:p w:rsidR="00EA3F40" w:rsidRPr="00613409" w:rsidRDefault="00EA3F40" w:rsidP="00587524">
            <w:pPr>
              <w:autoSpaceDE w:val="0"/>
              <w:autoSpaceDN w:val="0"/>
              <w:adjustRightInd w:val="0"/>
              <w:spacing w:before="29" w:line="360" w:lineRule="auto"/>
              <w:ind w:left="17"/>
              <w:jc w:val="left"/>
              <w:rPr>
                <w:color w:val="000000"/>
                <w:kern w:val="0"/>
                <w:sz w:val="24"/>
              </w:rPr>
            </w:pPr>
            <w:r w:rsidRPr="00613409">
              <w:rPr>
                <w:color w:val="000000"/>
                <w:kern w:val="0"/>
                <w:sz w:val="24"/>
              </w:rPr>
              <w:t>报告期期初基金份额总额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856,461,232.27</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82,187,650.79</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189,764,240.49</w:t>
            </w:r>
          </w:p>
        </w:tc>
      </w:tr>
      <w:tr w:rsidR="00EA3F40" w:rsidRPr="0097021E" w:rsidTr="00F56FBC">
        <w:trPr>
          <w:jc w:val="center"/>
        </w:trPr>
        <w:tc>
          <w:tcPr>
            <w:tcW w:w="3279" w:type="dxa"/>
          </w:tcPr>
          <w:p w:rsidR="00EA3F40" w:rsidRPr="00613409" w:rsidRDefault="00EA3F40" w:rsidP="006B56E1">
            <w:pPr>
              <w:adjustRightInd w:val="0"/>
              <w:snapToGrid w:val="0"/>
              <w:spacing w:line="340" w:lineRule="exact"/>
              <w:rPr>
                <w:color w:val="000000"/>
                <w:sz w:val="24"/>
              </w:rPr>
            </w:pPr>
            <w:r w:rsidRPr="00613409">
              <w:rPr>
                <w:color w:val="000000"/>
                <w:kern w:val="0"/>
                <w:sz w:val="24"/>
              </w:rPr>
              <w:t>报告期</w:t>
            </w:r>
            <w:r w:rsidRPr="00613409">
              <w:rPr>
                <w:color w:val="000000"/>
                <w:sz w:val="24"/>
              </w:rPr>
              <w:t>基金总申购份额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810,298,024.94</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252,223,937.58</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291,030,968.20</w:t>
            </w:r>
          </w:p>
        </w:tc>
      </w:tr>
      <w:tr w:rsidR="00EA3F40" w:rsidRPr="0097021E" w:rsidTr="00F56FBC">
        <w:trPr>
          <w:jc w:val="center"/>
        </w:trPr>
        <w:tc>
          <w:tcPr>
            <w:tcW w:w="3279" w:type="dxa"/>
          </w:tcPr>
          <w:p w:rsidR="00EA3F40" w:rsidRPr="00613409" w:rsidRDefault="00EA3F40" w:rsidP="006B56E1">
            <w:pPr>
              <w:adjustRightInd w:val="0"/>
              <w:snapToGrid w:val="0"/>
              <w:spacing w:line="340" w:lineRule="exact"/>
              <w:rPr>
                <w:color w:val="000000"/>
                <w:sz w:val="24"/>
              </w:rPr>
            </w:pPr>
            <w:r w:rsidRPr="00613409">
              <w:rPr>
                <w:color w:val="000000"/>
                <w:kern w:val="0"/>
                <w:sz w:val="24"/>
              </w:rPr>
              <w:t>报告期</w:t>
            </w:r>
            <w:r w:rsidRPr="00613409">
              <w:rPr>
                <w:color w:val="000000"/>
                <w:sz w:val="24"/>
              </w:rPr>
              <w:t>基金总赎回份额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790,440,168.55</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227,469,330.47</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290,732,215.76</w:t>
            </w:r>
          </w:p>
        </w:tc>
      </w:tr>
      <w:tr w:rsidR="00EA3F40" w:rsidRPr="0097021E" w:rsidTr="00A40052">
        <w:trPr>
          <w:jc w:val="center"/>
        </w:trPr>
        <w:tc>
          <w:tcPr>
            <w:tcW w:w="3279" w:type="dxa"/>
          </w:tcPr>
          <w:p w:rsidR="00EA3F40" w:rsidRPr="00613409" w:rsidRDefault="00EA3F40" w:rsidP="00587524">
            <w:pPr>
              <w:adjustRightInd w:val="0"/>
              <w:snapToGrid w:val="0"/>
              <w:spacing w:line="340" w:lineRule="exact"/>
              <w:rPr>
                <w:color w:val="000000"/>
                <w:sz w:val="24"/>
              </w:rPr>
            </w:pPr>
            <w:r w:rsidRPr="00613409">
              <w:rPr>
                <w:color w:val="000000"/>
                <w:sz w:val="24"/>
              </w:rPr>
              <w:t>报告期期末基金份额总额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876,319,088.66</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106,942,257.90</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190,062,992.93</w:t>
            </w:r>
          </w:p>
        </w:tc>
      </w:tr>
    </w:tbl>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cs="Arial"/>
          <w:color w:val="000000"/>
          <w:kern w:val="0"/>
          <w:sz w:val="24"/>
          <w:szCs w:val="24"/>
        </w:rPr>
        <w:t>7</w:t>
      </w:r>
      <w:r w:rsidRPr="0097021E">
        <w:rPr>
          <w:rFonts w:ascii="宋体" w:hAnsi="宋体" w:cs="Arial"/>
          <w:color w:val="000000"/>
          <w:kern w:val="0"/>
          <w:sz w:val="24"/>
          <w:szCs w:val="24"/>
        </w:rPr>
        <w:t xml:space="preserve">  </w:t>
      </w:r>
      <w:r w:rsidRPr="00877329">
        <w:rPr>
          <w:rFonts w:ascii="宋体" w:hAnsi="宋体" w:cs="Arial" w:hint="eastAsia"/>
          <w:color w:val="000000"/>
          <w:kern w:val="0"/>
          <w:sz w:val="24"/>
          <w:szCs w:val="24"/>
        </w:rPr>
        <w:t>基金管理人运用固有资金投资本基金交易明细</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本报告期内基金管理人未运用固有资金申购、赎回、买卖本基金份额。</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8  </w:t>
      </w:r>
      <w:r w:rsidRPr="0097021E">
        <w:rPr>
          <w:rFonts w:ascii="宋体" w:hAnsi="宋体" w:cs="Arial" w:hint="eastAsia"/>
          <w:color w:val="000000"/>
          <w:kern w:val="0"/>
          <w:sz w:val="24"/>
          <w:szCs w:val="24"/>
        </w:rPr>
        <w:t>备查文件目录</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.1 </w:t>
      </w:r>
      <w:r w:rsidRPr="0097021E">
        <w:rPr>
          <w:rFonts w:ascii="宋体" w:hAnsi="宋体" w:hint="eastAsia"/>
          <w:b/>
          <w:bCs/>
          <w:color w:val="000000"/>
          <w:kern w:val="0"/>
          <w:sz w:val="24"/>
        </w:rPr>
        <w:t>备查文件目录</w:t>
      </w:r>
    </w:p>
    <w:p w:rsidR="004439D2" w:rsidRDefault="00963B34">
      <w:pPr>
        <w:adjustRightInd w:val="0"/>
        <w:spacing w:line="360" w:lineRule="auto"/>
        <w:ind w:firstLineChars="200" w:firstLine="480"/>
        <w:rPr>
          <w:color w:val="000000"/>
          <w:sz w:val="24"/>
        </w:rPr>
      </w:pPr>
      <w:r>
        <w:rPr>
          <w:color w:val="000000"/>
          <w:sz w:val="24"/>
        </w:rPr>
        <w:t>1.</w:t>
      </w:r>
      <w:r>
        <w:rPr>
          <w:color w:val="000000"/>
          <w:sz w:val="24"/>
        </w:rPr>
        <w:t>中国证监会注册易方达龙宝货币市场基金募集的文件；</w:t>
      </w:r>
    </w:p>
    <w:p w:rsidR="004439D2" w:rsidRDefault="00963B34">
      <w:pPr>
        <w:adjustRightInd w:val="0"/>
        <w:spacing w:line="360" w:lineRule="auto"/>
        <w:ind w:firstLineChars="200" w:firstLine="480"/>
        <w:rPr>
          <w:color w:val="000000"/>
          <w:sz w:val="24"/>
        </w:rPr>
      </w:pPr>
      <w:r>
        <w:rPr>
          <w:color w:val="000000"/>
          <w:sz w:val="24"/>
        </w:rPr>
        <w:t>2.</w:t>
      </w:r>
      <w:r>
        <w:rPr>
          <w:color w:val="000000"/>
          <w:sz w:val="24"/>
        </w:rPr>
        <w:t>《易方达龙宝货币市场基金基金合同》；</w:t>
      </w:r>
    </w:p>
    <w:p w:rsidR="004439D2" w:rsidRDefault="00963B34">
      <w:pPr>
        <w:adjustRightInd w:val="0"/>
        <w:spacing w:line="360" w:lineRule="auto"/>
        <w:ind w:firstLineChars="200" w:firstLine="480"/>
        <w:rPr>
          <w:color w:val="000000"/>
          <w:sz w:val="24"/>
        </w:rPr>
      </w:pPr>
      <w:r>
        <w:rPr>
          <w:color w:val="000000"/>
          <w:sz w:val="24"/>
        </w:rPr>
        <w:t>3.</w:t>
      </w:r>
      <w:r>
        <w:rPr>
          <w:color w:val="000000"/>
          <w:sz w:val="24"/>
        </w:rPr>
        <w:t>《易方达龙宝货币市场基金托管协议》；</w:t>
      </w:r>
    </w:p>
    <w:p w:rsidR="004439D2" w:rsidRDefault="00963B34">
      <w:pPr>
        <w:adjustRightInd w:val="0"/>
        <w:spacing w:line="360" w:lineRule="auto"/>
        <w:ind w:firstLineChars="200" w:firstLine="480"/>
        <w:rPr>
          <w:color w:val="000000"/>
          <w:sz w:val="24"/>
        </w:rPr>
      </w:pPr>
      <w:r>
        <w:rPr>
          <w:color w:val="000000"/>
          <w:sz w:val="24"/>
        </w:rPr>
        <w:t>4.</w:t>
      </w:r>
      <w:r>
        <w:rPr>
          <w:color w:val="000000"/>
          <w:sz w:val="24"/>
        </w:rPr>
        <w:t>《易方达基金管理有限公司开放式基金业务规则》；</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5.</w:t>
      </w:r>
      <w:r w:rsidRPr="001752C7">
        <w:rPr>
          <w:color w:val="000000"/>
          <w:sz w:val="24"/>
        </w:rPr>
        <w:t>基金管理人业务资格批件、营业执照。</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.2 </w:t>
      </w:r>
      <w:r w:rsidRPr="0097021E">
        <w:rPr>
          <w:rFonts w:ascii="宋体" w:hAnsi="宋体" w:hint="eastAsia"/>
          <w:b/>
          <w:bCs/>
          <w:color w:val="000000"/>
          <w:kern w:val="0"/>
          <w:sz w:val="24"/>
        </w:rPr>
        <w:t>存放地点</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广州市天河区珠江新城珠江东路</w:t>
      </w:r>
      <w:r w:rsidRPr="001752C7">
        <w:rPr>
          <w:color w:val="000000"/>
          <w:sz w:val="24"/>
        </w:rPr>
        <w:t>30</w:t>
      </w:r>
      <w:r w:rsidRPr="001752C7">
        <w:rPr>
          <w:color w:val="000000"/>
          <w:sz w:val="24"/>
        </w:rPr>
        <w:t>号广州银行大厦</w:t>
      </w:r>
      <w:r w:rsidRPr="001752C7">
        <w:rPr>
          <w:color w:val="000000"/>
          <w:sz w:val="24"/>
        </w:rPr>
        <w:t>40-43</w:t>
      </w:r>
      <w:r w:rsidRPr="001752C7">
        <w:rPr>
          <w:color w:val="000000"/>
          <w:sz w:val="24"/>
        </w:rPr>
        <w:t>楼。</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.3 </w:t>
      </w:r>
      <w:r w:rsidRPr="0097021E">
        <w:rPr>
          <w:rFonts w:ascii="宋体" w:hAnsi="宋体" w:hint="eastAsia"/>
          <w:b/>
          <w:bCs/>
          <w:color w:val="000000"/>
          <w:kern w:val="0"/>
          <w:sz w:val="24"/>
        </w:rPr>
        <w:t>查阅方式</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投资者可在营业时间免费查阅，也可按工本费购买复印件。</w:t>
      </w: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Pr="0097021E" w:rsidRDefault="00EA3F40" w:rsidP="00196812">
      <w:pPr>
        <w:spacing w:line="360" w:lineRule="auto"/>
        <w:ind w:left="840"/>
        <w:jc w:val="right"/>
        <w:rPr>
          <w:rFonts w:ascii="宋体"/>
          <w:color w:val="000000"/>
          <w:sz w:val="24"/>
        </w:rPr>
      </w:pPr>
    </w:p>
    <w:p w:rsidR="00EA3F40" w:rsidRPr="0097021E" w:rsidRDefault="00EA3F40" w:rsidP="00394BC1">
      <w:pPr>
        <w:spacing w:line="360" w:lineRule="auto"/>
        <w:jc w:val="right"/>
        <w:rPr>
          <w:rFonts w:ascii="宋体" w:hAnsi="宋体"/>
          <w:b/>
          <w:bCs/>
          <w:sz w:val="24"/>
        </w:rPr>
      </w:pPr>
      <w:r w:rsidRPr="0097021E">
        <w:rPr>
          <w:rFonts w:ascii="宋体" w:hAnsi="宋体"/>
          <w:b/>
          <w:bCs/>
          <w:sz w:val="24"/>
        </w:rPr>
        <w:t>易方达基金管理有限公司</w:t>
      </w:r>
    </w:p>
    <w:p w:rsidR="00EA3F40" w:rsidRPr="0097021E" w:rsidRDefault="00EA3F40" w:rsidP="00394BC1">
      <w:pPr>
        <w:spacing w:line="360" w:lineRule="auto"/>
        <w:jc w:val="right"/>
        <w:rPr>
          <w:rFonts w:ascii="宋体" w:hAnsi="宋体"/>
          <w:b/>
          <w:bCs/>
          <w:sz w:val="24"/>
        </w:rPr>
      </w:pPr>
      <w:r w:rsidRPr="0097021E">
        <w:rPr>
          <w:rFonts w:ascii="宋体" w:hAnsi="宋体"/>
          <w:b/>
          <w:bCs/>
          <w:sz w:val="24"/>
        </w:rPr>
        <w:t>二〇二〇年四月二十一日</w:t>
      </w:r>
    </w:p>
    <w:sectPr w:rsidR="00EA3F40" w:rsidRPr="0097021E"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D2A" w:rsidRDefault="00A91D2A">
      <w:r>
        <w:separator/>
      </w:r>
    </w:p>
  </w:endnote>
  <w:endnote w:type="continuationSeparator" w:id="0">
    <w:p w:rsidR="00A91D2A" w:rsidRDefault="00A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146" w:rsidRPr="001D0DB0" w:rsidRDefault="00FC1146" w:rsidP="001D0DB0">
    <w:pPr>
      <w:pStyle w:val="a5"/>
      <w:jc w:val="center"/>
    </w:pPr>
    <w:r>
      <w:rPr>
        <w:rFonts w:hint="eastAsia"/>
        <w:szCs w:val="21"/>
      </w:rPr>
      <w:t>第</w:t>
    </w:r>
    <w:r>
      <w:rPr>
        <w:szCs w:val="21"/>
      </w:rPr>
      <w:fldChar w:fldCharType="begin"/>
    </w:r>
    <w:r>
      <w:rPr>
        <w:szCs w:val="21"/>
      </w:rPr>
      <w:instrText xml:space="preserve"> PAGE </w:instrText>
    </w:r>
    <w:r>
      <w:rPr>
        <w:szCs w:val="21"/>
      </w:rPr>
      <w:fldChar w:fldCharType="separate"/>
    </w:r>
    <w:r w:rsidR="00DA1C79">
      <w:rPr>
        <w:noProof/>
        <w:szCs w:val="21"/>
      </w:rPr>
      <w:t>12</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sidR="00DA1C79">
      <w:rPr>
        <w:noProof/>
        <w:szCs w:val="21"/>
      </w:rPr>
      <w:t>17</w:t>
    </w:r>
    <w:r>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D2A" w:rsidRDefault="00A91D2A">
      <w:r>
        <w:separator/>
      </w:r>
    </w:p>
  </w:footnote>
  <w:footnote w:type="continuationSeparator" w:id="0">
    <w:p w:rsidR="00A91D2A" w:rsidRDefault="00A9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146" w:rsidRPr="00936106" w:rsidRDefault="00FC1146" w:rsidP="008379E2">
    <w:pPr>
      <w:pStyle w:val="a4"/>
      <w:pBdr>
        <w:bottom w:val="single" w:sz="6" w:space="0" w:color="auto"/>
      </w:pBdr>
      <w:jc w:val="right"/>
      <w:rPr>
        <w:sz w:val="15"/>
      </w:rPr>
    </w:pPr>
    <w:r w:rsidRPr="00936106">
      <w:rPr>
        <w:szCs w:val="21"/>
      </w:rPr>
      <w:t>易方达龙宝货币市场基金</w:t>
    </w:r>
    <w:r w:rsidRPr="00936106">
      <w:rPr>
        <w:szCs w:val="21"/>
      </w:rPr>
      <w:t>2020</w:t>
    </w:r>
    <w:r w:rsidRPr="00936106">
      <w:rPr>
        <w:szCs w:val="21"/>
      </w:rPr>
      <w:t>年第</w:t>
    </w:r>
    <w:r w:rsidRPr="00936106">
      <w:rPr>
        <w:szCs w:val="21"/>
      </w:rPr>
      <w:t>1</w:t>
    </w:r>
    <w:r w:rsidRPr="00936106">
      <w:rPr>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cs="Times New Roman" w:hint="default"/>
        <w:color w:val="auto"/>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1" w15:restartNumberingAfterBreak="0">
    <w:nsid w:val="76E15721"/>
    <w:multiLevelType w:val="hybridMultilevel"/>
    <w:tmpl w:val="A1BADB72"/>
    <w:lvl w:ilvl="0" w:tplc="1694A2F2">
      <w:start w:val="1"/>
      <w:numFmt w:val="decimal"/>
      <w:lvlText w:val="%1、"/>
      <w:lvlJc w:val="left"/>
      <w:pPr>
        <w:tabs>
          <w:tab w:val="num" w:pos="830"/>
        </w:tabs>
        <w:ind w:left="830" w:hanging="360"/>
      </w:pPr>
      <w:rPr>
        <w:rFonts w:ascii="宋体" w:cs="Times New Roman" w:hint="default"/>
        <w:color w:val="auto"/>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283"/>
    <w:rsid w:val="000028CE"/>
    <w:rsid w:val="00004DE7"/>
    <w:rsid w:val="00005433"/>
    <w:rsid w:val="0001552D"/>
    <w:rsid w:val="0001566B"/>
    <w:rsid w:val="000175F5"/>
    <w:rsid w:val="0002085F"/>
    <w:rsid w:val="00025C5D"/>
    <w:rsid w:val="000321E9"/>
    <w:rsid w:val="00034C31"/>
    <w:rsid w:val="00035596"/>
    <w:rsid w:val="000417E0"/>
    <w:rsid w:val="00044724"/>
    <w:rsid w:val="00047661"/>
    <w:rsid w:val="00052CA4"/>
    <w:rsid w:val="00053472"/>
    <w:rsid w:val="00054470"/>
    <w:rsid w:val="0005518A"/>
    <w:rsid w:val="00057D26"/>
    <w:rsid w:val="00063BA4"/>
    <w:rsid w:val="0006697D"/>
    <w:rsid w:val="00070092"/>
    <w:rsid w:val="0007109E"/>
    <w:rsid w:val="00075BBB"/>
    <w:rsid w:val="00075CA2"/>
    <w:rsid w:val="0007770D"/>
    <w:rsid w:val="00086731"/>
    <w:rsid w:val="000A39AB"/>
    <w:rsid w:val="000A466F"/>
    <w:rsid w:val="000B2044"/>
    <w:rsid w:val="000B2266"/>
    <w:rsid w:val="000C469F"/>
    <w:rsid w:val="000D0F44"/>
    <w:rsid w:val="000D6294"/>
    <w:rsid w:val="000E0F6E"/>
    <w:rsid w:val="000F3C21"/>
    <w:rsid w:val="000F4826"/>
    <w:rsid w:val="000F5947"/>
    <w:rsid w:val="00101278"/>
    <w:rsid w:val="00102307"/>
    <w:rsid w:val="001038EF"/>
    <w:rsid w:val="00103B93"/>
    <w:rsid w:val="001074D6"/>
    <w:rsid w:val="001136E5"/>
    <w:rsid w:val="00113777"/>
    <w:rsid w:val="00114C97"/>
    <w:rsid w:val="00127B62"/>
    <w:rsid w:val="001302DB"/>
    <w:rsid w:val="00157B55"/>
    <w:rsid w:val="00162222"/>
    <w:rsid w:val="001635C7"/>
    <w:rsid w:val="001669F2"/>
    <w:rsid w:val="001752C7"/>
    <w:rsid w:val="0018401C"/>
    <w:rsid w:val="00185622"/>
    <w:rsid w:val="00186667"/>
    <w:rsid w:val="001878B0"/>
    <w:rsid w:val="00191B28"/>
    <w:rsid w:val="00192A36"/>
    <w:rsid w:val="00193BCF"/>
    <w:rsid w:val="00195C6F"/>
    <w:rsid w:val="00196812"/>
    <w:rsid w:val="00197ED0"/>
    <w:rsid w:val="001A2524"/>
    <w:rsid w:val="001B42BE"/>
    <w:rsid w:val="001B72D6"/>
    <w:rsid w:val="001B7CC6"/>
    <w:rsid w:val="001C5D80"/>
    <w:rsid w:val="001D0D4C"/>
    <w:rsid w:val="001D0DB0"/>
    <w:rsid w:val="001D3FAC"/>
    <w:rsid w:val="001D65C8"/>
    <w:rsid w:val="001D6ECD"/>
    <w:rsid w:val="001D75D9"/>
    <w:rsid w:val="001F0286"/>
    <w:rsid w:val="0020640F"/>
    <w:rsid w:val="0021251E"/>
    <w:rsid w:val="00220437"/>
    <w:rsid w:val="002315A5"/>
    <w:rsid w:val="00232095"/>
    <w:rsid w:val="00233014"/>
    <w:rsid w:val="0024424F"/>
    <w:rsid w:val="002507FE"/>
    <w:rsid w:val="0025157E"/>
    <w:rsid w:val="002525C7"/>
    <w:rsid w:val="00255320"/>
    <w:rsid w:val="002611C3"/>
    <w:rsid w:val="002622E8"/>
    <w:rsid w:val="00264E55"/>
    <w:rsid w:val="00267283"/>
    <w:rsid w:val="00274FAC"/>
    <w:rsid w:val="0027576B"/>
    <w:rsid w:val="002767C1"/>
    <w:rsid w:val="00281E3B"/>
    <w:rsid w:val="00282892"/>
    <w:rsid w:val="00291428"/>
    <w:rsid w:val="002A4B7F"/>
    <w:rsid w:val="002B45A4"/>
    <w:rsid w:val="002B6EAF"/>
    <w:rsid w:val="002C17D5"/>
    <w:rsid w:val="002C308A"/>
    <w:rsid w:val="002D3ADF"/>
    <w:rsid w:val="002D680F"/>
    <w:rsid w:val="002D7BD9"/>
    <w:rsid w:val="002E040C"/>
    <w:rsid w:val="002E0F4A"/>
    <w:rsid w:val="002E41BD"/>
    <w:rsid w:val="002F0E9D"/>
    <w:rsid w:val="002F6539"/>
    <w:rsid w:val="00307062"/>
    <w:rsid w:val="0031055A"/>
    <w:rsid w:val="00311ADA"/>
    <w:rsid w:val="00311AEB"/>
    <w:rsid w:val="00322B07"/>
    <w:rsid w:val="0032323A"/>
    <w:rsid w:val="00323377"/>
    <w:rsid w:val="00327FB0"/>
    <w:rsid w:val="00331FAB"/>
    <w:rsid w:val="0033525E"/>
    <w:rsid w:val="00340292"/>
    <w:rsid w:val="00340456"/>
    <w:rsid w:val="00340C3A"/>
    <w:rsid w:val="00343648"/>
    <w:rsid w:val="00343AF0"/>
    <w:rsid w:val="003451F3"/>
    <w:rsid w:val="00346359"/>
    <w:rsid w:val="00346B82"/>
    <w:rsid w:val="0035022C"/>
    <w:rsid w:val="0035215C"/>
    <w:rsid w:val="00362E2A"/>
    <w:rsid w:val="0036392B"/>
    <w:rsid w:val="00371E26"/>
    <w:rsid w:val="00373AAB"/>
    <w:rsid w:val="00383631"/>
    <w:rsid w:val="00384942"/>
    <w:rsid w:val="00394BC1"/>
    <w:rsid w:val="003A0EC1"/>
    <w:rsid w:val="003A1E1E"/>
    <w:rsid w:val="003B2989"/>
    <w:rsid w:val="003B36B4"/>
    <w:rsid w:val="003B5756"/>
    <w:rsid w:val="003B6DC6"/>
    <w:rsid w:val="003B7F31"/>
    <w:rsid w:val="003C0E8C"/>
    <w:rsid w:val="003C1137"/>
    <w:rsid w:val="003C38DE"/>
    <w:rsid w:val="003C495A"/>
    <w:rsid w:val="003D1ECF"/>
    <w:rsid w:val="003D21F4"/>
    <w:rsid w:val="003E14FE"/>
    <w:rsid w:val="003E565B"/>
    <w:rsid w:val="003F43EB"/>
    <w:rsid w:val="00402654"/>
    <w:rsid w:val="00403ED2"/>
    <w:rsid w:val="00407CC3"/>
    <w:rsid w:val="00413FA3"/>
    <w:rsid w:val="004250C5"/>
    <w:rsid w:val="00425438"/>
    <w:rsid w:val="00426E31"/>
    <w:rsid w:val="00433C1E"/>
    <w:rsid w:val="004369B0"/>
    <w:rsid w:val="00440828"/>
    <w:rsid w:val="004409FE"/>
    <w:rsid w:val="0044257C"/>
    <w:rsid w:val="0044342F"/>
    <w:rsid w:val="004439D2"/>
    <w:rsid w:val="00446474"/>
    <w:rsid w:val="004527E3"/>
    <w:rsid w:val="00452D31"/>
    <w:rsid w:val="00460000"/>
    <w:rsid w:val="00461A70"/>
    <w:rsid w:val="004702DF"/>
    <w:rsid w:val="00470F55"/>
    <w:rsid w:val="00473E10"/>
    <w:rsid w:val="00473EC9"/>
    <w:rsid w:val="00474896"/>
    <w:rsid w:val="004771B9"/>
    <w:rsid w:val="004950A3"/>
    <w:rsid w:val="00496B2E"/>
    <w:rsid w:val="004A0C6B"/>
    <w:rsid w:val="004A2432"/>
    <w:rsid w:val="004A3251"/>
    <w:rsid w:val="004A357E"/>
    <w:rsid w:val="004A46A0"/>
    <w:rsid w:val="004B1C09"/>
    <w:rsid w:val="004C5B7C"/>
    <w:rsid w:val="004D22E1"/>
    <w:rsid w:val="004D581E"/>
    <w:rsid w:val="004D72C7"/>
    <w:rsid w:val="004E041A"/>
    <w:rsid w:val="004E1DC5"/>
    <w:rsid w:val="004E3452"/>
    <w:rsid w:val="004E4E63"/>
    <w:rsid w:val="004F3BE1"/>
    <w:rsid w:val="004F459B"/>
    <w:rsid w:val="00500487"/>
    <w:rsid w:val="00506EF6"/>
    <w:rsid w:val="005141F5"/>
    <w:rsid w:val="0051505A"/>
    <w:rsid w:val="00515166"/>
    <w:rsid w:val="0051578D"/>
    <w:rsid w:val="005212AE"/>
    <w:rsid w:val="00532457"/>
    <w:rsid w:val="00533490"/>
    <w:rsid w:val="0053782E"/>
    <w:rsid w:val="0054464B"/>
    <w:rsid w:val="00546492"/>
    <w:rsid w:val="00546747"/>
    <w:rsid w:val="0054785C"/>
    <w:rsid w:val="00555883"/>
    <w:rsid w:val="00560F94"/>
    <w:rsid w:val="005633AD"/>
    <w:rsid w:val="00564C24"/>
    <w:rsid w:val="00570F8C"/>
    <w:rsid w:val="00575970"/>
    <w:rsid w:val="00582960"/>
    <w:rsid w:val="00587524"/>
    <w:rsid w:val="00592D0A"/>
    <w:rsid w:val="00594DCA"/>
    <w:rsid w:val="00595285"/>
    <w:rsid w:val="005A60B7"/>
    <w:rsid w:val="005B527B"/>
    <w:rsid w:val="005D1572"/>
    <w:rsid w:val="005D1BAF"/>
    <w:rsid w:val="005D21B9"/>
    <w:rsid w:val="005D4E63"/>
    <w:rsid w:val="005D596C"/>
    <w:rsid w:val="005D6807"/>
    <w:rsid w:val="005E05CC"/>
    <w:rsid w:val="005E2087"/>
    <w:rsid w:val="005E4559"/>
    <w:rsid w:val="005E6FA5"/>
    <w:rsid w:val="005F1343"/>
    <w:rsid w:val="005F1712"/>
    <w:rsid w:val="005F17EC"/>
    <w:rsid w:val="005F41D2"/>
    <w:rsid w:val="005F5A09"/>
    <w:rsid w:val="005F668B"/>
    <w:rsid w:val="005F6B28"/>
    <w:rsid w:val="00613327"/>
    <w:rsid w:val="00613409"/>
    <w:rsid w:val="006214E4"/>
    <w:rsid w:val="006254A5"/>
    <w:rsid w:val="006317E8"/>
    <w:rsid w:val="0063302E"/>
    <w:rsid w:val="00633177"/>
    <w:rsid w:val="006331F2"/>
    <w:rsid w:val="00636261"/>
    <w:rsid w:val="00636B17"/>
    <w:rsid w:val="0064191E"/>
    <w:rsid w:val="00664834"/>
    <w:rsid w:val="006662B2"/>
    <w:rsid w:val="00672BEF"/>
    <w:rsid w:val="00673BA5"/>
    <w:rsid w:val="00680A32"/>
    <w:rsid w:val="006911A1"/>
    <w:rsid w:val="006961CC"/>
    <w:rsid w:val="006A1E40"/>
    <w:rsid w:val="006A2D00"/>
    <w:rsid w:val="006B4C67"/>
    <w:rsid w:val="006B56E1"/>
    <w:rsid w:val="006D0BD6"/>
    <w:rsid w:val="006D27DD"/>
    <w:rsid w:val="006D4647"/>
    <w:rsid w:val="006D4C22"/>
    <w:rsid w:val="006E4EB5"/>
    <w:rsid w:val="006F1C55"/>
    <w:rsid w:val="006F3CEE"/>
    <w:rsid w:val="006F622C"/>
    <w:rsid w:val="00705970"/>
    <w:rsid w:val="00707CB2"/>
    <w:rsid w:val="00710487"/>
    <w:rsid w:val="00710B11"/>
    <w:rsid w:val="00714B3D"/>
    <w:rsid w:val="00714FD1"/>
    <w:rsid w:val="007277D1"/>
    <w:rsid w:val="00727EA0"/>
    <w:rsid w:val="00730216"/>
    <w:rsid w:val="0073105A"/>
    <w:rsid w:val="00734B8E"/>
    <w:rsid w:val="00737060"/>
    <w:rsid w:val="00741288"/>
    <w:rsid w:val="0074455F"/>
    <w:rsid w:val="007521F9"/>
    <w:rsid w:val="00756489"/>
    <w:rsid w:val="00756EA2"/>
    <w:rsid w:val="00757F37"/>
    <w:rsid w:val="007600BC"/>
    <w:rsid w:val="00762326"/>
    <w:rsid w:val="00762E87"/>
    <w:rsid w:val="00764CF7"/>
    <w:rsid w:val="007723FD"/>
    <w:rsid w:val="00772687"/>
    <w:rsid w:val="007746B3"/>
    <w:rsid w:val="00774E1E"/>
    <w:rsid w:val="00780252"/>
    <w:rsid w:val="007806BE"/>
    <w:rsid w:val="0078105B"/>
    <w:rsid w:val="00782061"/>
    <w:rsid w:val="00785C32"/>
    <w:rsid w:val="007A1ACF"/>
    <w:rsid w:val="007A339E"/>
    <w:rsid w:val="007A3C26"/>
    <w:rsid w:val="007B082A"/>
    <w:rsid w:val="007B1C3E"/>
    <w:rsid w:val="007C3671"/>
    <w:rsid w:val="007C42E5"/>
    <w:rsid w:val="007C5CCD"/>
    <w:rsid w:val="007C65CB"/>
    <w:rsid w:val="007E0C02"/>
    <w:rsid w:val="007F1DE3"/>
    <w:rsid w:val="007F7BD7"/>
    <w:rsid w:val="008056FA"/>
    <w:rsid w:val="008115B6"/>
    <w:rsid w:val="00812956"/>
    <w:rsid w:val="00813897"/>
    <w:rsid w:val="00814461"/>
    <w:rsid w:val="00823B47"/>
    <w:rsid w:val="00823E09"/>
    <w:rsid w:val="00824D84"/>
    <w:rsid w:val="00825EA5"/>
    <w:rsid w:val="00833555"/>
    <w:rsid w:val="008347B3"/>
    <w:rsid w:val="00834D9F"/>
    <w:rsid w:val="008356E6"/>
    <w:rsid w:val="00835BDD"/>
    <w:rsid w:val="008379E2"/>
    <w:rsid w:val="00841A22"/>
    <w:rsid w:val="00852119"/>
    <w:rsid w:val="0085498E"/>
    <w:rsid w:val="0086245E"/>
    <w:rsid w:val="00870A3C"/>
    <w:rsid w:val="00870FF9"/>
    <w:rsid w:val="00873386"/>
    <w:rsid w:val="00877329"/>
    <w:rsid w:val="00880EE6"/>
    <w:rsid w:val="008821D9"/>
    <w:rsid w:val="00882323"/>
    <w:rsid w:val="00893021"/>
    <w:rsid w:val="008B23BD"/>
    <w:rsid w:val="008C579A"/>
    <w:rsid w:val="008D0A39"/>
    <w:rsid w:val="008D55F2"/>
    <w:rsid w:val="008E4638"/>
    <w:rsid w:val="008E71D2"/>
    <w:rsid w:val="008F44F3"/>
    <w:rsid w:val="009004F7"/>
    <w:rsid w:val="00902E3F"/>
    <w:rsid w:val="00903E98"/>
    <w:rsid w:val="00906C9B"/>
    <w:rsid w:val="00910FB5"/>
    <w:rsid w:val="00911C0E"/>
    <w:rsid w:val="009153D7"/>
    <w:rsid w:val="00917991"/>
    <w:rsid w:val="009216A0"/>
    <w:rsid w:val="009223B5"/>
    <w:rsid w:val="00922A49"/>
    <w:rsid w:val="00934C3D"/>
    <w:rsid w:val="00936106"/>
    <w:rsid w:val="0094213C"/>
    <w:rsid w:val="0094236C"/>
    <w:rsid w:val="00943AFD"/>
    <w:rsid w:val="00950BF5"/>
    <w:rsid w:val="00963B34"/>
    <w:rsid w:val="0097021E"/>
    <w:rsid w:val="00971C19"/>
    <w:rsid w:val="00971D35"/>
    <w:rsid w:val="00976A1A"/>
    <w:rsid w:val="0098023C"/>
    <w:rsid w:val="00987902"/>
    <w:rsid w:val="0099296A"/>
    <w:rsid w:val="009965A5"/>
    <w:rsid w:val="009A0BE2"/>
    <w:rsid w:val="009A56D7"/>
    <w:rsid w:val="009A6938"/>
    <w:rsid w:val="009A755D"/>
    <w:rsid w:val="009B15FD"/>
    <w:rsid w:val="009B2693"/>
    <w:rsid w:val="009B3C3F"/>
    <w:rsid w:val="009B73A7"/>
    <w:rsid w:val="009C0C44"/>
    <w:rsid w:val="009C1A42"/>
    <w:rsid w:val="009D60EB"/>
    <w:rsid w:val="009D74FC"/>
    <w:rsid w:val="009E07F4"/>
    <w:rsid w:val="009E2527"/>
    <w:rsid w:val="009E2BAA"/>
    <w:rsid w:val="009E3E0B"/>
    <w:rsid w:val="009F2322"/>
    <w:rsid w:val="009F480F"/>
    <w:rsid w:val="00A01505"/>
    <w:rsid w:val="00A1530B"/>
    <w:rsid w:val="00A16747"/>
    <w:rsid w:val="00A16D78"/>
    <w:rsid w:val="00A24DC0"/>
    <w:rsid w:val="00A333CB"/>
    <w:rsid w:val="00A4003E"/>
    <w:rsid w:val="00A40052"/>
    <w:rsid w:val="00A42A96"/>
    <w:rsid w:val="00A455A0"/>
    <w:rsid w:val="00A50D92"/>
    <w:rsid w:val="00A6166A"/>
    <w:rsid w:val="00A62DD4"/>
    <w:rsid w:val="00A63D5F"/>
    <w:rsid w:val="00A65A66"/>
    <w:rsid w:val="00A7219D"/>
    <w:rsid w:val="00A74DD3"/>
    <w:rsid w:val="00A805BC"/>
    <w:rsid w:val="00A80F9F"/>
    <w:rsid w:val="00A81075"/>
    <w:rsid w:val="00A87550"/>
    <w:rsid w:val="00A91D2A"/>
    <w:rsid w:val="00A95FA9"/>
    <w:rsid w:val="00AA5B03"/>
    <w:rsid w:val="00AA68D4"/>
    <w:rsid w:val="00AB24CA"/>
    <w:rsid w:val="00AB373C"/>
    <w:rsid w:val="00AB5159"/>
    <w:rsid w:val="00AB67DE"/>
    <w:rsid w:val="00AB7D0C"/>
    <w:rsid w:val="00AC2B47"/>
    <w:rsid w:val="00AC3D9E"/>
    <w:rsid w:val="00AC6C3D"/>
    <w:rsid w:val="00AD1ADB"/>
    <w:rsid w:val="00AD6777"/>
    <w:rsid w:val="00AD6BD5"/>
    <w:rsid w:val="00AE17F1"/>
    <w:rsid w:val="00AE27A3"/>
    <w:rsid w:val="00AE2FB9"/>
    <w:rsid w:val="00AE342F"/>
    <w:rsid w:val="00AE4F96"/>
    <w:rsid w:val="00AE6D9A"/>
    <w:rsid w:val="00AE7435"/>
    <w:rsid w:val="00AF2397"/>
    <w:rsid w:val="00AF27F9"/>
    <w:rsid w:val="00AF3D19"/>
    <w:rsid w:val="00B040BC"/>
    <w:rsid w:val="00B0441A"/>
    <w:rsid w:val="00B044FC"/>
    <w:rsid w:val="00B06458"/>
    <w:rsid w:val="00B213AC"/>
    <w:rsid w:val="00B25119"/>
    <w:rsid w:val="00B27004"/>
    <w:rsid w:val="00B33F45"/>
    <w:rsid w:val="00B33FA5"/>
    <w:rsid w:val="00B415B8"/>
    <w:rsid w:val="00B420AC"/>
    <w:rsid w:val="00B4354A"/>
    <w:rsid w:val="00B461D8"/>
    <w:rsid w:val="00B54CC5"/>
    <w:rsid w:val="00B60E27"/>
    <w:rsid w:val="00B64D62"/>
    <w:rsid w:val="00B65C2B"/>
    <w:rsid w:val="00B76BBB"/>
    <w:rsid w:val="00B83944"/>
    <w:rsid w:val="00B94B49"/>
    <w:rsid w:val="00BA7AF1"/>
    <w:rsid w:val="00BB03CC"/>
    <w:rsid w:val="00BB252C"/>
    <w:rsid w:val="00BB5126"/>
    <w:rsid w:val="00BB7518"/>
    <w:rsid w:val="00BC0205"/>
    <w:rsid w:val="00BC14F5"/>
    <w:rsid w:val="00BC2146"/>
    <w:rsid w:val="00BD0F36"/>
    <w:rsid w:val="00BD6918"/>
    <w:rsid w:val="00BE1FC8"/>
    <w:rsid w:val="00BE439F"/>
    <w:rsid w:val="00BE5584"/>
    <w:rsid w:val="00BF1111"/>
    <w:rsid w:val="00BF3886"/>
    <w:rsid w:val="00C006E9"/>
    <w:rsid w:val="00C009AF"/>
    <w:rsid w:val="00C0152D"/>
    <w:rsid w:val="00C2005E"/>
    <w:rsid w:val="00C205E4"/>
    <w:rsid w:val="00C2782D"/>
    <w:rsid w:val="00C3040F"/>
    <w:rsid w:val="00C31708"/>
    <w:rsid w:val="00C343F3"/>
    <w:rsid w:val="00C361A1"/>
    <w:rsid w:val="00C36C15"/>
    <w:rsid w:val="00C4213A"/>
    <w:rsid w:val="00C4371A"/>
    <w:rsid w:val="00C4627A"/>
    <w:rsid w:val="00C637D1"/>
    <w:rsid w:val="00C640B8"/>
    <w:rsid w:val="00C7033B"/>
    <w:rsid w:val="00C75870"/>
    <w:rsid w:val="00C83157"/>
    <w:rsid w:val="00C91200"/>
    <w:rsid w:val="00C927D5"/>
    <w:rsid w:val="00CA0730"/>
    <w:rsid w:val="00CA1C04"/>
    <w:rsid w:val="00CA3808"/>
    <w:rsid w:val="00CA592F"/>
    <w:rsid w:val="00CA65DD"/>
    <w:rsid w:val="00CB0E8A"/>
    <w:rsid w:val="00CB6152"/>
    <w:rsid w:val="00CC0035"/>
    <w:rsid w:val="00CC05B9"/>
    <w:rsid w:val="00CC3F83"/>
    <w:rsid w:val="00CC40F7"/>
    <w:rsid w:val="00CC57FC"/>
    <w:rsid w:val="00CC7DB0"/>
    <w:rsid w:val="00CD3D1C"/>
    <w:rsid w:val="00CD5F24"/>
    <w:rsid w:val="00CE0E18"/>
    <w:rsid w:val="00CE193A"/>
    <w:rsid w:val="00CE6A71"/>
    <w:rsid w:val="00CF6DF0"/>
    <w:rsid w:val="00CF7A26"/>
    <w:rsid w:val="00CF7E28"/>
    <w:rsid w:val="00D02B35"/>
    <w:rsid w:val="00D06255"/>
    <w:rsid w:val="00D06394"/>
    <w:rsid w:val="00D15D82"/>
    <w:rsid w:val="00D1705E"/>
    <w:rsid w:val="00D25602"/>
    <w:rsid w:val="00D271A9"/>
    <w:rsid w:val="00D30BD3"/>
    <w:rsid w:val="00D33791"/>
    <w:rsid w:val="00D33BA8"/>
    <w:rsid w:val="00D364EB"/>
    <w:rsid w:val="00D40363"/>
    <w:rsid w:val="00D41D32"/>
    <w:rsid w:val="00D451BC"/>
    <w:rsid w:val="00D51E96"/>
    <w:rsid w:val="00D568AA"/>
    <w:rsid w:val="00D568BB"/>
    <w:rsid w:val="00D63B9E"/>
    <w:rsid w:val="00D65D90"/>
    <w:rsid w:val="00D66016"/>
    <w:rsid w:val="00D769BA"/>
    <w:rsid w:val="00D8034F"/>
    <w:rsid w:val="00D81755"/>
    <w:rsid w:val="00D8617C"/>
    <w:rsid w:val="00D87D00"/>
    <w:rsid w:val="00D94E23"/>
    <w:rsid w:val="00DA1983"/>
    <w:rsid w:val="00DA1C79"/>
    <w:rsid w:val="00DA2F1E"/>
    <w:rsid w:val="00DA5831"/>
    <w:rsid w:val="00DB17B8"/>
    <w:rsid w:val="00DB2873"/>
    <w:rsid w:val="00DC4482"/>
    <w:rsid w:val="00DD5028"/>
    <w:rsid w:val="00DD5350"/>
    <w:rsid w:val="00DE38DA"/>
    <w:rsid w:val="00DF1198"/>
    <w:rsid w:val="00E009CD"/>
    <w:rsid w:val="00E067CB"/>
    <w:rsid w:val="00E12082"/>
    <w:rsid w:val="00E17870"/>
    <w:rsid w:val="00E21589"/>
    <w:rsid w:val="00E23C1B"/>
    <w:rsid w:val="00E24D9E"/>
    <w:rsid w:val="00E257C8"/>
    <w:rsid w:val="00E26581"/>
    <w:rsid w:val="00E2722E"/>
    <w:rsid w:val="00E325AB"/>
    <w:rsid w:val="00E3447D"/>
    <w:rsid w:val="00E431CE"/>
    <w:rsid w:val="00E445F8"/>
    <w:rsid w:val="00E503E4"/>
    <w:rsid w:val="00E55E02"/>
    <w:rsid w:val="00E571C4"/>
    <w:rsid w:val="00E63B3D"/>
    <w:rsid w:val="00E64479"/>
    <w:rsid w:val="00E67D99"/>
    <w:rsid w:val="00E75556"/>
    <w:rsid w:val="00E75EFA"/>
    <w:rsid w:val="00E76F1F"/>
    <w:rsid w:val="00E80BE2"/>
    <w:rsid w:val="00E8309D"/>
    <w:rsid w:val="00E90A9C"/>
    <w:rsid w:val="00E95356"/>
    <w:rsid w:val="00E966E5"/>
    <w:rsid w:val="00EA3D96"/>
    <w:rsid w:val="00EA3F40"/>
    <w:rsid w:val="00EA6B69"/>
    <w:rsid w:val="00EA6B7B"/>
    <w:rsid w:val="00EB25E4"/>
    <w:rsid w:val="00EB3D8B"/>
    <w:rsid w:val="00EB7416"/>
    <w:rsid w:val="00EC06C6"/>
    <w:rsid w:val="00EC104E"/>
    <w:rsid w:val="00EC4453"/>
    <w:rsid w:val="00ED0D44"/>
    <w:rsid w:val="00ED1B77"/>
    <w:rsid w:val="00ED5511"/>
    <w:rsid w:val="00ED57D1"/>
    <w:rsid w:val="00EE2BF2"/>
    <w:rsid w:val="00EF172D"/>
    <w:rsid w:val="00EF3B7C"/>
    <w:rsid w:val="00EF56FA"/>
    <w:rsid w:val="00EF6216"/>
    <w:rsid w:val="00EF6E42"/>
    <w:rsid w:val="00F0613C"/>
    <w:rsid w:val="00F07CBB"/>
    <w:rsid w:val="00F11244"/>
    <w:rsid w:val="00F14A7B"/>
    <w:rsid w:val="00F1658B"/>
    <w:rsid w:val="00F2540D"/>
    <w:rsid w:val="00F26602"/>
    <w:rsid w:val="00F31380"/>
    <w:rsid w:val="00F333BF"/>
    <w:rsid w:val="00F34499"/>
    <w:rsid w:val="00F406E3"/>
    <w:rsid w:val="00F40C82"/>
    <w:rsid w:val="00F50707"/>
    <w:rsid w:val="00F5114E"/>
    <w:rsid w:val="00F53B1A"/>
    <w:rsid w:val="00F54568"/>
    <w:rsid w:val="00F56FBC"/>
    <w:rsid w:val="00F57249"/>
    <w:rsid w:val="00F62DE3"/>
    <w:rsid w:val="00F77131"/>
    <w:rsid w:val="00F85D7E"/>
    <w:rsid w:val="00FA041A"/>
    <w:rsid w:val="00FA4C13"/>
    <w:rsid w:val="00FA7550"/>
    <w:rsid w:val="00FB345F"/>
    <w:rsid w:val="00FB4DA5"/>
    <w:rsid w:val="00FC1146"/>
    <w:rsid w:val="00FC57A1"/>
    <w:rsid w:val="00FC6D26"/>
    <w:rsid w:val="00FD3820"/>
    <w:rsid w:val="00FE6E6D"/>
    <w:rsid w:val="00FF0DAE"/>
    <w:rsid w:val="00FF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5"/>
    <o:shapelayout v:ext="edit">
      <o:idmap v:ext="edit" data="1"/>
    </o:shapelayout>
  </w:shapeDefaults>
  <w:decimalSymbol w:val="."/>
  <w:listSeparator w:val=","/>
  <w15:docId w15:val="{B587D2D2-8F3B-44F8-A2A3-B1DEF8E5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25E"/>
    <w:pPr>
      <w:widowControl w:val="0"/>
      <w:jc w:val="both"/>
    </w:pPr>
    <w:rPr>
      <w:kern w:val="2"/>
      <w:sz w:val="21"/>
      <w:szCs w:val="24"/>
    </w:rPr>
  </w:style>
  <w:style w:type="paragraph" w:styleId="1">
    <w:name w:val="heading 1"/>
    <w:basedOn w:val="a"/>
    <w:next w:val="a"/>
    <w:link w:val="1Char"/>
    <w:uiPriority w:val="99"/>
    <w:qFormat/>
    <w:rsid w:val="00CA65DD"/>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qFormat/>
    <w:rsid w:val="009D74FC"/>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CA65DD"/>
    <w:rPr>
      <w:rFonts w:cs="Times New Roman"/>
      <w:b/>
      <w:bCs/>
      <w:kern w:val="44"/>
      <w:sz w:val="44"/>
      <w:szCs w:val="44"/>
    </w:rPr>
  </w:style>
  <w:style w:type="character" w:customStyle="1" w:styleId="2Char">
    <w:name w:val="标题 2 Char"/>
    <w:link w:val="2"/>
    <w:uiPriority w:val="9"/>
    <w:semiHidden/>
    <w:rsid w:val="006F6012"/>
    <w:rPr>
      <w:rFonts w:ascii="Cambria" w:eastAsia="宋体" w:hAnsi="Cambria" w:cs="Times New Roman"/>
      <w:b/>
      <w:bCs/>
      <w:sz w:val="32"/>
      <w:szCs w:val="32"/>
    </w:rPr>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8379E2"/>
    <w:rPr>
      <w:rFonts w:cs="Times New Roman"/>
      <w:kern w:val="2"/>
      <w:sz w:val="18"/>
      <w:szCs w:val="18"/>
    </w:rPr>
  </w:style>
  <w:style w:type="paragraph" w:styleId="a5">
    <w:name w:val="footer"/>
    <w:basedOn w:val="a"/>
    <w:link w:val="Char0"/>
    <w:uiPriority w:val="99"/>
    <w:rsid w:val="00613327"/>
    <w:pPr>
      <w:tabs>
        <w:tab w:val="center" w:pos="4153"/>
        <w:tab w:val="right" w:pos="8306"/>
      </w:tabs>
      <w:snapToGrid w:val="0"/>
      <w:jc w:val="left"/>
    </w:pPr>
    <w:rPr>
      <w:kern w:val="0"/>
      <w:sz w:val="18"/>
      <w:szCs w:val="18"/>
    </w:rPr>
  </w:style>
  <w:style w:type="character" w:customStyle="1" w:styleId="Char0">
    <w:name w:val="页脚 Char"/>
    <w:link w:val="a5"/>
    <w:uiPriority w:val="99"/>
    <w:semiHidden/>
    <w:rsid w:val="006F6012"/>
    <w:rPr>
      <w:sz w:val="18"/>
      <w:szCs w:val="18"/>
    </w:rPr>
  </w:style>
  <w:style w:type="paragraph" w:customStyle="1" w:styleId="Char1">
    <w:name w:val="Char"/>
    <w:basedOn w:val="a"/>
    <w:uiPriority w:val="99"/>
    <w:rsid w:val="00186667"/>
  </w:style>
  <w:style w:type="paragraph" w:styleId="20">
    <w:name w:val="Body Text Indent 2"/>
    <w:basedOn w:val="a"/>
    <w:link w:val="2Char0"/>
    <w:uiPriority w:val="99"/>
    <w:rsid w:val="00186667"/>
    <w:pPr>
      <w:spacing w:line="560" w:lineRule="exact"/>
      <w:ind w:firstLineChars="200" w:firstLine="480"/>
    </w:pPr>
    <w:rPr>
      <w:kern w:val="0"/>
      <w:sz w:val="20"/>
    </w:rPr>
  </w:style>
  <w:style w:type="character" w:customStyle="1" w:styleId="2Char0">
    <w:name w:val="正文文本缩进 2 Char"/>
    <w:link w:val="20"/>
    <w:uiPriority w:val="99"/>
    <w:semiHidden/>
    <w:rsid w:val="006F6012"/>
    <w:rPr>
      <w:szCs w:val="24"/>
    </w:rPr>
  </w:style>
  <w:style w:type="paragraph" w:styleId="a6">
    <w:name w:val="Plain Text"/>
    <w:basedOn w:val="a"/>
    <w:link w:val="Char2"/>
    <w:uiPriority w:val="99"/>
    <w:rsid w:val="004771B9"/>
    <w:rPr>
      <w:rFonts w:ascii="宋体" w:hAnsi="Courier New"/>
      <w:szCs w:val="20"/>
    </w:rPr>
  </w:style>
  <w:style w:type="character" w:customStyle="1" w:styleId="Char2">
    <w:name w:val="纯文本 Char"/>
    <w:link w:val="a6"/>
    <w:uiPriority w:val="99"/>
    <w:locked/>
    <w:rsid w:val="00E63B3D"/>
    <w:rPr>
      <w:rFonts w:ascii="宋体" w:hAnsi="Courier New"/>
      <w:kern w:val="2"/>
      <w:sz w:val="21"/>
    </w:rPr>
  </w:style>
  <w:style w:type="paragraph" w:styleId="3">
    <w:name w:val="Body Text Indent 3"/>
    <w:basedOn w:val="a"/>
    <w:link w:val="3Char"/>
    <w:uiPriority w:val="99"/>
    <w:rsid w:val="004771B9"/>
    <w:pPr>
      <w:spacing w:after="120"/>
      <w:ind w:leftChars="200" w:left="420"/>
    </w:pPr>
    <w:rPr>
      <w:kern w:val="0"/>
      <w:sz w:val="16"/>
      <w:szCs w:val="16"/>
    </w:rPr>
  </w:style>
  <w:style w:type="character" w:customStyle="1" w:styleId="3Char">
    <w:name w:val="正文文本缩进 3 Char"/>
    <w:link w:val="3"/>
    <w:uiPriority w:val="99"/>
    <w:semiHidden/>
    <w:rsid w:val="006F6012"/>
    <w:rPr>
      <w:sz w:val="16"/>
      <w:szCs w:val="16"/>
    </w:rPr>
  </w:style>
  <w:style w:type="paragraph" w:styleId="a0">
    <w:name w:val="Normal Indent"/>
    <w:basedOn w:val="a"/>
    <w:uiPriority w:val="99"/>
    <w:rsid w:val="009D74FC"/>
    <w:pPr>
      <w:ind w:firstLineChars="200" w:firstLine="420"/>
    </w:pPr>
  </w:style>
  <w:style w:type="paragraph" w:styleId="a7">
    <w:name w:val="Document Map"/>
    <w:basedOn w:val="a"/>
    <w:link w:val="Char3"/>
    <w:uiPriority w:val="99"/>
    <w:semiHidden/>
    <w:rsid w:val="005212AE"/>
    <w:pPr>
      <w:shd w:val="clear" w:color="auto" w:fill="000080"/>
    </w:pPr>
    <w:rPr>
      <w:kern w:val="0"/>
      <w:sz w:val="0"/>
      <w:szCs w:val="0"/>
    </w:rPr>
  </w:style>
  <w:style w:type="character" w:customStyle="1" w:styleId="Char3">
    <w:name w:val="文档结构图 Char"/>
    <w:link w:val="a7"/>
    <w:uiPriority w:val="99"/>
    <w:semiHidden/>
    <w:rsid w:val="006F6012"/>
    <w:rPr>
      <w:sz w:val="0"/>
      <w:szCs w:val="0"/>
    </w:rPr>
  </w:style>
  <w:style w:type="paragraph" w:styleId="a8">
    <w:name w:val="Balloon Text"/>
    <w:basedOn w:val="a"/>
    <w:link w:val="Char4"/>
    <w:uiPriority w:val="99"/>
    <w:rsid w:val="00E63B3D"/>
    <w:rPr>
      <w:sz w:val="18"/>
      <w:szCs w:val="18"/>
    </w:rPr>
  </w:style>
  <w:style w:type="character" w:customStyle="1" w:styleId="Char4">
    <w:name w:val="批注框文本 Char"/>
    <w:link w:val="a8"/>
    <w:uiPriority w:val="99"/>
    <w:locked/>
    <w:rsid w:val="00E63B3D"/>
    <w:rPr>
      <w:rFonts w:cs="Times New Roman"/>
      <w:kern w:val="2"/>
      <w:sz w:val="18"/>
      <w:szCs w:val="18"/>
    </w:rPr>
  </w:style>
  <w:style w:type="paragraph" w:styleId="a9">
    <w:name w:val="List Paragraph"/>
    <w:basedOn w:val="a"/>
    <w:uiPriority w:val="99"/>
    <w:qFormat/>
    <w:rsid w:val="005F668B"/>
    <w:pPr>
      <w:ind w:firstLineChars="200" w:firstLine="420"/>
    </w:pPr>
  </w:style>
  <w:style w:type="table" w:styleId="aa">
    <w:name w:val="Table Grid"/>
    <w:basedOn w:val="a2"/>
    <w:qFormat/>
    <w:rsid w:val="005A60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rmal (Web)"/>
    <w:basedOn w:val="a"/>
    <w:uiPriority w:val="99"/>
    <w:rsid w:val="008B23BD"/>
    <w:pPr>
      <w:widowControl/>
      <w:spacing w:before="100" w:beforeAutospacing="1" w:after="100" w:afterAutospacing="1"/>
    </w:pPr>
    <w:rPr>
      <w:rFonts w:ascii="宋体" w:hAnsi="宋体"/>
      <w:kern w:val="0"/>
      <w:sz w:val="24"/>
      <w:szCs w:val="20"/>
    </w:rPr>
  </w:style>
  <w:style w:type="paragraph" w:styleId="ac">
    <w:name w:val="Date"/>
    <w:basedOn w:val="a"/>
    <w:next w:val="a"/>
    <w:link w:val="Char5"/>
    <w:uiPriority w:val="99"/>
    <w:rsid w:val="00D66016"/>
    <w:rPr>
      <w:sz w:val="24"/>
      <w:szCs w:val="20"/>
    </w:rPr>
  </w:style>
  <w:style w:type="character" w:customStyle="1" w:styleId="Char5">
    <w:name w:val="日期 Char"/>
    <w:link w:val="ac"/>
    <w:uiPriority w:val="99"/>
    <w:locked/>
    <w:rsid w:val="00D66016"/>
    <w:rPr>
      <w:rFonts w:cs="Times New Roman"/>
      <w:kern w:val="2"/>
      <w:sz w:val="24"/>
    </w:rPr>
  </w:style>
  <w:style w:type="paragraph" w:styleId="ad">
    <w:name w:val="footnote text"/>
    <w:basedOn w:val="a"/>
    <w:link w:val="Char6"/>
    <w:uiPriority w:val="99"/>
    <w:rsid w:val="006B56E1"/>
    <w:pPr>
      <w:snapToGrid w:val="0"/>
      <w:jc w:val="left"/>
    </w:pPr>
    <w:rPr>
      <w:sz w:val="18"/>
      <w:szCs w:val="18"/>
    </w:rPr>
  </w:style>
  <w:style w:type="character" w:customStyle="1" w:styleId="Char6">
    <w:name w:val="脚注文本 Char"/>
    <w:link w:val="ad"/>
    <w:uiPriority w:val="99"/>
    <w:locked/>
    <w:rsid w:val="006B56E1"/>
    <w:rPr>
      <w:rFonts w:cs="Times New Roman"/>
      <w:kern w:val="2"/>
      <w:sz w:val="18"/>
      <w:szCs w:val="18"/>
    </w:rPr>
  </w:style>
  <w:style w:type="character" w:styleId="ae">
    <w:name w:val="footnote reference"/>
    <w:uiPriority w:val="99"/>
    <w:rsid w:val="006B56E1"/>
    <w:rPr>
      <w:rFonts w:cs="Times New Roman"/>
      <w:vertAlign w:val="superscript"/>
    </w:rPr>
  </w:style>
  <w:style w:type="character" w:styleId="af">
    <w:name w:val="Strong"/>
    <w:uiPriority w:val="22"/>
    <w:qFormat/>
    <w:locked/>
    <w:rsid w:val="00113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1063">
      <w:bodyDiv w:val="1"/>
      <w:marLeft w:val="0"/>
      <w:marRight w:val="0"/>
      <w:marTop w:val="0"/>
      <w:marBottom w:val="0"/>
      <w:divBdr>
        <w:top w:val="none" w:sz="0" w:space="0" w:color="auto"/>
        <w:left w:val="none" w:sz="0" w:space="0" w:color="auto"/>
        <w:bottom w:val="none" w:sz="0" w:space="0" w:color="auto"/>
        <w:right w:val="none" w:sz="0" w:space="0" w:color="auto"/>
      </w:divBdr>
    </w:div>
    <w:div w:id="691616685">
      <w:bodyDiv w:val="1"/>
      <w:marLeft w:val="0"/>
      <w:marRight w:val="0"/>
      <w:marTop w:val="0"/>
      <w:marBottom w:val="0"/>
      <w:divBdr>
        <w:top w:val="none" w:sz="0" w:space="0" w:color="auto"/>
        <w:left w:val="none" w:sz="0" w:space="0" w:color="auto"/>
        <w:bottom w:val="none" w:sz="0" w:space="0" w:color="auto"/>
        <w:right w:val="none" w:sz="0" w:space="0" w:color="auto"/>
      </w:divBdr>
    </w:div>
    <w:div w:id="737367738">
      <w:bodyDiv w:val="1"/>
      <w:marLeft w:val="0"/>
      <w:marRight w:val="0"/>
      <w:marTop w:val="0"/>
      <w:marBottom w:val="0"/>
      <w:divBdr>
        <w:top w:val="none" w:sz="0" w:space="0" w:color="auto"/>
        <w:left w:val="none" w:sz="0" w:space="0" w:color="auto"/>
        <w:bottom w:val="none" w:sz="0" w:space="0" w:color="auto"/>
        <w:right w:val="none" w:sz="0" w:space="0" w:color="auto"/>
      </w:divBdr>
    </w:div>
    <w:div w:id="801459287">
      <w:bodyDiv w:val="1"/>
      <w:marLeft w:val="0"/>
      <w:marRight w:val="0"/>
      <w:marTop w:val="0"/>
      <w:marBottom w:val="0"/>
      <w:divBdr>
        <w:top w:val="none" w:sz="0" w:space="0" w:color="auto"/>
        <w:left w:val="none" w:sz="0" w:space="0" w:color="auto"/>
        <w:bottom w:val="none" w:sz="0" w:space="0" w:color="auto"/>
        <w:right w:val="none" w:sz="0" w:space="0" w:color="auto"/>
      </w:divBdr>
    </w:div>
    <w:div w:id="1718818727">
      <w:marLeft w:val="0"/>
      <w:marRight w:val="0"/>
      <w:marTop w:val="0"/>
      <w:marBottom w:val="0"/>
      <w:divBdr>
        <w:top w:val="none" w:sz="0" w:space="0" w:color="auto"/>
        <w:left w:val="none" w:sz="0" w:space="0" w:color="auto"/>
        <w:bottom w:val="none" w:sz="0" w:space="0" w:color="auto"/>
        <w:right w:val="none" w:sz="0" w:space="0" w:color="auto"/>
      </w:divBdr>
    </w:div>
    <w:div w:id="1718818728">
      <w:marLeft w:val="0"/>
      <w:marRight w:val="0"/>
      <w:marTop w:val="0"/>
      <w:marBottom w:val="0"/>
      <w:divBdr>
        <w:top w:val="none" w:sz="0" w:space="0" w:color="auto"/>
        <w:left w:val="none" w:sz="0" w:space="0" w:color="auto"/>
        <w:bottom w:val="none" w:sz="0" w:space="0" w:color="auto"/>
        <w:right w:val="none" w:sz="0" w:space="0" w:color="auto"/>
      </w:divBdr>
    </w:div>
    <w:div w:id="17188187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1401</Words>
  <Characters>7990</Characters>
  <Application>Microsoft Office Word</Application>
  <DocSecurity>0</DocSecurity>
  <Lines>66</Lines>
  <Paragraphs>18</Paragraphs>
  <ScaleCrop>false</ScaleCrop>
  <Company>jysld</Company>
  <LinksUpToDate>false</LinksUpToDate>
  <CharactersWithSpaces>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李维</cp:lastModifiedBy>
  <cp:revision>3</cp:revision>
  <cp:lastPrinted>2009-01-22T10:11:00Z</cp:lastPrinted>
  <dcterms:created xsi:type="dcterms:W3CDTF">2020-04-14T01:37:00Z</dcterms:created>
  <dcterms:modified xsi:type="dcterms:W3CDTF">2020-04-15T06:08:00Z</dcterms:modified>
</cp:coreProperties>
</file>