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F6C" w:rsidRPr="0097021E" w:rsidRDefault="00941F6C" w:rsidP="00196812">
      <w:pPr>
        <w:autoSpaceDE w:val="0"/>
        <w:autoSpaceDN w:val="0"/>
        <w:adjustRightInd w:val="0"/>
        <w:spacing w:line="360" w:lineRule="auto"/>
        <w:jc w:val="left"/>
        <w:rPr>
          <w:rFonts w:ascii="宋体" w:cs="Arial"/>
          <w:color w:val="000000"/>
          <w:kern w:val="0"/>
          <w:sz w:val="24"/>
        </w:rPr>
      </w:pPr>
    </w:p>
    <w:p w:rsidR="00941F6C" w:rsidRPr="0097021E" w:rsidRDefault="00941F6C" w:rsidP="00196812">
      <w:pPr>
        <w:autoSpaceDE w:val="0"/>
        <w:autoSpaceDN w:val="0"/>
        <w:adjustRightInd w:val="0"/>
        <w:spacing w:line="360" w:lineRule="auto"/>
        <w:jc w:val="left"/>
        <w:rPr>
          <w:rFonts w:ascii="宋体" w:cs="Arial"/>
          <w:color w:val="000000"/>
          <w:kern w:val="0"/>
          <w:sz w:val="24"/>
        </w:rPr>
      </w:pPr>
    </w:p>
    <w:p w:rsidR="00941F6C" w:rsidRPr="0097021E" w:rsidRDefault="00941F6C" w:rsidP="00196812">
      <w:pPr>
        <w:autoSpaceDE w:val="0"/>
        <w:autoSpaceDN w:val="0"/>
        <w:adjustRightInd w:val="0"/>
        <w:spacing w:line="360" w:lineRule="auto"/>
        <w:jc w:val="left"/>
        <w:rPr>
          <w:rFonts w:ascii="宋体" w:cs="Arial"/>
          <w:color w:val="000000"/>
          <w:kern w:val="0"/>
          <w:sz w:val="24"/>
        </w:rPr>
      </w:pPr>
    </w:p>
    <w:p w:rsidR="00941F6C" w:rsidRPr="0097021E" w:rsidRDefault="00941F6C" w:rsidP="00196812">
      <w:pPr>
        <w:autoSpaceDE w:val="0"/>
        <w:autoSpaceDN w:val="0"/>
        <w:adjustRightInd w:val="0"/>
        <w:spacing w:line="360" w:lineRule="auto"/>
        <w:jc w:val="left"/>
        <w:rPr>
          <w:rFonts w:ascii="宋体" w:cs="Arial"/>
          <w:color w:val="000000"/>
          <w:kern w:val="0"/>
          <w:sz w:val="24"/>
        </w:rPr>
      </w:pPr>
    </w:p>
    <w:p w:rsidR="00941F6C" w:rsidRPr="0097021E" w:rsidRDefault="00941F6C" w:rsidP="0002085F">
      <w:pPr>
        <w:spacing w:line="360" w:lineRule="auto"/>
        <w:jc w:val="center"/>
        <w:rPr>
          <w:rFonts w:ascii="宋体" w:hAnsi="宋体"/>
          <w:b/>
          <w:sz w:val="36"/>
          <w:szCs w:val="36"/>
        </w:rPr>
      </w:pPr>
      <w:r w:rsidRPr="0097021E">
        <w:rPr>
          <w:rFonts w:ascii="宋体" w:hAnsi="宋体"/>
          <w:b/>
          <w:sz w:val="36"/>
          <w:szCs w:val="36"/>
        </w:rPr>
        <w:t>易方达天天增利货币市场基金</w:t>
      </w:r>
    </w:p>
    <w:p w:rsidR="00941F6C" w:rsidRPr="0097021E" w:rsidRDefault="00941F6C" w:rsidP="0002085F">
      <w:pPr>
        <w:spacing w:line="360" w:lineRule="auto"/>
        <w:jc w:val="center"/>
        <w:rPr>
          <w:rFonts w:ascii="宋体" w:hAnsi="宋体"/>
          <w:b/>
          <w:sz w:val="36"/>
          <w:szCs w:val="36"/>
        </w:rPr>
      </w:pPr>
      <w:r w:rsidRPr="0097021E">
        <w:rPr>
          <w:rFonts w:ascii="宋体" w:hAnsi="宋体"/>
          <w:b/>
          <w:sz w:val="36"/>
          <w:szCs w:val="36"/>
        </w:rPr>
        <w:t>2020年第1季度报告</w:t>
      </w:r>
    </w:p>
    <w:p w:rsidR="00941F6C" w:rsidRPr="004F32E4" w:rsidRDefault="00941F6C" w:rsidP="0002085F">
      <w:pPr>
        <w:spacing w:line="360" w:lineRule="auto"/>
        <w:jc w:val="center"/>
        <w:rPr>
          <w:rFonts w:ascii="宋体" w:hAnsi="宋体"/>
          <w:b/>
          <w:sz w:val="24"/>
          <w:szCs w:val="36"/>
        </w:rPr>
      </w:pPr>
      <w:r w:rsidRPr="004F32E4">
        <w:rPr>
          <w:rFonts w:ascii="宋体" w:hAnsi="宋体"/>
          <w:b/>
          <w:sz w:val="24"/>
          <w:szCs w:val="36"/>
        </w:rPr>
        <w:t>2020年3月31日</w:t>
      </w: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jc w:val="center"/>
        <w:rPr>
          <w:rFonts w:ascii="宋体"/>
          <w:b/>
          <w:color w:val="000000"/>
          <w:sz w:val="24"/>
        </w:rPr>
      </w:pPr>
    </w:p>
    <w:p w:rsidR="00941F6C" w:rsidRPr="0097021E" w:rsidRDefault="00941F6C" w:rsidP="00196812">
      <w:pPr>
        <w:spacing w:line="360" w:lineRule="auto"/>
        <w:rPr>
          <w:rFonts w:ascii="宋体"/>
          <w:b/>
          <w:color w:val="000000"/>
          <w:sz w:val="24"/>
        </w:rPr>
      </w:pPr>
    </w:p>
    <w:p w:rsidR="00941F6C" w:rsidRPr="0097021E" w:rsidRDefault="00941F6C" w:rsidP="00DC22A1">
      <w:pPr>
        <w:spacing w:line="360" w:lineRule="auto"/>
        <w:ind w:firstLineChars="900" w:firstLine="2168"/>
        <w:rPr>
          <w:rFonts w:ascii="宋体" w:hAnsi="宋体"/>
          <w:b/>
          <w:color w:val="000000"/>
          <w:sz w:val="24"/>
        </w:rPr>
      </w:pPr>
      <w:r w:rsidRPr="0097021E">
        <w:rPr>
          <w:rFonts w:ascii="宋体" w:hAnsi="宋体" w:hint="eastAsia"/>
          <w:b/>
          <w:color w:val="000000"/>
          <w:sz w:val="24"/>
        </w:rPr>
        <w:t>基金管理人：</w:t>
      </w:r>
      <w:r w:rsidRPr="0097021E">
        <w:rPr>
          <w:rFonts w:ascii="宋体" w:hAnsi="宋体"/>
          <w:b/>
          <w:color w:val="000000"/>
          <w:sz w:val="24"/>
        </w:rPr>
        <w:t>易方达基金管理有限公司</w:t>
      </w:r>
    </w:p>
    <w:p w:rsidR="00941F6C" w:rsidRPr="0097021E" w:rsidRDefault="00941F6C" w:rsidP="00DC22A1">
      <w:pPr>
        <w:spacing w:line="360" w:lineRule="auto"/>
        <w:ind w:firstLineChars="900" w:firstLine="2168"/>
        <w:rPr>
          <w:rFonts w:ascii="宋体" w:hAnsi="宋体"/>
          <w:b/>
          <w:color w:val="000000"/>
          <w:sz w:val="24"/>
        </w:rPr>
      </w:pPr>
      <w:r w:rsidRPr="0097021E">
        <w:rPr>
          <w:rFonts w:ascii="宋体" w:hAnsi="宋体" w:hint="eastAsia"/>
          <w:b/>
          <w:color w:val="000000"/>
          <w:sz w:val="24"/>
        </w:rPr>
        <w:t>基金托管人：</w:t>
      </w:r>
      <w:r w:rsidRPr="0097021E">
        <w:rPr>
          <w:rFonts w:ascii="宋体" w:hAnsi="宋体"/>
          <w:b/>
          <w:color w:val="000000"/>
          <w:sz w:val="24"/>
        </w:rPr>
        <w:t>中国建设银行股份有限公司</w:t>
      </w:r>
    </w:p>
    <w:p w:rsidR="00941F6C" w:rsidRPr="0097021E" w:rsidRDefault="00941F6C" w:rsidP="00DC22A1">
      <w:pPr>
        <w:spacing w:line="360" w:lineRule="auto"/>
        <w:ind w:firstLineChars="900" w:firstLine="2168"/>
        <w:rPr>
          <w:rFonts w:ascii="宋体" w:hAnsi="宋体"/>
          <w:b/>
          <w:color w:val="000000"/>
          <w:sz w:val="24"/>
        </w:rPr>
        <w:sectPr w:rsidR="00941F6C" w:rsidRPr="0097021E" w:rsidSect="005633AD">
          <w:headerReference w:type="default" r:id="rId7"/>
          <w:footerReference w:type="default" r:id="rId8"/>
          <w:pgSz w:w="11926" w:h="15840"/>
          <w:pgMar w:top="1418" w:right="1418" w:bottom="851" w:left="1418" w:header="851" w:footer="992" w:gutter="0"/>
          <w:cols w:space="720"/>
          <w:noEndnote/>
        </w:sectPr>
      </w:pPr>
      <w:r w:rsidRPr="0097021E">
        <w:rPr>
          <w:rFonts w:ascii="宋体" w:hAnsi="宋体" w:hint="eastAsia"/>
          <w:b/>
          <w:color w:val="000000"/>
          <w:sz w:val="24"/>
        </w:rPr>
        <w:t>报告送出日期：</w:t>
      </w:r>
      <w:r w:rsidRPr="0097021E">
        <w:rPr>
          <w:rFonts w:ascii="宋体" w:hAnsi="宋体"/>
          <w:b/>
          <w:color w:val="000000"/>
          <w:sz w:val="24"/>
        </w:rPr>
        <w:t>二〇二〇年四月二十一日</w:t>
      </w:r>
    </w:p>
    <w:p w:rsidR="00941F6C" w:rsidRPr="0097021E" w:rsidRDefault="00941F6C" w:rsidP="00CE0B87">
      <w:pPr>
        <w:pStyle w:val="1"/>
        <w:spacing w:beforeLines="100" w:before="312" w:afterLines="100" w:after="312" w:line="360" w:lineRule="auto"/>
        <w:jc w:val="center"/>
        <w:rPr>
          <w:rFonts w:ascii="宋体" w:cs="Arial"/>
          <w:b w:val="0"/>
          <w:color w:val="000000"/>
          <w:kern w:val="0"/>
          <w:sz w:val="24"/>
          <w:szCs w:val="24"/>
        </w:rPr>
      </w:pPr>
      <w:r w:rsidRPr="0097021E">
        <w:rPr>
          <w:rFonts w:ascii="宋体" w:hAnsi="宋体" w:cs="Arial" w:hint="eastAsia"/>
          <w:color w:val="000000"/>
          <w:kern w:val="0"/>
          <w:sz w:val="24"/>
          <w:szCs w:val="24"/>
        </w:rPr>
        <w:lastRenderedPageBreak/>
        <w:t>§</w:t>
      </w:r>
      <w:r w:rsidRPr="0097021E">
        <w:rPr>
          <w:rFonts w:ascii="宋体" w:hAnsi="宋体" w:cs="Arial"/>
          <w:color w:val="000000"/>
          <w:kern w:val="0"/>
          <w:sz w:val="24"/>
          <w:szCs w:val="24"/>
        </w:rPr>
        <w:t xml:space="preserve">1  </w:t>
      </w:r>
      <w:r w:rsidRPr="0097021E">
        <w:rPr>
          <w:rFonts w:ascii="宋体" w:hAnsi="宋体" w:cs="Arial" w:hint="eastAsia"/>
          <w:color w:val="000000"/>
          <w:kern w:val="0"/>
          <w:sz w:val="24"/>
          <w:szCs w:val="24"/>
        </w:rPr>
        <w:t>重要提示</w:t>
      </w:r>
    </w:p>
    <w:p w:rsidR="000E725A" w:rsidRDefault="002D603E">
      <w:pPr>
        <w:adjustRightIn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E725A" w:rsidRDefault="002D603E">
      <w:pPr>
        <w:adjustRightInd w:val="0"/>
        <w:spacing w:line="360"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E725A" w:rsidRDefault="002D603E">
      <w:pPr>
        <w:adjustRightInd w:val="0"/>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E725A" w:rsidRDefault="002D603E">
      <w:pPr>
        <w:adjustRightInd w:val="0"/>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E725A" w:rsidRDefault="002D603E">
      <w:pPr>
        <w:adjustRightInd w:val="0"/>
        <w:spacing w:line="360" w:lineRule="auto"/>
        <w:ind w:firstLineChars="200" w:firstLine="480"/>
        <w:rPr>
          <w:color w:val="000000"/>
          <w:sz w:val="24"/>
        </w:rPr>
      </w:pPr>
      <w:r>
        <w:rPr>
          <w:color w:val="000000"/>
          <w:sz w:val="24"/>
        </w:rPr>
        <w:t>本报告中财务资料未经审计。</w:t>
      </w:r>
    </w:p>
    <w:p w:rsidR="00941F6C" w:rsidRPr="00A15461" w:rsidRDefault="00941F6C" w:rsidP="00DC22A1">
      <w:pPr>
        <w:adjustRightInd w:val="0"/>
        <w:spacing w:line="360" w:lineRule="auto"/>
        <w:ind w:firstLineChars="200" w:firstLine="480"/>
        <w:rPr>
          <w:color w:val="000000"/>
          <w:sz w:val="24"/>
        </w:rPr>
      </w:pPr>
      <w:r w:rsidRPr="00A15461">
        <w:rPr>
          <w:color w:val="000000"/>
          <w:sz w:val="24"/>
        </w:rPr>
        <w:t>本报告期自</w:t>
      </w:r>
      <w:r w:rsidRPr="00A15461">
        <w:rPr>
          <w:color w:val="000000"/>
          <w:sz w:val="24"/>
        </w:rPr>
        <w:t>2020</w:t>
      </w:r>
      <w:r w:rsidRPr="00A15461">
        <w:rPr>
          <w:color w:val="000000"/>
          <w:sz w:val="24"/>
        </w:rPr>
        <w:t>年</w:t>
      </w:r>
      <w:r w:rsidRPr="00A15461">
        <w:rPr>
          <w:color w:val="000000"/>
          <w:sz w:val="24"/>
        </w:rPr>
        <w:t>1</w:t>
      </w:r>
      <w:r w:rsidRPr="00A15461">
        <w:rPr>
          <w:color w:val="000000"/>
          <w:sz w:val="24"/>
        </w:rPr>
        <w:t>月</w:t>
      </w:r>
      <w:r w:rsidRPr="00A15461">
        <w:rPr>
          <w:color w:val="000000"/>
          <w:sz w:val="24"/>
        </w:rPr>
        <w:t>1</w:t>
      </w:r>
      <w:r w:rsidRPr="00A15461">
        <w:rPr>
          <w:color w:val="000000"/>
          <w:sz w:val="24"/>
        </w:rPr>
        <w:t>日起至</w:t>
      </w:r>
      <w:r w:rsidRPr="00A15461">
        <w:rPr>
          <w:color w:val="000000"/>
          <w:sz w:val="24"/>
        </w:rPr>
        <w:t>3</w:t>
      </w:r>
      <w:r w:rsidRPr="00A15461">
        <w:rPr>
          <w:color w:val="000000"/>
          <w:sz w:val="24"/>
        </w:rPr>
        <w:t>月</w:t>
      </w:r>
      <w:r w:rsidRPr="00A15461">
        <w:rPr>
          <w:color w:val="000000"/>
          <w:sz w:val="24"/>
        </w:rPr>
        <w:t>31</w:t>
      </w:r>
      <w:r w:rsidRPr="00A15461">
        <w:rPr>
          <w:color w:val="000000"/>
          <w:sz w:val="24"/>
        </w:rPr>
        <w:t>日止。</w:t>
      </w:r>
    </w:p>
    <w:p w:rsidR="00941F6C" w:rsidRPr="0097021E" w:rsidRDefault="00941F6C"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2  </w:t>
      </w:r>
      <w:r w:rsidRPr="0097021E">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941F6C" w:rsidRPr="0097021E" w:rsidTr="00F11244">
        <w:tc>
          <w:tcPr>
            <w:tcW w:w="2835" w:type="dxa"/>
          </w:tcPr>
          <w:p w:rsidR="00941F6C" w:rsidRPr="00A15461" w:rsidRDefault="00941F6C" w:rsidP="00196812">
            <w:pPr>
              <w:adjustRightInd w:val="0"/>
              <w:spacing w:before="29" w:line="360" w:lineRule="auto"/>
              <w:ind w:left="17"/>
              <w:jc w:val="left"/>
              <w:rPr>
                <w:kern w:val="0"/>
                <w:sz w:val="24"/>
              </w:rPr>
            </w:pPr>
            <w:r w:rsidRPr="00A15461">
              <w:rPr>
                <w:kern w:val="0"/>
                <w:sz w:val="24"/>
              </w:rPr>
              <w:t>基金简称</w:t>
            </w:r>
          </w:p>
        </w:tc>
        <w:tc>
          <w:tcPr>
            <w:tcW w:w="5479" w:type="dxa"/>
            <w:gridSpan w:val="2"/>
          </w:tcPr>
          <w:p w:rsidR="00941F6C" w:rsidRPr="00A15461" w:rsidRDefault="00941F6C" w:rsidP="00196812">
            <w:pPr>
              <w:adjustRightInd w:val="0"/>
              <w:spacing w:before="29" w:line="360" w:lineRule="auto"/>
              <w:ind w:left="17"/>
              <w:jc w:val="left"/>
              <w:rPr>
                <w:color w:val="000000"/>
                <w:kern w:val="0"/>
                <w:sz w:val="24"/>
              </w:rPr>
            </w:pPr>
            <w:r w:rsidRPr="00A15461">
              <w:rPr>
                <w:color w:val="000000"/>
                <w:kern w:val="0"/>
                <w:sz w:val="24"/>
              </w:rPr>
              <w:t>易方达天天增利货币</w:t>
            </w:r>
          </w:p>
        </w:tc>
      </w:tr>
      <w:tr w:rsidR="00941F6C" w:rsidRPr="0097021E" w:rsidTr="00D06255">
        <w:tc>
          <w:tcPr>
            <w:tcW w:w="2835" w:type="dxa"/>
          </w:tcPr>
          <w:p w:rsidR="00941F6C" w:rsidRPr="00A15461" w:rsidRDefault="00941F6C" w:rsidP="00196812">
            <w:pPr>
              <w:adjustRightInd w:val="0"/>
              <w:spacing w:before="29" w:line="360" w:lineRule="auto"/>
              <w:ind w:left="17"/>
              <w:jc w:val="left"/>
              <w:rPr>
                <w:kern w:val="0"/>
                <w:sz w:val="24"/>
              </w:rPr>
            </w:pPr>
            <w:r w:rsidRPr="00A15461">
              <w:rPr>
                <w:kern w:val="0"/>
                <w:sz w:val="24"/>
              </w:rPr>
              <w:t>基金主代码</w:t>
            </w:r>
          </w:p>
        </w:tc>
        <w:tc>
          <w:tcPr>
            <w:tcW w:w="5479" w:type="dxa"/>
            <w:gridSpan w:val="2"/>
          </w:tcPr>
          <w:p w:rsidR="00941F6C" w:rsidRPr="00A15461" w:rsidRDefault="00941F6C" w:rsidP="00196812">
            <w:pPr>
              <w:adjustRightInd w:val="0"/>
              <w:spacing w:before="29" w:line="360" w:lineRule="auto"/>
              <w:ind w:left="17"/>
              <w:jc w:val="left"/>
              <w:rPr>
                <w:color w:val="000000"/>
                <w:kern w:val="0"/>
                <w:sz w:val="24"/>
              </w:rPr>
            </w:pPr>
            <w:r w:rsidRPr="00A15461">
              <w:rPr>
                <w:color w:val="000000"/>
                <w:kern w:val="0"/>
                <w:sz w:val="24"/>
              </w:rPr>
              <w:t>000704</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基金运作方式</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契约型开放式</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基金合同生效日</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2014</w:t>
            </w:r>
            <w:r w:rsidRPr="00A15461">
              <w:rPr>
                <w:color w:val="000000"/>
                <w:kern w:val="0"/>
                <w:sz w:val="24"/>
              </w:rPr>
              <w:t>年</w:t>
            </w:r>
            <w:r w:rsidRPr="00A15461">
              <w:rPr>
                <w:color w:val="000000"/>
                <w:kern w:val="0"/>
                <w:sz w:val="24"/>
              </w:rPr>
              <w:t>6</w:t>
            </w:r>
            <w:r w:rsidRPr="00A15461">
              <w:rPr>
                <w:color w:val="000000"/>
                <w:kern w:val="0"/>
                <w:sz w:val="24"/>
              </w:rPr>
              <w:t>月</w:t>
            </w:r>
            <w:r w:rsidRPr="00A15461">
              <w:rPr>
                <w:color w:val="000000"/>
                <w:kern w:val="0"/>
                <w:sz w:val="24"/>
              </w:rPr>
              <w:t>25</w:t>
            </w:r>
            <w:r w:rsidRPr="00A15461">
              <w:rPr>
                <w:color w:val="000000"/>
                <w:kern w:val="0"/>
                <w:sz w:val="24"/>
              </w:rPr>
              <w:t>日</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报告期末基金份额总额</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6,721,029,492.68</w:t>
            </w:r>
            <w:r w:rsidRPr="00A15461">
              <w:rPr>
                <w:color w:val="000000"/>
                <w:kern w:val="0"/>
                <w:sz w:val="24"/>
              </w:rPr>
              <w:t>份</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投资目标</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在有效控制投资风险和保持高流动性的基础上，力争获得高于业绩比较基准的投资回报。</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投资策略</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本基金将对基金资产组合进行积极管理，在深入研究国内外的宏观经济走势、货币政策变化趋势、市场资金供求状况的基础上，综合考虑各类投资品种的收益性、流动性和风险特征，力争获得高于业绩</w:t>
            </w:r>
            <w:r w:rsidRPr="00A15461">
              <w:rPr>
                <w:color w:val="000000"/>
                <w:kern w:val="0"/>
                <w:sz w:val="24"/>
              </w:rPr>
              <w:lastRenderedPageBreak/>
              <w:t>比较基准的投资回报。</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lastRenderedPageBreak/>
              <w:t>业绩比较基准</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中国人民银行公布的七天通知存款利率（税后）</w:t>
            </w:r>
          </w:p>
        </w:tc>
      </w:tr>
      <w:tr w:rsidR="00941F6C" w:rsidRPr="0097021E" w:rsidTr="00F11244">
        <w:tc>
          <w:tcPr>
            <w:tcW w:w="2835" w:type="dxa"/>
          </w:tcPr>
          <w:p w:rsidR="00941F6C" w:rsidRPr="00A15461" w:rsidRDefault="00941F6C" w:rsidP="00196812">
            <w:pPr>
              <w:adjustRightInd w:val="0"/>
              <w:spacing w:before="29" w:line="360" w:lineRule="auto"/>
              <w:ind w:left="17"/>
              <w:jc w:val="left"/>
              <w:rPr>
                <w:kern w:val="0"/>
                <w:sz w:val="24"/>
              </w:rPr>
            </w:pPr>
            <w:r w:rsidRPr="00A15461">
              <w:rPr>
                <w:kern w:val="0"/>
                <w:sz w:val="24"/>
              </w:rPr>
              <w:t>风险收益特征</w:t>
            </w:r>
          </w:p>
        </w:tc>
        <w:tc>
          <w:tcPr>
            <w:tcW w:w="5479" w:type="dxa"/>
            <w:gridSpan w:val="2"/>
          </w:tcPr>
          <w:p w:rsidR="00941F6C" w:rsidRPr="00A15461" w:rsidRDefault="00941F6C" w:rsidP="00196812">
            <w:pPr>
              <w:adjustRightInd w:val="0"/>
              <w:spacing w:before="29" w:line="360" w:lineRule="auto"/>
              <w:ind w:left="17"/>
              <w:jc w:val="left"/>
              <w:rPr>
                <w:color w:val="000000"/>
                <w:kern w:val="0"/>
                <w:sz w:val="24"/>
              </w:rPr>
            </w:pPr>
            <w:r w:rsidRPr="00A15461">
              <w:rPr>
                <w:color w:val="000000"/>
                <w:kern w:val="0"/>
                <w:sz w:val="24"/>
              </w:rPr>
              <w:t>本基金为货币市场基金，是证券投资基金中的低风险品种。本基金的预期风险和预期收益低于股票型基金、混合型基金和债券型基金。</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基金管理人</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易方达基金管理有限公司</w:t>
            </w:r>
          </w:p>
        </w:tc>
      </w:tr>
      <w:tr w:rsidR="00941F6C" w:rsidRPr="0097021E" w:rsidTr="00F11244">
        <w:tc>
          <w:tcPr>
            <w:tcW w:w="2835" w:type="dxa"/>
          </w:tcPr>
          <w:p w:rsidR="00941F6C" w:rsidRPr="00A15461" w:rsidRDefault="00941F6C" w:rsidP="00196812">
            <w:pPr>
              <w:adjustRightInd w:val="0"/>
              <w:spacing w:before="29" w:line="360" w:lineRule="auto"/>
              <w:ind w:left="17"/>
              <w:jc w:val="left"/>
              <w:rPr>
                <w:sz w:val="24"/>
              </w:rPr>
            </w:pPr>
            <w:r w:rsidRPr="00A15461">
              <w:rPr>
                <w:kern w:val="0"/>
                <w:sz w:val="24"/>
              </w:rPr>
              <w:t>基金托管人</w:t>
            </w:r>
          </w:p>
        </w:tc>
        <w:tc>
          <w:tcPr>
            <w:tcW w:w="5479" w:type="dxa"/>
            <w:gridSpan w:val="2"/>
          </w:tcPr>
          <w:p w:rsidR="00941F6C" w:rsidRPr="00A15461" w:rsidRDefault="00941F6C" w:rsidP="00196812">
            <w:pPr>
              <w:adjustRightInd w:val="0"/>
              <w:spacing w:before="29" w:line="360" w:lineRule="auto"/>
              <w:ind w:left="17"/>
              <w:jc w:val="left"/>
              <w:rPr>
                <w:color w:val="000000"/>
                <w:sz w:val="24"/>
              </w:rPr>
            </w:pPr>
            <w:r w:rsidRPr="00A15461">
              <w:rPr>
                <w:color w:val="000000"/>
                <w:kern w:val="0"/>
                <w:sz w:val="24"/>
              </w:rPr>
              <w:t>中国建设银行股份有限公司</w:t>
            </w:r>
          </w:p>
        </w:tc>
      </w:tr>
      <w:tr w:rsidR="00941F6C" w:rsidRPr="0097021E" w:rsidTr="00F11244">
        <w:tc>
          <w:tcPr>
            <w:tcW w:w="2835" w:type="dxa"/>
          </w:tcPr>
          <w:p w:rsidR="00941F6C" w:rsidRPr="00A15461" w:rsidRDefault="00941F6C" w:rsidP="00607D19">
            <w:pPr>
              <w:adjustRightInd w:val="0"/>
              <w:spacing w:before="29" w:line="360" w:lineRule="auto"/>
              <w:ind w:left="17"/>
              <w:jc w:val="left"/>
              <w:rPr>
                <w:kern w:val="0"/>
                <w:sz w:val="24"/>
              </w:rPr>
            </w:pPr>
            <w:r w:rsidRPr="00A15461">
              <w:rPr>
                <w:color w:val="000000"/>
                <w:sz w:val="24"/>
              </w:rPr>
              <w:t>下属</w:t>
            </w:r>
            <w:r w:rsidR="00607D19" w:rsidRPr="00A15461">
              <w:rPr>
                <w:color w:val="000000"/>
                <w:sz w:val="24"/>
              </w:rPr>
              <w:t>分</w:t>
            </w:r>
            <w:r w:rsidRPr="00A15461">
              <w:rPr>
                <w:color w:val="000000"/>
                <w:sz w:val="24"/>
              </w:rPr>
              <w:t>级基金的基金简称</w:t>
            </w:r>
          </w:p>
        </w:tc>
        <w:tc>
          <w:tcPr>
            <w:tcW w:w="2739" w:type="dxa"/>
            <w:vAlign w:val="center"/>
          </w:tcPr>
          <w:p w:rsidR="00941F6C" w:rsidRPr="00A15461" w:rsidRDefault="00941F6C" w:rsidP="00196812">
            <w:pPr>
              <w:spacing w:line="360" w:lineRule="auto"/>
              <w:jc w:val="left"/>
              <w:rPr>
                <w:sz w:val="24"/>
              </w:rPr>
            </w:pPr>
            <w:r w:rsidRPr="00A15461">
              <w:rPr>
                <w:sz w:val="24"/>
              </w:rPr>
              <w:t>易方达天天增利货币</w:t>
            </w:r>
            <w:r w:rsidRPr="00A15461">
              <w:rPr>
                <w:sz w:val="24"/>
              </w:rPr>
              <w:t>A</w:t>
            </w:r>
          </w:p>
        </w:tc>
        <w:tc>
          <w:tcPr>
            <w:tcW w:w="2740" w:type="dxa"/>
            <w:vAlign w:val="center"/>
          </w:tcPr>
          <w:p w:rsidR="00941F6C" w:rsidRPr="00A15461" w:rsidRDefault="00941F6C" w:rsidP="00196812">
            <w:pPr>
              <w:spacing w:line="360" w:lineRule="auto"/>
              <w:jc w:val="left"/>
              <w:rPr>
                <w:sz w:val="24"/>
              </w:rPr>
            </w:pPr>
            <w:r w:rsidRPr="00A15461">
              <w:rPr>
                <w:sz w:val="24"/>
              </w:rPr>
              <w:t>易方达天天增利货币</w:t>
            </w:r>
            <w:r w:rsidRPr="00A15461">
              <w:rPr>
                <w:sz w:val="24"/>
              </w:rPr>
              <w:t>B</w:t>
            </w:r>
          </w:p>
        </w:tc>
      </w:tr>
      <w:tr w:rsidR="00941F6C" w:rsidRPr="0097021E" w:rsidTr="00F11244">
        <w:tc>
          <w:tcPr>
            <w:tcW w:w="2835" w:type="dxa"/>
          </w:tcPr>
          <w:p w:rsidR="00941F6C" w:rsidRPr="00A15461" w:rsidRDefault="00941F6C" w:rsidP="00607D19">
            <w:pPr>
              <w:adjustRightInd w:val="0"/>
              <w:spacing w:before="29" w:line="360" w:lineRule="auto"/>
              <w:ind w:left="17"/>
              <w:jc w:val="left"/>
              <w:rPr>
                <w:color w:val="000000"/>
                <w:sz w:val="24"/>
              </w:rPr>
            </w:pPr>
            <w:r w:rsidRPr="00A15461">
              <w:rPr>
                <w:color w:val="000000"/>
                <w:sz w:val="24"/>
              </w:rPr>
              <w:t>下属</w:t>
            </w:r>
            <w:r w:rsidR="00607D19" w:rsidRPr="00A15461">
              <w:rPr>
                <w:color w:val="000000"/>
                <w:sz w:val="24"/>
              </w:rPr>
              <w:t>分</w:t>
            </w:r>
            <w:r w:rsidRPr="00A15461">
              <w:rPr>
                <w:color w:val="000000"/>
                <w:sz w:val="24"/>
              </w:rPr>
              <w:t>级基金的交易代码</w:t>
            </w:r>
          </w:p>
        </w:tc>
        <w:tc>
          <w:tcPr>
            <w:tcW w:w="2739" w:type="dxa"/>
            <w:vAlign w:val="center"/>
          </w:tcPr>
          <w:p w:rsidR="00941F6C" w:rsidRPr="00A15461" w:rsidRDefault="00941F6C" w:rsidP="00196812">
            <w:pPr>
              <w:spacing w:line="360" w:lineRule="auto"/>
              <w:jc w:val="left"/>
              <w:rPr>
                <w:sz w:val="24"/>
              </w:rPr>
            </w:pPr>
            <w:r w:rsidRPr="00A15461">
              <w:rPr>
                <w:sz w:val="24"/>
              </w:rPr>
              <w:t>000704</w:t>
            </w:r>
          </w:p>
        </w:tc>
        <w:tc>
          <w:tcPr>
            <w:tcW w:w="2740" w:type="dxa"/>
            <w:vAlign w:val="center"/>
          </w:tcPr>
          <w:p w:rsidR="00941F6C" w:rsidRPr="00A15461" w:rsidRDefault="00941F6C" w:rsidP="00196812">
            <w:pPr>
              <w:spacing w:line="360" w:lineRule="auto"/>
              <w:jc w:val="left"/>
              <w:rPr>
                <w:sz w:val="24"/>
              </w:rPr>
            </w:pPr>
            <w:r w:rsidRPr="00A15461">
              <w:rPr>
                <w:sz w:val="24"/>
              </w:rPr>
              <w:t>000705</w:t>
            </w:r>
          </w:p>
        </w:tc>
      </w:tr>
      <w:tr w:rsidR="00941F6C" w:rsidRPr="0097021E" w:rsidTr="00F11244">
        <w:tc>
          <w:tcPr>
            <w:tcW w:w="2835" w:type="dxa"/>
          </w:tcPr>
          <w:p w:rsidR="00941F6C" w:rsidRPr="00A15461" w:rsidRDefault="00941F6C" w:rsidP="00607D19">
            <w:pPr>
              <w:adjustRightInd w:val="0"/>
              <w:spacing w:before="29" w:line="360" w:lineRule="auto"/>
              <w:ind w:left="17"/>
              <w:jc w:val="left"/>
              <w:rPr>
                <w:color w:val="000000"/>
                <w:sz w:val="24"/>
              </w:rPr>
            </w:pPr>
            <w:r w:rsidRPr="00A15461">
              <w:rPr>
                <w:color w:val="000000"/>
                <w:sz w:val="24"/>
              </w:rPr>
              <w:t>报告期末下属</w:t>
            </w:r>
            <w:r w:rsidR="00607D19" w:rsidRPr="00A15461">
              <w:rPr>
                <w:color w:val="000000"/>
                <w:sz w:val="24"/>
              </w:rPr>
              <w:t>分</w:t>
            </w:r>
            <w:r w:rsidRPr="00A15461">
              <w:rPr>
                <w:color w:val="000000"/>
                <w:sz w:val="24"/>
              </w:rPr>
              <w:t>级基金的份额总额</w:t>
            </w:r>
          </w:p>
        </w:tc>
        <w:tc>
          <w:tcPr>
            <w:tcW w:w="2739" w:type="dxa"/>
            <w:vAlign w:val="center"/>
          </w:tcPr>
          <w:p w:rsidR="00941F6C" w:rsidRPr="00A15461" w:rsidRDefault="00941F6C" w:rsidP="00196812">
            <w:pPr>
              <w:spacing w:line="360" w:lineRule="auto"/>
              <w:jc w:val="left"/>
              <w:rPr>
                <w:sz w:val="24"/>
              </w:rPr>
            </w:pPr>
            <w:r w:rsidRPr="00A15461">
              <w:rPr>
                <w:sz w:val="24"/>
              </w:rPr>
              <w:t>6,621,128,530.85</w:t>
            </w:r>
            <w:r w:rsidRPr="00A15461">
              <w:rPr>
                <w:sz w:val="24"/>
              </w:rPr>
              <w:t>份</w:t>
            </w:r>
          </w:p>
        </w:tc>
        <w:tc>
          <w:tcPr>
            <w:tcW w:w="2740" w:type="dxa"/>
            <w:vAlign w:val="center"/>
          </w:tcPr>
          <w:p w:rsidR="00941F6C" w:rsidRPr="00A15461" w:rsidRDefault="00941F6C" w:rsidP="00196812">
            <w:pPr>
              <w:spacing w:line="360" w:lineRule="auto"/>
              <w:jc w:val="left"/>
              <w:rPr>
                <w:sz w:val="24"/>
              </w:rPr>
            </w:pPr>
            <w:r w:rsidRPr="00A15461">
              <w:rPr>
                <w:sz w:val="24"/>
              </w:rPr>
              <w:t>99,900,961.83</w:t>
            </w:r>
            <w:r w:rsidRPr="00A15461">
              <w:rPr>
                <w:sz w:val="24"/>
              </w:rPr>
              <w:t>份</w:t>
            </w:r>
          </w:p>
        </w:tc>
      </w:tr>
    </w:tbl>
    <w:p w:rsidR="00941F6C" w:rsidRPr="0097021E" w:rsidRDefault="00941F6C"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3  </w:t>
      </w:r>
      <w:r w:rsidRPr="0097021E">
        <w:rPr>
          <w:rFonts w:ascii="宋体" w:hAnsi="宋体" w:cs="Arial" w:hint="eastAsia"/>
          <w:color w:val="000000"/>
          <w:kern w:val="0"/>
          <w:sz w:val="24"/>
          <w:szCs w:val="24"/>
        </w:rPr>
        <w:t>主要财务指标和基金净值表现</w:t>
      </w:r>
    </w:p>
    <w:p w:rsidR="00941F6C" w:rsidRPr="0097021E" w:rsidRDefault="00941F6C" w:rsidP="009A755D">
      <w:pPr>
        <w:spacing w:line="360" w:lineRule="auto"/>
        <w:rPr>
          <w:rFonts w:ascii="宋体" w:cs="Arial"/>
          <w:b/>
          <w:color w:val="000000"/>
          <w:kern w:val="0"/>
          <w:sz w:val="24"/>
        </w:rPr>
      </w:pPr>
      <w:r w:rsidRPr="0097021E">
        <w:rPr>
          <w:rFonts w:ascii="宋体" w:hAnsi="宋体" w:cs="Arial"/>
          <w:b/>
          <w:color w:val="000000"/>
          <w:kern w:val="0"/>
          <w:sz w:val="24"/>
        </w:rPr>
        <w:t xml:space="preserve">3.1 </w:t>
      </w:r>
      <w:r w:rsidRPr="0097021E">
        <w:rPr>
          <w:rFonts w:ascii="宋体" w:hAnsi="宋体" w:cs="Arial" w:hint="eastAsia"/>
          <w:b/>
          <w:color w:val="000000"/>
          <w:kern w:val="0"/>
          <w:sz w:val="24"/>
        </w:rPr>
        <w:t>主要财务指标</w:t>
      </w:r>
    </w:p>
    <w:p w:rsidR="00941F6C" w:rsidRPr="0097021E" w:rsidRDefault="00941F6C" w:rsidP="00196812">
      <w:pPr>
        <w:autoSpaceDE w:val="0"/>
        <w:autoSpaceDN w:val="0"/>
        <w:adjustRightInd w:val="0"/>
        <w:spacing w:before="29" w:line="360" w:lineRule="auto"/>
        <w:ind w:left="15"/>
        <w:jc w:val="right"/>
        <w:rPr>
          <w:rFonts w:ascii="宋体" w:cs="Arial"/>
          <w:color w:val="000000"/>
          <w:kern w:val="0"/>
          <w:sz w:val="24"/>
        </w:rPr>
      </w:pPr>
      <w:r w:rsidRPr="0097021E">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941F6C" w:rsidRPr="00A15461" w:rsidTr="00F11244">
        <w:tc>
          <w:tcPr>
            <w:tcW w:w="3402" w:type="dxa"/>
            <w:vMerge w:val="restart"/>
            <w:vAlign w:val="center"/>
          </w:tcPr>
          <w:p w:rsidR="00941F6C" w:rsidRPr="00A15461" w:rsidRDefault="00941F6C" w:rsidP="00196812">
            <w:pPr>
              <w:adjustRightInd w:val="0"/>
              <w:spacing w:before="29" w:line="360" w:lineRule="auto"/>
              <w:ind w:left="17"/>
              <w:jc w:val="center"/>
              <w:rPr>
                <w:kern w:val="0"/>
                <w:sz w:val="24"/>
              </w:rPr>
            </w:pPr>
            <w:r w:rsidRPr="00A15461">
              <w:rPr>
                <w:kern w:val="0"/>
                <w:sz w:val="24"/>
              </w:rPr>
              <w:t>主要财务指标</w:t>
            </w:r>
          </w:p>
        </w:tc>
        <w:tc>
          <w:tcPr>
            <w:tcW w:w="4962" w:type="dxa"/>
            <w:gridSpan w:val="2"/>
            <w:vAlign w:val="center"/>
          </w:tcPr>
          <w:p w:rsidR="00941F6C" w:rsidRPr="00A15461" w:rsidRDefault="00941F6C" w:rsidP="00196812">
            <w:pPr>
              <w:adjustRightInd w:val="0"/>
              <w:spacing w:before="29" w:line="360" w:lineRule="auto"/>
              <w:ind w:left="17"/>
              <w:jc w:val="center"/>
              <w:rPr>
                <w:color w:val="000000"/>
                <w:sz w:val="24"/>
              </w:rPr>
            </w:pPr>
            <w:r w:rsidRPr="00A15461">
              <w:rPr>
                <w:color w:val="000000"/>
                <w:sz w:val="24"/>
              </w:rPr>
              <w:t>报告期</w:t>
            </w:r>
            <w:r w:rsidRPr="00A15461">
              <w:rPr>
                <w:color w:val="000000"/>
                <w:sz w:val="24"/>
              </w:rPr>
              <w:t>(2020</w:t>
            </w:r>
            <w:r w:rsidRPr="00A15461">
              <w:rPr>
                <w:color w:val="000000"/>
                <w:sz w:val="24"/>
              </w:rPr>
              <w:t>年</w:t>
            </w:r>
            <w:r w:rsidRPr="00A15461">
              <w:rPr>
                <w:color w:val="000000"/>
                <w:sz w:val="24"/>
              </w:rPr>
              <w:t>1</w:t>
            </w:r>
            <w:r w:rsidRPr="00A15461">
              <w:rPr>
                <w:color w:val="000000"/>
                <w:sz w:val="24"/>
              </w:rPr>
              <w:t>月</w:t>
            </w:r>
            <w:r w:rsidRPr="00A15461">
              <w:rPr>
                <w:color w:val="000000"/>
                <w:sz w:val="24"/>
              </w:rPr>
              <w:t>1</w:t>
            </w:r>
            <w:r w:rsidRPr="00A15461">
              <w:rPr>
                <w:color w:val="000000"/>
                <w:sz w:val="24"/>
              </w:rPr>
              <w:t>日</w:t>
            </w:r>
            <w:r w:rsidRPr="00A15461">
              <w:rPr>
                <w:color w:val="000000"/>
                <w:sz w:val="24"/>
              </w:rPr>
              <w:t>-2020</w:t>
            </w:r>
            <w:r w:rsidRPr="00A15461">
              <w:rPr>
                <w:color w:val="000000"/>
                <w:sz w:val="24"/>
              </w:rPr>
              <w:t>年</w:t>
            </w:r>
            <w:r w:rsidRPr="00A15461">
              <w:rPr>
                <w:color w:val="000000"/>
                <w:sz w:val="24"/>
              </w:rPr>
              <w:t>3</w:t>
            </w:r>
            <w:r w:rsidRPr="00A15461">
              <w:rPr>
                <w:color w:val="000000"/>
                <w:sz w:val="24"/>
              </w:rPr>
              <w:t>月</w:t>
            </w:r>
            <w:r w:rsidRPr="00A15461">
              <w:rPr>
                <w:color w:val="000000"/>
                <w:sz w:val="24"/>
              </w:rPr>
              <w:t>31</w:t>
            </w:r>
            <w:r w:rsidRPr="00A15461">
              <w:rPr>
                <w:color w:val="000000"/>
                <w:sz w:val="24"/>
              </w:rPr>
              <w:t>日</w:t>
            </w:r>
            <w:r w:rsidRPr="00A15461">
              <w:rPr>
                <w:color w:val="000000"/>
                <w:sz w:val="24"/>
              </w:rPr>
              <w:t>)</w:t>
            </w:r>
          </w:p>
        </w:tc>
      </w:tr>
      <w:tr w:rsidR="00941F6C" w:rsidRPr="00A15461" w:rsidTr="00F11244">
        <w:tc>
          <w:tcPr>
            <w:tcW w:w="3402" w:type="dxa"/>
            <w:vMerge/>
            <w:vAlign w:val="center"/>
          </w:tcPr>
          <w:p w:rsidR="00941F6C" w:rsidRPr="00A15461" w:rsidRDefault="00941F6C" w:rsidP="00196812">
            <w:pPr>
              <w:adjustRightInd w:val="0"/>
              <w:spacing w:before="29" w:line="360" w:lineRule="auto"/>
              <w:ind w:left="17"/>
              <w:jc w:val="center"/>
              <w:rPr>
                <w:kern w:val="0"/>
                <w:sz w:val="24"/>
              </w:rPr>
            </w:pPr>
          </w:p>
        </w:tc>
        <w:tc>
          <w:tcPr>
            <w:tcW w:w="2481" w:type="dxa"/>
            <w:vAlign w:val="center"/>
          </w:tcPr>
          <w:p w:rsidR="00941F6C" w:rsidRPr="00A15461" w:rsidRDefault="00941F6C" w:rsidP="00196812">
            <w:pPr>
              <w:adjustRightInd w:val="0"/>
              <w:spacing w:before="29" w:line="360" w:lineRule="auto"/>
              <w:ind w:left="17"/>
              <w:jc w:val="center"/>
              <w:rPr>
                <w:color w:val="000000"/>
                <w:sz w:val="24"/>
              </w:rPr>
            </w:pPr>
            <w:r w:rsidRPr="00A15461">
              <w:rPr>
                <w:sz w:val="24"/>
              </w:rPr>
              <w:t>易方达天天增利货币</w:t>
            </w:r>
            <w:r w:rsidRPr="00A15461">
              <w:rPr>
                <w:sz w:val="24"/>
              </w:rPr>
              <w:t>A</w:t>
            </w:r>
          </w:p>
        </w:tc>
        <w:tc>
          <w:tcPr>
            <w:tcW w:w="2481" w:type="dxa"/>
            <w:vAlign w:val="center"/>
          </w:tcPr>
          <w:p w:rsidR="00941F6C" w:rsidRPr="00A15461" w:rsidRDefault="00941F6C" w:rsidP="00196812">
            <w:pPr>
              <w:adjustRightInd w:val="0"/>
              <w:spacing w:before="29" w:line="360" w:lineRule="auto"/>
              <w:ind w:left="17"/>
              <w:jc w:val="center"/>
              <w:rPr>
                <w:color w:val="000000"/>
                <w:sz w:val="24"/>
              </w:rPr>
            </w:pPr>
            <w:r w:rsidRPr="00A15461">
              <w:rPr>
                <w:sz w:val="24"/>
              </w:rPr>
              <w:t>易方达天天增利货币</w:t>
            </w:r>
            <w:r w:rsidRPr="00A15461">
              <w:rPr>
                <w:sz w:val="24"/>
              </w:rPr>
              <w:t>B</w:t>
            </w:r>
          </w:p>
        </w:tc>
      </w:tr>
      <w:tr w:rsidR="00941F6C" w:rsidRPr="00A15461" w:rsidTr="00F11244">
        <w:trPr>
          <w:trHeight w:val="840"/>
        </w:trPr>
        <w:tc>
          <w:tcPr>
            <w:tcW w:w="3402" w:type="dxa"/>
          </w:tcPr>
          <w:p w:rsidR="00941F6C" w:rsidRPr="00A15461" w:rsidRDefault="00941F6C" w:rsidP="00196812">
            <w:pPr>
              <w:adjustRightInd w:val="0"/>
              <w:spacing w:before="29" w:line="360" w:lineRule="auto"/>
              <w:ind w:left="17"/>
              <w:rPr>
                <w:kern w:val="0"/>
                <w:sz w:val="24"/>
              </w:rPr>
            </w:pPr>
            <w:r w:rsidRPr="00A15461">
              <w:rPr>
                <w:kern w:val="0"/>
                <w:sz w:val="24"/>
              </w:rPr>
              <w:t>1.</w:t>
            </w:r>
            <w:r w:rsidRPr="00A15461">
              <w:rPr>
                <w:kern w:val="0"/>
                <w:sz w:val="24"/>
              </w:rPr>
              <w:t>本期已实现收益</w:t>
            </w:r>
          </w:p>
        </w:tc>
        <w:tc>
          <w:tcPr>
            <w:tcW w:w="2481" w:type="dxa"/>
            <w:vAlign w:val="bottom"/>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31,716,072.90</w:t>
            </w:r>
          </w:p>
        </w:tc>
        <w:tc>
          <w:tcPr>
            <w:tcW w:w="2481" w:type="dxa"/>
            <w:vAlign w:val="bottom"/>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670,931.27</w:t>
            </w:r>
          </w:p>
        </w:tc>
      </w:tr>
      <w:tr w:rsidR="00941F6C" w:rsidRPr="00A15461" w:rsidTr="00F11244">
        <w:tc>
          <w:tcPr>
            <w:tcW w:w="3402" w:type="dxa"/>
          </w:tcPr>
          <w:p w:rsidR="00941F6C" w:rsidRPr="00A15461" w:rsidRDefault="00941F6C" w:rsidP="00196812">
            <w:pPr>
              <w:adjustRightInd w:val="0"/>
              <w:spacing w:before="29" w:line="360" w:lineRule="auto"/>
              <w:ind w:left="17"/>
              <w:rPr>
                <w:kern w:val="0"/>
                <w:sz w:val="24"/>
              </w:rPr>
            </w:pPr>
            <w:r w:rsidRPr="00A15461">
              <w:rPr>
                <w:kern w:val="0"/>
                <w:sz w:val="24"/>
              </w:rPr>
              <w:t>2.</w:t>
            </w:r>
            <w:r w:rsidRPr="00A15461">
              <w:rPr>
                <w:kern w:val="0"/>
                <w:sz w:val="24"/>
              </w:rPr>
              <w:t>本期利润</w:t>
            </w:r>
          </w:p>
        </w:tc>
        <w:tc>
          <w:tcPr>
            <w:tcW w:w="2481" w:type="dxa"/>
            <w:vAlign w:val="bottom"/>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31,716,072.90</w:t>
            </w:r>
          </w:p>
        </w:tc>
        <w:tc>
          <w:tcPr>
            <w:tcW w:w="2481" w:type="dxa"/>
            <w:vAlign w:val="bottom"/>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670,931.27</w:t>
            </w:r>
          </w:p>
        </w:tc>
      </w:tr>
      <w:tr w:rsidR="00941F6C" w:rsidRPr="00A15461" w:rsidTr="00F11244">
        <w:tc>
          <w:tcPr>
            <w:tcW w:w="3402" w:type="dxa"/>
          </w:tcPr>
          <w:p w:rsidR="00941F6C" w:rsidRPr="00A15461" w:rsidRDefault="00941F6C" w:rsidP="00196812">
            <w:pPr>
              <w:adjustRightInd w:val="0"/>
              <w:spacing w:before="29" w:line="360" w:lineRule="auto"/>
              <w:ind w:left="17"/>
              <w:rPr>
                <w:kern w:val="0"/>
                <w:sz w:val="24"/>
              </w:rPr>
            </w:pPr>
            <w:r w:rsidRPr="00A15461">
              <w:rPr>
                <w:kern w:val="0"/>
                <w:sz w:val="24"/>
              </w:rPr>
              <w:t>3.</w:t>
            </w:r>
            <w:r w:rsidRPr="00A15461">
              <w:rPr>
                <w:kern w:val="0"/>
                <w:sz w:val="24"/>
              </w:rPr>
              <w:t>期末基金资产净值</w:t>
            </w:r>
          </w:p>
        </w:tc>
        <w:tc>
          <w:tcPr>
            <w:tcW w:w="2481" w:type="dxa"/>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6,621,128,530.85</w:t>
            </w:r>
          </w:p>
        </w:tc>
        <w:tc>
          <w:tcPr>
            <w:tcW w:w="2481" w:type="dxa"/>
          </w:tcPr>
          <w:p w:rsidR="00941F6C" w:rsidRPr="00A15461" w:rsidRDefault="00941F6C" w:rsidP="00196812">
            <w:pPr>
              <w:adjustRightInd w:val="0"/>
              <w:spacing w:before="29" w:line="360" w:lineRule="auto"/>
              <w:ind w:left="17"/>
              <w:jc w:val="right"/>
              <w:rPr>
                <w:color w:val="000000"/>
                <w:sz w:val="24"/>
              </w:rPr>
            </w:pPr>
            <w:r w:rsidRPr="00A15461">
              <w:rPr>
                <w:color w:val="000000"/>
                <w:sz w:val="24"/>
              </w:rPr>
              <w:t>99,900,961.83</w:t>
            </w:r>
          </w:p>
        </w:tc>
      </w:tr>
    </w:tbl>
    <w:p w:rsidR="000E725A" w:rsidRDefault="002D603E">
      <w:pPr>
        <w:adjustRightInd w:val="0"/>
        <w:spacing w:line="360" w:lineRule="auto"/>
        <w:ind w:firstLineChars="200" w:firstLine="480"/>
        <w:rPr>
          <w:color w:val="000000"/>
          <w:sz w:val="24"/>
        </w:rPr>
      </w:pPr>
      <w:r>
        <w:rPr>
          <w:color w:val="000000"/>
          <w:sz w:val="24"/>
        </w:rPr>
        <w:t>注：</w:t>
      </w:r>
      <w:r>
        <w:rPr>
          <w:color w:val="000000"/>
          <w:sz w:val="24"/>
        </w:rPr>
        <w:t>1.</w:t>
      </w:r>
      <w:r>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2.</w:t>
      </w:r>
      <w:r w:rsidRPr="00A15461">
        <w:rPr>
          <w:color w:val="000000"/>
          <w:sz w:val="24"/>
        </w:rPr>
        <w:t>本基金利润分配是按日结转份额。</w:t>
      </w:r>
    </w:p>
    <w:p w:rsidR="00941F6C" w:rsidRPr="0097021E" w:rsidRDefault="00941F6C" w:rsidP="009A755D">
      <w:pPr>
        <w:spacing w:line="360" w:lineRule="auto"/>
        <w:rPr>
          <w:rFonts w:ascii="宋体" w:cs="Arial"/>
          <w:b/>
          <w:color w:val="000000"/>
          <w:kern w:val="0"/>
          <w:sz w:val="24"/>
        </w:rPr>
      </w:pPr>
      <w:r w:rsidRPr="0097021E">
        <w:rPr>
          <w:rFonts w:ascii="宋体" w:hAnsi="宋体" w:cs="Arial"/>
          <w:b/>
          <w:color w:val="000000"/>
          <w:kern w:val="0"/>
          <w:sz w:val="24"/>
        </w:rPr>
        <w:t xml:space="preserve">3.2 </w:t>
      </w:r>
      <w:r w:rsidRPr="0097021E">
        <w:rPr>
          <w:rFonts w:ascii="宋体" w:hAnsi="宋体" w:cs="Arial" w:hint="eastAsia"/>
          <w:b/>
          <w:color w:val="000000"/>
          <w:kern w:val="0"/>
          <w:sz w:val="24"/>
        </w:rPr>
        <w:t>基金净值表现</w:t>
      </w:r>
    </w:p>
    <w:p w:rsidR="00941F6C" w:rsidRPr="0097021E" w:rsidRDefault="00941F6C" w:rsidP="009A755D">
      <w:pPr>
        <w:spacing w:line="360" w:lineRule="auto"/>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97021E">
          <w:rPr>
            <w:rFonts w:ascii="宋体" w:hAnsi="宋体" w:cs="Arial"/>
            <w:b/>
            <w:color w:val="000000"/>
            <w:kern w:val="0"/>
            <w:sz w:val="24"/>
          </w:rPr>
          <w:t>3.2.1</w:t>
        </w:r>
      </w:smartTag>
      <w:r w:rsidRPr="0097021E">
        <w:rPr>
          <w:rFonts w:ascii="宋体" w:hAnsi="宋体" w:cs="Arial" w:hint="eastAsia"/>
          <w:b/>
          <w:color w:val="000000"/>
          <w:kern w:val="0"/>
          <w:sz w:val="24"/>
        </w:rPr>
        <w:t>本报告期基金份额净值收益率及其与同期业绩比较基准收益率的比较</w:t>
      </w:r>
    </w:p>
    <w:p w:rsidR="00941F6C" w:rsidRPr="0097021E" w:rsidRDefault="00941F6C" w:rsidP="004C44F3">
      <w:pPr>
        <w:pStyle w:val="20"/>
        <w:spacing w:line="360" w:lineRule="auto"/>
        <w:ind w:firstLine="402"/>
        <w:rPr>
          <w:b/>
        </w:rPr>
      </w:pPr>
      <w:r>
        <w:rPr>
          <w:b/>
        </w:rPr>
        <w:t>易方达天天增利货币</w:t>
      </w:r>
      <w:r>
        <w:rPr>
          <w:b/>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941F6C" w:rsidRPr="0097021E" w:rsidTr="00CA7D55">
        <w:tc>
          <w:tcPr>
            <w:tcW w:w="1328"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阶段</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净值收益率</w:t>
            </w:r>
            <w:r w:rsidRPr="00A15461">
              <w:rPr>
                <w:rFonts w:cs="宋体" w:hint="eastAsia"/>
                <w:color w:val="000000"/>
                <w:szCs w:val="24"/>
              </w:rPr>
              <w:t>①</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净值收益率标准差</w:t>
            </w:r>
            <w:r w:rsidRPr="00A15461">
              <w:rPr>
                <w:rFonts w:cs="宋体" w:hint="eastAsia"/>
                <w:color w:val="000000"/>
                <w:szCs w:val="24"/>
              </w:rPr>
              <w:t>②</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业绩比较基准收益率</w:t>
            </w:r>
            <w:r w:rsidRPr="00A15461">
              <w:rPr>
                <w:rFonts w:cs="宋体" w:hint="eastAsia"/>
                <w:color w:val="000000"/>
                <w:szCs w:val="24"/>
              </w:rPr>
              <w:t>③</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业绩比较基准收益率标准差</w:t>
            </w:r>
            <w:r w:rsidRPr="00A15461">
              <w:rPr>
                <w:rFonts w:cs="宋体" w:hint="eastAsia"/>
                <w:color w:val="000000"/>
                <w:szCs w:val="24"/>
              </w:rPr>
              <w:t>④</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cs="宋体" w:hint="eastAsia"/>
                <w:color w:val="000000"/>
                <w:szCs w:val="24"/>
              </w:rPr>
              <w:t>①</w:t>
            </w:r>
            <w:r w:rsidRPr="00A15461">
              <w:rPr>
                <w:rFonts w:ascii="Times New Roman" w:hAnsi="Times New Roman"/>
                <w:color w:val="000000"/>
                <w:szCs w:val="24"/>
              </w:rPr>
              <w:t>-</w:t>
            </w:r>
            <w:r w:rsidRPr="00A15461">
              <w:rPr>
                <w:rFonts w:cs="宋体" w:hint="eastAsia"/>
                <w:color w:val="000000"/>
                <w:szCs w:val="24"/>
              </w:rPr>
              <w:t>③</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cs="宋体" w:hint="eastAsia"/>
                <w:color w:val="000000"/>
                <w:szCs w:val="24"/>
              </w:rPr>
              <w:t>②</w:t>
            </w:r>
            <w:r w:rsidRPr="00A15461">
              <w:rPr>
                <w:rFonts w:ascii="Times New Roman" w:hAnsi="Times New Roman"/>
                <w:color w:val="000000"/>
                <w:szCs w:val="24"/>
              </w:rPr>
              <w:t>-</w:t>
            </w:r>
            <w:r w:rsidRPr="00A15461">
              <w:rPr>
                <w:rFonts w:cs="宋体" w:hint="eastAsia"/>
                <w:color w:val="000000"/>
                <w:szCs w:val="24"/>
              </w:rPr>
              <w:t>④</w:t>
            </w:r>
          </w:p>
        </w:tc>
      </w:tr>
      <w:tr w:rsidR="000E725A">
        <w:tc>
          <w:tcPr>
            <w:tcW w:w="1328" w:type="dxa"/>
            <w:vAlign w:val="center"/>
          </w:tcPr>
          <w:p w:rsidR="000E725A" w:rsidRDefault="002D603E">
            <w:pPr>
              <w:jc w:val="left"/>
            </w:pPr>
            <w:r>
              <w:rPr>
                <w:color w:val="000000"/>
                <w:sz w:val="24"/>
              </w:rPr>
              <w:t>过去三个月</w:t>
            </w:r>
          </w:p>
        </w:tc>
        <w:tc>
          <w:tcPr>
            <w:tcW w:w="1329" w:type="dxa"/>
            <w:vAlign w:val="center"/>
          </w:tcPr>
          <w:p w:rsidR="000E725A" w:rsidRDefault="002D603E">
            <w:pPr>
              <w:jc w:val="center"/>
            </w:pPr>
            <w:r>
              <w:rPr>
                <w:color w:val="000000"/>
                <w:sz w:val="24"/>
              </w:rPr>
              <w:t>0.5646%</w:t>
            </w:r>
          </w:p>
        </w:tc>
        <w:tc>
          <w:tcPr>
            <w:tcW w:w="1329" w:type="dxa"/>
            <w:vAlign w:val="center"/>
          </w:tcPr>
          <w:p w:rsidR="000E725A" w:rsidRDefault="002D603E">
            <w:pPr>
              <w:jc w:val="center"/>
            </w:pPr>
            <w:r>
              <w:rPr>
                <w:color w:val="000000"/>
                <w:sz w:val="24"/>
              </w:rPr>
              <w:t>0.0009%</w:t>
            </w:r>
          </w:p>
        </w:tc>
        <w:tc>
          <w:tcPr>
            <w:tcW w:w="1329" w:type="dxa"/>
            <w:vAlign w:val="center"/>
          </w:tcPr>
          <w:p w:rsidR="000E725A" w:rsidRDefault="002D603E">
            <w:pPr>
              <w:jc w:val="center"/>
            </w:pPr>
            <w:r>
              <w:rPr>
                <w:color w:val="000000"/>
                <w:sz w:val="24"/>
              </w:rPr>
              <w:t>0.3418%</w:t>
            </w:r>
          </w:p>
        </w:tc>
        <w:tc>
          <w:tcPr>
            <w:tcW w:w="1329" w:type="dxa"/>
            <w:vAlign w:val="center"/>
          </w:tcPr>
          <w:p w:rsidR="000E725A" w:rsidRDefault="002D603E">
            <w:pPr>
              <w:jc w:val="center"/>
            </w:pPr>
            <w:r>
              <w:rPr>
                <w:color w:val="000000"/>
                <w:sz w:val="24"/>
              </w:rPr>
              <w:t>0.0000%</w:t>
            </w:r>
          </w:p>
        </w:tc>
        <w:tc>
          <w:tcPr>
            <w:tcW w:w="1329" w:type="dxa"/>
            <w:vAlign w:val="center"/>
          </w:tcPr>
          <w:p w:rsidR="000E725A" w:rsidRDefault="002D603E">
            <w:pPr>
              <w:jc w:val="center"/>
            </w:pPr>
            <w:r>
              <w:rPr>
                <w:color w:val="000000"/>
                <w:sz w:val="24"/>
              </w:rPr>
              <w:t>0.2228%</w:t>
            </w:r>
          </w:p>
        </w:tc>
        <w:tc>
          <w:tcPr>
            <w:tcW w:w="1329" w:type="dxa"/>
            <w:vAlign w:val="center"/>
          </w:tcPr>
          <w:p w:rsidR="000E725A" w:rsidRDefault="002D603E">
            <w:pPr>
              <w:jc w:val="center"/>
            </w:pPr>
            <w:r>
              <w:rPr>
                <w:color w:val="000000"/>
                <w:sz w:val="24"/>
              </w:rPr>
              <w:t>0.0009%</w:t>
            </w:r>
          </w:p>
        </w:tc>
      </w:tr>
    </w:tbl>
    <w:p w:rsidR="00941F6C" w:rsidRPr="0097021E" w:rsidRDefault="00941F6C" w:rsidP="004C44F3">
      <w:pPr>
        <w:pStyle w:val="20"/>
        <w:spacing w:line="360" w:lineRule="auto"/>
        <w:ind w:firstLine="402"/>
        <w:rPr>
          <w:b/>
        </w:rPr>
      </w:pPr>
      <w:r w:rsidRPr="0097021E">
        <w:rPr>
          <w:b/>
          <w:color w:val="000000"/>
        </w:rPr>
        <w:t>易方达天天增利货币</w:t>
      </w:r>
      <w:r w:rsidRPr="0097021E">
        <w:rPr>
          <w:b/>
          <w:color w:val="000000"/>
        </w:rPr>
        <w: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28"/>
        <w:gridCol w:w="1329"/>
        <w:gridCol w:w="1329"/>
        <w:gridCol w:w="1329"/>
        <w:gridCol w:w="1329"/>
        <w:gridCol w:w="1329"/>
        <w:gridCol w:w="1329"/>
      </w:tblGrid>
      <w:tr w:rsidR="00941F6C" w:rsidRPr="0097021E" w:rsidTr="00CA7D55">
        <w:tc>
          <w:tcPr>
            <w:tcW w:w="1328"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阶段</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净值收益率</w:t>
            </w:r>
            <w:r w:rsidRPr="00A15461">
              <w:rPr>
                <w:rFonts w:cs="宋体" w:hint="eastAsia"/>
                <w:color w:val="000000"/>
                <w:szCs w:val="24"/>
              </w:rPr>
              <w:t>①</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净值收益率标准差</w:t>
            </w:r>
            <w:r w:rsidRPr="00A15461">
              <w:rPr>
                <w:rFonts w:cs="宋体" w:hint="eastAsia"/>
                <w:color w:val="000000"/>
                <w:szCs w:val="24"/>
              </w:rPr>
              <w:t>②</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业绩比较基准收益率</w:t>
            </w:r>
            <w:r w:rsidRPr="00A15461">
              <w:rPr>
                <w:rFonts w:cs="宋体" w:hint="eastAsia"/>
                <w:color w:val="000000"/>
                <w:szCs w:val="24"/>
              </w:rPr>
              <w:t>③</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ascii="Times New Roman" w:hAnsi="Times New Roman"/>
                <w:color w:val="000000"/>
                <w:szCs w:val="24"/>
              </w:rPr>
              <w:t>业绩比较基准收益率标准差</w:t>
            </w:r>
            <w:r w:rsidRPr="00A15461">
              <w:rPr>
                <w:rFonts w:cs="宋体" w:hint="eastAsia"/>
                <w:color w:val="000000"/>
                <w:szCs w:val="24"/>
              </w:rPr>
              <w:t>④</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cs="宋体" w:hint="eastAsia"/>
                <w:color w:val="000000"/>
                <w:szCs w:val="24"/>
              </w:rPr>
              <w:t>①</w:t>
            </w:r>
            <w:r w:rsidRPr="00A15461">
              <w:rPr>
                <w:rFonts w:ascii="Times New Roman" w:hAnsi="Times New Roman"/>
                <w:color w:val="000000"/>
                <w:szCs w:val="24"/>
              </w:rPr>
              <w:t>-</w:t>
            </w:r>
            <w:r w:rsidRPr="00A15461">
              <w:rPr>
                <w:rFonts w:cs="宋体" w:hint="eastAsia"/>
                <w:color w:val="000000"/>
                <w:szCs w:val="24"/>
              </w:rPr>
              <w:t>③</w:t>
            </w:r>
          </w:p>
        </w:tc>
        <w:tc>
          <w:tcPr>
            <w:tcW w:w="1329" w:type="dxa"/>
            <w:vAlign w:val="center"/>
          </w:tcPr>
          <w:p w:rsidR="00941F6C" w:rsidRPr="00A15461" w:rsidRDefault="00941F6C" w:rsidP="00CA7D55">
            <w:pPr>
              <w:pStyle w:val="ab"/>
              <w:adjustRightInd w:val="0"/>
              <w:snapToGrid w:val="0"/>
              <w:spacing w:before="0" w:beforeAutospacing="0" w:after="0" w:afterAutospacing="0" w:line="360" w:lineRule="auto"/>
              <w:jc w:val="center"/>
              <w:rPr>
                <w:rFonts w:ascii="Times New Roman" w:hAnsi="Times New Roman"/>
                <w:color w:val="000000"/>
                <w:szCs w:val="24"/>
              </w:rPr>
            </w:pPr>
            <w:r w:rsidRPr="00A15461">
              <w:rPr>
                <w:rFonts w:cs="宋体" w:hint="eastAsia"/>
                <w:color w:val="000000"/>
                <w:szCs w:val="24"/>
              </w:rPr>
              <w:t>②</w:t>
            </w:r>
            <w:r w:rsidRPr="00A15461">
              <w:rPr>
                <w:rFonts w:ascii="Times New Roman" w:hAnsi="Times New Roman"/>
                <w:color w:val="000000"/>
                <w:szCs w:val="24"/>
              </w:rPr>
              <w:t>-</w:t>
            </w:r>
            <w:r w:rsidRPr="00A15461">
              <w:rPr>
                <w:rFonts w:cs="宋体" w:hint="eastAsia"/>
                <w:color w:val="000000"/>
                <w:szCs w:val="24"/>
              </w:rPr>
              <w:t>④</w:t>
            </w:r>
          </w:p>
        </w:tc>
      </w:tr>
      <w:tr w:rsidR="000E725A">
        <w:tc>
          <w:tcPr>
            <w:tcW w:w="1328" w:type="dxa"/>
            <w:vAlign w:val="center"/>
          </w:tcPr>
          <w:p w:rsidR="000E725A" w:rsidRDefault="002D603E">
            <w:pPr>
              <w:jc w:val="left"/>
            </w:pPr>
            <w:r>
              <w:rPr>
                <w:color w:val="000000"/>
                <w:sz w:val="24"/>
              </w:rPr>
              <w:t>过去三个月</w:t>
            </w:r>
          </w:p>
        </w:tc>
        <w:tc>
          <w:tcPr>
            <w:tcW w:w="1329" w:type="dxa"/>
            <w:vAlign w:val="center"/>
          </w:tcPr>
          <w:p w:rsidR="000E725A" w:rsidRDefault="002D603E">
            <w:pPr>
              <w:jc w:val="center"/>
            </w:pPr>
            <w:r>
              <w:rPr>
                <w:color w:val="000000"/>
                <w:sz w:val="24"/>
              </w:rPr>
              <w:t>0.6243%</w:t>
            </w:r>
          </w:p>
        </w:tc>
        <w:tc>
          <w:tcPr>
            <w:tcW w:w="1329" w:type="dxa"/>
            <w:vAlign w:val="center"/>
          </w:tcPr>
          <w:p w:rsidR="000E725A" w:rsidRDefault="002D603E">
            <w:pPr>
              <w:jc w:val="center"/>
            </w:pPr>
            <w:r>
              <w:rPr>
                <w:color w:val="000000"/>
                <w:sz w:val="24"/>
              </w:rPr>
              <w:t>0.0009%</w:t>
            </w:r>
          </w:p>
        </w:tc>
        <w:tc>
          <w:tcPr>
            <w:tcW w:w="1329" w:type="dxa"/>
            <w:vAlign w:val="center"/>
          </w:tcPr>
          <w:p w:rsidR="000E725A" w:rsidRDefault="002D603E">
            <w:pPr>
              <w:jc w:val="center"/>
            </w:pPr>
            <w:r>
              <w:rPr>
                <w:color w:val="000000"/>
                <w:sz w:val="24"/>
              </w:rPr>
              <w:t>0.3418%</w:t>
            </w:r>
          </w:p>
        </w:tc>
        <w:tc>
          <w:tcPr>
            <w:tcW w:w="1329" w:type="dxa"/>
            <w:vAlign w:val="center"/>
          </w:tcPr>
          <w:p w:rsidR="000E725A" w:rsidRDefault="002D603E">
            <w:pPr>
              <w:jc w:val="center"/>
            </w:pPr>
            <w:r>
              <w:rPr>
                <w:color w:val="000000"/>
                <w:sz w:val="24"/>
              </w:rPr>
              <w:t>0.0000%</w:t>
            </w:r>
          </w:p>
        </w:tc>
        <w:tc>
          <w:tcPr>
            <w:tcW w:w="1329" w:type="dxa"/>
            <w:vAlign w:val="center"/>
          </w:tcPr>
          <w:p w:rsidR="000E725A" w:rsidRDefault="002D603E">
            <w:pPr>
              <w:jc w:val="center"/>
            </w:pPr>
            <w:r>
              <w:rPr>
                <w:color w:val="000000"/>
                <w:sz w:val="24"/>
              </w:rPr>
              <w:t>0.2825%</w:t>
            </w:r>
          </w:p>
        </w:tc>
        <w:tc>
          <w:tcPr>
            <w:tcW w:w="1329" w:type="dxa"/>
            <w:vAlign w:val="center"/>
          </w:tcPr>
          <w:p w:rsidR="000E725A" w:rsidRDefault="002D603E">
            <w:pPr>
              <w:jc w:val="center"/>
            </w:pPr>
            <w:r>
              <w:rPr>
                <w:color w:val="000000"/>
                <w:sz w:val="24"/>
              </w:rPr>
              <w:t>0.0009%</w:t>
            </w:r>
          </w:p>
        </w:tc>
      </w:tr>
    </w:tbl>
    <w:p w:rsidR="00941F6C" w:rsidRPr="0097021E" w:rsidRDefault="00941F6C" w:rsidP="009A755D">
      <w:pPr>
        <w:spacing w:line="360" w:lineRule="auto"/>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97021E">
          <w:rPr>
            <w:rFonts w:ascii="宋体" w:hAnsi="宋体" w:cs="Arial"/>
            <w:b/>
            <w:color w:val="000000"/>
            <w:kern w:val="0"/>
            <w:sz w:val="24"/>
          </w:rPr>
          <w:t>3.2.2</w:t>
        </w:r>
        <w:r w:rsidR="000C572D" w:rsidRPr="00370BEA">
          <w:rPr>
            <w:rStyle w:val="af"/>
            <w:rFonts w:hint="eastAsia"/>
            <w:color w:val="000000"/>
            <w:sz w:val="24"/>
            <w:shd w:val="clear" w:color="auto" w:fill="FFFFFF"/>
          </w:rPr>
          <w:t>自基金合同生效以来</w:t>
        </w:r>
      </w:smartTag>
      <w:r w:rsidRPr="0097021E">
        <w:rPr>
          <w:rFonts w:ascii="宋体" w:hAnsi="宋体" w:cs="Arial" w:hint="eastAsia"/>
          <w:b/>
          <w:color w:val="000000"/>
          <w:kern w:val="0"/>
          <w:sz w:val="24"/>
        </w:rPr>
        <w:t>基金累计净值收益率变动及其与同期业绩比较基准收益率变动的比较</w:t>
      </w:r>
    </w:p>
    <w:p w:rsidR="00941F6C" w:rsidRPr="00A15461" w:rsidRDefault="00941F6C" w:rsidP="009A755D">
      <w:pPr>
        <w:spacing w:line="360" w:lineRule="auto"/>
        <w:jc w:val="center"/>
        <w:rPr>
          <w:sz w:val="24"/>
        </w:rPr>
      </w:pPr>
      <w:r w:rsidRPr="00A15461">
        <w:rPr>
          <w:sz w:val="24"/>
        </w:rPr>
        <w:t>易方达天天增利货币市场基金</w:t>
      </w:r>
    </w:p>
    <w:p w:rsidR="007C6CF9" w:rsidRDefault="00941F6C" w:rsidP="007C6CF9">
      <w:pPr>
        <w:pStyle w:val="a6"/>
        <w:snapToGrid w:val="0"/>
        <w:spacing w:line="360" w:lineRule="auto"/>
        <w:jc w:val="center"/>
        <w:rPr>
          <w:rFonts w:ascii="Times New Roman" w:eastAsiaTheme="minorEastAsia" w:hAnsi="Times New Roman"/>
          <w:color w:val="000000" w:themeColor="text1"/>
          <w:sz w:val="24"/>
          <w:szCs w:val="24"/>
        </w:rPr>
      </w:pPr>
      <w:r w:rsidRPr="00A15461">
        <w:rPr>
          <w:rFonts w:ascii="Times New Roman" w:hAnsi="Times New Roman"/>
          <w:sz w:val="24"/>
          <w:szCs w:val="24"/>
        </w:rPr>
        <w:t>累计净值收益率与业绩比较基准收益率的历史走势对比图</w:t>
      </w:r>
    </w:p>
    <w:p w:rsidR="007C6CF9" w:rsidRDefault="007C6CF9" w:rsidP="007C6CF9">
      <w:pPr>
        <w:pStyle w:val="a6"/>
        <w:snapToGrid w:val="0"/>
        <w:spacing w:line="36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2014</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25</w:t>
      </w:r>
      <w:r>
        <w:rPr>
          <w:rFonts w:ascii="Times New Roman" w:hAnsi="Times New Roman"/>
          <w:sz w:val="24"/>
          <w:szCs w:val="24"/>
        </w:rPr>
        <w:t>日至</w:t>
      </w:r>
      <w:r>
        <w:rPr>
          <w:rFonts w:ascii="Times New Roman" w:hAnsi="Times New Roman"/>
          <w:sz w:val="24"/>
          <w:szCs w:val="24"/>
        </w:rPr>
        <w:t>2020</w:t>
      </w:r>
      <w:r>
        <w:rPr>
          <w:rFonts w:ascii="Times New Roman" w:hAnsi="Times New Roman"/>
          <w:sz w:val="24"/>
          <w:szCs w:val="24"/>
        </w:rPr>
        <w:t>年</w:t>
      </w:r>
      <w:r>
        <w:rPr>
          <w:rFonts w:ascii="Times New Roman" w:hAnsi="Times New Roman"/>
          <w:sz w:val="24"/>
          <w:szCs w:val="24"/>
        </w:rPr>
        <w:t>3</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w:t>
      </w:r>
    </w:p>
    <w:p w:rsidR="007C6CF9" w:rsidRDefault="00941F6C" w:rsidP="007C6CF9">
      <w:pPr>
        <w:snapToGrid w:val="0"/>
        <w:spacing w:line="360" w:lineRule="auto"/>
        <w:rPr>
          <w:rFonts w:eastAsiaTheme="minorEastAsia" w:hAnsiTheme="minorEastAsia"/>
          <w:color w:val="000000" w:themeColor="text1"/>
          <w:sz w:val="24"/>
        </w:rPr>
      </w:pPr>
      <w:r w:rsidRPr="00A15461">
        <w:rPr>
          <w:color w:val="000000"/>
          <w:kern w:val="0"/>
          <w:sz w:val="24"/>
        </w:rPr>
        <w:t>易方达天天增利货币</w:t>
      </w:r>
      <w:r w:rsidRPr="00A15461">
        <w:rPr>
          <w:color w:val="000000"/>
          <w:kern w:val="0"/>
          <w:sz w:val="24"/>
        </w:rPr>
        <w:t>A</w:t>
      </w:r>
    </w:p>
    <w:p w:rsidR="00941F6C" w:rsidRPr="0097021E" w:rsidRDefault="00C43229" w:rsidP="00196812">
      <w:pPr>
        <w:tabs>
          <w:tab w:val="left" w:pos="0"/>
        </w:tabs>
        <w:spacing w:line="360" w:lineRule="auto"/>
        <w:jc w:val="center"/>
        <w:rPr>
          <w:rFonts w:ascii="宋体"/>
          <w:color w:val="000000"/>
          <w:sz w:val="24"/>
        </w:rPr>
      </w:pPr>
      <w:r>
        <w:rPr>
          <w:rFonts w:ascii="宋体"/>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2.25pt;height:267pt;visibility:visible">
            <v:imagedata r:id="rId9" o:title=""/>
          </v:shape>
        </w:pict>
      </w:r>
    </w:p>
    <w:p w:rsidR="007C6CF9" w:rsidRDefault="00941F6C" w:rsidP="007C6CF9">
      <w:pPr>
        <w:snapToGrid w:val="0"/>
        <w:spacing w:beforeLines="100" w:before="312" w:line="360" w:lineRule="auto"/>
        <w:rPr>
          <w:rFonts w:eastAsiaTheme="minorEastAsia" w:hAnsiTheme="minorEastAsia"/>
          <w:color w:val="000000" w:themeColor="text1"/>
          <w:sz w:val="24"/>
        </w:rPr>
      </w:pPr>
      <w:r w:rsidRPr="00A15461">
        <w:rPr>
          <w:color w:val="000000"/>
          <w:kern w:val="0"/>
          <w:sz w:val="24"/>
        </w:rPr>
        <w:t>易方达天天增利货币</w:t>
      </w:r>
      <w:r w:rsidRPr="00A15461">
        <w:rPr>
          <w:color w:val="000000"/>
          <w:kern w:val="0"/>
          <w:sz w:val="24"/>
        </w:rPr>
        <w:t>B</w:t>
      </w:r>
    </w:p>
    <w:p w:rsidR="00941F6C" w:rsidRPr="0097021E" w:rsidRDefault="00C43229" w:rsidP="00196812">
      <w:pPr>
        <w:snapToGrid w:val="0"/>
        <w:spacing w:line="360" w:lineRule="auto"/>
        <w:jc w:val="center"/>
        <w:rPr>
          <w:rFonts w:ascii="宋体"/>
          <w:color w:val="000000"/>
          <w:sz w:val="24"/>
        </w:rPr>
      </w:pPr>
      <w:r>
        <w:rPr>
          <w:rFonts w:ascii="宋体"/>
          <w:noProof/>
          <w:color w:val="000000"/>
          <w:sz w:val="24"/>
        </w:rPr>
        <w:pict>
          <v:shape id="图片 2" o:spid="_x0000_i1026" type="#_x0000_t75" style="width:452.25pt;height:267pt;visibility:visible">
            <v:imagedata r:id="rId10" o:title=""/>
          </v:shape>
        </w:pic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注：自基金合同生效至报告期末，</w:t>
      </w:r>
      <w:r w:rsidRPr="00A15461">
        <w:rPr>
          <w:color w:val="000000"/>
          <w:sz w:val="24"/>
        </w:rPr>
        <w:t>A</w:t>
      </w:r>
      <w:r w:rsidRPr="00A15461">
        <w:rPr>
          <w:color w:val="000000"/>
          <w:sz w:val="24"/>
        </w:rPr>
        <w:t>类基金份额净值收益率为</w:t>
      </w:r>
      <w:r w:rsidRPr="00A15461">
        <w:rPr>
          <w:color w:val="000000"/>
          <w:sz w:val="24"/>
        </w:rPr>
        <w:t>21.1324%</w:t>
      </w:r>
      <w:r w:rsidRPr="00A15461">
        <w:rPr>
          <w:color w:val="000000"/>
          <w:sz w:val="24"/>
        </w:rPr>
        <w:t>，</w:t>
      </w:r>
      <w:r w:rsidRPr="00A15461">
        <w:rPr>
          <w:color w:val="000000"/>
          <w:sz w:val="24"/>
        </w:rPr>
        <w:t>B</w:t>
      </w:r>
      <w:r w:rsidRPr="00A15461">
        <w:rPr>
          <w:color w:val="000000"/>
          <w:sz w:val="24"/>
        </w:rPr>
        <w:t>类基金份额净值收益率为</w:t>
      </w:r>
      <w:r w:rsidRPr="00A15461">
        <w:rPr>
          <w:color w:val="000000"/>
          <w:sz w:val="24"/>
        </w:rPr>
        <w:t>22.8155%</w:t>
      </w:r>
      <w:r w:rsidRPr="00A15461">
        <w:rPr>
          <w:color w:val="000000"/>
          <w:sz w:val="24"/>
        </w:rPr>
        <w:t>，同期业绩比较基准收益率为</w:t>
      </w:r>
      <w:r w:rsidRPr="00A15461">
        <w:rPr>
          <w:color w:val="000000"/>
          <w:sz w:val="24"/>
        </w:rPr>
        <w:t>8.2216%</w:t>
      </w:r>
      <w:r w:rsidRPr="00A15461">
        <w:rPr>
          <w:color w:val="000000"/>
          <w:sz w:val="24"/>
        </w:rPr>
        <w:t>。</w:t>
      </w:r>
    </w:p>
    <w:p w:rsidR="00941F6C" w:rsidRPr="0097021E" w:rsidRDefault="00941F6C"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4  </w:t>
      </w:r>
      <w:r w:rsidRPr="0097021E">
        <w:rPr>
          <w:rFonts w:ascii="宋体" w:hAnsi="宋体" w:cs="Arial" w:hint="eastAsia"/>
          <w:color w:val="000000"/>
          <w:kern w:val="0"/>
          <w:sz w:val="24"/>
          <w:szCs w:val="24"/>
        </w:rPr>
        <w:t>管理人报告</w:t>
      </w:r>
    </w:p>
    <w:p w:rsidR="00CE0B87" w:rsidRPr="0078105B" w:rsidRDefault="00941F6C" w:rsidP="00CE0B87">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4.1 </w:t>
      </w:r>
      <w:r w:rsidR="00DC22A1">
        <w:rPr>
          <w:rFonts w:ascii="宋体" w:hAnsi="宋体" w:cs="Arial" w:hint="eastAsia"/>
          <w:b/>
          <w:color w:val="000000"/>
          <w:kern w:val="0"/>
          <w:sz w:val="24"/>
        </w:rPr>
        <w:t>基金经理（</w:t>
      </w:r>
      <w:r w:rsidR="00DC22A1" w:rsidRPr="0097021E">
        <w:rPr>
          <w:rFonts w:ascii="宋体" w:hAnsi="宋体" w:cs="Arial" w:hint="eastAsia"/>
          <w:b/>
          <w:color w:val="000000"/>
          <w:kern w:val="0"/>
          <w:sz w:val="24"/>
        </w:rPr>
        <w:t>或基金经理小组</w:t>
      </w:r>
      <w:r w:rsidR="00DC22A1">
        <w:rPr>
          <w:rFonts w:ascii="宋体" w:hAnsi="宋体" w:cs="Arial" w:hint="eastAsia"/>
          <w:b/>
          <w:color w:val="000000"/>
          <w:kern w:val="0"/>
          <w:sz w:val="24"/>
        </w:rPr>
        <w:t>）</w:t>
      </w:r>
      <w:r w:rsidRPr="0097021E">
        <w:rPr>
          <w:rFonts w:ascii="宋体" w:hAnsi="宋体" w:cs="Arial" w:hint="eastAsia"/>
          <w:b/>
          <w:color w:val="000000"/>
          <w:kern w:val="0"/>
          <w:sz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CE0B87" w:rsidRPr="0078105B" w:rsidTr="00B7074C">
        <w:trPr>
          <w:cantSplit/>
        </w:trPr>
        <w:tc>
          <w:tcPr>
            <w:tcW w:w="567" w:type="dxa"/>
            <w:vMerge w:val="restart"/>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CE0B87" w:rsidRPr="0078105B" w:rsidTr="00B7074C">
        <w:trPr>
          <w:cantSplit/>
        </w:trPr>
        <w:tc>
          <w:tcPr>
            <w:tcW w:w="567" w:type="dxa"/>
            <w:vMerge/>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p>
        </w:tc>
        <w:tc>
          <w:tcPr>
            <w:tcW w:w="2835" w:type="dxa"/>
            <w:vMerge/>
          </w:tcPr>
          <w:p w:rsidR="00CE0B87" w:rsidRPr="00FA472B" w:rsidRDefault="00CE0B87" w:rsidP="00B7074C">
            <w:pPr>
              <w:autoSpaceDE w:val="0"/>
              <w:autoSpaceDN w:val="0"/>
              <w:adjustRightInd w:val="0"/>
              <w:spacing w:before="29" w:line="288" w:lineRule="auto"/>
              <w:ind w:left="15"/>
              <w:jc w:val="center"/>
              <w:rPr>
                <w:color w:val="000000"/>
                <w:kern w:val="0"/>
                <w:sz w:val="24"/>
              </w:rPr>
            </w:pPr>
          </w:p>
        </w:tc>
        <w:tc>
          <w:tcPr>
            <w:tcW w:w="851" w:type="dxa"/>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p>
        </w:tc>
        <w:tc>
          <w:tcPr>
            <w:tcW w:w="2977" w:type="dxa"/>
            <w:vMerge/>
            <w:vAlign w:val="center"/>
          </w:tcPr>
          <w:p w:rsidR="00CE0B87" w:rsidRPr="00FA472B" w:rsidRDefault="00CE0B87" w:rsidP="00B7074C">
            <w:pPr>
              <w:autoSpaceDE w:val="0"/>
              <w:autoSpaceDN w:val="0"/>
              <w:adjustRightInd w:val="0"/>
              <w:spacing w:before="29" w:line="288" w:lineRule="auto"/>
              <w:ind w:left="15"/>
              <w:jc w:val="center"/>
              <w:rPr>
                <w:color w:val="000000"/>
                <w:kern w:val="0"/>
                <w:sz w:val="24"/>
              </w:rPr>
            </w:pPr>
          </w:p>
        </w:tc>
      </w:tr>
      <w:tr w:rsidR="000E725A">
        <w:tc>
          <w:tcPr>
            <w:tcW w:w="567" w:type="dxa"/>
            <w:vAlign w:val="center"/>
          </w:tcPr>
          <w:p w:rsidR="000E725A" w:rsidRDefault="002D603E">
            <w:pPr>
              <w:jc w:val="center"/>
            </w:pPr>
            <w:r>
              <w:rPr>
                <w:color w:val="000000"/>
                <w:sz w:val="24"/>
              </w:rPr>
              <w:t>石大怿</w:t>
            </w:r>
          </w:p>
        </w:tc>
        <w:tc>
          <w:tcPr>
            <w:tcW w:w="2835" w:type="dxa"/>
            <w:vAlign w:val="center"/>
          </w:tcPr>
          <w:p w:rsidR="000E725A" w:rsidRDefault="002D603E">
            <w:pPr>
              <w:jc w:val="left"/>
            </w:pPr>
            <w:r>
              <w:rPr>
                <w:color w:val="000000"/>
                <w:sz w:val="24"/>
              </w:rPr>
              <w:t>本基金的基金经理、易方达月月利理财债券型证券投资基金的基金经理、易方达天天理财货币市场基金的基金经理、易方达保证金收益货币市场基金的基金经理、易方达货币市场基金的基金经理、易方达易理财货币市场基金的基金经理、易方达财富快线货币市场基金的基金经理、易方达龙宝货币市场基金的基金经理、易方达现金增利货币市场基金的基金经理、易方达天天发货币市场基金的基金经理、易方达掌柜季季盈理财债券型证券投资基金的基金经理、易方达安瑞短债债券型证券投资基金的基金经理、易方达恒安定期开放债券型发起式证券投资基金的基金经理助理</w:t>
            </w:r>
          </w:p>
        </w:tc>
        <w:tc>
          <w:tcPr>
            <w:tcW w:w="851" w:type="dxa"/>
            <w:vAlign w:val="center"/>
          </w:tcPr>
          <w:p w:rsidR="000E725A" w:rsidRDefault="002D603E">
            <w:pPr>
              <w:jc w:val="center"/>
            </w:pPr>
            <w:r>
              <w:rPr>
                <w:color w:val="000000"/>
                <w:sz w:val="24"/>
              </w:rPr>
              <w:t>2014-06-25</w:t>
            </w:r>
          </w:p>
        </w:tc>
        <w:tc>
          <w:tcPr>
            <w:tcW w:w="850" w:type="dxa"/>
            <w:vAlign w:val="center"/>
          </w:tcPr>
          <w:p w:rsidR="000E725A" w:rsidRDefault="002D603E">
            <w:pPr>
              <w:jc w:val="center"/>
            </w:pPr>
            <w:r>
              <w:rPr>
                <w:color w:val="000000"/>
                <w:sz w:val="24"/>
              </w:rPr>
              <w:t>-</w:t>
            </w:r>
          </w:p>
        </w:tc>
        <w:tc>
          <w:tcPr>
            <w:tcW w:w="851" w:type="dxa"/>
            <w:vAlign w:val="center"/>
          </w:tcPr>
          <w:p w:rsidR="000E725A" w:rsidRDefault="002D603E">
            <w:pPr>
              <w:jc w:val="center"/>
            </w:pPr>
            <w:r>
              <w:rPr>
                <w:color w:val="000000"/>
                <w:sz w:val="24"/>
              </w:rPr>
              <w:t>11</w:t>
            </w:r>
            <w:r>
              <w:rPr>
                <w:color w:val="000000"/>
                <w:sz w:val="24"/>
              </w:rPr>
              <w:t>年</w:t>
            </w:r>
          </w:p>
        </w:tc>
        <w:tc>
          <w:tcPr>
            <w:tcW w:w="2977" w:type="dxa"/>
            <w:vAlign w:val="center"/>
          </w:tcPr>
          <w:p w:rsidR="000E725A" w:rsidRDefault="002D603E">
            <w:r>
              <w:rPr>
                <w:color w:val="000000"/>
                <w:sz w:val="24"/>
              </w:rPr>
              <w:t>硕士研究生，具有基金从业资格。曾任南方基金管理有限公司交易管理部交易员，易方达基金管理有限公司集中交易室债券交易员、固定收益部基金经理助理、易方达双月利理财债券型证券投资基金基金经理、易方达新鑫灵活配置混合型证券投资基金基金经理助理。</w:t>
            </w:r>
          </w:p>
        </w:tc>
      </w:tr>
      <w:tr w:rsidR="000E725A">
        <w:tc>
          <w:tcPr>
            <w:tcW w:w="567" w:type="dxa"/>
            <w:vAlign w:val="center"/>
          </w:tcPr>
          <w:p w:rsidR="000E725A" w:rsidRDefault="002D603E">
            <w:pPr>
              <w:jc w:val="center"/>
            </w:pPr>
            <w:r>
              <w:rPr>
                <w:color w:val="000000"/>
                <w:sz w:val="24"/>
              </w:rPr>
              <w:t>梁莹</w:t>
            </w:r>
          </w:p>
        </w:tc>
        <w:tc>
          <w:tcPr>
            <w:tcW w:w="2835" w:type="dxa"/>
            <w:vAlign w:val="center"/>
          </w:tcPr>
          <w:p w:rsidR="000E725A" w:rsidRDefault="002D603E">
            <w:pPr>
              <w:jc w:val="left"/>
            </w:pPr>
            <w:r>
              <w:rPr>
                <w:color w:val="000000"/>
                <w:sz w:val="24"/>
              </w:rPr>
              <w:t>本基金的基金经理、易方达月月利理财债券型证券投资基金的基金经理、易方达增金宝货币市场基金的基金经理、易方达龙宝货币市场基金的基金经理、易方达财富快线货币市场基金的基金经理、易方达现金增利货币市场基金的基金经理、易方达掌柜季季盈理财债券型证券投资基金的基金经理、易方达保证金收益货币市场基金的基金经理、易方达安悦超短债债券型证券投资基金的基金经理、易方达货币市场基金的基金经理助理、易方达天天理财货币市场基金的基金经理助理、易方达易理财货币市场基金的基金经理助理、投资经理</w:t>
            </w:r>
          </w:p>
        </w:tc>
        <w:tc>
          <w:tcPr>
            <w:tcW w:w="851" w:type="dxa"/>
            <w:vAlign w:val="center"/>
          </w:tcPr>
          <w:p w:rsidR="000E725A" w:rsidRDefault="002D603E">
            <w:pPr>
              <w:jc w:val="center"/>
            </w:pPr>
            <w:r>
              <w:rPr>
                <w:color w:val="000000"/>
                <w:sz w:val="24"/>
              </w:rPr>
              <w:t>2015-03-17</w:t>
            </w:r>
          </w:p>
        </w:tc>
        <w:tc>
          <w:tcPr>
            <w:tcW w:w="850" w:type="dxa"/>
            <w:vAlign w:val="center"/>
          </w:tcPr>
          <w:p w:rsidR="000E725A" w:rsidRDefault="002D603E">
            <w:pPr>
              <w:jc w:val="center"/>
            </w:pPr>
            <w:r>
              <w:rPr>
                <w:color w:val="000000"/>
                <w:sz w:val="24"/>
              </w:rPr>
              <w:t>-</w:t>
            </w:r>
          </w:p>
        </w:tc>
        <w:tc>
          <w:tcPr>
            <w:tcW w:w="851" w:type="dxa"/>
            <w:vAlign w:val="center"/>
          </w:tcPr>
          <w:p w:rsidR="000E725A" w:rsidRDefault="002D603E">
            <w:pPr>
              <w:jc w:val="center"/>
            </w:pPr>
            <w:r>
              <w:rPr>
                <w:color w:val="000000"/>
                <w:sz w:val="24"/>
              </w:rPr>
              <w:t>10</w:t>
            </w:r>
            <w:r>
              <w:rPr>
                <w:color w:val="000000"/>
                <w:sz w:val="24"/>
              </w:rPr>
              <w:t>年</w:t>
            </w:r>
          </w:p>
        </w:tc>
        <w:tc>
          <w:tcPr>
            <w:tcW w:w="2977" w:type="dxa"/>
            <w:vAlign w:val="center"/>
          </w:tcPr>
          <w:p w:rsidR="000E725A" w:rsidRDefault="002D603E">
            <w:r>
              <w:rPr>
                <w:color w:val="000000"/>
                <w:sz w:val="24"/>
              </w:rPr>
              <w:t>硕士研究生，具有基金从业资格。曾任招商证券股份有限公司债券销售交易部交易员，易方达基金管理有限公司固定收益交易员、易方达保证金收益货币市场基金基金经理助理、易方达双月利理财债券型证券投资基金基金经理。</w:t>
            </w:r>
          </w:p>
        </w:tc>
      </w:tr>
    </w:tbl>
    <w:p w:rsidR="000E725A" w:rsidRDefault="002D603E">
      <w:pPr>
        <w:autoSpaceDE w:val="0"/>
        <w:autoSpaceDN w:val="0"/>
        <w:adjustRightInd w:val="0"/>
        <w:spacing w:line="360" w:lineRule="auto"/>
        <w:ind w:firstLineChars="200" w:firstLine="480"/>
        <w:jc w:val="left"/>
        <w:rPr>
          <w:color w:val="000000"/>
          <w:sz w:val="24"/>
        </w:rPr>
      </w:pPr>
      <w:r>
        <w:rPr>
          <w:color w:val="000000"/>
          <w:sz w:val="24"/>
        </w:rPr>
        <w:t>注：</w:t>
      </w:r>
      <w:r>
        <w:rPr>
          <w:color w:val="000000"/>
          <w:sz w:val="24"/>
        </w:rPr>
        <w:t>1.</w:t>
      </w:r>
      <w:r>
        <w:rPr>
          <w:color w:val="000000"/>
          <w:sz w:val="24"/>
        </w:rPr>
        <w:t>对基金的首任基金经理，其</w:t>
      </w:r>
      <w:r>
        <w:rPr>
          <w:color w:val="000000"/>
          <w:sz w:val="24"/>
        </w:rPr>
        <w:t>“</w:t>
      </w:r>
      <w:r>
        <w:rPr>
          <w:color w:val="000000"/>
          <w:sz w:val="24"/>
        </w:rPr>
        <w:t>任职日期</w:t>
      </w:r>
      <w:r>
        <w:rPr>
          <w:color w:val="000000"/>
          <w:sz w:val="24"/>
        </w:rPr>
        <w:t>”</w:t>
      </w:r>
      <w:r>
        <w:rPr>
          <w:color w:val="000000"/>
          <w:sz w:val="24"/>
        </w:rPr>
        <w:t>为基金合同生效日，</w:t>
      </w:r>
      <w:r>
        <w:rPr>
          <w:color w:val="000000"/>
          <w:sz w:val="24"/>
        </w:rPr>
        <w:t>“</w:t>
      </w:r>
      <w:r>
        <w:rPr>
          <w:color w:val="000000"/>
          <w:sz w:val="24"/>
        </w:rPr>
        <w:t>离任日期</w:t>
      </w:r>
      <w:r>
        <w:rPr>
          <w:color w:val="000000"/>
          <w:sz w:val="24"/>
        </w:rPr>
        <w:t>”</w:t>
      </w:r>
      <w:r>
        <w:rPr>
          <w:color w:val="000000"/>
          <w:sz w:val="24"/>
        </w:rPr>
        <w:t>为根据公司决定确定的解聘日期；对此后的非首任基金经理，</w:t>
      </w:r>
      <w:r>
        <w:rPr>
          <w:color w:val="000000"/>
          <w:sz w:val="24"/>
        </w:rPr>
        <w:t>“</w:t>
      </w:r>
      <w:r>
        <w:rPr>
          <w:color w:val="000000"/>
          <w:sz w:val="24"/>
        </w:rPr>
        <w:t>任职日期</w:t>
      </w:r>
      <w:r>
        <w:rPr>
          <w:color w:val="000000"/>
          <w:sz w:val="24"/>
        </w:rPr>
        <w:t>”</w:t>
      </w:r>
      <w:r>
        <w:rPr>
          <w:color w:val="000000"/>
          <w:sz w:val="24"/>
        </w:rPr>
        <w:t>和</w:t>
      </w:r>
      <w:r>
        <w:rPr>
          <w:color w:val="000000"/>
          <w:sz w:val="24"/>
        </w:rPr>
        <w:t>“</w:t>
      </w:r>
      <w:r>
        <w:rPr>
          <w:color w:val="000000"/>
          <w:sz w:val="24"/>
        </w:rPr>
        <w:t>离任日期</w:t>
      </w:r>
      <w:r>
        <w:rPr>
          <w:color w:val="000000"/>
          <w:sz w:val="24"/>
        </w:rPr>
        <w:t>”</w:t>
      </w:r>
      <w:r>
        <w:rPr>
          <w:color w:val="000000"/>
          <w:sz w:val="24"/>
        </w:rPr>
        <w:t>分别指根据公司决定确定的聘任日期和解聘日期。</w:t>
      </w:r>
    </w:p>
    <w:p w:rsidR="00BF6648" w:rsidRPr="00232B03" w:rsidRDefault="00CE0B87" w:rsidP="00CE0B87">
      <w:pPr>
        <w:autoSpaceDE w:val="0"/>
        <w:autoSpaceDN w:val="0"/>
        <w:adjustRightInd w:val="0"/>
        <w:spacing w:line="360" w:lineRule="auto"/>
        <w:ind w:firstLineChars="200" w:firstLine="480"/>
        <w:jc w:val="left"/>
        <w:rPr>
          <w:color w:val="000000"/>
          <w:sz w:val="24"/>
        </w:rPr>
      </w:pPr>
      <w:r w:rsidRPr="00DF18FE">
        <w:rPr>
          <w:color w:val="000000"/>
          <w:sz w:val="24"/>
        </w:rPr>
        <w:t>2.</w:t>
      </w:r>
      <w:r w:rsidRPr="00DF18FE">
        <w:rPr>
          <w:color w:val="000000"/>
          <w:sz w:val="24"/>
        </w:rPr>
        <w:t>证券从业的含义遵从《证券业从业人员资格管理办法》的相关规定。</w:t>
      </w:r>
    </w:p>
    <w:p w:rsidR="00941F6C" w:rsidRPr="0097021E" w:rsidRDefault="00941F6C" w:rsidP="00BF6648">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4.2</w:t>
      </w:r>
      <w:r w:rsidRPr="00756761">
        <w:rPr>
          <w:rFonts w:cs="Arial" w:hint="eastAsia"/>
          <w:b/>
          <w:color w:val="000000"/>
          <w:kern w:val="0"/>
          <w:sz w:val="24"/>
        </w:rPr>
        <w:t>管理人对报告期内本基金运作遵规守信情况的说明</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941F6C" w:rsidRPr="0097021E" w:rsidRDefault="00941F6C" w:rsidP="009A755D">
      <w:pPr>
        <w:autoSpaceDE w:val="0"/>
        <w:autoSpaceDN w:val="0"/>
        <w:adjustRightInd w:val="0"/>
        <w:spacing w:line="360" w:lineRule="auto"/>
        <w:jc w:val="left"/>
        <w:rPr>
          <w:rFonts w:ascii="宋体" w:cs="Arial"/>
          <w:b/>
          <w:color w:val="000000"/>
          <w:kern w:val="0"/>
          <w:sz w:val="24"/>
        </w:rPr>
      </w:pPr>
      <w:r w:rsidRPr="0097021E">
        <w:rPr>
          <w:rFonts w:ascii="宋体" w:hAnsi="宋体" w:cs="Arial"/>
          <w:b/>
          <w:color w:val="000000"/>
          <w:kern w:val="0"/>
          <w:sz w:val="24"/>
        </w:rPr>
        <w:t xml:space="preserve">4.3 </w:t>
      </w:r>
      <w:r w:rsidRPr="0097021E">
        <w:rPr>
          <w:rFonts w:ascii="宋体" w:hAnsi="宋体" w:cs="Arial" w:hint="eastAsia"/>
          <w:b/>
          <w:color w:val="000000"/>
          <w:kern w:val="0"/>
          <w:sz w:val="24"/>
        </w:rPr>
        <w:t>公平交易专项说明</w:t>
      </w:r>
    </w:p>
    <w:p w:rsidR="00941F6C" w:rsidRPr="0097021E" w:rsidRDefault="00941F6C" w:rsidP="009A755D">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97021E">
          <w:rPr>
            <w:rFonts w:ascii="宋体" w:hAnsi="宋体"/>
            <w:sz w:val="24"/>
          </w:rPr>
          <w:t>4.3.1</w:t>
        </w:r>
      </w:smartTag>
      <w:r w:rsidRPr="0097021E">
        <w:rPr>
          <w:rFonts w:ascii="宋体" w:hAnsi="宋体" w:hint="eastAsia"/>
          <w:sz w:val="24"/>
        </w:rPr>
        <w:t>公平交易制度的执行情况</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A15461">
        <w:rPr>
          <w:color w:val="000000"/>
          <w:sz w:val="24"/>
        </w:rPr>
        <w:t>“</w:t>
      </w:r>
      <w:r w:rsidRPr="00A15461">
        <w:rPr>
          <w:color w:val="000000"/>
          <w:sz w:val="24"/>
        </w:rPr>
        <w:t>时间优先、价格优先</w:t>
      </w:r>
      <w:r w:rsidRPr="00A15461">
        <w:rPr>
          <w:color w:val="000000"/>
          <w:sz w:val="24"/>
        </w:rPr>
        <w:t>”</w:t>
      </w:r>
      <w:r w:rsidRPr="00A15461">
        <w:rPr>
          <w:color w:val="000000"/>
          <w:sz w:val="24"/>
        </w:rPr>
        <w:t>作为执行指令的基本原则，通过投资交易系统中的公平交易模块，以尽可能确保公平对待各投资组合。本报告期内，公平交易制度总体执行情况良好。</w:t>
      </w:r>
    </w:p>
    <w:p w:rsidR="00941F6C" w:rsidRPr="0097021E" w:rsidRDefault="00941F6C" w:rsidP="009A755D">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97021E">
          <w:rPr>
            <w:rFonts w:ascii="宋体" w:hAnsi="宋体"/>
            <w:sz w:val="24"/>
          </w:rPr>
          <w:t>4.3.2</w:t>
        </w:r>
      </w:smartTag>
      <w:r w:rsidRPr="0097021E">
        <w:rPr>
          <w:rFonts w:ascii="宋体" w:hAnsi="宋体" w:hint="eastAsia"/>
          <w:sz w:val="24"/>
        </w:rPr>
        <w:t>异常交易行为的专项说明</w:t>
      </w:r>
    </w:p>
    <w:p w:rsidR="000E725A" w:rsidRDefault="002D603E">
      <w:pPr>
        <w:adjustRightInd w:val="0"/>
        <w:spacing w:line="360" w:lineRule="auto"/>
        <w:ind w:firstLineChars="200" w:firstLine="480"/>
        <w:rPr>
          <w:color w:val="000000"/>
          <w:sz w:val="24"/>
        </w:rPr>
      </w:pPr>
      <w:r>
        <w:rPr>
          <w:color w:val="000000"/>
          <w:sz w:val="24"/>
        </w:rPr>
        <w:t>本报告期内，公司旗下所有投资组合参与的交易所公开竞价交易中，同日反向交易成交较少的单边交易量超过该证券当日成交量的</w:t>
      </w:r>
      <w:r>
        <w:rPr>
          <w:color w:val="000000"/>
          <w:sz w:val="24"/>
        </w:rPr>
        <w:t>5%</w:t>
      </w:r>
      <w:r>
        <w:rPr>
          <w:color w:val="000000"/>
          <w:sz w:val="24"/>
        </w:rPr>
        <w:t>的交易共</w:t>
      </w:r>
      <w:r>
        <w:rPr>
          <w:color w:val="000000"/>
          <w:sz w:val="24"/>
        </w:rPr>
        <w:t>17</w:t>
      </w:r>
      <w:r>
        <w:rPr>
          <w:color w:val="000000"/>
          <w:sz w:val="24"/>
        </w:rPr>
        <w:t>次，全部为指数量化投资组合因投资策略需要和其他组合发生的反向交易。</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本报告期内，未发现本基金有可能导致不公平交易和利益输送的异常交易。</w:t>
      </w:r>
    </w:p>
    <w:p w:rsidR="00941F6C" w:rsidRPr="0097021E" w:rsidRDefault="00941F6C" w:rsidP="009A755D">
      <w:pPr>
        <w:spacing w:line="360" w:lineRule="auto"/>
        <w:rPr>
          <w:rFonts w:ascii="宋体" w:cs="Arial"/>
          <w:b/>
          <w:color w:val="000000"/>
          <w:kern w:val="0"/>
          <w:sz w:val="24"/>
        </w:rPr>
      </w:pPr>
      <w:r w:rsidRPr="0097021E">
        <w:rPr>
          <w:rFonts w:ascii="宋体" w:hAnsi="宋体" w:cs="Arial"/>
          <w:b/>
          <w:color w:val="000000"/>
          <w:kern w:val="0"/>
          <w:sz w:val="24"/>
        </w:rPr>
        <w:t xml:space="preserve">4.4 </w:t>
      </w:r>
      <w:r w:rsidRPr="0097021E">
        <w:rPr>
          <w:rFonts w:ascii="宋体" w:hAnsi="宋体" w:cs="Arial" w:hint="eastAsia"/>
          <w:b/>
          <w:color w:val="000000"/>
          <w:kern w:val="0"/>
          <w:sz w:val="24"/>
        </w:rPr>
        <w:t>报告期内基金的投资策略和业绩表现说明</w:t>
      </w:r>
    </w:p>
    <w:p w:rsidR="00941F6C" w:rsidRPr="0097021E" w:rsidRDefault="00941F6C" w:rsidP="009A755D">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97021E">
          <w:rPr>
            <w:rFonts w:ascii="宋体" w:hAnsi="宋体"/>
            <w:sz w:val="24"/>
          </w:rPr>
          <w:t>4.4.1</w:t>
        </w:r>
      </w:smartTag>
      <w:r w:rsidRPr="0097021E">
        <w:rPr>
          <w:rFonts w:ascii="宋体" w:hAnsi="宋体" w:hint="eastAsia"/>
          <w:sz w:val="24"/>
        </w:rPr>
        <w:t>报告期内基金投资策略和运作分析</w:t>
      </w:r>
    </w:p>
    <w:p w:rsidR="000E725A" w:rsidRDefault="002D603E">
      <w:pPr>
        <w:adjustRightInd w:val="0"/>
        <w:spacing w:line="360" w:lineRule="auto"/>
        <w:ind w:firstLineChars="200" w:firstLine="480"/>
        <w:rPr>
          <w:color w:val="000000"/>
          <w:sz w:val="24"/>
        </w:rPr>
      </w:pPr>
      <w:r>
        <w:rPr>
          <w:color w:val="000000"/>
          <w:sz w:val="24"/>
        </w:rPr>
        <w:t>2020</w:t>
      </w:r>
      <w:r>
        <w:rPr>
          <w:color w:val="000000"/>
          <w:sz w:val="24"/>
        </w:rPr>
        <w:t>年一季度，受新冠疫情影响，国内金融市场避险情绪浓厚，债市收益率大幅震荡下行。分阶段来看，年初，在</w:t>
      </w:r>
      <w:r>
        <w:rPr>
          <w:color w:val="000000"/>
          <w:sz w:val="24"/>
        </w:rPr>
        <w:t>CPI</w:t>
      </w:r>
      <w:r>
        <w:rPr>
          <w:color w:val="000000"/>
          <w:sz w:val="24"/>
        </w:rPr>
        <w:t>低于预期和较为宽松的资金面的双重推动下，债市收益率震荡下行。春节后第一个工作日，国内疫情推升避险情绪，长债收益率单日下行接近</w:t>
      </w:r>
      <w:r>
        <w:rPr>
          <w:color w:val="000000"/>
          <w:sz w:val="24"/>
        </w:rPr>
        <w:t>20BP</w:t>
      </w:r>
      <w:r>
        <w:rPr>
          <w:color w:val="000000"/>
          <w:sz w:val="24"/>
        </w:rPr>
        <w:t>。随后，随着国内疫情逐渐好转和复工预期升温，权益市场走强，债市进入小幅震荡调整模式。</w:t>
      </w:r>
      <w:r>
        <w:rPr>
          <w:color w:val="000000"/>
          <w:sz w:val="24"/>
        </w:rPr>
        <w:t>3</w:t>
      </w:r>
      <w:r>
        <w:rPr>
          <w:color w:val="000000"/>
          <w:sz w:val="24"/>
        </w:rPr>
        <w:t>月初，海外疫情超预期爆发，美联储紧急降息，加之油价暴跌，海外市场不确定性的提升，推动了长债收益率再度大幅下行。在全球股市暴跌引发流动性危机之后，美联储在</w:t>
      </w:r>
      <w:r>
        <w:rPr>
          <w:color w:val="000000"/>
          <w:sz w:val="24"/>
        </w:rPr>
        <w:t>3</w:t>
      </w:r>
      <w:r>
        <w:rPr>
          <w:color w:val="000000"/>
          <w:sz w:val="24"/>
        </w:rPr>
        <w:t>月末开启了无限流动性支持，而此时国内降息预期也在持续发酵，债市收益率继续下行。</w:t>
      </w:r>
    </w:p>
    <w:p w:rsidR="000E725A" w:rsidRDefault="002D603E">
      <w:pPr>
        <w:adjustRightInd w:val="0"/>
        <w:spacing w:line="360" w:lineRule="auto"/>
        <w:ind w:firstLineChars="200" w:firstLine="480"/>
        <w:rPr>
          <w:color w:val="000000"/>
          <w:sz w:val="24"/>
        </w:rPr>
      </w:pPr>
      <w:r>
        <w:rPr>
          <w:color w:val="000000"/>
          <w:sz w:val="24"/>
        </w:rPr>
        <w:t>货币政策在一季度延续了去年</w:t>
      </w:r>
      <w:r>
        <w:rPr>
          <w:color w:val="000000"/>
          <w:sz w:val="24"/>
        </w:rPr>
        <w:t>12</w:t>
      </w:r>
      <w:r>
        <w:rPr>
          <w:color w:val="000000"/>
          <w:sz w:val="24"/>
        </w:rPr>
        <w:t>月中旬后的政策宽松边际加大的基调。</w:t>
      </w:r>
      <w:r>
        <w:rPr>
          <w:color w:val="000000"/>
          <w:sz w:val="24"/>
        </w:rPr>
        <w:t>1</w:t>
      </w:r>
      <w:r>
        <w:rPr>
          <w:color w:val="000000"/>
          <w:sz w:val="24"/>
        </w:rPr>
        <w:t>月，央行下调金融机构存款准备金率</w:t>
      </w:r>
      <w:r>
        <w:rPr>
          <w:color w:val="000000"/>
          <w:sz w:val="24"/>
        </w:rPr>
        <w:t>0.5</w:t>
      </w:r>
      <w:r>
        <w:rPr>
          <w:color w:val="000000"/>
          <w:sz w:val="24"/>
        </w:rPr>
        <w:t>个百分点，释放长期资金</w:t>
      </w:r>
      <w:r>
        <w:rPr>
          <w:color w:val="000000"/>
          <w:sz w:val="24"/>
        </w:rPr>
        <w:t>8000</w:t>
      </w:r>
      <w:r>
        <w:rPr>
          <w:color w:val="000000"/>
          <w:sz w:val="24"/>
        </w:rPr>
        <w:t>多亿；中旬投放</w:t>
      </w:r>
      <w:r>
        <w:rPr>
          <w:color w:val="000000"/>
          <w:sz w:val="24"/>
        </w:rPr>
        <w:t>MLF</w:t>
      </w:r>
      <w:r>
        <w:rPr>
          <w:color w:val="000000"/>
          <w:sz w:val="24"/>
        </w:rPr>
        <w:t>（中期借贷便利）</w:t>
      </w:r>
      <w:r>
        <w:rPr>
          <w:color w:val="000000"/>
          <w:sz w:val="24"/>
        </w:rPr>
        <w:t>3000</w:t>
      </w:r>
      <w:r>
        <w:rPr>
          <w:color w:val="000000"/>
          <w:sz w:val="24"/>
        </w:rPr>
        <w:t>亿。</w:t>
      </w:r>
      <w:r>
        <w:rPr>
          <w:color w:val="000000"/>
          <w:sz w:val="24"/>
        </w:rPr>
        <w:t>2</w:t>
      </w:r>
      <w:r>
        <w:rPr>
          <w:color w:val="000000"/>
          <w:sz w:val="24"/>
        </w:rPr>
        <w:t>月，随着疫情在国内的快速爆发，货币政策进入</w:t>
      </w:r>
      <w:r>
        <w:rPr>
          <w:color w:val="000000"/>
          <w:sz w:val="24"/>
        </w:rPr>
        <w:t>“</w:t>
      </w:r>
      <w:r>
        <w:rPr>
          <w:color w:val="000000"/>
          <w:sz w:val="24"/>
        </w:rPr>
        <w:t>危机模式</w:t>
      </w:r>
      <w:r>
        <w:rPr>
          <w:color w:val="000000"/>
          <w:sz w:val="24"/>
        </w:rPr>
        <w:t>”</w:t>
      </w:r>
      <w:r>
        <w:rPr>
          <w:color w:val="000000"/>
          <w:sz w:val="24"/>
        </w:rPr>
        <w:t>，春节后立即下调公开市场</w:t>
      </w:r>
      <w:r>
        <w:rPr>
          <w:color w:val="000000"/>
          <w:sz w:val="24"/>
        </w:rPr>
        <w:t>7</w:t>
      </w:r>
      <w:r>
        <w:rPr>
          <w:color w:val="000000"/>
          <w:sz w:val="24"/>
        </w:rPr>
        <w:t>天和</w:t>
      </w:r>
      <w:r>
        <w:rPr>
          <w:color w:val="000000"/>
          <w:sz w:val="24"/>
        </w:rPr>
        <w:t>14</w:t>
      </w:r>
      <w:r>
        <w:rPr>
          <w:color w:val="000000"/>
          <w:sz w:val="24"/>
        </w:rPr>
        <w:t>天逆回购利率各</w:t>
      </w:r>
      <w:r>
        <w:rPr>
          <w:color w:val="000000"/>
          <w:sz w:val="24"/>
        </w:rPr>
        <w:t>10BP</w:t>
      </w:r>
      <w:r>
        <w:rPr>
          <w:color w:val="000000"/>
          <w:sz w:val="24"/>
        </w:rPr>
        <w:t>；月中再度投放</w:t>
      </w:r>
      <w:r>
        <w:rPr>
          <w:color w:val="000000"/>
          <w:sz w:val="24"/>
        </w:rPr>
        <w:t>MLF2000</w:t>
      </w:r>
      <w:r>
        <w:rPr>
          <w:color w:val="000000"/>
          <w:sz w:val="24"/>
        </w:rPr>
        <w:t>亿，并下调利率</w:t>
      </w:r>
      <w:r>
        <w:rPr>
          <w:color w:val="000000"/>
          <w:sz w:val="24"/>
        </w:rPr>
        <w:t>10BP</w:t>
      </w:r>
      <w:r>
        <w:rPr>
          <w:color w:val="000000"/>
          <w:sz w:val="24"/>
        </w:rPr>
        <w:t>；随后分别下调</w:t>
      </w:r>
      <w:r>
        <w:rPr>
          <w:color w:val="000000"/>
          <w:sz w:val="24"/>
        </w:rPr>
        <w:t>1</w:t>
      </w:r>
      <w:r>
        <w:rPr>
          <w:color w:val="000000"/>
          <w:sz w:val="24"/>
        </w:rPr>
        <w:t>年和</w:t>
      </w:r>
      <w:r>
        <w:rPr>
          <w:color w:val="000000"/>
          <w:sz w:val="24"/>
        </w:rPr>
        <w:t>5</w:t>
      </w:r>
      <w:r>
        <w:rPr>
          <w:color w:val="000000"/>
          <w:sz w:val="24"/>
        </w:rPr>
        <w:t>年期</w:t>
      </w:r>
      <w:r>
        <w:rPr>
          <w:color w:val="000000"/>
          <w:sz w:val="24"/>
        </w:rPr>
        <w:t>LPR</w:t>
      </w:r>
      <w:r>
        <w:rPr>
          <w:color w:val="000000"/>
          <w:sz w:val="24"/>
        </w:rPr>
        <w:t>（贷款基础利率）</w:t>
      </w:r>
      <w:r>
        <w:rPr>
          <w:color w:val="000000"/>
          <w:sz w:val="24"/>
        </w:rPr>
        <w:t>10BP</w:t>
      </w:r>
      <w:r>
        <w:rPr>
          <w:color w:val="000000"/>
          <w:sz w:val="24"/>
        </w:rPr>
        <w:t>和</w:t>
      </w:r>
      <w:r>
        <w:rPr>
          <w:color w:val="000000"/>
          <w:sz w:val="24"/>
        </w:rPr>
        <w:t>5BP</w:t>
      </w:r>
      <w:r>
        <w:rPr>
          <w:color w:val="000000"/>
          <w:sz w:val="24"/>
        </w:rPr>
        <w:t>，并于</w:t>
      </w:r>
      <w:r>
        <w:rPr>
          <w:color w:val="000000"/>
          <w:sz w:val="24"/>
        </w:rPr>
        <w:t>3</w:t>
      </w:r>
      <w:r>
        <w:rPr>
          <w:color w:val="000000"/>
          <w:sz w:val="24"/>
        </w:rPr>
        <w:t>月起开展存量浮动利率个人贷款定价基准转换工作，进一步推动全社会融资成本下行。</w:t>
      </w:r>
      <w:r>
        <w:rPr>
          <w:color w:val="000000"/>
          <w:sz w:val="24"/>
        </w:rPr>
        <w:t>3</w:t>
      </w:r>
      <w:r>
        <w:rPr>
          <w:color w:val="000000"/>
          <w:sz w:val="24"/>
        </w:rPr>
        <w:t>月，海外央行由于疫情原因纷纷开启降息，而我国由于疫情已得到初步控制，央行坚持精准滴灌和灵活适度的操作，以支持疫情防控、复工复产和实体经济发展。央行运用多种货币工具，在月中投放了</w:t>
      </w:r>
      <w:r>
        <w:rPr>
          <w:color w:val="000000"/>
          <w:sz w:val="24"/>
        </w:rPr>
        <w:t>MLF1000</w:t>
      </w:r>
      <w:r>
        <w:rPr>
          <w:color w:val="000000"/>
          <w:sz w:val="24"/>
        </w:rPr>
        <w:t>亿，并实施定向降准，释放长期资金</w:t>
      </w:r>
      <w:r>
        <w:rPr>
          <w:color w:val="000000"/>
          <w:sz w:val="24"/>
        </w:rPr>
        <w:t>5500</w:t>
      </w:r>
      <w:r>
        <w:rPr>
          <w:color w:val="000000"/>
          <w:sz w:val="24"/>
        </w:rPr>
        <w:t>亿；</w:t>
      </w:r>
      <w:r>
        <w:rPr>
          <w:color w:val="000000"/>
          <w:sz w:val="24"/>
        </w:rPr>
        <w:t>3</w:t>
      </w:r>
      <w:r>
        <w:rPr>
          <w:color w:val="000000"/>
          <w:sz w:val="24"/>
        </w:rPr>
        <w:t>月末在美联储开启无限流动性支持后，再次大幅下调公开市场</w:t>
      </w:r>
      <w:r>
        <w:rPr>
          <w:color w:val="000000"/>
          <w:sz w:val="24"/>
        </w:rPr>
        <w:t>7</w:t>
      </w:r>
      <w:r>
        <w:rPr>
          <w:color w:val="000000"/>
          <w:sz w:val="24"/>
        </w:rPr>
        <w:t>天逆回购利率</w:t>
      </w:r>
      <w:r>
        <w:rPr>
          <w:color w:val="000000"/>
          <w:sz w:val="24"/>
        </w:rPr>
        <w:t>20BP</w:t>
      </w:r>
      <w:r>
        <w:rPr>
          <w:color w:val="000000"/>
          <w:sz w:val="24"/>
        </w:rPr>
        <w:t>。</w:t>
      </w:r>
    </w:p>
    <w:p w:rsidR="000E725A" w:rsidRDefault="002D603E">
      <w:pPr>
        <w:adjustRightInd w:val="0"/>
        <w:spacing w:line="360" w:lineRule="auto"/>
        <w:ind w:firstLineChars="200" w:firstLine="480"/>
        <w:rPr>
          <w:color w:val="000000"/>
          <w:sz w:val="24"/>
        </w:rPr>
      </w:pPr>
      <w:r>
        <w:rPr>
          <w:color w:val="000000"/>
          <w:sz w:val="24"/>
        </w:rPr>
        <w:t>整体来看，</w:t>
      </w:r>
      <w:r>
        <w:rPr>
          <w:color w:val="000000"/>
          <w:sz w:val="24"/>
        </w:rPr>
        <w:t>2020</w:t>
      </w:r>
      <w:r>
        <w:rPr>
          <w:color w:val="000000"/>
          <w:sz w:val="24"/>
        </w:rPr>
        <w:t>年一季度市场避险情绪浓厚，货币政策宽松，货币市场流动性合理充裕，货币市场利率降至近几年最低点。受此影响，货币市场基金收益率较前一季度下行明显。</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操作方面，报告期内基金以同业存单、同业存款、短期逆回购为主要配置资产，同时根据自身的客户结构特性进行了资产配置，维持了适当的剩余期限和杠杆率。总体来看，组合在一季度保持了较好的流动性和稳定的收益率。</w:t>
      </w:r>
    </w:p>
    <w:p w:rsidR="00941F6C" w:rsidRPr="0097021E" w:rsidRDefault="00941F6C" w:rsidP="009A755D">
      <w:pPr>
        <w:spacing w:line="360" w:lineRule="auto"/>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97021E">
          <w:rPr>
            <w:rFonts w:ascii="宋体" w:hAnsi="宋体"/>
            <w:sz w:val="24"/>
          </w:rPr>
          <w:t>4.4.2</w:t>
        </w:r>
      </w:smartTag>
      <w:r w:rsidRPr="0097021E">
        <w:rPr>
          <w:rFonts w:ascii="宋体" w:hAnsi="宋体" w:hint="eastAsia"/>
          <w:sz w:val="24"/>
        </w:rPr>
        <w:t>报告期内基金的业绩表现</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本基金本报告期内</w:t>
      </w:r>
      <w:r w:rsidRPr="00A15461">
        <w:rPr>
          <w:color w:val="000000"/>
          <w:sz w:val="24"/>
        </w:rPr>
        <w:t>A</w:t>
      </w:r>
      <w:r w:rsidRPr="00A15461">
        <w:rPr>
          <w:color w:val="000000"/>
          <w:sz w:val="24"/>
        </w:rPr>
        <w:t>类基金份额净值收益率为</w:t>
      </w:r>
      <w:r w:rsidRPr="00A15461">
        <w:rPr>
          <w:color w:val="000000"/>
          <w:sz w:val="24"/>
        </w:rPr>
        <w:t>0.5646%</w:t>
      </w:r>
      <w:r w:rsidRPr="00A15461">
        <w:rPr>
          <w:color w:val="000000"/>
          <w:sz w:val="24"/>
        </w:rPr>
        <w:t>；</w:t>
      </w:r>
      <w:r w:rsidRPr="00A15461">
        <w:rPr>
          <w:color w:val="000000"/>
          <w:sz w:val="24"/>
        </w:rPr>
        <w:t>B</w:t>
      </w:r>
      <w:r w:rsidRPr="00A15461">
        <w:rPr>
          <w:color w:val="000000"/>
          <w:sz w:val="24"/>
        </w:rPr>
        <w:t>类基金份额净值收益率为</w:t>
      </w:r>
      <w:r w:rsidRPr="00A15461">
        <w:rPr>
          <w:color w:val="000000"/>
          <w:sz w:val="24"/>
        </w:rPr>
        <w:t>0.6243%</w:t>
      </w:r>
      <w:r w:rsidRPr="00A15461">
        <w:rPr>
          <w:color w:val="000000"/>
          <w:sz w:val="24"/>
        </w:rPr>
        <w:t>；同期业绩比较基准收益率为</w:t>
      </w:r>
      <w:r w:rsidRPr="00A15461">
        <w:rPr>
          <w:color w:val="000000"/>
          <w:sz w:val="24"/>
        </w:rPr>
        <w:t>0.3418%</w:t>
      </w:r>
      <w:r w:rsidRPr="00A15461">
        <w:rPr>
          <w:color w:val="000000"/>
          <w:sz w:val="24"/>
        </w:rPr>
        <w:t>。</w:t>
      </w:r>
    </w:p>
    <w:p w:rsidR="00941F6C" w:rsidRPr="0097021E" w:rsidRDefault="00941F6C"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5  </w:t>
      </w:r>
      <w:r w:rsidRPr="0097021E">
        <w:rPr>
          <w:rFonts w:ascii="宋体" w:hAnsi="宋体" w:cs="Arial" w:hint="eastAsia"/>
          <w:color w:val="000000"/>
          <w:kern w:val="0"/>
          <w:sz w:val="24"/>
          <w:szCs w:val="24"/>
        </w:rPr>
        <w:t>投资组合报告</w:t>
      </w:r>
    </w:p>
    <w:p w:rsidR="00941F6C" w:rsidRPr="0097021E" w:rsidRDefault="00941F6C" w:rsidP="003A0EC1">
      <w:pPr>
        <w:spacing w:line="360" w:lineRule="auto"/>
        <w:rPr>
          <w:rFonts w:ascii="宋体" w:cs="Arial"/>
          <w:b/>
          <w:color w:val="000000"/>
          <w:kern w:val="0"/>
          <w:sz w:val="24"/>
        </w:rPr>
      </w:pPr>
      <w:r w:rsidRPr="0097021E">
        <w:rPr>
          <w:rFonts w:ascii="宋体" w:hAnsi="宋体" w:cs="Arial"/>
          <w:b/>
          <w:color w:val="000000"/>
          <w:kern w:val="0"/>
          <w:sz w:val="24"/>
        </w:rPr>
        <w:t xml:space="preserve">5.1 </w:t>
      </w:r>
      <w:r w:rsidRPr="0097021E">
        <w:rPr>
          <w:rFonts w:ascii="宋体" w:hAnsi="宋体" w:cs="Arial" w:hint="eastAsia"/>
          <w:b/>
          <w:color w:val="000000"/>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3119"/>
        <w:gridCol w:w="1843"/>
      </w:tblGrid>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序号</w:t>
            </w:r>
          </w:p>
        </w:tc>
        <w:tc>
          <w:tcPr>
            <w:tcW w:w="3357"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项目</w:t>
            </w:r>
          </w:p>
        </w:tc>
        <w:tc>
          <w:tcPr>
            <w:tcW w:w="3119"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金额</w:t>
            </w:r>
            <w:r w:rsidR="00DC22A1" w:rsidRPr="00A15461">
              <w:rPr>
                <w:color w:val="000000"/>
                <w:sz w:val="24"/>
              </w:rPr>
              <w:t>（元）</w:t>
            </w:r>
          </w:p>
        </w:tc>
        <w:tc>
          <w:tcPr>
            <w:tcW w:w="1843"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占基金总资产的比例</w:t>
            </w:r>
            <w:r w:rsidRPr="00A15461">
              <w:rPr>
                <w:color w:val="000000"/>
                <w:sz w:val="24"/>
              </w:rPr>
              <w:t>(%)</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1</w:t>
            </w:r>
          </w:p>
        </w:tc>
        <w:tc>
          <w:tcPr>
            <w:tcW w:w="3357" w:type="dxa"/>
            <w:vAlign w:val="center"/>
          </w:tcPr>
          <w:p w:rsidR="00941F6C" w:rsidRPr="00A15461" w:rsidRDefault="00941F6C" w:rsidP="00196812">
            <w:pPr>
              <w:spacing w:before="29" w:line="360" w:lineRule="auto"/>
              <w:ind w:left="17"/>
              <w:jc w:val="left"/>
              <w:rPr>
                <w:sz w:val="24"/>
              </w:rPr>
            </w:pPr>
            <w:r w:rsidRPr="00A15461">
              <w:rPr>
                <w:color w:val="000000"/>
                <w:sz w:val="24"/>
              </w:rPr>
              <w:t>固定收益投资</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2,557,067,173.55</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34.84</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p>
        </w:tc>
        <w:tc>
          <w:tcPr>
            <w:tcW w:w="3357" w:type="dxa"/>
            <w:vAlign w:val="center"/>
          </w:tcPr>
          <w:p w:rsidR="00941F6C" w:rsidRPr="00A15461" w:rsidRDefault="00941F6C" w:rsidP="00196812">
            <w:pPr>
              <w:spacing w:before="29" w:line="360" w:lineRule="auto"/>
              <w:ind w:left="17"/>
              <w:jc w:val="left"/>
              <w:rPr>
                <w:sz w:val="24"/>
              </w:rPr>
            </w:pPr>
            <w:r w:rsidRPr="00A15461">
              <w:rPr>
                <w:color w:val="000000"/>
                <w:sz w:val="24"/>
              </w:rPr>
              <w:t>其中：债券</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2,404,067,173.55</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32.75</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p>
        </w:tc>
        <w:tc>
          <w:tcPr>
            <w:tcW w:w="3357" w:type="dxa"/>
            <w:vAlign w:val="center"/>
          </w:tcPr>
          <w:p w:rsidR="00941F6C" w:rsidRPr="00A15461" w:rsidRDefault="00941F6C" w:rsidP="00196812">
            <w:pPr>
              <w:autoSpaceDE w:val="0"/>
              <w:autoSpaceDN w:val="0"/>
              <w:adjustRightInd w:val="0"/>
              <w:spacing w:before="29" w:line="360" w:lineRule="auto"/>
              <w:ind w:left="17"/>
              <w:jc w:val="left"/>
              <w:rPr>
                <w:color w:val="000000"/>
                <w:sz w:val="24"/>
              </w:rPr>
            </w:pPr>
            <w:r w:rsidRPr="00A15461">
              <w:rPr>
                <w:color w:val="000000"/>
                <w:sz w:val="24"/>
              </w:rPr>
              <w:t>资产支持证券</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153,000,000.00</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2.08</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2</w:t>
            </w:r>
          </w:p>
        </w:tc>
        <w:tc>
          <w:tcPr>
            <w:tcW w:w="3357" w:type="dxa"/>
            <w:vAlign w:val="center"/>
          </w:tcPr>
          <w:p w:rsidR="00941F6C" w:rsidRPr="00A15461" w:rsidRDefault="00941F6C" w:rsidP="00196812">
            <w:pPr>
              <w:spacing w:before="29" w:line="360" w:lineRule="auto"/>
              <w:ind w:left="17"/>
              <w:jc w:val="left"/>
              <w:rPr>
                <w:sz w:val="24"/>
              </w:rPr>
            </w:pPr>
            <w:r w:rsidRPr="00A15461">
              <w:rPr>
                <w:color w:val="000000"/>
                <w:sz w:val="24"/>
              </w:rPr>
              <w:t>买入返售金融资产</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2,620,452,685.68</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35.70</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p>
        </w:tc>
        <w:tc>
          <w:tcPr>
            <w:tcW w:w="3357" w:type="dxa"/>
            <w:vAlign w:val="center"/>
          </w:tcPr>
          <w:p w:rsidR="00941F6C" w:rsidRPr="00A15461" w:rsidRDefault="00941F6C" w:rsidP="00196812">
            <w:pPr>
              <w:spacing w:before="29" w:line="360" w:lineRule="auto"/>
              <w:ind w:left="17"/>
              <w:jc w:val="left"/>
              <w:rPr>
                <w:sz w:val="24"/>
              </w:rPr>
            </w:pPr>
            <w:r w:rsidRPr="00A15461">
              <w:rPr>
                <w:color w:val="000000"/>
                <w:sz w:val="24"/>
              </w:rPr>
              <w:t>其中：买断式回购的买入返售金融资产</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3</w:t>
            </w:r>
          </w:p>
        </w:tc>
        <w:tc>
          <w:tcPr>
            <w:tcW w:w="3357" w:type="dxa"/>
            <w:vAlign w:val="center"/>
          </w:tcPr>
          <w:p w:rsidR="00941F6C" w:rsidRPr="00A15461" w:rsidRDefault="00941F6C" w:rsidP="00196812">
            <w:pPr>
              <w:spacing w:before="29" w:line="360" w:lineRule="auto"/>
              <w:ind w:left="17"/>
              <w:jc w:val="left"/>
              <w:rPr>
                <w:sz w:val="24"/>
              </w:rPr>
            </w:pPr>
            <w:r w:rsidRPr="00A15461">
              <w:rPr>
                <w:color w:val="000000"/>
                <w:sz w:val="24"/>
              </w:rPr>
              <w:t>银行存款和结算备付金合计</w:t>
            </w:r>
          </w:p>
        </w:tc>
        <w:tc>
          <w:tcPr>
            <w:tcW w:w="3119"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2,135,366,093.53</w:t>
            </w:r>
          </w:p>
        </w:tc>
        <w:tc>
          <w:tcPr>
            <w:tcW w:w="1843" w:type="dxa"/>
            <w:vAlign w:val="center"/>
          </w:tcPr>
          <w:p w:rsidR="00941F6C" w:rsidRPr="00A15461" w:rsidRDefault="00941F6C" w:rsidP="00196812">
            <w:pPr>
              <w:spacing w:before="29" w:line="360" w:lineRule="auto"/>
              <w:ind w:left="17"/>
              <w:jc w:val="right"/>
              <w:rPr>
                <w:color w:val="000000"/>
                <w:sz w:val="24"/>
              </w:rPr>
            </w:pPr>
            <w:r w:rsidRPr="00A15461">
              <w:rPr>
                <w:color w:val="000000"/>
                <w:sz w:val="24"/>
              </w:rPr>
              <w:t>29.09</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4</w:t>
            </w:r>
          </w:p>
        </w:tc>
        <w:tc>
          <w:tcPr>
            <w:tcW w:w="3357" w:type="dxa"/>
            <w:vAlign w:val="center"/>
          </w:tcPr>
          <w:p w:rsidR="00941F6C" w:rsidRPr="00A15461" w:rsidRDefault="00941F6C" w:rsidP="00196812">
            <w:pPr>
              <w:spacing w:line="360" w:lineRule="auto"/>
              <w:jc w:val="left"/>
              <w:rPr>
                <w:sz w:val="24"/>
              </w:rPr>
            </w:pPr>
            <w:r w:rsidRPr="00A15461">
              <w:rPr>
                <w:color w:val="000000"/>
                <w:sz w:val="24"/>
              </w:rPr>
              <w:t>其他资产</w:t>
            </w:r>
          </w:p>
        </w:tc>
        <w:tc>
          <w:tcPr>
            <w:tcW w:w="3119" w:type="dxa"/>
            <w:vAlign w:val="center"/>
          </w:tcPr>
          <w:p w:rsidR="00941F6C" w:rsidRPr="00A15461" w:rsidRDefault="00941F6C" w:rsidP="00196812">
            <w:pPr>
              <w:spacing w:line="360" w:lineRule="auto"/>
              <w:jc w:val="right"/>
              <w:rPr>
                <w:color w:val="000000"/>
                <w:sz w:val="24"/>
              </w:rPr>
            </w:pPr>
            <w:r w:rsidRPr="00A15461">
              <w:rPr>
                <w:color w:val="000000"/>
                <w:sz w:val="24"/>
              </w:rPr>
              <w:t>27,515,574.51</w:t>
            </w:r>
          </w:p>
        </w:tc>
        <w:tc>
          <w:tcPr>
            <w:tcW w:w="1843" w:type="dxa"/>
            <w:vAlign w:val="center"/>
          </w:tcPr>
          <w:p w:rsidR="00941F6C" w:rsidRPr="00A15461" w:rsidRDefault="00941F6C" w:rsidP="00196812">
            <w:pPr>
              <w:spacing w:line="360" w:lineRule="auto"/>
              <w:jc w:val="right"/>
              <w:rPr>
                <w:color w:val="000000"/>
                <w:sz w:val="24"/>
              </w:rPr>
            </w:pPr>
            <w:r w:rsidRPr="00A15461">
              <w:rPr>
                <w:color w:val="000000"/>
                <w:sz w:val="24"/>
              </w:rPr>
              <w:t>0.37</w:t>
            </w:r>
          </w:p>
        </w:tc>
      </w:tr>
      <w:tr w:rsidR="00941F6C" w:rsidRPr="0097021E" w:rsidTr="000A7480">
        <w:tc>
          <w:tcPr>
            <w:tcW w:w="720" w:type="dxa"/>
            <w:vAlign w:val="center"/>
          </w:tcPr>
          <w:p w:rsidR="00941F6C" w:rsidRPr="00A15461" w:rsidRDefault="00941F6C" w:rsidP="00196812">
            <w:pPr>
              <w:spacing w:before="29" w:line="360" w:lineRule="auto"/>
              <w:ind w:left="17"/>
              <w:jc w:val="center"/>
              <w:rPr>
                <w:color w:val="000000"/>
                <w:sz w:val="24"/>
              </w:rPr>
            </w:pPr>
            <w:r w:rsidRPr="00A15461">
              <w:rPr>
                <w:color w:val="000000"/>
                <w:sz w:val="24"/>
              </w:rPr>
              <w:t>5</w:t>
            </w:r>
          </w:p>
        </w:tc>
        <w:tc>
          <w:tcPr>
            <w:tcW w:w="3357" w:type="dxa"/>
            <w:vAlign w:val="center"/>
          </w:tcPr>
          <w:p w:rsidR="00941F6C" w:rsidRPr="00A15461" w:rsidRDefault="00941F6C" w:rsidP="00196812">
            <w:pPr>
              <w:spacing w:line="360" w:lineRule="auto"/>
              <w:jc w:val="left"/>
              <w:rPr>
                <w:sz w:val="24"/>
              </w:rPr>
            </w:pPr>
            <w:r w:rsidRPr="00A15461">
              <w:rPr>
                <w:color w:val="000000"/>
                <w:sz w:val="24"/>
              </w:rPr>
              <w:t>合计</w:t>
            </w:r>
          </w:p>
        </w:tc>
        <w:tc>
          <w:tcPr>
            <w:tcW w:w="3119" w:type="dxa"/>
            <w:vAlign w:val="center"/>
          </w:tcPr>
          <w:p w:rsidR="00941F6C" w:rsidRPr="00A15461" w:rsidRDefault="00941F6C" w:rsidP="00196812">
            <w:pPr>
              <w:spacing w:line="360" w:lineRule="auto"/>
              <w:jc w:val="right"/>
              <w:rPr>
                <w:color w:val="000000"/>
                <w:sz w:val="24"/>
              </w:rPr>
            </w:pPr>
            <w:r w:rsidRPr="00A15461">
              <w:rPr>
                <w:color w:val="000000"/>
                <w:sz w:val="24"/>
              </w:rPr>
              <w:t>7,340,401,527.27</w:t>
            </w:r>
          </w:p>
        </w:tc>
        <w:tc>
          <w:tcPr>
            <w:tcW w:w="1843" w:type="dxa"/>
            <w:vAlign w:val="center"/>
          </w:tcPr>
          <w:p w:rsidR="00941F6C" w:rsidRPr="00A15461" w:rsidRDefault="00941F6C" w:rsidP="00196812">
            <w:pPr>
              <w:spacing w:line="360" w:lineRule="auto"/>
              <w:jc w:val="right"/>
              <w:rPr>
                <w:color w:val="000000"/>
                <w:sz w:val="24"/>
              </w:rPr>
            </w:pPr>
            <w:r w:rsidRPr="00A15461">
              <w:rPr>
                <w:color w:val="000000"/>
                <w:sz w:val="24"/>
              </w:rPr>
              <w:t>100.00</w:t>
            </w:r>
          </w:p>
        </w:tc>
      </w:tr>
    </w:tbl>
    <w:p w:rsidR="00941F6C" w:rsidRPr="0097021E" w:rsidRDefault="00941F6C" w:rsidP="00196812">
      <w:pPr>
        <w:spacing w:line="360" w:lineRule="auto"/>
        <w:rPr>
          <w:rFonts w:ascii="宋体" w:cs="Arial"/>
          <w:b/>
          <w:color w:val="000000"/>
          <w:kern w:val="0"/>
          <w:sz w:val="24"/>
        </w:rPr>
      </w:pPr>
      <w:r w:rsidRPr="0097021E">
        <w:rPr>
          <w:rFonts w:ascii="宋体" w:hAnsi="宋体" w:cs="Arial"/>
          <w:b/>
          <w:color w:val="000000"/>
          <w:kern w:val="0"/>
          <w:sz w:val="24"/>
        </w:rPr>
        <w:t xml:space="preserve">5.2 </w:t>
      </w:r>
      <w:r w:rsidRPr="0097021E">
        <w:rPr>
          <w:rFonts w:ascii="宋体" w:hAnsi="宋体" w:cs="Arial" w:hint="eastAsia"/>
          <w:b/>
          <w:color w:val="000000"/>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941F6C" w:rsidRPr="0097021E" w:rsidTr="00F11244">
        <w:tc>
          <w:tcPr>
            <w:tcW w:w="86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kern w:val="0"/>
                <w:sz w:val="24"/>
              </w:rPr>
            </w:pPr>
            <w:r w:rsidRPr="00A15461">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kern w:val="0"/>
                <w:sz w:val="24"/>
              </w:rPr>
            </w:pPr>
            <w:r w:rsidRPr="00A15461">
              <w:rPr>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kern w:val="0"/>
                <w:sz w:val="24"/>
              </w:rPr>
            </w:pPr>
            <w:r w:rsidRPr="00A15461">
              <w:rPr>
                <w:color w:val="000000"/>
                <w:kern w:val="0"/>
                <w:sz w:val="24"/>
              </w:rPr>
              <w:t>占基金资产净值的比例（％）</w:t>
            </w:r>
          </w:p>
        </w:tc>
      </w:tr>
      <w:tr w:rsidR="00941F6C" w:rsidRPr="0097021E" w:rsidTr="00F11244">
        <w:tc>
          <w:tcPr>
            <w:tcW w:w="861" w:type="dxa"/>
            <w:tcBorders>
              <w:top w:val="single" w:sz="8" w:space="0" w:color="000000"/>
              <w:left w:val="single" w:sz="8" w:space="0" w:color="000000"/>
              <w:right w:val="single" w:sz="8" w:space="0" w:color="000000"/>
            </w:tcBorders>
            <w:vAlign w:val="center"/>
          </w:tcPr>
          <w:p w:rsidR="00941F6C" w:rsidRPr="00A15461" w:rsidRDefault="00941F6C" w:rsidP="00196812">
            <w:pPr>
              <w:spacing w:line="360" w:lineRule="auto"/>
              <w:rPr>
                <w:color w:val="000000"/>
                <w:kern w:val="0"/>
                <w:sz w:val="24"/>
              </w:rPr>
            </w:pPr>
            <w:r w:rsidRPr="00A15461">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941F6C" w:rsidRPr="00A15461" w:rsidRDefault="00941F6C" w:rsidP="00196812">
            <w:pPr>
              <w:spacing w:line="360" w:lineRule="auto"/>
              <w:rPr>
                <w:sz w:val="24"/>
              </w:rPr>
            </w:pPr>
            <w:r w:rsidRPr="00A15461">
              <w:rPr>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5.57</w:t>
            </w:r>
          </w:p>
        </w:tc>
      </w:tr>
      <w:tr w:rsidR="00941F6C" w:rsidRPr="0097021E" w:rsidTr="00F11244">
        <w:trPr>
          <w:trHeight w:val="712"/>
        </w:trPr>
        <w:tc>
          <w:tcPr>
            <w:tcW w:w="861" w:type="dxa"/>
            <w:tcBorders>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941F6C" w:rsidRPr="00A15461" w:rsidRDefault="00941F6C" w:rsidP="00196812">
            <w:pPr>
              <w:spacing w:line="360" w:lineRule="auto"/>
              <w:rPr>
                <w:sz w:val="24"/>
              </w:rPr>
            </w:pPr>
            <w:r w:rsidRPr="00A15461">
              <w:rPr>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w:t>
            </w:r>
          </w:p>
        </w:tc>
      </w:tr>
      <w:tr w:rsidR="00941F6C" w:rsidRPr="0097021E" w:rsidTr="00F11244">
        <w:tc>
          <w:tcPr>
            <w:tcW w:w="861" w:type="dxa"/>
            <w:tcBorders>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sz w:val="24"/>
              </w:rPr>
            </w:pPr>
            <w:r w:rsidRPr="00A15461">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941F6C" w:rsidRPr="00A15461" w:rsidRDefault="00941F6C" w:rsidP="00196812">
            <w:pPr>
              <w:spacing w:line="360" w:lineRule="auto"/>
              <w:rPr>
                <w:sz w:val="24"/>
              </w:rPr>
            </w:pPr>
            <w:r w:rsidRPr="00A15461">
              <w:rPr>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color w:val="000000"/>
                <w:kern w:val="0"/>
                <w:sz w:val="24"/>
              </w:rPr>
              <w:t>占基金资产净值的比例（％）</w:t>
            </w:r>
          </w:p>
        </w:tc>
      </w:tr>
      <w:tr w:rsidR="00941F6C" w:rsidRPr="0097021E" w:rsidTr="00F11244">
        <w:tc>
          <w:tcPr>
            <w:tcW w:w="861" w:type="dxa"/>
            <w:vMerge w:val="restart"/>
            <w:tcBorders>
              <w:top w:val="single" w:sz="8" w:space="0" w:color="000000"/>
              <w:left w:val="single" w:sz="8" w:space="0" w:color="000000"/>
              <w:right w:val="single" w:sz="8" w:space="0" w:color="000000"/>
            </w:tcBorders>
            <w:vAlign w:val="center"/>
          </w:tcPr>
          <w:p w:rsidR="00941F6C" w:rsidRPr="00A15461" w:rsidRDefault="00941F6C" w:rsidP="00196812">
            <w:pPr>
              <w:spacing w:line="360" w:lineRule="auto"/>
              <w:rPr>
                <w:color w:val="000000"/>
                <w:sz w:val="24"/>
              </w:rPr>
            </w:pPr>
            <w:r w:rsidRPr="00A15461">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tcPr>
          <w:p w:rsidR="00941F6C" w:rsidRPr="00A15461" w:rsidRDefault="00941F6C" w:rsidP="00196812">
            <w:pPr>
              <w:spacing w:line="360" w:lineRule="auto"/>
              <w:rPr>
                <w:sz w:val="24"/>
              </w:rPr>
            </w:pPr>
            <w:r w:rsidRPr="00A15461">
              <w:rPr>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613,934,293.03</w:t>
            </w:r>
          </w:p>
        </w:tc>
        <w:tc>
          <w:tcPr>
            <w:tcW w:w="212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9.13</w:t>
            </w:r>
          </w:p>
        </w:tc>
      </w:tr>
      <w:tr w:rsidR="00941F6C" w:rsidRPr="0097021E" w:rsidTr="00F11244">
        <w:tc>
          <w:tcPr>
            <w:tcW w:w="861" w:type="dxa"/>
            <w:vMerge/>
            <w:tcBorders>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tcPr>
          <w:p w:rsidR="00941F6C" w:rsidRPr="00A15461" w:rsidRDefault="00941F6C" w:rsidP="00196812">
            <w:pPr>
              <w:spacing w:line="360" w:lineRule="auto"/>
              <w:rPr>
                <w:sz w:val="24"/>
              </w:rPr>
            </w:pPr>
            <w:r w:rsidRPr="00A15461">
              <w:rPr>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rPr>
                <w:sz w:val="24"/>
              </w:rPr>
            </w:pPr>
            <w:r w:rsidRPr="00A15461">
              <w:rPr>
                <w:sz w:val="24"/>
              </w:rPr>
              <w:t>-</w:t>
            </w:r>
          </w:p>
        </w:tc>
      </w:tr>
    </w:tbl>
    <w:p w:rsidR="00941F6C" w:rsidRPr="00A15461" w:rsidRDefault="00941F6C" w:rsidP="00A15461">
      <w:pPr>
        <w:adjustRightInd w:val="0"/>
        <w:spacing w:line="360" w:lineRule="auto"/>
        <w:ind w:firstLineChars="200" w:firstLine="480"/>
        <w:rPr>
          <w:color w:val="000000"/>
          <w:sz w:val="24"/>
        </w:rPr>
      </w:pPr>
      <w:r w:rsidRPr="00A15461">
        <w:rPr>
          <w:color w:val="000000"/>
          <w:sz w:val="24"/>
        </w:rPr>
        <w:t>注：上表中报告期内债券回购融资余额占基金资产净值的比例为报告期内每个交易日融资余额占基金资产净值比例的简单平均值。</w:t>
      </w:r>
    </w:p>
    <w:p w:rsidR="00941F6C" w:rsidRPr="003A0EC1" w:rsidRDefault="00941F6C" w:rsidP="00196812">
      <w:pPr>
        <w:spacing w:line="360" w:lineRule="auto"/>
        <w:rPr>
          <w:rFonts w:ascii="宋体" w:cs="Arial"/>
          <w:b/>
          <w:color w:val="000000"/>
          <w:kern w:val="0"/>
          <w:sz w:val="24"/>
        </w:rPr>
      </w:pPr>
      <w:r w:rsidRPr="003A0EC1">
        <w:rPr>
          <w:rFonts w:ascii="宋体" w:hAnsi="宋体" w:cs="Arial" w:hint="eastAsia"/>
          <w:b/>
          <w:color w:val="000000"/>
          <w:kern w:val="0"/>
          <w:sz w:val="24"/>
        </w:rPr>
        <w:t>债券正回购的资金余额超过基金资产净值的</w:t>
      </w:r>
      <w:r w:rsidRPr="003A0EC1">
        <w:rPr>
          <w:rFonts w:ascii="宋体" w:hAnsi="宋体" w:cs="Arial"/>
          <w:b/>
          <w:color w:val="000000"/>
          <w:kern w:val="0"/>
          <w:sz w:val="24"/>
        </w:rPr>
        <w:t>20</w:t>
      </w:r>
      <w:r w:rsidRPr="003A0EC1">
        <w:rPr>
          <w:rFonts w:ascii="宋体" w:hAnsi="宋体" w:cs="Arial" w:hint="eastAsia"/>
          <w:b/>
          <w:color w:val="000000"/>
          <w:kern w:val="0"/>
          <w:sz w:val="24"/>
        </w:rPr>
        <w:t>％的说明</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在本报告期内本货币市场基金债券正回购的资金余额未超过资产净值的</w:t>
      </w:r>
      <w:r w:rsidRPr="00A15461">
        <w:rPr>
          <w:color w:val="000000"/>
          <w:sz w:val="24"/>
        </w:rPr>
        <w:t>20%</w:t>
      </w:r>
      <w:r w:rsidRPr="00A15461">
        <w:rPr>
          <w:color w:val="000000"/>
          <w:sz w:val="24"/>
        </w:rPr>
        <w:t>。</w:t>
      </w:r>
    </w:p>
    <w:p w:rsidR="00941F6C" w:rsidRPr="0097021E" w:rsidRDefault="00941F6C"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 </w:t>
      </w:r>
      <w:r w:rsidRPr="0097021E">
        <w:rPr>
          <w:rFonts w:ascii="宋体" w:hAnsi="宋体" w:cs="Arial" w:hint="eastAsia"/>
          <w:b/>
          <w:color w:val="000000"/>
          <w:kern w:val="0"/>
          <w:sz w:val="24"/>
        </w:rPr>
        <w:t>基金投资组合平均剩余期限</w:t>
      </w:r>
    </w:p>
    <w:p w:rsidR="00941F6C" w:rsidRPr="0097021E" w:rsidRDefault="00941F6C" w:rsidP="00196812">
      <w:pPr>
        <w:spacing w:line="360" w:lineRule="auto"/>
        <w:rPr>
          <w:rFonts w:ascii="宋体" w:cs="Arial"/>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97021E">
          <w:rPr>
            <w:rFonts w:ascii="宋体" w:hAnsi="宋体" w:cs="Arial"/>
            <w:b/>
            <w:color w:val="000000"/>
            <w:kern w:val="0"/>
            <w:sz w:val="24"/>
          </w:rPr>
          <w:t>5.3.1</w:t>
        </w:r>
      </w:smartTag>
      <w:r w:rsidRPr="0097021E">
        <w:rPr>
          <w:rFonts w:ascii="宋体" w:hAnsi="宋体" w:cs="Arial" w:hint="eastAsia"/>
          <w:b/>
          <w:color w:val="000000"/>
          <w:kern w:val="0"/>
          <w:sz w:val="24"/>
        </w:rPr>
        <w:t>投资组合平均剩余期限基本情况</w:t>
      </w:r>
    </w:p>
    <w:tbl>
      <w:tblPr>
        <w:tblW w:w="0" w:type="auto"/>
        <w:tblInd w:w="108" w:type="dxa"/>
        <w:tblLayout w:type="fixed"/>
        <w:tblLook w:val="0000" w:firstRow="0" w:lastRow="0" w:firstColumn="0" w:lastColumn="0" w:noHBand="0" w:noVBand="0"/>
      </w:tblPr>
      <w:tblGrid>
        <w:gridCol w:w="4056"/>
        <w:gridCol w:w="5016"/>
      </w:tblGrid>
      <w:tr w:rsidR="00941F6C"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项目</w:t>
            </w:r>
          </w:p>
        </w:tc>
        <w:tc>
          <w:tcPr>
            <w:tcW w:w="501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天数</w:t>
            </w:r>
          </w:p>
        </w:tc>
      </w:tr>
      <w:tr w:rsidR="00941F6C"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ind w:right="120"/>
              <w:jc w:val="right"/>
              <w:rPr>
                <w:sz w:val="24"/>
              </w:rPr>
            </w:pPr>
            <w:r w:rsidRPr="00A15461">
              <w:rPr>
                <w:sz w:val="24"/>
              </w:rPr>
              <w:t>79</w:t>
            </w:r>
          </w:p>
        </w:tc>
      </w:tr>
      <w:tr w:rsidR="00941F6C"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jc w:val="right"/>
              <w:rPr>
                <w:sz w:val="24"/>
              </w:rPr>
            </w:pPr>
            <w:r w:rsidRPr="00A15461">
              <w:rPr>
                <w:sz w:val="24"/>
              </w:rPr>
              <w:t>89</w:t>
            </w:r>
          </w:p>
        </w:tc>
      </w:tr>
      <w:tr w:rsidR="00941F6C" w:rsidRPr="0097021E" w:rsidTr="00F11244">
        <w:tc>
          <w:tcPr>
            <w:tcW w:w="405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spacing w:line="360" w:lineRule="auto"/>
              <w:ind w:right="120"/>
              <w:jc w:val="right"/>
              <w:rPr>
                <w:sz w:val="24"/>
              </w:rPr>
            </w:pPr>
            <w:r w:rsidRPr="00A15461">
              <w:rPr>
                <w:sz w:val="24"/>
              </w:rPr>
              <w:t>71</w:t>
            </w:r>
          </w:p>
        </w:tc>
      </w:tr>
    </w:tbl>
    <w:p w:rsidR="00941F6C" w:rsidRPr="003A0EC1" w:rsidRDefault="00941F6C" w:rsidP="003A0EC1">
      <w:pPr>
        <w:spacing w:line="360" w:lineRule="auto"/>
        <w:rPr>
          <w:rFonts w:ascii="宋体" w:cs="Arial"/>
          <w:b/>
          <w:color w:val="000000"/>
          <w:kern w:val="0"/>
          <w:sz w:val="24"/>
        </w:rPr>
      </w:pPr>
      <w:r w:rsidRPr="003A0EC1">
        <w:rPr>
          <w:rFonts w:ascii="宋体" w:hAnsi="宋体" w:cs="Arial" w:hint="eastAsia"/>
          <w:b/>
          <w:color w:val="000000"/>
          <w:kern w:val="0"/>
          <w:sz w:val="24"/>
        </w:rPr>
        <w:t>报告期内投资组合平均剩余期限超过</w:t>
      </w:r>
      <w:r w:rsidRPr="003A0EC1">
        <w:rPr>
          <w:rFonts w:ascii="宋体" w:hAnsi="宋体" w:cs="Arial"/>
          <w:b/>
          <w:color w:val="000000"/>
          <w:kern w:val="0"/>
          <w:sz w:val="24"/>
        </w:rPr>
        <w:t>1</w:t>
      </w:r>
      <w:r w:rsidR="008E6C59">
        <w:rPr>
          <w:rFonts w:ascii="宋体" w:hAnsi="宋体" w:cs="Arial" w:hint="eastAsia"/>
          <w:b/>
          <w:color w:val="000000"/>
          <w:kern w:val="0"/>
          <w:sz w:val="24"/>
        </w:rPr>
        <w:t>2</w:t>
      </w:r>
      <w:r w:rsidRPr="003A0EC1">
        <w:rPr>
          <w:rFonts w:ascii="宋体" w:hAnsi="宋体" w:cs="Arial"/>
          <w:b/>
          <w:color w:val="000000"/>
          <w:kern w:val="0"/>
          <w:sz w:val="24"/>
        </w:rPr>
        <w:t>0</w:t>
      </w:r>
      <w:r w:rsidRPr="003A0EC1">
        <w:rPr>
          <w:rFonts w:ascii="宋体" w:hAnsi="宋体" w:cs="Arial" w:hint="eastAsia"/>
          <w:b/>
          <w:color w:val="000000"/>
          <w:kern w:val="0"/>
          <w:sz w:val="24"/>
        </w:rPr>
        <w:t>天情况说明</w:t>
      </w:r>
    </w:p>
    <w:p w:rsidR="008E6C59" w:rsidRPr="008E6C59" w:rsidRDefault="008E6C59" w:rsidP="008E6C59">
      <w:pPr>
        <w:adjustRightInd w:val="0"/>
        <w:spacing w:line="360" w:lineRule="auto"/>
        <w:ind w:firstLineChars="200" w:firstLine="480"/>
        <w:rPr>
          <w:color w:val="000000"/>
          <w:sz w:val="24"/>
        </w:rPr>
      </w:pPr>
      <w:r w:rsidRPr="008E6C59">
        <w:rPr>
          <w:rFonts w:hint="eastAsia"/>
          <w:color w:val="000000"/>
          <w:sz w:val="24"/>
        </w:rPr>
        <w:t>本报告期内本货币市场基金投资组合平均剩余期限未超过</w:t>
      </w:r>
      <w:r w:rsidRPr="008E6C59">
        <w:rPr>
          <w:rFonts w:hint="eastAsia"/>
          <w:color w:val="000000"/>
          <w:sz w:val="24"/>
        </w:rPr>
        <w:t>120</w:t>
      </w:r>
      <w:r w:rsidRPr="008E6C59">
        <w:rPr>
          <w:rFonts w:hint="eastAsia"/>
          <w:color w:val="000000"/>
          <w:sz w:val="24"/>
        </w:rPr>
        <w:t>天。</w:t>
      </w:r>
    </w:p>
    <w:p w:rsidR="00941F6C" w:rsidRPr="0097021E" w:rsidRDefault="00941F6C" w:rsidP="00196812">
      <w:pPr>
        <w:spacing w:line="360" w:lineRule="auto"/>
        <w:rPr>
          <w:rFonts w:ascii="宋体" w:cs="Arial"/>
          <w:b/>
          <w:color w:val="000000"/>
          <w:kern w:val="0"/>
          <w:sz w:val="24"/>
        </w:rPr>
      </w:pPr>
      <w:r w:rsidRPr="0097021E">
        <w:rPr>
          <w:rFonts w:ascii="宋体" w:hAnsi="宋体" w:cs="Arial"/>
          <w:b/>
          <w:color w:val="000000"/>
          <w:kern w:val="0"/>
          <w:sz w:val="24"/>
        </w:rPr>
        <w:t xml:space="preserve">5.3.2 </w:t>
      </w:r>
      <w:r w:rsidRPr="0097021E">
        <w:rPr>
          <w:rFonts w:ascii="宋体" w:hAnsi="宋体" w:cs="Arial" w:hint="eastAsia"/>
          <w:b/>
          <w:color w:val="000000"/>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851"/>
        <w:gridCol w:w="3351"/>
        <w:gridCol w:w="2529"/>
        <w:gridCol w:w="2431"/>
      </w:tblGrid>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各期限资产占基金资产净值的比例（</w:t>
            </w:r>
            <w:r w:rsidRPr="00A15461">
              <w:rPr>
                <w:color w:val="000000"/>
                <w:kern w:val="0"/>
                <w:sz w:val="24"/>
              </w:rPr>
              <w:t>%</w:t>
            </w:r>
            <w:r w:rsidRPr="00A15461">
              <w:rPr>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各期限负债占基金资产净值的比例（％）</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sz w:val="24"/>
              </w:rPr>
              <w:t>30</w:t>
            </w:r>
            <w:r w:rsidRPr="00A15461">
              <w:rPr>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46.08</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9.13</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sz w:val="24"/>
              </w:rPr>
              <w:t>其中：剩余存续期超过</w:t>
            </w:r>
            <w:r w:rsidRPr="00A15461">
              <w:rPr>
                <w:color w:val="000000"/>
                <w:sz w:val="24"/>
              </w:rPr>
              <w:t>397</w:t>
            </w:r>
            <w:r w:rsidRPr="00A15461">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sz w:val="24"/>
              </w:rPr>
            </w:pPr>
            <w:r w:rsidRPr="00A15461">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sz w:val="24"/>
              </w:rPr>
              <w:t>30</w:t>
            </w:r>
            <w:r w:rsidRPr="00A15461">
              <w:rPr>
                <w:color w:val="000000"/>
                <w:sz w:val="24"/>
              </w:rPr>
              <w:t>天（含）</w:t>
            </w:r>
            <w:r w:rsidRPr="00A15461">
              <w:rPr>
                <w:color w:val="000000"/>
                <w:sz w:val="24"/>
              </w:rPr>
              <w:t>—60</w:t>
            </w:r>
            <w:r w:rsidRPr="00A15461">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29.15</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sz w:val="24"/>
              </w:rPr>
              <w:t>其中：剩余存续期超过</w:t>
            </w:r>
            <w:r w:rsidRPr="00A15461">
              <w:rPr>
                <w:color w:val="000000"/>
                <w:sz w:val="24"/>
              </w:rPr>
              <w:t>397</w:t>
            </w:r>
            <w:r w:rsidRPr="00A15461">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sz w:val="24"/>
              </w:rPr>
            </w:pPr>
            <w:r w:rsidRPr="00A15461">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sz w:val="24"/>
              </w:rPr>
            </w:pPr>
            <w:r w:rsidRPr="00A15461">
              <w:rPr>
                <w:color w:val="000000"/>
                <w:sz w:val="24"/>
              </w:rPr>
              <w:t>60</w:t>
            </w:r>
            <w:r w:rsidRPr="00A15461">
              <w:rPr>
                <w:color w:val="000000"/>
                <w:sz w:val="24"/>
              </w:rPr>
              <w:t>天（含）</w:t>
            </w:r>
            <w:r w:rsidRPr="00A15461">
              <w:rPr>
                <w:color w:val="000000"/>
                <w:sz w:val="24"/>
              </w:rPr>
              <w:t>—90</w:t>
            </w:r>
            <w:r w:rsidRPr="00A15461">
              <w:rPr>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8.91</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941F6C"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sz w:val="24"/>
              </w:rPr>
            </w:pPr>
            <w:r w:rsidRPr="00A15461">
              <w:rPr>
                <w:color w:val="000000"/>
                <w:sz w:val="24"/>
              </w:rPr>
              <w:t>其中：剩余存续期超过</w:t>
            </w:r>
            <w:r w:rsidRPr="00A15461">
              <w:rPr>
                <w:color w:val="000000"/>
                <w:sz w:val="24"/>
              </w:rPr>
              <w:t>397</w:t>
            </w:r>
            <w:r w:rsidRPr="00A15461">
              <w:rPr>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right"/>
              <w:rPr>
                <w:color w:val="000000"/>
                <w:kern w:val="0"/>
                <w:sz w:val="24"/>
              </w:rPr>
            </w:pPr>
            <w:r w:rsidRPr="00A15461">
              <w:rPr>
                <w:color w:val="000000"/>
                <w:sz w:val="24"/>
              </w:rPr>
              <w:t>-</w:t>
            </w:r>
          </w:p>
        </w:tc>
      </w:tr>
      <w:tr w:rsidR="00E5550E"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5550E" w:rsidRPr="00A15461" w:rsidRDefault="00E5550E" w:rsidP="00196812">
            <w:pPr>
              <w:autoSpaceDE w:val="0"/>
              <w:autoSpaceDN w:val="0"/>
              <w:adjustRightInd w:val="0"/>
              <w:spacing w:before="29" w:line="360" w:lineRule="auto"/>
              <w:ind w:left="15"/>
              <w:jc w:val="center"/>
              <w:rPr>
                <w:color w:val="000000"/>
                <w:sz w:val="24"/>
              </w:rPr>
            </w:pPr>
            <w:r w:rsidRPr="00A15461">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left"/>
              <w:rPr>
                <w:rFonts w:eastAsiaTheme="minorEastAsia"/>
                <w:color w:val="000000" w:themeColor="text1"/>
                <w:sz w:val="24"/>
              </w:rPr>
            </w:pPr>
            <w:r w:rsidRPr="00E5550E">
              <w:rPr>
                <w:rFonts w:eastAsiaTheme="minorEastAsia"/>
                <w:color w:val="000000" w:themeColor="text1"/>
                <w:sz w:val="24"/>
              </w:rPr>
              <w:t>90</w:t>
            </w:r>
            <w:r w:rsidRPr="00E5550E">
              <w:rPr>
                <w:rFonts w:eastAsiaTheme="minorEastAsia"/>
                <w:color w:val="000000" w:themeColor="text1"/>
                <w:sz w:val="24"/>
              </w:rPr>
              <w:t>天（含）</w:t>
            </w:r>
            <w:r w:rsidRPr="00E5550E">
              <w:rPr>
                <w:rFonts w:eastAsiaTheme="minorEastAsia"/>
                <w:color w:val="000000" w:themeColor="text1"/>
                <w:sz w:val="24"/>
              </w:rPr>
              <w:t>—120</w:t>
            </w:r>
            <w:r w:rsidRPr="00E5550E">
              <w:rPr>
                <w:rFonts w:eastAsiaTheme="minorEastAsia"/>
                <w:color w:val="000000" w:themeColor="text1"/>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1.34</w:t>
            </w:r>
          </w:p>
        </w:tc>
        <w:tc>
          <w:tcPr>
            <w:tcW w:w="243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r>
      <w:tr w:rsidR="00E5550E"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5550E" w:rsidRPr="00A15461" w:rsidRDefault="00E5550E"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left"/>
              <w:rPr>
                <w:rFonts w:eastAsiaTheme="minorEastAsia"/>
                <w:color w:val="000000" w:themeColor="text1"/>
                <w:sz w:val="24"/>
              </w:rPr>
            </w:pPr>
            <w:r w:rsidRPr="00E5550E">
              <w:rPr>
                <w:rFonts w:eastAsiaTheme="minorEastAsia"/>
                <w:color w:val="000000" w:themeColor="text1"/>
                <w:sz w:val="24"/>
              </w:rPr>
              <w:t>其中：剩余存续期超过</w:t>
            </w:r>
            <w:r w:rsidRPr="00E5550E">
              <w:rPr>
                <w:rFonts w:eastAsiaTheme="minorEastAsia"/>
                <w:color w:val="000000" w:themeColor="text1"/>
                <w:sz w:val="24"/>
              </w:rPr>
              <w:t>397</w:t>
            </w:r>
            <w:r w:rsidRPr="00E5550E">
              <w:rPr>
                <w:rFonts w:eastAsiaTheme="minor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r>
      <w:tr w:rsidR="00E5550E"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5550E" w:rsidRPr="00A15461" w:rsidRDefault="00E5550E" w:rsidP="00196812">
            <w:pPr>
              <w:autoSpaceDE w:val="0"/>
              <w:autoSpaceDN w:val="0"/>
              <w:adjustRightInd w:val="0"/>
              <w:spacing w:before="29" w:line="360" w:lineRule="auto"/>
              <w:ind w:left="15"/>
              <w:jc w:val="center"/>
              <w:rPr>
                <w:color w:val="000000"/>
                <w:sz w:val="24"/>
              </w:rPr>
            </w:pPr>
            <w:r w:rsidRPr="00A15461">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left"/>
              <w:rPr>
                <w:rFonts w:eastAsiaTheme="minorEastAsia"/>
                <w:color w:val="000000" w:themeColor="text1"/>
                <w:sz w:val="24"/>
              </w:rPr>
            </w:pPr>
            <w:r w:rsidRPr="00E5550E">
              <w:rPr>
                <w:rFonts w:eastAsiaTheme="minorEastAsia"/>
                <w:color w:val="000000" w:themeColor="text1"/>
                <w:sz w:val="24"/>
              </w:rPr>
              <w:t>120</w:t>
            </w:r>
            <w:r w:rsidRPr="00E5550E">
              <w:rPr>
                <w:rFonts w:eastAsiaTheme="minorEastAsia"/>
                <w:color w:val="000000" w:themeColor="text1"/>
                <w:sz w:val="24"/>
              </w:rPr>
              <w:t>天（含）</w:t>
            </w:r>
            <w:r w:rsidRPr="00E5550E">
              <w:rPr>
                <w:rFonts w:eastAsiaTheme="minorEastAsia"/>
                <w:color w:val="000000" w:themeColor="text1"/>
                <w:sz w:val="24"/>
              </w:rPr>
              <w:t>—397</w:t>
            </w:r>
            <w:r w:rsidRPr="00E5550E">
              <w:rPr>
                <w:rFonts w:eastAsiaTheme="minorEastAsia"/>
                <w:color w:val="000000" w:themeColor="text1"/>
                <w:sz w:val="24"/>
              </w:rPr>
              <w:t>天（含）</w:t>
            </w:r>
          </w:p>
        </w:tc>
        <w:tc>
          <w:tcPr>
            <w:tcW w:w="2529"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23.33</w:t>
            </w:r>
          </w:p>
        </w:tc>
        <w:tc>
          <w:tcPr>
            <w:tcW w:w="243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r>
      <w:tr w:rsidR="00E5550E" w:rsidRPr="0097021E" w:rsidTr="00F11244">
        <w:tc>
          <w:tcPr>
            <w:tcW w:w="851" w:type="dxa"/>
            <w:tcBorders>
              <w:top w:val="single" w:sz="8" w:space="0" w:color="000000"/>
              <w:left w:val="single" w:sz="8" w:space="0" w:color="000000"/>
              <w:bottom w:val="single" w:sz="8" w:space="0" w:color="000000"/>
              <w:right w:val="single" w:sz="8" w:space="0" w:color="000000"/>
            </w:tcBorders>
            <w:vAlign w:val="center"/>
          </w:tcPr>
          <w:p w:rsidR="00E5550E" w:rsidRPr="00A15461" w:rsidRDefault="00E5550E" w:rsidP="00196812">
            <w:pPr>
              <w:autoSpaceDE w:val="0"/>
              <w:autoSpaceDN w:val="0"/>
              <w:adjustRightInd w:val="0"/>
              <w:spacing w:before="29" w:line="360"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left"/>
              <w:rPr>
                <w:rFonts w:eastAsiaTheme="minorEastAsia"/>
                <w:color w:val="000000" w:themeColor="text1"/>
                <w:sz w:val="24"/>
              </w:rPr>
            </w:pPr>
            <w:r w:rsidRPr="00E5550E">
              <w:rPr>
                <w:rFonts w:eastAsiaTheme="minorEastAsia"/>
                <w:color w:val="000000" w:themeColor="text1"/>
                <w:sz w:val="24"/>
              </w:rPr>
              <w:t>其中：剩余存续期超过</w:t>
            </w:r>
            <w:r w:rsidRPr="00E5550E">
              <w:rPr>
                <w:rFonts w:eastAsiaTheme="minorEastAsia"/>
                <w:color w:val="000000" w:themeColor="text1"/>
                <w:sz w:val="24"/>
              </w:rPr>
              <w:t>397</w:t>
            </w:r>
            <w:r w:rsidRPr="00E5550E">
              <w:rPr>
                <w:rFonts w:eastAsiaTheme="minorEastAsia"/>
                <w:color w:val="000000" w:themeColor="text1"/>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E5550E" w:rsidRPr="00E5550E" w:rsidRDefault="00E5550E" w:rsidP="009000E6">
            <w:pPr>
              <w:autoSpaceDE w:val="0"/>
              <w:autoSpaceDN w:val="0"/>
              <w:adjustRightInd w:val="0"/>
              <w:spacing w:before="29" w:line="360" w:lineRule="auto"/>
              <w:ind w:left="15"/>
              <w:jc w:val="right"/>
              <w:rPr>
                <w:rFonts w:eastAsiaTheme="minorEastAsia"/>
                <w:color w:val="000000" w:themeColor="text1"/>
                <w:kern w:val="0"/>
                <w:sz w:val="24"/>
              </w:rPr>
            </w:pPr>
            <w:r w:rsidRPr="00E5550E">
              <w:rPr>
                <w:rFonts w:eastAsiaTheme="minorEastAsia"/>
                <w:color w:val="000000" w:themeColor="text1"/>
                <w:sz w:val="24"/>
              </w:rPr>
              <w:t>-</w:t>
            </w:r>
          </w:p>
        </w:tc>
      </w:tr>
      <w:tr w:rsidR="004B40EC" w:rsidRPr="0097021E" w:rsidTr="00F11244">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4B40EC" w:rsidRPr="004B40EC" w:rsidRDefault="004B40EC" w:rsidP="00196812">
            <w:pPr>
              <w:autoSpaceDE w:val="0"/>
              <w:autoSpaceDN w:val="0"/>
              <w:adjustRightInd w:val="0"/>
              <w:spacing w:before="29" w:line="360" w:lineRule="auto"/>
              <w:ind w:left="15"/>
              <w:jc w:val="center"/>
              <w:rPr>
                <w:color w:val="000000"/>
                <w:sz w:val="24"/>
              </w:rPr>
            </w:pPr>
            <w:r w:rsidRPr="004B40EC">
              <w:rPr>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4B40EC" w:rsidRPr="004B40EC" w:rsidRDefault="004B40EC" w:rsidP="007C1713">
            <w:pPr>
              <w:autoSpaceDE w:val="0"/>
              <w:autoSpaceDN w:val="0"/>
              <w:adjustRightInd w:val="0"/>
              <w:spacing w:before="29" w:line="360" w:lineRule="auto"/>
              <w:ind w:left="15"/>
              <w:jc w:val="right"/>
              <w:rPr>
                <w:rFonts w:eastAsiaTheme="minorEastAsia"/>
                <w:color w:val="000000" w:themeColor="text1"/>
                <w:kern w:val="0"/>
                <w:sz w:val="24"/>
              </w:rPr>
            </w:pPr>
            <w:r w:rsidRPr="004B40EC">
              <w:rPr>
                <w:rFonts w:eastAsiaTheme="minorEastAsia"/>
                <w:color w:val="000000" w:themeColor="text1"/>
                <w:sz w:val="24"/>
              </w:rPr>
              <w:t>108.81</w:t>
            </w:r>
          </w:p>
        </w:tc>
        <w:tc>
          <w:tcPr>
            <w:tcW w:w="2431" w:type="dxa"/>
            <w:tcBorders>
              <w:top w:val="single" w:sz="8" w:space="0" w:color="000000"/>
              <w:left w:val="single" w:sz="8" w:space="0" w:color="000000"/>
              <w:bottom w:val="single" w:sz="8" w:space="0" w:color="000000"/>
              <w:right w:val="single" w:sz="8" w:space="0" w:color="000000"/>
            </w:tcBorders>
            <w:vAlign w:val="center"/>
          </w:tcPr>
          <w:p w:rsidR="004B40EC" w:rsidRPr="004B40EC" w:rsidRDefault="004B40EC" w:rsidP="007C1713">
            <w:pPr>
              <w:autoSpaceDE w:val="0"/>
              <w:autoSpaceDN w:val="0"/>
              <w:adjustRightInd w:val="0"/>
              <w:spacing w:before="29" w:line="360" w:lineRule="auto"/>
              <w:ind w:left="15"/>
              <w:jc w:val="right"/>
              <w:rPr>
                <w:rFonts w:eastAsiaTheme="minorEastAsia"/>
                <w:color w:val="000000" w:themeColor="text1"/>
                <w:kern w:val="0"/>
                <w:sz w:val="24"/>
              </w:rPr>
            </w:pPr>
            <w:r w:rsidRPr="004B40EC">
              <w:rPr>
                <w:rFonts w:eastAsiaTheme="minorEastAsia"/>
                <w:color w:val="000000" w:themeColor="text1"/>
                <w:sz w:val="24"/>
              </w:rPr>
              <w:t>9.13</w:t>
            </w:r>
          </w:p>
        </w:tc>
      </w:tr>
    </w:tbl>
    <w:p w:rsidR="004B40EC" w:rsidRPr="003025FA" w:rsidRDefault="004B40EC" w:rsidP="004B40EC">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4B40EC" w:rsidRPr="004B40EC" w:rsidRDefault="004B40EC" w:rsidP="00A15461">
      <w:pPr>
        <w:adjustRightInd w:val="0"/>
        <w:spacing w:line="360" w:lineRule="auto"/>
        <w:ind w:firstLineChars="200" w:firstLine="480"/>
        <w:rPr>
          <w:color w:val="000000"/>
          <w:sz w:val="24"/>
        </w:rPr>
      </w:pPr>
      <w:r w:rsidRPr="004B40EC">
        <w:rPr>
          <w:rFonts w:eastAsiaTheme="minorEastAsia"/>
          <w:color w:val="000000" w:themeColor="text1"/>
          <w:sz w:val="24"/>
        </w:rPr>
        <w:t>本报告期内本货币市场基金投资组合平均剩余存续期未超过</w:t>
      </w:r>
      <w:r w:rsidRPr="004B40EC">
        <w:rPr>
          <w:rFonts w:eastAsiaTheme="minorEastAsia"/>
          <w:color w:val="000000" w:themeColor="text1"/>
          <w:sz w:val="24"/>
        </w:rPr>
        <w:t>240</w:t>
      </w:r>
      <w:r w:rsidRPr="004B40EC">
        <w:rPr>
          <w:rFonts w:eastAsiaTheme="minorEastAsia"/>
          <w:color w:val="000000" w:themeColor="text1"/>
          <w:sz w:val="24"/>
        </w:rPr>
        <w:t>天。</w:t>
      </w:r>
    </w:p>
    <w:p w:rsidR="006B01A5" w:rsidRPr="00A370A1" w:rsidRDefault="00941F6C" w:rsidP="006B01A5">
      <w:pPr>
        <w:spacing w:line="360" w:lineRule="auto"/>
        <w:rPr>
          <w:rFonts w:eastAsiaTheme="minorEastAsia"/>
          <w:b/>
          <w:color w:val="000000" w:themeColor="text1"/>
          <w:kern w:val="0"/>
          <w:sz w:val="24"/>
        </w:rPr>
      </w:pPr>
      <w:r w:rsidRPr="0097021E">
        <w:rPr>
          <w:rFonts w:ascii="宋体" w:hAnsi="宋体" w:cs="Arial"/>
          <w:b/>
          <w:color w:val="000000"/>
          <w:kern w:val="0"/>
          <w:sz w:val="24"/>
        </w:rPr>
        <w:t>5.</w:t>
      </w:r>
      <w:r w:rsidR="004B40EC">
        <w:rPr>
          <w:rFonts w:ascii="宋体" w:hAnsi="宋体" w:cs="Arial" w:hint="eastAsia"/>
          <w:b/>
          <w:color w:val="000000"/>
          <w:kern w:val="0"/>
          <w:sz w:val="24"/>
        </w:rPr>
        <w:t>5</w:t>
      </w:r>
      <w:r w:rsidRPr="0097021E">
        <w:rPr>
          <w:rFonts w:ascii="宋体" w:hAnsi="宋体" w:cs="Arial"/>
          <w:b/>
          <w:color w:val="000000"/>
          <w:kern w:val="0"/>
          <w:sz w:val="24"/>
        </w:rPr>
        <w:t xml:space="preserve"> </w:t>
      </w:r>
      <w:r w:rsidRPr="0097021E">
        <w:rPr>
          <w:rFonts w:ascii="宋体" w:hAnsi="宋体" w:cs="Arial" w:hint="eastAsia"/>
          <w:b/>
          <w:color w:val="000000"/>
          <w:kern w:val="0"/>
          <w:sz w:val="24"/>
        </w:rPr>
        <w:t>报告期末按债券品种分类的债券投资组合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261"/>
        <w:gridCol w:w="1984"/>
      </w:tblGrid>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序号</w:t>
            </w:r>
          </w:p>
        </w:tc>
        <w:tc>
          <w:tcPr>
            <w:tcW w:w="3260"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债券品种</w:t>
            </w:r>
          </w:p>
        </w:tc>
        <w:tc>
          <w:tcPr>
            <w:tcW w:w="3261"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摊余成本（元）</w:t>
            </w:r>
          </w:p>
        </w:tc>
        <w:tc>
          <w:tcPr>
            <w:tcW w:w="1984"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占基金资产净值比例</w:t>
            </w:r>
            <w:r w:rsidRPr="00A370A1">
              <w:rPr>
                <w:rFonts w:eastAsiaTheme="minorEastAsia"/>
                <w:color w:val="000000" w:themeColor="text1"/>
                <w:sz w:val="24"/>
              </w:rPr>
              <w:t>(</w:t>
            </w:r>
            <w:r w:rsidRPr="00A370A1">
              <w:rPr>
                <w:rFonts w:eastAsiaTheme="minorEastAsia"/>
                <w:color w:val="000000" w:themeColor="text1"/>
                <w:sz w:val="24"/>
              </w:rPr>
              <w:t>％</w:t>
            </w:r>
            <w:r w:rsidRPr="00A370A1">
              <w:rPr>
                <w:rFonts w:eastAsiaTheme="minorEastAsia"/>
                <w:color w:val="000000" w:themeColor="text1"/>
                <w:sz w:val="24"/>
              </w:rPr>
              <w:t>)</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1</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国家债券</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9,974,380.79</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0.15</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2</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央行票据</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3</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金融债券</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341,439,048.05</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5.08</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其中：政策性金融债</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341,439,048.05</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5.08</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4</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企业债券</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5</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企业短期融资券</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579,937,203.98</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8.63</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6</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中期票据</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140,607,275.11</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2.09</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7</w:t>
            </w:r>
          </w:p>
        </w:tc>
        <w:tc>
          <w:tcPr>
            <w:tcW w:w="3260" w:type="dxa"/>
            <w:vAlign w:val="center"/>
          </w:tcPr>
          <w:p w:rsidR="006B01A5" w:rsidRPr="00A370A1" w:rsidRDefault="006B01A5" w:rsidP="00735A6C">
            <w:pPr>
              <w:spacing w:before="29" w:line="360" w:lineRule="auto"/>
              <w:ind w:left="17"/>
              <w:jc w:val="left"/>
              <w:rPr>
                <w:rFonts w:eastAsiaTheme="minorEastAsia"/>
                <w:color w:val="000000" w:themeColor="text1"/>
                <w:sz w:val="24"/>
              </w:rPr>
            </w:pPr>
            <w:r w:rsidRPr="00A370A1">
              <w:rPr>
                <w:rFonts w:eastAsiaTheme="minorEastAsia"/>
                <w:color w:val="000000" w:themeColor="text1"/>
                <w:sz w:val="24"/>
              </w:rPr>
              <w:t>同业存单</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1,332,109,265.62</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19.82</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8</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其他</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9</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合计</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2,404,067,173.55</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35.77</w:t>
            </w:r>
          </w:p>
        </w:tc>
      </w:tr>
      <w:tr w:rsidR="006B01A5" w:rsidRPr="00A370A1" w:rsidTr="00735A6C">
        <w:tc>
          <w:tcPr>
            <w:tcW w:w="817" w:type="dxa"/>
            <w:vAlign w:val="center"/>
          </w:tcPr>
          <w:p w:rsidR="006B01A5" w:rsidRPr="00A370A1" w:rsidRDefault="006B01A5" w:rsidP="00735A6C">
            <w:pPr>
              <w:spacing w:before="29" w:line="360" w:lineRule="auto"/>
              <w:ind w:left="17"/>
              <w:jc w:val="center"/>
              <w:rPr>
                <w:rFonts w:eastAsiaTheme="minorEastAsia"/>
                <w:color w:val="000000" w:themeColor="text1"/>
                <w:sz w:val="24"/>
              </w:rPr>
            </w:pPr>
            <w:r w:rsidRPr="00A370A1">
              <w:rPr>
                <w:rFonts w:eastAsiaTheme="minorEastAsia"/>
                <w:color w:val="000000" w:themeColor="text1"/>
                <w:sz w:val="24"/>
              </w:rPr>
              <w:t>10</w:t>
            </w:r>
          </w:p>
        </w:tc>
        <w:tc>
          <w:tcPr>
            <w:tcW w:w="3260" w:type="dxa"/>
            <w:vAlign w:val="center"/>
          </w:tcPr>
          <w:p w:rsidR="006B01A5" w:rsidRPr="00A370A1" w:rsidRDefault="006B01A5" w:rsidP="00735A6C">
            <w:pPr>
              <w:spacing w:before="29" w:line="360" w:lineRule="auto"/>
              <w:ind w:left="17"/>
              <w:rPr>
                <w:rFonts w:eastAsiaTheme="minorEastAsia"/>
                <w:color w:val="000000" w:themeColor="text1"/>
                <w:sz w:val="24"/>
              </w:rPr>
            </w:pPr>
            <w:r w:rsidRPr="00A370A1">
              <w:rPr>
                <w:rFonts w:eastAsiaTheme="minorEastAsia"/>
                <w:color w:val="000000" w:themeColor="text1"/>
                <w:sz w:val="24"/>
              </w:rPr>
              <w:t>剩余存续期超过</w:t>
            </w:r>
            <w:r w:rsidRPr="00A370A1">
              <w:rPr>
                <w:rFonts w:eastAsiaTheme="minorEastAsia"/>
                <w:color w:val="000000" w:themeColor="text1"/>
                <w:sz w:val="24"/>
              </w:rPr>
              <w:t>397</w:t>
            </w:r>
            <w:r w:rsidRPr="00A370A1">
              <w:rPr>
                <w:rFonts w:eastAsiaTheme="minorEastAsia"/>
                <w:color w:val="000000" w:themeColor="text1"/>
                <w:sz w:val="24"/>
              </w:rPr>
              <w:t>天的浮动利率债券</w:t>
            </w:r>
          </w:p>
        </w:tc>
        <w:tc>
          <w:tcPr>
            <w:tcW w:w="3261"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c>
          <w:tcPr>
            <w:tcW w:w="1984" w:type="dxa"/>
            <w:vAlign w:val="center"/>
          </w:tcPr>
          <w:p w:rsidR="006B01A5" w:rsidRPr="00A370A1" w:rsidRDefault="006B01A5" w:rsidP="00735A6C">
            <w:pPr>
              <w:spacing w:before="29" w:line="360" w:lineRule="auto"/>
              <w:ind w:left="17"/>
              <w:jc w:val="right"/>
              <w:rPr>
                <w:rFonts w:eastAsiaTheme="minorEastAsia"/>
                <w:color w:val="000000" w:themeColor="text1"/>
                <w:sz w:val="24"/>
              </w:rPr>
            </w:pPr>
            <w:r w:rsidRPr="00A370A1">
              <w:rPr>
                <w:rFonts w:eastAsiaTheme="minorEastAsia"/>
                <w:color w:val="000000" w:themeColor="text1"/>
                <w:sz w:val="24"/>
              </w:rPr>
              <w:t>-</w:t>
            </w:r>
          </w:p>
        </w:tc>
      </w:tr>
    </w:tbl>
    <w:p w:rsidR="00941F6C" w:rsidRPr="0097021E" w:rsidRDefault="00941F6C" w:rsidP="00196812">
      <w:pPr>
        <w:spacing w:line="360" w:lineRule="auto"/>
        <w:rPr>
          <w:rFonts w:ascii="宋体" w:cs="Arial"/>
          <w:b/>
          <w:color w:val="000000"/>
          <w:kern w:val="0"/>
          <w:sz w:val="24"/>
        </w:rPr>
      </w:pPr>
      <w:r w:rsidRPr="0097021E">
        <w:rPr>
          <w:rFonts w:ascii="宋体" w:hAnsi="宋体" w:cs="Arial"/>
          <w:b/>
          <w:color w:val="000000"/>
          <w:kern w:val="0"/>
          <w:sz w:val="24"/>
        </w:rPr>
        <w:t>5.</w:t>
      </w:r>
      <w:r w:rsidR="004B40EC">
        <w:rPr>
          <w:rFonts w:ascii="宋体" w:hAnsi="宋体" w:cs="Arial" w:hint="eastAsia"/>
          <w:b/>
          <w:color w:val="000000"/>
          <w:kern w:val="0"/>
          <w:sz w:val="24"/>
        </w:rPr>
        <w:t>6</w:t>
      </w:r>
      <w:r w:rsidRPr="0097021E">
        <w:rPr>
          <w:rFonts w:ascii="宋体" w:hAnsi="宋体" w:cs="Arial"/>
          <w:b/>
          <w:color w:val="000000"/>
          <w:kern w:val="0"/>
          <w:sz w:val="24"/>
        </w:rPr>
        <w:t xml:space="preserve"> </w:t>
      </w:r>
      <w:r w:rsidR="00DA133F">
        <w:rPr>
          <w:rFonts w:ascii="宋体" w:hAnsi="宋体" w:cs="Arial" w:hint="eastAsia"/>
          <w:b/>
          <w:color w:val="000000"/>
          <w:kern w:val="0"/>
          <w:sz w:val="24"/>
        </w:rPr>
        <w:t>报告期末按摊余成本占基金资产净值比例大小排名</w:t>
      </w:r>
      <w:r w:rsidRPr="0097021E">
        <w:rPr>
          <w:rFonts w:ascii="宋体" w:hAnsi="宋体" w:cs="Arial" w:hint="eastAsia"/>
          <w:b/>
          <w:color w:val="000000"/>
          <w:kern w:val="0"/>
          <w:sz w:val="24"/>
        </w:rPr>
        <w:t>的前十名债券投资明细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8"/>
        <w:gridCol w:w="1487"/>
        <w:gridCol w:w="1934"/>
        <w:gridCol w:w="1458"/>
        <w:gridCol w:w="1716"/>
        <w:gridCol w:w="1404"/>
      </w:tblGrid>
      <w:tr w:rsidR="00941F6C" w:rsidRPr="0097021E" w:rsidTr="00CA7D55">
        <w:tc>
          <w:tcPr>
            <w:tcW w:w="1547"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序号</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债券代码</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债券名称</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债券数量</w:t>
            </w:r>
          </w:p>
          <w:p w:rsidR="00941F6C" w:rsidRPr="00A15461" w:rsidRDefault="00DC22A1" w:rsidP="00DC22A1">
            <w:pPr>
              <w:autoSpaceDE w:val="0"/>
              <w:autoSpaceDN w:val="0"/>
              <w:adjustRightInd w:val="0"/>
              <w:spacing w:before="29" w:line="360" w:lineRule="auto"/>
              <w:ind w:left="15"/>
              <w:jc w:val="center"/>
              <w:rPr>
                <w:color w:val="000000"/>
                <w:kern w:val="0"/>
                <w:sz w:val="24"/>
              </w:rPr>
            </w:pPr>
            <w:r w:rsidRPr="00A15461">
              <w:rPr>
                <w:color w:val="000000"/>
                <w:kern w:val="0"/>
                <w:sz w:val="24"/>
              </w:rPr>
              <w:t>（张）</w:t>
            </w:r>
          </w:p>
        </w:tc>
        <w:tc>
          <w:tcPr>
            <w:tcW w:w="1548" w:type="dxa"/>
            <w:vAlign w:val="center"/>
          </w:tcPr>
          <w:p w:rsidR="00941F6C" w:rsidRPr="00A15461" w:rsidRDefault="00941F6C" w:rsidP="00DC22A1">
            <w:pPr>
              <w:autoSpaceDE w:val="0"/>
              <w:autoSpaceDN w:val="0"/>
              <w:adjustRightInd w:val="0"/>
              <w:spacing w:before="29" w:line="360" w:lineRule="auto"/>
              <w:ind w:left="15"/>
              <w:jc w:val="center"/>
              <w:rPr>
                <w:color w:val="000000"/>
                <w:kern w:val="0"/>
                <w:sz w:val="24"/>
              </w:rPr>
            </w:pPr>
            <w:r w:rsidRPr="00A15461">
              <w:rPr>
                <w:color w:val="000000"/>
                <w:kern w:val="0"/>
                <w:sz w:val="24"/>
              </w:rPr>
              <w:t>摊余成本</w:t>
            </w:r>
            <w:r w:rsidR="00DC22A1" w:rsidRPr="00A15461">
              <w:rPr>
                <w:color w:val="000000"/>
                <w:kern w:val="0"/>
                <w:sz w:val="24"/>
              </w:rPr>
              <w:t>（元）</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占基金资产净值比例（％）</w:t>
            </w:r>
          </w:p>
        </w:tc>
      </w:tr>
      <w:tr w:rsidR="000E725A">
        <w:tc>
          <w:tcPr>
            <w:tcW w:w="0" w:type="auto"/>
            <w:vAlign w:val="center"/>
          </w:tcPr>
          <w:p w:rsidR="000E725A" w:rsidRDefault="002D603E">
            <w:pPr>
              <w:jc w:val="center"/>
            </w:pPr>
            <w:r>
              <w:rPr>
                <w:color w:val="000000"/>
                <w:sz w:val="24"/>
              </w:rPr>
              <w:t>1</w:t>
            </w:r>
          </w:p>
        </w:tc>
        <w:tc>
          <w:tcPr>
            <w:tcW w:w="0" w:type="auto"/>
            <w:vAlign w:val="center"/>
          </w:tcPr>
          <w:p w:rsidR="000E725A" w:rsidRDefault="002D603E">
            <w:pPr>
              <w:jc w:val="center"/>
            </w:pPr>
            <w:r>
              <w:rPr>
                <w:color w:val="000000"/>
                <w:sz w:val="24"/>
              </w:rPr>
              <w:t>012000233</w:t>
            </w:r>
          </w:p>
        </w:tc>
        <w:tc>
          <w:tcPr>
            <w:tcW w:w="0" w:type="auto"/>
            <w:vAlign w:val="center"/>
          </w:tcPr>
          <w:p w:rsidR="000E725A" w:rsidRDefault="002D603E">
            <w:pPr>
              <w:jc w:val="center"/>
            </w:pPr>
            <w:r>
              <w:rPr>
                <w:color w:val="000000"/>
                <w:sz w:val="24"/>
              </w:rPr>
              <w:t>20</w:t>
            </w:r>
            <w:r>
              <w:rPr>
                <w:color w:val="000000"/>
                <w:sz w:val="24"/>
              </w:rPr>
              <w:t>电网</w:t>
            </w:r>
            <w:r>
              <w:rPr>
                <w:color w:val="000000"/>
                <w:sz w:val="24"/>
              </w:rPr>
              <w:t>SCP006</w:t>
            </w:r>
          </w:p>
        </w:tc>
        <w:tc>
          <w:tcPr>
            <w:tcW w:w="0" w:type="auto"/>
            <w:vAlign w:val="center"/>
          </w:tcPr>
          <w:p w:rsidR="000E725A" w:rsidRDefault="002D603E">
            <w:pPr>
              <w:jc w:val="right"/>
            </w:pPr>
            <w:r>
              <w:rPr>
                <w:color w:val="000000"/>
                <w:sz w:val="24"/>
              </w:rPr>
              <w:t>2,000,000</w:t>
            </w:r>
          </w:p>
        </w:tc>
        <w:tc>
          <w:tcPr>
            <w:tcW w:w="0" w:type="auto"/>
            <w:vAlign w:val="center"/>
          </w:tcPr>
          <w:p w:rsidR="000E725A" w:rsidRDefault="002D603E">
            <w:pPr>
              <w:jc w:val="right"/>
            </w:pPr>
            <w:r>
              <w:rPr>
                <w:color w:val="000000"/>
                <w:sz w:val="24"/>
              </w:rPr>
              <w:t>200,070,439.02</w:t>
            </w:r>
          </w:p>
        </w:tc>
        <w:tc>
          <w:tcPr>
            <w:tcW w:w="0" w:type="auto"/>
            <w:vAlign w:val="center"/>
          </w:tcPr>
          <w:p w:rsidR="000E725A" w:rsidRDefault="002D603E">
            <w:pPr>
              <w:jc w:val="right"/>
            </w:pPr>
            <w:r>
              <w:rPr>
                <w:color w:val="000000"/>
                <w:sz w:val="24"/>
              </w:rPr>
              <w:t>2.98</w:t>
            </w:r>
          </w:p>
        </w:tc>
      </w:tr>
      <w:tr w:rsidR="000E725A">
        <w:tc>
          <w:tcPr>
            <w:tcW w:w="0" w:type="auto"/>
            <w:vAlign w:val="center"/>
          </w:tcPr>
          <w:p w:rsidR="000E725A" w:rsidRDefault="002D603E">
            <w:pPr>
              <w:jc w:val="center"/>
            </w:pPr>
            <w:r>
              <w:rPr>
                <w:color w:val="000000"/>
                <w:sz w:val="24"/>
              </w:rPr>
              <w:t>2</w:t>
            </w:r>
          </w:p>
        </w:tc>
        <w:tc>
          <w:tcPr>
            <w:tcW w:w="0" w:type="auto"/>
            <w:vAlign w:val="center"/>
          </w:tcPr>
          <w:p w:rsidR="000E725A" w:rsidRDefault="002D603E">
            <w:pPr>
              <w:jc w:val="center"/>
            </w:pPr>
            <w:r>
              <w:rPr>
                <w:color w:val="000000"/>
                <w:sz w:val="24"/>
              </w:rPr>
              <w:t>112016060</w:t>
            </w:r>
          </w:p>
        </w:tc>
        <w:tc>
          <w:tcPr>
            <w:tcW w:w="0" w:type="auto"/>
            <w:vAlign w:val="center"/>
          </w:tcPr>
          <w:p w:rsidR="000E725A" w:rsidRDefault="002D603E">
            <w:pPr>
              <w:jc w:val="center"/>
            </w:pPr>
            <w:r>
              <w:rPr>
                <w:color w:val="000000"/>
                <w:sz w:val="24"/>
              </w:rPr>
              <w:t>20</w:t>
            </w:r>
            <w:r>
              <w:rPr>
                <w:color w:val="000000"/>
                <w:sz w:val="24"/>
              </w:rPr>
              <w:t>上海银行</w:t>
            </w:r>
            <w:r>
              <w:rPr>
                <w:color w:val="000000"/>
                <w:sz w:val="24"/>
              </w:rPr>
              <w:t>CD060</w:t>
            </w:r>
          </w:p>
        </w:tc>
        <w:tc>
          <w:tcPr>
            <w:tcW w:w="0" w:type="auto"/>
            <w:vAlign w:val="center"/>
          </w:tcPr>
          <w:p w:rsidR="000E725A" w:rsidRDefault="002D603E">
            <w:pPr>
              <w:jc w:val="right"/>
            </w:pPr>
            <w:r>
              <w:rPr>
                <w:color w:val="000000"/>
                <w:sz w:val="24"/>
              </w:rPr>
              <w:t>2,000,000</w:t>
            </w:r>
          </w:p>
        </w:tc>
        <w:tc>
          <w:tcPr>
            <w:tcW w:w="0" w:type="auto"/>
            <w:vAlign w:val="center"/>
          </w:tcPr>
          <w:p w:rsidR="000E725A" w:rsidRDefault="002D603E">
            <w:pPr>
              <w:jc w:val="right"/>
            </w:pPr>
            <w:r>
              <w:rPr>
                <w:color w:val="000000"/>
                <w:sz w:val="24"/>
              </w:rPr>
              <w:t>197,898,085.73</w:t>
            </w:r>
          </w:p>
        </w:tc>
        <w:tc>
          <w:tcPr>
            <w:tcW w:w="0" w:type="auto"/>
            <w:vAlign w:val="center"/>
          </w:tcPr>
          <w:p w:rsidR="000E725A" w:rsidRDefault="002D603E">
            <w:pPr>
              <w:jc w:val="right"/>
            </w:pPr>
            <w:r>
              <w:rPr>
                <w:color w:val="000000"/>
                <w:sz w:val="24"/>
              </w:rPr>
              <w:t>2.94</w:t>
            </w:r>
          </w:p>
        </w:tc>
      </w:tr>
      <w:tr w:rsidR="000E725A">
        <w:tc>
          <w:tcPr>
            <w:tcW w:w="0" w:type="auto"/>
            <w:vAlign w:val="center"/>
          </w:tcPr>
          <w:p w:rsidR="000E725A" w:rsidRDefault="002D603E">
            <w:pPr>
              <w:jc w:val="center"/>
            </w:pPr>
            <w:r>
              <w:rPr>
                <w:color w:val="000000"/>
                <w:sz w:val="24"/>
              </w:rPr>
              <w:t>3</w:t>
            </w:r>
          </w:p>
        </w:tc>
        <w:tc>
          <w:tcPr>
            <w:tcW w:w="0" w:type="auto"/>
            <w:vAlign w:val="center"/>
          </w:tcPr>
          <w:p w:rsidR="000E725A" w:rsidRDefault="002D603E">
            <w:pPr>
              <w:jc w:val="center"/>
            </w:pPr>
            <w:r>
              <w:rPr>
                <w:color w:val="000000"/>
                <w:sz w:val="24"/>
              </w:rPr>
              <w:t>112006029</w:t>
            </w:r>
          </w:p>
        </w:tc>
        <w:tc>
          <w:tcPr>
            <w:tcW w:w="0" w:type="auto"/>
            <w:vAlign w:val="center"/>
          </w:tcPr>
          <w:p w:rsidR="000E725A" w:rsidRDefault="002D603E">
            <w:pPr>
              <w:jc w:val="center"/>
            </w:pPr>
            <w:r>
              <w:rPr>
                <w:color w:val="000000"/>
                <w:sz w:val="24"/>
              </w:rPr>
              <w:t>20</w:t>
            </w:r>
            <w:r>
              <w:rPr>
                <w:color w:val="000000"/>
                <w:sz w:val="24"/>
              </w:rPr>
              <w:t>交通银行</w:t>
            </w:r>
            <w:r>
              <w:rPr>
                <w:color w:val="000000"/>
                <w:sz w:val="24"/>
              </w:rPr>
              <w:t>CD029</w:t>
            </w:r>
          </w:p>
        </w:tc>
        <w:tc>
          <w:tcPr>
            <w:tcW w:w="0" w:type="auto"/>
            <w:vAlign w:val="center"/>
          </w:tcPr>
          <w:p w:rsidR="000E725A" w:rsidRDefault="002D603E">
            <w:pPr>
              <w:jc w:val="right"/>
            </w:pPr>
            <w:r>
              <w:rPr>
                <w:color w:val="000000"/>
                <w:sz w:val="24"/>
              </w:rPr>
              <w:t>2,000,000</w:t>
            </w:r>
          </w:p>
        </w:tc>
        <w:tc>
          <w:tcPr>
            <w:tcW w:w="0" w:type="auto"/>
            <w:vAlign w:val="center"/>
          </w:tcPr>
          <w:p w:rsidR="000E725A" w:rsidRDefault="002D603E">
            <w:pPr>
              <w:jc w:val="right"/>
            </w:pPr>
            <w:r>
              <w:rPr>
                <w:color w:val="000000"/>
                <w:sz w:val="24"/>
              </w:rPr>
              <w:t>194,978,002.73</w:t>
            </w:r>
          </w:p>
        </w:tc>
        <w:tc>
          <w:tcPr>
            <w:tcW w:w="0" w:type="auto"/>
            <w:vAlign w:val="center"/>
          </w:tcPr>
          <w:p w:rsidR="000E725A" w:rsidRDefault="002D603E">
            <w:pPr>
              <w:jc w:val="right"/>
            </w:pPr>
            <w:r>
              <w:rPr>
                <w:color w:val="000000"/>
                <w:sz w:val="24"/>
              </w:rPr>
              <w:t>2.90</w:t>
            </w:r>
          </w:p>
        </w:tc>
      </w:tr>
      <w:tr w:rsidR="000E725A">
        <w:tc>
          <w:tcPr>
            <w:tcW w:w="0" w:type="auto"/>
            <w:vAlign w:val="center"/>
          </w:tcPr>
          <w:p w:rsidR="000E725A" w:rsidRDefault="002D603E">
            <w:pPr>
              <w:jc w:val="center"/>
            </w:pPr>
            <w:r>
              <w:rPr>
                <w:color w:val="000000"/>
                <w:sz w:val="24"/>
              </w:rPr>
              <w:t>4</w:t>
            </w:r>
          </w:p>
        </w:tc>
        <w:tc>
          <w:tcPr>
            <w:tcW w:w="0" w:type="auto"/>
            <w:vAlign w:val="center"/>
          </w:tcPr>
          <w:p w:rsidR="000E725A" w:rsidRDefault="002D603E">
            <w:pPr>
              <w:jc w:val="center"/>
            </w:pPr>
            <w:r>
              <w:rPr>
                <w:color w:val="000000"/>
                <w:sz w:val="24"/>
              </w:rPr>
              <w:t>170407</w:t>
            </w:r>
          </w:p>
        </w:tc>
        <w:tc>
          <w:tcPr>
            <w:tcW w:w="0" w:type="auto"/>
            <w:vAlign w:val="center"/>
          </w:tcPr>
          <w:p w:rsidR="000E725A" w:rsidRDefault="002D603E">
            <w:pPr>
              <w:jc w:val="center"/>
            </w:pPr>
            <w:r>
              <w:rPr>
                <w:color w:val="000000"/>
                <w:sz w:val="24"/>
              </w:rPr>
              <w:t>17</w:t>
            </w:r>
            <w:r>
              <w:rPr>
                <w:color w:val="000000"/>
                <w:sz w:val="24"/>
              </w:rPr>
              <w:t>农发</w:t>
            </w:r>
            <w:r>
              <w:rPr>
                <w:color w:val="000000"/>
                <w:sz w:val="24"/>
              </w:rPr>
              <w:t>07</w:t>
            </w:r>
          </w:p>
        </w:tc>
        <w:tc>
          <w:tcPr>
            <w:tcW w:w="0" w:type="auto"/>
            <w:vAlign w:val="center"/>
          </w:tcPr>
          <w:p w:rsidR="000E725A" w:rsidRDefault="002D603E">
            <w:pPr>
              <w:jc w:val="right"/>
            </w:pPr>
            <w:r>
              <w:rPr>
                <w:color w:val="000000"/>
                <w:sz w:val="24"/>
              </w:rPr>
              <w:t>1,000,000</w:t>
            </w:r>
          </w:p>
        </w:tc>
        <w:tc>
          <w:tcPr>
            <w:tcW w:w="0" w:type="auto"/>
            <w:vAlign w:val="center"/>
          </w:tcPr>
          <w:p w:rsidR="000E725A" w:rsidRDefault="002D603E">
            <w:pPr>
              <w:jc w:val="right"/>
            </w:pPr>
            <w:r>
              <w:rPr>
                <w:color w:val="000000"/>
                <w:sz w:val="24"/>
              </w:rPr>
              <w:t>100,101,052.04</w:t>
            </w:r>
          </w:p>
        </w:tc>
        <w:tc>
          <w:tcPr>
            <w:tcW w:w="0" w:type="auto"/>
            <w:vAlign w:val="center"/>
          </w:tcPr>
          <w:p w:rsidR="000E725A" w:rsidRDefault="002D603E">
            <w:pPr>
              <w:jc w:val="right"/>
            </w:pPr>
            <w:r>
              <w:rPr>
                <w:color w:val="000000"/>
                <w:sz w:val="24"/>
              </w:rPr>
              <w:t>1.49</w:t>
            </w:r>
          </w:p>
        </w:tc>
      </w:tr>
      <w:tr w:rsidR="000E725A">
        <w:tc>
          <w:tcPr>
            <w:tcW w:w="0" w:type="auto"/>
            <w:vAlign w:val="center"/>
          </w:tcPr>
          <w:p w:rsidR="000E725A" w:rsidRDefault="002D603E">
            <w:pPr>
              <w:jc w:val="center"/>
            </w:pPr>
            <w:r>
              <w:rPr>
                <w:color w:val="000000"/>
                <w:sz w:val="24"/>
              </w:rPr>
              <w:t>5</w:t>
            </w:r>
          </w:p>
        </w:tc>
        <w:tc>
          <w:tcPr>
            <w:tcW w:w="0" w:type="auto"/>
            <w:vAlign w:val="center"/>
          </w:tcPr>
          <w:p w:rsidR="000E725A" w:rsidRDefault="002D603E">
            <w:pPr>
              <w:jc w:val="center"/>
            </w:pPr>
            <w:r>
              <w:rPr>
                <w:color w:val="000000"/>
                <w:sz w:val="24"/>
              </w:rPr>
              <w:t>011902646</w:t>
            </w:r>
          </w:p>
        </w:tc>
        <w:tc>
          <w:tcPr>
            <w:tcW w:w="0" w:type="auto"/>
            <w:vAlign w:val="center"/>
          </w:tcPr>
          <w:p w:rsidR="000E725A" w:rsidRDefault="002D603E">
            <w:pPr>
              <w:jc w:val="center"/>
            </w:pPr>
            <w:r>
              <w:rPr>
                <w:color w:val="000000"/>
                <w:sz w:val="24"/>
              </w:rPr>
              <w:t>19</w:t>
            </w:r>
            <w:r>
              <w:rPr>
                <w:color w:val="000000"/>
                <w:sz w:val="24"/>
              </w:rPr>
              <w:t>宝钢</w:t>
            </w:r>
            <w:r>
              <w:rPr>
                <w:color w:val="000000"/>
                <w:sz w:val="24"/>
              </w:rPr>
              <w:t>SCP017</w:t>
            </w:r>
          </w:p>
        </w:tc>
        <w:tc>
          <w:tcPr>
            <w:tcW w:w="0" w:type="auto"/>
            <w:vAlign w:val="center"/>
          </w:tcPr>
          <w:p w:rsidR="000E725A" w:rsidRDefault="002D603E">
            <w:pPr>
              <w:jc w:val="right"/>
            </w:pPr>
            <w:r>
              <w:rPr>
                <w:color w:val="000000"/>
                <w:sz w:val="24"/>
              </w:rPr>
              <w:t>1,000,000</w:t>
            </w:r>
          </w:p>
        </w:tc>
        <w:tc>
          <w:tcPr>
            <w:tcW w:w="0" w:type="auto"/>
            <w:vAlign w:val="center"/>
          </w:tcPr>
          <w:p w:rsidR="000E725A" w:rsidRDefault="002D603E">
            <w:pPr>
              <w:jc w:val="right"/>
            </w:pPr>
            <w:r>
              <w:rPr>
                <w:color w:val="000000"/>
                <w:sz w:val="24"/>
              </w:rPr>
              <w:t>99,929,907.47</w:t>
            </w:r>
          </w:p>
        </w:tc>
        <w:tc>
          <w:tcPr>
            <w:tcW w:w="0" w:type="auto"/>
            <w:vAlign w:val="center"/>
          </w:tcPr>
          <w:p w:rsidR="000E725A" w:rsidRDefault="002D603E">
            <w:pPr>
              <w:jc w:val="right"/>
            </w:pPr>
            <w:r>
              <w:rPr>
                <w:color w:val="000000"/>
                <w:sz w:val="24"/>
              </w:rPr>
              <w:t>1.49</w:t>
            </w:r>
          </w:p>
        </w:tc>
      </w:tr>
      <w:tr w:rsidR="000E725A">
        <w:tc>
          <w:tcPr>
            <w:tcW w:w="0" w:type="auto"/>
            <w:vAlign w:val="center"/>
          </w:tcPr>
          <w:p w:rsidR="000E725A" w:rsidRDefault="002D603E">
            <w:pPr>
              <w:jc w:val="center"/>
            </w:pPr>
            <w:r>
              <w:rPr>
                <w:color w:val="000000"/>
                <w:sz w:val="24"/>
              </w:rPr>
              <w:t>6</w:t>
            </w:r>
          </w:p>
        </w:tc>
        <w:tc>
          <w:tcPr>
            <w:tcW w:w="0" w:type="auto"/>
            <w:vAlign w:val="center"/>
          </w:tcPr>
          <w:p w:rsidR="000E725A" w:rsidRDefault="002D603E">
            <w:pPr>
              <w:jc w:val="center"/>
            </w:pPr>
            <w:r>
              <w:rPr>
                <w:color w:val="000000"/>
                <w:sz w:val="24"/>
              </w:rPr>
              <w:t>112009033</w:t>
            </w:r>
          </w:p>
        </w:tc>
        <w:tc>
          <w:tcPr>
            <w:tcW w:w="0" w:type="auto"/>
            <w:vAlign w:val="center"/>
          </w:tcPr>
          <w:p w:rsidR="000E725A" w:rsidRDefault="002D603E">
            <w:pPr>
              <w:jc w:val="center"/>
            </w:pPr>
            <w:r>
              <w:rPr>
                <w:color w:val="000000"/>
                <w:sz w:val="24"/>
              </w:rPr>
              <w:t>20</w:t>
            </w:r>
            <w:r>
              <w:rPr>
                <w:color w:val="000000"/>
                <w:sz w:val="24"/>
              </w:rPr>
              <w:t>浦发银行</w:t>
            </w:r>
            <w:r>
              <w:rPr>
                <w:color w:val="000000"/>
                <w:sz w:val="24"/>
              </w:rPr>
              <w:t>CD033</w:t>
            </w:r>
          </w:p>
        </w:tc>
        <w:tc>
          <w:tcPr>
            <w:tcW w:w="0" w:type="auto"/>
            <w:vAlign w:val="center"/>
          </w:tcPr>
          <w:p w:rsidR="000E725A" w:rsidRDefault="002D603E">
            <w:pPr>
              <w:jc w:val="right"/>
            </w:pPr>
            <w:r>
              <w:rPr>
                <w:color w:val="000000"/>
                <w:sz w:val="24"/>
              </w:rPr>
              <w:t>1,000,000</w:t>
            </w:r>
          </w:p>
        </w:tc>
        <w:tc>
          <w:tcPr>
            <w:tcW w:w="0" w:type="auto"/>
            <w:vAlign w:val="center"/>
          </w:tcPr>
          <w:p w:rsidR="000E725A" w:rsidRDefault="002D603E">
            <w:pPr>
              <w:jc w:val="right"/>
            </w:pPr>
            <w:r>
              <w:rPr>
                <w:color w:val="000000"/>
                <w:sz w:val="24"/>
              </w:rPr>
              <w:t>99,735,831.39</w:t>
            </w:r>
          </w:p>
        </w:tc>
        <w:tc>
          <w:tcPr>
            <w:tcW w:w="0" w:type="auto"/>
            <w:vAlign w:val="center"/>
          </w:tcPr>
          <w:p w:rsidR="000E725A" w:rsidRDefault="002D603E">
            <w:pPr>
              <w:jc w:val="right"/>
            </w:pPr>
            <w:r>
              <w:rPr>
                <w:color w:val="000000"/>
                <w:sz w:val="24"/>
              </w:rPr>
              <w:t>1.48</w:t>
            </w:r>
          </w:p>
        </w:tc>
      </w:tr>
      <w:tr w:rsidR="000E725A">
        <w:tc>
          <w:tcPr>
            <w:tcW w:w="0" w:type="auto"/>
            <w:vAlign w:val="center"/>
          </w:tcPr>
          <w:p w:rsidR="000E725A" w:rsidRDefault="002D603E">
            <w:pPr>
              <w:jc w:val="center"/>
            </w:pPr>
            <w:r>
              <w:rPr>
                <w:color w:val="000000"/>
                <w:sz w:val="24"/>
              </w:rPr>
              <w:t>7</w:t>
            </w:r>
          </w:p>
        </w:tc>
        <w:tc>
          <w:tcPr>
            <w:tcW w:w="0" w:type="auto"/>
            <w:vAlign w:val="center"/>
          </w:tcPr>
          <w:p w:rsidR="000E725A" w:rsidRDefault="002D603E">
            <w:pPr>
              <w:jc w:val="center"/>
            </w:pPr>
            <w:r>
              <w:rPr>
                <w:color w:val="000000"/>
                <w:sz w:val="24"/>
              </w:rPr>
              <w:t>112091167</w:t>
            </w:r>
          </w:p>
        </w:tc>
        <w:tc>
          <w:tcPr>
            <w:tcW w:w="0" w:type="auto"/>
            <w:vAlign w:val="center"/>
          </w:tcPr>
          <w:p w:rsidR="000E725A" w:rsidRDefault="002D603E">
            <w:pPr>
              <w:jc w:val="center"/>
            </w:pPr>
            <w:r>
              <w:rPr>
                <w:color w:val="000000"/>
                <w:sz w:val="24"/>
              </w:rPr>
              <w:t>20</w:t>
            </w:r>
            <w:r>
              <w:rPr>
                <w:color w:val="000000"/>
                <w:sz w:val="24"/>
              </w:rPr>
              <w:t>宁波银行</w:t>
            </w:r>
            <w:r>
              <w:rPr>
                <w:color w:val="000000"/>
                <w:sz w:val="24"/>
              </w:rPr>
              <w:t>CD017</w:t>
            </w:r>
          </w:p>
        </w:tc>
        <w:tc>
          <w:tcPr>
            <w:tcW w:w="0" w:type="auto"/>
            <w:vAlign w:val="center"/>
          </w:tcPr>
          <w:p w:rsidR="000E725A" w:rsidRDefault="002D603E">
            <w:pPr>
              <w:jc w:val="right"/>
            </w:pPr>
            <w:r>
              <w:rPr>
                <w:color w:val="000000"/>
                <w:sz w:val="24"/>
              </w:rPr>
              <w:t>1,000,000</w:t>
            </w:r>
          </w:p>
        </w:tc>
        <w:tc>
          <w:tcPr>
            <w:tcW w:w="0" w:type="auto"/>
            <w:vAlign w:val="center"/>
          </w:tcPr>
          <w:p w:rsidR="000E725A" w:rsidRDefault="002D603E">
            <w:pPr>
              <w:jc w:val="right"/>
            </w:pPr>
            <w:r>
              <w:rPr>
                <w:color w:val="000000"/>
                <w:sz w:val="24"/>
              </w:rPr>
              <w:t>99,735,636.06</w:t>
            </w:r>
          </w:p>
        </w:tc>
        <w:tc>
          <w:tcPr>
            <w:tcW w:w="0" w:type="auto"/>
            <w:vAlign w:val="center"/>
          </w:tcPr>
          <w:p w:rsidR="000E725A" w:rsidRDefault="002D603E">
            <w:pPr>
              <w:jc w:val="right"/>
            </w:pPr>
            <w:r>
              <w:rPr>
                <w:color w:val="000000"/>
                <w:sz w:val="24"/>
              </w:rPr>
              <w:t>1.48</w:t>
            </w:r>
          </w:p>
        </w:tc>
      </w:tr>
      <w:tr w:rsidR="000E725A">
        <w:tc>
          <w:tcPr>
            <w:tcW w:w="0" w:type="auto"/>
            <w:vAlign w:val="center"/>
          </w:tcPr>
          <w:p w:rsidR="000E725A" w:rsidRDefault="002D603E">
            <w:pPr>
              <w:jc w:val="center"/>
            </w:pPr>
            <w:r>
              <w:rPr>
                <w:color w:val="000000"/>
                <w:sz w:val="24"/>
              </w:rPr>
              <w:t>8</w:t>
            </w:r>
          </w:p>
        </w:tc>
        <w:tc>
          <w:tcPr>
            <w:tcW w:w="0" w:type="auto"/>
            <w:vAlign w:val="center"/>
          </w:tcPr>
          <w:p w:rsidR="000E725A" w:rsidRDefault="002D603E">
            <w:pPr>
              <w:jc w:val="center"/>
            </w:pPr>
            <w:r>
              <w:rPr>
                <w:color w:val="000000"/>
                <w:sz w:val="24"/>
              </w:rPr>
              <w:t>111908254</w:t>
            </w:r>
          </w:p>
        </w:tc>
        <w:tc>
          <w:tcPr>
            <w:tcW w:w="0" w:type="auto"/>
            <w:vAlign w:val="center"/>
          </w:tcPr>
          <w:p w:rsidR="000E725A" w:rsidRDefault="002D603E">
            <w:pPr>
              <w:jc w:val="center"/>
            </w:pPr>
            <w:r>
              <w:rPr>
                <w:color w:val="000000"/>
                <w:sz w:val="24"/>
              </w:rPr>
              <w:t>19</w:t>
            </w:r>
            <w:r>
              <w:rPr>
                <w:color w:val="000000"/>
                <w:sz w:val="24"/>
              </w:rPr>
              <w:t>中信银行</w:t>
            </w:r>
            <w:r>
              <w:rPr>
                <w:color w:val="000000"/>
                <w:sz w:val="24"/>
              </w:rPr>
              <w:t>CD254</w:t>
            </w:r>
          </w:p>
        </w:tc>
        <w:tc>
          <w:tcPr>
            <w:tcW w:w="0" w:type="auto"/>
            <w:vAlign w:val="center"/>
          </w:tcPr>
          <w:p w:rsidR="000E725A" w:rsidRDefault="002D603E">
            <w:pPr>
              <w:jc w:val="right"/>
            </w:pPr>
            <w:r>
              <w:rPr>
                <w:color w:val="000000"/>
                <w:sz w:val="24"/>
              </w:rPr>
              <w:t>1,000,000</w:t>
            </w:r>
          </w:p>
        </w:tc>
        <w:tc>
          <w:tcPr>
            <w:tcW w:w="0" w:type="auto"/>
            <w:vAlign w:val="center"/>
          </w:tcPr>
          <w:p w:rsidR="000E725A" w:rsidRDefault="002D603E">
            <w:pPr>
              <w:jc w:val="right"/>
            </w:pPr>
            <w:r>
              <w:rPr>
                <w:color w:val="000000"/>
                <w:sz w:val="24"/>
              </w:rPr>
              <w:t>99,519,524.89</w:t>
            </w:r>
          </w:p>
        </w:tc>
        <w:tc>
          <w:tcPr>
            <w:tcW w:w="0" w:type="auto"/>
            <w:vAlign w:val="center"/>
          </w:tcPr>
          <w:p w:rsidR="000E725A" w:rsidRDefault="002D603E">
            <w:pPr>
              <w:jc w:val="right"/>
            </w:pPr>
            <w:r>
              <w:rPr>
                <w:color w:val="000000"/>
                <w:sz w:val="24"/>
              </w:rPr>
              <w:t>1.48</w:t>
            </w:r>
          </w:p>
        </w:tc>
      </w:tr>
      <w:tr w:rsidR="000E725A">
        <w:tc>
          <w:tcPr>
            <w:tcW w:w="0" w:type="auto"/>
            <w:vAlign w:val="center"/>
          </w:tcPr>
          <w:p w:rsidR="000E725A" w:rsidRDefault="002D603E">
            <w:pPr>
              <w:jc w:val="center"/>
            </w:pPr>
            <w:r>
              <w:rPr>
                <w:color w:val="000000"/>
                <w:sz w:val="24"/>
              </w:rPr>
              <w:t>9</w:t>
            </w:r>
          </w:p>
        </w:tc>
        <w:tc>
          <w:tcPr>
            <w:tcW w:w="0" w:type="auto"/>
            <w:vAlign w:val="center"/>
          </w:tcPr>
          <w:p w:rsidR="000E725A" w:rsidRDefault="002D603E">
            <w:pPr>
              <w:jc w:val="center"/>
            </w:pPr>
            <w:r>
              <w:rPr>
                <w:color w:val="000000"/>
                <w:sz w:val="24"/>
              </w:rPr>
              <w:t>111907205</w:t>
            </w:r>
          </w:p>
        </w:tc>
        <w:tc>
          <w:tcPr>
            <w:tcW w:w="0" w:type="auto"/>
            <w:vAlign w:val="center"/>
          </w:tcPr>
          <w:p w:rsidR="000E725A" w:rsidRDefault="002D603E">
            <w:pPr>
              <w:jc w:val="center"/>
            </w:pPr>
            <w:r>
              <w:rPr>
                <w:color w:val="000000"/>
                <w:sz w:val="24"/>
              </w:rPr>
              <w:t>19</w:t>
            </w:r>
            <w:r>
              <w:rPr>
                <w:color w:val="000000"/>
                <w:sz w:val="24"/>
              </w:rPr>
              <w:t>招商银行</w:t>
            </w:r>
            <w:r>
              <w:rPr>
                <w:color w:val="000000"/>
                <w:sz w:val="24"/>
              </w:rPr>
              <w:t>CD205</w:t>
            </w:r>
          </w:p>
        </w:tc>
        <w:tc>
          <w:tcPr>
            <w:tcW w:w="0" w:type="auto"/>
            <w:vAlign w:val="center"/>
          </w:tcPr>
          <w:p w:rsidR="000E725A" w:rsidRDefault="002D603E">
            <w:pPr>
              <w:jc w:val="right"/>
            </w:pPr>
            <w:r>
              <w:rPr>
                <w:color w:val="000000"/>
                <w:sz w:val="24"/>
              </w:rPr>
              <w:t>1,000,000</w:t>
            </w:r>
          </w:p>
        </w:tc>
        <w:tc>
          <w:tcPr>
            <w:tcW w:w="0" w:type="auto"/>
            <w:vAlign w:val="center"/>
          </w:tcPr>
          <w:p w:rsidR="000E725A" w:rsidRDefault="002D603E">
            <w:pPr>
              <w:jc w:val="right"/>
            </w:pPr>
            <w:r>
              <w:rPr>
                <w:color w:val="000000"/>
                <w:sz w:val="24"/>
              </w:rPr>
              <w:t>99,367,340.02</w:t>
            </w:r>
          </w:p>
        </w:tc>
        <w:tc>
          <w:tcPr>
            <w:tcW w:w="0" w:type="auto"/>
            <w:vAlign w:val="center"/>
          </w:tcPr>
          <w:p w:rsidR="000E725A" w:rsidRDefault="002D603E">
            <w:pPr>
              <w:jc w:val="right"/>
            </w:pPr>
            <w:r>
              <w:rPr>
                <w:color w:val="000000"/>
                <w:sz w:val="24"/>
              </w:rPr>
              <w:t>1.48</w:t>
            </w:r>
          </w:p>
        </w:tc>
      </w:tr>
      <w:tr w:rsidR="000E725A">
        <w:tc>
          <w:tcPr>
            <w:tcW w:w="0" w:type="auto"/>
            <w:vAlign w:val="center"/>
          </w:tcPr>
          <w:p w:rsidR="000E725A" w:rsidRDefault="002D603E">
            <w:pPr>
              <w:jc w:val="center"/>
            </w:pPr>
            <w:r>
              <w:rPr>
                <w:color w:val="000000"/>
                <w:sz w:val="24"/>
              </w:rPr>
              <w:t>10</w:t>
            </w:r>
          </w:p>
        </w:tc>
        <w:tc>
          <w:tcPr>
            <w:tcW w:w="0" w:type="auto"/>
            <w:vAlign w:val="center"/>
          </w:tcPr>
          <w:p w:rsidR="000E725A" w:rsidRDefault="002D603E">
            <w:pPr>
              <w:jc w:val="center"/>
            </w:pPr>
            <w:r>
              <w:rPr>
                <w:color w:val="000000"/>
                <w:sz w:val="24"/>
              </w:rPr>
              <w:t>111903202</w:t>
            </w:r>
          </w:p>
        </w:tc>
        <w:tc>
          <w:tcPr>
            <w:tcW w:w="0" w:type="auto"/>
            <w:vAlign w:val="center"/>
          </w:tcPr>
          <w:p w:rsidR="000E725A" w:rsidRDefault="002D603E">
            <w:pPr>
              <w:jc w:val="center"/>
            </w:pPr>
            <w:r>
              <w:rPr>
                <w:color w:val="000000"/>
                <w:sz w:val="24"/>
              </w:rPr>
              <w:t>19</w:t>
            </w:r>
            <w:r>
              <w:rPr>
                <w:color w:val="000000"/>
                <w:sz w:val="24"/>
              </w:rPr>
              <w:t>农业银行</w:t>
            </w:r>
            <w:r>
              <w:rPr>
                <w:color w:val="000000"/>
                <w:sz w:val="24"/>
              </w:rPr>
              <w:t>CD202</w:t>
            </w:r>
          </w:p>
        </w:tc>
        <w:tc>
          <w:tcPr>
            <w:tcW w:w="0" w:type="auto"/>
            <w:vAlign w:val="center"/>
          </w:tcPr>
          <w:p w:rsidR="000E725A" w:rsidRDefault="002D603E">
            <w:pPr>
              <w:jc w:val="right"/>
            </w:pPr>
            <w:r>
              <w:rPr>
                <w:color w:val="000000"/>
                <w:sz w:val="24"/>
              </w:rPr>
              <w:t>1,000,000</w:t>
            </w:r>
          </w:p>
        </w:tc>
        <w:tc>
          <w:tcPr>
            <w:tcW w:w="0" w:type="auto"/>
            <w:vAlign w:val="center"/>
          </w:tcPr>
          <w:p w:rsidR="000E725A" w:rsidRDefault="002D603E">
            <w:pPr>
              <w:jc w:val="right"/>
            </w:pPr>
            <w:r>
              <w:rPr>
                <w:color w:val="000000"/>
                <w:sz w:val="24"/>
              </w:rPr>
              <w:t>99,307,517.09</w:t>
            </w:r>
          </w:p>
        </w:tc>
        <w:tc>
          <w:tcPr>
            <w:tcW w:w="0" w:type="auto"/>
            <w:vAlign w:val="center"/>
          </w:tcPr>
          <w:p w:rsidR="000E725A" w:rsidRDefault="002D603E">
            <w:pPr>
              <w:jc w:val="right"/>
            </w:pPr>
            <w:r>
              <w:rPr>
                <w:color w:val="000000"/>
                <w:sz w:val="24"/>
              </w:rPr>
              <w:t>1.48</w:t>
            </w:r>
          </w:p>
        </w:tc>
      </w:tr>
    </w:tbl>
    <w:p w:rsidR="00941F6C" w:rsidRPr="0097021E" w:rsidRDefault="00941F6C" w:rsidP="003A0EC1">
      <w:pPr>
        <w:spacing w:line="360" w:lineRule="auto"/>
        <w:rPr>
          <w:rFonts w:ascii="宋体" w:cs="Arial"/>
          <w:b/>
          <w:color w:val="000000"/>
          <w:kern w:val="0"/>
          <w:sz w:val="24"/>
        </w:rPr>
      </w:pPr>
      <w:r w:rsidRPr="0097021E">
        <w:rPr>
          <w:rFonts w:ascii="宋体" w:hAnsi="宋体" w:cs="Arial"/>
          <w:b/>
          <w:color w:val="000000"/>
          <w:kern w:val="0"/>
          <w:sz w:val="24"/>
        </w:rPr>
        <w:t>5.</w:t>
      </w:r>
      <w:r w:rsidR="004B40EC">
        <w:rPr>
          <w:rFonts w:ascii="宋体" w:hAnsi="宋体" w:cs="Arial" w:hint="eastAsia"/>
          <w:b/>
          <w:color w:val="000000"/>
          <w:kern w:val="0"/>
          <w:sz w:val="24"/>
        </w:rPr>
        <w:t>7</w:t>
      </w:r>
      <w:r w:rsidRPr="0097021E">
        <w:rPr>
          <w:rFonts w:ascii="宋体" w:hAnsi="宋体" w:cs="Arial" w:hint="eastAsia"/>
          <w:b/>
          <w:color w:val="000000"/>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812"/>
        <w:gridCol w:w="3382"/>
      </w:tblGrid>
      <w:tr w:rsidR="00941F6C"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center"/>
              <w:rPr>
                <w:color w:val="000000"/>
                <w:kern w:val="0"/>
                <w:sz w:val="24"/>
              </w:rPr>
            </w:pPr>
            <w:r w:rsidRPr="00A15461">
              <w:rPr>
                <w:color w:val="000000"/>
                <w:kern w:val="0"/>
                <w:sz w:val="24"/>
              </w:rPr>
              <w:t>偏离情况</w:t>
            </w:r>
          </w:p>
        </w:tc>
      </w:tr>
      <w:tr w:rsidR="00941F6C"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报告期内偏离度的绝对值在</w:t>
            </w:r>
            <w:r w:rsidRPr="00A15461">
              <w:rPr>
                <w:color w:val="000000"/>
                <w:kern w:val="0"/>
                <w:sz w:val="24"/>
              </w:rPr>
              <w:t>0.25(</w:t>
            </w:r>
            <w:r w:rsidRPr="00A15461">
              <w:rPr>
                <w:color w:val="000000"/>
                <w:kern w:val="0"/>
                <w:sz w:val="24"/>
              </w:rPr>
              <w:t>含</w:t>
            </w:r>
            <w:r w:rsidRPr="00A15461">
              <w:rPr>
                <w:color w:val="000000"/>
                <w:kern w:val="0"/>
                <w:sz w:val="24"/>
              </w:rPr>
              <w:t>)-0.5%</w:t>
            </w:r>
            <w:r w:rsidRPr="00A15461">
              <w:rPr>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bottom"/>
          </w:tcPr>
          <w:p w:rsidR="00941F6C" w:rsidRPr="00A15461" w:rsidRDefault="00941F6C" w:rsidP="00196812">
            <w:pPr>
              <w:spacing w:line="360" w:lineRule="auto"/>
              <w:jc w:val="right"/>
              <w:rPr>
                <w:sz w:val="24"/>
              </w:rPr>
            </w:pPr>
            <w:r w:rsidRPr="00A15461">
              <w:rPr>
                <w:color w:val="000000"/>
                <w:sz w:val="24"/>
              </w:rPr>
              <w:t>0</w:t>
            </w:r>
            <w:r w:rsidRPr="00A15461">
              <w:rPr>
                <w:color w:val="000000"/>
                <w:sz w:val="24"/>
              </w:rPr>
              <w:t>次</w:t>
            </w:r>
          </w:p>
        </w:tc>
      </w:tr>
      <w:tr w:rsidR="00941F6C"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tcPr>
          <w:p w:rsidR="00941F6C" w:rsidRPr="00A15461" w:rsidRDefault="00941F6C" w:rsidP="00196812">
            <w:pPr>
              <w:spacing w:line="360" w:lineRule="auto"/>
              <w:jc w:val="right"/>
              <w:rPr>
                <w:sz w:val="24"/>
              </w:rPr>
            </w:pPr>
            <w:r w:rsidRPr="00A15461">
              <w:rPr>
                <w:color w:val="000000"/>
                <w:sz w:val="24"/>
              </w:rPr>
              <w:t>0.1337%</w:t>
            </w:r>
          </w:p>
        </w:tc>
      </w:tr>
      <w:tr w:rsidR="00941F6C"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196812">
            <w:pPr>
              <w:autoSpaceDE w:val="0"/>
              <w:autoSpaceDN w:val="0"/>
              <w:adjustRightInd w:val="0"/>
              <w:spacing w:before="29" w:line="360" w:lineRule="auto"/>
              <w:ind w:left="15"/>
              <w:jc w:val="left"/>
              <w:rPr>
                <w:color w:val="000000"/>
                <w:kern w:val="0"/>
                <w:sz w:val="24"/>
              </w:rPr>
            </w:pPr>
            <w:r w:rsidRPr="00A15461">
              <w:rPr>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tcPr>
          <w:p w:rsidR="00941F6C" w:rsidRPr="00A15461" w:rsidRDefault="00941F6C" w:rsidP="00196812">
            <w:pPr>
              <w:spacing w:line="360" w:lineRule="auto"/>
              <w:jc w:val="right"/>
              <w:rPr>
                <w:sz w:val="24"/>
              </w:rPr>
            </w:pPr>
            <w:r w:rsidRPr="00A15461">
              <w:rPr>
                <w:color w:val="000000"/>
                <w:sz w:val="24"/>
              </w:rPr>
              <w:t>0.0573%</w:t>
            </w:r>
          </w:p>
        </w:tc>
      </w:tr>
      <w:tr w:rsidR="00941F6C" w:rsidRPr="0097021E" w:rsidTr="00533490">
        <w:tc>
          <w:tcPr>
            <w:tcW w:w="5812" w:type="dxa"/>
            <w:tcBorders>
              <w:top w:val="single" w:sz="8" w:space="0" w:color="000000"/>
              <w:left w:val="single" w:sz="8" w:space="0" w:color="000000"/>
              <w:bottom w:val="single" w:sz="8" w:space="0" w:color="000000"/>
              <w:right w:val="single" w:sz="8" w:space="0" w:color="000000"/>
            </w:tcBorders>
            <w:vAlign w:val="center"/>
          </w:tcPr>
          <w:p w:rsidR="00941F6C" w:rsidRPr="00A15461" w:rsidRDefault="00941F6C" w:rsidP="00404A00">
            <w:pPr>
              <w:autoSpaceDE w:val="0"/>
              <w:autoSpaceDN w:val="0"/>
              <w:adjustRightInd w:val="0"/>
              <w:spacing w:before="29" w:line="360" w:lineRule="auto"/>
              <w:ind w:left="15"/>
              <w:jc w:val="left"/>
              <w:rPr>
                <w:color w:val="000000"/>
                <w:kern w:val="0"/>
                <w:sz w:val="24"/>
              </w:rPr>
            </w:pPr>
            <w:r w:rsidRPr="00A15461">
              <w:rPr>
                <w:color w:val="000000"/>
                <w:kern w:val="0"/>
                <w:sz w:val="24"/>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tcPr>
          <w:p w:rsidR="00941F6C" w:rsidRPr="00A15461" w:rsidRDefault="00941F6C" w:rsidP="00196812">
            <w:pPr>
              <w:spacing w:line="360" w:lineRule="auto"/>
              <w:jc w:val="right"/>
              <w:rPr>
                <w:sz w:val="24"/>
              </w:rPr>
            </w:pPr>
            <w:r w:rsidRPr="00A15461">
              <w:rPr>
                <w:color w:val="000000"/>
                <w:sz w:val="24"/>
              </w:rPr>
              <w:t>0.0854%</w:t>
            </w:r>
          </w:p>
        </w:tc>
      </w:tr>
    </w:tbl>
    <w:p w:rsidR="004B40EC" w:rsidRPr="004B40EC" w:rsidRDefault="004B40EC" w:rsidP="004B40EC">
      <w:pPr>
        <w:spacing w:line="360" w:lineRule="auto"/>
        <w:rPr>
          <w:rFonts w:eastAsiaTheme="minorEastAsia"/>
          <w:b/>
          <w:color w:val="000000" w:themeColor="text1"/>
          <w:kern w:val="0"/>
          <w:sz w:val="24"/>
        </w:rPr>
      </w:pPr>
      <w:r w:rsidRPr="004B40EC">
        <w:rPr>
          <w:b/>
          <w:color w:val="000000"/>
          <w:sz w:val="24"/>
        </w:rPr>
        <w:t>报告期内负偏离度的绝对值达到</w:t>
      </w:r>
      <w:r w:rsidRPr="004B40EC">
        <w:rPr>
          <w:b/>
          <w:color w:val="000000"/>
          <w:sz w:val="24"/>
        </w:rPr>
        <w:t>0.25%</w:t>
      </w:r>
      <w:r w:rsidRPr="004B40EC">
        <w:rPr>
          <w:b/>
          <w:color w:val="000000"/>
          <w:sz w:val="24"/>
        </w:rPr>
        <w:t>情况说明</w:t>
      </w:r>
    </w:p>
    <w:p w:rsidR="004B40EC" w:rsidRPr="004B40EC" w:rsidRDefault="004B40EC" w:rsidP="004B40EC">
      <w:pPr>
        <w:adjustRightInd w:val="0"/>
        <w:spacing w:line="360" w:lineRule="auto"/>
        <w:ind w:firstLineChars="200" w:firstLine="480"/>
        <w:rPr>
          <w:color w:val="000000"/>
          <w:sz w:val="24"/>
        </w:rPr>
      </w:pPr>
      <w:r w:rsidRPr="004B40EC">
        <w:rPr>
          <w:color w:val="000000"/>
          <w:sz w:val="24"/>
        </w:rPr>
        <w:t>本基金本报告期内不存在负偏离度的绝对值达到</w:t>
      </w:r>
      <w:r w:rsidRPr="004B40EC">
        <w:rPr>
          <w:color w:val="000000"/>
          <w:sz w:val="24"/>
        </w:rPr>
        <w:t>0.25%</w:t>
      </w:r>
      <w:r w:rsidRPr="004B40EC">
        <w:rPr>
          <w:color w:val="000000"/>
          <w:sz w:val="24"/>
        </w:rPr>
        <w:t>的情况。</w:t>
      </w:r>
    </w:p>
    <w:p w:rsidR="004B40EC" w:rsidRPr="004B40EC" w:rsidRDefault="004B40EC" w:rsidP="004B40EC">
      <w:pPr>
        <w:spacing w:line="360" w:lineRule="auto"/>
        <w:rPr>
          <w:rFonts w:eastAsiaTheme="minorEastAsia"/>
          <w:b/>
          <w:color w:val="000000" w:themeColor="text1"/>
          <w:kern w:val="0"/>
          <w:sz w:val="24"/>
        </w:rPr>
      </w:pPr>
      <w:r w:rsidRPr="004B40EC">
        <w:rPr>
          <w:b/>
          <w:color w:val="000000"/>
          <w:sz w:val="24"/>
        </w:rPr>
        <w:t>报告期内正偏离度的绝对值达到</w:t>
      </w:r>
      <w:r w:rsidRPr="004B40EC">
        <w:rPr>
          <w:b/>
          <w:color w:val="000000"/>
          <w:sz w:val="24"/>
        </w:rPr>
        <w:t>0.5%</w:t>
      </w:r>
      <w:r w:rsidRPr="004B40EC">
        <w:rPr>
          <w:b/>
          <w:color w:val="000000"/>
          <w:sz w:val="24"/>
        </w:rPr>
        <w:t>情况说明</w:t>
      </w:r>
    </w:p>
    <w:p w:rsidR="004B40EC" w:rsidRPr="004B40EC" w:rsidRDefault="004B40EC" w:rsidP="00A15461">
      <w:pPr>
        <w:adjustRightInd w:val="0"/>
        <w:spacing w:line="360" w:lineRule="auto"/>
        <w:ind w:firstLineChars="200" w:firstLine="480"/>
        <w:rPr>
          <w:color w:val="000000"/>
          <w:sz w:val="24"/>
        </w:rPr>
      </w:pPr>
      <w:r w:rsidRPr="004B40EC">
        <w:rPr>
          <w:color w:val="000000"/>
          <w:sz w:val="24"/>
        </w:rPr>
        <w:t>本基金本报告期内不存在正偏离度的绝对值达到</w:t>
      </w:r>
      <w:r w:rsidRPr="004B40EC">
        <w:rPr>
          <w:color w:val="000000"/>
          <w:sz w:val="24"/>
        </w:rPr>
        <w:t>0.5%</w:t>
      </w:r>
      <w:r w:rsidRPr="004B40EC">
        <w:rPr>
          <w:color w:val="000000"/>
          <w:sz w:val="24"/>
        </w:rPr>
        <w:t>的情况。</w:t>
      </w:r>
    </w:p>
    <w:p w:rsidR="00941F6C" w:rsidRPr="0097021E" w:rsidRDefault="00941F6C" w:rsidP="00196812">
      <w:pPr>
        <w:spacing w:line="360" w:lineRule="auto"/>
        <w:rPr>
          <w:rFonts w:ascii="宋体" w:cs="Arial"/>
          <w:b/>
          <w:color w:val="000000"/>
          <w:kern w:val="0"/>
          <w:sz w:val="24"/>
        </w:rPr>
      </w:pPr>
      <w:r w:rsidRPr="0097021E">
        <w:rPr>
          <w:rFonts w:ascii="宋体" w:hAnsi="宋体" w:cs="Arial"/>
          <w:b/>
          <w:color w:val="000000"/>
          <w:kern w:val="0"/>
          <w:sz w:val="24"/>
        </w:rPr>
        <w:t>5.</w:t>
      </w:r>
      <w:r w:rsidR="004B40EC">
        <w:rPr>
          <w:rFonts w:ascii="宋体" w:hAnsi="宋体" w:cs="Arial" w:hint="eastAsia"/>
          <w:b/>
          <w:color w:val="000000"/>
          <w:kern w:val="0"/>
          <w:sz w:val="24"/>
        </w:rPr>
        <w:t>8</w:t>
      </w:r>
      <w:r w:rsidR="009A5367">
        <w:rPr>
          <w:rFonts w:ascii="宋体" w:hAnsi="宋体" w:cs="Arial" w:hint="eastAsia"/>
          <w:b/>
          <w:color w:val="000000"/>
          <w:kern w:val="0"/>
          <w:sz w:val="24"/>
        </w:rPr>
        <w:t>报告期末按公允价值占基金资产净值比例大小排名</w:t>
      </w:r>
      <w:r w:rsidRPr="0097021E">
        <w:rPr>
          <w:rFonts w:ascii="宋体" w:hAnsi="宋体" w:cs="Arial" w:hint="eastAsia"/>
          <w:b/>
          <w:color w:val="000000"/>
          <w:kern w:val="0"/>
          <w:sz w:val="24"/>
        </w:rPr>
        <w:t>的前十名资产支持证券投资明细</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3"/>
        <w:gridCol w:w="1540"/>
        <w:gridCol w:w="1537"/>
        <w:gridCol w:w="1541"/>
        <w:gridCol w:w="1596"/>
        <w:gridCol w:w="1540"/>
      </w:tblGrid>
      <w:tr w:rsidR="00941F6C" w:rsidRPr="0097021E" w:rsidTr="00CA7D55">
        <w:tc>
          <w:tcPr>
            <w:tcW w:w="1547"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序号</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证券代码</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证券名称</w:t>
            </w:r>
          </w:p>
        </w:tc>
        <w:tc>
          <w:tcPr>
            <w:tcW w:w="1548" w:type="dxa"/>
            <w:vAlign w:val="center"/>
          </w:tcPr>
          <w:p w:rsidR="00941F6C" w:rsidRPr="00A15461" w:rsidRDefault="00941F6C" w:rsidP="00DC22A1">
            <w:pPr>
              <w:autoSpaceDE w:val="0"/>
              <w:autoSpaceDN w:val="0"/>
              <w:adjustRightInd w:val="0"/>
              <w:spacing w:before="29" w:line="360" w:lineRule="auto"/>
              <w:ind w:left="15"/>
              <w:jc w:val="center"/>
              <w:rPr>
                <w:color w:val="000000"/>
                <w:kern w:val="0"/>
                <w:sz w:val="24"/>
              </w:rPr>
            </w:pPr>
            <w:r w:rsidRPr="00A15461">
              <w:rPr>
                <w:color w:val="000000"/>
                <w:kern w:val="0"/>
                <w:sz w:val="24"/>
              </w:rPr>
              <w:t>数量</w:t>
            </w:r>
            <w:r w:rsidR="00DC22A1" w:rsidRPr="00A15461">
              <w:rPr>
                <w:color w:val="000000"/>
                <w:kern w:val="0"/>
                <w:sz w:val="24"/>
              </w:rPr>
              <w:t>（份）</w:t>
            </w:r>
          </w:p>
        </w:tc>
        <w:tc>
          <w:tcPr>
            <w:tcW w:w="1548" w:type="dxa"/>
            <w:vAlign w:val="center"/>
          </w:tcPr>
          <w:p w:rsidR="00941F6C" w:rsidRPr="00A15461" w:rsidRDefault="00C43229" w:rsidP="00DC22A1">
            <w:pPr>
              <w:autoSpaceDE w:val="0"/>
              <w:autoSpaceDN w:val="0"/>
              <w:adjustRightInd w:val="0"/>
              <w:spacing w:before="29" w:line="360" w:lineRule="auto"/>
              <w:ind w:left="15"/>
              <w:jc w:val="center"/>
              <w:rPr>
                <w:color w:val="000000"/>
                <w:kern w:val="0"/>
                <w:sz w:val="24"/>
              </w:rPr>
            </w:pPr>
            <w:r>
              <w:rPr>
                <w:rFonts w:hint="eastAsia"/>
                <w:color w:val="000000"/>
                <w:kern w:val="0"/>
                <w:sz w:val="24"/>
              </w:rPr>
              <w:t>摊余成本</w:t>
            </w:r>
            <w:bookmarkStart w:id="0" w:name="_GoBack"/>
            <w:bookmarkEnd w:id="0"/>
            <w:r w:rsidR="00DC22A1" w:rsidRPr="00A15461">
              <w:rPr>
                <w:color w:val="000000"/>
                <w:kern w:val="0"/>
                <w:sz w:val="24"/>
              </w:rPr>
              <w:t>（元）</w:t>
            </w:r>
          </w:p>
        </w:tc>
        <w:tc>
          <w:tcPr>
            <w:tcW w:w="1548" w:type="dxa"/>
            <w:vAlign w:val="center"/>
          </w:tcPr>
          <w:p w:rsidR="00941F6C" w:rsidRPr="00A15461" w:rsidRDefault="00941F6C" w:rsidP="00CA7D55">
            <w:pPr>
              <w:autoSpaceDE w:val="0"/>
              <w:autoSpaceDN w:val="0"/>
              <w:adjustRightInd w:val="0"/>
              <w:spacing w:before="29" w:line="360" w:lineRule="auto"/>
              <w:ind w:left="15"/>
              <w:jc w:val="center"/>
              <w:rPr>
                <w:color w:val="000000"/>
                <w:kern w:val="0"/>
                <w:sz w:val="24"/>
              </w:rPr>
            </w:pPr>
            <w:r w:rsidRPr="00A15461">
              <w:rPr>
                <w:color w:val="000000"/>
                <w:kern w:val="0"/>
                <w:sz w:val="24"/>
              </w:rPr>
              <w:t>占基金资产净值比例（％）</w:t>
            </w:r>
          </w:p>
        </w:tc>
      </w:tr>
      <w:tr w:rsidR="000E725A">
        <w:tc>
          <w:tcPr>
            <w:tcW w:w="0" w:type="auto"/>
            <w:vAlign w:val="center"/>
          </w:tcPr>
          <w:p w:rsidR="000E725A" w:rsidRDefault="002D603E">
            <w:pPr>
              <w:jc w:val="center"/>
            </w:pPr>
            <w:r>
              <w:rPr>
                <w:color w:val="000000"/>
                <w:sz w:val="24"/>
              </w:rPr>
              <w:t>1</w:t>
            </w:r>
          </w:p>
        </w:tc>
        <w:tc>
          <w:tcPr>
            <w:tcW w:w="0" w:type="auto"/>
            <w:vAlign w:val="center"/>
          </w:tcPr>
          <w:p w:rsidR="000E725A" w:rsidRDefault="002D603E">
            <w:pPr>
              <w:jc w:val="center"/>
            </w:pPr>
            <w:r>
              <w:rPr>
                <w:color w:val="000000"/>
                <w:sz w:val="24"/>
              </w:rPr>
              <w:t>138305</w:t>
            </w:r>
          </w:p>
        </w:tc>
        <w:tc>
          <w:tcPr>
            <w:tcW w:w="0" w:type="auto"/>
            <w:vAlign w:val="center"/>
          </w:tcPr>
          <w:p w:rsidR="000E725A" w:rsidRDefault="002D603E">
            <w:pPr>
              <w:jc w:val="center"/>
            </w:pPr>
            <w:r>
              <w:rPr>
                <w:color w:val="000000"/>
                <w:sz w:val="24"/>
              </w:rPr>
              <w:t>瑞新</w:t>
            </w:r>
            <w:r>
              <w:rPr>
                <w:color w:val="000000"/>
                <w:sz w:val="24"/>
              </w:rPr>
              <w:t>9A1</w:t>
            </w:r>
          </w:p>
        </w:tc>
        <w:tc>
          <w:tcPr>
            <w:tcW w:w="0" w:type="auto"/>
            <w:vAlign w:val="center"/>
          </w:tcPr>
          <w:p w:rsidR="000E725A" w:rsidRDefault="002D603E">
            <w:pPr>
              <w:jc w:val="right"/>
            </w:pPr>
            <w:r>
              <w:rPr>
                <w:color w:val="000000"/>
                <w:sz w:val="24"/>
              </w:rPr>
              <w:t>290,000</w:t>
            </w:r>
          </w:p>
        </w:tc>
        <w:tc>
          <w:tcPr>
            <w:tcW w:w="0" w:type="auto"/>
            <w:vAlign w:val="center"/>
          </w:tcPr>
          <w:p w:rsidR="000E725A" w:rsidRDefault="002D603E">
            <w:pPr>
              <w:jc w:val="right"/>
            </w:pPr>
            <w:r>
              <w:rPr>
                <w:color w:val="000000"/>
                <w:sz w:val="24"/>
              </w:rPr>
              <w:t>29,000,000.00</w:t>
            </w:r>
          </w:p>
        </w:tc>
        <w:tc>
          <w:tcPr>
            <w:tcW w:w="0" w:type="auto"/>
            <w:vAlign w:val="center"/>
          </w:tcPr>
          <w:p w:rsidR="000E725A" w:rsidRDefault="002D603E">
            <w:pPr>
              <w:jc w:val="right"/>
            </w:pPr>
            <w:r>
              <w:rPr>
                <w:color w:val="000000"/>
                <w:sz w:val="24"/>
              </w:rPr>
              <w:t>0.43</w:t>
            </w:r>
          </w:p>
        </w:tc>
      </w:tr>
      <w:tr w:rsidR="000E725A">
        <w:tc>
          <w:tcPr>
            <w:tcW w:w="0" w:type="auto"/>
            <w:vAlign w:val="center"/>
          </w:tcPr>
          <w:p w:rsidR="000E725A" w:rsidRDefault="002D603E">
            <w:pPr>
              <w:jc w:val="center"/>
            </w:pPr>
            <w:r>
              <w:rPr>
                <w:color w:val="000000"/>
                <w:sz w:val="24"/>
              </w:rPr>
              <w:t>2</w:t>
            </w:r>
          </w:p>
        </w:tc>
        <w:tc>
          <w:tcPr>
            <w:tcW w:w="0" w:type="auto"/>
            <w:vAlign w:val="center"/>
          </w:tcPr>
          <w:p w:rsidR="000E725A" w:rsidRDefault="002D603E">
            <w:pPr>
              <w:jc w:val="center"/>
            </w:pPr>
            <w:r>
              <w:rPr>
                <w:color w:val="000000"/>
                <w:sz w:val="24"/>
              </w:rPr>
              <w:t>138325</w:t>
            </w:r>
          </w:p>
        </w:tc>
        <w:tc>
          <w:tcPr>
            <w:tcW w:w="0" w:type="auto"/>
            <w:vAlign w:val="center"/>
          </w:tcPr>
          <w:p w:rsidR="000E725A" w:rsidRDefault="002D603E">
            <w:pPr>
              <w:jc w:val="center"/>
            </w:pPr>
            <w:r>
              <w:rPr>
                <w:color w:val="000000"/>
                <w:sz w:val="24"/>
              </w:rPr>
              <w:t>国链</w:t>
            </w:r>
            <w:r>
              <w:rPr>
                <w:color w:val="000000"/>
                <w:sz w:val="24"/>
              </w:rPr>
              <w:t>17A1</w:t>
            </w:r>
          </w:p>
        </w:tc>
        <w:tc>
          <w:tcPr>
            <w:tcW w:w="0" w:type="auto"/>
            <w:vAlign w:val="center"/>
          </w:tcPr>
          <w:p w:rsidR="000E725A" w:rsidRDefault="002D603E">
            <w:pPr>
              <w:jc w:val="right"/>
            </w:pPr>
            <w:r>
              <w:rPr>
                <w:color w:val="000000"/>
                <w:sz w:val="24"/>
              </w:rPr>
              <w:t>200,000</w:t>
            </w:r>
          </w:p>
        </w:tc>
        <w:tc>
          <w:tcPr>
            <w:tcW w:w="0" w:type="auto"/>
            <w:vAlign w:val="center"/>
          </w:tcPr>
          <w:p w:rsidR="000E725A" w:rsidRDefault="002D603E">
            <w:pPr>
              <w:jc w:val="right"/>
            </w:pPr>
            <w:r>
              <w:rPr>
                <w:color w:val="000000"/>
                <w:sz w:val="24"/>
              </w:rPr>
              <w:t>20,000,000.00</w:t>
            </w:r>
          </w:p>
        </w:tc>
        <w:tc>
          <w:tcPr>
            <w:tcW w:w="0" w:type="auto"/>
            <w:vAlign w:val="center"/>
          </w:tcPr>
          <w:p w:rsidR="000E725A" w:rsidRDefault="002D603E">
            <w:pPr>
              <w:jc w:val="right"/>
            </w:pPr>
            <w:r>
              <w:rPr>
                <w:color w:val="000000"/>
                <w:sz w:val="24"/>
              </w:rPr>
              <w:t>0.30</w:t>
            </w:r>
          </w:p>
        </w:tc>
      </w:tr>
      <w:tr w:rsidR="000E725A">
        <w:tc>
          <w:tcPr>
            <w:tcW w:w="0" w:type="auto"/>
            <w:vAlign w:val="center"/>
          </w:tcPr>
          <w:p w:rsidR="000E725A" w:rsidRDefault="002D603E">
            <w:pPr>
              <w:jc w:val="center"/>
            </w:pPr>
            <w:r>
              <w:rPr>
                <w:color w:val="000000"/>
                <w:sz w:val="24"/>
              </w:rPr>
              <w:t>2</w:t>
            </w:r>
          </w:p>
        </w:tc>
        <w:tc>
          <w:tcPr>
            <w:tcW w:w="0" w:type="auto"/>
            <w:vAlign w:val="center"/>
          </w:tcPr>
          <w:p w:rsidR="000E725A" w:rsidRDefault="002D603E">
            <w:pPr>
              <w:jc w:val="center"/>
            </w:pPr>
            <w:r>
              <w:rPr>
                <w:color w:val="000000"/>
                <w:sz w:val="24"/>
              </w:rPr>
              <w:t>138364</w:t>
            </w:r>
          </w:p>
        </w:tc>
        <w:tc>
          <w:tcPr>
            <w:tcW w:w="0" w:type="auto"/>
            <w:vAlign w:val="center"/>
          </w:tcPr>
          <w:p w:rsidR="000E725A" w:rsidRDefault="002D603E">
            <w:pPr>
              <w:jc w:val="center"/>
            </w:pPr>
            <w:r>
              <w:rPr>
                <w:color w:val="000000"/>
                <w:sz w:val="24"/>
              </w:rPr>
              <w:t>南链优</w:t>
            </w:r>
            <w:r>
              <w:rPr>
                <w:color w:val="000000"/>
                <w:sz w:val="24"/>
              </w:rPr>
              <w:t>03</w:t>
            </w:r>
          </w:p>
        </w:tc>
        <w:tc>
          <w:tcPr>
            <w:tcW w:w="0" w:type="auto"/>
            <w:vAlign w:val="center"/>
          </w:tcPr>
          <w:p w:rsidR="000E725A" w:rsidRDefault="002D603E">
            <w:pPr>
              <w:jc w:val="right"/>
            </w:pPr>
            <w:r>
              <w:rPr>
                <w:color w:val="000000"/>
                <w:sz w:val="24"/>
              </w:rPr>
              <w:t>200,000</w:t>
            </w:r>
          </w:p>
        </w:tc>
        <w:tc>
          <w:tcPr>
            <w:tcW w:w="0" w:type="auto"/>
            <w:vAlign w:val="center"/>
          </w:tcPr>
          <w:p w:rsidR="000E725A" w:rsidRDefault="002D603E">
            <w:pPr>
              <w:jc w:val="right"/>
            </w:pPr>
            <w:r>
              <w:rPr>
                <w:color w:val="000000"/>
                <w:sz w:val="24"/>
              </w:rPr>
              <w:t>20,000,000.00</w:t>
            </w:r>
          </w:p>
        </w:tc>
        <w:tc>
          <w:tcPr>
            <w:tcW w:w="0" w:type="auto"/>
            <w:vAlign w:val="center"/>
          </w:tcPr>
          <w:p w:rsidR="000E725A" w:rsidRDefault="002D603E">
            <w:pPr>
              <w:jc w:val="right"/>
            </w:pPr>
            <w:r>
              <w:rPr>
                <w:color w:val="000000"/>
                <w:sz w:val="24"/>
              </w:rPr>
              <w:t>0.30</w:t>
            </w:r>
          </w:p>
        </w:tc>
      </w:tr>
      <w:tr w:rsidR="000E725A">
        <w:tc>
          <w:tcPr>
            <w:tcW w:w="0" w:type="auto"/>
            <w:vAlign w:val="center"/>
          </w:tcPr>
          <w:p w:rsidR="000E725A" w:rsidRDefault="002D603E">
            <w:pPr>
              <w:jc w:val="center"/>
            </w:pPr>
            <w:r>
              <w:rPr>
                <w:color w:val="000000"/>
                <w:sz w:val="24"/>
              </w:rPr>
              <w:t>2</w:t>
            </w:r>
          </w:p>
        </w:tc>
        <w:tc>
          <w:tcPr>
            <w:tcW w:w="0" w:type="auto"/>
            <w:vAlign w:val="center"/>
          </w:tcPr>
          <w:p w:rsidR="000E725A" w:rsidRDefault="002D603E">
            <w:pPr>
              <w:jc w:val="center"/>
            </w:pPr>
            <w:r>
              <w:rPr>
                <w:color w:val="000000"/>
                <w:sz w:val="24"/>
              </w:rPr>
              <w:t>138383</w:t>
            </w:r>
          </w:p>
        </w:tc>
        <w:tc>
          <w:tcPr>
            <w:tcW w:w="0" w:type="auto"/>
            <w:vAlign w:val="center"/>
          </w:tcPr>
          <w:p w:rsidR="000E725A" w:rsidRDefault="002D603E">
            <w:pPr>
              <w:jc w:val="center"/>
            </w:pPr>
            <w:r>
              <w:rPr>
                <w:color w:val="000000"/>
                <w:sz w:val="24"/>
              </w:rPr>
              <w:t>中交</w:t>
            </w:r>
            <w:r>
              <w:rPr>
                <w:color w:val="000000"/>
                <w:sz w:val="24"/>
              </w:rPr>
              <w:t>6</w:t>
            </w:r>
            <w:r>
              <w:rPr>
                <w:color w:val="000000"/>
                <w:sz w:val="24"/>
              </w:rPr>
              <w:t>优</w:t>
            </w:r>
            <w:r>
              <w:rPr>
                <w:color w:val="000000"/>
                <w:sz w:val="24"/>
              </w:rPr>
              <w:t>A</w:t>
            </w:r>
          </w:p>
        </w:tc>
        <w:tc>
          <w:tcPr>
            <w:tcW w:w="0" w:type="auto"/>
            <w:vAlign w:val="center"/>
          </w:tcPr>
          <w:p w:rsidR="000E725A" w:rsidRDefault="002D603E">
            <w:pPr>
              <w:jc w:val="right"/>
            </w:pPr>
            <w:r>
              <w:rPr>
                <w:color w:val="000000"/>
                <w:sz w:val="24"/>
              </w:rPr>
              <w:t>200,000</w:t>
            </w:r>
          </w:p>
        </w:tc>
        <w:tc>
          <w:tcPr>
            <w:tcW w:w="0" w:type="auto"/>
            <w:vAlign w:val="center"/>
          </w:tcPr>
          <w:p w:rsidR="000E725A" w:rsidRDefault="002D603E">
            <w:pPr>
              <w:jc w:val="right"/>
            </w:pPr>
            <w:r>
              <w:rPr>
                <w:color w:val="000000"/>
                <w:sz w:val="24"/>
              </w:rPr>
              <w:t>20,000,000.00</w:t>
            </w:r>
          </w:p>
        </w:tc>
        <w:tc>
          <w:tcPr>
            <w:tcW w:w="0" w:type="auto"/>
            <w:vAlign w:val="center"/>
          </w:tcPr>
          <w:p w:rsidR="000E725A" w:rsidRDefault="002D603E">
            <w:pPr>
              <w:jc w:val="right"/>
            </w:pPr>
            <w:r>
              <w:rPr>
                <w:color w:val="000000"/>
                <w:sz w:val="24"/>
              </w:rPr>
              <w:t>0.30</w:t>
            </w:r>
          </w:p>
        </w:tc>
      </w:tr>
      <w:tr w:rsidR="000E725A">
        <w:tc>
          <w:tcPr>
            <w:tcW w:w="0" w:type="auto"/>
            <w:vAlign w:val="center"/>
          </w:tcPr>
          <w:p w:rsidR="000E725A" w:rsidRDefault="002D603E">
            <w:pPr>
              <w:jc w:val="center"/>
            </w:pPr>
            <w:r>
              <w:rPr>
                <w:color w:val="000000"/>
                <w:sz w:val="24"/>
              </w:rPr>
              <w:t>5</w:t>
            </w:r>
          </w:p>
        </w:tc>
        <w:tc>
          <w:tcPr>
            <w:tcW w:w="0" w:type="auto"/>
            <w:vAlign w:val="center"/>
          </w:tcPr>
          <w:p w:rsidR="000E725A" w:rsidRDefault="002D603E">
            <w:pPr>
              <w:jc w:val="center"/>
            </w:pPr>
            <w:r>
              <w:rPr>
                <w:color w:val="000000"/>
                <w:sz w:val="24"/>
              </w:rPr>
              <w:t>138173</w:t>
            </w:r>
          </w:p>
        </w:tc>
        <w:tc>
          <w:tcPr>
            <w:tcW w:w="0" w:type="auto"/>
            <w:vAlign w:val="center"/>
          </w:tcPr>
          <w:p w:rsidR="000E725A" w:rsidRDefault="002D603E">
            <w:pPr>
              <w:jc w:val="center"/>
            </w:pPr>
            <w:r>
              <w:rPr>
                <w:color w:val="000000"/>
                <w:sz w:val="24"/>
              </w:rPr>
              <w:t>链融</w:t>
            </w:r>
            <w:r>
              <w:rPr>
                <w:color w:val="000000"/>
                <w:sz w:val="24"/>
              </w:rPr>
              <w:t>17A1</w:t>
            </w:r>
          </w:p>
        </w:tc>
        <w:tc>
          <w:tcPr>
            <w:tcW w:w="0" w:type="auto"/>
            <w:vAlign w:val="center"/>
          </w:tcPr>
          <w:p w:rsidR="000E725A" w:rsidRDefault="002D603E">
            <w:pPr>
              <w:jc w:val="right"/>
            </w:pPr>
            <w:r>
              <w:rPr>
                <w:color w:val="000000"/>
                <w:sz w:val="24"/>
              </w:rPr>
              <w:t>110,000</w:t>
            </w:r>
          </w:p>
        </w:tc>
        <w:tc>
          <w:tcPr>
            <w:tcW w:w="0" w:type="auto"/>
            <w:vAlign w:val="center"/>
          </w:tcPr>
          <w:p w:rsidR="000E725A" w:rsidRDefault="002D603E">
            <w:pPr>
              <w:jc w:val="right"/>
            </w:pPr>
            <w:r>
              <w:rPr>
                <w:color w:val="000000"/>
                <w:sz w:val="24"/>
              </w:rPr>
              <w:t>11,000,000.00</w:t>
            </w:r>
          </w:p>
        </w:tc>
        <w:tc>
          <w:tcPr>
            <w:tcW w:w="0" w:type="auto"/>
            <w:vAlign w:val="center"/>
          </w:tcPr>
          <w:p w:rsidR="000E725A" w:rsidRDefault="002D603E">
            <w:pPr>
              <w:jc w:val="right"/>
            </w:pPr>
            <w:r>
              <w:rPr>
                <w:color w:val="000000"/>
                <w:sz w:val="24"/>
              </w:rPr>
              <w:t>0.16</w:t>
            </w:r>
          </w:p>
        </w:tc>
      </w:tr>
      <w:tr w:rsidR="000E725A">
        <w:tc>
          <w:tcPr>
            <w:tcW w:w="0" w:type="auto"/>
            <w:vAlign w:val="center"/>
          </w:tcPr>
          <w:p w:rsidR="000E725A" w:rsidRDefault="002D603E">
            <w:pPr>
              <w:jc w:val="center"/>
            </w:pPr>
            <w:r>
              <w:rPr>
                <w:color w:val="000000"/>
                <w:sz w:val="24"/>
              </w:rPr>
              <w:t>6</w:t>
            </w:r>
          </w:p>
        </w:tc>
        <w:tc>
          <w:tcPr>
            <w:tcW w:w="0" w:type="auto"/>
            <w:vAlign w:val="center"/>
          </w:tcPr>
          <w:p w:rsidR="000E725A" w:rsidRDefault="002D603E">
            <w:pPr>
              <w:jc w:val="center"/>
            </w:pPr>
            <w:r>
              <w:rPr>
                <w:color w:val="000000"/>
                <w:sz w:val="24"/>
              </w:rPr>
              <w:t>138262</w:t>
            </w:r>
          </w:p>
        </w:tc>
        <w:tc>
          <w:tcPr>
            <w:tcW w:w="0" w:type="auto"/>
            <w:vAlign w:val="center"/>
          </w:tcPr>
          <w:p w:rsidR="000E725A" w:rsidRDefault="002D603E">
            <w:pPr>
              <w:jc w:val="center"/>
            </w:pPr>
            <w:r>
              <w:rPr>
                <w:color w:val="000000"/>
                <w:sz w:val="24"/>
              </w:rPr>
              <w:t>诚意</w:t>
            </w:r>
            <w:r>
              <w:rPr>
                <w:color w:val="000000"/>
                <w:sz w:val="24"/>
              </w:rPr>
              <w:t>3A1</w:t>
            </w:r>
          </w:p>
        </w:tc>
        <w:tc>
          <w:tcPr>
            <w:tcW w:w="0" w:type="auto"/>
            <w:vAlign w:val="center"/>
          </w:tcPr>
          <w:p w:rsidR="000E725A" w:rsidRDefault="002D603E">
            <w:pPr>
              <w:jc w:val="right"/>
            </w:pPr>
            <w:r>
              <w:rPr>
                <w:color w:val="000000"/>
                <w:sz w:val="24"/>
              </w:rPr>
              <w:t>100,000</w:t>
            </w:r>
          </w:p>
        </w:tc>
        <w:tc>
          <w:tcPr>
            <w:tcW w:w="0" w:type="auto"/>
            <w:vAlign w:val="center"/>
          </w:tcPr>
          <w:p w:rsidR="000E725A" w:rsidRDefault="002D603E">
            <w:pPr>
              <w:jc w:val="right"/>
            </w:pPr>
            <w:r>
              <w:rPr>
                <w:color w:val="000000"/>
                <w:sz w:val="24"/>
              </w:rPr>
              <w:t>10,000,000.00</w:t>
            </w:r>
          </w:p>
        </w:tc>
        <w:tc>
          <w:tcPr>
            <w:tcW w:w="0" w:type="auto"/>
            <w:vAlign w:val="center"/>
          </w:tcPr>
          <w:p w:rsidR="000E725A" w:rsidRDefault="002D603E">
            <w:pPr>
              <w:jc w:val="right"/>
            </w:pPr>
            <w:r>
              <w:rPr>
                <w:color w:val="000000"/>
                <w:sz w:val="24"/>
              </w:rPr>
              <w:t>0.15</w:t>
            </w:r>
          </w:p>
        </w:tc>
      </w:tr>
      <w:tr w:rsidR="000E725A">
        <w:tc>
          <w:tcPr>
            <w:tcW w:w="0" w:type="auto"/>
            <w:vAlign w:val="center"/>
          </w:tcPr>
          <w:p w:rsidR="000E725A" w:rsidRDefault="002D603E">
            <w:pPr>
              <w:jc w:val="center"/>
            </w:pPr>
            <w:r>
              <w:rPr>
                <w:color w:val="000000"/>
                <w:sz w:val="24"/>
              </w:rPr>
              <w:t>6</w:t>
            </w:r>
          </w:p>
        </w:tc>
        <w:tc>
          <w:tcPr>
            <w:tcW w:w="0" w:type="auto"/>
            <w:vAlign w:val="center"/>
          </w:tcPr>
          <w:p w:rsidR="000E725A" w:rsidRDefault="002D603E">
            <w:pPr>
              <w:jc w:val="center"/>
            </w:pPr>
            <w:r>
              <w:rPr>
                <w:color w:val="000000"/>
                <w:sz w:val="24"/>
              </w:rPr>
              <w:t>138290</w:t>
            </w:r>
          </w:p>
        </w:tc>
        <w:tc>
          <w:tcPr>
            <w:tcW w:w="0" w:type="auto"/>
            <w:vAlign w:val="center"/>
          </w:tcPr>
          <w:p w:rsidR="000E725A" w:rsidRDefault="002D603E">
            <w:pPr>
              <w:jc w:val="center"/>
            </w:pPr>
            <w:r>
              <w:rPr>
                <w:color w:val="000000"/>
                <w:sz w:val="24"/>
              </w:rPr>
              <w:t>链融</w:t>
            </w:r>
            <w:r>
              <w:rPr>
                <w:color w:val="000000"/>
                <w:sz w:val="24"/>
              </w:rPr>
              <w:t>19A1</w:t>
            </w:r>
          </w:p>
        </w:tc>
        <w:tc>
          <w:tcPr>
            <w:tcW w:w="0" w:type="auto"/>
            <w:vAlign w:val="center"/>
          </w:tcPr>
          <w:p w:rsidR="000E725A" w:rsidRDefault="002D603E">
            <w:pPr>
              <w:jc w:val="right"/>
            </w:pPr>
            <w:r>
              <w:rPr>
                <w:color w:val="000000"/>
                <w:sz w:val="24"/>
              </w:rPr>
              <w:t>100,000</w:t>
            </w:r>
          </w:p>
        </w:tc>
        <w:tc>
          <w:tcPr>
            <w:tcW w:w="0" w:type="auto"/>
            <w:vAlign w:val="center"/>
          </w:tcPr>
          <w:p w:rsidR="000E725A" w:rsidRDefault="002D603E">
            <w:pPr>
              <w:jc w:val="right"/>
            </w:pPr>
            <w:r>
              <w:rPr>
                <w:color w:val="000000"/>
                <w:sz w:val="24"/>
              </w:rPr>
              <w:t>10,000,000.00</w:t>
            </w:r>
          </w:p>
        </w:tc>
        <w:tc>
          <w:tcPr>
            <w:tcW w:w="0" w:type="auto"/>
            <w:vAlign w:val="center"/>
          </w:tcPr>
          <w:p w:rsidR="000E725A" w:rsidRDefault="002D603E">
            <w:pPr>
              <w:jc w:val="right"/>
            </w:pPr>
            <w:r>
              <w:rPr>
                <w:color w:val="000000"/>
                <w:sz w:val="24"/>
              </w:rPr>
              <w:t>0.15</w:t>
            </w:r>
          </w:p>
        </w:tc>
      </w:tr>
      <w:tr w:rsidR="000E725A">
        <w:tc>
          <w:tcPr>
            <w:tcW w:w="0" w:type="auto"/>
            <w:vAlign w:val="center"/>
          </w:tcPr>
          <w:p w:rsidR="000E725A" w:rsidRDefault="002D603E">
            <w:pPr>
              <w:jc w:val="center"/>
            </w:pPr>
            <w:r>
              <w:rPr>
                <w:color w:val="000000"/>
                <w:sz w:val="24"/>
              </w:rPr>
              <w:t>6</w:t>
            </w:r>
          </w:p>
        </w:tc>
        <w:tc>
          <w:tcPr>
            <w:tcW w:w="0" w:type="auto"/>
            <w:vAlign w:val="center"/>
          </w:tcPr>
          <w:p w:rsidR="000E725A" w:rsidRDefault="002D603E">
            <w:pPr>
              <w:jc w:val="center"/>
            </w:pPr>
            <w:r>
              <w:rPr>
                <w:color w:val="000000"/>
                <w:sz w:val="24"/>
              </w:rPr>
              <w:t>138324</w:t>
            </w:r>
          </w:p>
        </w:tc>
        <w:tc>
          <w:tcPr>
            <w:tcW w:w="0" w:type="auto"/>
            <w:vAlign w:val="center"/>
          </w:tcPr>
          <w:p w:rsidR="000E725A" w:rsidRDefault="002D603E">
            <w:pPr>
              <w:jc w:val="center"/>
            </w:pPr>
            <w:r>
              <w:rPr>
                <w:color w:val="000000"/>
                <w:sz w:val="24"/>
              </w:rPr>
              <w:t>瑞新</w:t>
            </w:r>
            <w:r>
              <w:rPr>
                <w:color w:val="000000"/>
                <w:sz w:val="24"/>
              </w:rPr>
              <w:t>10A1</w:t>
            </w:r>
          </w:p>
        </w:tc>
        <w:tc>
          <w:tcPr>
            <w:tcW w:w="0" w:type="auto"/>
            <w:vAlign w:val="center"/>
          </w:tcPr>
          <w:p w:rsidR="000E725A" w:rsidRDefault="002D603E">
            <w:pPr>
              <w:jc w:val="right"/>
            </w:pPr>
            <w:r>
              <w:rPr>
                <w:color w:val="000000"/>
                <w:sz w:val="24"/>
              </w:rPr>
              <w:t>100,000</w:t>
            </w:r>
          </w:p>
        </w:tc>
        <w:tc>
          <w:tcPr>
            <w:tcW w:w="0" w:type="auto"/>
            <w:vAlign w:val="center"/>
          </w:tcPr>
          <w:p w:rsidR="000E725A" w:rsidRDefault="002D603E">
            <w:pPr>
              <w:jc w:val="right"/>
            </w:pPr>
            <w:r>
              <w:rPr>
                <w:color w:val="000000"/>
                <w:sz w:val="24"/>
              </w:rPr>
              <w:t>10,000,000.00</w:t>
            </w:r>
          </w:p>
        </w:tc>
        <w:tc>
          <w:tcPr>
            <w:tcW w:w="0" w:type="auto"/>
            <w:vAlign w:val="center"/>
          </w:tcPr>
          <w:p w:rsidR="000E725A" w:rsidRDefault="002D603E">
            <w:pPr>
              <w:jc w:val="right"/>
            </w:pPr>
            <w:r>
              <w:rPr>
                <w:color w:val="000000"/>
                <w:sz w:val="24"/>
              </w:rPr>
              <w:t>0.15</w:t>
            </w:r>
          </w:p>
        </w:tc>
      </w:tr>
      <w:tr w:rsidR="000E725A">
        <w:tc>
          <w:tcPr>
            <w:tcW w:w="0" w:type="auto"/>
            <w:vAlign w:val="center"/>
          </w:tcPr>
          <w:p w:rsidR="000E725A" w:rsidRDefault="002D603E">
            <w:pPr>
              <w:jc w:val="center"/>
            </w:pPr>
            <w:r>
              <w:rPr>
                <w:color w:val="000000"/>
                <w:sz w:val="24"/>
              </w:rPr>
              <w:t>6</w:t>
            </w:r>
          </w:p>
        </w:tc>
        <w:tc>
          <w:tcPr>
            <w:tcW w:w="0" w:type="auto"/>
            <w:vAlign w:val="center"/>
          </w:tcPr>
          <w:p w:rsidR="000E725A" w:rsidRDefault="002D603E">
            <w:pPr>
              <w:jc w:val="center"/>
            </w:pPr>
            <w:r>
              <w:rPr>
                <w:color w:val="000000"/>
                <w:sz w:val="24"/>
              </w:rPr>
              <w:t>138351</w:t>
            </w:r>
          </w:p>
        </w:tc>
        <w:tc>
          <w:tcPr>
            <w:tcW w:w="0" w:type="auto"/>
            <w:vAlign w:val="center"/>
          </w:tcPr>
          <w:p w:rsidR="000E725A" w:rsidRDefault="002D603E">
            <w:pPr>
              <w:jc w:val="center"/>
            </w:pPr>
            <w:r>
              <w:rPr>
                <w:color w:val="000000"/>
                <w:sz w:val="24"/>
              </w:rPr>
              <w:t>瑞新</w:t>
            </w:r>
            <w:r>
              <w:rPr>
                <w:color w:val="000000"/>
                <w:sz w:val="24"/>
              </w:rPr>
              <w:t>11A1</w:t>
            </w:r>
          </w:p>
        </w:tc>
        <w:tc>
          <w:tcPr>
            <w:tcW w:w="0" w:type="auto"/>
            <w:vAlign w:val="center"/>
          </w:tcPr>
          <w:p w:rsidR="000E725A" w:rsidRDefault="002D603E">
            <w:pPr>
              <w:jc w:val="right"/>
            </w:pPr>
            <w:r>
              <w:rPr>
                <w:color w:val="000000"/>
                <w:sz w:val="24"/>
              </w:rPr>
              <w:t>100,000</w:t>
            </w:r>
          </w:p>
        </w:tc>
        <w:tc>
          <w:tcPr>
            <w:tcW w:w="0" w:type="auto"/>
            <w:vAlign w:val="center"/>
          </w:tcPr>
          <w:p w:rsidR="000E725A" w:rsidRDefault="002D603E">
            <w:pPr>
              <w:jc w:val="right"/>
            </w:pPr>
            <w:r>
              <w:rPr>
                <w:color w:val="000000"/>
                <w:sz w:val="24"/>
              </w:rPr>
              <w:t>10,000,000.00</w:t>
            </w:r>
          </w:p>
        </w:tc>
        <w:tc>
          <w:tcPr>
            <w:tcW w:w="0" w:type="auto"/>
            <w:vAlign w:val="center"/>
          </w:tcPr>
          <w:p w:rsidR="000E725A" w:rsidRDefault="002D603E">
            <w:pPr>
              <w:jc w:val="right"/>
            </w:pPr>
            <w:r>
              <w:rPr>
                <w:color w:val="000000"/>
                <w:sz w:val="24"/>
              </w:rPr>
              <w:t>0.15</w:t>
            </w:r>
          </w:p>
        </w:tc>
      </w:tr>
      <w:tr w:rsidR="000E725A">
        <w:tc>
          <w:tcPr>
            <w:tcW w:w="0" w:type="auto"/>
            <w:vAlign w:val="center"/>
          </w:tcPr>
          <w:p w:rsidR="000E725A" w:rsidRDefault="002D603E">
            <w:pPr>
              <w:jc w:val="center"/>
            </w:pPr>
            <w:r>
              <w:rPr>
                <w:color w:val="000000"/>
                <w:sz w:val="24"/>
              </w:rPr>
              <w:t>10</w:t>
            </w:r>
          </w:p>
        </w:tc>
        <w:tc>
          <w:tcPr>
            <w:tcW w:w="0" w:type="auto"/>
            <w:vAlign w:val="center"/>
          </w:tcPr>
          <w:p w:rsidR="000E725A" w:rsidRDefault="002D603E">
            <w:pPr>
              <w:jc w:val="center"/>
            </w:pPr>
            <w:r>
              <w:rPr>
                <w:color w:val="000000"/>
                <w:sz w:val="24"/>
              </w:rPr>
              <w:t>138379</w:t>
            </w:r>
          </w:p>
        </w:tc>
        <w:tc>
          <w:tcPr>
            <w:tcW w:w="0" w:type="auto"/>
            <w:vAlign w:val="center"/>
          </w:tcPr>
          <w:p w:rsidR="000E725A" w:rsidRDefault="002D603E">
            <w:pPr>
              <w:jc w:val="center"/>
            </w:pPr>
            <w:r>
              <w:rPr>
                <w:color w:val="000000"/>
                <w:sz w:val="24"/>
              </w:rPr>
              <w:t>永熙优</w:t>
            </w:r>
            <w:r>
              <w:rPr>
                <w:color w:val="000000"/>
                <w:sz w:val="24"/>
              </w:rPr>
              <w:t>22</w:t>
            </w:r>
          </w:p>
        </w:tc>
        <w:tc>
          <w:tcPr>
            <w:tcW w:w="0" w:type="auto"/>
            <w:vAlign w:val="center"/>
          </w:tcPr>
          <w:p w:rsidR="000E725A" w:rsidRDefault="002D603E">
            <w:pPr>
              <w:jc w:val="right"/>
            </w:pPr>
            <w:r>
              <w:rPr>
                <w:color w:val="000000"/>
                <w:sz w:val="24"/>
              </w:rPr>
              <w:t>70,000</w:t>
            </w:r>
          </w:p>
        </w:tc>
        <w:tc>
          <w:tcPr>
            <w:tcW w:w="0" w:type="auto"/>
            <w:vAlign w:val="center"/>
          </w:tcPr>
          <w:p w:rsidR="000E725A" w:rsidRDefault="002D603E">
            <w:pPr>
              <w:jc w:val="right"/>
            </w:pPr>
            <w:r>
              <w:rPr>
                <w:color w:val="000000"/>
                <w:sz w:val="24"/>
              </w:rPr>
              <w:t>7,000,000.00</w:t>
            </w:r>
          </w:p>
        </w:tc>
        <w:tc>
          <w:tcPr>
            <w:tcW w:w="0" w:type="auto"/>
            <w:vAlign w:val="center"/>
          </w:tcPr>
          <w:p w:rsidR="000E725A" w:rsidRDefault="002D603E">
            <w:pPr>
              <w:jc w:val="right"/>
            </w:pPr>
            <w:r>
              <w:rPr>
                <w:color w:val="000000"/>
                <w:sz w:val="24"/>
              </w:rPr>
              <w:t>0.10</w:t>
            </w:r>
          </w:p>
        </w:tc>
      </w:tr>
    </w:tbl>
    <w:p w:rsidR="00941F6C" w:rsidRPr="006662B2" w:rsidRDefault="00941F6C" w:rsidP="00815CDE">
      <w:pPr>
        <w:spacing w:line="360" w:lineRule="auto"/>
        <w:rPr>
          <w:rFonts w:ascii="宋体" w:cs="Arial"/>
          <w:b/>
          <w:color w:val="000000"/>
          <w:kern w:val="0"/>
          <w:sz w:val="24"/>
        </w:rPr>
      </w:pPr>
      <w:r>
        <w:rPr>
          <w:rFonts w:ascii="宋体" w:hAnsi="宋体" w:cs="Arial"/>
          <w:b/>
          <w:color w:val="000000"/>
          <w:kern w:val="0"/>
          <w:sz w:val="24"/>
        </w:rPr>
        <w:t>5</w:t>
      </w:r>
      <w:r w:rsidRPr="006662B2">
        <w:rPr>
          <w:rFonts w:ascii="宋体" w:hAnsi="宋体" w:cs="Arial"/>
          <w:b/>
          <w:color w:val="000000"/>
          <w:kern w:val="0"/>
          <w:sz w:val="24"/>
        </w:rPr>
        <w:t>.</w:t>
      </w:r>
      <w:r>
        <w:rPr>
          <w:rFonts w:ascii="宋体" w:hAnsi="宋体" w:cs="Arial"/>
          <w:b/>
          <w:color w:val="000000"/>
          <w:kern w:val="0"/>
          <w:sz w:val="24"/>
        </w:rPr>
        <w:t>9</w:t>
      </w:r>
      <w:r w:rsidRPr="006662B2">
        <w:rPr>
          <w:rFonts w:ascii="宋体" w:hAnsi="宋体" w:cs="Arial" w:hint="eastAsia"/>
          <w:b/>
          <w:color w:val="000000"/>
          <w:kern w:val="0"/>
          <w:sz w:val="24"/>
        </w:rPr>
        <w:t>投资组合报告附注</w:t>
      </w:r>
    </w:p>
    <w:p w:rsidR="004B40EC" w:rsidRPr="004B40EC" w:rsidRDefault="004B40EC" w:rsidP="004B40EC">
      <w:pPr>
        <w:spacing w:line="360" w:lineRule="auto"/>
        <w:rPr>
          <w:rFonts w:eastAsiaTheme="minorEastAsia"/>
          <w:color w:val="000000" w:themeColor="text1"/>
          <w:sz w:val="24"/>
        </w:rPr>
      </w:pPr>
      <w:r w:rsidRPr="004B40EC">
        <w:rPr>
          <w:rFonts w:eastAsiaTheme="minorEastAsia"/>
          <w:color w:val="000000" w:themeColor="text1"/>
          <w:sz w:val="24"/>
        </w:rPr>
        <w:t>5.9.1</w:t>
      </w:r>
      <w:r w:rsidRPr="004B40EC">
        <w:rPr>
          <w:rFonts w:eastAsiaTheme="minorEastAsia"/>
          <w:color w:val="000000" w:themeColor="text1"/>
          <w:sz w:val="24"/>
        </w:rPr>
        <w:t>基金计价方法说明</w:t>
      </w:r>
    </w:p>
    <w:p w:rsidR="000E725A" w:rsidRDefault="002D603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本基金目前投资工具的估值方法如下：</w:t>
      </w:r>
    </w:p>
    <w:p w:rsidR="000E725A" w:rsidRDefault="002D603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）基金持有的债券（包括票据）购买时采用实际支付价款（包含交易费用）确定初始成本，按实际利率计算其摊余成本及各期利息收入，每日计提收益；</w:t>
      </w:r>
    </w:p>
    <w:p w:rsidR="000E725A" w:rsidRDefault="002D603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2</w:t>
      </w:r>
      <w:r>
        <w:rPr>
          <w:rFonts w:eastAsiaTheme="minorEastAsia"/>
          <w:color w:val="000000" w:themeColor="text1"/>
          <w:sz w:val="24"/>
        </w:rPr>
        <w:t>）基金持有的回购以成本列示，按实际利率在实际持有期间内逐日计提利息；合同利率与实际利率差异较小的，也可采用合同利率计算确定利息收入；</w:t>
      </w:r>
    </w:p>
    <w:p w:rsidR="000E725A" w:rsidRDefault="002D603E">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3</w:t>
      </w:r>
      <w:r>
        <w:rPr>
          <w:rFonts w:eastAsiaTheme="minorEastAsia"/>
          <w:color w:val="000000" w:themeColor="text1"/>
          <w:sz w:val="24"/>
        </w:rPr>
        <w:t>）基金持有的银行存款以本金列示，按实际协议利率逐日计提利息。</w:t>
      </w:r>
    </w:p>
    <w:p w:rsidR="000E725A" w:rsidRDefault="002D603E">
      <w:pPr>
        <w:spacing w:line="360" w:lineRule="auto"/>
        <w:ind w:firstLineChars="200" w:firstLine="480"/>
        <w:rPr>
          <w:rFonts w:eastAsiaTheme="minorEastAsia"/>
          <w:color w:val="000000" w:themeColor="text1"/>
          <w:sz w:val="24"/>
        </w:rPr>
      </w:pPr>
      <w:r>
        <w:rPr>
          <w:rFonts w:eastAsiaTheme="minorEastAsia"/>
          <w:color w:val="000000" w:themeColor="text1"/>
          <w:sz w:val="24"/>
        </w:rPr>
        <w:t>如有确凿证据表明按上述方法进行估值不能客观反映其公允价值的，基金管理人可根据具体情况与基金托管人商定后，按最能反映公允价值的方法估值。</w:t>
      </w:r>
    </w:p>
    <w:p w:rsidR="004B40EC" w:rsidRPr="004B40EC" w:rsidRDefault="004B40EC" w:rsidP="004B40EC">
      <w:pPr>
        <w:spacing w:line="360" w:lineRule="auto"/>
        <w:ind w:firstLineChars="200" w:firstLine="480"/>
        <w:rPr>
          <w:rFonts w:eastAsiaTheme="minorEastAsia"/>
          <w:color w:val="000000" w:themeColor="text1"/>
          <w:sz w:val="24"/>
        </w:rPr>
      </w:pPr>
      <w:r w:rsidRPr="004B40EC">
        <w:rPr>
          <w:rFonts w:eastAsiaTheme="minorEastAsia"/>
          <w:color w:val="000000" w:themeColor="text1"/>
          <w:sz w:val="24"/>
        </w:rPr>
        <w:t>如有新增事项，按国家最新规定估值。</w:t>
      </w:r>
    </w:p>
    <w:p w:rsidR="00941F6C" w:rsidRPr="004B40EC" w:rsidRDefault="004B40EC" w:rsidP="004B40EC">
      <w:pPr>
        <w:widowControl/>
        <w:spacing w:line="360" w:lineRule="auto"/>
        <w:rPr>
          <w:color w:val="000000"/>
          <w:sz w:val="24"/>
        </w:rPr>
      </w:pPr>
      <w:r w:rsidRPr="004B40EC">
        <w:rPr>
          <w:rFonts w:eastAsiaTheme="minorEastAsia"/>
          <w:color w:val="000000" w:themeColor="text1"/>
          <w:sz w:val="24"/>
        </w:rPr>
        <w:t>5.9.2</w:t>
      </w:r>
      <w:r w:rsidR="00B80EFA">
        <w:rPr>
          <w:rFonts w:eastAsiaTheme="minorEastAsia" w:hint="eastAsia"/>
          <w:color w:val="000000" w:themeColor="text1"/>
          <w:sz w:val="24"/>
        </w:rPr>
        <w:t xml:space="preserve"> </w:t>
      </w:r>
      <w:r w:rsidRPr="004B40EC">
        <w:rPr>
          <w:rFonts w:eastAsiaTheme="minorEastAsia"/>
          <w:color w:val="000000" w:themeColor="text1"/>
          <w:sz w:val="24"/>
        </w:rPr>
        <w:t>19</w:t>
      </w:r>
      <w:r w:rsidRPr="004B40EC">
        <w:rPr>
          <w:rFonts w:eastAsiaTheme="minorEastAsia"/>
          <w:color w:val="000000" w:themeColor="text1"/>
          <w:sz w:val="24"/>
        </w:rPr>
        <w:t>招商银行</w:t>
      </w:r>
      <w:r w:rsidRPr="004B40EC">
        <w:rPr>
          <w:rFonts w:eastAsiaTheme="minorEastAsia"/>
          <w:color w:val="000000" w:themeColor="text1"/>
          <w:sz w:val="24"/>
        </w:rPr>
        <w:t>CD205</w:t>
      </w:r>
      <w:r w:rsidRPr="004B40EC">
        <w:rPr>
          <w:rFonts w:eastAsiaTheme="minorEastAsia"/>
          <w:color w:val="000000" w:themeColor="text1"/>
          <w:sz w:val="24"/>
        </w:rPr>
        <w:t>（代码：</w:t>
      </w:r>
      <w:r w:rsidRPr="004B40EC">
        <w:rPr>
          <w:rFonts w:eastAsiaTheme="minorEastAsia"/>
          <w:color w:val="000000" w:themeColor="text1"/>
          <w:sz w:val="24"/>
        </w:rPr>
        <w:t>111907205</w:t>
      </w:r>
      <w:r w:rsidRPr="004B40EC">
        <w:rPr>
          <w:rFonts w:eastAsiaTheme="minorEastAsia"/>
          <w:color w:val="000000" w:themeColor="text1"/>
          <w:sz w:val="24"/>
        </w:rPr>
        <w:t>）是易方达天天增利货币市场基金的前十大持仓证券。</w:t>
      </w:r>
      <w:r w:rsidRPr="004B40EC">
        <w:rPr>
          <w:rFonts w:eastAsiaTheme="minorEastAsia"/>
          <w:color w:val="000000" w:themeColor="text1"/>
          <w:sz w:val="24"/>
        </w:rPr>
        <w:t>2019</w:t>
      </w:r>
      <w:r w:rsidRPr="004B40EC">
        <w:rPr>
          <w:rFonts w:eastAsiaTheme="minorEastAsia"/>
          <w:color w:val="000000" w:themeColor="text1"/>
          <w:sz w:val="24"/>
        </w:rPr>
        <w:t>年</w:t>
      </w:r>
      <w:r w:rsidRPr="004B40EC">
        <w:rPr>
          <w:rFonts w:eastAsiaTheme="minorEastAsia"/>
          <w:color w:val="000000" w:themeColor="text1"/>
          <w:sz w:val="24"/>
        </w:rPr>
        <w:t>7</w:t>
      </w:r>
      <w:r w:rsidRPr="004B40EC">
        <w:rPr>
          <w:rFonts w:eastAsiaTheme="minorEastAsia"/>
          <w:color w:val="000000" w:themeColor="text1"/>
          <w:sz w:val="24"/>
        </w:rPr>
        <w:t>月</w:t>
      </w:r>
      <w:r w:rsidRPr="004B40EC">
        <w:rPr>
          <w:rFonts w:eastAsiaTheme="minorEastAsia"/>
          <w:color w:val="000000" w:themeColor="text1"/>
          <w:sz w:val="24"/>
        </w:rPr>
        <w:t>8</w:t>
      </w:r>
      <w:r w:rsidRPr="004B40EC">
        <w:rPr>
          <w:rFonts w:eastAsiaTheme="minorEastAsia"/>
          <w:color w:val="000000" w:themeColor="text1"/>
          <w:sz w:val="24"/>
        </w:rPr>
        <w:t>日，中国银行保险监督管理委员会上海监管局针对招商银行股份有限公司信用卡中心在为部分客户办理信用卡业务时未遵守总授信额度管理制度的行为，对招商银行股份有限公司处以责令改正，并处罚款</w:t>
      </w:r>
      <w:r w:rsidRPr="004B40EC">
        <w:rPr>
          <w:rFonts w:eastAsiaTheme="minorEastAsia"/>
          <w:color w:val="000000" w:themeColor="text1"/>
          <w:sz w:val="24"/>
        </w:rPr>
        <w:t>20</w:t>
      </w:r>
      <w:r w:rsidRPr="004B40EC">
        <w:rPr>
          <w:rFonts w:eastAsiaTheme="minorEastAsia"/>
          <w:color w:val="000000" w:themeColor="text1"/>
          <w:sz w:val="24"/>
        </w:rPr>
        <w:t>万元。</w:t>
      </w:r>
    </w:p>
    <w:p w:rsidR="000E725A" w:rsidRDefault="002D603E">
      <w:pPr>
        <w:widowControl/>
        <w:spacing w:line="360" w:lineRule="auto"/>
        <w:rPr>
          <w:color w:val="000000"/>
          <w:sz w:val="24"/>
        </w:rPr>
      </w:pPr>
      <w:r>
        <w:rPr>
          <w:rFonts w:eastAsiaTheme="minorEastAsia"/>
          <w:color w:val="000000" w:themeColor="text1"/>
          <w:sz w:val="24"/>
        </w:rPr>
        <w:t>20</w:t>
      </w:r>
      <w:r>
        <w:rPr>
          <w:rFonts w:eastAsiaTheme="minorEastAsia"/>
          <w:color w:val="000000" w:themeColor="text1"/>
          <w:sz w:val="24"/>
        </w:rPr>
        <w:t>浦发银行</w:t>
      </w:r>
      <w:r>
        <w:rPr>
          <w:rFonts w:eastAsiaTheme="minorEastAsia"/>
          <w:color w:val="000000" w:themeColor="text1"/>
          <w:sz w:val="24"/>
        </w:rPr>
        <w:t>CD033</w:t>
      </w:r>
      <w:r>
        <w:rPr>
          <w:rFonts w:eastAsiaTheme="minorEastAsia"/>
          <w:color w:val="000000" w:themeColor="text1"/>
          <w:sz w:val="24"/>
        </w:rPr>
        <w:t>（代码：</w:t>
      </w:r>
      <w:r>
        <w:rPr>
          <w:rFonts w:eastAsiaTheme="minorEastAsia"/>
          <w:color w:val="000000" w:themeColor="text1"/>
          <w:sz w:val="24"/>
        </w:rPr>
        <w:t>112009033</w:t>
      </w:r>
      <w:r>
        <w:rPr>
          <w:rFonts w:eastAsiaTheme="minorEastAsia"/>
          <w:color w:val="000000" w:themeColor="text1"/>
          <w:sz w:val="24"/>
        </w:rPr>
        <w:t>）是易方达天天增利货币市场基金的前十大持仓证券。</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24</w:t>
      </w:r>
      <w:r>
        <w:rPr>
          <w:rFonts w:eastAsiaTheme="minorEastAsia"/>
          <w:color w:val="000000" w:themeColor="text1"/>
          <w:sz w:val="24"/>
        </w:rPr>
        <w:t>日，中国银行保险监督管理委员会对上海浦东发展银行股份有限公司的如下违法违规行为作出</w:t>
      </w:r>
      <w:r>
        <w:rPr>
          <w:rFonts w:eastAsiaTheme="minorEastAsia"/>
          <w:color w:val="000000" w:themeColor="text1"/>
          <w:sz w:val="24"/>
        </w:rPr>
        <w:t>“</w:t>
      </w:r>
      <w:r>
        <w:rPr>
          <w:rFonts w:eastAsiaTheme="minorEastAsia"/>
          <w:color w:val="000000" w:themeColor="text1"/>
          <w:sz w:val="24"/>
        </w:rPr>
        <w:t>罚款</w:t>
      </w:r>
      <w:r>
        <w:rPr>
          <w:rFonts w:eastAsiaTheme="minorEastAsia"/>
          <w:color w:val="000000" w:themeColor="text1"/>
          <w:sz w:val="24"/>
        </w:rPr>
        <w:t>130</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的行政处罚决定：（一）对成都分行授信业务及整改情况严重失察；（二）重大审计发现未向监管部门报告；（三）轮岗制度执行不力。</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8</w:t>
      </w:r>
      <w:r>
        <w:rPr>
          <w:rFonts w:eastAsiaTheme="minorEastAsia"/>
          <w:color w:val="000000" w:themeColor="text1"/>
          <w:sz w:val="24"/>
        </w:rPr>
        <w:t>日，中国银行保险监督管理委员会上海监管局对上海浦东发展银行股份有限公司信用卡中心的如下违法违规行为作出</w:t>
      </w:r>
      <w:r>
        <w:rPr>
          <w:rFonts w:eastAsiaTheme="minorEastAsia"/>
          <w:color w:val="000000" w:themeColor="text1"/>
          <w:sz w:val="24"/>
        </w:rPr>
        <w:t>“</w:t>
      </w:r>
      <w:r>
        <w:rPr>
          <w:rFonts w:eastAsiaTheme="minorEastAsia"/>
          <w:color w:val="000000" w:themeColor="text1"/>
          <w:sz w:val="24"/>
        </w:rPr>
        <w:t>责令改正，并处罚款</w:t>
      </w:r>
      <w:r>
        <w:rPr>
          <w:rFonts w:eastAsiaTheme="minorEastAsia"/>
          <w:color w:val="000000" w:themeColor="text1"/>
          <w:sz w:val="24"/>
        </w:rPr>
        <w:t>30</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的行政处罚决定：</w:t>
      </w:r>
      <w:r>
        <w:rPr>
          <w:rFonts w:eastAsiaTheme="minorEastAsia"/>
          <w:color w:val="000000" w:themeColor="text1"/>
          <w:sz w:val="24"/>
        </w:rPr>
        <w:t>2015</w:t>
      </w:r>
      <w:r>
        <w:rPr>
          <w:rFonts w:eastAsiaTheme="minorEastAsia"/>
          <w:color w:val="000000" w:themeColor="text1"/>
          <w:sz w:val="24"/>
        </w:rPr>
        <w:t>年至</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月，该中心在为部分客户办理信用卡业务时，对申请人收入核定严重不审慎。</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3</w:t>
      </w:r>
      <w:r>
        <w:rPr>
          <w:rFonts w:eastAsiaTheme="minorEastAsia"/>
          <w:color w:val="000000" w:themeColor="text1"/>
          <w:sz w:val="24"/>
        </w:rPr>
        <w:t>日，中国银行保险监督管理委员会上海监管局对上海浦东发展银行股份有限公司信用卡中心</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月信用卡催收外包管理严重违反审慎经营规则的违法违规事实，作出</w:t>
      </w:r>
      <w:r>
        <w:rPr>
          <w:rFonts w:eastAsiaTheme="minorEastAsia"/>
          <w:color w:val="000000" w:themeColor="text1"/>
          <w:sz w:val="24"/>
        </w:rPr>
        <w:t>“</w:t>
      </w:r>
      <w:r>
        <w:rPr>
          <w:rFonts w:eastAsiaTheme="minorEastAsia"/>
          <w:color w:val="000000" w:themeColor="text1"/>
          <w:sz w:val="24"/>
        </w:rPr>
        <w:t>责令改正，并处罚款</w:t>
      </w:r>
      <w:r>
        <w:rPr>
          <w:rFonts w:eastAsiaTheme="minorEastAsia"/>
          <w:color w:val="000000" w:themeColor="text1"/>
          <w:sz w:val="24"/>
        </w:rPr>
        <w:t>50</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的行政处罚决定。</w:t>
      </w:r>
    </w:p>
    <w:p w:rsidR="000E725A" w:rsidRDefault="002D603E">
      <w:pPr>
        <w:widowControl/>
        <w:spacing w:line="360" w:lineRule="auto"/>
        <w:rPr>
          <w:color w:val="000000"/>
          <w:sz w:val="24"/>
        </w:rPr>
      </w:pPr>
      <w:r>
        <w:rPr>
          <w:rFonts w:eastAsiaTheme="minorEastAsia"/>
          <w:color w:val="000000" w:themeColor="text1"/>
          <w:sz w:val="24"/>
        </w:rPr>
        <w:t>20</w:t>
      </w:r>
      <w:r>
        <w:rPr>
          <w:rFonts w:eastAsiaTheme="minorEastAsia"/>
          <w:color w:val="000000" w:themeColor="text1"/>
          <w:sz w:val="24"/>
        </w:rPr>
        <w:t>宁波银行</w:t>
      </w:r>
      <w:r>
        <w:rPr>
          <w:rFonts w:eastAsiaTheme="minorEastAsia"/>
          <w:color w:val="000000" w:themeColor="text1"/>
          <w:sz w:val="24"/>
        </w:rPr>
        <w:t>CD017</w:t>
      </w:r>
      <w:r>
        <w:rPr>
          <w:rFonts w:eastAsiaTheme="minorEastAsia"/>
          <w:color w:val="000000" w:themeColor="text1"/>
          <w:sz w:val="24"/>
        </w:rPr>
        <w:t>（代码：</w:t>
      </w:r>
      <w:r>
        <w:rPr>
          <w:rFonts w:eastAsiaTheme="minorEastAsia"/>
          <w:color w:val="000000" w:themeColor="text1"/>
          <w:sz w:val="24"/>
        </w:rPr>
        <w:t>112091167</w:t>
      </w:r>
      <w:r>
        <w:rPr>
          <w:rFonts w:eastAsiaTheme="minorEastAsia"/>
          <w:color w:val="000000" w:themeColor="text1"/>
          <w:sz w:val="24"/>
        </w:rPr>
        <w:t>）是易方达天天增利货币市场基金的前十大持仓证券。</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28</w:t>
      </w:r>
      <w:r>
        <w:rPr>
          <w:rFonts w:eastAsiaTheme="minorEastAsia"/>
          <w:color w:val="000000" w:themeColor="text1"/>
          <w:sz w:val="24"/>
        </w:rPr>
        <w:t>日，宁波银保监局对宁波银行作出</w:t>
      </w:r>
      <w:r>
        <w:rPr>
          <w:rFonts w:eastAsiaTheme="minorEastAsia"/>
          <w:color w:val="000000" w:themeColor="text1"/>
          <w:sz w:val="24"/>
        </w:rPr>
        <w:t>“</w:t>
      </w:r>
      <w:r>
        <w:rPr>
          <w:rFonts w:eastAsiaTheme="minorEastAsia"/>
          <w:color w:val="000000" w:themeColor="text1"/>
          <w:sz w:val="24"/>
        </w:rPr>
        <w:t>罚款人民币</w:t>
      </w:r>
      <w:r>
        <w:rPr>
          <w:rFonts w:eastAsiaTheme="minorEastAsia"/>
          <w:color w:val="000000" w:themeColor="text1"/>
          <w:sz w:val="24"/>
        </w:rPr>
        <w:t>30</w:t>
      </w:r>
      <w:r>
        <w:rPr>
          <w:rFonts w:eastAsiaTheme="minorEastAsia"/>
          <w:color w:val="000000" w:themeColor="text1"/>
          <w:sz w:val="24"/>
        </w:rPr>
        <w:t>万元，并责令该行对相关直接责任人给予纪律处分</w:t>
      </w:r>
      <w:r>
        <w:rPr>
          <w:rFonts w:eastAsiaTheme="minorEastAsia"/>
          <w:color w:val="000000" w:themeColor="text1"/>
          <w:sz w:val="24"/>
        </w:rPr>
        <w:t>”</w:t>
      </w:r>
      <w:r>
        <w:rPr>
          <w:rFonts w:eastAsiaTheme="minorEastAsia"/>
          <w:color w:val="000000" w:themeColor="text1"/>
          <w:sz w:val="24"/>
        </w:rPr>
        <w:t>的行政处罚，违法违规事由：因存在销售行为不合规、双录管理不到位的行为。</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w:t>
      </w:r>
      <w:r>
        <w:rPr>
          <w:rFonts w:eastAsiaTheme="minorEastAsia"/>
          <w:color w:val="000000" w:themeColor="text1"/>
          <w:sz w:val="24"/>
        </w:rPr>
        <w:t>28</w:t>
      </w:r>
      <w:r>
        <w:rPr>
          <w:rFonts w:eastAsiaTheme="minorEastAsia"/>
          <w:color w:val="000000" w:themeColor="text1"/>
          <w:sz w:val="24"/>
        </w:rPr>
        <w:t>日，宁波银保监局对宁波银行作出</w:t>
      </w:r>
      <w:r>
        <w:rPr>
          <w:rFonts w:eastAsiaTheme="minorEastAsia"/>
          <w:color w:val="000000" w:themeColor="text1"/>
          <w:sz w:val="24"/>
        </w:rPr>
        <w:t>“</w:t>
      </w:r>
      <w:r>
        <w:rPr>
          <w:rFonts w:eastAsiaTheme="minorEastAsia"/>
          <w:color w:val="000000" w:themeColor="text1"/>
          <w:sz w:val="24"/>
        </w:rPr>
        <w:t>罚款人民币</w:t>
      </w:r>
      <w:r>
        <w:rPr>
          <w:rFonts w:eastAsiaTheme="minorEastAsia"/>
          <w:color w:val="000000" w:themeColor="text1"/>
          <w:sz w:val="24"/>
        </w:rPr>
        <w:t>270</w:t>
      </w:r>
      <w:r>
        <w:rPr>
          <w:rFonts w:eastAsiaTheme="minorEastAsia"/>
          <w:color w:val="000000" w:themeColor="text1"/>
          <w:sz w:val="24"/>
        </w:rPr>
        <w:t>万元，并责令该行对相关直接责任人给予纪律处分</w:t>
      </w:r>
      <w:r>
        <w:rPr>
          <w:rFonts w:eastAsiaTheme="minorEastAsia"/>
          <w:color w:val="000000" w:themeColor="text1"/>
          <w:sz w:val="24"/>
        </w:rPr>
        <w:t>”</w:t>
      </w:r>
      <w:r>
        <w:rPr>
          <w:rFonts w:eastAsiaTheme="minorEastAsia"/>
          <w:color w:val="000000" w:themeColor="text1"/>
          <w:sz w:val="24"/>
        </w:rPr>
        <w:t>的行政处罚，违法违规事由：因存在违反信贷政策、违反房地产行业政策、违规开展存贷业务、员工管理不到位、监管部门报送的报表不准确等行为。</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5</w:t>
      </w:r>
      <w:r>
        <w:rPr>
          <w:rFonts w:eastAsiaTheme="minorEastAsia"/>
          <w:color w:val="000000" w:themeColor="text1"/>
          <w:sz w:val="24"/>
        </w:rPr>
        <w:t>日，宁波银保监局对宁波银行作出</w:t>
      </w:r>
      <w:r>
        <w:rPr>
          <w:rFonts w:eastAsiaTheme="minorEastAsia"/>
          <w:color w:val="000000" w:themeColor="text1"/>
          <w:sz w:val="24"/>
        </w:rPr>
        <w:t>“</w:t>
      </w:r>
      <w:r>
        <w:rPr>
          <w:rFonts w:eastAsiaTheme="minorEastAsia"/>
          <w:color w:val="000000" w:themeColor="text1"/>
          <w:sz w:val="24"/>
        </w:rPr>
        <w:t>罚款人民币</w:t>
      </w:r>
      <w:r>
        <w:rPr>
          <w:rFonts w:eastAsiaTheme="minorEastAsia"/>
          <w:color w:val="000000" w:themeColor="text1"/>
          <w:sz w:val="24"/>
        </w:rPr>
        <w:t>40</w:t>
      </w:r>
      <w:r>
        <w:rPr>
          <w:rFonts w:eastAsiaTheme="minorEastAsia"/>
          <w:color w:val="000000" w:themeColor="text1"/>
          <w:sz w:val="24"/>
        </w:rPr>
        <w:t>万元，并责令该行对相关直接责任人给予纪律处分</w:t>
      </w:r>
      <w:r>
        <w:rPr>
          <w:rFonts w:eastAsiaTheme="minorEastAsia"/>
          <w:color w:val="000000" w:themeColor="text1"/>
          <w:sz w:val="24"/>
        </w:rPr>
        <w:t>”</w:t>
      </w:r>
      <w:r>
        <w:rPr>
          <w:rFonts w:eastAsiaTheme="minorEastAsia"/>
          <w:color w:val="000000" w:themeColor="text1"/>
          <w:sz w:val="24"/>
        </w:rPr>
        <w:t>的行政处罚，违法违规事由：设立时点性规模考核指标，股权质押管理不合规。</w:t>
      </w:r>
    </w:p>
    <w:p w:rsidR="000E725A" w:rsidRDefault="002D603E">
      <w:pPr>
        <w:widowControl/>
        <w:spacing w:line="360" w:lineRule="auto"/>
        <w:rPr>
          <w:color w:val="000000"/>
          <w:sz w:val="24"/>
        </w:rPr>
      </w:pPr>
      <w:r>
        <w:rPr>
          <w:rFonts w:eastAsiaTheme="minorEastAsia"/>
          <w:color w:val="000000" w:themeColor="text1"/>
          <w:sz w:val="24"/>
        </w:rPr>
        <w:t>20</w:t>
      </w:r>
      <w:r>
        <w:rPr>
          <w:rFonts w:eastAsiaTheme="minorEastAsia"/>
          <w:color w:val="000000" w:themeColor="text1"/>
          <w:sz w:val="24"/>
        </w:rPr>
        <w:t>交通银行</w:t>
      </w:r>
      <w:r>
        <w:rPr>
          <w:rFonts w:eastAsiaTheme="minorEastAsia"/>
          <w:color w:val="000000" w:themeColor="text1"/>
          <w:sz w:val="24"/>
        </w:rPr>
        <w:t>CD029</w:t>
      </w:r>
      <w:r>
        <w:rPr>
          <w:rFonts w:eastAsiaTheme="minorEastAsia"/>
          <w:color w:val="000000" w:themeColor="text1"/>
          <w:sz w:val="24"/>
        </w:rPr>
        <w:t>（代码：</w:t>
      </w:r>
      <w:r>
        <w:rPr>
          <w:rFonts w:eastAsiaTheme="minorEastAsia"/>
          <w:color w:val="000000" w:themeColor="text1"/>
          <w:sz w:val="24"/>
        </w:rPr>
        <w:t>112006029</w:t>
      </w:r>
      <w:r>
        <w:rPr>
          <w:rFonts w:eastAsiaTheme="minorEastAsia"/>
          <w:color w:val="000000" w:themeColor="text1"/>
          <w:sz w:val="24"/>
        </w:rPr>
        <w:t>）是易方达天天增利货币市场基金的前十大持仓证券。</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日，中国银行保险监督管理委员会上海监管局对交通银行股份有限公司太平洋信用卡中心的如下违法违规行为作出</w:t>
      </w:r>
      <w:r>
        <w:rPr>
          <w:rFonts w:eastAsiaTheme="minorEastAsia"/>
          <w:color w:val="000000" w:themeColor="text1"/>
          <w:sz w:val="24"/>
        </w:rPr>
        <w:t>“</w:t>
      </w:r>
      <w:r>
        <w:rPr>
          <w:rFonts w:eastAsiaTheme="minorEastAsia"/>
          <w:color w:val="000000" w:themeColor="text1"/>
          <w:sz w:val="24"/>
        </w:rPr>
        <w:t>处以责令改正，并处罚款</w:t>
      </w:r>
      <w:r>
        <w:rPr>
          <w:rFonts w:eastAsiaTheme="minorEastAsia"/>
          <w:color w:val="000000" w:themeColor="text1"/>
          <w:sz w:val="24"/>
        </w:rPr>
        <w:t>40</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的行政处罚决定：</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月至</w:t>
      </w:r>
      <w:r>
        <w:rPr>
          <w:rFonts w:eastAsiaTheme="minorEastAsia"/>
          <w:color w:val="000000" w:themeColor="text1"/>
          <w:sz w:val="24"/>
        </w:rPr>
        <w:t>10</w:t>
      </w:r>
      <w:r>
        <w:rPr>
          <w:rFonts w:eastAsiaTheme="minorEastAsia"/>
          <w:color w:val="000000" w:themeColor="text1"/>
          <w:sz w:val="24"/>
        </w:rPr>
        <w:t>月期间在办理部分客户信用卡业务时未遵守总授信额度管理制度。</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27</w:t>
      </w:r>
      <w:r>
        <w:rPr>
          <w:rFonts w:eastAsiaTheme="minorEastAsia"/>
          <w:color w:val="000000" w:themeColor="text1"/>
          <w:sz w:val="24"/>
        </w:rPr>
        <w:t>日，中国银行保险监督管理委员会对交通银行股份有限公司如下违法违规行为作出</w:t>
      </w:r>
      <w:r>
        <w:rPr>
          <w:rFonts w:eastAsiaTheme="minorEastAsia"/>
          <w:color w:val="000000" w:themeColor="text1"/>
          <w:sz w:val="24"/>
        </w:rPr>
        <w:t>“</w:t>
      </w:r>
      <w:r>
        <w:rPr>
          <w:rFonts w:eastAsiaTheme="minorEastAsia"/>
          <w:color w:val="000000" w:themeColor="text1"/>
          <w:sz w:val="24"/>
        </w:rPr>
        <w:t>罚款</w:t>
      </w:r>
      <w:r>
        <w:rPr>
          <w:rFonts w:eastAsiaTheme="minorEastAsia"/>
          <w:color w:val="000000" w:themeColor="text1"/>
          <w:sz w:val="24"/>
        </w:rPr>
        <w:t>150</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w:t>
      </w:r>
      <w:r>
        <w:rPr>
          <w:rFonts w:eastAsiaTheme="minorEastAsia"/>
          <w:color w:val="000000" w:themeColor="text1"/>
          <w:sz w:val="24"/>
        </w:rPr>
        <w:t>1</w:t>
      </w:r>
      <w:r>
        <w:rPr>
          <w:rFonts w:eastAsiaTheme="minorEastAsia"/>
          <w:color w:val="000000" w:themeColor="text1"/>
          <w:sz w:val="24"/>
        </w:rPr>
        <w:t>、授信审批不审慎；</w:t>
      </w:r>
      <w:r>
        <w:rPr>
          <w:rFonts w:eastAsiaTheme="minorEastAsia"/>
          <w:color w:val="000000" w:themeColor="text1"/>
          <w:sz w:val="24"/>
        </w:rPr>
        <w:t>2</w:t>
      </w:r>
      <w:r>
        <w:rPr>
          <w:rFonts w:eastAsiaTheme="minorEastAsia"/>
          <w:color w:val="000000" w:themeColor="text1"/>
          <w:sz w:val="24"/>
        </w:rPr>
        <w:t>、总行对分支机构管控不力承担管理责任。</w:t>
      </w:r>
    </w:p>
    <w:p w:rsidR="000E725A" w:rsidRDefault="002D603E">
      <w:pPr>
        <w:widowControl/>
        <w:spacing w:line="360" w:lineRule="auto"/>
        <w:rPr>
          <w:color w:val="000000"/>
          <w:sz w:val="24"/>
        </w:rPr>
      </w:pPr>
      <w:r>
        <w:rPr>
          <w:rFonts w:eastAsiaTheme="minorEastAsia"/>
          <w:color w:val="000000" w:themeColor="text1"/>
          <w:sz w:val="24"/>
        </w:rPr>
        <w:t>19</w:t>
      </w:r>
      <w:r>
        <w:rPr>
          <w:rFonts w:eastAsiaTheme="minorEastAsia"/>
          <w:color w:val="000000" w:themeColor="text1"/>
          <w:sz w:val="24"/>
        </w:rPr>
        <w:t>农业银行</w:t>
      </w:r>
      <w:r>
        <w:rPr>
          <w:rFonts w:eastAsiaTheme="minorEastAsia"/>
          <w:color w:val="000000" w:themeColor="text1"/>
          <w:sz w:val="24"/>
        </w:rPr>
        <w:t>CD202</w:t>
      </w:r>
      <w:r>
        <w:rPr>
          <w:rFonts w:eastAsiaTheme="minorEastAsia"/>
          <w:color w:val="000000" w:themeColor="text1"/>
          <w:sz w:val="24"/>
        </w:rPr>
        <w:t>（代码：</w:t>
      </w:r>
      <w:r>
        <w:rPr>
          <w:rFonts w:eastAsiaTheme="minorEastAsia"/>
          <w:color w:val="000000" w:themeColor="text1"/>
          <w:sz w:val="24"/>
        </w:rPr>
        <w:t>111903202</w:t>
      </w:r>
      <w:r>
        <w:rPr>
          <w:rFonts w:eastAsiaTheme="minorEastAsia"/>
          <w:color w:val="000000" w:themeColor="text1"/>
          <w:sz w:val="24"/>
        </w:rPr>
        <w:t>）是易方达天天增利货币市场基金的前十大持仓证券。</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w:t>
      </w:r>
      <w:r>
        <w:rPr>
          <w:rFonts w:eastAsiaTheme="minorEastAsia"/>
          <w:color w:val="000000" w:themeColor="text1"/>
          <w:sz w:val="24"/>
        </w:rPr>
        <w:t>7</w:t>
      </w:r>
      <w:r>
        <w:rPr>
          <w:rFonts w:eastAsiaTheme="minorEastAsia"/>
          <w:color w:val="000000" w:themeColor="text1"/>
          <w:sz w:val="24"/>
        </w:rPr>
        <w:t>日，中国银保监会上海监管局针对中国农业银行股份有限公司中心部分信用卡资金违规用于非消费领域的违法违规行为，作出</w:t>
      </w:r>
      <w:r>
        <w:rPr>
          <w:rFonts w:eastAsiaTheme="minorEastAsia"/>
          <w:color w:val="000000" w:themeColor="text1"/>
          <w:sz w:val="24"/>
        </w:rPr>
        <w:t>“</w:t>
      </w:r>
      <w:r>
        <w:rPr>
          <w:rFonts w:eastAsiaTheme="minorEastAsia"/>
          <w:color w:val="000000" w:themeColor="text1"/>
          <w:sz w:val="24"/>
        </w:rPr>
        <w:t>责令改正，并处罚款</w:t>
      </w:r>
      <w:r>
        <w:rPr>
          <w:rFonts w:eastAsiaTheme="minorEastAsia"/>
          <w:color w:val="000000" w:themeColor="text1"/>
          <w:sz w:val="24"/>
        </w:rPr>
        <w:t>50</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的行政处罚决定。</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日，中国银行保险监督管理委员会上海监管局针对中国农业银行股份有限公司信用卡中心的如下违法违规行为作出</w:t>
      </w:r>
      <w:r>
        <w:rPr>
          <w:rFonts w:eastAsiaTheme="minorEastAsia"/>
          <w:color w:val="000000" w:themeColor="text1"/>
          <w:sz w:val="24"/>
        </w:rPr>
        <w:t>“</w:t>
      </w:r>
      <w:r>
        <w:rPr>
          <w:rFonts w:eastAsiaTheme="minorEastAsia"/>
          <w:color w:val="000000" w:themeColor="text1"/>
          <w:sz w:val="24"/>
        </w:rPr>
        <w:t>责令改正，并处罚款</w:t>
      </w:r>
      <w:r>
        <w:rPr>
          <w:rFonts w:eastAsiaTheme="minorEastAsia"/>
          <w:color w:val="000000" w:themeColor="text1"/>
          <w:sz w:val="24"/>
        </w:rPr>
        <w:t>20</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的行政处罚决定：</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月至</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月在办理部分客户信用卡业务时未遵守总授信额度管理制度的违法违规事实。</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19</w:t>
      </w:r>
      <w:r>
        <w:rPr>
          <w:rFonts w:eastAsiaTheme="minorEastAsia"/>
          <w:color w:val="000000" w:themeColor="text1"/>
          <w:sz w:val="24"/>
        </w:rPr>
        <w:t>日，国家税务总局北京市海淀区税务局对中国农业银行股份有限公司未按照规定期限办理纳税申报和报送纳税资料的违法违规事实，作出罚款</w:t>
      </w:r>
      <w:r>
        <w:rPr>
          <w:rFonts w:eastAsiaTheme="minorEastAsia"/>
          <w:color w:val="000000" w:themeColor="text1"/>
          <w:sz w:val="24"/>
        </w:rPr>
        <w:t>50</w:t>
      </w:r>
      <w:r>
        <w:rPr>
          <w:rFonts w:eastAsiaTheme="minorEastAsia"/>
          <w:color w:val="000000" w:themeColor="text1"/>
          <w:sz w:val="24"/>
        </w:rPr>
        <w:t>万元的行政处罚决定。</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3</w:t>
      </w:r>
      <w:r>
        <w:rPr>
          <w:rFonts w:eastAsiaTheme="minorEastAsia"/>
          <w:color w:val="000000" w:themeColor="text1"/>
          <w:sz w:val="24"/>
        </w:rPr>
        <w:t>月</w:t>
      </w:r>
      <w:r>
        <w:rPr>
          <w:rFonts w:eastAsiaTheme="minorEastAsia"/>
          <w:color w:val="000000" w:themeColor="text1"/>
          <w:sz w:val="24"/>
        </w:rPr>
        <w:t>9</w:t>
      </w:r>
      <w:r>
        <w:rPr>
          <w:rFonts w:eastAsiaTheme="minorEastAsia"/>
          <w:color w:val="000000" w:themeColor="text1"/>
          <w:sz w:val="24"/>
        </w:rPr>
        <w:t>日，中国银行保险监督管理委员会对中国农业银行股份有限公司的如下违法违规行为作出罚款</w:t>
      </w:r>
      <w:r>
        <w:rPr>
          <w:rFonts w:eastAsiaTheme="minorEastAsia"/>
          <w:color w:val="000000" w:themeColor="text1"/>
          <w:sz w:val="24"/>
        </w:rPr>
        <w:t>50</w:t>
      </w:r>
      <w:r>
        <w:rPr>
          <w:rFonts w:eastAsiaTheme="minorEastAsia"/>
          <w:color w:val="000000" w:themeColor="text1"/>
          <w:sz w:val="24"/>
        </w:rPr>
        <w:t>万元的行政处罚决定：可回溯制度执行不到位、可回溯基础管理不到位、部分可回溯视频质检结果未反馈给保险公司、可回溯资料不符合监管规定。</w:t>
      </w:r>
    </w:p>
    <w:p w:rsidR="000E725A" w:rsidRDefault="002D603E">
      <w:pPr>
        <w:widowControl/>
        <w:spacing w:line="360" w:lineRule="auto"/>
        <w:rPr>
          <w:color w:val="000000"/>
          <w:sz w:val="24"/>
        </w:rPr>
      </w:pPr>
      <w:r>
        <w:rPr>
          <w:rFonts w:eastAsiaTheme="minorEastAsia"/>
          <w:color w:val="000000" w:themeColor="text1"/>
          <w:sz w:val="24"/>
        </w:rPr>
        <w:t>19</w:t>
      </w:r>
      <w:r>
        <w:rPr>
          <w:rFonts w:eastAsiaTheme="minorEastAsia"/>
          <w:color w:val="000000" w:themeColor="text1"/>
          <w:sz w:val="24"/>
        </w:rPr>
        <w:t>中信银行</w:t>
      </w:r>
      <w:r>
        <w:rPr>
          <w:rFonts w:eastAsiaTheme="minorEastAsia"/>
          <w:color w:val="000000" w:themeColor="text1"/>
          <w:sz w:val="24"/>
        </w:rPr>
        <w:t>CD254</w:t>
      </w:r>
      <w:r>
        <w:rPr>
          <w:rFonts w:eastAsiaTheme="minorEastAsia"/>
          <w:color w:val="000000" w:themeColor="text1"/>
          <w:sz w:val="24"/>
        </w:rPr>
        <w:t>（代码：</w:t>
      </w:r>
      <w:r>
        <w:rPr>
          <w:rFonts w:eastAsiaTheme="minorEastAsia"/>
          <w:color w:val="000000" w:themeColor="text1"/>
          <w:sz w:val="24"/>
        </w:rPr>
        <w:t>111908254</w:t>
      </w:r>
      <w:r>
        <w:rPr>
          <w:rFonts w:eastAsiaTheme="minorEastAsia"/>
          <w:color w:val="000000" w:themeColor="text1"/>
          <w:sz w:val="24"/>
        </w:rPr>
        <w:t>）是易方达天天增利货币市场基金的前十大持仓证券。</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3</w:t>
      </w:r>
      <w:r>
        <w:rPr>
          <w:rFonts w:eastAsiaTheme="minorEastAsia"/>
          <w:color w:val="000000" w:themeColor="text1"/>
          <w:sz w:val="24"/>
        </w:rPr>
        <w:t>日，中国银行保险监督管理委员会针对中信银行股份有限公司的如下违法违规行为，作出</w:t>
      </w:r>
      <w:r>
        <w:rPr>
          <w:rFonts w:eastAsiaTheme="minorEastAsia"/>
          <w:color w:val="000000" w:themeColor="text1"/>
          <w:sz w:val="24"/>
        </w:rPr>
        <w:t>“</w:t>
      </w:r>
      <w:r>
        <w:rPr>
          <w:rFonts w:eastAsiaTheme="minorEastAsia"/>
          <w:color w:val="000000" w:themeColor="text1"/>
          <w:sz w:val="24"/>
        </w:rPr>
        <w:t>没收违法所得</w:t>
      </w:r>
      <w:r>
        <w:rPr>
          <w:rFonts w:eastAsiaTheme="minorEastAsia"/>
          <w:color w:val="000000" w:themeColor="text1"/>
          <w:sz w:val="24"/>
        </w:rPr>
        <w:t>33.6677</w:t>
      </w:r>
      <w:r>
        <w:rPr>
          <w:rFonts w:eastAsiaTheme="minorEastAsia"/>
          <w:color w:val="000000" w:themeColor="text1"/>
          <w:sz w:val="24"/>
        </w:rPr>
        <w:t>万元，罚款</w:t>
      </w:r>
      <w:r>
        <w:rPr>
          <w:rFonts w:eastAsiaTheme="minorEastAsia"/>
          <w:color w:val="000000" w:themeColor="text1"/>
          <w:sz w:val="24"/>
        </w:rPr>
        <w:t>2190</w:t>
      </w:r>
      <w:r>
        <w:rPr>
          <w:rFonts w:eastAsiaTheme="minorEastAsia"/>
          <w:color w:val="000000" w:themeColor="text1"/>
          <w:sz w:val="24"/>
        </w:rPr>
        <w:t>万元，合计</w:t>
      </w:r>
      <w:r>
        <w:rPr>
          <w:rFonts w:eastAsiaTheme="minorEastAsia"/>
          <w:color w:val="000000" w:themeColor="text1"/>
          <w:sz w:val="24"/>
        </w:rPr>
        <w:t>2223.6677</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的行政处罚决定：（一）未按规定提供报表且逾期未改正</w:t>
      </w:r>
      <w:r>
        <w:rPr>
          <w:rFonts w:eastAsiaTheme="minorEastAsia"/>
          <w:color w:val="000000" w:themeColor="text1"/>
          <w:sz w:val="24"/>
        </w:rPr>
        <w:t>;</w:t>
      </w:r>
      <w:r>
        <w:rPr>
          <w:rFonts w:eastAsiaTheme="minorEastAsia"/>
          <w:color w:val="000000" w:themeColor="text1"/>
          <w:sz w:val="24"/>
        </w:rPr>
        <w:t>（二）错报、漏报银行业监管统计资料；（三）未向监管部门报告重要信息系统运营中断事件</w:t>
      </w:r>
      <w:r>
        <w:rPr>
          <w:rFonts w:eastAsiaTheme="minorEastAsia"/>
          <w:color w:val="000000" w:themeColor="text1"/>
          <w:sz w:val="24"/>
        </w:rPr>
        <w:t>;</w:t>
      </w:r>
      <w:r>
        <w:rPr>
          <w:rFonts w:eastAsiaTheme="minorEastAsia"/>
          <w:color w:val="000000" w:themeColor="text1"/>
          <w:sz w:val="24"/>
        </w:rPr>
        <w:t>（四）信息系统控制存在较大安全漏洞，未做到有效的安全控制</w:t>
      </w:r>
      <w:r>
        <w:rPr>
          <w:rFonts w:eastAsiaTheme="minorEastAsia"/>
          <w:color w:val="000000" w:themeColor="text1"/>
          <w:sz w:val="24"/>
        </w:rPr>
        <w:t>;</w:t>
      </w:r>
      <w:r>
        <w:rPr>
          <w:rFonts w:eastAsiaTheme="minorEastAsia"/>
          <w:color w:val="000000" w:themeColor="text1"/>
          <w:sz w:val="24"/>
        </w:rPr>
        <w:t>（五）未按企业划型标准将多家企业划分为小微型企业，报送监管数据不真实</w:t>
      </w:r>
      <w:r>
        <w:rPr>
          <w:rFonts w:eastAsiaTheme="minorEastAsia"/>
          <w:color w:val="000000" w:themeColor="text1"/>
          <w:sz w:val="24"/>
        </w:rPr>
        <w:t>;</w:t>
      </w:r>
      <w:r>
        <w:rPr>
          <w:rFonts w:eastAsiaTheme="minorEastAsia"/>
          <w:color w:val="000000" w:themeColor="text1"/>
          <w:sz w:val="24"/>
        </w:rPr>
        <w:t>（六）向关系人发放信用贷款、向关系人发放担保贷款的条件优于其他借款人同类贷款条件</w:t>
      </w:r>
      <w:r>
        <w:rPr>
          <w:rFonts w:eastAsiaTheme="minorEastAsia"/>
          <w:color w:val="000000" w:themeColor="text1"/>
          <w:sz w:val="24"/>
        </w:rPr>
        <w:t>;</w:t>
      </w:r>
      <w:r>
        <w:rPr>
          <w:rFonts w:eastAsiaTheme="minorEastAsia"/>
          <w:color w:val="000000" w:themeColor="text1"/>
          <w:sz w:val="24"/>
        </w:rPr>
        <w:t>（七）重大关联交易未按规定审查审批且未向监管部门报告</w:t>
      </w:r>
      <w:r>
        <w:rPr>
          <w:rFonts w:eastAsiaTheme="minorEastAsia"/>
          <w:color w:val="000000" w:themeColor="text1"/>
          <w:sz w:val="24"/>
        </w:rPr>
        <w:t>;</w:t>
      </w:r>
      <w:r>
        <w:rPr>
          <w:rFonts w:eastAsiaTheme="minorEastAsia"/>
          <w:color w:val="000000" w:themeColor="text1"/>
          <w:sz w:val="24"/>
        </w:rPr>
        <w:t>（八）贷后管理不到位导致贷款资金被挪用</w:t>
      </w:r>
      <w:r>
        <w:rPr>
          <w:rFonts w:eastAsiaTheme="minorEastAsia"/>
          <w:color w:val="000000" w:themeColor="text1"/>
          <w:sz w:val="24"/>
        </w:rPr>
        <w:t>;</w:t>
      </w:r>
      <w:r>
        <w:rPr>
          <w:rFonts w:eastAsiaTheme="minorEastAsia"/>
          <w:color w:val="000000" w:themeColor="text1"/>
          <w:sz w:val="24"/>
        </w:rPr>
        <w:t>（九）以流动资金贷款名义发放房地产开发贷款</w:t>
      </w:r>
      <w:r>
        <w:rPr>
          <w:rFonts w:eastAsiaTheme="minorEastAsia"/>
          <w:color w:val="000000" w:themeColor="text1"/>
          <w:sz w:val="24"/>
        </w:rPr>
        <w:t>;</w:t>
      </w:r>
      <w:r>
        <w:rPr>
          <w:rFonts w:eastAsiaTheme="minorEastAsia"/>
          <w:color w:val="000000" w:themeColor="text1"/>
          <w:sz w:val="24"/>
        </w:rPr>
        <w:t>（十）未将房地产企业贷款计入房地产开发贷款科目</w:t>
      </w:r>
      <w:r>
        <w:rPr>
          <w:rFonts w:eastAsiaTheme="minorEastAsia"/>
          <w:color w:val="000000" w:themeColor="text1"/>
          <w:sz w:val="24"/>
        </w:rPr>
        <w:t>;</w:t>
      </w:r>
      <w:r>
        <w:rPr>
          <w:rFonts w:eastAsiaTheme="minorEastAsia"/>
          <w:color w:val="000000" w:themeColor="text1"/>
          <w:sz w:val="24"/>
        </w:rPr>
        <w:t>（十一）投资同一家银行机构同期非保本理财产品采用风险权重不一致</w:t>
      </w:r>
      <w:r>
        <w:rPr>
          <w:rFonts w:eastAsiaTheme="minorEastAsia"/>
          <w:color w:val="000000" w:themeColor="text1"/>
          <w:sz w:val="24"/>
        </w:rPr>
        <w:t>;</w:t>
      </w:r>
      <w:r>
        <w:rPr>
          <w:rFonts w:eastAsiaTheme="minorEastAsia"/>
          <w:color w:val="000000" w:themeColor="text1"/>
          <w:sz w:val="24"/>
        </w:rPr>
        <w:t>（十二）购买非保本理财产品签订可提前赎回协议，未准确计量风险加权资产</w:t>
      </w:r>
      <w:r>
        <w:rPr>
          <w:rFonts w:eastAsiaTheme="minorEastAsia"/>
          <w:color w:val="000000" w:themeColor="text1"/>
          <w:sz w:val="24"/>
        </w:rPr>
        <w:t>;</w:t>
      </w:r>
      <w:r>
        <w:rPr>
          <w:rFonts w:eastAsiaTheme="minorEastAsia"/>
          <w:color w:val="000000" w:themeColor="text1"/>
          <w:sz w:val="24"/>
        </w:rPr>
        <w:t>（十三）未按规定计提资产支持证券业务的风险加权资产。</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2</w:t>
      </w:r>
      <w:r>
        <w:rPr>
          <w:rFonts w:eastAsiaTheme="minorEastAsia"/>
          <w:color w:val="000000" w:themeColor="text1"/>
          <w:sz w:val="24"/>
        </w:rPr>
        <w:t>月</w:t>
      </w:r>
      <w:r>
        <w:rPr>
          <w:rFonts w:eastAsiaTheme="minorEastAsia"/>
          <w:color w:val="000000" w:themeColor="text1"/>
          <w:sz w:val="24"/>
        </w:rPr>
        <w:t>20</w:t>
      </w:r>
      <w:r>
        <w:rPr>
          <w:rFonts w:eastAsiaTheme="minorEastAsia"/>
          <w:color w:val="000000" w:themeColor="text1"/>
          <w:sz w:val="24"/>
        </w:rPr>
        <w:t>日，北京银保监局对中信银行股份有限公司的如下违法违规行为，作出</w:t>
      </w:r>
      <w:r>
        <w:rPr>
          <w:rFonts w:eastAsiaTheme="minorEastAsia"/>
          <w:color w:val="000000" w:themeColor="text1"/>
          <w:sz w:val="24"/>
        </w:rPr>
        <w:t>“</w:t>
      </w:r>
      <w:r>
        <w:rPr>
          <w:rFonts w:eastAsiaTheme="minorEastAsia"/>
          <w:color w:val="000000" w:themeColor="text1"/>
          <w:sz w:val="24"/>
        </w:rPr>
        <w:t>责令中信银行股份有限公司改正，并给予合计</w:t>
      </w:r>
      <w:r>
        <w:rPr>
          <w:rFonts w:eastAsiaTheme="minorEastAsia"/>
          <w:color w:val="000000" w:themeColor="text1"/>
          <w:sz w:val="24"/>
        </w:rPr>
        <w:t>2020</w:t>
      </w:r>
      <w:r>
        <w:rPr>
          <w:rFonts w:eastAsiaTheme="minorEastAsia"/>
          <w:color w:val="000000" w:themeColor="text1"/>
          <w:sz w:val="24"/>
        </w:rPr>
        <w:t>万元罚款</w:t>
      </w:r>
      <w:r>
        <w:rPr>
          <w:rFonts w:eastAsiaTheme="minorEastAsia"/>
          <w:color w:val="000000" w:themeColor="text1"/>
          <w:sz w:val="24"/>
        </w:rPr>
        <w:t>”</w:t>
      </w:r>
      <w:r>
        <w:rPr>
          <w:rFonts w:eastAsiaTheme="minorEastAsia"/>
          <w:color w:val="000000" w:themeColor="text1"/>
          <w:sz w:val="24"/>
        </w:rPr>
        <w:t>的行政处罚决定：中信银行股份有限公司违规发放土地储备贷款；受托支付不符合监管规定；信托消费贷款业务开展不审慎；流动资金贷款被挪用于股权投资；信贷资金被挪用流入房地产开发公司；个人经营性贷款资金被挪用于购房；非真实转让不良信贷资产；未对融资人交易材料合理性进行必要的审查，资金被用于缴纳土地竞买保证金；违规为房地产开发企业发放流动资金性质融资；签署抽屉协议互投涉房信贷资产腾挪信贷规模；卖出回购信贷资产收益权，实现信贷规模阶段性出表；理财资金违规投向未上市房地产企业股权；理财资金被挪用于支付土地出让价款；违规向资本金不足的房地产开发项目提供融资；并购贷款真实性审核不足，借款人变相用于置换项目公司缴纳的土地出让价款；协助合作机构签署抽屉协议，规避相关监管规定；理财资金实际用于置换项目前期股东支付的土地出让金；违规为房地产企业支付土地购置费用提供融资；违规向四证不全的商业性房地产开发项目提供融资。</w:t>
      </w:r>
    </w:p>
    <w:p w:rsidR="000E725A" w:rsidRDefault="002D603E">
      <w:pPr>
        <w:widowControl/>
        <w:spacing w:line="360" w:lineRule="auto"/>
        <w:rPr>
          <w:color w:val="000000"/>
          <w:sz w:val="24"/>
        </w:rPr>
      </w:pPr>
      <w:r>
        <w:rPr>
          <w:rFonts w:eastAsiaTheme="minorEastAsia"/>
          <w:color w:val="000000" w:themeColor="text1"/>
          <w:sz w:val="24"/>
        </w:rPr>
        <w:t>20</w:t>
      </w:r>
      <w:r>
        <w:rPr>
          <w:rFonts w:eastAsiaTheme="minorEastAsia"/>
          <w:color w:val="000000" w:themeColor="text1"/>
          <w:sz w:val="24"/>
        </w:rPr>
        <w:t>上海银行</w:t>
      </w:r>
      <w:r>
        <w:rPr>
          <w:rFonts w:eastAsiaTheme="minorEastAsia"/>
          <w:color w:val="000000" w:themeColor="text1"/>
          <w:sz w:val="24"/>
        </w:rPr>
        <w:t>CD060</w:t>
      </w:r>
      <w:r>
        <w:rPr>
          <w:rFonts w:eastAsiaTheme="minorEastAsia"/>
          <w:color w:val="000000" w:themeColor="text1"/>
          <w:sz w:val="24"/>
        </w:rPr>
        <w:t>（代码：</w:t>
      </w:r>
      <w:r>
        <w:rPr>
          <w:rFonts w:eastAsiaTheme="minorEastAsia"/>
          <w:color w:val="000000" w:themeColor="text1"/>
          <w:sz w:val="24"/>
        </w:rPr>
        <w:t>112016060</w:t>
      </w:r>
      <w:r>
        <w:rPr>
          <w:rFonts w:eastAsiaTheme="minorEastAsia"/>
          <w:color w:val="000000" w:themeColor="text1"/>
          <w:sz w:val="24"/>
        </w:rPr>
        <w:t>）是易方达天天增利货币市场基金的前十大持仓证券。</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8</w:t>
      </w:r>
      <w:r>
        <w:rPr>
          <w:rFonts w:eastAsiaTheme="minorEastAsia"/>
          <w:color w:val="000000" w:themeColor="text1"/>
          <w:sz w:val="24"/>
        </w:rPr>
        <w:t>日，中国银行保险监督管理委员会上海监管局对上海银行股份有限公司信用卡中心的如下违法违规行为作出</w:t>
      </w:r>
      <w:r>
        <w:rPr>
          <w:rFonts w:eastAsiaTheme="minorEastAsia"/>
          <w:color w:val="000000" w:themeColor="text1"/>
          <w:sz w:val="24"/>
        </w:rPr>
        <w:t>“</w:t>
      </w:r>
      <w:r>
        <w:rPr>
          <w:rFonts w:eastAsiaTheme="minorEastAsia"/>
          <w:color w:val="000000" w:themeColor="text1"/>
          <w:sz w:val="24"/>
        </w:rPr>
        <w:t>责令改正，并处罚款</w:t>
      </w:r>
      <w:r>
        <w:rPr>
          <w:rFonts w:eastAsiaTheme="minorEastAsia"/>
          <w:color w:val="000000" w:themeColor="text1"/>
          <w:sz w:val="24"/>
        </w:rPr>
        <w:t>40</w:t>
      </w:r>
      <w:r>
        <w:rPr>
          <w:rFonts w:eastAsiaTheme="minorEastAsia"/>
          <w:color w:val="000000" w:themeColor="text1"/>
          <w:sz w:val="24"/>
        </w:rPr>
        <w:t>万元</w:t>
      </w:r>
      <w:r>
        <w:rPr>
          <w:rFonts w:eastAsiaTheme="minorEastAsia"/>
          <w:color w:val="000000" w:themeColor="text1"/>
          <w:sz w:val="24"/>
        </w:rPr>
        <w:t>”</w:t>
      </w:r>
      <w:r>
        <w:rPr>
          <w:rFonts w:eastAsiaTheme="minorEastAsia"/>
          <w:color w:val="000000" w:themeColor="text1"/>
          <w:sz w:val="24"/>
        </w:rPr>
        <w:t>的行政处罚决定：</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月，该中心在为部分客户办理信用卡业务时，未遵守总授信额度管理制度。</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w:t>
      </w:r>
      <w:r>
        <w:rPr>
          <w:rFonts w:eastAsiaTheme="minorEastAsia"/>
          <w:color w:val="000000" w:themeColor="text1"/>
          <w:sz w:val="24"/>
        </w:rPr>
        <w:t>2</w:t>
      </w:r>
      <w:r>
        <w:rPr>
          <w:rFonts w:eastAsiaTheme="minorEastAsia"/>
          <w:color w:val="000000" w:themeColor="text1"/>
          <w:sz w:val="24"/>
        </w:rPr>
        <w:t>日，中国人民银行上海分行对上海银行股份有限公司违反支付业务规定的行为，没收违法所得</w:t>
      </w:r>
      <w:r>
        <w:rPr>
          <w:rFonts w:eastAsiaTheme="minorEastAsia"/>
          <w:color w:val="000000" w:themeColor="text1"/>
          <w:sz w:val="24"/>
        </w:rPr>
        <w:t>1,762,787.61</w:t>
      </w:r>
      <w:r>
        <w:rPr>
          <w:rFonts w:eastAsiaTheme="minorEastAsia"/>
          <w:color w:val="000000" w:themeColor="text1"/>
          <w:sz w:val="24"/>
        </w:rPr>
        <w:t>元，并处以</w:t>
      </w:r>
      <w:r>
        <w:rPr>
          <w:rFonts w:eastAsiaTheme="minorEastAsia"/>
          <w:color w:val="000000" w:themeColor="text1"/>
          <w:sz w:val="24"/>
        </w:rPr>
        <w:t>1,762,787.61</w:t>
      </w:r>
      <w:r>
        <w:rPr>
          <w:rFonts w:eastAsiaTheme="minorEastAsia"/>
          <w:color w:val="000000" w:themeColor="text1"/>
          <w:sz w:val="24"/>
        </w:rPr>
        <w:t>元罚款，共计</w:t>
      </w:r>
      <w:r>
        <w:rPr>
          <w:rFonts w:eastAsiaTheme="minorEastAsia"/>
          <w:color w:val="000000" w:themeColor="text1"/>
          <w:sz w:val="24"/>
        </w:rPr>
        <w:t>3,525,575.22</w:t>
      </w:r>
      <w:r>
        <w:rPr>
          <w:rFonts w:eastAsiaTheme="minorEastAsia"/>
          <w:color w:val="000000" w:themeColor="text1"/>
          <w:sz w:val="24"/>
        </w:rPr>
        <w:t>元，同时对相关高级管理人员作出处罚。</w:t>
      </w:r>
    </w:p>
    <w:p w:rsidR="000E725A" w:rsidRDefault="002D603E">
      <w:pPr>
        <w:widowControl/>
        <w:spacing w:line="360" w:lineRule="auto"/>
        <w:rPr>
          <w:color w:val="000000"/>
          <w:sz w:val="24"/>
        </w:rPr>
      </w:pPr>
      <w:r>
        <w:rPr>
          <w:rFonts w:eastAsiaTheme="minorEastAsia"/>
          <w:color w:val="000000" w:themeColor="text1"/>
          <w:sz w:val="24"/>
        </w:rPr>
        <w:t>本基金投资</w:t>
      </w:r>
      <w:r>
        <w:rPr>
          <w:rFonts w:eastAsiaTheme="minorEastAsia"/>
          <w:color w:val="000000" w:themeColor="text1"/>
          <w:sz w:val="24"/>
        </w:rPr>
        <w:t>19</w:t>
      </w:r>
      <w:r>
        <w:rPr>
          <w:rFonts w:eastAsiaTheme="minorEastAsia"/>
          <w:color w:val="000000" w:themeColor="text1"/>
          <w:sz w:val="24"/>
        </w:rPr>
        <w:t>招商银行</w:t>
      </w:r>
      <w:r>
        <w:rPr>
          <w:rFonts w:eastAsiaTheme="minorEastAsia"/>
          <w:color w:val="000000" w:themeColor="text1"/>
          <w:sz w:val="24"/>
        </w:rPr>
        <w:t>CD205</w:t>
      </w:r>
      <w:r>
        <w:rPr>
          <w:rFonts w:eastAsiaTheme="minorEastAsia"/>
          <w:color w:val="000000" w:themeColor="text1"/>
          <w:sz w:val="24"/>
        </w:rPr>
        <w:t>、</w:t>
      </w:r>
      <w:r>
        <w:rPr>
          <w:rFonts w:eastAsiaTheme="minorEastAsia"/>
          <w:color w:val="000000" w:themeColor="text1"/>
          <w:sz w:val="24"/>
        </w:rPr>
        <w:t>20</w:t>
      </w:r>
      <w:r>
        <w:rPr>
          <w:rFonts w:eastAsiaTheme="minorEastAsia"/>
          <w:color w:val="000000" w:themeColor="text1"/>
          <w:sz w:val="24"/>
        </w:rPr>
        <w:t>浦发银行</w:t>
      </w:r>
      <w:r>
        <w:rPr>
          <w:rFonts w:eastAsiaTheme="minorEastAsia"/>
          <w:color w:val="000000" w:themeColor="text1"/>
          <w:sz w:val="24"/>
        </w:rPr>
        <w:t>CD033</w:t>
      </w:r>
      <w:r>
        <w:rPr>
          <w:rFonts w:eastAsiaTheme="minorEastAsia"/>
          <w:color w:val="000000" w:themeColor="text1"/>
          <w:sz w:val="24"/>
        </w:rPr>
        <w:t>、</w:t>
      </w:r>
      <w:r>
        <w:rPr>
          <w:rFonts w:eastAsiaTheme="minorEastAsia"/>
          <w:color w:val="000000" w:themeColor="text1"/>
          <w:sz w:val="24"/>
        </w:rPr>
        <w:t>20</w:t>
      </w:r>
      <w:r>
        <w:rPr>
          <w:rFonts w:eastAsiaTheme="minorEastAsia"/>
          <w:color w:val="000000" w:themeColor="text1"/>
          <w:sz w:val="24"/>
        </w:rPr>
        <w:t>宁波银行</w:t>
      </w:r>
      <w:r>
        <w:rPr>
          <w:rFonts w:eastAsiaTheme="minorEastAsia"/>
          <w:color w:val="000000" w:themeColor="text1"/>
          <w:sz w:val="24"/>
        </w:rPr>
        <w:t>CD017</w:t>
      </w:r>
      <w:r>
        <w:rPr>
          <w:rFonts w:eastAsiaTheme="minorEastAsia"/>
          <w:color w:val="000000" w:themeColor="text1"/>
          <w:sz w:val="24"/>
        </w:rPr>
        <w:t>、</w:t>
      </w:r>
      <w:r>
        <w:rPr>
          <w:rFonts w:eastAsiaTheme="minorEastAsia"/>
          <w:color w:val="000000" w:themeColor="text1"/>
          <w:sz w:val="24"/>
        </w:rPr>
        <w:t>20</w:t>
      </w:r>
      <w:r>
        <w:rPr>
          <w:rFonts w:eastAsiaTheme="minorEastAsia"/>
          <w:color w:val="000000" w:themeColor="text1"/>
          <w:sz w:val="24"/>
        </w:rPr>
        <w:t>交通银行</w:t>
      </w:r>
      <w:r>
        <w:rPr>
          <w:rFonts w:eastAsiaTheme="minorEastAsia"/>
          <w:color w:val="000000" w:themeColor="text1"/>
          <w:sz w:val="24"/>
        </w:rPr>
        <w:t>CD029</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农业银行</w:t>
      </w:r>
      <w:r>
        <w:rPr>
          <w:rFonts w:eastAsiaTheme="minorEastAsia"/>
          <w:color w:val="000000" w:themeColor="text1"/>
          <w:sz w:val="24"/>
        </w:rPr>
        <w:t>CD202</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中信银行</w:t>
      </w:r>
      <w:r>
        <w:rPr>
          <w:rFonts w:eastAsiaTheme="minorEastAsia"/>
          <w:color w:val="000000" w:themeColor="text1"/>
          <w:sz w:val="24"/>
        </w:rPr>
        <w:t>CD254</w:t>
      </w:r>
      <w:r>
        <w:rPr>
          <w:rFonts w:eastAsiaTheme="minorEastAsia"/>
          <w:color w:val="000000" w:themeColor="text1"/>
          <w:sz w:val="24"/>
        </w:rPr>
        <w:t>、</w:t>
      </w:r>
      <w:r>
        <w:rPr>
          <w:rFonts w:eastAsiaTheme="minorEastAsia"/>
          <w:color w:val="000000" w:themeColor="text1"/>
          <w:sz w:val="24"/>
        </w:rPr>
        <w:t>20</w:t>
      </w:r>
      <w:r>
        <w:rPr>
          <w:rFonts w:eastAsiaTheme="minorEastAsia"/>
          <w:color w:val="000000" w:themeColor="text1"/>
          <w:sz w:val="24"/>
        </w:rPr>
        <w:t>上海银行</w:t>
      </w:r>
      <w:r>
        <w:rPr>
          <w:rFonts w:eastAsiaTheme="minorEastAsia"/>
          <w:color w:val="000000" w:themeColor="text1"/>
          <w:sz w:val="24"/>
        </w:rPr>
        <w:t>CD060</w:t>
      </w:r>
      <w:r>
        <w:rPr>
          <w:rFonts w:eastAsiaTheme="minorEastAsia"/>
          <w:color w:val="000000" w:themeColor="text1"/>
          <w:sz w:val="24"/>
        </w:rPr>
        <w:t>的投资决策程序符合公司投资制度的规定。</w:t>
      </w:r>
    </w:p>
    <w:p w:rsidR="000E725A" w:rsidRDefault="002D603E">
      <w:pPr>
        <w:widowControl/>
        <w:spacing w:line="360" w:lineRule="auto"/>
        <w:rPr>
          <w:color w:val="000000"/>
          <w:sz w:val="24"/>
        </w:rPr>
      </w:pPr>
      <w:r>
        <w:rPr>
          <w:rFonts w:eastAsiaTheme="minorEastAsia"/>
          <w:color w:val="000000" w:themeColor="text1"/>
          <w:sz w:val="24"/>
        </w:rPr>
        <w:t>除</w:t>
      </w:r>
      <w:r>
        <w:rPr>
          <w:rFonts w:eastAsiaTheme="minorEastAsia"/>
          <w:color w:val="000000" w:themeColor="text1"/>
          <w:sz w:val="24"/>
        </w:rPr>
        <w:t>19</w:t>
      </w:r>
      <w:r>
        <w:rPr>
          <w:rFonts w:eastAsiaTheme="minorEastAsia"/>
          <w:color w:val="000000" w:themeColor="text1"/>
          <w:sz w:val="24"/>
        </w:rPr>
        <w:t>招商银行</w:t>
      </w:r>
      <w:r>
        <w:rPr>
          <w:rFonts w:eastAsiaTheme="minorEastAsia"/>
          <w:color w:val="000000" w:themeColor="text1"/>
          <w:sz w:val="24"/>
        </w:rPr>
        <w:t>CD205</w:t>
      </w:r>
      <w:r>
        <w:rPr>
          <w:rFonts w:eastAsiaTheme="minorEastAsia"/>
          <w:color w:val="000000" w:themeColor="text1"/>
          <w:sz w:val="24"/>
        </w:rPr>
        <w:t>、</w:t>
      </w:r>
      <w:r>
        <w:rPr>
          <w:rFonts w:eastAsiaTheme="minorEastAsia"/>
          <w:color w:val="000000" w:themeColor="text1"/>
          <w:sz w:val="24"/>
        </w:rPr>
        <w:t>20</w:t>
      </w:r>
      <w:r>
        <w:rPr>
          <w:rFonts w:eastAsiaTheme="minorEastAsia"/>
          <w:color w:val="000000" w:themeColor="text1"/>
          <w:sz w:val="24"/>
        </w:rPr>
        <w:t>浦发银行</w:t>
      </w:r>
      <w:r>
        <w:rPr>
          <w:rFonts w:eastAsiaTheme="minorEastAsia"/>
          <w:color w:val="000000" w:themeColor="text1"/>
          <w:sz w:val="24"/>
        </w:rPr>
        <w:t>CD033</w:t>
      </w:r>
      <w:r>
        <w:rPr>
          <w:rFonts w:eastAsiaTheme="minorEastAsia"/>
          <w:color w:val="000000" w:themeColor="text1"/>
          <w:sz w:val="24"/>
        </w:rPr>
        <w:t>、</w:t>
      </w:r>
      <w:r>
        <w:rPr>
          <w:rFonts w:eastAsiaTheme="minorEastAsia"/>
          <w:color w:val="000000" w:themeColor="text1"/>
          <w:sz w:val="24"/>
        </w:rPr>
        <w:t>20</w:t>
      </w:r>
      <w:r>
        <w:rPr>
          <w:rFonts w:eastAsiaTheme="minorEastAsia"/>
          <w:color w:val="000000" w:themeColor="text1"/>
          <w:sz w:val="24"/>
        </w:rPr>
        <w:t>宁波银行</w:t>
      </w:r>
      <w:r>
        <w:rPr>
          <w:rFonts w:eastAsiaTheme="minorEastAsia"/>
          <w:color w:val="000000" w:themeColor="text1"/>
          <w:sz w:val="24"/>
        </w:rPr>
        <w:t>CD017</w:t>
      </w:r>
      <w:r>
        <w:rPr>
          <w:rFonts w:eastAsiaTheme="minorEastAsia"/>
          <w:color w:val="000000" w:themeColor="text1"/>
          <w:sz w:val="24"/>
        </w:rPr>
        <w:t>、</w:t>
      </w:r>
      <w:r>
        <w:rPr>
          <w:rFonts w:eastAsiaTheme="minorEastAsia"/>
          <w:color w:val="000000" w:themeColor="text1"/>
          <w:sz w:val="24"/>
        </w:rPr>
        <w:t>20</w:t>
      </w:r>
      <w:r>
        <w:rPr>
          <w:rFonts w:eastAsiaTheme="minorEastAsia"/>
          <w:color w:val="000000" w:themeColor="text1"/>
          <w:sz w:val="24"/>
        </w:rPr>
        <w:t>交通银行</w:t>
      </w:r>
      <w:r>
        <w:rPr>
          <w:rFonts w:eastAsiaTheme="minorEastAsia"/>
          <w:color w:val="000000" w:themeColor="text1"/>
          <w:sz w:val="24"/>
        </w:rPr>
        <w:t>CD029</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农业银行</w:t>
      </w:r>
      <w:r>
        <w:rPr>
          <w:rFonts w:eastAsiaTheme="minorEastAsia"/>
          <w:color w:val="000000" w:themeColor="text1"/>
          <w:sz w:val="24"/>
        </w:rPr>
        <w:t>CD202</w:t>
      </w:r>
      <w:r>
        <w:rPr>
          <w:rFonts w:eastAsiaTheme="minorEastAsia"/>
          <w:color w:val="000000" w:themeColor="text1"/>
          <w:sz w:val="24"/>
        </w:rPr>
        <w:t>、</w:t>
      </w:r>
      <w:r>
        <w:rPr>
          <w:rFonts w:eastAsiaTheme="minorEastAsia"/>
          <w:color w:val="000000" w:themeColor="text1"/>
          <w:sz w:val="24"/>
        </w:rPr>
        <w:t>19</w:t>
      </w:r>
      <w:r>
        <w:rPr>
          <w:rFonts w:eastAsiaTheme="minorEastAsia"/>
          <w:color w:val="000000" w:themeColor="text1"/>
          <w:sz w:val="24"/>
        </w:rPr>
        <w:t>中信银行</w:t>
      </w:r>
      <w:r>
        <w:rPr>
          <w:rFonts w:eastAsiaTheme="minorEastAsia"/>
          <w:color w:val="000000" w:themeColor="text1"/>
          <w:sz w:val="24"/>
        </w:rPr>
        <w:t>CD254</w:t>
      </w:r>
      <w:r>
        <w:rPr>
          <w:rFonts w:eastAsiaTheme="minorEastAsia"/>
          <w:color w:val="000000" w:themeColor="text1"/>
          <w:sz w:val="24"/>
        </w:rPr>
        <w:t>、</w:t>
      </w:r>
      <w:r>
        <w:rPr>
          <w:rFonts w:eastAsiaTheme="minorEastAsia"/>
          <w:color w:val="000000" w:themeColor="text1"/>
          <w:sz w:val="24"/>
        </w:rPr>
        <w:t>20</w:t>
      </w:r>
      <w:r>
        <w:rPr>
          <w:rFonts w:eastAsiaTheme="minorEastAsia"/>
          <w:color w:val="000000" w:themeColor="text1"/>
          <w:sz w:val="24"/>
        </w:rPr>
        <w:t>上海银行</w:t>
      </w:r>
      <w:r>
        <w:rPr>
          <w:rFonts w:eastAsiaTheme="minorEastAsia"/>
          <w:color w:val="000000" w:themeColor="text1"/>
          <w:sz w:val="24"/>
        </w:rPr>
        <w:t>CD060</w:t>
      </w:r>
      <w:r>
        <w:rPr>
          <w:rFonts w:eastAsiaTheme="minorEastAsia"/>
          <w:color w:val="000000" w:themeColor="text1"/>
          <w:sz w:val="24"/>
        </w:rPr>
        <w:t>外，本基金投资的前十名证券的发行主体本期没有出现被监管部门立案调查，或在报告编制日前一年内受到公开谴责、处罚的情形。</w:t>
      </w:r>
    </w:p>
    <w:p w:rsidR="00941F6C" w:rsidRPr="004B40EC" w:rsidRDefault="00941F6C" w:rsidP="00815CDE">
      <w:pPr>
        <w:spacing w:line="360" w:lineRule="auto"/>
        <w:rPr>
          <w:bCs/>
          <w:sz w:val="24"/>
        </w:rPr>
      </w:pPr>
      <w:r w:rsidRPr="004B40EC">
        <w:rPr>
          <w:sz w:val="24"/>
        </w:rPr>
        <w:t>5.9.3</w:t>
      </w:r>
      <w:r w:rsidRPr="004B40EC">
        <w:rPr>
          <w:sz w:val="24"/>
        </w:rPr>
        <w:t>其他各项资产构成</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2"/>
        <w:gridCol w:w="3535"/>
        <w:gridCol w:w="4808"/>
      </w:tblGrid>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7"/>
              <w:jc w:val="center"/>
              <w:rPr>
                <w:color w:val="000000"/>
                <w:kern w:val="0"/>
                <w:sz w:val="24"/>
              </w:rPr>
            </w:pPr>
            <w:r w:rsidRPr="004B40EC">
              <w:rPr>
                <w:color w:val="000000"/>
                <w:kern w:val="0"/>
                <w:sz w:val="24"/>
              </w:rPr>
              <w:t>序号</w:t>
            </w:r>
          </w:p>
        </w:tc>
        <w:tc>
          <w:tcPr>
            <w:tcW w:w="3535" w:type="dxa"/>
            <w:vAlign w:val="center"/>
          </w:tcPr>
          <w:p w:rsidR="00941F6C" w:rsidRPr="004B40EC" w:rsidRDefault="00941F6C" w:rsidP="00CA7D55">
            <w:pPr>
              <w:autoSpaceDE w:val="0"/>
              <w:autoSpaceDN w:val="0"/>
              <w:adjustRightInd w:val="0"/>
              <w:spacing w:before="29" w:line="360" w:lineRule="auto"/>
              <w:ind w:left="17"/>
              <w:jc w:val="center"/>
              <w:rPr>
                <w:color w:val="000000"/>
                <w:kern w:val="0"/>
                <w:sz w:val="24"/>
              </w:rPr>
            </w:pPr>
            <w:r w:rsidRPr="004B40EC">
              <w:rPr>
                <w:color w:val="000000"/>
                <w:kern w:val="0"/>
                <w:sz w:val="24"/>
              </w:rPr>
              <w:t>名称</w:t>
            </w:r>
          </w:p>
        </w:tc>
        <w:tc>
          <w:tcPr>
            <w:tcW w:w="4808" w:type="dxa"/>
            <w:vAlign w:val="center"/>
          </w:tcPr>
          <w:p w:rsidR="00941F6C" w:rsidRPr="004B40EC" w:rsidRDefault="00941F6C" w:rsidP="00DC22A1">
            <w:pPr>
              <w:autoSpaceDE w:val="0"/>
              <w:autoSpaceDN w:val="0"/>
              <w:adjustRightInd w:val="0"/>
              <w:spacing w:before="29" w:line="360" w:lineRule="auto"/>
              <w:ind w:left="17"/>
              <w:jc w:val="center"/>
              <w:rPr>
                <w:color w:val="000000"/>
                <w:kern w:val="0"/>
                <w:sz w:val="24"/>
              </w:rPr>
            </w:pPr>
            <w:r w:rsidRPr="004B40EC">
              <w:rPr>
                <w:color w:val="000000"/>
                <w:kern w:val="0"/>
                <w:sz w:val="24"/>
              </w:rPr>
              <w:t>金额</w:t>
            </w:r>
            <w:r w:rsidR="00DC22A1" w:rsidRPr="004B40EC">
              <w:rPr>
                <w:color w:val="000000"/>
                <w:kern w:val="0"/>
                <w:sz w:val="24"/>
              </w:rPr>
              <w:t>（元）</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kern w:val="0"/>
                <w:sz w:val="24"/>
              </w:rPr>
            </w:pPr>
            <w:r w:rsidRPr="004B40EC">
              <w:rPr>
                <w:color w:val="000000"/>
                <w:sz w:val="24"/>
              </w:rPr>
              <w:t>1</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存出保证金</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2</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应收证券清算款</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13,520.55</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3</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应收利息</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26,435,680.84</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4</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应收申购款</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1,066,373.12</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5</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其他应收款</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6</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待摊费用</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7</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其他</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w:t>
            </w:r>
          </w:p>
        </w:tc>
      </w:tr>
      <w:tr w:rsidR="00941F6C" w:rsidRPr="004B40EC" w:rsidTr="00CA7D55">
        <w:tc>
          <w:tcPr>
            <w:tcW w:w="942" w:type="dxa"/>
            <w:vAlign w:val="center"/>
          </w:tcPr>
          <w:p w:rsidR="00941F6C" w:rsidRPr="004B40EC" w:rsidRDefault="00941F6C" w:rsidP="00CA7D55">
            <w:pPr>
              <w:autoSpaceDE w:val="0"/>
              <w:autoSpaceDN w:val="0"/>
              <w:adjustRightInd w:val="0"/>
              <w:spacing w:before="29" w:line="360" w:lineRule="auto"/>
              <w:ind w:left="15"/>
              <w:jc w:val="center"/>
              <w:rPr>
                <w:color w:val="000000"/>
                <w:sz w:val="24"/>
              </w:rPr>
            </w:pPr>
            <w:r w:rsidRPr="004B40EC">
              <w:rPr>
                <w:color w:val="000000"/>
                <w:sz w:val="24"/>
              </w:rPr>
              <w:t>8</w:t>
            </w:r>
          </w:p>
        </w:tc>
        <w:tc>
          <w:tcPr>
            <w:tcW w:w="3535" w:type="dxa"/>
            <w:vAlign w:val="center"/>
          </w:tcPr>
          <w:p w:rsidR="00941F6C" w:rsidRPr="004B40EC" w:rsidRDefault="00941F6C" w:rsidP="00CA7D55">
            <w:pPr>
              <w:autoSpaceDE w:val="0"/>
              <w:autoSpaceDN w:val="0"/>
              <w:adjustRightInd w:val="0"/>
              <w:spacing w:before="29" w:line="360" w:lineRule="auto"/>
              <w:ind w:left="15"/>
              <w:jc w:val="left"/>
              <w:rPr>
                <w:color w:val="000000"/>
                <w:kern w:val="0"/>
                <w:sz w:val="24"/>
              </w:rPr>
            </w:pPr>
            <w:r w:rsidRPr="004B40EC">
              <w:rPr>
                <w:color w:val="000000"/>
                <w:kern w:val="0"/>
                <w:sz w:val="24"/>
              </w:rPr>
              <w:t>合计</w:t>
            </w:r>
          </w:p>
        </w:tc>
        <w:tc>
          <w:tcPr>
            <w:tcW w:w="4808" w:type="dxa"/>
            <w:vAlign w:val="center"/>
          </w:tcPr>
          <w:p w:rsidR="00941F6C" w:rsidRPr="004B40EC" w:rsidRDefault="00941F6C" w:rsidP="00CA7D55">
            <w:pPr>
              <w:autoSpaceDE w:val="0"/>
              <w:autoSpaceDN w:val="0"/>
              <w:adjustRightInd w:val="0"/>
              <w:spacing w:before="29" w:line="360" w:lineRule="auto"/>
              <w:ind w:left="15"/>
              <w:jc w:val="right"/>
              <w:rPr>
                <w:color w:val="000000"/>
                <w:kern w:val="0"/>
                <w:sz w:val="24"/>
              </w:rPr>
            </w:pPr>
            <w:r w:rsidRPr="004B40EC">
              <w:rPr>
                <w:color w:val="000000"/>
                <w:kern w:val="0"/>
                <w:sz w:val="24"/>
              </w:rPr>
              <w:t>27,515,574.51</w:t>
            </w:r>
          </w:p>
        </w:tc>
      </w:tr>
    </w:tbl>
    <w:p w:rsidR="00873984" w:rsidRPr="0097021E" w:rsidRDefault="00873984"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6  </w:t>
      </w:r>
      <w:r w:rsidRPr="0097021E">
        <w:rPr>
          <w:rFonts w:ascii="宋体" w:hAnsi="宋体" w:cs="Arial" w:hint="eastAsia"/>
          <w:color w:val="000000"/>
          <w:kern w:val="0"/>
          <w:sz w:val="24"/>
          <w:szCs w:val="24"/>
        </w:rPr>
        <w:t>开放式基金份额变动</w:t>
      </w:r>
    </w:p>
    <w:p w:rsidR="00873984" w:rsidRPr="00361E73" w:rsidRDefault="00873984" w:rsidP="00873984">
      <w:pPr>
        <w:autoSpaceDE w:val="0"/>
        <w:autoSpaceDN w:val="0"/>
        <w:adjustRightInd w:val="0"/>
        <w:spacing w:before="29" w:line="360" w:lineRule="auto"/>
        <w:ind w:left="15"/>
        <w:jc w:val="right"/>
        <w:rPr>
          <w:rFonts w:ascii="宋体" w:hAnsi="宋体" w:cs="Arial"/>
          <w:color w:val="000000"/>
          <w:kern w:val="0"/>
          <w:sz w:val="24"/>
        </w:rPr>
      </w:pPr>
      <w:r w:rsidRPr="00361E73">
        <w:rPr>
          <w:rFonts w:ascii="宋体" w:hAnsi="宋体" w:cs="Arial" w:hint="eastAsia"/>
          <w:color w:val="000000"/>
          <w:kern w:val="0"/>
          <w:sz w:val="24"/>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873984" w:rsidRPr="00E179CD" w:rsidTr="00547B14">
        <w:tc>
          <w:tcPr>
            <w:tcW w:w="4134" w:type="dxa"/>
            <w:vAlign w:val="center"/>
          </w:tcPr>
          <w:p w:rsidR="00873984" w:rsidRPr="00361E73" w:rsidRDefault="00873984" w:rsidP="00547B14">
            <w:pPr>
              <w:autoSpaceDE w:val="0"/>
              <w:autoSpaceDN w:val="0"/>
              <w:adjustRightInd w:val="0"/>
              <w:spacing w:before="29" w:line="360" w:lineRule="auto"/>
              <w:ind w:left="15"/>
              <w:jc w:val="center"/>
              <w:rPr>
                <w:color w:val="000000"/>
                <w:kern w:val="0"/>
                <w:sz w:val="24"/>
              </w:rPr>
            </w:pPr>
            <w:r w:rsidRPr="00361E73">
              <w:rPr>
                <w:color w:val="000000"/>
                <w:kern w:val="0"/>
                <w:sz w:val="24"/>
              </w:rPr>
              <w:t>项目</w:t>
            </w:r>
          </w:p>
        </w:tc>
        <w:tc>
          <w:tcPr>
            <w:tcW w:w="2920" w:type="dxa"/>
            <w:vAlign w:val="center"/>
          </w:tcPr>
          <w:p w:rsidR="00873984" w:rsidRPr="00361E73" w:rsidRDefault="00873984" w:rsidP="00547B14">
            <w:pPr>
              <w:autoSpaceDE w:val="0"/>
              <w:autoSpaceDN w:val="0"/>
              <w:adjustRightInd w:val="0"/>
              <w:spacing w:before="29" w:line="360" w:lineRule="auto"/>
              <w:ind w:left="15"/>
              <w:jc w:val="center"/>
              <w:rPr>
                <w:color w:val="000000"/>
                <w:kern w:val="0"/>
                <w:sz w:val="24"/>
              </w:rPr>
            </w:pPr>
            <w:r w:rsidRPr="00361E73">
              <w:rPr>
                <w:sz w:val="24"/>
              </w:rPr>
              <w:t>易方达天天增利货币</w:t>
            </w:r>
            <w:r w:rsidRPr="00361E73">
              <w:rPr>
                <w:sz w:val="24"/>
              </w:rPr>
              <w:t>A</w:t>
            </w:r>
          </w:p>
        </w:tc>
        <w:tc>
          <w:tcPr>
            <w:tcW w:w="2920" w:type="dxa"/>
            <w:vAlign w:val="center"/>
          </w:tcPr>
          <w:p w:rsidR="00873984" w:rsidRPr="00361E73" w:rsidRDefault="00873984" w:rsidP="00547B14">
            <w:pPr>
              <w:autoSpaceDE w:val="0"/>
              <w:autoSpaceDN w:val="0"/>
              <w:adjustRightInd w:val="0"/>
              <w:spacing w:before="29" w:line="360" w:lineRule="auto"/>
              <w:ind w:left="15"/>
              <w:jc w:val="center"/>
              <w:rPr>
                <w:color w:val="000000"/>
                <w:kern w:val="0"/>
                <w:sz w:val="24"/>
              </w:rPr>
            </w:pPr>
            <w:r w:rsidRPr="00361E73">
              <w:rPr>
                <w:sz w:val="24"/>
              </w:rPr>
              <w:t>易方达天天增利货币</w:t>
            </w:r>
            <w:r w:rsidRPr="00361E73">
              <w:rPr>
                <w:sz w:val="24"/>
              </w:rPr>
              <w:t>B</w:t>
            </w:r>
          </w:p>
        </w:tc>
      </w:tr>
      <w:tr w:rsidR="00873984" w:rsidRPr="00E179CD" w:rsidTr="00547B14">
        <w:tc>
          <w:tcPr>
            <w:tcW w:w="4134" w:type="dxa"/>
            <w:vAlign w:val="center"/>
          </w:tcPr>
          <w:p w:rsidR="00873984" w:rsidRPr="00361E73" w:rsidRDefault="00873984" w:rsidP="00547B14">
            <w:pPr>
              <w:autoSpaceDE w:val="0"/>
              <w:autoSpaceDN w:val="0"/>
              <w:adjustRightInd w:val="0"/>
              <w:spacing w:before="29" w:line="360" w:lineRule="auto"/>
              <w:ind w:left="17"/>
              <w:rPr>
                <w:color w:val="000000"/>
                <w:kern w:val="0"/>
                <w:sz w:val="24"/>
              </w:rPr>
            </w:pPr>
            <w:r w:rsidRPr="00A15461">
              <w:rPr>
                <w:color w:val="000000"/>
                <w:kern w:val="0"/>
                <w:sz w:val="24"/>
              </w:rPr>
              <w:t>报告期期初基金份额总额</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3,962,269,682.88</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91,486,612.22</w:t>
            </w:r>
          </w:p>
        </w:tc>
      </w:tr>
      <w:tr w:rsidR="00873984" w:rsidRPr="00E179CD" w:rsidTr="00547B14">
        <w:tc>
          <w:tcPr>
            <w:tcW w:w="4134" w:type="dxa"/>
            <w:vAlign w:val="center"/>
          </w:tcPr>
          <w:p w:rsidR="00873984" w:rsidRPr="009742E2" w:rsidRDefault="00873984" w:rsidP="00547B14">
            <w:pPr>
              <w:adjustRightInd w:val="0"/>
              <w:snapToGrid w:val="0"/>
              <w:spacing w:line="340" w:lineRule="exact"/>
              <w:rPr>
                <w:color w:val="000000"/>
                <w:sz w:val="24"/>
              </w:rPr>
            </w:pPr>
            <w:r w:rsidRPr="00361E73">
              <w:rPr>
                <w:color w:val="000000"/>
                <w:kern w:val="0"/>
                <w:sz w:val="24"/>
              </w:rPr>
              <w:t>报告期</w:t>
            </w:r>
            <w:r w:rsidRPr="009742E2">
              <w:rPr>
                <w:color w:val="000000"/>
                <w:sz w:val="24"/>
              </w:rPr>
              <w:t>基金总申购份额</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21,840,680,476.07</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56,370,931.27</w:t>
            </w:r>
          </w:p>
        </w:tc>
      </w:tr>
      <w:tr w:rsidR="00873984" w:rsidRPr="00E179CD" w:rsidTr="00547B14">
        <w:tc>
          <w:tcPr>
            <w:tcW w:w="4134" w:type="dxa"/>
            <w:vAlign w:val="center"/>
          </w:tcPr>
          <w:p w:rsidR="00873984" w:rsidRPr="009742E2" w:rsidRDefault="00873984" w:rsidP="00547B14">
            <w:pPr>
              <w:adjustRightInd w:val="0"/>
              <w:snapToGrid w:val="0"/>
              <w:spacing w:line="340" w:lineRule="exact"/>
              <w:rPr>
                <w:color w:val="000000"/>
                <w:sz w:val="24"/>
              </w:rPr>
            </w:pPr>
            <w:r w:rsidRPr="00361E73">
              <w:rPr>
                <w:color w:val="000000"/>
                <w:kern w:val="0"/>
                <w:sz w:val="24"/>
              </w:rPr>
              <w:t>报告期</w:t>
            </w:r>
            <w:r w:rsidRPr="009742E2">
              <w:rPr>
                <w:color w:val="000000"/>
                <w:sz w:val="24"/>
              </w:rPr>
              <w:t>基金总赎回份额</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19,181,821,628.10</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47,956,581.66</w:t>
            </w:r>
          </w:p>
        </w:tc>
      </w:tr>
      <w:tr w:rsidR="00873984" w:rsidRPr="00E179CD" w:rsidTr="00547B14">
        <w:tc>
          <w:tcPr>
            <w:tcW w:w="4134" w:type="dxa"/>
            <w:vAlign w:val="center"/>
          </w:tcPr>
          <w:p w:rsidR="00873984" w:rsidRPr="009742E2" w:rsidRDefault="00873984" w:rsidP="00547B14">
            <w:pPr>
              <w:adjustRightInd w:val="0"/>
              <w:snapToGrid w:val="0"/>
              <w:spacing w:line="340" w:lineRule="exact"/>
              <w:rPr>
                <w:color w:val="000000"/>
                <w:sz w:val="24"/>
              </w:rPr>
            </w:pPr>
            <w:r w:rsidRPr="009742E2">
              <w:rPr>
                <w:color w:val="000000"/>
                <w:sz w:val="24"/>
              </w:rPr>
              <w:t>报告期期末基金份额总额</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6,621,128,530.85</w:t>
            </w:r>
          </w:p>
        </w:tc>
        <w:tc>
          <w:tcPr>
            <w:tcW w:w="2920" w:type="dxa"/>
            <w:vAlign w:val="center"/>
          </w:tcPr>
          <w:p w:rsidR="00873984" w:rsidRPr="00361E73" w:rsidRDefault="00873984" w:rsidP="00547B14">
            <w:pPr>
              <w:autoSpaceDE w:val="0"/>
              <w:autoSpaceDN w:val="0"/>
              <w:adjustRightInd w:val="0"/>
              <w:spacing w:before="29" w:line="360" w:lineRule="auto"/>
              <w:ind w:left="17"/>
              <w:jc w:val="right"/>
              <w:rPr>
                <w:color w:val="000000"/>
                <w:sz w:val="24"/>
              </w:rPr>
            </w:pPr>
            <w:r w:rsidRPr="00361E73">
              <w:rPr>
                <w:color w:val="000000"/>
                <w:sz w:val="24"/>
              </w:rPr>
              <w:t>99,900,961.83</w:t>
            </w:r>
          </w:p>
        </w:tc>
      </w:tr>
    </w:tbl>
    <w:p w:rsidR="00941F6C" w:rsidRPr="00264E55" w:rsidRDefault="00941F6C" w:rsidP="00CE0B87">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7</w:t>
      </w:r>
      <w:r w:rsidR="00B963A4" w:rsidRPr="0097021E">
        <w:rPr>
          <w:rFonts w:ascii="宋体" w:hAnsi="宋体" w:cs="Arial"/>
          <w:color w:val="000000"/>
          <w:kern w:val="0"/>
          <w:sz w:val="24"/>
          <w:szCs w:val="24"/>
        </w:rPr>
        <w:t xml:space="preserve">  </w:t>
      </w:r>
      <w:r w:rsidRPr="005C2541">
        <w:rPr>
          <w:rFonts w:ascii="宋体" w:hAnsi="宋体" w:hint="eastAsia"/>
          <w:color w:val="000000"/>
          <w:kern w:val="0"/>
          <w:sz w:val="24"/>
          <w:szCs w:val="24"/>
        </w:rPr>
        <w:t>基金管理人运用固有资金投资本基金交易明细</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本报告期内基金管理人未运用固有资金申购、赎回、买卖本基金份额。</w:t>
      </w:r>
    </w:p>
    <w:p w:rsidR="00941F6C" w:rsidRPr="0097021E" w:rsidRDefault="00941F6C" w:rsidP="00CE0B87">
      <w:pPr>
        <w:pStyle w:val="1"/>
        <w:spacing w:beforeLines="100" w:before="312" w:afterLines="100" w:after="312" w:line="360" w:lineRule="auto"/>
        <w:jc w:val="center"/>
        <w:rPr>
          <w:rFonts w:ascii="宋体" w:cs="Arial"/>
          <w:color w:val="000000"/>
          <w:kern w:val="0"/>
          <w:sz w:val="24"/>
          <w:szCs w:val="24"/>
        </w:rPr>
      </w:pPr>
      <w:r w:rsidRPr="0097021E">
        <w:rPr>
          <w:rFonts w:ascii="宋体" w:hAnsi="宋体" w:cs="Arial" w:hint="eastAsia"/>
          <w:color w:val="000000"/>
          <w:kern w:val="0"/>
          <w:sz w:val="24"/>
          <w:szCs w:val="24"/>
        </w:rPr>
        <w:t>§</w:t>
      </w:r>
      <w:r w:rsidRPr="0097021E">
        <w:rPr>
          <w:rFonts w:ascii="宋体" w:hAnsi="宋体" w:cs="Arial"/>
          <w:color w:val="000000"/>
          <w:kern w:val="0"/>
          <w:sz w:val="24"/>
          <w:szCs w:val="24"/>
        </w:rPr>
        <w:t xml:space="preserve">8  </w:t>
      </w:r>
      <w:r w:rsidRPr="0097021E">
        <w:rPr>
          <w:rFonts w:ascii="宋体" w:hAnsi="宋体" w:cs="Arial" w:hint="eastAsia"/>
          <w:color w:val="000000"/>
          <w:kern w:val="0"/>
          <w:sz w:val="24"/>
          <w:szCs w:val="24"/>
        </w:rPr>
        <w:t>备查文件目录</w:t>
      </w:r>
    </w:p>
    <w:p w:rsidR="00941F6C" w:rsidRPr="0097021E" w:rsidRDefault="00941F6C"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.1 </w:t>
      </w:r>
      <w:r w:rsidRPr="0097021E">
        <w:rPr>
          <w:rFonts w:ascii="宋体" w:hAnsi="宋体" w:hint="eastAsia"/>
          <w:b/>
          <w:bCs/>
          <w:color w:val="000000"/>
          <w:kern w:val="0"/>
          <w:sz w:val="24"/>
        </w:rPr>
        <w:t>备查文件目录</w:t>
      </w:r>
    </w:p>
    <w:p w:rsidR="000E725A" w:rsidRDefault="002D603E">
      <w:pPr>
        <w:adjustRightInd w:val="0"/>
        <w:spacing w:line="360" w:lineRule="auto"/>
        <w:ind w:firstLineChars="200" w:firstLine="480"/>
        <w:rPr>
          <w:color w:val="000000"/>
          <w:sz w:val="24"/>
        </w:rPr>
      </w:pPr>
      <w:r>
        <w:rPr>
          <w:color w:val="000000"/>
          <w:sz w:val="24"/>
        </w:rPr>
        <w:t>1.</w:t>
      </w:r>
      <w:r>
        <w:rPr>
          <w:color w:val="000000"/>
          <w:sz w:val="24"/>
        </w:rPr>
        <w:t>中国证监会核准易方达天天增利货币市场基金募集的文件；</w:t>
      </w:r>
    </w:p>
    <w:p w:rsidR="000E725A" w:rsidRDefault="002D603E">
      <w:pPr>
        <w:adjustRightInd w:val="0"/>
        <w:spacing w:line="360" w:lineRule="auto"/>
        <w:ind w:firstLineChars="200" w:firstLine="480"/>
        <w:rPr>
          <w:color w:val="000000"/>
          <w:sz w:val="24"/>
        </w:rPr>
      </w:pPr>
      <w:r>
        <w:rPr>
          <w:color w:val="000000"/>
          <w:sz w:val="24"/>
        </w:rPr>
        <w:t>2.</w:t>
      </w:r>
      <w:r>
        <w:rPr>
          <w:color w:val="000000"/>
          <w:sz w:val="24"/>
        </w:rPr>
        <w:t>《易方达天天增利货币市场基金基金合同》；</w:t>
      </w:r>
    </w:p>
    <w:p w:rsidR="000E725A" w:rsidRDefault="002D603E">
      <w:pPr>
        <w:adjustRightInd w:val="0"/>
        <w:spacing w:line="360" w:lineRule="auto"/>
        <w:ind w:firstLineChars="200" w:firstLine="480"/>
        <w:rPr>
          <w:color w:val="000000"/>
          <w:sz w:val="24"/>
        </w:rPr>
      </w:pPr>
      <w:r>
        <w:rPr>
          <w:color w:val="000000"/>
          <w:sz w:val="24"/>
        </w:rPr>
        <w:t>3.</w:t>
      </w:r>
      <w:r>
        <w:rPr>
          <w:color w:val="000000"/>
          <w:sz w:val="24"/>
        </w:rPr>
        <w:t>《易方达天天增利货币市场基金托管协议》；</w:t>
      </w:r>
    </w:p>
    <w:p w:rsidR="000E725A" w:rsidRDefault="002D603E">
      <w:pPr>
        <w:adjustRightInd w:val="0"/>
        <w:spacing w:line="360" w:lineRule="auto"/>
        <w:ind w:firstLineChars="200" w:firstLine="480"/>
        <w:rPr>
          <w:color w:val="000000"/>
          <w:sz w:val="24"/>
        </w:rPr>
      </w:pPr>
      <w:r>
        <w:rPr>
          <w:color w:val="000000"/>
          <w:sz w:val="24"/>
        </w:rPr>
        <w:t>4.</w:t>
      </w:r>
      <w:r>
        <w:rPr>
          <w:color w:val="000000"/>
          <w:sz w:val="24"/>
        </w:rPr>
        <w:t>《易方达基金管理有限公司开放式基金业务规则》；</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5.</w:t>
      </w:r>
      <w:r w:rsidRPr="00A15461">
        <w:rPr>
          <w:color w:val="000000"/>
          <w:sz w:val="24"/>
        </w:rPr>
        <w:t>基金管理人业务资格批件、营业执照。</w:t>
      </w:r>
    </w:p>
    <w:p w:rsidR="00941F6C" w:rsidRPr="0097021E" w:rsidRDefault="00941F6C"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.2 </w:t>
      </w:r>
      <w:r w:rsidRPr="0097021E">
        <w:rPr>
          <w:rFonts w:ascii="宋体" w:hAnsi="宋体" w:hint="eastAsia"/>
          <w:b/>
          <w:bCs/>
          <w:color w:val="000000"/>
          <w:kern w:val="0"/>
          <w:sz w:val="24"/>
        </w:rPr>
        <w:t>存放地点</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广州市天河区珠江新城珠江东路</w:t>
      </w:r>
      <w:r w:rsidRPr="00A15461">
        <w:rPr>
          <w:color w:val="000000"/>
          <w:sz w:val="24"/>
        </w:rPr>
        <w:t>30</w:t>
      </w:r>
      <w:r w:rsidRPr="00A15461">
        <w:rPr>
          <w:color w:val="000000"/>
          <w:sz w:val="24"/>
        </w:rPr>
        <w:t>号广州银行大厦</w:t>
      </w:r>
      <w:r w:rsidRPr="00A15461">
        <w:rPr>
          <w:color w:val="000000"/>
          <w:sz w:val="24"/>
        </w:rPr>
        <w:t>40-43</w:t>
      </w:r>
      <w:r w:rsidRPr="00A15461">
        <w:rPr>
          <w:color w:val="000000"/>
          <w:sz w:val="24"/>
        </w:rPr>
        <w:t>楼。</w:t>
      </w:r>
    </w:p>
    <w:p w:rsidR="00941F6C" w:rsidRPr="0097021E" w:rsidRDefault="00941F6C" w:rsidP="00394BC1">
      <w:pPr>
        <w:autoSpaceDE w:val="0"/>
        <w:autoSpaceDN w:val="0"/>
        <w:adjustRightInd w:val="0"/>
        <w:spacing w:line="360" w:lineRule="auto"/>
        <w:jc w:val="left"/>
        <w:rPr>
          <w:rFonts w:ascii="宋体"/>
          <w:b/>
          <w:bCs/>
          <w:color w:val="000000"/>
          <w:kern w:val="0"/>
          <w:sz w:val="24"/>
        </w:rPr>
      </w:pPr>
      <w:r w:rsidRPr="0097021E">
        <w:rPr>
          <w:rFonts w:ascii="宋体" w:hAnsi="宋体" w:cs="Arial"/>
          <w:b/>
          <w:color w:val="000000"/>
          <w:kern w:val="0"/>
          <w:sz w:val="24"/>
        </w:rPr>
        <w:t>8</w:t>
      </w:r>
      <w:r w:rsidRPr="0097021E">
        <w:rPr>
          <w:rFonts w:ascii="宋体" w:hAnsi="宋体"/>
          <w:b/>
          <w:bCs/>
          <w:color w:val="000000"/>
          <w:kern w:val="0"/>
          <w:sz w:val="24"/>
        </w:rPr>
        <w:t xml:space="preserve">.3 </w:t>
      </w:r>
      <w:r w:rsidRPr="0097021E">
        <w:rPr>
          <w:rFonts w:ascii="宋体" w:hAnsi="宋体" w:hint="eastAsia"/>
          <w:b/>
          <w:bCs/>
          <w:color w:val="000000"/>
          <w:kern w:val="0"/>
          <w:sz w:val="24"/>
        </w:rPr>
        <w:t>查阅方式</w:t>
      </w:r>
    </w:p>
    <w:p w:rsidR="00941F6C" w:rsidRPr="00A15461" w:rsidRDefault="00941F6C" w:rsidP="00A15461">
      <w:pPr>
        <w:adjustRightInd w:val="0"/>
        <w:spacing w:line="360" w:lineRule="auto"/>
        <w:ind w:firstLineChars="200" w:firstLine="480"/>
        <w:rPr>
          <w:color w:val="000000"/>
          <w:sz w:val="24"/>
        </w:rPr>
      </w:pPr>
      <w:r w:rsidRPr="00A15461">
        <w:rPr>
          <w:color w:val="000000"/>
          <w:sz w:val="24"/>
        </w:rPr>
        <w:t>投资者可在营业时间免费查阅，也可按工本费购买复印件。</w:t>
      </w: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Default="00941F6C" w:rsidP="00DC22A1">
      <w:pPr>
        <w:spacing w:line="360" w:lineRule="auto"/>
        <w:ind w:firstLineChars="200" w:firstLine="480"/>
        <w:rPr>
          <w:rFonts w:ascii="宋体"/>
          <w:color w:val="000000"/>
          <w:sz w:val="24"/>
        </w:rPr>
      </w:pPr>
    </w:p>
    <w:p w:rsidR="00941F6C" w:rsidRPr="0097021E" w:rsidRDefault="00941F6C" w:rsidP="00196812">
      <w:pPr>
        <w:spacing w:line="360" w:lineRule="auto"/>
        <w:ind w:left="840"/>
        <w:jc w:val="right"/>
        <w:rPr>
          <w:rFonts w:ascii="宋体"/>
          <w:color w:val="000000"/>
          <w:sz w:val="24"/>
        </w:rPr>
      </w:pPr>
    </w:p>
    <w:p w:rsidR="00941F6C" w:rsidRPr="0097021E" w:rsidRDefault="00941F6C" w:rsidP="00394BC1">
      <w:pPr>
        <w:spacing w:line="360" w:lineRule="auto"/>
        <w:jc w:val="right"/>
        <w:rPr>
          <w:rFonts w:ascii="宋体" w:hAnsi="宋体"/>
          <w:b/>
          <w:bCs/>
          <w:sz w:val="24"/>
        </w:rPr>
      </w:pPr>
      <w:r w:rsidRPr="0097021E">
        <w:rPr>
          <w:rFonts w:ascii="宋体" w:hAnsi="宋体"/>
          <w:b/>
          <w:bCs/>
          <w:sz w:val="24"/>
        </w:rPr>
        <w:t>易方达基金管理有限公司</w:t>
      </w:r>
    </w:p>
    <w:p w:rsidR="00941F6C" w:rsidRPr="0097021E" w:rsidRDefault="00941F6C" w:rsidP="00394BC1">
      <w:pPr>
        <w:spacing w:line="360" w:lineRule="auto"/>
        <w:jc w:val="right"/>
        <w:rPr>
          <w:rFonts w:ascii="宋体" w:hAnsi="宋体"/>
          <w:b/>
          <w:bCs/>
          <w:sz w:val="24"/>
        </w:rPr>
      </w:pPr>
      <w:r w:rsidRPr="0097021E">
        <w:rPr>
          <w:rFonts w:ascii="宋体" w:hAnsi="宋体"/>
          <w:b/>
          <w:bCs/>
          <w:sz w:val="24"/>
        </w:rPr>
        <w:t>二〇二〇年四月二十一日</w:t>
      </w:r>
    </w:p>
    <w:sectPr w:rsidR="00941F6C" w:rsidRPr="0097021E"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83C" w:rsidRDefault="0016083C">
      <w:r>
        <w:separator/>
      </w:r>
    </w:p>
  </w:endnote>
  <w:endnote w:type="continuationSeparator" w:id="0">
    <w:p w:rsidR="0016083C" w:rsidRDefault="0016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6C" w:rsidRPr="001D0DB0" w:rsidRDefault="00941F6C" w:rsidP="001D0DB0">
    <w:pPr>
      <w:pStyle w:val="a5"/>
      <w:jc w:val="center"/>
    </w:pPr>
    <w:r>
      <w:rPr>
        <w:rFonts w:hint="eastAsia"/>
        <w:szCs w:val="21"/>
      </w:rPr>
      <w:t>第</w:t>
    </w:r>
    <w:r w:rsidR="000D7F46">
      <w:rPr>
        <w:szCs w:val="21"/>
      </w:rPr>
      <w:fldChar w:fldCharType="begin"/>
    </w:r>
    <w:r>
      <w:rPr>
        <w:szCs w:val="21"/>
      </w:rPr>
      <w:instrText xml:space="preserve"> PAGE </w:instrText>
    </w:r>
    <w:r w:rsidR="000D7F46">
      <w:rPr>
        <w:szCs w:val="21"/>
      </w:rPr>
      <w:fldChar w:fldCharType="separate"/>
    </w:r>
    <w:r w:rsidR="00C43229">
      <w:rPr>
        <w:noProof/>
        <w:szCs w:val="21"/>
      </w:rPr>
      <w:t>12</w:t>
    </w:r>
    <w:r w:rsidR="000D7F46">
      <w:rPr>
        <w:szCs w:val="21"/>
      </w:rPr>
      <w:fldChar w:fldCharType="end"/>
    </w:r>
    <w:r>
      <w:rPr>
        <w:rFonts w:hint="eastAsia"/>
        <w:szCs w:val="21"/>
      </w:rPr>
      <w:t>页共</w:t>
    </w:r>
    <w:r w:rsidR="000D7F46">
      <w:rPr>
        <w:szCs w:val="21"/>
      </w:rPr>
      <w:fldChar w:fldCharType="begin"/>
    </w:r>
    <w:r>
      <w:rPr>
        <w:szCs w:val="21"/>
      </w:rPr>
      <w:instrText xml:space="preserve"> NUMPAGES </w:instrText>
    </w:r>
    <w:r w:rsidR="000D7F46">
      <w:rPr>
        <w:szCs w:val="21"/>
      </w:rPr>
      <w:fldChar w:fldCharType="separate"/>
    </w:r>
    <w:r w:rsidR="00C43229">
      <w:rPr>
        <w:noProof/>
        <w:szCs w:val="21"/>
      </w:rPr>
      <w:t>18</w:t>
    </w:r>
    <w:r w:rsidR="000D7F46">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83C" w:rsidRDefault="0016083C">
      <w:r>
        <w:separator/>
      </w:r>
    </w:p>
  </w:footnote>
  <w:footnote w:type="continuationSeparator" w:id="0">
    <w:p w:rsidR="0016083C" w:rsidRDefault="00160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6C" w:rsidRPr="004F32E4" w:rsidRDefault="00941F6C" w:rsidP="008379E2">
    <w:pPr>
      <w:pStyle w:val="a4"/>
      <w:pBdr>
        <w:bottom w:val="single" w:sz="6" w:space="0" w:color="auto"/>
      </w:pBdr>
      <w:jc w:val="right"/>
      <w:rPr>
        <w:sz w:val="15"/>
      </w:rPr>
    </w:pPr>
    <w:r w:rsidRPr="004F32E4">
      <w:rPr>
        <w:szCs w:val="21"/>
      </w:rPr>
      <w:t>易方达天天增利货币市场基金</w:t>
    </w:r>
    <w:r w:rsidRPr="004F32E4">
      <w:rPr>
        <w:szCs w:val="21"/>
      </w:rPr>
      <w:t>2020</w:t>
    </w:r>
    <w:r w:rsidRPr="004F32E4">
      <w:rPr>
        <w:szCs w:val="21"/>
      </w:rPr>
      <w:t>年第</w:t>
    </w:r>
    <w:r w:rsidRPr="004F32E4">
      <w:rPr>
        <w:szCs w:val="21"/>
      </w:rPr>
      <w:t>1</w:t>
    </w:r>
    <w:r w:rsidRPr="004F32E4">
      <w:rPr>
        <w:szCs w:val="21"/>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cs="Times New Roman" w:hint="default"/>
        <w:color w:val="auto"/>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67283"/>
    <w:rsid w:val="000028CE"/>
    <w:rsid w:val="00004DE7"/>
    <w:rsid w:val="00005433"/>
    <w:rsid w:val="0001552D"/>
    <w:rsid w:val="0001566B"/>
    <w:rsid w:val="0002085F"/>
    <w:rsid w:val="00035596"/>
    <w:rsid w:val="000417E0"/>
    <w:rsid w:val="00044724"/>
    <w:rsid w:val="00047661"/>
    <w:rsid w:val="00052CA4"/>
    <w:rsid w:val="0005518A"/>
    <w:rsid w:val="00057D26"/>
    <w:rsid w:val="00063BA4"/>
    <w:rsid w:val="00065BBC"/>
    <w:rsid w:val="0006697D"/>
    <w:rsid w:val="00070092"/>
    <w:rsid w:val="0007109E"/>
    <w:rsid w:val="00075BBB"/>
    <w:rsid w:val="00075CA2"/>
    <w:rsid w:val="0007770D"/>
    <w:rsid w:val="00081C7E"/>
    <w:rsid w:val="000A2104"/>
    <w:rsid w:val="000A7480"/>
    <w:rsid w:val="000B2044"/>
    <w:rsid w:val="000B2266"/>
    <w:rsid w:val="000C469F"/>
    <w:rsid w:val="000C572D"/>
    <w:rsid w:val="000D0F44"/>
    <w:rsid w:val="000D12EA"/>
    <w:rsid w:val="000D6294"/>
    <w:rsid w:val="000D66F0"/>
    <w:rsid w:val="000D7F46"/>
    <w:rsid w:val="000E0F6E"/>
    <w:rsid w:val="000E725A"/>
    <w:rsid w:val="000E7D73"/>
    <w:rsid w:val="000F2DA3"/>
    <w:rsid w:val="000F3C21"/>
    <w:rsid w:val="000F4826"/>
    <w:rsid w:val="000F5947"/>
    <w:rsid w:val="001007E9"/>
    <w:rsid w:val="00101278"/>
    <w:rsid w:val="001038EF"/>
    <w:rsid w:val="00103B93"/>
    <w:rsid w:val="001074D6"/>
    <w:rsid w:val="00113777"/>
    <w:rsid w:val="00114C97"/>
    <w:rsid w:val="001302DB"/>
    <w:rsid w:val="00132BFF"/>
    <w:rsid w:val="00145BCE"/>
    <w:rsid w:val="00157B55"/>
    <w:rsid w:val="0016083C"/>
    <w:rsid w:val="001614DC"/>
    <w:rsid w:val="00162222"/>
    <w:rsid w:val="001635C7"/>
    <w:rsid w:val="0018401C"/>
    <w:rsid w:val="00186667"/>
    <w:rsid w:val="00186F56"/>
    <w:rsid w:val="001878B0"/>
    <w:rsid w:val="00191B28"/>
    <w:rsid w:val="00193BCF"/>
    <w:rsid w:val="00195C6F"/>
    <w:rsid w:val="00196812"/>
    <w:rsid w:val="00197ED0"/>
    <w:rsid w:val="001A2524"/>
    <w:rsid w:val="001B2821"/>
    <w:rsid w:val="001B42BE"/>
    <w:rsid w:val="001B72D6"/>
    <w:rsid w:val="001B7CC6"/>
    <w:rsid w:val="001C5D80"/>
    <w:rsid w:val="001D0D4C"/>
    <w:rsid w:val="001D0DB0"/>
    <w:rsid w:val="001D3FAC"/>
    <w:rsid w:val="001D65C8"/>
    <w:rsid w:val="001D6ECD"/>
    <w:rsid w:val="001D75D9"/>
    <w:rsid w:val="001F0286"/>
    <w:rsid w:val="00204CFA"/>
    <w:rsid w:val="0020640F"/>
    <w:rsid w:val="0021251E"/>
    <w:rsid w:val="00232095"/>
    <w:rsid w:val="00233014"/>
    <w:rsid w:val="0024424F"/>
    <w:rsid w:val="002507FE"/>
    <w:rsid w:val="002525C7"/>
    <w:rsid w:val="002611C3"/>
    <w:rsid w:val="002622E8"/>
    <w:rsid w:val="00264E55"/>
    <w:rsid w:val="00267283"/>
    <w:rsid w:val="00267FF0"/>
    <w:rsid w:val="00274FAC"/>
    <w:rsid w:val="0027576B"/>
    <w:rsid w:val="002A4B7F"/>
    <w:rsid w:val="002B45A4"/>
    <w:rsid w:val="002B48D0"/>
    <w:rsid w:val="002C33A0"/>
    <w:rsid w:val="002D1E78"/>
    <w:rsid w:val="002D3ADF"/>
    <w:rsid w:val="002D603E"/>
    <w:rsid w:val="002E040C"/>
    <w:rsid w:val="002E0F4A"/>
    <w:rsid w:val="002E303A"/>
    <w:rsid w:val="002F0E9D"/>
    <w:rsid w:val="002F210C"/>
    <w:rsid w:val="002F6539"/>
    <w:rsid w:val="00304E44"/>
    <w:rsid w:val="00307062"/>
    <w:rsid w:val="00307395"/>
    <w:rsid w:val="00311ADA"/>
    <w:rsid w:val="00311AEB"/>
    <w:rsid w:val="00322B07"/>
    <w:rsid w:val="0032323A"/>
    <w:rsid w:val="00323377"/>
    <w:rsid w:val="00327FB0"/>
    <w:rsid w:val="00331F8B"/>
    <w:rsid w:val="00340292"/>
    <w:rsid w:val="00340C3A"/>
    <w:rsid w:val="00343648"/>
    <w:rsid w:val="00343AF0"/>
    <w:rsid w:val="003446AD"/>
    <w:rsid w:val="00346359"/>
    <w:rsid w:val="00346B82"/>
    <w:rsid w:val="0035022C"/>
    <w:rsid w:val="0035215C"/>
    <w:rsid w:val="0035397F"/>
    <w:rsid w:val="003571ED"/>
    <w:rsid w:val="00361AB7"/>
    <w:rsid w:val="00362E2A"/>
    <w:rsid w:val="00371E26"/>
    <w:rsid w:val="00373AAB"/>
    <w:rsid w:val="00374016"/>
    <w:rsid w:val="0038256A"/>
    <w:rsid w:val="00383631"/>
    <w:rsid w:val="00384942"/>
    <w:rsid w:val="00393DB8"/>
    <w:rsid w:val="00394BC1"/>
    <w:rsid w:val="003A0538"/>
    <w:rsid w:val="003A0EC1"/>
    <w:rsid w:val="003A2D1C"/>
    <w:rsid w:val="003B36B4"/>
    <w:rsid w:val="003B6DC6"/>
    <w:rsid w:val="003C0E8C"/>
    <w:rsid w:val="003C1137"/>
    <w:rsid w:val="003C495A"/>
    <w:rsid w:val="003D1ECF"/>
    <w:rsid w:val="003D21F4"/>
    <w:rsid w:val="003E0CB5"/>
    <w:rsid w:val="003E14FE"/>
    <w:rsid w:val="003E565B"/>
    <w:rsid w:val="003F43EB"/>
    <w:rsid w:val="00402654"/>
    <w:rsid w:val="00403ED2"/>
    <w:rsid w:val="00404A00"/>
    <w:rsid w:val="0041278D"/>
    <w:rsid w:val="004147F3"/>
    <w:rsid w:val="004250C5"/>
    <w:rsid w:val="00425438"/>
    <w:rsid w:val="00433C1E"/>
    <w:rsid w:val="004369B0"/>
    <w:rsid w:val="00440828"/>
    <w:rsid w:val="0044257C"/>
    <w:rsid w:val="00446474"/>
    <w:rsid w:val="004527E3"/>
    <w:rsid w:val="00452968"/>
    <w:rsid w:val="00452D31"/>
    <w:rsid w:val="00460000"/>
    <w:rsid w:val="00461A70"/>
    <w:rsid w:val="004702DF"/>
    <w:rsid w:val="00473E10"/>
    <w:rsid w:val="00473EC9"/>
    <w:rsid w:val="00474896"/>
    <w:rsid w:val="004771B9"/>
    <w:rsid w:val="00483671"/>
    <w:rsid w:val="00496B2E"/>
    <w:rsid w:val="004A1355"/>
    <w:rsid w:val="004A2432"/>
    <w:rsid w:val="004A3251"/>
    <w:rsid w:val="004A357E"/>
    <w:rsid w:val="004A46A0"/>
    <w:rsid w:val="004B1C09"/>
    <w:rsid w:val="004B40EC"/>
    <w:rsid w:val="004C44F3"/>
    <w:rsid w:val="004C5B7C"/>
    <w:rsid w:val="004D18E1"/>
    <w:rsid w:val="004D22E1"/>
    <w:rsid w:val="004D6065"/>
    <w:rsid w:val="004E041A"/>
    <w:rsid w:val="004E3452"/>
    <w:rsid w:val="004E4E63"/>
    <w:rsid w:val="004F32E4"/>
    <w:rsid w:val="00505FFA"/>
    <w:rsid w:val="00506EF6"/>
    <w:rsid w:val="00512AA7"/>
    <w:rsid w:val="005134E7"/>
    <w:rsid w:val="005141F5"/>
    <w:rsid w:val="00515166"/>
    <w:rsid w:val="0051578D"/>
    <w:rsid w:val="00515B05"/>
    <w:rsid w:val="005212AE"/>
    <w:rsid w:val="00533490"/>
    <w:rsid w:val="0054464B"/>
    <w:rsid w:val="0054785C"/>
    <w:rsid w:val="00555883"/>
    <w:rsid w:val="00560F94"/>
    <w:rsid w:val="005633AD"/>
    <w:rsid w:val="00570F8C"/>
    <w:rsid w:val="005717B1"/>
    <w:rsid w:val="00575970"/>
    <w:rsid w:val="00582960"/>
    <w:rsid w:val="00587524"/>
    <w:rsid w:val="00592D0A"/>
    <w:rsid w:val="00594DCA"/>
    <w:rsid w:val="00595285"/>
    <w:rsid w:val="005A60B7"/>
    <w:rsid w:val="005B527B"/>
    <w:rsid w:val="005C2541"/>
    <w:rsid w:val="005C3044"/>
    <w:rsid w:val="005C4337"/>
    <w:rsid w:val="005D596C"/>
    <w:rsid w:val="005D6138"/>
    <w:rsid w:val="005D6807"/>
    <w:rsid w:val="005E05CC"/>
    <w:rsid w:val="005E1CCF"/>
    <w:rsid w:val="005E2087"/>
    <w:rsid w:val="005E6FA5"/>
    <w:rsid w:val="005F17EC"/>
    <w:rsid w:val="005F41D2"/>
    <w:rsid w:val="005F668B"/>
    <w:rsid w:val="005F6B28"/>
    <w:rsid w:val="005F7007"/>
    <w:rsid w:val="00607D19"/>
    <w:rsid w:val="00613327"/>
    <w:rsid w:val="006214E4"/>
    <w:rsid w:val="0063302E"/>
    <w:rsid w:val="00633177"/>
    <w:rsid w:val="006331F2"/>
    <w:rsid w:val="00636261"/>
    <w:rsid w:val="00636B17"/>
    <w:rsid w:val="0064191E"/>
    <w:rsid w:val="00664834"/>
    <w:rsid w:val="0066598A"/>
    <w:rsid w:val="006662B2"/>
    <w:rsid w:val="00672BEF"/>
    <w:rsid w:val="00673BA5"/>
    <w:rsid w:val="00685DE8"/>
    <w:rsid w:val="006911A1"/>
    <w:rsid w:val="00693EE6"/>
    <w:rsid w:val="006A1E40"/>
    <w:rsid w:val="006A2D00"/>
    <w:rsid w:val="006B01A5"/>
    <w:rsid w:val="006B2957"/>
    <w:rsid w:val="006B4C67"/>
    <w:rsid w:val="006D27DD"/>
    <w:rsid w:val="006D3126"/>
    <w:rsid w:val="006D4647"/>
    <w:rsid w:val="006D4C22"/>
    <w:rsid w:val="006E4EB5"/>
    <w:rsid w:val="006F1C55"/>
    <w:rsid w:val="006F3228"/>
    <w:rsid w:val="006F3CEE"/>
    <w:rsid w:val="006F622C"/>
    <w:rsid w:val="006F73DC"/>
    <w:rsid w:val="00707CB2"/>
    <w:rsid w:val="00710487"/>
    <w:rsid w:val="00712226"/>
    <w:rsid w:val="00714B3D"/>
    <w:rsid w:val="007277D1"/>
    <w:rsid w:val="00727EA0"/>
    <w:rsid w:val="0073105A"/>
    <w:rsid w:val="00734B8E"/>
    <w:rsid w:val="00737060"/>
    <w:rsid w:val="00741288"/>
    <w:rsid w:val="0074455F"/>
    <w:rsid w:val="007521F9"/>
    <w:rsid w:val="00756489"/>
    <w:rsid w:val="00756761"/>
    <w:rsid w:val="00756EA2"/>
    <w:rsid w:val="00757F37"/>
    <w:rsid w:val="00762E87"/>
    <w:rsid w:val="00764629"/>
    <w:rsid w:val="00764CF7"/>
    <w:rsid w:val="00764D09"/>
    <w:rsid w:val="00770628"/>
    <w:rsid w:val="007723FD"/>
    <w:rsid w:val="00772687"/>
    <w:rsid w:val="00774E1E"/>
    <w:rsid w:val="00780252"/>
    <w:rsid w:val="0078105B"/>
    <w:rsid w:val="00782061"/>
    <w:rsid w:val="00785C32"/>
    <w:rsid w:val="00795606"/>
    <w:rsid w:val="007B082A"/>
    <w:rsid w:val="007B1C3E"/>
    <w:rsid w:val="007C42E5"/>
    <w:rsid w:val="007C6CF9"/>
    <w:rsid w:val="007C7149"/>
    <w:rsid w:val="007D3CAD"/>
    <w:rsid w:val="007D6B90"/>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564C2"/>
    <w:rsid w:val="0086245E"/>
    <w:rsid w:val="00866CC9"/>
    <w:rsid w:val="00873984"/>
    <w:rsid w:val="00880EE6"/>
    <w:rsid w:val="00882323"/>
    <w:rsid w:val="00893021"/>
    <w:rsid w:val="008966EA"/>
    <w:rsid w:val="008A3C06"/>
    <w:rsid w:val="008A6C04"/>
    <w:rsid w:val="008B23BD"/>
    <w:rsid w:val="008C6B6D"/>
    <w:rsid w:val="008D0A39"/>
    <w:rsid w:val="008E4638"/>
    <w:rsid w:val="008E6C59"/>
    <w:rsid w:val="008E71D2"/>
    <w:rsid w:val="008F44F3"/>
    <w:rsid w:val="008F602A"/>
    <w:rsid w:val="008F76DB"/>
    <w:rsid w:val="009004F7"/>
    <w:rsid w:val="00902E3F"/>
    <w:rsid w:val="00903E98"/>
    <w:rsid w:val="00906C9B"/>
    <w:rsid w:val="00910FB5"/>
    <w:rsid w:val="00911C0E"/>
    <w:rsid w:val="009153D7"/>
    <w:rsid w:val="00920D1F"/>
    <w:rsid w:val="00941F6C"/>
    <w:rsid w:val="0094213C"/>
    <w:rsid w:val="00943AFD"/>
    <w:rsid w:val="0097021E"/>
    <w:rsid w:val="00971C19"/>
    <w:rsid w:val="00971D35"/>
    <w:rsid w:val="0097327D"/>
    <w:rsid w:val="0099296A"/>
    <w:rsid w:val="009965A5"/>
    <w:rsid w:val="009A2DB3"/>
    <w:rsid w:val="009A5367"/>
    <w:rsid w:val="009A56D7"/>
    <w:rsid w:val="009A5CE7"/>
    <w:rsid w:val="009A755D"/>
    <w:rsid w:val="009B15FD"/>
    <w:rsid w:val="009B2693"/>
    <w:rsid w:val="009B3C3F"/>
    <w:rsid w:val="009B4EB9"/>
    <w:rsid w:val="009B73A7"/>
    <w:rsid w:val="009C1A42"/>
    <w:rsid w:val="009D3827"/>
    <w:rsid w:val="009D4685"/>
    <w:rsid w:val="009D60EB"/>
    <w:rsid w:val="009D74FC"/>
    <w:rsid w:val="009E07F4"/>
    <w:rsid w:val="009E26B0"/>
    <w:rsid w:val="009E2BAA"/>
    <w:rsid w:val="009E3E0B"/>
    <w:rsid w:val="009F480F"/>
    <w:rsid w:val="00A01505"/>
    <w:rsid w:val="00A1530B"/>
    <w:rsid w:val="00A15461"/>
    <w:rsid w:val="00A15E5D"/>
    <w:rsid w:val="00A16747"/>
    <w:rsid w:val="00A16D78"/>
    <w:rsid w:val="00A21EC2"/>
    <w:rsid w:val="00A24DC0"/>
    <w:rsid w:val="00A27322"/>
    <w:rsid w:val="00A3193E"/>
    <w:rsid w:val="00A42A96"/>
    <w:rsid w:val="00A455A0"/>
    <w:rsid w:val="00A50D92"/>
    <w:rsid w:val="00A62DD4"/>
    <w:rsid w:val="00A64F4A"/>
    <w:rsid w:val="00A65A66"/>
    <w:rsid w:val="00A6672A"/>
    <w:rsid w:val="00A7219D"/>
    <w:rsid w:val="00A732C4"/>
    <w:rsid w:val="00A805BC"/>
    <w:rsid w:val="00A80F9F"/>
    <w:rsid w:val="00A81075"/>
    <w:rsid w:val="00A87550"/>
    <w:rsid w:val="00A94718"/>
    <w:rsid w:val="00A95FA9"/>
    <w:rsid w:val="00AA5B03"/>
    <w:rsid w:val="00AA68D4"/>
    <w:rsid w:val="00AB373C"/>
    <w:rsid w:val="00AB5159"/>
    <w:rsid w:val="00AB67DE"/>
    <w:rsid w:val="00AC2B47"/>
    <w:rsid w:val="00AC3A1A"/>
    <w:rsid w:val="00AC3D9E"/>
    <w:rsid w:val="00AC446F"/>
    <w:rsid w:val="00AC6C3D"/>
    <w:rsid w:val="00AD1ADB"/>
    <w:rsid w:val="00AE17F1"/>
    <w:rsid w:val="00AE2FB9"/>
    <w:rsid w:val="00AE342F"/>
    <w:rsid w:val="00AE4F96"/>
    <w:rsid w:val="00AE6D9A"/>
    <w:rsid w:val="00AE7435"/>
    <w:rsid w:val="00AF2397"/>
    <w:rsid w:val="00AF27F9"/>
    <w:rsid w:val="00AF3D19"/>
    <w:rsid w:val="00B040BC"/>
    <w:rsid w:val="00B0441A"/>
    <w:rsid w:val="00B044FC"/>
    <w:rsid w:val="00B06458"/>
    <w:rsid w:val="00B25119"/>
    <w:rsid w:val="00B27004"/>
    <w:rsid w:val="00B33F45"/>
    <w:rsid w:val="00B33FA5"/>
    <w:rsid w:val="00B415B8"/>
    <w:rsid w:val="00B420AC"/>
    <w:rsid w:val="00B4354A"/>
    <w:rsid w:val="00B54CC5"/>
    <w:rsid w:val="00B60E27"/>
    <w:rsid w:val="00B64D62"/>
    <w:rsid w:val="00B6646C"/>
    <w:rsid w:val="00B76BBB"/>
    <w:rsid w:val="00B80EFA"/>
    <w:rsid w:val="00B83944"/>
    <w:rsid w:val="00B92A84"/>
    <w:rsid w:val="00B94530"/>
    <w:rsid w:val="00B94B49"/>
    <w:rsid w:val="00B963A4"/>
    <w:rsid w:val="00BA7AF1"/>
    <w:rsid w:val="00BB03CC"/>
    <w:rsid w:val="00BB1083"/>
    <w:rsid w:val="00BB252C"/>
    <w:rsid w:val="00BB5126"/>
    <w:rsid w:val="00BB7518"/>
    <w:rsid w:val="00BC0205"/>
    <w:rsid w:val="00BC14F5"/>
    <w:rsid w:val="00BC2146"/>
    <w:rsid w:val="00BD1A7F"/>
    <w:rsid w:val="00BD6918"/>
    <w:rsid w:val="00BE439F"/>
    <w:rsid w:val="00BE5584"/>
    <w:rsid w:val="00BF1111"/>
    <w:rsid w:val="00BF3886"/>
    <w:rsid w:val="00BF6648"/>
    <w:rsid w:val="00C009AF"/>
    <w:rsid w:val="00C02FCF"/>
    <w:rsid w:val="00C2005E"/>
    <w:rsid w:val="00C205E4"/>
    <w:rsid w:val="00C2782D"/>
    <w:rsid w:val="00C3040F"/>
    <w:rsid w:val="00C31398"/>
    <w:rsid w:val="00C31708"/>
    <w:rsid w:val="00C365A8"/>
    <w:rsid w:val="00C36C15"/>
    <w:rsid w:val="00C4213A"/>
    <w:rsid w:val="00C43229"/>
    <w:rsid w:val="00C4371A"/>
    <w:rsid w:val="00C4627A"/>
    <w:rsid w:val="00C54D3E"/>
    <w:rsid w:val="00C637D1"/>
    <w:rsid w:val="00C640B8"/>
    <w:rsid w:val="00C64FED"/>
    <w:rsid w:val="00C7033B"/>
    <w:rsid w:val="00C83157"/>
    <w:rsid w:val="00C927D5"/>
    <w:rsid w:val="00CA0730"/>
    <w:rsid w:val="00CA1C04"/>
    <w:rsid w:val="00CA3808"/>
    <w:rsid w:val="00CA65DD"/>
    <w:rsid w:val="00CA7D55"/>
    <w:rsid w:val="00CB0BD6"/>
    <w:rsid w:val="00CB0E8A"/>
    <w:rsid w:val="00CC05B9"/>
    <w:rsid w:val="00CC171F"/>
    <w:rsid w:val="00CC3F83"/>
    <w:rsid w:val="00CC57FC"/>
    <w:rsid w:val="00CC7DB0"/>
    <w:rsid w:val="00CD2092"/>
    <w:rsid w:val="00CD5F24"/>
    <w:rsid w:val="00CE0B87"/>
    <w:rsid w:val="00CE0E18"/>
    <w:rsid w:val="00CE193A"/>
    <w:rsid w:val="00CE6A71"/>
    <w:rsid w:val="00CF1F4A"/>
    <w:rsid w:val="00CF38CA"/>
    <w:rsid w:val="00CF540B"/>
    <w:rsid w:val="00CF5996"/>
    <w:rsid w:val="00CF6DF0"/>
    <w:rsid w:val="00D0349F"/>
    <w:rsid w:val="00D03770"/>
    <w:rsid w:val="00D05BAA"/>
    <w:rsid w:val="00D06255"/>
    <w:rsid w:val="00D06394"/>
    <w:rsid w:val="00D15D82"/>
    <w:rsid w:val="00D1705E"/>
    <w:rsid w:val="00D25602"/>
    <w:rsid w:val="00D30BD3"/>
    <w:rsid w:val="00D33791"/>
    <w:rsid w:val="00D33BA8"/>
    <w:rsid w:val="00D364EB"/>
    <w:rsid w:val="00D40363"/>
    <w:rsid w:val="00D451BC"/>
    <w:rsid w:val="00D47169"/>
    <w:rsid w:val="00D51E96"/>
    <w:rsid w:val="00D568BB"/>
    <w:rsid w:val="00D630DA"/>
    <w:rsid w:val="00D63B9E"/>
    <w:rsid w:val="00D65D90"/>
    <w:rsid w:val="00D66016"/>
    <w:rsid w:val="00D769BA"/>
    <w:rsid w:val="00D8034F"/>
    <w:rsid w:val="00D81755"/>
    <w:rsid w:val="00D85366"/>
    <w:rsid w:val="00D8617C"/>
    <w:rsid w:val="00D86415"/>
    <w:rsid w:val="00D87D00"/>
    <w:rsid w:val="00D94E23"/>
    <w:rsid w:val="00D9798C"/>
    <w:rsid w:val="00DA133F"/>
    <w:rsid w:val="00DA1983"/>
    <w:rsid w:val="00DA2F1E"/>
    <w:rsid w:val="00DA5831"/>
    <w:rsid w:val="00DB0538"/>
    <w:rsid w:val="00DB2873"/>
    <w:rsid w:val="00DC22A1"/>
    <w:rsid w:val="00DC4482"/>
    <w:rsid w:val="00DD5028"/>
    <w:rsid w:val="00DF1198"/>
    <w:rsid w:val="00DF5A9C"/>
    <w:rsid w:val="00E12082"/>
    <w:rsid w:val="00E21589"/>
    <w:rsid w:val="00E24D9E"/>
    <w:rsid w:val="00E257C8"/>
    <w:rsid w:val="00E26581"/>
    <w:rsid w:val="00E2722E"/>
    <w:rsid w:val="00E31609"/>
    <w:rsid w:val="00E3447D"/>
    <w:rsid w:val="00E36895"/>
    <w:rsid w:val="00E431CE"/>
    <w:rsid w:val="00E445F8"/>
    <w:rsid w:val="00E503E4"/>
    <w:rsid w:val="00E5550E"/>
    <w:rsid w:val="00E55E02"/>
    <w:rsid w:val="00E571C4"/>
    <w:rsid w:val="00E62A69"/>
    <w:rsid w:val="00E63B3D"/>
    <w:rsid w:val="00E64479"/>
    <w:rsid w:val="00E67D99"/>
    <w:rsid w:val="00E71B2F"/>
    <w:rsid w:val="00E75556"/>
    <w:rsid w:val="00E76F1F"/>
    <w:rsid w:val="00E80BE2"/>
    <w:rsid w:val="00E8309D"/>
    <w:rsid w:val="00E90A9C"/>
    <w:rsid w:val="00E92BEC"/>
    <w:rsid w:val="00E95356"/>
    <w:rsid w:val="00E966E5"/>
    <w:rsid w:val="00EA3D96"/>
    <w:rsid w:val="00EA6B69"/>
    <w:rsid w:val="00EA6B7B"/>
    <w:rsid w:val="00EB25E4"/>
    <w:rsid w:val="00EB3D8B"/>
    <w:rsid w:val="00ED093E"/>
    <w:rsid w:val="00ED1B77"/>
    <w:rsid w:val="00ED5511"/>
    <w:rsid w:val="00ED57D1"/>
    <w:rsid w:val="00EF3B7C"/>
    <w:rsid w:val="00EF56FA"/>
    <w:rsid w:val="00EF6216"/>
    <w:rsid w:val="00EF6E42"/>
    <w:rsid w:val="00F0613C"/>
    <w:rsid w:val="00F11244"/>
    <w:rsid w:val="00F14A7B"/>
    <w:rsid w:val="00F1658B"/>
    <w:rsid w:val="00F2540D"/>
    <w:rsid w:val="00F26602"/>
    <w:rsid w:val="00F31380"/>
    <w:rsid w:val="00F333BF"/>
    <w:rsid w:val="00F34499"/>
    <w:rsid w:val="00F3498A"/>
    <w:rsid w:val="00F406E3"/>
    <w:rsid w:val="00F40C82"/>
    <w:rsid w:val="00F45796"/>
    <w:rsid w:val="00F50707"/>
    <w:rsid w:val="00F5114E"/>
    <w:rsid w:val="00F53B1A"/>
    <w:rsid w:val="00F54568"/>
    <w:rsid w:val="00F57249"/>
    <w:rsid w:val="00F62DE3"/>
    <w:rsid w:val="00F70E0A"/>
    <w:rsid w:val="00F77131"/>
    <w:rsid w:val="00F85D7E"/>
    <w:rsid w:val="00F92B0F"/>
    <w:rsid w:val="00FA4C13"/>
    <w:rsid w:val="00FB345F"/>
    <w:rsid w:val="00FB4DA5"/>
    <w:rsid w:val="00FC57A1"/>
    <w:rsid w:val="00FC6069"/>
    <w:rsid w:val="00FD0CDF"/>
    <w:rsid w:val="00FD3820"/>
    <w:rsid w:val="00FD768A"/>
    <w:rsid w:val="00FE3C23"/>
    <w:rsid w:val="00FE6E6D"/>
    <w:rsid w:val="00FF0DAE"/>
    <w:rsid w:val="00FF3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15:docId w15:val="{E762B637-F93B-4311-B108-EDDFBE97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uiPriority w:val="99"/>
    <w:qFormat/>
    <w:rsid w:val="00CA65DD"/>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9D74FC"/>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CA65DD"/>
    <w:rPr>
      <w:rFonts w:cs="Times New Roman"/>
      <w:b/>
      <w:bCs/>
      <w:kern w:val="44"/>
      <w:sz w:val="44"/>
      <w:szCs w:val="44"/>
    </w:rPr>
  </w:style>
  <w:style w:type="character" w:customStyle="1" w:styleId="2Char">
    <w:name w:val="标题 2 Char"/>
    <w:link w:val="2"/>
    <w:uiPriority w:val="9"/>
    <w:semiHidden/>
    <w:rsid w:val="0079613F"/>
    <w:rPr>
      <w:rFonts w:ascii="Cambria" w:eastAsia="宋体" w:hAnsi="Cambria" w:cs="Times New Roman"/>
      <w:b/>
      <w:bCs/>
      <w:sz w:val="32"/>
      <w:szCs w:val="32"/>
    </w:rPr>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379E2"/>
    <w:rPr>
      <w:rFonts w:cs="Times New Roman"/>
      <w:kern w:val="2"/>
      <w:sz w:val="18"/>
      <w:szCs w:val="18"/>
    </w:rPr>
  </w:style>
  <w:style w:type="paragraph" w:styleId="a5">
    <w:name w:val="footer"/>
    <w:basedOn w:val="a"/>
    <w:link w:val="Char0"/>
    <w:uiPriority w:val="99"/>
    <w:rsid w:val="00613327"/>
    <w:pPr>
      <w:tabs>
        <w:tab w:val="center" w:pos="4153"/>
        <w:tab w:val="right" w:pos="8306"/>
      </w:tabs>
      <w:snapToGrid w:val="0"/>
      <w:jc w:val="left"/>
    </w:pPr>
    <w:rPr>
      <w:kern w:val="0"/>
      <w:sz w:val="18"/>
      <w:szCs w:val="18"/>
    </w:rPr>
  </w:style>
  <w:style w:type="character" w:customStyle="1" w:styleId="Char0">
    <w:name w:val="页脚 Char"/>
    <w:link w:val="a5"/>
    <w:uiPriority w:val="99"/>
    <w:semiHidden/>
    <w:rsid w:val="0079613F"/>
    <w:rPr>
      <w:sz w:val="18"/>
      <w:szCs w:val="18"/>
    </w:rPr>
  </w:style>
  <w:style w:type="paragraph" w:customStyle="1" w:styleId="Char1">
    <w:name w:val="Char"/>
    <w:basedOn w:val="a"/>
    <w:uiPriority w:val="99"/>
    <w:rsid w:val="00186667"/>
  </w:style>
  <w:style w:type="paragraph" w:styleId="20">
    <w:name w:val="Body Text Indent 2"/>
    <w:basedOn w:val="a"/>
    <w:link w:val="2Char0"/>
    <w:uiPriority w:val="99"/>
    <w:rsid w:val="00186667"/>
    <w:pPr>
      <w:spacing w:line="560" w:lineRule="exact"/>
      <w:ind w:firstLineChars="200" w:firstLine="480"/>
    </w:pPr>
    <w:rPr>
      <w:kern w:val="0"/>
      <w:sz w:val="20"/>
    </w:rPr>
  </w:style>
  <w:style w:type="character" w:customStyle="1" w:styleId="2Char0">
    <w:name w:val="正文文本缩进 2 Char"/>
    <w:link w:val="20"/>
    <w:uiPriority w:val="99"/>
    <w:semiHidden/>
    <w:rsid w:val="0079613F"/>
    <w:rPr>
      <w:szCs w:val="24"/>
    </w:rPr>
  </w:style>
  <w:style w:type="paragraph" w:styleId="a6">
    <w:name w:val="Plain Text"/>
    <w:basedOn w:val="a"/>
    <w:link w:val="Char2"/>
    <w:uiPriority w:val="99"/>
    <w:rsid w:val="004771B9"/>
    <w:rPr>
      <w:rFonts w:ascii="宋体" w:hAnsi="Courier New"/>
      <w:szCs w:val="20"/>
    </w:rPr>
  </w:style>
  <w:style w:type="character" w:customStyle="1" w:styleId="Char2">
    <w:name w:val="纯文本 Char"/>
    <w:link w:val="a6"/>
    <w:uiPriority w:val="99"/>
    <w:locked/>
    <w:rsid w:val="00E63B3D"/>
    <w:rPr>
      <w:rFonts w:ascii="宋体" w:hAnsi="Courier New"/>
      <w:kern w:val="2"/>
      <w:sz w:val="21"/>
    </w:rPr>
  </w:style>
  <w:style w:type="paragraph" w:styleId="3">
    <w:name w:val="Body Text Indent 3"/>
    <w:basedOn w:val="a"/>
    <w:link w:val="3Char"/>
    <w:uiPriority w:val="99"/>
    <w:rsid w:val="004771B9"/>
    <w:pPr>
      <w:spacing w:after="120"/>
      <w:ind w:leftChars="200" w:left="420"/>
    </w:pPr>
    <w:rPr>
      <w:kern w:val="0"/>
      <w:sz w:val="16"/>
      <w:szCs w:val="16"/>
    </w:rPr>
  </w:style>
  <w:style w:type="character" w:customStyle="1" w:styleId="3Char">
    <w:name w:val="正文文本缩进 3 Char"/>
    <w:link w:val="3"/>
    <w:uiPriority w:val="99"/>
    <w:semiHidden/>
    <w:rsid w:val="0079613F"/>
    <w:rPr>
      <w:sz w:val="16"/>
      <w:szCs w:val="16"/>
    </w:rPr>
  </w:style>
  <w:style w:type="paragraph" w:styleId="a0">
    <w:name w:val="Normal Indent"/>
    <w:basedOn w:val="a"/>
    <w:uiPriority w:val="99"/>
    <w:rsid w:val="009D74FC"/>
    <w:pPr>
      <w:ind w:firstLineChars="200" w:firstLine="420"/>
    </w:pPr>
  </w:style>
  <w:style w:type="paragraph" w:styleId="a7">
    <w:name w:val="Document Map"/>
    <w:basedOn w:val="a"/>
    <w:link w:val="Char3"/>
    <w:uiPriority w:val="99"/>
    <w:semiHidden/>
    <w:rsid w:val="005212AE"/>
    <w:pPr>
      <w:shd w:val="clear" w:color="auto" w:fill="000080"/>
    </w:pPr>
    <w:rPr>
      <w:kern w:val="0"/>
      <w:sz w:val="0"/>
      <w:szCs w:val="0"/>
    </w:rPr>
  </w:style>
  <w:style w:type="character" w:customStyle="1" w:styleId="Char3">
    <w:name w:val="文档结构图 Char"/>
    <w:link w:val="a7"/>
    <w:uiPriority w:val="99"/>
    <w:semiHidden/>
    <w:rsid w:val="0079613F"/>
    <w:rPr>
      <w:sz w:val="0"/>
      <w:szCs w:val="0"/>
    </w:rPr>
  </w:style>
  <w:style w:type="paragraph" w:styleId="a8">
    <w:name w:val="Balloon Text"/>
    <w:basedOn w:val="a"/>
    <w:link w:val="Char4"/>
    <w:uiPriority w:val="99"/>
    <w:rsid w:val="00E63B3D"/>
    <w:rPr>
      <w:sz w:val="18"/>
      <w:szCs w:val="18"/>
    </w:rPr>
  </w:style>
  <w:style w:type="character" w:customStyle="1" w:styleId="Char4">
    <w:name w:val="批注框文本 Char"/>
    <w:link w:val="a8"/>
    <w:uiPriority w:val="99"/>
    <w:locked/>
    <w:rsid w:val="00E63B3D"/>
    <w:rPr>
      <w:rFonts w:cs="Times New Roman"/>
      <w:kern w:val="2"/>
      <w:sz w:val="18"/>
      <w:szCs w:val="18"/>
    </w:rPr>
  </w:style>
  <w:style w:type="paragraph" w:styleId="a9">
    <w:name w:val="List Paragraph"/>
    <w:basedOn w:val="a"/>
    <w:uiPriority w:val="99"/>
    <w:qFormat/>
    <w:rsid w:val="005F668B"/>
    <w:pPr>
      <w:ind w:firstLineChars="200" w:firstLine="420"/>
    </w:pPr>
  </w:style>
  <w:style w:type="table" w:styleId="aa">
    <w:name w:val="Table Grid"/>
    <w:basedOn w:val="a2"/>
    <w:qFormat/>
    <w:rsid w:val="005A60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rsid w:val="008B23BD"/>
    <w:pPr>
      <w:widowControl/>
      <w:spacing w:before="100" w:beforeAutospacing="1" w:after="100" w:afterAutospacing="1"/>
    </w:pPr>
    <w:rPr>
      <w:rFonts w:ascii="宋体" w:hAnsi="宋体"/>
      <w:kern w:val="0"/>
      <w:sz w:val="24"/>
      <w:szCs w:val="20"/>
    </w:rPr>
  </w:style>
  <w:style w:type="paragraph" w:styleId="ac">
    <w:name w:val="Date"/>
    <w:basedOn w:val="a"/>
    <w:next w:val="a"/>
    <w:link w:val="Char5"/>
    <w:uiPriority w:val="99"/>
    <w:rsid w:val="00D66016"/>
    <w:rPr>
      <w:sz w:val="24"/>
      <w:szCs w:val="20"/>
    </w:rPr>
  </w:style>
  <w:style w:type="character" w:customStyle="1" w:styleId="Char5">
    <w:name w:val="日期 Char"/>
    <w:link w:val="ac"/>
    <w:uiPriority w:val="99"/>
    <w:locked/>
    <w:rsid w:val="00D66016"/>
    <w:rPr>
      <w:rFonts w:cs="Times New Roman"/>
      <w:kern w:val="2"/>
      <w:sz w:val="24"/>
    </w:rPr>
  </w:style>
  <w:style w:type="paragraph" w:styleId="ad">
    <w:name w:val="footnote text"/>
    <w:basedOn w:val="a"/>
    <w:link w:val="Char6"/>
    <w:uiPriority w:val="99"/>
    <w:rsid w:val="00D03770"/>
    <w:pPr>
      <w:snapToGrid w:val="0"/>
      <w:jc w:val="left"/>
    </w:pPr>
    <w:rPr>
      <w:sz w:val="18"/>
      <w:szCs w:val="18"/>
    </w:rPr>
  </w:style>
  <w:style w:type="character" w:customStyle="1" w:styleId="Char6">
    <w:name w:val="脚注文本 Char"/>
    <w:link w:val="ad"/>
    <w:uiPriority w:val="99"/>
    <w:locked/>
    <w:rsid w:val="00D03770"/>
    <w:rPr>
      <w:rFonts w:cs="Times New Roman"/>
      <w:kern w:val="2"/>
      <w:sz w:val="18"/>
      <w:szCs w:val="18"/>
    </w:rPr>
  </w:style>
  <w:style w:type="character" w:styleId="ae">
    <w:name w:val="footnote reference"/>
    <w:uiPriority w:val="99"/>
    <w:rsid w:val="00D03770"/>
    <w:rPr>
      <w:rFonts w:cs="Times New Roman"/>
      <w:vertAlign w:val="superscript"/>
    </w:rPr>
  </w:style>
  <w:style w:type="character" w:styleId="af">
    <w:name w:val="Strong"/>
    <w:uiPriority w:val="22"/>
    <w:qFormat/>
    <w:locked/>
    <w:rsid w:val="000C5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8538">
      <w:marLeft w:val="0"/>
      <w:marRight w:val="0"/>
      <w:marTop w:val="0"/>
      <w:marBottom w:val="0"/>
      <w:divBdr>
        <w:top w:val="none" w:sz="0" w:space="0" w:color="auto"/>
        <w:left w:val="none" w:sz="0" w:space="0" w:color="auto"/>
        <w:bottom w:val="none" w:sz="0" w:space="0" w:color="auto"/>
        <w:right w:val="none" w:sz="0" w:space="0" w:color="auto"/>
      </w:divBdr>
    </w:div>
    <w:div w:id="179708539">
      <w:marLeft w:val="0"/>
      <w:marRight w:val="0"/>
      <w:marTop w:val="0"/>
      <w:marBottom w:val="0"/>
      <w:divBdr>
        <w:top w:val="none" w:sz="0" w:space="0" w:color="auto"/>
        <w:left w:val="none" w:sz="0" w:space="0" w:color="auto"/>
        <w:bottom w:val="none" w:sz="0" w:space="0" w:color="auto"/>
        <w:right w:val="none" w:sz="0" w:space="0" w:color="auto"/>
      </w:divBdr>
    </w:div>
    <w:div w:id="179708540">
      <w:marLeft w:val="0"/>
      <w:marRight w:val="0"/>
      <w:marTop w:val="0"/>
      <w:marBottom w:val="0"/>
      <w:divBdr>
        <w:top w:val="none" w:sz="0" w:space="0" w:color="auto"/>
        <w:left w:val="none" w:sz="0" w:space="0" w:color="auto"/>
        <w:bottom w:val="none" w:sz="0" w:space="0" w:color="auto"/>
        <w:right w:val="none" w:sz="0" w:space="0" w:color="auto"/>
      </w:divBdr>
    </w:div>
    <w:div w:id="1573269872">
      <w:bodyDiv w:val="1"/>
      <w:marLeft w:val="0"/>
      <w:marRight w:val="0"/>
      <w:marTop w:val="0"/>
      <w:marBottom w:val="0"/>
      <w:divBdr>
        <w:top w:val="none" w:sz="0" w:space="0" w:color="auto"/>
        <w:left w:val="none" w:sz="0" w:space="0" w:color="auto"/>
        <w:bottom w:val="none" w:sz="0" w:space="0" w:color="auto"/>
        <w:right w:val="none" w:sz="0" w:space="0" w:color="auto"/>
      </w:divBdr>
    </w:div>
    <w:div w:id="17489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1679</Words>
  <Characters>9573</Characters>
  <Application>Microsoft Office Word</Application>
  <DocSecurity>0</DocSecurity>
  <Lines>79</Lines>
  <Paragraphs>22</Paragraphs>
  <ScaleCrop>false</ScaleCrop>
  <Company>jysld</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李维</cp:lastModifiedBy>
  <cp:revision>3</cp:revision>
  <cp:lastPrinted>2009-01-22T10:11:00Z</cp:lastPrinted>
  <dcterms:created xsi:type="dcterms:W3CDTF">2020-04-14T01:36:00Z</dcterms:created>
  <dcterms:modified xsi:type="dcterms:W3CDTF">2020-04-15T06:07:00Z</dcterms:modified>
</cp:coreProperties>
</file>