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易方达新兴成长灵活配置混合型证券投资基金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3B34CB" w:rsidRDefault="00961BDD">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B34CB" w:rsidRDefault="00961BDD">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B34CB" w:rsidRDefault="00961BDD">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B34CB" w:rsidRDefault="00961BDD">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B34CB" w:rsidRDefault="00961BDD">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易方达新兴成长混合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000404</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000404</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2013</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28</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2,174,421,307.29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本基金在严格控制风险的前提下，追求超越业绩比较基准的投资回报和资产的长期稳健增值。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的资产配置主要是基于定量与定性相结合的宏观及市场分析，确定组合中股票、债券、货币市场工具及其他金融工具的比例。在股票投资策略方面，本基金将从新兴产业中优选预期成长性较好的公司的股票进行投资。本基金所指的预期成长性</w:t>
            </w:r>
            <w:r w:rsidRPr="00232B03">
              <w:rPr>
                <w:color w:val="000000"/>
                <w:kern w:val="0"/>
                <w:sz w:val="24"/>
                <w:szCs w:val="24"/>
              </w:rPr>
              <w:lastRenderedPageBreak/>
              <w:t>较好的公司是指预期净利润复合增长率高于同期</w:t>
            </w:r>
            <w:r w:rsidRPr="00232B03">
              <w:rPr>
                <w:color w:val="000000"/>
                <w:kern w:val="0"/>
                <w:sz w:val="24"/>
                <w:szCs w:val="24"/>
              </w:rPr>
              <w:t>GDP</w:t>
            </w:r>
            <w:r w:rsidRPr="00232B03">
              <w:rPr>
                <w:color w:val="000000"/>
                <w:kern w:val="0"/>
                <w:sz w:val="24"/>
                <w:szCs w:val="24"/>
              </w:rPr>
              <w:t>增长率</w:t>
            </w:r>
            <w:r w:rsidRPr="00232B03">
              <w:rPr>
                <w:color w:val="000000"/>
                <w:kern w:val="0"/>
                <w:sz w:val="24"/>
                <w:szCs w:val="24"/>
              </w:rPr>
              <w:t>2</w:t>
            </w:r>
            <w:r w:rsidRPr="00232B03">
              <w:rPr>
                <w:color w:val="000000"/>
                <w:kern w:val="0"/>
                <w:sz w:val="24"/>
                <w:szCs w:val="24"/>
              </w:rPr>
              <w:t>倍并满足公司所在行业景气度较高且具有可持续性、公司所在行业竞争格局良好以及公司管理层素质较高等标准的公司。在债券投资策略方面，本基金主要通过类属配置与券种选择两个层次进行投资管理。同时，本基金将根据对现货和期货市场的分析，采取多头或空头套期保值等策略进行套期保值操作。</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中证新兴产业指数收益率</w:t>
            </w:r>
            <w:r w:rsidRPr="00232B03">
              <w:rPr>
                <w:color w:val="000000"/>
                <w:kern w:val="0"/>
                <w:sz w:val="24"/>
                <w:szCs w:val="24"/>
              </w:rPr>
              <w:t>×50%+</w:t>
            </w:r>
            <w:r w:rsidRPr="00232B03">
              <w:rPr>
                <w:color w:val="000000"/>
                <w:kern w:val="0"/>
                <w:sz w:val="24"/>
                <w:szCs w:val="24"/>
              </w:rPr>
              <w:t>中债总财富指数收益率</w:t>
            </w:r>
            <w:r w:rsidRPr="00232B03">
              <w:rPr>
                <w:color w:val="000000"/>
                <w:kern w:val="0"/>
                <w:sz w:val="24"/>
                <w:szCs w:val="24"/>
              </w:rPr>
              <w:t>×50%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7,994,048.39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-431,114,203.56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-0.2242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6,474,655,614.59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2.978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3B34CB" w:rsidRDefault="00961BDD">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3B34CB">
        <w:tc>
          <w:tcPr>
            <w:tcW w:w="0" w:type="auto"/>
            <w:vAlign w:val="center"/>
          </w:tcPr>
          <w:p w:rsidR="003B34CB" w:rsidRDefault="00961BDD">
            <w:pPr>
              <w:jc w:val="left"/>
            </w:pPr>
            <w:r>
              <w:rPr>
                <w:color w:val="000000"/>
                <w:kern w:val="0"/>
                <w:sz w:val="24"/>
                <w:szCs w:val="24"/>
              </w:rPr>
              <w:t>过去三个月</w:t>
            </w:r>
          </w:p>
        </w:tc>
        <w:tc>
          <w:tcPr>
            <w:tcW w:w="0" w:type="auto"/>
            <w:vAlign w:val="center"/>
          </w:tcPr>
          <w:p w:rsidR="003B34CB" w:rsidRDefault="00961BDD">
            <w:pPr>
              <w:jc w:val="center"/>
            </w:pPr>
            <w:r>
              <w:rPr>
                <w:color w:val="000000"/>
                <w:kern w:val="0"/>
                <w:sz w:val="24"/>
                <w:szCs w:val="24"/>
              </w:rPr>
              <w:t>1.85%</w:t>
            </w:r>
          </w:p>
        </w:tc>
        <w:tc>
          <w:tcPr>
            <w:tcW w:w="0" w:type="auto"/>
            <w:vAlign w:val="center"/>
          </w:tcPr>
          <w:p w:rsidR="003B34CB" w:rsidRDefault="00961BDD">
            <w:pPr>
              <w:jc w:val="center"/>
            </w:pPr>
            <w:r>
              <w:rPr>
                <w:color w:val="000000"/>
                <w:kern w:val="0"/>
                <w:sz w:val="24"/>
                <w:szCs w:val="24"/>
              </w:rPr>
              <w:t>2.63%</w:t>
            </w:r>
          </w:p>
        </w:tc>
        <w:tc>
          <w:tcPr>
            <w:tcW w:w="0" w:type="auto"/>
            <w:vAlign w:val="center"/>
          </w:tcPr>
          <w:p w:rsidR="003B34CB" w:rsidRDefault="00961BDD">
            <w:pPr>
              <w:jc w:val="center"/>
            </w:pPr>
            <w:r>
              <w:rPr>
                <w:color w:val="000000"/>
                <w:kern w:val="0"/>
                <w:sz w:val="24"/>
                <w:szCs w:val="24"/>
              </w:rPr>
              <w:t>0.34%</w:t>
            </w:r>
          </w:p>
        </w:tc>
        <w:tc>
          <w:tcPr>
            <w:tcW w:w="0" w:type="auto"/>
            <w:vAlign w:val="center"/>
          </w:tcPr>
          <w:p w:rsidR="003B34CB" w:rsidRDefault="00961BDD">
            <w:pPr>
              <w:jc w:val="center"/>
            </w:pPr>
            <w:r>
              <w:rPr>
                <w:color w:val="000000"/>
                <w:kern w:val="0"/>
                <w:sz w:val="24"/>
                <w:szCs w:val="24"/>
              </w:rPr>
              <w:t>1.14%</w:t>
            </w:r>
          </w:p>
        </w:tc>
        <w:tc>
          <w:tcPr>
            <w:tcW w:w="0" w:type="auto"/>
            <w:vAlign w:val="center"/>
          </w:tcPr>
          <w:p w:rsidR="003B34CB" w:rsidRDefault="00961BDD">
            <w:pPr>
              <w:jc w:val="center"/>
            </w:pPr>
            <w:r>
              <w:rPr>
                <w:color w:val="000000"/>
                <w:kern w:val="0"/>
                <w:sz w:val="24"/>
                <w:szCs w:val="24"/>
              </w:rPr>
              <w:t>1.51%</w:t>
            </w:r>
          </w:p>
        </w:tc>
        <w:tc>
          <w:tcPr>
            <w:tcW w:w="0" w:type="auto"/>
            <w:vAlign w:val="center"/>
          </w:tcPr>
          <w:p w:rsidR="003B34CB" w:rsidRDefault="00961BDD">
            <w:pPr>
              <w:jc w:val="center"/>
            </w:pPr>
            <w:r>
              <w:rPr>
                <w:color w:val="000000"/>
                <w:kern w:val="0"/>
                <w:sz w:val="24"/>
                <w:szCs w:val="24"/>
              </w:rPr>
              <w:t>1.49%</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易方达新兴成长灵活配置混合型证券投资基金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2013</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28</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961BDD"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197.80%</w:t>
      </w:r>
      <w:r w:rsidRPr="006C56AA">
        <w:rPr>
          <w:color w:val="000000"/>
          <w:sz w:val="24"/>
          <w:szCs w:val="24"/>
        </w:rPr>
        <w:t>，同期业绩比较基准收益率为</w:t>
      </w:r>
      <w:r w:rsidRPr="006C56AA">
        <w:rPr>
          <w:color w:val="000000"/>
          <w:sz w:val="24"/>
          <w:szCs w:val="24"/>
        </w:rPr>
        <w:t>39.89%</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3B34CB">
        <w:tc>
          <w:tcPr>
            <w:tcW w:w="0" w:type="auto"/>
            <w:vAlign w:val="center"/>
          </w:tcPr>
          <w:p w:rsidR="003B34CB" w:rsidRDefault="00961BDD">
            <w:pPr>
              <w:jc w:val="center"/>
            </w:pPr>
            <w:r>
              <w:rPr>
                <w:color w:val="000000"/>
                <w:sz w:val="24"/>
              </w:rPr>
              <w:t>刘武</w:t>
            </w:r>
          </w:p>
        </w:tc>
        <w:tc>
          <w:tcPr>
            <w:tcW w:w="0" w:type="auto"/>
            <w:vAlign w:val="center"/>
          </w:tcPr>
          <w:p w:rsidR="003B34CB" w:rsidRDefault="00961BDD">
            <w:pPr>
              <w:jc w:val="left"/>
            </w:pPr>
            <w:r>
              <w:rPr>
                <w:color w:val="000000"/>
                <w:sz w:val="24"/>
              </w:rPr>
              <w:t>本基金的基金经理、易方达科技创新混合型证券投资基金的基金经理</w:t>
            </w:r>
          </w:p>
        </w:tc>
        <w:tc>
          <w:tcPr>
            <w:tcW w:w="0" w:type="auto"/>
            <w:vAlign w:val="center"/>
          </w:tcPr>
          <w:p w:rsidR="003B34CB" w:rsidRDefault="00961BDD">
            <w:pPr>
              <w:jc w:val="center"/>
            </w:pPr>
            <w:r>
              <w:rPr>
                <w:color w:val="000000"/>
                <w:sz w:val="24"/>
              </w:rPr>
              <w:t>2018-12-12</w:t>
            </w:r>
          </w:p>
        </w:tc>
        <w:tc>
          <w:tcPr>
            <w:tcW w:w="0" w:type="auto"/>
            <w:vAlign w:val="center"/>
          </w:tcPr>
          <w:p w:rsidR="003B34CB" w:rsidRDefault="00961BDD">
            <w:pPr>
              <w:jc w:val="center"/>
            </w:pPr>
            <w:r>
              <w:rPr>
                <w:color w:val="000000"/>
                <w:sz w:val="24"/>
              </w:rPr>
              <w:t>-</w:t>
            </w:r>
          </w:p>
        </w:tc>
        <w:tc>
          <w:tcPr>
            <w:tcW w:w="0" w:type="auto"/>
            <w:vAlign w:val="center"/>
          </w:tcPr>
          <w:p w:rsidR="003B34CB" w:rsidRDefault="00961BDD">
            <w:pPr>
              <w:jc w:val="center"/>
            </w:pPr>
            <w:r>
              <w:rPr>
                <w:color w:val="000000"/>
                <w:sz w:val="24"/>
              </w:rPr>
              <w:t>6</w:t>
            </w:r>
            <w:r>
              <w:rPr>
                <w:color w:val="000000"/>
                <w:sz w:val="24"/>
              </w:rPr>
              <w:t>年</w:t>
            </w:r>
          </w:p>
        </w:tc>
        <w:tc>
          <w:tcPr>
            <w:tcW w:w="0" w:type="auto"/>
            <w:vAlign w:val="center"/>
          </w:tcPr>
          <w:p w:rsidR="003B34CB" w:rsidRDefault="00961BDD">
            <w:r>
              <w:rPr>
                <w:color w:val="000000"/>
                <w:sz w:val="24"/>
              </w:rPr>
              <w:t>硕士研究生，具有基金从业资格。曾任华夏基金管理有限公司投资研究部研究员，易方达基金管理有限公司行业研究员、投资经理。</w:t>
            </w:r>
          </w:p>
        </w:tc>
      </w:tr>
    </w:tbl>
    <w:p w:rsidR="003B34CB" w:rsidRDefault="00961BDD">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3B34CB" w:rsidRDefault="00961BDD">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3B34CB" w:rsidRDefault="00961BDD">
      <w:pPr>
        <w:spacing w:line="360" w:lineRule="auto"/>
        <w:ind w:firstLineChars="200" w:firstLine="480"/>
        <w:rPr>
          <w:color w:val="000000"/>
          <w:sz w:val="24"/>
          <w:szCs w:val="24"/>
        </w:rPr>
      </w:pPr>
      <w:r>
        <w:rPr>
          <w:color w:val="000000"/>
          <w:sz w:val="24"/>
          <w:szCs w:val="24"/>
        </w:rPr>
        <w:t>一季度市场波动较大，先是经历国内疫情爆发，内需消费的需求和制造业开工率受到较大影响，</w:t>
      </w:r>
      <w:r>
        <w:rPr>
          <w:color w:val="000000"/>
          <w:sz w:val="24"/>
          <w:szCs w:val="24"/>
        </w:rPr>
        <w:t>3</w:t>
      </w:r>
      <w:r>
        <w:rPr>
          <w:color w:val="000000"/>
          <w:sz w:val="24"/>
          <w:szCs w:val="24"/>
        </w:rPr>
        <w:t>月份国外疫情也开始爆发，外需占比较高的产业承压较大。报告期内，上证综指下跌</w:t>
      </w:r>
      <w:r>
        <w:rPr>
          <w:color w:val="000000"/>
          <w:sz w:val="24"/>
          <w:szCs w:val="24"/>
        </w:rPr>
        <w:t>9.83%</w:t>
      </w:r>
      <w:r>
        <w:rPr>
          <w:color w:val="000000"/>
          <w:sz w:val="24"/>
          <w:szCs w:val="24"/>
        </w:rPr>
        <w:t>，中证</w:t>
      </w:r>
      <w:r>
        <w:rPr>
          <w:color w:val="000000"/>
          <w:sz w:val="24"/>
          <w:szCs w:val="24"/>
        </w:rPr>
        <w:t>500</w:t>
      </w:r>
      <w:r>
        <w:rPr>
          <w:color w:val="000000"/>
          <w:sz w:val="24"/>
          <w:szCs w:val="24"/>
        </w:rPr>
        <w:t>指数下跌</w:t>
      </w:r>
      <w:r>
        <w:rPr>
          <w:color w:val="000000"/>
          <w:sz w:val="24"/>
          <w:szCs w:val="24"/>
        </w:rPr>
        <w:t>4.29%</w:t>
      </w:r>
      <w:r>
        <w:rPr>
          <w:color w:val="000000"/>
          <w:sz w:val="24"/>
          <w:szCs w:val="24"/>
        </w:rPr>
        <w:t>，创业板指数上涨</w:t>
      </w:r>
      <w:r>
        <w:rPr>
          <w:color w:val="000000"/>
          <w:sz w:val="24"/>
          <w:szCs w:val="24"/>
        </w:rPr>
        <w:t>4.10%</w:t>
      </w:r>
      <w:r>
        <w:rPr>
          <w:color w:val="000000"/>
          <w:sz w:val="24"/>
          <w:szCs w:val="24"/>
        </w:rPr>
        <w:t>，大盘蓝筹板块整体走势相对较弱，新兴成长板块表现整体强于大盘蓝筹板块。</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外需比例高的资产占比较大（比如消费电子、新能源汽车），同时海外资本市场下跌较多，因此一季度的净值表现波动较大。一季度，本基金适当地降低仓位，聚焦到核心龙头企业。我们相信随着全球疫情相对可控后，周期向上的成长行业将会复苏。</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2.978</w:t>
      </w:r>
      <w:r w:rsidRPr="006C56AA">
        <w:rPr>
          <w:color w:val="000000"/>
          <w:sz w:val="24"/>
          <w:szCs w:val="24"/>
        </w:rPr>
        <w:t>元，本报告期份额净值增长率为</w:t>
      </w:r>
      <w:r w:rsidRPr="006C56AA">
        <w:rPr>
          <w:color w:val="000000"/>
          <w:sz w:val="24"/>
          <w:szCs w:val="24"/>
        </w:rPr>
        <w:t>1.85%</w:t>
      </w:r>
      <w:r w:rsidRPr="006C56AA">
        <w:rPr>
          <w:color w:val="000000"/>
          <w:sz w:val="24"/>
          <w:szCs w:val="24"/>
        </w:rPr>
        <w:t>，同期业绩比较基准收益率为</w:t>
      </w:r>
      <w:r w:rsidRPr="006C56AA">
        <w:rPr>
          <w:color w:val="000000"/>
          <w:sz w:val="24"/>
          <w:szCs w:val="24"/>
        </w:rPr>
        <w:t>0.34%</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4,752,345,587.05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66.59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4,752,345,587.05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66.59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7,556,882.88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0.11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7,556,882.88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0.11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500,000,000.00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7.01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1,846,257,667.24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25.87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30,380,514.10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0.43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7,136,540,651.27</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2,192,639,948.56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33.86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234,640,447.16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3.62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1,988,858,796.46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30.72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4,126,274.04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11,170,690.50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103,871,297.28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10,898,352.76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206,120,632.98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4,752,345,587.05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73.40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3B34CB">
        <w:tc>
          <w:tcPr>
            <w:tcW w:w="0" w:type="auto"/>
            <w:vAlign w:val="center"/>
          </w:tcPr>
          <w:p w:rsidR="003B34CB" w:rsidRDefault="00961BDD">
            <w:pPr>
              <w:jc w:val="center"/>
            </w:pPr>
            <w:r>
              <w:rPr>
                <w:color w:val="000000"/>
                <w:kern w:val="0"/>
                <w:sz w:val="24"/>
                <w:szCs w:val="24"/>
              </w:rPr>
              <w:t>1</w:t>
            </w:r>
          </w:p>
        </w:tc>
        <w:tc>
          <w:tcPr>
            <w:tcW w:w="0" w:type="auto"/>
            <w:vAlign w:val="center"/>
          </w:tcPr>
          <w:p w:rsidR="003B34CB" w:rsidRDefault="00961BDD">
            <w:pPr>
              <w:jc w:val="center"/>
            </w:pPr>
            <w:r>
              <w:rPr>
                <w:color w:val="000000"/>
                <w:kern w:val="0"/>
                <w:sz w:val="24"/>
                <w:szCs w:val="24"/>
              </w:rPr>
              <w:t>300253</w:t>
            </w:r>
          </w:p>
        </w:tc>
        <w:tc>
          <w:tcPr>
            <w:tcW w:w="0" w:type="auto"/>
            <w:vAlign w:val="center"/>
          </w:tcPr>
          <w:p w:rsidR="003B34CB" w:rsidRDefault="00961BDD">
            <w:pPr>
              <w:jc w:val="center"/>
            </w:pPr>
            <w:r>
              <w:rPr>
                <w:color w:val="000000"/>
                <w:kern w:val="0"/>
                <w:sz w:val="24"/>
                <w:szCs w:val="24"/>
              </w:rPr>
              <w:t>卫宁健康</w:t>
            </w:r>
          </w:p>
        </w:tc>
        <w:tc>
          <w:tcPr>
            <w:tcW w:w="0" w:type="auto"/>
            <w:vAlign w:val="center"/>
          </w:tcPr>
          <w:p w:rsidR="003B34CB" w:rsidRDefault="00961BDD">
            <w:pPr>
              <w:jc w:val="right"/>
            </w:pPr>
            <w:r>
              <w:rPr>
                <w:color w:val="000000"/>
                <w:kern w:val="0"/>
                <w:sz w:val="24"/>
                <w:szCs w:val="24"/>
              </w:rPr>
              <w:t>29,446,797</w:t>
            </w:r>
          </w:p>
        </w:tc>
        <w:tc>
          <w:tcPr>
            <w:tcW w:w="0" w:type="auto"/>
            <w:vAlign w:val="center"/>
          </w:tcPr>
          <w:p w:rsidR="003B34CB" w:rsidRDefault="00961BDD">
            <w:pPr>
              <w:jc w:val="right"/>
            </w:pPr>
            <w:r>
              <w:rPr>
                <w:color w:val="000000"/>
                <w:kern w:val="0"/>
                <w:sz w:val="24"/>
                <w:szCs w:val="24"/>
              </w:rPr>
              <w:t>617,499,333.09</w:t>
            </w:r>
          </w:p>
        </w:tc>
        <w:tc>
          <w:tcPr>
            <w:tcW w:w="0" w:type="auto"/>
            <w:vAlign w:val="center"/>
          </w:tcPr>
          <w:p w:rsidR="003B34CB" w:rsidRDefault="00961BDD">
            <w:pPr>
              <w:jc w:val="right"/>
            </w:pPr>
            <w:r>
              <w:rPr>
                <w:color w:val="000000"/>
                <w:kern w:val="0"/>
                <w:sz w:val="24"/>
                <w:szCs w:val="24"/>
              </w:rPr>
              <w:t>9.54</w:t>
            </w:r>
          </w:p>
        </w:tc>
      </w:tr>
      <w:tr w:rsidR="003B34CB">
        <w:tc>
          <w:tcPr>
            <w:tcW w:w="0" w:type="auto"/>
            <w:vAlign w:val="center"/>
          </w:tcPr>
          <w:p w:rsidR="003B34CB" w:rsidRDefault="00961BDD">
            <w:pPr>
              <w:jc w:val="center"/>
            </w:pPr>
            <w:r>
              <w:rPr>
                <w:color w:val="000000"/>
                <w:kern w:val="0"/>
                <w:sz w:val="24"/>
                <w:szCs w:val="24"/>
              </w:rPr>
              <w:t>2</w:t>
            </w:r>
          </w:p>
        </w:tc>
        <w:tc>
          <w:tcPr>
            <w:tcW w:w="0" w:type="auto"/>
            <w:vAlign w:val="center"/>
          </w:tcPr>
          <w:p w:rsidR="003B34CB" w:rsidRDefault="00961BDD">
            <w:pPr>
              <w:jc w:val="center"/>
            </w:pPr>
            <w:r>
              <w:rPr>
                <w:color w:val="000000"/>
                <w:kern w:val="0"/>
                <w:sz w:val="24"/>
                <w:szCs w:val="24"/>
              </w:rPr>
              <w:t>002050</w:t>
            </w:r>
          </w:p>
        </w:tc>
        <w:tc>
          <w:tcPr>
            <w:tcW w:w="0" w:type="auto"/>
            <w:vAlign w:val="center"/>
          </w:tcPr>
          <w:p w:rsidR="003B34CB" w:rsidRDefault="00961BDD">
            <w:pPr>
              <w:jc w:val="center"/>
            </w:pPr>
            <w:r>
              <w:rPr>
                <w:color w:val="000000"/>
                <w:kern w:val="0"/>
                <w:sz w:val="24"/>
                <w:szCs w:val="24"/>
              </w:rPr>
              <w:t>三花智控</w:t>
            </w:r>
          </w:p>
        </w:tc>
        <w:tc>
          <w:tcPr>
            <w:tcW w:w="0" w:type="auto"/>
            <w:vAlign w:val="center"/>
          </w:tcPr>
          <w:p w:rsidR="003B34CB" w:rsidRDefault="00961BDD">
            <w:pPr>
              <w:jc w:val="right"/>
            </w:pPr>
            <w:r>
              <w:rPr>
                <w:color w:val="000000"/>
                <w:kern w:val="0"/>
                <w:sz w:val="24"/>
                <w:szCs w:val="24"/>
              </w:rPr>
              <w:t>30,242,843</w:t>
            </w:r>
          </w:p>
        </w:tc>
        <w:tc>
          <w:tcPr>
            <w:tcW w:w="0" w:type="auto"/>
            <w:vAlign w:val="center"/>
          </w:tcPr>
          <w:p w:rsidR="003B34CB" w:rsidRDefault="00961BDD">
            <w:pPr>
              <w:jc w:val="right"/>
            </w:pPr>
            <w:r>
              <w:rPr>
                <w:color w:val="000000"/>
                <w:kern w:val="0"/>
                <w:sz w:val="24"/>
                <w:szCs w:val="24"/>
              </w:rPr>
              <w:t>486,002,487.01</w:t>
            </w:r>
          </w:p>
        </w:tc>
        <w:tc>
          <w:tcPr>
            <w:tcW w:w="0" w:type="auto"/>
            <w:vAlign w:val="center"/>
          </w:tcPr>
          <w:p w:rsidR="003B34CB" w:rsidRDefault="00961BDD">
            <w:pPr>
              <w:jc w:val="right"/>
            </w:pPr>
            <w:r>
              <w:rPr>
                <w:color w:val="000000"/>
                <w:kern w:val="0"/>
                <w:sz w:val="24"/>
                <w:szCs w:val="24"/>
              </w:rPr>
              <w:t>7.51</w:t>
            </w:r>
          </w:p>
        </w:tc>
      </w:tr>
      <w:tr w:rsidR="003B34CB">
        <w:tc>
          <w:tcPr>
            <w:tcW w:w="0" w:type="auto"/>
            <w:vAlign w:val="center"/>
          </w:tcPr>
          <w:p w:rsidR="003B34CB" w:rsidRDefault="00961BDD">
            <w:pPr>
              <w:jc w:val="center"/>
            </w:pPr>
            <w:r>
              <w:rPr>
                <w:color w:val="000000"/>
                <w:kern w:val="0"/>
                <w:sz w:val="24"/>
                <w:szCs w:val="24"/>
              </w:rPr>
              <w:t>3</w:t>
            </w:r>
          </w:p>
        </w:tc>
        <w:tc>
          <w:tcPr>
            <w:tcW w:w="0" w:type="auto"/>
            <w:vAlign w:val="center"/>
          </w:tcPr>
          <w:p w:rsidR="003B34CB" w:rsidRDefault="00961BDD">
            <w:pPr>
              <w:jc w:val="center"/>
            </w:pPr>
            <w:r>
              <w:rPr>
                <w:color w:val="000000"/>
                <w:kern w:val="0"/>
                <w:sz w:val="24"/>
                <w:szCs w:val="24"/>
              </w:rPr>
              <w:t>300750</w:t>
            </w:r>
          </w:p>
        </w:tc>
        <w:tc>
          <w:tcPr>
            <w:tcW w:w="0" w:type="auto"/>
            <w:vAlign w:val="center"/>
          </w:tcPr>
          <w:p w:rsidR="003B34CB" w:rsidRDefault="00961BDD">
            <w:pPr>
              <w:jc w:val="center"/>
            </w:pPr>
            <w:r>
              <w:rPr>
                <w:color w:val="000000"/>
                <w:kern w:val="0"/>
                <w:sz w:val="24"/>
                <w:szCs w:val="24"/>
              </w:rPr>
              <w:t>宁德时代</w:t>
            </w:r>
          </w:p>
        </w:tc>
        <w:tc>
          <w:tcPr>
            <w:tcW w:w="0" w:type="auto"/>
            <w:vAlign w:val="center"/>
          </w:tcPr>
          <w:p w:rsidR="003B34CB" w:rsidRDefault="00961BDD">
            <w:pPr>
              <w:jc w:val="right"/>
            </w:pPr>
            <w:r>
              <w:rPr>
                <w:color w:val="000000"/>
                <w:kern w:val="0"/>
                <w:sz w:val="24"/>
                <w:szCs w:val="24"/>
              </w:rPr>
              <w:t>3,364,055</w:t>
            </w:r>
          </w:p>
        </w:tc>
        <w:tc>
          <w:tcPr>
            <w:tcW w:w="0" w:type="auto"/>
            <w:vAlign w:val="center"/>
          </w:tcPr>
          <w:p w:rsidR="003B34CB" w:rsidRDefault="00961BDD">
            <w:pPr>
              <w:jc w:val="right"/>
            </w:pPr>
            <w:r>
              <w:rPr>
                <w:color w:val="000000"/>
                <w:kern w:val="0"/>
                <w:sz w:val="24"/>
                <w:szCs w:val="24"/>
              </w:rPr>
              <w:t>404,998,581.45</w:t>
            </w:r>
          </w:p>
        </w:tc>
        <w:tc>
          <w:tcPr>
            <w:tcW w:w="0" w:type="auto"/>
            <w:vAlign w:val="center"/>
          </w:tcPr>
          <w:p w:rsidR="003B34CB" w:rsidRDefault="00961BDD">
            <w:pPr>
              <w:jc w:val="right"/>
            </w:pPr>
            <w:r>
              <w:rPr>
                <w:color w:val="000000"/>
                <w:kern w:val="0"/>
                <w:sz w:val="24"/>
                <w:szCs w:val="24"/>
              </w:rPr>
              <w:t>6.26</w:t>
            </w:r>
          </w:p>
        </w:tc>
      </w:tr>
      <w:tr w:rsidR="003B34CB">
        <w:tc>
          <w:tcPr>
            <w:tcW w:w="0" w:type="auto"/>
            <w:vAlign w:val="center"/>
          </w:tcPr>
          <w:p w:rsidR="003B34CB" w:rsidRDefault="00961BDD">
            <w:pPr>
              <w:jc w:val="center"/>
            </w:pPr>
            <w:r>
              <w:rPr>
                <w:color w:val="000000"/>
                <w:kern w:val="0"/>
                <w:sz w:val="24"/>
                <w:szCs w:val="24"/>
              </w:rPr>
              <w:t>4</w:t>
            </w:r>
          </w:p>
        </w:tc>
        <w:tc>
          <w:tcPr>
            <w:tcW w:w="0" w:type="auto"/>
            <w:vAlign w:val="center"/>
          </w:tcPr>
          <w:p w:rsidR="003B34CB" w:rsidRDefault="00961BDD">
            <w:pPr>
              <w:jc w:val="center"/>
            </w:pPr>
            <w:r>
              <w:rPr>
                <w:color w:val="000000"/>
                <w:kern w:val="0"/>
                <w:sz w:val="24"/>
                <w:szCs w:val="24"/>
              </w:rPr>
              <w:t>300792</w:t>
            </w:r>
          </w:p>
        </w:tc>
        <w:tc>
          <w:tcPr>
            <w:tcW w:w="0" w:type="auto"/>
            <w:vAlign w:val="center"/>
          </w:tcPr>
          <w:p w:rsidR="003B34CB" w:rsidRDefault="00961BDD">
            <w:pPr>
              <w:jc w:val="center"/>
            </w:pPr>
            <w:r>
              <w:rPr>
                <w:color w:val="000000"/>
                <w:kern w:val="0"/>
                <w:sz w:val="24"/>
                <w:szCs w:val="24"/>
              </w:rPr>
              <w:t>壹网壹创</w:t>
            </w:r>
          </w:p>
        </w:tc>
        <w:tc>
          <w:tcPr>
            <w:tcW w:w="0" w:type="auto"/>
            <w:vAlign w:val="center"/>
          </w:tcPr>
          <w:p w:rsidR="003B34CB" w:rsidRDefault="00961BDD">
            <w:pPr>
              <w:jc w:val="right"/>
            </w:pPr>
            <w:r>
              <w:rPr>
                <w:color w:val="000000"/>
                <w:kern w:val="0"/>
                <w:sz w:val="24"/>
                <w:szCs w:val="24"/>
              </w:rPr>
              <w:t>1,235,987</w:t>
            </w:r>
          </w:p>
        </w:tc>
        <w:tc>
          <w:tcPr>
            <w:tcW w:w="0" w:type="auto"/>
            <w:vAlign w:val="center"/>
          </w:tcPr>
          <w:p w:rsidR="003B34CB" w:rsidRDefault="00961BDD">
            <w:pPr>
              <w:jc w:val="right"/>
            </w:pPr>
            <w:r>
              <w:rPr>
                <w:color w:val="000000"/>
                <w:kern w:val="0"/>
                <w:sz w:val="24"/>
                <w:szCs w:val="24"/>
              </w:rPr>
              <w:t>280,569,049.00</w:t>
            </w:r>
          </w:p>
        </w:tc>
        <w:tc>
          <w:tcPr>
            <w:tcW w:w="0" w:type="auto"/>
            <w:vAlign w:val="center"/>
          </w:tcPr>
          <w:p w:rsidR="003B34CB" w:rsidRDefault="00961BDD">
            <w:pPr>
              <w:jc w:val="right"/>
            </w:pPr>
            <w:r>
              <w:rPr>
                <w:color w:val="000000"/>
                <w:kern w:val="0"/>
                <w:sz w:val="24"/>
                <w:szCs w:val="24"/>
              </w:rPr>
              <w:t>4.33</w:t>
            </w:r>
          </w:p>
        </w:tc>
      </w:tr>
      <w:tr w:rsidR="003B34CB">
        <w:tc>
          <w:tcPr>
            <w:tcW w:w="0" w:type="auto"/>
            <w:vAlign w:val="center"/>
          </w:tcPr>
          <w:p w:rsidR="003B34CB" w:rsidRDefault="00961BDD">
            <w:pPr>
              <w:jc w:val="center"/>
            </w:pPr>
            <w:r>
              <w:rPr>
                <w:color w:val="000000"/>
                <w:kern w:val="0"/>
                <w:sz w:val="24"/>
                <w:szCs w:val="24"/>
              </w:rPr>
              <w:t>5</w:t>
            </w:r>
          </w:p>
        </w:tc>
        <w:tc>
          <w:tcPr>
            <w:tcW w:w="0" w:type="auto"/>
            <w:vAlign w:val="center"/>
          </w:tcPr>
          <w:p w:rsidR="003B34CB" w:rsidRDefault="00961BDD">
            <w:pPr>
              <w:jc w:val="center"/>
            </w:pPr>
            <w:r>
              <w:rPr>
                <w:color w:val="000000"/>
                <w:kern w:val="0"/>
                <w:sz w:val="24"/>
                <w:szCs w:val="24"/>
              </w:rPr>
              <w:t>002850</w:t>
            </w:r>
          </w:p>
        </w:tc>
        <w:tc>
          <w:tcPr>
            <w:tcW w:w="0" w:type="auto"/>
            <w:vAlign w:val="center"/>
          </w:tcPr>
          <w:p w:rsidR="003B34CB" w:rsidRDefault="00961BDD">
            <w:pPr>
              <w:jc w:val="center"/>
            </w:pPr>
            <w:r>
              <w:rPr>
                <w:color w:val="000000"/>
                <w:kern w:val="0"/>
                <w:sz w:val="24"/>
                <w:szCs w:val="24"/>
              </w:rPr>
              <w:t>科达利</w:t>
            </w:r>
          </w:p>
        </w:tc>
        <w:tc>
          <w:tcPr>
            <w:tcW w:w="0" w:type="auto"/>
            <w:vAlign w:val="center"/>
          </w:tcPr>
          <w:p w:rsidR="003B34CB" w:rsidRDefault="00961BDD">
            <w:pPr>
              <w:jc w:val="right"/>
            </w:pPr>
            <w:r>
              <w:rPr>
                <w:color w:val="000000"/>
                <w:kern w:val="0"/>
                <w:sz w:val="24"/>
                <w:szCs w:val="24"/>
              </w:rPr>
              <w:t>6,193,598</w:t>
            </w:r>
          </w:p>
        </w:tc>
        <w:tc>
          <w:tcPr>
            <w:tcW w:w="0" w:type="auto"/>
            <w:vAlign w:val="center"/>
          </w:tcPr>
          <w:p w:rsidR="003B34CB" w:rsidRDefault="00961BDD">
            <w:pPr>
              <w:jc w:val="right"/>
            </w:pPr>
            <w:r>
              <w:rPr>
                <w:color w:val="000000"/>
                <w:kern w:val="0"/>
                <w:sz w:val="24"/>
                <w:szCs w:val="24"/>
              </w:rPr>
              <w:t>259,016,268.36</w:t>
            </w:r>
          </w:p>
        </w:tc>
        <w:tc>
          <w:tcPr>
            <w:tcW w:w="0" w:type="auto"/>
            <w:vAlign w:val="center"/>
          </w:tcPr>
          <w:p w:rsidR="003B34CB" w:rsidRDefault="00961BDD">
            <w:pPr>
              <w:jc w:val="right"/>
            </w:pPr>
            <w:r>
              <w:rPr>
                <w:color w:val="000000"/>
                <w:kern w:val="0"/>
                <w:sz w:val="24"/>
                <w:szCs w:val="24"/>
              </w:rPr>
              <w:t>4.00</w:t>
            </w:r>
          </w:p>
        </w:tc>
      </w:tr>
      <w:tr w:rsidR="003B34CB">
        <w:tc>
          <w:tcPr>
            <w:tcW w:w="0" w:type="auto"/>
            <w:vAlign w:val="center"/>
          </w:tcPr>
          <w:p w:rsidR="003B34CB" w:rsidRDefault="00961BDD">
            <w:pPr>
              <w:jc w:val="center"/>
            </w:pPr>
            <w:r>
              <w:rPr>
                <w:color w:val="000000"/>
                <w:kern w:val="0"/>
                <w:sz w:val="24"/>
                <w:szCs w:val="24"/>
              </w:rPr>
              <w:t>6</w:t>
            </w:r>
          </w:p>
        </w:tc>
        <w:tc>
          <w:tcPr>
            <w:tcW w:w="0" w:type="auto"/>
            <w:vAlign w:val="center"/>
          </w:tcPr>
          <w:p w:rsidR="003B34CB" w:rsidRDefault="00961BDD">
            <w:pPr>
              <w:jc w:val="center"/>
            </w:pPr>
            <w:r>
              <w:rPr>
                <w:color w:val="000000"/>
                <w:kern w:val="0"/>
                <w:sz w:val="24"/>
                <w:szCs w:val="24"/>
              </w:rPr>
              <w:t>300496</w:t>
            </w:r>
          </w:p>
        </w:tc>
        <w:tc>
          <w:tcPr>
            <w:tcW w:w="0" w:type="auto"/>
            <w:vAlign w:val="center"/>
          </w:tcPr>
          <w:p w:rsidR="003B34CB" w:rsidRDefault="00961BDD">
            <w:pPr>
              <w:jc w:val="center"/>
            </w:pPr>
            <w:r>
              <w:rPr>
                <w:color w:val="000000"/>
                <w:kern w:val="0"/>
                <w:sz w:val="24"/>
                <w:szCs w:val="24"/>
              </w:rPr>
              <w:t>中科创达</w:t>
            </w:r>
          </w:p>
        </w:tc>
        <w:tc>
          <w:tcPr>
            <w:tcW w:w="0" w:type="auto"/>
            <w:vAlign w:val="center"/>
          </w:tcPr>
          <w:p w:rsidR="003B34CB" w:rsidRDefault="00961BDD">
            <w:pPr>
              <w:jc w:val="right"/>
            </w:pPr>
            <w:r>
              <w:rPr>
                <w:color w:val="000000"/>
                <w:kern w:val="0"/>
                <w:sz w:val="24"/>
                <w:szCs w:val="24"/>
              </w:rPr>
              <w:t>4,851,334</w:t>
            </w:r>
          </w:p>
        </w:tc>
        <w:tc>
          <w:tcPr>
            <w:tcW w:w="0" w:type="auto"/>
            <w:vAlign w:val="center"/>
          </w:tcPr>
          <w:p w:rsidR="003B34CB" w:rsidRDefault="00961BDD">
            <w:pPr>
              <w:jc w:val="right"/>
            </w:pPr>
            <w:r>
              <w:rPr>
                <w:color w:val="000000"/>
                <w:kern w:val="0"/>
                <w:sz w:val="24"/>
                <w:szCs w:val="24"/>
              </w:rPr>
              <w:t>254,695,035.00</w:t>
            </w:r>
          </w:p>
        </w:tc>
        <w:tc>
          <w:tcPr>
            <w:tcW w:w="0" w:type="auto"/>
            <w:vAlign w:val="center"/>
          </w:tcPr>
          <w:p w:rsidR="003B34CB" w:rsidRDefault="00961BDD">
            <w:pPr>
              <w:jc w:val="right"/>
            </w:pPr>
            <w:r>
              <w:rPr>
                <w:color w:val="000000"/>
                <w:kern w:val="0"/>
                <w:sz w:val="24"/>
                <w:szCs w:val="24"/>
              </w:rPr>
              <w:t>3.93</w:t>
            </w:r>
          </w:p>
        </w:tc>
      </w:tr>
      <w:tr w:rsidR="003B34CB">
        <w:tc>
          <w:tcPr>
            <w:tcW w:w="0" w:type="auto"/>
            <w:vAlign w:val="center"/>
          </w:tcPr>
          <w:p w:rsidR="003B34CB" w:rsidRDefault="00961BDD">
            <w:pPr>
              <w:jc w:val="center"/>
            </w:pPr>
            <w:r>
              <w:rPr>
                <w:color w:val="000000"/>
                <w:kern w:val="0"/>
                <w:sz w:val="24"/>
                <w:szCs w:val="24"/>
              </w:rPr>
              <w:t>7</w:t>
            </w:r>
          </w:p>
        </w:tc>
        <w:tc>
          <w:tcPr>
            <w:tcW w:w="0" w:type="auto"/>
            <w:vAlign w:val="center"/>
          </w:tcPr>
          <w:p w:rsidR="003B34CB" w:rsidRDefault="00961BDD">
            <w:pPr>
              <w:jc w:val="center"/>
            </w:pPr>
            <w:r>
              <w:rPr>
                <w:color w:val="000000"/>
                <w:kern w:val="0"/>
                <w:sz w:val="24"/>
                <w:szCs w:val="24"/>
              </w:rPr>
              <w:t>002120</w:t>
            </w:r>
          </w:p>
        </w:tc>
        <w:tc>
          <w:tcPr>
            <w:tcW w:w="0" w:type="auto"/>
            <w:vAlign w:val="center"/>
          </w:tcPr>
          <w:p w:rsidR="003B34CB" w:rsidRDefault="00961BDD">
            <w:pPr>
              <w:jc w:val="center"/>
            </w:pPr>
            <w:r>
              <w:rPr>
                <w:color w:val="000000"/>
                <w:kern w:val="0"/>
                <w:sz w:val="24"/>
                <w:szCs w:val="24"/>
              </w:rPr>
              <w:t>韵达股份</w:t>
            </w:r>
          </w:p>
        </w:tc>
        <w:tc>
          <w:tcPr>
            <w:tcW w:w="0" w:type="auto"/>
            <w:vAlign w:val="center"/>
          </w:tcPr>
          <w:p w:rsidR="003B34CB" w:rsidRDefault="00961BDD">
            <w:pPr>
              <w:jc w:val="right"/>
            </w:pPr>
            <w:r>
              <w:rPr>
                <w:color w:val="000000"/>
                <w:kern w:val="0"/>
                <w:sz w:val="24"/>
                <w:szCs w:val="24"/>
              </w:rPr>
              <w:t>7,450,364</w:t>
            </w:r>
          </w:p>
        </w:tc>
        <w:tc>
          <w:tcPr>
            <w:tcW w:w="0" w:type="auto"/>
            <w:vAlign w:val="center"/>
          </w:tcPr>
          <w:p w:rsidR="003B34CB" w:rsidRDefault="00961BDD">
            <w:pPr>
              <w:jc w:val="right"/>
            </w:pPr>
            <w:r>
              <w:rPr>
                <w:color w:val="000000"/>
                <w:kern w:val="0"/>
                <w:sz w:val="24"/>
                <w:szCs w:val="24"/>
              </w:rPr>
              <w:t>229,545,714.84</w:t>
            </w:r>
          </w:p>
        </w:tc>
        <w:tc>
          <w:tcPr>
            <w:tcW w:w="0" w:type="auto"/>
            <w:vAlign w:val="center"/>
          </w:tcPr>
          <w:p w:rsidR="003B34CB" w:rsidRDefault="00961BDD">
            <w:pPr>
              <w:jc w:val="right"/>
            </w:pPr>
            <w:r>
              <w:rPr>
                <w:color w:val="000000"/>
                <w:kern w:val="0"/>
                <w:sz w:val="24"/>
                <w:szCs w:val="24"/>
              </w:rPr>
              <w:t>3.55</w:t>
            </w:r>
          </w:p>
        </w:tc>
      </w:tr>
      <w:tr w:rsidR="003B34CB">
        <w:tc>
          <w:tcPr>
            <w:tcW w:w="0" w:type="auto"/>
            <w:vAlign w:val="center"/>
          </w:tcPr>
          <w:p w:rsidR="003B34CB" w:rsidRDefault="00961BDD">
            <w:pPr>
              <w:jc w:val="center"/>
            </w:pPr>
            <w:r>
              <w:rPr>
                <w:color w:val="000000"/>
                <w:kern w:val="0"/>
                <w:sz w:val="24"/>
                <w:szCs w:val="24"/>
              </w:rPr>
              <w:t>8</w:t>
            </w:r>
          </w:p>
        </w:tc>
        <w:tc>
          <w:tcPr>
            <w:tcW w:w="0" w:type="auto"/>
            <w:vAlign w:val="center"/>
          </w:tcPr>
          <w:p w:rsidR="003B34CB" w:rsidRDefault="00961BDD">
            <w:pPr>
              <w:jc w:val="center"/>
            </w:pPr>
            <w:r>
              <w:rPr>
                <w:color w:val="000000"/>
                <w:kern w:val="0"/>
                <w:sz w:val="24"/>
                <w:szCs w:val="24"/>
              </w:rPr>
              <w:t>300413</w:t>
            </w:r>
          </w:p>
        </w:tc>
        <w:tc>
          <w:tcPr>
            <w:tcW w:w="0" w:type="auto"/>
            <w:vAlign w:val="center"/>
          </w:tcPr>
          <w:p w:rsidR="003B34CB" w:rsidRDefault="00961BDD">
            <w:pPr>
              <w:jc w:val="center"/>
            </w:pPr>
            <w:r>
              <w:rPr>
                <w:color w:val="000000"/>
                <w:kern w:val="0"/>
                <w:sz w:val="24"/>
                <w:szCs w:val="24"/>
              </w:rPr>
              <w:t>芒果超媒</w:t>
            </w:r>
          </w:p>
        </w:tc>
        <w:tc>
          <w:tcPr>
            <w:tcW w:w="0" w:type="auto"/>
            <w:vAlign w:val="center"/>
          </w:tcPr>
          <w:p w:rsidR="003B34CB" w:rsidRDefault="00961BDD">
            <w:pPr>
              <w:jc w:val="right"/>
            </w:pPr>
            <w:r>
              <w:rPr>
                <w:color w:val="000000"/>
                <w:kern w:val="0"/>
                <w:sz w:val="24"/>
                <w:szCs w:val="24"/>
              </w:rPr>
              <w:t>4,728,622</w:t>
            </w:r>
          </w:p>
        </w:tc>
        <w:tc>
          <w:tcPr>
            <w:tcW w:w="0" w:type="auto"/>
            <w:vAlign w:val="center"/>
          </w:tcPr>
          <w:p w:rsidR="003B34CB" w:rsidRDefault="00961BDD">
            <w:pPr>
              <w:jc w:val="right"/>
            </w:pPr>
            <w:r>
              <w:rPr>
                <w:color w:val="000000"/>
                <w:kern w:val="0"/>
                <w:sz w:val="24"/>
                <w:szCs w:val="24"/>
              </w:rPr>
              <w:t>206,120,632.98</w:t>
            </w:r>
          </w:p>
        </w:tc>
        <w:tc>
          <w:tcPr>
            <w:tcW w:w="0" w:type="auto"/>
            <w:vAlign w:val="center"/>
          </w:tcPr>
          <w:p w:rsidR="003B34CB" w:rsidRDefault="00961BDD">
            <w:pPr>
              <w:jc w:val="right"/>
            </w:pPr>
            <w:r>
              <w:rPr>
                <w:color w:val="000000"/>
                <w:kern w:val="0"/>
                <w:sz w:val="24"/>
                <w:szCs w:val="24"/>
              </w:rPr>
              <w:t>3.18</w:t>
            </w:r>
          </w:p>
        </w:tc>
      </w:tr>
      <w:tr w:rsidR="003B34CB">
        <w:tc>
          <w:tcPr>
            <w:tcW w:w="0" w:type="auto"/>
            <w:vAlign w:val="center"/>
          </w:tcPr>
          <w:p w:rsidR="003B34CB" w:rsidRDefault="00961BDD">
            <w:pPr>
              <w:jc w:val="center"/>
            </w:pPr>
            <w:r>
              <w:rPr>
                <w:color w:val="000000"/>
                <w:kern w:val="0"/>
                <w:sz w:val="24"/>
                <w:szCs w:val="24"/>
              </w:rPr>
              <w:t>9</w:t>
            </w:r>
          </w:p>
        </w:tc>
        <w:tc>
          <w:tcPr>
            <w:tcW w:w="0" w:type="auto"/>
            <w:vAlign w:val="center"/>
          </w:tcPr>
          <w:p w:rsidR="003B34CB" w:rsidRDefault="00961BDD">
            <w:pPr>
              <w:jc w:val="center"/>
            </w:pPr>
            <w:r>
              <w:rPr>
                <w:color w:val="000000"/>
                <w:kern w:val="0"/>
                <w:sz w:val="24"/>
                <w:szCs w:val="24"/>
              </w:rPr>
              <w:t>600276</w:t>
            </w:r>
          </w:p>
        </w:tc>
        <w:tc>
          <w:tcPr>
            <w:tcW w:w="0" w:type="auto"/>
            <w:vAlign w:val="center"/>
          </w:tcPr>
          <w:p w:rsidR="003B34CB" w:rsidRDefault="00961BDD">
            <w:pPr>
              <w:jc w:val="center"/>
            </w:pPr>
            <w:r>
              <w:rPr>
                <w:color w:val="000000"/>
                <w:kern w:val="0"/>
                <w:sz w:val="24"/>
                <w:szCs w:val="24"/>
              </w:rPr>
              <w:t>恒瑞医药</w:t>
            </w:r>
          </w:p>
        </w:tc>
        <w:tc>
          <w:tcPr>
            <w:tcW w:w="0" w:type="auto"/>
            <w:vAlign w:val="center"/>
          </w:tcPr>
          <w:p w:rsidR="003B34CB" w:rsidRDefault="00961BDD">
            <w:pPr>
              <w:jc w:val="right"/>
            </w:pPr>
            <w:r>
              <w:rPr>
                <w:color w:val="000000"/>
                <w:kern w:val="0"/>
                <w:sz w:val="24"/>
                <w:szCs w:val="24"/>
              </w:rPr>
              <w:t>2,101,404</w:t>
            </w:r>
          </w:p>
        </w:tc>
        <w:tc>
          <w:tcPr>
            <w:tcW w:w="0" w:type="auto"/>
            <w:vAlign w:val="center"/>
          </w:tcPr>
          <w:p w:rsidR="003B34CB" w:rsidRDefault="00961BDD">
            <w:pPr>
              <w:jc w:val="right"/>
            </w:pPr>
            <w:r>
              <w:rPr>
                <w:color w:val="000000"/>
                <w:kern w:val="0"/>
                <w:sz w:val="24"/>
                <w:szCs w:val="24"/>
              </w:rPr>
              <w:t>193,392,210.12</w:t>
            </w:r>
          </w:p>
        </w:tc>
        <w:tc>
          <w:tcPr>
            <w:tcW w:w="0" w:type="auto"/>
            <w:vAlign w:val="center"/>
          </w:tcPr>
          <w:p w:rsidR="003B34CB" w:rsidRDefault="00961BDD">
            <w:pPr>
              <w:jc w:val="right"/>
            </w:pPr>
            <w:r>
              <w:rPr>
                <w:color w:val="000000"/>
                <w:kern w:val="0"/>
                <w:sz w:val="24"/>
                <w:szCs w:val="24"/>
              </w:rPr>
              <w:t>2.99</w:t>
            </w:r>
          </w:p>
        </w:tc>
      </w:tr>
      <w:tr w:rsidR="003B34CB">
        <w:tc>
          <w:tcPr>
            <w:tcW w:w="0" w:type="auto"/>
            <w:vAlign w:val="center"/>
          </w:tcPr>
          <w:p w:rsidR="003B34CB" w:rsidRDefault="00961BDD">
            <w:pPr>
              <w:jc w:val="center"/>
            </w:pPr>
            <w:r>
              <w:rPr>
                <w:color w:val="000000"/>
                <w:kern w:val="0"/>
                <w:sz w:val="24"/>
                <w:szCs w:val="24"/>
              </w:rPr>
              <w:t>10</w:t>
            </w:r>
          </w:p>
        </w:tc>
        <w:tc>
          <w:tcPr>
            <w:tcW w:w="0" w:type="auto"/>
            <w:vAlign w:val="center"/>
          </w:tcPr>
          <w:p w:rsidR="003B34CB" w:rsidRDefault="00961BDD">
            <w:pPr>
              <w:jc w:val="center"/>
            </w:pPr>
            <w:r>
              <w:rPr>
                <w:color w:val="000000"/>
                <w:kern w:val="0"/>
                <w:sz w:val="24"/>
                <w:szCs w:val="24"/>
              </w:rPr>
              <w:t>300207</w:t>
            </w:r>
          </w:p>
        </w:tc>
        <w:tc>
          <w:tcPr>
            <w:tcW w:w="0" w:type="auto"/>
            <w:vAlign w:val="center"/>
          </w:tcPr>
          <w:p w:rsidR="003B34CB" w:rsidRDefault="00961BDD">
            <w:pPr>
              <w:jc w:val="center"/>
            </w:pPr>
            <w:r>
              <w:rPr>
                <w:color w:val="000000"/>
                <w:kern w:val="0"/>
                <w:sz w:val="24"/>
                <w:szCs w:val="24"/>
              </w:rPr>
              <w:t>欣旺达</w:t>
            </w:r>
          </w:p>
        </w:tc>
        <w:tc>
          <w:tcPr>
            <w:tcW w:w="0" w:type="auto"/>
            <w:vAlign w:val="center"/>
          </w:tcPr>
          <w:p w:rsidR="003B34CB" w:rsidRDefault="00961BDD">
            <w:pPr>
              <w:jc w:val="right"/>
            </w:pPr>
            <w:r>
              <w:rPr>
                <w:color w:val="000000"/>
                <w:kern w:val="0"/>
                <w:sz w:val="24"/>
                <w:szCs w:val="24"/>
              </w:rPr>
              <w:t>13,322,379</w:t>
            </w:r>
          </w:p>
        </w:tc>
        <w:tc>
          <w:tcPr>
            <w:tcW w:w="0" w:type="auto"/>
            <w:vAlign w:val="center"/>
          </w:tcPr>
          <w:p w:rsidR="003B34CB" w:rsidRDefault="00961BDD">
            <w:pPr>
              <w:jc w:val="right"/>
            </w:pPr>
            <w:r>
              <w:rPr>
                <w:color w:val="000000"/>
                <w:kern w:val="0"/>
                <w:sz w:val="24"/>
                <w:szCs w:val="24"/>
              </w:rPr>
              <w:t>188,245,215.27</w:t>
            </w:r>
          </w:p>
        </w:tc>
        <w:tc>
          <w:tcPr>
            <w:tcW w:w="0" w:type="auto"/>
            <w:vAlign w:val="center"/>
          </w:tcPr>
          <w:p w:rsidR="003B34CB" w:rsidRDefault="00961BDD">
            <w:pPr>
              <w:jc w:val="right"/>
            </w:pPr>
            <w:r>
              <w:rPr>
                <w:color w:val="000000"/>
                <w:kern w:val="0"/>
                <w:sz w:val="24"/>
                <w:szCs w:val="24"/>
              </w:rPr>
              <w:t>2.91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7,556,882.88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7,556,882.88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3B34CB">
        <w:tc>
          <w:tcPr>
            <w:tcW w:w="0" w:type="auto"/>
            <w:vAlign w:val="center"/>
          </w:tcPr>
          <w:p w:rsidR="003B34CB" w:rsidRDefault="00961BDD">
            <w:pPr>
              <w:jc w:val="center"/>
            </w:pPr>
            <w:r>
              <w:rPr>
                <w:color w:val="000000"/>
                <w:kern w:val="0"/>
                <w:sz w:val="24"/>
                <w:szCs w:val="24"/>
              </w:rPr>
              <w:t>1</w:t>
            </w:r>
          </w:p>
        </w:tc>
        <w:tc>
          <w:tcPr>
            <w:tcW w:w="0" w:type="auto"/>
            <w:vAlign w:val="center"/>
          </w:tcPr>
          <w:p w:rsidR="003B34CB" w:rsidRDefault="00961BDD">
            <w:pPr>
              <w:jc w:val="center"/>
            </w:pPr>
            <w:r>
              <w:rPr>
                <w:color w:val="000000"/>
                <w:kern w:val="0"/>
                <w:sz w:val="24"/>
                <w:szCs w:val="24"/>
              </w:rPr>
              <w:t>123041</w:t>
            </w:r>
          </w:p>
        </w:tc>
        <w:tc>
          <w:tcPr>
            <w:tcW w:w="0" w:type="auto"/>
            <w:vAlign w:val="center"/>
          </w:tcPr>
          <w:p w:rsidR="003B34CB" w:rsidRDefault="00961BDD">
            <w:pPr>
              <w:jc w:val="center"/>
            </w:pPr>
            <w:r>
              <w:rPr>
                <w:color w:val="000000"/>
                <w:kern w:val="0"/>
                <w:sz w:val="24"/>
                <w:szCs w:val="24"/>
              </w:rPr>
              <w:t>东财转</w:t>
            </w:r>
            <w:r>
              <w:rPr>
                <w:color w:val="000000"/>
                <w:kern w:val="0"/>
                <w:sz w:val="24"/>
                <w:szCs w:val="24"/>
              </w:rPr>
              <w:t>2</w:t>
            </w:r>
          </w:p>
        </w:tc>
        <w:tc>
          <w:tcPr>
            <w:tcW w:w="0" w:type="auto"/>
            <w:vAlign w:val="center"/>
          </w:tcPr>
          <w:p w:rsidR="003B34CB" w:rsidRDefault="00961BDD">
            <w:pPr>
              <w:jc w:val="right"/>
            </w:pPr>
            <w:r>
              <w:rPr>
                <w:color w:val="000000"/>
                <w:kern w:val="0"/>
                <w:sz w:val="24"/>
                <w:szCs w:val="24"/>
              </w:rPr>
              <w:t>56,361</w:t>
            </w:r>
          </w:p>
        </w:tc>
        <w:tc>
          <w:tcPr>
            <w:tcW w:w="0" w:type="auto"/>
            <w:vAlign w:val="center"/>
          </w:tcPr>
          <w:p w:rsidR="003B34CB" w:rsidRDefault="00961BDD">
            <w:pPr>
              <w:jc w:val="right"/>
            </w:pPr>
            <w:r>
              <w:rPr>
                <w:color w:val="000000"/>
                <w:kern w:val="0"/>
                <w:sz w:val="24"/>
                <w:szCs w:val="24"/>
              </w:rPr>
              <w:t>7,556,882.88</w:t>
            </w:r>
          </w:p>
        </w:tc>
        <w:tc>
          <w:tcPr>
            <w:tcW w:w="0" w:type="auto"/>
            <w:vAlign w:val="center"/>
          </w:tcPr>
          <w:p w:rsidR="003B34CB" w:rsidRDefault="00961BDD">
            <w:pPr>
              <w:jc w:val="right"/>
            </w:pPr>
            <w:r>
              <w:rPr>
                <w:color w:val="000000"/>
                <w:kern w:val="0"/>
                <w:sz w:val="24"/>
                <w:szCs w:val="24"/>
              </w:rPr>
              <w:t>0.12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1,751,954.71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336,920.03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28,291,639.36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30,380,514.10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1,049,455,693.23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2,864,884,150.60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1,739,918,536.54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2,174,421,307.29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r w:rsidRPr="00403A06">
        <w:rPr>
          <w:color w:val="000000"/>
          <w:sz w:val="24"/>
          <w:szCs w:val="24"/>
        </w:rPr>
        <w:t xml:space="preserve"> </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r w:rsidRPr="006C56AA">
        <w:rPr>
          <w:color w:val="000000"/>
          <w:sz w:val="24"/>
          <w:szCs w:val="24"/>
        </w:rPr>
        <w:t xml:space="preserve"> </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3B34CB" w:rsidRDefault="00961BDD">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中国证监会核准易方达新兴成长灵活配置混合型证券投资基金募集的文件；</w:t>
      </w:r>
    </w:p>
    <w:p w:rsidR="003B34CB" w:rsidRDefault="00961BDD">
      <w:pPr>
        <w:spacing w:line="360" w:lineRule="auto"/>
        <w:ind w:firstLineChars="200" w:firstLine="480"/>
        <w:rPr>
          <w:color w:val="000000"/>
          <w:sz w:val="24"/>
          <w:szCs w:val="24"/>
        </w:rPr>
      </w:pPr>
      <w:r>
        <w:rPr>
          <w:color w:val="000000"/>
          <w:sz w:val="24"/>
          <w:szCs w:val="24"/>
        </w:rPr>
        <w:t>2.</w:t>
      </w:r>
      <w:r>
        <w:rPr>
          <w:color w:val="000000"/>
          <w:sz w:val="24"/>
          <w:szCs w:val="24"/>
        </w:rPr>
        <w:t>《易方达新兴成长灵活配置混合型证券投资基金基金合同》；</w:t>
      </w:r>
    </w:p>
    <w:p w:rsidR="003B34CB" w:rsidRDefault="00961BDD">
      <w:pPr>
        <w:spacing w:line="360" w:lineRule="auto"/>
        <w:ind w:firstLineChars="200" w:firstLine="480"/>
        <w:rPr>
          <w:color w:val="000000"/>
          <w:sz w:val="24"/>
          <w:szCs w:val="24"/>
        </w:rPr>
      </w:pPr>
      <w:r>
        <w:rPr>
          <w:color w:val="000000"/>
          <w:sz w:val="24"/>
          <w:szCs w:val="24"/>
        </w:rPr>
        <w:t>3.</w:t>
      </w:r>
      <w:r>
        <w:rPr>
          <w:color w:val="000000"/>
          <w:sz w:val="24"/>
          <w:szCs w:val="24"/>
        </w:rPr>
        <w:t>《易方达新兴成长灵活配置混合型证券投资基金托管协议》；</w:t>
      </w:r>
    </w:p>
    <w:p w:rsidR="003B34CB" w:rsidRDefault="00961BDD">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961BDD">
      <w:rPr>
        <w:rStyle w:val="a7"/>
        <w:noProof/>
      </w:rPr>
      <w:t>1</w:t>
    </w:r>
    <w:r>
      <w:rPr>
        <w:rStyle w:val="a7"/>
      </w:rPr>
      <w:fldChar w:fldCharType="end"/>
    </w:r>
    <w:r>
      <w:rPr>
        <w:rStyle w:val="a7"/>
        <w:rFonts w:hint="eastAsia"/>
      </w:rPr>
      <w:t>页共</w:t>
    </w:r>
    <w:fldSimple w:instr=" NUMPAGES  \* Arabic  \* MERGEFORMAT ">
      <w:r w:rsidR="00961BDD" w:rsidRPr="00961BDD">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961BDD">
      <w:rPr>
        <w:rStyle w:val="a7"/>
        <w:noProof/>
      </w:rPr>
      <w:t>2</w:t>
    </w:r>
    <w:r>
      <w:rPr>
        <w:rStyle w:val="a7"/>
      </w:rPr>
      <w:fldChar w:fldCharType="end"/>
    </w:r>
    <w:r>
      <w:rPr>
        <w:rStyle w:val="a7"/>
        <w:rFonts w:hint="eastAsia"/>
      </w:rPr>
      <w:t>页共</w:t>
    </w:r>
    <w:r w:rsidR="00961BDD">
      <w:fldChar w:fldCharType="begin"/>
    </w:r>
    <w:r w:rsidR="00961BDD">
      <w:instrText xml:space="preserve"> NUMPAGES  \* Arabic  \* MERGEFORMAT </w:instrText>
    </w:r>
    <w:r w:rsidR="00961BDD">
      <w:fldChar w:fldCharType="separate"/>
    </w:r>
    <w:r w:rsidR="00961BDD" w:rsidRPr="00961BDD">
      <w:rPr>
        <w:rStyle w:val="a7"/>
        <w:noProof/>
      </w:rPr>
      <w:t>2</w:t>
    </w:r>
    <w:r w:rsidR="00961BDD">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易方达新兴成长灵活配置混合型证券投资基金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34CB"/>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1BDD"/>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7C379233-4BE7-463D-AA5A-12789A84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4BDF-ED5B-43C1-B279-DB553C83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5006</Characters>
  <Application>Microsoft Office Word</Application>
  <DocSecurity>4</DocSecurity>
  <Lines>41</Lines>
  <Paragraphs>11</Paragraphs>
  <ScaleCrop>false</ScaleCrop>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2020-04-14T01:36:00Z</dcterms:created>
  <dcterms:modified xsi:type="dcterms:W3CDTF">2020-04-14T01:36:00Z</dcterms:modified>
</cp:coreProperties>
</file>