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99F" w:rsidRPr="00453203" w:rsidRDefault="00EB699F" w:rsidP="00643071">
      <w:pPr>
        <w:snapToGrid w:val="0"/>
        <w:spacing w:line="360" w:lineRule="auto"/>
        <w:ind w:firstLine="881"/>
        <w:jc w:val="center"/>
        <w:rPr>
          <w:rFonts w:asciiTheme="minorEastAsia" w:eastAsiaTheme="minorEastAsia" w:hAnsiTheme="minorEastAsia"/>
          <w:b/>
          <w:sz w:val="44"/>
        </w:rPr>
      </w:pPr>
    </w:p>
    <w:p w:rsidR="002F4BEA" w:rsidRPr="00453203" w:rsidRDefault="002F4BEA" w:rsidP="00643071">
      <w:pPr>
        <w:snapToGrid w:val="0"/>
        <w:spacing w:line="360" w:lineRule="auto"/>
        <w:ind w:firstLine="881"/>
        <w:jc w:val="center"/>
        <w:rPr>
          <w:rFonts w:asciiTheme="minorEastAsia" w:eastAsiaTheme="minorEastAsia" w:hAnsiTheme="minorEastAsia"/>
          <w:b/>
          <w:sz w:val="44"/>
        </w:rPr>
      </w:pPr>
    </w:p>
    <w:p w:rsidR="00EB699F" w:rsidRPr="00453203" w:rsidRDefault="00EB699F" w:rsidP="00643071">
      <w:pPr>
        <w:snapToGrid w:val="0"/>
        <w:spacing w:line="360" w:lineRule="auto"/>
        <w:ind w:firstLine="881"/>
        <w:jc w:val="center"/>
        <w:rPr>
          <w:rFonts w:asciiTheme="minorEastAsia" w:eastAsiaTheme="minorEastAsia" w:hAnsiTheme="minorEastAsia"/>
          <w:b/>
          <w:sz w:val="44"/>
        </w:rPr>
      </w:pPr>
    </w:p>
    <w:p w:rsidR="00EB699F" w:rsidRPr="00453203" w:rsidRDefault="00EB699F" w:rsidP="00643071">
      <w:pPr>
        <w:snapToGrid w:val="0"/>
        <w:spacing w:line="360" w:lineRule="auto"/>
        <w:ind w:firstLine="881"/>
        <w:jc w:val="center"/>
        <w:rPr>
          <w:rFonts w:asciiTheme="minorEastAsia" w:eastAsiaTheme="minorEastAsia" w:hAnsiTheme="minorEastAsia"/>
          <w:b/>
          <w:sz w:val="52"/>
        </w:rPr>
      </w:pPr>
    </w:p>
    <w:p w:rsidR="00266A27" w:rsidRPr="00453203" w:rsidRDefault="00DA4AC8" w:rsidP="00643071">
      <w:pPr>
        <w:snapToGrid w:val="0"/>
        <w:spacing w:line="360" w:lineRule="auto"/>
        <w:jc w:val="center"/>
        <w:rPr>
          <w:rFonts w:asciiTheme="minorEastAsia" w:eastAsiaTheme="minorEastAsia" w:hAnsiTheme="minorEastAsia"/>
          <w:b/>
          <w:sz w:val="44"/>
          <w:szCs w:val="36"/>
        </w:rPr>
      </w:pPr>
      <w:r w:rsidRPr="00453203">
        <w:rPr>
          <w:rFonts w:asciiTheme="minorEastAsia" w:eastAsiaTheme="minorEastAsia" w:hAnsiTheme="minorEastAsia" w:hint="eastAsia"/>
          <w:b/>
          <w:sz w:val="44"/>
          <w:szCs w:val="36"/>
        </w:rPr>
        <w:t>易方达</w:t>
      </w:r>
      <w:r w:rsidR="00A741AA" w:rsidRPr="00453203">
        <w:rPr>
          <w:rFonts w:asciiTheme="minorEastAsia" w:eastAsiaTheme="minorEastAsia" w:hAnsiTheme="minorEastAsia" w:hint="eastAsia"/>
          <w:b/>
          <w:sz w:val="44"/>
          <w:szCs w:val="36"/>
        </w:rPr>
        <w:t>创业板</w:t>
      </w:r>
      <w:r w:rsidRPr="00453203">
        <w:rPr>
          <w:rFonts w:asciiTheme="minorEastAsia" w:eastAsiaTheme="minorEastAsia" w:hAnsiTheme="minorEastAsia" w:hint="eastAsia"/>
          <w:b/>
          <w:sz w:val="44"/>
          <w:szCs w:val="36"/>
        </w:rPr>
        <w:t>交易型开放式指数证券投资基金联接基金</w:t>
      </w:r>
      <w:r w:rsidR="001678C3" w:rsidRPr="00453203">
        <w:rPr>
          <w:rFonts w:asciiTheme="minorEastAsia" w:eastAsiaTheme="minorEastAsia" w:hAnsiTheme="minorEastAsia" w:hint="eastAsia"/>
          <w:b/>
          <w:sz w:val="44"/>
          <w:szCs w:val="36"/>
        </w:rPr>
        <w:t>更新的</w:t>
      </w:r>
      <w:r w:rsidR="00266A27" w:rsidRPr="00453203">
        <w:rPr>
          <w:rFonts w:asciiTheme="minorEastAsia" w:eastAsiaTheme="minorEastAsia" w:hAnsiTheme="minorEastAsia" w:hint="eastAsia"/>
          <w:b/>
          <w:sz w:val="44"/>
          <w:szCs w:val="36"/>
        </w:rPr>
        <w:t>招募说明书</w:t>
      </w:r>
    </w:p>
    <w:p w:rsidR="00266A27" w:rsidRPr="00453203" w:rsidRDefault="00266A27" w:rsidP="00643071">
      <w:pPr>
        <w:snapToGrid w:val="0"/>
        <w:spacing w:line="360" w:lineRule="auto"/>
        <w:ind w:left="360" w:right="26"/>
        <w:jc w:val="center"/>
        <w:rPr>
          <w:rFonts w:asciiTheme="minorEastAsia" w:eastAsiaTheme="minorEastAsia" w:hAnsiTheme="minorEastAsia"/>
          <w:b/>
          <w:sz w:val="44"/>
        </w:rPr>
      </w:pPr>
    </w:p>
    <w:p w:rsidR="00266A27" w:rsidRPr="00453203" w:rsidRDefault="00266A27" w:rsidP="00643071">
      <w:pPr>
        <w:snapToGrid w:val="0"/>
        <w:spacing w:line="360" w:lineRule="auto"/>
        <w:ind w:firstLine="600"/>
        <w:jc w:val="center"/>
        <w:rPr>
          <w:rFonts w:asciiTheme="minorEastAsia" w:eastAsiaTheme="minorEastAsia" w:hAnsiTheme="minorEastAsia"/>
          <w:sz w:val="24"/>
        </w:rPr>
      </w:pPr>
    </w:p>
    <w:p w:rsidR="00266A27" w:rsidRPr="00453203" w:rsidRDefault="00266A27" w:rsidP="00643071">
      <w:pPr>
        <w:snapToGrid w:val="0"/>
        <w:spacing w:line="360" w:lineRule="auto"/>
        <w:ind w:leftChars="800" w:left="1680"/>
        <w:rPr>
          <w:rFonts w:asciiTheme="minorEastAsia" w:eastAsiaTheme="minorEastAsia" w:hAnsiTheme="minorEastAsia"/>
          <w:sz w:val="30"/>
          <w:szCs w:val="30"/>
        </w:rPr>
      </w:pPr>
    </w:p>
    <w:p w:rsidR="00266A27" w:rsidRPr="00453203" w:rsidRDefault="00266A27" w:rsidP="00643071">
      <w:pPr>
        <w:snapToGrid w:val="0"/>
        <w:spacing w:line="360" w:lineRule="auto"/>
        <w:ind w:leftChars="800" w:left="1680"/>
        <w:rPr>
          <w:rFonts w:asciiTheme="minorEastAsia" w:eastAsiaTheme="minorEastAsia" w:hAnsiTheme="minorEastAsia"/>
          <w:sz w:val="30"/>
          <w:szCs w:val="30"/>
        </w:rPr>
      </w:pPr>
    </w:p>
    <w:p w:rsidR="00643071" w:rsidRPr="00453203" w:rsidRDefault="00643071" w:rsidP="00643071">
      <w:pPr>
        <w:snapToGrid w:val="0"/>
        <w:spacing w:line="360" w:lineRule="auto"/>
        <w:ind w:leftChars="800" w:left="1680"/>
        <w:rPr>
          <w:rFonts w:asciiTheme="minorEastAsia" w:eastAsiaTheme="minorEastAsia" w:hAnsiTheme="minorEastAsia"/>
          <w:sz w:val="30"/>
          <w:szCs w:val="30"/>
        </w:rPr>
      </w:pPr>
    </w:p>
    <w:p w:rsidR="00643071" w:rsidRPr="00453203" w:rsidRDefault="00643071" w:rsidP="00643071">
      <w:pPr>
        <w:snapToGrid w:val="0"/>
        <w:spacing w:line="360" w:lineRule="auto"/>
        <w:ind w:leftChars="800" w:left="1680"/>
        <w:rPr>
          <w:rFonts w:asciiTheme="minorEastAsia" w:eastAsiaTheme="minorEastAsia" w:hAnsiTheme="minorEastAsia"/>
          <w:sz w:val="30"/>
          <w:szCs w:val="30"/>
        </w:rPr>
      </w:pPr>
    </w:p>
    <w:p w:rsidR="00643071" w:rsidRPr="00453203" w:rsidRDefault="00643071" w:rsidP="00643071">
      <w:pPr>
        <w:snapToGrid w:val="0"/>
        <w:spacing w:line="360" w:lineRule="auto"/>
        <w:ind w:leftChars="800" w:left="1680"/>
        <w:rPr>
          <w:rFonts w:asciiTheme="minorEastAsia" w:eastAsiaTheme="minorEastAsia" w:hAnsiTheme="minorEastAsia"/>
          <w:sz w:val="30"/>
          <w:szCs w:val="30"/>
        </w:rPr>
      </w:pPr>
    </w:p>
    <w:p w:rsidR="00643071" w:rsidRPr="00453203" w:rsidRDefault="00643071" w:rsidP="00643071">
      <w:pPr>
        <w:snapToGrid w:val="0"/>
        <w:spacing w:line="360" w:lineRule="auto"/>
        <w:ind w:leftChars="800" w:left="1680"/>
        <w:rPr>
          <w:rFonts w:asciiTheme="minorEastAsia" w:eastAsiaTheme="minorEastAsia" w:hAnsiTheme="minorEastAsia"/>
          <w:sz w:val="30"/>
          <w:szCs w:val="30"/>
        </w:rPr>
      </w:pPr>
    </w:p>
    <w:p w:rsidR="00266A27" w:rsidRPr="00453203" w:rsidRDefault="00266A27" w:rsidP="00643071">
      <w:pPr>
        <w:snapToGrid w:val="0"/>
        <w:spacing w:line="360" w:lineRule="auto"/>
        <w:ind w:leftChars="800" w:left="1680"/>
        <w:rPr>
          <w:rFonts w:asciiTheme="minorEastAsia" w:eastAsiaTheme="minorEastAsia" w:hAnsiTheme="minorEastAsia"/>
          <w:sz w:val="30"/>
          <w:szCs w:val="30"/>
        </w:rPr>
      </w:pPr>
    </w:p>
    <w:p w:rsidR="00266A27" w:rsidRPr="00453203" w:rsidRDefault="00266A27" w:rsidP="00643071">
      <w:pPr>
        <w:snapToGrid w:val="0"/>
        <w:spacing w:line="360" w:lineRule="auto"/>
        <w:jc w:val="center"/>
        <w:rPr>
          <w:rFonts w:asciiTheme="minorEastAsia" w:eastAsiaTheme="minorEastAsia" w:hAnsiTheme="minorEastAsia"/>
          <w:sz w:val="30"/>
          <w:szCs w:val="30"/>
        </w:rPr>
      </w:pPr>
      <w:r w:rsidRPr="00453203">
        <w:rPr>
          <w:rFonts w:asciiTheme="minorEastAsia" w:eastAsiaTheme="minorEastAsia" w:hAnsiTheme="minorEastAsia" w:hint="eastAsia"/>
          <w:sz w:val="30"/>
          <w:szCs w:val="30"/>
        </w:rPr>
        <w:t>基金管理人：易方达基金管理有限公司</w:t>
      </w:r>
    </w:p>
    <w:p w:rsidR="00266A27" w:rsidRPr="00453203" w:rsidRDefault="00266A27" w:rsidP="00643071">
      <w:pPr>
        <w:snapToGrid w:val="0"/>
        <w:spacing w:line="360" w:lineRule="auto"/>
        <w:jc w:val="center"/>
        <w:rPr>
          <w:rFonts w:asciiTheme="minorEastAsia" w:eastAsiaTheme="minorEastAsia" w:hAnsiTheme="minorEastAsia"/>
          <w:sz w:val="30"/>
          <w:szCs w:val="30"/>
        </w:rPr>
      </w:pPr>
      <w:r w:rsidRPr="00453203">
        <w:rPr>
          <w:rFonts w:asciiTheme="minorEastAsia" w:eastAsiaTheme="minorEastAsia" w:hAnsiTheme="minorEastAsia" w:hint="eastAsia"/>
          <w:sz w:val="30"/>
          <w:szCs w:val="30"/>
        </w:rPr>
        <w:t>基金托管人：中国工商银行股份有限公司</w:t>
      </w:r>
    </w:p>
    <w:p w:rsidR="00643071" w:rsidRPr="00453203" w:rsidRDefault="00643071" w:rsidP="00643071">
      <w:pPr>
        <w:snapToGrid w:val="0"/>
        <w:spacing w:line="360" w:lineRule="auto"/>
        <w:jc w:val="center"/>
        <w:rPr>
          <w:rFonts w:asciiTheme="minorEastAsia" w:eastAsiaTheme="minorEastAsia" w:hAnsiTheme="minorEastAsia"/>
          <w:sz w:val="30"/>
          <w:szCs w:val="30"/>
        </w:rPr>
      </w:pPr>
    </w:p>
    <w:p w:rsidR="00480112" w:rsidRPr="00453203" w:rsidRDefault="00480112" w:rsidP="00643071">
      <w:pPr>
        <w:snapToGrid w:val="0"/>
        <w:spacing w:line="360" w:lineRule="auto"/>
        <w:jc w:val="center"/>
        <w:rPr>
          <w:rFonts w:asciiTheme="minorEastAsia" w:eastAsiaTheme="minorEastAsia" w:hAnsiTheme="minorEastAsia"/>
          <w:sz w:val="30"/>
          <w:szCs w:val="30"/>
        </w:rPr>
      </w:pPr>
      <w:r w:rsidRPr="00453203">
        <w:rPr>
          <w:rFonts w:asciiTheme="minorEastAsia" w:eastAsiaTheme="minorEastAsia" w:hAnsiTheme="minorEastAsia" w:hint="eastAsia"/>
          <w:sz w:val="30"/>
          <w:szCs w:val="30"/>
        </w:rPr>
        <w:t>二○二○年</w:t>
      </w:r>
      <w:r w:rsidR="006B4C03" w:rsidRPr="00453203">
        <w:rPr>
          <w:rFonts w:asciiTheme="minorEastAsia" w:eastAsiaTheme="minorEastAsia" w:hAnsiTheme="minorEastAsia"/>
          <w:sz w:val="30"/>
          <w:szCs w:val="30"/>
        </w:rPr>
        <w:t>三</w:t>
      </w:r>
      <w:r w:rsidRPr="00453203">
        <w:rPr>
          <w:rFonts w:asciiTheme="minorEastAsia" w:eastAsiaTheme="minorEastAsia" w:hAnsiTheme="minorEastAsia" w:hint="eastAsia"/>
          <w:sz w:val="30"/>
          <w:szCs w:val="30"/>
        </w:rPr>
        <w:t>月</w:t>
      </w:r>
    </w:p>
    <w:p w:rsidR="00266A27" w:rsidRPr="00453203" w:rsidRDefault="008B0D44" w:rsidP="00643071">
      <w:pPr>
        <w:snapToGrid w:val="0"/>
        <w:spacing w:line="360" w:lineRule="auto"/>
        <w:jc w:val="center"/>
        <w:rPr>
          <w:rFonts w:asciiTheme="minorEastAsia" w:eastAsiaTheme="minorEastAsia" w:hAnsiTheme="minorEastAsia"/>
          <w:b/>
          <w:sz w:val="28"/>
          <w:szCs w:val="28"/>
        </w:rPr>
      </w:pPr>
      <w:r w:rsidRPr="00453203">
        <w:rPr>
          <w:rFonts w:asciiTheme="minorEastAsia" w:eastAsiaTheme="minorEastAsia" w:hAnsiTheme="minorEastAsia"/>
          <w:b/>
          <w:sz w:val="24"/>
        </w:rPr>
        <w:br w:type="page"/>
      </w:r>
      <w:r w:rsidR="00266A27" w:rsidRPr="00453203">
        <w:rPr>
          <w:rFonts w:asciiTheme="minorEastAsia" w:eastAsiaTheme="minorEastAsia" w:hAnsiTheme="minorEastAsia" w:hint="eastAsia"/>
          <w:b/>
          <w:sz w:val="28"/>
          <w:szCs w:val="28"/>
        </w:rPr>
        <w:lastRenderedPageBreak/>
        <w:t>重要提示</w:t>
      </w:r>
    </w:p>
    <w:p w:rsidR="00E70648" w:rsidRPr="00453203" w:rsidRDefault="00E70648"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本基金根据20</w:t>
      </w:r>
      <w:r w:rsidR="008429F7" w:rsidRPr="00453203">
        <w:rPr>
          <w:rFonts w:asciiTheme="minorEastAsia" w:eastAsiaTheme="minorEastAsia" w:hAnsiTheme="minorEastAsia" w:hint="eastAsia"/>
          <w:szCs w:val="21"/>
        </w:rPr>
        <w:t>1</w:t>
      </w:r>
      <w:r w:rsidR="001C2A7A"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年</w:t>
      </w:r>
      <w:r w:rsidR="002E1068" w:rsidRPr="00453203">
        <w:rPr>
          <w:rFonts w:asciiTheme="minorEastAsia" w:eastAsiaTheme="minorEastAsia" w:hAnsiTheme="minorEastAsia" w:hint="eastAsia"/>
          <w:szCs w:val="21"/>
        </w:rPr>
        <w:t>5</w:t>
      </w:r>
      <w:r w:rsidRPr="00453203">
        <w:rPr>
          <w:rFonts w:asciiTheme="minorEastAsia" w:eastAsiaTheme="minorEastAsia" w:hAnsiTheme="minorEastAsia" w:hint="eastAsia"/>
          <w:szCs w:val="21"/>
        </w:rPr>
        <w:t>月</w:t>
      </w:r>
      <w:r w:rsidR="002E1068" w:rsidRPr="00453203">
        <w:rPr>
          <w:rFonts w:asciiTheme="minorEastAsia" w:eastAsiaTheme="minorEastAsia" w:hAnsiTheme="minorEastAsia" w:hint="eastAsia"/>
          <w:szCs w:val="21"/>
        </w:rPr>
        <w:t>19</w:t>
      </w:r>
      <w:r w:rsidRPr="00453203">
        <w:rPr>
          <w:rFonts w:asciiTheme="minorEastAsia" w:eastAsiaTheme="minorEastAsia" w:hAnsiTheme="minorEastAsia" w:hint="eastAsia"/>
          <w:szCs w:val="21"/>
        </w:rPr>
        <w:t>日中国证券监督管理委员会《关于核准易方达</w:t>
      </w:r>
      <w:r w:rsidR="00A741AA" w:rsidRPr="00453203">
        <w:rPr>
          <w:rFonts w:asciiTheme="minorEastAsia" w:eastAsiaTheme="minorEastAsia" w:hAnsiTheme="minorEastAsia" w:hint="eastAsia"/>
          <w:szCs w:val="21"/>
        </w:rPr>
        <w:t>创业板</w:t>
      </w:r>
      <w:r w:rsidRPr="00453203">
        <w:rPr>
          <w:rFonts w:asciiTheme="minorEastAsia" w:eastAsiaTheme="minorEastAsia" w:hAnsiTheme="minorEastAsia" w:hint="eastAsia"/>
          <w:szCs w:val="21"/>
        </w:rPr>
        <w:t>交易型开放式指数证券投资基金及其联接基金募集的批复》（证监许可</w:t>
      </w:r>
      <w:r w:rsidRPr="00453203">
        <w:rPr>
          <w:rFonts w:asciiTheme="minorEastAsia" w:eastAsiaTheme="minorEastAsia" w:hAnsiTheme="minorEastAsia"/>
          <w:szCs w:val="21"/>
        </w:rPr>
        <w:t>【</w:t>
      </w:r>
      <w:r w:rsidR="008429F7" w:rsidRPr="00453203">
        <w:rPr>
          <w:rFonts w:asciiTheme="minorEastAsia" w:eastAsiaTheme="minorEastAsia" w:hAnsiTheme="minorEastAsia" w:hint="eastAsia"/>
          <w:szCs w:val="21"/>
        </w:rPr>
        <w:t>201</w:t>
      </w:r>
      <w:r w:rsidR="001C2A7A"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w:t>
      </w:r>
      <w:r w:rsidR="002E1068" w:rsidRPr="00453203">
        <w:rPr>
          <w:rFonts w:asciiTheme="minorEastAsia" w:eastAsiaTheme="minorEastAsia" w:hAnsiTheme="minorEastAsia" w:hint="eastAsia"/>
          <w:szCs w:val="21"/>
        </w:rPr>
        <w:t>740</w:t>
      </w:r>
      <w:r w:rsidRPr="00453203">
        <w:rPr>
          <w:rFonts w:asciiTheme="minorEastAsia" w:eastAsiaTheme="minorEastAsia" w:hAnsiTheme="minorEastAsia" w:hint="eastAsia"/>
          <w:szCs w:val="21"/>
        </w:rPr>
        <w:t>号）和201</w:t>
      </w:r>
      <w:r w:rsidR="001C2A7A"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年</w:t>
      </w:r>
      <w:r w:rsidR="002E1068" w:rsidRPr="00453203">
        <w:rPr>
          <w:rFonts w:asciiTheme="minorEastAsia" w:eastAsiaTheme="minorEastAsia" w:hAnsiTheme="minorEastAsia" w:hint="eastAsia"/>
          <w:szCs w:val="21"/>
        </w:rPr>
        <w:t>7</w:t>
      </w:r>
      <w:r w:rsidRPr="00453203">
        <w:rPr>
          <w:rFonts w:asciiTheme="minorEastAsia" w:eastAsiaTheme="minorEastAsia" w:hAnsiTheme="minorEastAsia" w:hint="eastAsia"/>
          <w:szCs w:val="21"/>
        </w:rPr>
        <w:t>月</w:t>
      </w:r>
      <w:r w:rsidR="002E1068" w:rsidRPr="00453203">
        <w:rPr>
          <w:rFonts w:asciiTheme="minorEastAsia" w:eastAsiaTheme="minorEastAsia" w:hAnsiTheme="minorEastAsia" w:hint="eastAsia"/>
          <w:szCs w:val="21"/>
        </w:rPr>
        <w:t>25</w:t>
      </w:r>
      <w:r w:rsidR="00316872" w:rsidRPr="00453203">
        <w:rPr>
          <w:rFonts w:asciiTheme="minorEastAsia" w:eastAsiaTheme="minorEastAsia" w:hAnsiTheme="minorEastAsia" w:hint="eastAsia"/>
          <w:szCs w:val="21"/>
        </w:rPr>
        <w:t>日《关于</w:t>
      </w:r>
      <w:r w:rsidRPr="00453203">
        <w:rPr>
          <w:rFonts w:asciiTheme="minorEastAsia" w:eastAsiaTheme="minorEastAsia" w:hAnsiTheme="minorEastAsia" w:hint="eastAsia"/>
          <w:szCs w:val="21"/>
        </w:rPr>
        <w:t>易方达</w:t>
      </w:r>
      <w:r w:rsidR="00A741AA" w:rsidRPr="00453203">
        <w:rPr>
          <w:rFonts w:asciiTheme="minorEastAsia" w:eastAsiaTheme="minorEastAsia" w:hAnsiTheme="minorEastAsia" w:hint="eastAsia"/>
          <w:szCs w:val="21"/>
        </w:rPr>
        <w:t>创业板</w:t>
      </w:r>
      <w:r w:rsidRPr="00453203">
        <w:rPr>
          <w:rFonts w:asciiTheme="minorEastAsia" w:eastAsiaTheme="minorEastAsia" w:hAnsiTheme="minorEastAsia" w:hint="eastAsia"/>
          <w:szCs w:val="21"/>
        </w:rPr>
        <w:t>交易型开放式指数证券投资基金及其联接基金募集时间安排的</w:t>
      </w:r>
      <w:r w:rsidR="00316872" w:rsidRPr="00453203">
        <w:rPr>
          <w:rFonts w:asciiTheme="minorEastAsia" w:eastAsiaTheme="minorEastAsia" w:hAnsiTheme="minorEastAsia" w:hint="eastAsia"/>
          <w:szCs w:val="21"/>
        </w:rPr>
        <w:t>确认</w:t>
      </w:r>
      <w:r w:rsidRPr="00453203">
        <w:rPr>
          <w:rFonts w:asciiTheme="minorEastAsia" w:eastAsiaTheme="minorEastAsia" w:hAnsiTheme="minorEastAsia" w:hint="eastAsia"/>
          <w:szCs w:val="21"/>
        </w:rPr>
        <w:t>函》（基金部函</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201</w:t>
      </w:r>
      <w:r w:rsidR="001C2A7A"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w:t>
      </w:r>
      <w:r w:rsidR="002E1068" w:rsidRPr="00453203">
        <w:rPr>
          <w:rFonts w:asciiTheme="minorEastAsia" w:eastAsiaTheme="minorEastAsia" w:hAnsiTheme="minorEastAsia" w:hint="eastAsia"/>
          <w:szCs w:val="21"/>
        </w:rPr>
        <w:t>545</w:t>
      </w:r>
      <w:r w:rsidRPr="00453203">
        <w:rPr>
          <w:rFonts w:asciiTheme="minorEastAsia" w:eastAsiaTheme="minorEastAsia" w:hAnsiTheme="minorEastAsia" w:hint="eastAsia"/>
          <w:szCs w:val="21"/>
        </w:rPr>
        <w:t>号）的核准，进行募集。</w:t>
      </w:r>
      <w:r w:rsidR="00A47378" w:rsidRPr="00453203">
        <w:rPr>
          <w:rFonts w:asciiTheme="minorEastAsia" w:eastAsiaTheme="minorEastAsia" w:hAnsiTheme="minorEastAsia" w:hint="eastAsia"/>
          <w:szCs w:val="21"/>
        </w:rPr>
        <w:t>本基金的基金合同于2011年9月20日正式生效。</w:t>
      </w:r>
    </w:p>
    <w:p w:rsidR="00AA30C7" w:rsidRPr="00453203" w:rsidRDefault="00266A27"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基金管理人保证《招募说明书》的内容真实、准确、完整。</w:t>
      </w:r>
    </w:p>
    <w:p w:rsidR="00AA30C7" w:rsidRPr="00453203" w:rsidRDefault="00AA30C7"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基金管理人依照恪尽职守、诚实信用、谨慎勤勉的原则管理和运用基金</w:t>
      </w:r>
      <w:r w:rsidRPr="00453203">
        <w:rPr>
          <w:rFonts w:asciiTheme="minorEastAsia" w:eastAsiaTheme="minorEastAsia" w:hAnsiTheme="minorEastAsia" w:hint="eastAsia"/>
          <w:szCs w:val="21"/>
        </w:rPr>
        <w:t>财产</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但</w:t>
      </w:r>
      <w:r w:rsidRPr="00453203">
        <w:rPr>
          <w:rFonts w:asciiTheme="minorEastAsia" w:eastAsiaTheme="minorEastAsia" w:hAnsiTheme="minorEastAsia"/>
          <w:szCs w:val="21"/>
        </w:rPr>
        <w:t>不保证基金一定盈利，也不保证最低收益</w:t>
      </w:r>
      <w:r w:rsidRPr="00453203">
        <w:rPr>
          <w:rFonts w:asciiTheme="minorEastAsia" w:eastAsiaTheme="minorEastAsia" w:hAnsiTheme="minorEastAsia" w:hint="eastAsia"/>
          <w:szCs w:val="21"/>
        </w:rPr>
        <w:t>。</w:t>
      </w:r>
    </w:p>
    <w:p w:rsidR="00266A27" w:rsidRPr="00453203" w:rsidRDefault="00266A27"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本《招募说明书》经中国证监会核准，但中国证监会对本基金募集的核准，并不表明其对本基金的价值和收益作出实质性判断或保证，也不表明投资于本基金没有风险。</w:t>
      </w:r>
    </w:p>
    <w:p w:rsidR="00266A27" w:rsidRPr="00453203" w:rsidRDefault="005E4F8E"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本基金投资于证券市场，基金净值会因为证券市场波动等因素产生波动</w:t>
      </w:r>
      <w:r w:rsidR="00ED52E9" w:rsidRPr="00453203">
        <w:rPr>
          <w:rFonts w:asciiTheme="minorEastAsia" w:eastAsiaTheme="minorEastAsia" w:hAnsiTheme="minorEastAsia" w:hint="eastAsia"/>
          <w:szCs w:val="21"/>
        </w:rPr>
        <w:t>。投资有风险，</w:t>
      </w:r>
      <w:r w:rsidRPr="00453203">
        <w:rPr>
          <w:rFonts w:asciiTheme="minorEastAsia" w:eastAsiaTheme="minorEastAsia" w:hAnsiTheme="minorEastAsia" w:hint="eastAsia"/>
          <w:szCs w:val="21"/>
        </w:rPr>
        <w:t>投资者在投资本基金前，</w:t>
      </w:r>
      <w:r w:rsidR="004F5B95" w:rsidRPr="00453203">
        <w:rPr>
          <w:rFonts w:asciiTheme="minorEastAsia" w:eastAsiaTheme="minorEastAsia" w:hAnsiTheme="minorEastAsia" w:hint="eastAsia"/>
          <w:szCs w:val="21"/>
        </w:rPr>
        <w:t>请认真阅读本基金的招募说明书、基金合同和基金产品资料概要等信息披露文件</w:t>
      </w:r>
      <w:r w:rsidRPr="00453203">
        <w:rPr>
          <w:rFonts w:asciiTheme="minorEastAsia" w:eastAsiaTheme="minorEastAsia" w:hAnsiTheme="minorEastAsia" w:hint="eastAsia"/>
          <w:szCs w:val="21"/>
        </w:rPr>
        <w:t>，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证券市场整体环境引发的系统性风险，个别证券特有的非系统性风险，大量赎回或暴跌导致的流动性风险，</w:t>
      </w:r>
      <w:r w:rsidR="0009600D" w:rsidRPr="00453203">
        <w:rPr>
          <w:rFonts w:asciiTheme="minorEastAsia" w:eastAsiaTheme="minorEastAsia" w:hAnsiTheme="minorEastAsia" w:hint="eastAsia"/>
          <w:szCs w:val="21"/>
        </w:rPr>
        <w:t>本基金法律文件中涉及基金风险特征的表述与销售机构对基金的风险评级可能不一致的风险，</w:t>
      </w:r>
      <w:r w:rsidRPr="00453203">
        <w:rPr>
          <w:rFonts w:asciiTheme="minorEastAsia" w:eastAsiaTheme="minorEastAsia" w:hAnsiTheme="minorEastAsia" w:hint="eastAsia"/>
          <w:szCs w:val="21"/>
        </w:rPr>
        <w:t>基金投资过程中产生的操作风险，因交收违约和投资债券引发的信用风险，</w:t>
      </w:r>
      <w:r w:rsidR="00090B6A" w:rsidRPr="00453203">
        <w:rPr>
          <w:rFonts w:asciiTheme="minorEastAsia" w:eastAsiaTheme="minorEastAsia" w:hAnsiTheme="minorEastAsia" w:hint="eastAsia"/>
          <w:szCs w:val="21"/>
        </w:rPr>
        <w:t>创业板市场的特殊风险</w:t>
      </w:r>
      <w:r w:rsidR="00587594"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基金投资对象与投资策略引致的特有风险等等</w:t>
      </w:r>
      <w:r w:rsidR="00394B54"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基金管理人提醒</w:t>
      </w:r>
      <w:r w:rsidR="00192CE8" w:rsidRPr="00453203">
        <w:rPr>
          <w:rFonts w:asciiTheme="minorEastAsia" w:eastAsiaTheme="minorEastAsia" w:hAnsiTheme="minorEastAsia" w:hint="eastAsia"/>
          <w:szCs w:val="21"/>
        </w:rPr>
        <w:t>投资者</w:t>
      </w:r>
      <w:r w:rsidRPr="00453203">
        <w:rPr>
          <w:rFonts w:asciiTheme="minorEastAsia" w:eastAsiaTheme="minorEastAsia" w:hAnsiTheme="minorEastAsia" w:hint="eastAsia"/>
          <w:szCs w:val="21"/>
        </w:rPr>
        <w:t>基金投资的“买者自负”原则，在</w:t>
      </w:r>
      <w:r w:rsidR="00192CE8" w:rsidRPr="00453203">
        <w:rPr>
          <w:rFonts w:asciiTheme="minorEastAsia" w:eastAsiaTheme="minorEastAsia" w:hAnsiTheme="minorEastAsia" w:hint="eastAsia"/>
          <w:szCs w:val="21"/>
        </w:rPr>
        <w:t>投资者</w:t>
      </w:r>
      <w:r w:rsidRPr="00453203">
        <w:rPr>
          <w:rFonts w:asciiTheme="minorEastAsia" w:eastAsiaTheme="minorEastAsia" w:hAnsiTheme="minorEastAsia" w:hint="eastAsia"/>
          <w:szCs w:val="21"/>
        </w:rPr>
        <w:t>作出投资决策后，基金运营状况与基金净值变化引致的投资风险，由</w:t>
      </w:r>
      <w:r w:rsidR="00192CE8" w:rsidRPr="00453203">
        <w:rPr>
          <w:rFonts w:asciiTheme="minorEastAsia" w:eastAsiaTheme="minorEastAsia" w:hAnsiTheme="minorEastAsia" w:hint="eastAsia"/>
          <w:szCs w:val="21"/>
        </w:rPr>
        <w:t>投资者</w:t>
      </w:r>
      <w:r w:rsidRPr="00453203">
        <w:rPr>
          <w:rFonts w:asciiTheme="minorEastAsia" w:eastAsiaTheme="minorEastAsia" w:hAnsiTheme="minorEastAsia" w:hint="eastAsia"/>
          <w:szCs w:val="21"/>
        </w:rPr>
        <w:t>自行负责。</w:t>
      </w:r>
    </w:p>
    <w:p w:rsidR="00C95461" w:rsidRPr="00453203" w:rsidRDefault="00C95461"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本基金的主要投资标的是</w:t>
      </w:r>
      <w:r w:rsidR="00521459" w:rsidRPr="00453203">
        <w:rPr>
          <w:rFonts w:asciiTheme="minorEastAsia" w:eastAsiaTheme="minorEastAsia" w:hAnsiTheme="minorEastAsia" w:hint="eastAsia"/>
          <w:szCs w:val="21"/>
        </w:rPr>
        <w:t>创业板ETF、创业板指数成份股及备选成份股</w:t>
      </w:r>
      <w:r w:rsidRPr="00453203">
        <w:rPr>
          <w:rFonts w:asciiTheme="minorEastAsia" w:eastAsiaTheme="minorEastAsia" w:hAnsiTheme="minorEastAsia" w:hint="eastAsia"/>
          <w:szCs w:val="21"/>
        </w:rPr>
        <w:t>，面临创业板市场的特殊风险，包括但不限于：规则差异风险、上市公司退市风险、上市公司经营风险、</w:t>
      </w:r>
      <w:r w:rsidRPr="00453203">
        <w:rPr>
          <w:rFonts w:asciiTheme="minorEastAsia" w:eastAsiaTheme="minorEastAsia" w:hAnsiTheme="minorEastAsia"/>
          <w:szCs w:val="21"/>
        </w:rPr>
        <w:t>股价大幅波动风险</w:t>
      </w:r>
      <w:r w:rsidRPr="00453203">
        <w:rPr>
          <w:rFonts w:asciiTheme="minorEastAsia" w:eastAsiaTheme="minorEastAsia" w:hAnsiTheme="minorEastAsia" w:hint="eastAsia"/>
          <w:szCs w:val="21"/>
        </w:rPr>
        <w:t>、技术失败风险等，请投资者特别注意。</w:t>
      </w:r>
    </w:p>
    <w:p w:rsidR="00D05CC0" w:rsidRPr="00453203" w:rsidRDefault="00D05CC0"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基金的过往业绩并不预示其未来表现。</w:t>
      </w:r>
    </w:p>
    <w:p w:rsidR="00FC166C" w:rsidRPr="00453203" w:rsidRDefault="00FC166C"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在</w:t>
      </w:r>
      <w:r w:rsidRPr="00453203">
        <w:rPr>
          <w:rFonts w:asciiTheme="minorEastAsia" w:eastAsiaTheme="minorEastAsia" w:hAnsiTheme="minorEastAsia" w:hint="eastAsia"/>
          <w:szCs w:val="21"/>
        </w:rPr>
        <w:t>本基金目标ETF</w:t>
      </w:r>
      <w:r w:rsidR="00A741AA" w:rsidRPr="00453203">
        <w:rPr>
          <w:rFonts w:asciiTheme="minorEastAsia" w:eastAsiaTheme="minorEastAsia" w:hAnsiTheme="minorEastAsia" w:hint="eastAsia"/>
          <w:szCs w:val="21"/>
        </w:rPr>
        <w:t>创业板</w:t>
      </w:r>
      <w:r w:rsidRPr="00453203">
        <w:rPr>
          <w:rFonts w:asciiTheme="minorEastAsia" w:eastAsiaTheme="minorEastAsia" w:hAnsiTheme="minorEastAsia" w:hint="eastAsia"/>
          <w:szCs w:val="21"/>
        </w:rPr>
        <w:t>交易型开放式指数证券投资基金未能符合基金备案条件时，本基金将不能设立，面临募集失败的风险。</w:t>
      </w:r>
    </w:p>
    <w:p w:rsidR="00D05CC0" w:rsidRPr="00453203" w:rsidRDefault="00D05CC0"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本基金与目标ETF的联系与区别</w:t>
      </w:r>
      <w:r w:rsidR="002C1238" w:rsidRPr="00453203">
        <w:rPr>
          <w:rFonts w:asciiTheme="minorEastAsia" w:eastAsiaTheme="minorEastAsia" w:hAnsiTheme="minorEastAsia" w:hint="eastAsia"/>
          <w:szCs w:val="21"/>
        </w:rPr>
        <w:t>：</w:t>
      </w:r>
    </w:p>
    <w:p w:rsidR="00E97231" w:rsidRPr="00453203" w:rsidRDefault="00E97231"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本基金为创业板ETF的联接基金，二者既有联系也有区别：（1）在基金的投资方法方面，创业板ETF</w:t>
      </w:r>
      <w:r w:rsidRPr="00453203">
        <w:rPr>
          <w:rFonts w:asciiTheme="minorEastAsia" w:eastAsiaTheme="minorEastAsia" w:hAnsiTheme="minorEastAsia"/>
          <w:szCs w:val="21"/>
        </w:rPr>
        <w:t>采取完全复制法</w:t>
      </w:r>
      <w:r w:rsidRPr="00453203">
        <w:rPr>
          <w:rFonts w:asciiTheme="minorEastAsia" w:eastAsiaTheme="minorEastAsia" w:hAnsiTheme="minorEastAsia" w:hint="eastAsia"/>
          <w:szCs w:val="21"/>
        </w:rPr>
        <w:t>，直接投资于标的指数的成份股；而本基金则采取间接的方法，通过将绝大部分基金财产投资于创业板ETF，实现对业绩比较基准的紧密跟踪。（2）</w:t>
      </w:r>
      <w:r w:rsidRPr="00453203">
        <w:rPr>
          <w:rFonts w:asciiTheme="minorEastAsia" w:eastAsiaTheme="minorEastAsia" w:hAnsiTheme="minorEastAsia" w:hint="eastAsia"/>
          <w:szCs w:val="21"/>
        </w:rPr>
        <w:lastRenderedPageBreak/>
        <w:t>在交易方式方面，创业板ETF的投资者既可以像买卖股票一样在交易所市场买卖创业板ETF，也可以申</w:t>
      </w:r>
      <w:r w:rsidR="00553781" w:rsidRPr="00453203">
        <w:rPr>
          <w:rFonts w:asciiTheme="minorEastAsia" w:eastAsiaTheme="minorEastAsia" w:hAnsiTheme="minorEastAsia" w:hint="eastAsia"/>
          <w:szCs w:val="21"/>
        </w:rPr>
        <w:t>购或</w:t>
      </w:r>
      <w:r w:rsidRPr="00453203">
        <w:rPr>
          <w:rFonts w:asciiTheme="minorEastAsia" w:eastAsiaTheme="minorEastAsia" w:hAnsiTheme="minorEastAsia" w:hint="eastAsia"/>
          <w:szCs w:val="21"/>
        </w:rPr>
        <w:t>赎</w:t>
      </w:r>
      <w:r w:rsidR="00553781" w:rsidRPr="00453203">
        <w:rPr>
          <w:rFonts w:asciiTheme="minorEastAsia" w:eastAsiaTheme="minorEastAsia" w:hAnsiTheme="minorEastAsia" w:hint="eastAsia"/>
          <w:szCs w:val="21"/>
        </w:rPr>
        <w:t>回</w:t>
      </w:r>
      <w:r w:rsidRPr="00453203">
        <w:rPr>
          <w:rFonts w:asciiTheme="minorEastAsia" w:eastAsiaTheme="minorEastAsia" w:hAnsiTheme="minorEastAsia" w:hint="eastAsia"/>
          <w:szCs w:val="21"/>
        </w:rPr>
        <w:t>创业板ETF；而本基金则像普通的开放式基金一样，通过基金</w:t>
      </w:r>
      <w:r w:rsidR="00472648"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机构按未知价法进行基金的申购与赎回。</w:t>
      </w:r>
    </w:p>
    <w:p w:rsidR="00E97231" w:rsidRPr="00453203" w:rsidRDefault="00E97231"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本基金与创业板ETF业绩表现可能出现差异。可能引发差异的因素主要包括：（1）法规对投资比例的要求。创业板ETF作为一种特殊的基金品种，可</w:t>
      </w:r>
      <w:r w:rsidRPr="00453203">
        <w:rPr>
          <w:rFonts w:asciiTheme="minorEastAsia" w:eastAsiaTheme="minorEastAsia" w:hAnsiTheme="minorEastAsia"/>
          <w:szCs w:val="21"/>
        </w:rPr>
        <w:t>将全部或接近全部的基金资产</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用于跟踪标的指数的表现</w:t>
      </w:r>
      <w:r w:rsidRPr="00453203">
        <w:rPr>
          <w:rFonts w:asciiTheme="minorEastAsia" w:eastAsiaTheme="minorEastAsia" w:hAnsiTheme="minorEastAsia" w:hint="eastAsia"/>
          <w:szCs w:val="21"/>
        </w:rPr>
        <w:t>；而本基金作为普通的开放式基金，仍需将不低于基金资产净值5%的资产投资于</w:t>
      </w:r>
      <w:r w:rsidRPr="00453203">
        <w:rPr>
          <w:rFonts w:asciiTheme="minorEastAsia" w:eastAsiaTheme="minorEastAsia" w:hAnsiTheme="minorEastAsia"/>
          <w:szCs w:val="21"/>
        </w:rPr>
        <w:t>现金或者到期日在一年以内的政府债券</w:t>
      </w:r>
      <w:r w:rsidRPr="00453203">
        <w:rPr>
          <w:rFonts w:asciiTheme="minorEastAsia" w:eastAsiaTheme="minorEastAsia" w:hAnsiTheme="minorEastAsia" w:hint="eastAsia"/>
          <w:szCs w:val="21"/>
        </w:rPr>
        <w:t>。（2）申购赎回的影响。创业板ETF</w:t>
      </w:r>
      <w:r w:rsidR="00F708DF" w:rsidRPr="00453203">
        <w:rPr>
          <w:rFonts w:asciiTheme="minorEastAsia" w:eastAsiaTheme="minorEastAsia" w:hAnsiTheme="minorEastAsia" w:hint="eastAsia"/>
          <w:szCs w:val="21"/>
        </w:rPr>
        <w:t>场内申购、赎回</w:t>
      </w:r>
      <w:r w:rsidRPr="00453203">
        <w:rPr>
          <w:rFonts w:asciiTheme="minorEastAsia" w:eastAsiaTheme="minorEastAsia" w:hAnsiTheme="minorEastAsia" w:hint="eastAsia"/>
          <w:szCs w:val="21"/>
        </w:rPr>
        <w:t>采取实物申赎的方式，申购赎回对基金净值影响较小；</w:t>
      </w:r>
      <w:r w:rsidR="00641A31" w:rsidRPr="00453203">
        <w:rPr>
          <w:rFonts w:asciiTheme="minorEastAsia" w:eastAsiaTheme="minorEastAsia" w:hAnsiTheme="minorEastAsia" w:hint="eastAsia"/>
          <w:szCs w:val="21"/>
        </w:rPr>
        <w:t>发生场外申购、赎回时，基金管理人可收取一定</w:t>
      </w:r>
      <w:r w:rsidR="00F708DF" w:rsidRPr="00453203">
        <w:rPr>
          <w:rFonts w:asciiTheme="minorEastAsia" w:eastAsiaTheme="minorEastAsia" w:hAnsiTheme="minorEastAsia" w:hint="eastAsia"/>
          <w:szCs w:val="21"/>
        </w:rPr>
        <w:t>费用</w:t>
      </w:r>
      <w:r w:rsidR="00641A31" w:rsidRPr="00453203">
        <w:rPr>
          <w:rFonts w:asciiTheme="minorEastAsia" w:eastAsiaTheme="minorEastAsia" w:hAnsiTheme="minorEastAsia" w:hint="eastAsia"/>
          <w:szCs w:val="21"/>
        </w:rPr>
        <w:t>并归入基金资产作为场外现金申购、赎回对基金资产可能造成的影响的补偿，因此申购、赎回可能对基金净值影响较小。</w:t>
      </w:r>
      <w:r w:rsidRPr="00453203">
        <w:rPr>
          <w:rFonts w:asciiTheme="minorEastAsia" w:eastAsiaTheme="minorEastAsia" w:hAnsiTheme="minorEastAsia" w:hint="eastAsia"/>
          <w:szCs w:val="21"/>
        </w:rPr>
        <w:t>而本基金申赎采取现金方式，</w:t>
      </w:r>
      <w:r w:rsidR="0078207C" w:rsidRPr="00453203">
        <w:rPr>
          <w:rFonts w:asciiTheme="minorEastAsia" w:eastAsiaTheme="minorEastAsia" w:hAnsiTheme="minorEastAsia" w:hint="eastAsia"/>
          <w:szCs w:val="21"/>
        </w:rPr>
        <w:t>大额申赎可能会对基金净值产生一定影响</w:t>
      </w:r>
      <w:r w:rsidR="00641A31" w:rsidRPr="00453203">
        <w:rPr>
          <w:rFonts w:asciiTheme="minorEastAsia" w:eastAsiaTheme="minorEastAsia" w:hAnsiTheme="minorEastAsia" w:hint="eastAsia"/>
          <w:szCs w:val="21"/>
        </w:rPr>
        <w:t>，该影响可能无法得到补偿</w:t>
      </w:r>
      <w:r w:rsidRPr="00453203">
        <w:rPr>
          <w:rFonts w:asciiTheme="minorEastAsia" w:eastAsiaTheme="minorEastAsia" w:hAnsiTheme="minorEastAsia" w:hint="eastAsia"/>
          <w:szCs w:val="21"/>
        </w:rPr>
        <w:t>。</w:t>
      </w:r>
    </w:p>
    <w:p w:rsidR="00FD4447" w:rsidRPr="00453203" w:rsidRDefault="00FD4447"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基金合同约定的基金产品资料概要编制、披露与更新要求，自《信息披露办法》实施之日起一年后开始执行。</w:t>
      </w:r>
    </w:p>
    <w:p w:rsidR="00A47378" w:rsidRPr="00453203" w:rsidRDefault="00A47378" w:rsidP="00643071">
      <w:pPr>
        <w:snapToGrid w:val="0"/>
        <w:spacing w:line="360" w:lineRule="auto"/>
        <w:ind w:firstLine="420"/>
        <w:rPr>
          <w:rFonts w:asciiTheme="minorEastAsia" w:eastAsiaTheme="minorEastAsia" w:hAnsiTheme="minorEastAsia"/>
          <w:b/>
          <w:szCs w:val="21"/>
        </w:rPr>
      </w:pPr>
      <w:r w:rsidRPr="00453203">
        <w:rPr>
          <w:rFonts w:asciiTheme="minorEastAsia" w:eastAsiaTheme="minorEastAsia" w:hAnsiTheme="minorEastAsia" w:hint="eastAsia"/>
          <w:szCs w:val="21"/>
        </w:rPr>
        <w:t>除非另有说明，</w:t>
      </w:r>
      <w:r w:rsidR="00480112" w:rsidRPr="00453203">
        <w:rPr>
          <w:rFonts w:asciiTheme="minorEastAsia" w:eastAsiaTheme="minorEastAsia" w:hAnsiTheme="minorEastAsia" w:hint="eastAsia"/>
          <w:szCs w:val="21"/>
        </w:rPr>
        <w:t>本招募说明书所载内容截止日为2020年1月16日</w:t>
      </w:r>
      <w:r w:rsidR="00F92487" w:rsidRPr="00453203">
        <w:rPr>
          <w:rFonts w:asciiTheme="minorEastAsia" w:eastAsiaTheme="minorEastAsia" w:hAnsiTheme="minorEastAsia" w:hint="eastAsia"/>
        </w:rPr>
        <w:t>，</w:t>
      </w:r>
      <w:r w:rsidR="00480112" w:rsidRPr="00453203">
        <w:rPr>
          <w:rFonts w:asciiTheme="minorEastAsia" w:eastAsiaTheme="minorEastAsia" w:hAnsiTheme="minorEastAsia"/>
        </w:rPr>
        <w:t>有关财务数据截止日为2019年12月31日</w:t>
      </w:r>
      <w:r w:rsidR="00F92487" w:rsidRPr="00453203">
        <w:rPr>
          <w:rFonts w:asciiTheme="minorEastAsia" w:eastAsiaTheme="minorEastAsia" w:hAnsiTheme="minorEastAsia"/>
        </w:rPr>
        <w:t>，</w:t>
      </w:r>
      <w:r w:rsidR="00480112" w:rsidRPr="00453203">
        <w:rPr>
          <w:rFonts w:asciiTheme="minorEastAsia" w:eastAsiaTheme="minorEastAsia" w:hAnsiTheme="minorEastAsia"/>
        </w:rPr>
        <w:t>净值表现截止日为2019年12月31日</w:t>
      </w:r>
      <w:r w:rsidR="00F92487" w:rsidRPr="00453203">
        <w:rPr>
          <w:rFonts w:asciiTheme="minorEastAsia" w:eastAsiaTheme="minorEastAsia" w:hAnsiTheme="minorEastAsia"/>
        </w:rPr>
        <w:t>。</w:t>
      </w:r>
      <w:r w:rsidRPr="00453203">
        <w:rPr>
          <w:rFonts w:asciiTheme="minorEastAsia" w:eastAsiaTheme="minorEastAsia" w:hAnsiTheme="minorEastAsia" w:hint="eastAsia"/>
          <w:szCs w:val="21"/>
        </w:rPr>
        <w:t>（本报告中财务数据未经审计）</w:t>
      </w:r>
    </w:p>
    <w:p w:rsidR="007F583F" w:rsidRPr="00453203" w:rsidRDefault="007F583F" w:rsidP="00643071">
      <w:pPr>
        <w:adjustRightInd w:val="0"/>
        <w:snapToGrid w:val="0"/>
        <w:spacing w:line="360" w:lineRule="auto"/>
        <w:jc w:val="center"/>
        <w:rPr>
          <w:rFonts w:asciiTheme="minorEastAsia" w:eastAsiaTheme="minorEastAsia" w:hAnsiTheme="minorEastAsia"/>
          <w:b/>
          <w:szCs w:val="21"/>
        </w:rPr>
        <w:sectPr w:rsidR="007F583F" w:rsidRPr="00453203" w:rsidSect="00E334F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701" w:right="1814" w:bottom="1701" w:left="1814" w:header="1134" w:footer="1247" w:gutter="0"/>
          <w:pgNumType w:fmt="upperRoman" w:start="1"/>
          <w:cols w:space="425"/>
          <w:titlePg/>
          <w:docGrid w:type="lines" w:linePitch="447"/>
        </w:sectPr>
      </w:pPr>
    </w:p>
    <w:p w:rsidR="00FD4447" w:rsidRPr="00453203" w:rsidRDefault="00266A27" w:rsidP="0051718B">
      <w:pPr>
        <w:pStyle w:val="10"/>
        <w:jc w:val="center"/>
        <w:rPr>
          <w:rFonts w:asciiTheme="minorEastAsia" w:eastAsiaTheme="minorEastAsia" w:hAnsiTheme="minorEastAsia"/>
          <w:b/>
          <w:sz w:val="28"/>
        </w:rPr>
      </w:pPr>
      <w:r w:rsidRPr="00453203">
        <w:rPr>
          <w:rFonts w:asciiTheme="minorEastAsia" w:eastAsiaTheme="minorEastAsia" w:hAnsiTheme="minorEastAsia" w:hint="eastAsia"/>
          <w:b/>
          <w:sz w:val="28"/>
        </w:rPr>
        <w:lastRenderedPageBreak/>
        <w:t>目录</w:t>
      </w:r>
    </w:p>
    <w:p w:rsidR="00453203" w:rsidRDefault="005F359C">
      <w:pPr>
        <w:pStyle w:val="10"/>
        <w:rPr>
          <w:rFonts w:asciiTheme="minorHAnsi" w:eastAsiaTheme="minorEastAsia" w:hAnsiTheme="minorHAnsi" w:cstheme="minorBidi"/>
          <w:caps w:val="0"/>
          <w:sz w:val="21"/>
          <w:szCs w:val="22"/>
        </w:rPr>
      </w:pPr>
      <w:r w:rsidRPr="00453203">
        <w:rPr>
          <w:rFonts w:asciiTheme="minorEastAsia" w:eastAsiaTheme="minorEastAsia" w:hAnsiTheme="minorEastAsia"/>
          <w:b/>
          <w:szCs w:val="21"/>
        </w:rPr>
        <w:fldChar w:fldCharType="begin"/>
      </w:r>
      <w:r w:rsidR="00015FE3" w:rsidRPr="00453203">
        <w:rPr>
          <w:rFonts w:asciiTheme="minorEastAsia" w:eastAsiaTheme="minorEastAsia" w:hAnsiTheme="minorEastAsia"/>
          <w:b/>
          <w:szCs w:val="21"/>
        </w:rPr>
        <w:instrText xml:space="preserve"> TOC \o "1-3" \h \z \u </w:instrText>
      </w:r>
      <w:r w:rsidRPr="00453203">
        <w:rPr>
          <w:rFonts w:asciiTheme="minorEastAsia" w:eastAsiaTheme="minorEastAsia" w:hAnsiTheme="minorEastAsia"/>
          <w:b/>
          <w:szCs w:val="21"/>
        </w:rPr>
        <w:fldChar w:fldCharType="separate"/>
      </w:r>
      <w:hyperlink w:anchor="_Toc34834673" w:history="1">
        <w:r w:rsidR="00453203" w:rsidRPr="0078257C">
          <w:rPr>
            <w:rStyle w:val="af2"/>
            <w:rFonts w:asciiTheme="minorEastAsia" w:hAnsiTheme="minorEastAsia" w:cs="宋体" w:hint="eastAsia"/>
            <w:kern w:val="0"/>
          </w:rPr>
          <w:t>一、绪言</w:t>
        </w:r>
        <w:r w:rsidR="00453203">
          <w:rPr>
            <w:webHidden/>
          </w:rPr>
          <w:tab/>
        </w:r>
        <w:r w:rsidR="00453203">
          <w:rPr>
            <w:webHidden/>
          </w:rPr>
          <w:fldChar w:fldCharType="begin"/>
        </w:r>
        <w:r w:rsidR="00453203">
          <w:rPr>
            <w:webHidden/>
          </w:rPr>
          <w:instrText xml:space="preserve"> PAGEREF _Toc34834673 \h </w:instrText>
        </w:r>
        <w:r w:rsidR="00453203">
          <w:rPr>
            <w:webHidden/>
          </w:rPr>
        </w:r>
        <w:r w:rsidR="00453203">
          <w:rPr>
            <w:webHidden/>
          </w:rPr>
          <w:fldChar w:fldCharType="separate"/>
        </w:r>
        <w:r w:rsidR="00453203">
          <w:rPr>
            <w:webHidden/>
          </w:rPr>
          <w:t>1</w:t>
        </w:r>
        <w:r w:rsidR="00453203">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674" w:history="1">
        <w:r w:rsidRPr="0078257C">
          <w:rPr>
            <w:rStyle w:val="af2"/>
            <w:rFonts w:asciiTheme="minorEastAsia" w:hAnsiTheme="minorEastAsia" w:cs="宋体" w:hint="eastAsia"/>
            <w:kern w:val="0"/>
          </w:rPr>
          <w:t>二、释义</w:t>
        </w:r>
        <w:r>
          <w:rPr>
            <w:webHidden/>
          </w:rPr>
          <w:tab/>
        </w:r>
        <w:r>
          <w:rPr>
            <w:webHidden/>
          </w:rPr>
          <w:fldChar w:fldCharType="begin"/>
        </w:r>
        <w:r>
          <w:rPr>
            <w:webHidden/>
          </w:rPr>
          <w:instrText xml:space="preserve"> PAGEREF _Toc34834674 \h </w:instrText>
        </w:r>
        <w:r>
          <w:rPr>
            <w:webHidden/>
          </w:rPr>
        </w:r>
        <w:r>
          <w:rPr>
            <w:webHidden/>
          </w:rPr>
          <w:fldChar w:fldCharType="separate"/>
        </w:r>
        <w:r>
          <w:rPr>
            <w:webHidden/>
          </w:rPr>
          <w:t>2</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675" w:history="1">
        <w:r w:rsidRPr="0078257C">
          <w:rPr>
            <w:rStyle w:val="af2"/>
            <w:rFonts w:asciiTheme="minorEastAsia" w:hAnsiTheme="minorEastAsia" w:cs="宋体" w:hint="eastAsia"/>
            <w:kern w:val="0"/>
          </w:rPr>
          <w:t>三、基金管理人</w:t>
        </w:r>
        <w:r>
          <w:rPr>
            <w:webHidden/>
          </w:rPr>
          <w:tab/>
        </w:r>
        <w:r>
          <w:rPr>
            <w:webHidden/>
          </w:rPr>
          <w:fldChar w:fldCharType="begin"/>
        </w:r>
        <w:r>
          <w:rPr>
            <w:webHidden/>
          </w:rPr>
          <w:instrText xml:space="preserve"> PAGEREF _Toc34834675 \h </w:instrText>
        </w:r>
        <w:r>
          <w:rPr>
            <w:webHidden/>
          </w:rPr>
        </w:r>
        <w:r>
          <w:rPr>
            <w:webHidden/>
          </w:rPr>
          <w:fldChar w:fldCharType="separate"/>
        </w:r>
        <w:r>
          <w:rPr>
            <w:webHidden/>
          </w:rPr>
          <w:t>7</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76" w:history="1">
        <w:r w:rsidRPr="0078257C">
          <w:rPr>
            <w:rStyle w:val="af2"/>
            <w:rFonts w:asciiTheme="minorEastAsia" w:hAnsiTheme="minorEastAsia" w:cs="仿宋_GB2312" w:hint="eastAsia"/>
            <w:bCs/>
            <w:kern w:val="0"/>
          </w:rPr>
          <w:t>（一）基金管理人基本情况</w:t>
        </w:r>
        <w:r>
          <w:rPr>
            <w:webHidden/>
          </w:rPr>
          <w:tab/>
        </w:r>
        <w:r>
          <w:rPr>
            <w:webHidden/>
          </w:rPr>
          <w:fldChar w:fldCharType="begin"/>
        </w:r>
        <w:r>
          <w:rPr>
            <w:webHidden/>
          </w:rPr>
          <w:instrText xml:space="preserve"> PAGEREF _Toc34834676 \h </w:instrText>
        </w:r>
        <w:r>
          <w:rPr>
            <w:webHidden/>
          </w:rPr>
        </w:r>
        <w:r>
          <w:rPr>
            <w:webHidden/>
          </w:rPr>
          <w:fldChar w:fldCharType="separate"/>
        </w:r>
        <w:r>
          <w:rPr>
            <w:webHidden/>
          </w:rPr>
          <w:t>7</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77" w:history="1">
        <w:r w:rsidRPr="0078257C">
          <w:rPr>
            <w:rStyle w:val="af2"/>
            <w:rFonts w:asciiTheme="minorEastAsia" w:hAnsiTheme="minorEastAsia" w:hint="eastAsia"/>
            <w:bCs/>
          </w:rPr>
          <w:t>（二）主要人员情况</w:t>
        </w:r>
        <w:r>
          <w:rPr>
            <w:webHidden/>
          </w:rPr>
          <w:tab/>
        </w:r>
        <w:r>
          <w:rPr>
            <w:webHidden/>
          </w:rPr>
          <w:fldChar w:fldCharType="begin"/>
        </w:r>
        <w:r>
          <w:rPr>
            <w:webHidden/>
          </w:rPr>
          <w:instrText xml:space="preserve"> PAGEREF _Toc34834677 \h </w:instrText>
        </w:r>
        <w:r>
          <w:rPr>
            <w:webHidden/>
          </w:rPr>
        </w:r>
        <w:r>
          <w:rPr>
            <w:webHidden/>
          </w:rPr>
          <w:fldChar w:fldCharType="separate"/>
        </w:r>
        <w:r>
          <w:rPr>
            <w:webHidden/>
          </w:rPr>
          <w:t>7</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78" w:history="1">
        <w:r w:rsidRPr="0078257C">
          <w:rPr>
            <w:rStyle w:val="af2"/>
            <w:rFonts w:asciiTheme="minorEastAsia" w:hAnsiTheme="minorEastAsia" w:hint="eastAsia"/>
            <w:bCs/>
          </w:rPr>
          <w:t>（三）基金管理人的职责</w:t>
        </w:r>
        <w:r>
          <w:rPr>
            <w:webHidden/>
          </w:rPr>
          <w:tab/>
        </w:r>
        <w:r>
          <w:rPr>
            <w:webHidden/>
          </w:rPr>
          <w:fldChar w:fldCharType="begin"/>
        </w:r>
        <w:r>
          <w:rPr>
            <w:webHidden/>
          </w:rPr>
          <w:instrText xml:space="preserve"> PAGEREF _Toc34834678 \h </w:instrText>
        </w:r>
        <w:r>
          <w:rPr>
            <w:webHidden/>
          </w:rPr>
        </w:r>
        <w:r>
          <w:rPr>
            <w:webHidden/>
          </w:rPr>
          <w:fldChar w:fldCharType="separate"/>
        </w:r>
        <w:r>
          <w:rPr>
            <w:webHidden/>
          </w:rPr>
          <w:t>13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79" w:history="1">
        <w:r w:rsidRPr="0078257C">
          <w:rPr>
            <w:rStyle w:val="af2"/>
            <w:rFonts w:asciiTheme="minorEastAsia" w:hAnsiTheme="minorEastAsia" w:hint="eastAsia"/>
            <w:bCs/>
          </w:rPr>
          <w:t>（四）基金管理人的承诺</w:t>
        </w:r>
        <w:r>
          <w:rPr>
            <w:webHidden/>
          </w:rPr>
          <w:tab/>
        </w:r>
        <w:r>
          <w:rPr>
            <w:webHidden/>
          </w:rPr>
          <w:fldChar w:fldCharType="begin"/>
        </w:r>
        <w:r>
          <w:rPr>
            <w:webHidden/>
          </w:rPr>
          <w:instrText xml:space="preserve"> PAGEREF _Toc34834679 \h </w:instrText>
        </w:r>
        <w:r>
          <w:rPr>
            <w:webHidden/>
          </w:rPr>
        </w:r>
        <w:r>
          <w:rPr>
            <w:webHidden/>
          </w:rPr>
          <w:fldChar w:fldCharType="separate"/>
        </w:r>
        <w:r>
          <w:rPr>
            <w:webHidden/>
          </w:rPr>
          <w:t>14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80" w:history="1">
        <w:r w:rsidRPr="0078257C">
          <w:rPr>
            <w:rStyle w:val="af2"/>
            <w:rFonts w:asciiTheme="minorEastAsia" w:hAnsiTheme="minorEastAsia" w:hint="eastAsia"/>
            <w:bCs/>
          </w:rPr>
          <w:t>（五）基金管理人的内部控制制度</w:t>
        </w:r>
        <w:r>
          <w:rPr>
            <w:webHidden/>
          </w:rPr>
          <w:tab/>
        </w:r>
        <w:r>
          <w:rPr>
            <w:webHidden/>
          </w:rPr>
          <w:fldChar w:fldCharType="begin"/>
        </w:r>
        <w:r>
          <w:rPr>
            <w:webHidden/>
          </w:rPr>
          <w:instrText xml:space="preserve"> PAGEREF _Toc34834680 \h </w:instrText>
        </w:r>
        <w:r>
          <w:rPr>
            <w:webHidden/>
          </w:rPr>
        </w:r>
        <w:r>
          <w:rPr>
            <w:webHidden/>
          </w:rPr>
          <w:fldChar w:fldCharType="separate"/>
        </w:r>
        <w:r>
          <w:rPr>
            <w:webHidden/>
          </w:rPr>
          <w:t>15</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681" w:history="1">
        <w:r w:rsidRPr="0078257C">
          <w:rPr>
            <w:rStyle w:val="af2"/>
            <w:rFonts w:asciiTheme="minorEastAsia" w:hAnsiTheme="minorEastAsia" w:cs="宋体" w:hint="eastAsia"/>
            <w:kern w:val="0"/>
          </w:rPr>
          <w:t>四、基金托管人</w:t>
        </w:r>
        <w:r>
          <w:rPr>
            <w:webHidden/>
          </w:rPr>
          <w:tab/>
        </w:r>
        <w:r>
          <w:rPr>
            <w:webHidden/>
          </w:rPr>
          <w:fldChar w:fldCharType="begin"/>
        </w:r>
        <w:r>
          <w:rPr>
            <w:webHidden/>
          </w:rPr>
          <w:instrText xml:space="preserve"> PAGEREF _Toc34834681 \h </w:instrText>
        </w:r>
        <w:r>
          <w:rPr>
            <w:webHidden/>
          </w:rPr>
        </w:r>
        <w:r>
          <w:rPr>
            <w:webHidden/>
          </w:rPr>
          <w:fldChar w:fldCharType="separate"/>
        </w:r>
        <w:r>
          <w:rPr>
            <w:webHidden/>
          </w:rPr>
          <w:t>18</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682" w:history="1">
        <w:r w:rsidRPr="0078257C">
          <w:rPr>
            <w:rStyle w:val="af2"/>
            <w:rFonts w:asciiTheme="minorEastAsia" w:hAnsiTheme="minorEastAsia" w:cs="宋体" w:hint="eastAsia"/>
            <w:kern w:val="0"/>
          </w:rPr>
          <w:t>五、相关服务机构</w:t>
        </w:r>
        <w:r>
          <w:rPr>
            <w:webHidden/>
          </w:rPr>
          <w:tab/>
        </w:r>
        <w:r>
          <w:rPr>
            <w:webHidden/>
          </w:rPr>
          <w:fldChar w:fldCharType="begin"/>
        </w:r>
        <w:r>
          <w:rPr>
            <w:webHidden/>
          </w:rPr>
          <w:instrText xml:space="preserve"> PAGEREF _Toc34834682 \h </w:instrText>
        </w:r>
        <w:r>
          <w:rPr>
            <w:webHidden/>
          </w:rPr>
        </w:r>
        <w:r>
          <w:rPr>
            <w:webHidden/>
          </w:rPr>
          <w:fldChar w:fldCharType="separate"/>
        </w:r>
        <w:r>
          <w:rPr>
            <w:webHidden/>
          </w:rPr>
          <w:t>22</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83" w:history="1">
        <w:r w:rsidRPr="0078257C">
          <w:rPr>
            <w:rStyle w:val="af2"/>
            <w:rFonts w:asciiTheme="minorEastAsia" w:hAnsiTheme="minorEastAsia" w:hint="eastAsia"/>
            <w:bCs/>
          </w:rPr>
          <w:t>（一）基金份额销售机构</w:t>
        </w:r>
        <w:r>
          <w:rPr>
            <w:webHidden/>
          </w:rPr>
          <w:tab/>
        </w:r>
        <w:r>
          <w:rPr>
            <w:webHidden/>
          </w:rPr>
          <w:fldChar w:fldCharType="begin"/>
        </w:r>
        <w:r>
          <w:rPr>
            <w:webHidden/>
          </w:rPr>
          <w:instrText xml:space="preserve"> PAGEREF _Toc34834683 \h </w:instrText>
        </w:r>
        <w:r>
          <w:rPr>
            <w:webHidden/>
          </w:rPr>
        </w:r>
        <w:r>
          <w:rPr>
            <w:webHidden/>
          </w:rPr>
          <w:fldChar w:fldCharType="separate"/>
        </w:r>
        <w:r>
          <w:rPr>
            <w:webHidden/>
          </w:rPr>
          <w:t>22</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84" w:history="1">
        <w:r w:rsidRPr="0078257C">
          <w:rPr>
            <w:rStyle w:val="af2"/>
            <w:rFonts w:asciiTheme="minorEastAsia" w:hAnsiTheme="minorEastAsia" w:hint="eastAsia"/>
            <w:bCs/>
          </w:rPr>
          <w:t>（二）基金注册登记机构</w:t>
        </w:r>
        <w:r>
          <w:rPr>
            <w:webHidden/>
          </w:rPr>
          <w:tab/>
        </w:r>
        <w:r>
          <w:rPr>
            <w:webHidden/>
          </w:rPr>
          <w:fldChar w:fldCharType="begin"/>
        </w:r>
        <w:r>
          <w:rPr>
            <w:webHidden/>
          </w:rPr>
          <w:instrText xml:space="preserve"> PAGEREF _Toc34834684 \h </w:instrText>
        </w:r>
        <w:r>
          <w:rPr>
            <w:webHidden/>
          </w:rPr>
        </w:r>
        <w:r>
          <w:rPr>
            <w:webHidden/>
          </w:rPr>
          <w:fldChar w:fldCharType="separate"/>
        </w:r>
        <w:r>
          <w:rPr>
            <w:webHidden/>
          </w:rPr>
          <w:t>94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85" w:history="1">
        <w:r w:rsidRPr="0078257C">
          <w:rPr>
            <w:rStyle w:val="af2"/>
            <w:rFonts w:asciiTheme="minorEastAsia" w:hAnsiTheme="minorEastAsia" w:hint="eastAsia"/>
            <w:bCs/>
          </w:rPr>
          <w:t>（三）律师事务所和经办律师</w:t>
        </w:r>
        <w:r>
          <w:rPr>
            <w:webHidden/>
          </w:rPr>
          <w:tab/>
        </w:r>
        <w:r>
          <w:rPr>
            <w:webHidden/>
          </w:rPr>
          <w:fldChar w:fldCharType="begin"/>
        </w:r>
        <w:r>
          <w:rPr>
            <w:webHidden/>
          </w:rPr>
          <w:instrText xml:space="preserve"> PAGEREF _Toc34834685 \h </w:instrText>
        </w:r>
        <w:r>
          <w:rPr>
            <w:webHidden/>
          </w:rPr>
        </w:r>
        <w:r>
          <w:rPr>
            <w:webHidden/>
          </w:rPr>
          <w:fldChar w:fldCharType="separate"/>
        </w:r>
        <w:r>
          <w:rPr>
            <w:webHidden/>
          </w:rPr>
          <w:t>95</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86" w:history="1">
        <w:r w:rsidRPr="0078257C">
          <w:rPr>
            <w:rStyle w:val="af2"/>
            <w:rFonts w:asciiTheme="minorEastAsia" w:hAnsiTheme="minorEastAsia" w:hint="eastAsia"/>
            <w:bCs/>
          </w:rPr>
          <w:t>（四）会计师事务所和经办注册会计师</w:t>
        </w:r>
        <w:r>
          <w:rPr>
            <w:webHidden/>
          </w:rPr>
          <w:tab/>
        </w:r>
        <w:r>
          <w:rPr>
            <w:webHidden/>
          </w:rPr>
          <w:fldChar w:fldCharType="begin"/>
        </w:r>
        <w:r>
          <w:rPr>
            <w:webHidden/>
          </w:rPr>
          <w:instrText xml:space="preserve"> PAGEREF _Toc34834686 \h </w:instrText>
        </w:r>
        <w:r>
          <w:rPr>
            <w:webHidden/>
          </w:rPr>
        </w:r>
        <w:r>
          <w:rPr>
            <w:webHidden/>
          </w:rPr>
          <w:fldChar w:fldCharType="separate"/>
        </w:r>
        <w:r>
          <w:rPr>
            <w:webHidden/>
          </w:rPr>
          <w:t>95</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687" w:history="1">
        <w:r w:rsidRPr="0078257C">
          <w:rPr>
            <w:rStyle w:val="af2"/>
            <w:rFonts w:asciiTheme="minorEastAsia" w:hAnsiTheme="minorEastAsia" w:cs="宋体" w:hint="eastAsia"/>
            <w:kern w:val="0"/>
          </w:rPr>
          <w:t>六、基金的募集</w:t>
        </w:r>
        <w:r>
          <w:rPr>
            <w:webHidden/>
          </w:rPr>
          <w:tab/>
        </w:r>
        <w:r>
          <w:rPr>
            <w:webHidden/>
          </w:rPr>
          <w:fldChar w:fldCharType="begin"/>
        </w:r>
        <w:r>
          <w:rPr>
            <w:webHidden/>
          </w:rPr>
          <w:instrText xml:space="preserve"> PAGEREF _Toc34834687 \h </w:instrText>
        </w:r>
        <w:r>
          <w:rPr>
            <w:webHidden/>
          </w:rPr>
        </w:r>
        <w:r>
          <w:rPr>
            <w:webHidden/>
          </w:rPr>
          <w:fldChar w:fldCharType="separate"/>
        </w:r>
        <w:r>
          <w:rPr>
            <w:webHidden/>
          </w:rPr>
          <w:t>96</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688" w:history="1">
        <w:r w:rsidRPr="0078257C">
          <w:rPr>
            <w:rStyle w:val="af2"/>
            <w:rFonts w:asciiTheme="minorEastAsia" w:hAnsiTheme="minorEastAsia" w:hint="eastAsia"/>
            <w:bCs/>
          </w:rPr>
          <w:t>七、基金合同的生效</w:t>
        </w:r>
        <w:r>
          <w:rPr>
            <w:webHidden/>
          </w:rPr>
          <w:tab/>
        </w:r>
        <w:r>
          <w:rPr>
            <w:webHidden/>
          </w:rPr>
          <w:fldChar w:fldCharType="begin"/>
        </w:r>
        <w:r>
          <w:rPr>
            <w:webHidden/>
          </w:rPr>
          <w:instrText xml:space="preserve"> PAGEREF _Toc34834688 \h </w:instrText>
        </w:r>
        <w:r>
          <w:rPr>
            <w:webHidden/>
          </w:rPr>
        </w:r>
        <w:r>
          <w:rPr>
            <w:webHidden/>
          </w:rPr>
          <w:fldChar w:fldCharType="separate"/>
        </w:r>
        <w:r>
          <w:rPr>
            <w:webHidden/>
          </w:rPr>
          <w:t>97</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89" w:history="1">
        <w:r w:rsidRPr="0078257C">
          <w:rPr>
            <w:rStyle w:val="af2"/>
            <w:rFonts w:asciiTheme="minorEastAsia" w:hAnsiTheme="minorEastAsia" w:hint="eastAsia"/>
          </w:rPr>
          <w:t>（一）基金合同的生效</w:t>
        </w:r>
        <w:r>
          <w:rPr>
            <w:webHidden/>
          </w:rPr>
          <w:tab/>
        </w:r>
        <w:r>
          <w:rPr>
            <w:webHidden/>
          </w:rPr>
          <w:fldChar w:fldCharType="begin"/>
        </w:r>
        <w:r>
          <w:rPr>
            <w:webHidden/>
          </w:rPr>
          <w:instrText xml:space="preserve"> PAGEREF _Toc34834689 \h </w:instrText>
        </w:r>
        <w:r>
          <w:rPr>
            <w:webHidden/>
          </w:rPr>
        </w:r>
        <w:r>
          <w:rPr>
            <w:webHidden/>
          </w:rPr>
          <w:fldChar w:fldCharType="separate"/>
        </w:r>
        <w:r>
          <w:rPr>
            <w:webHidden/>
          </w:rPr>
          <w:t>97</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90" w:history="1">
        <w:r w:rsidRPr="0078257C">
          <w:rPr>
            <w:rStyle w:val="af2"/>
            <w:rFonts w:asciiTheme="minorEastAsia" w:hAnsiTheme="minorEastAsia" w:hint="eastAsia"/>
          </w:rPr>
          <w:t>（二）</w:t>
        </w:r>
        <w:r w:rsidRPr="0078257C">
          <w:rPr>
            <w:rStyle w:val="af2"/>
            <w:rFonts w:asciiTheme="minorEastAsia" w:hAnsiTheme="minorEastAsia" w:hint="eastAsia"/>
            <w:bCs/>
          </w:rPr>
          <w:t>基金存续期内的基金份额持有人数量和资产规模</w:t>
        </w:r>
        <w:r>
          <w:rPr>
            <w:webHidden/>
          </w:rPr>
          <w:tab/>
        </w:r>
        <w:r>
          <w:rPr>
            <w:webHidden/>
          </w:rPr>
          <w:fldChar w:fldCharType="begin"/>
        </w:r>
        <w:r>
          <w:rPr>
            <w:webHidden/>
          </w:rPr>
          <w:instrText xml:space="preserve"> PAGEREF _Toc34834690 \h </w:instrText>
        </w:r>
        <w:r>
          <w:rPr>
            <w:webHidden/>
          </w:rPr>
        </w:r>
        <w:r>
          <w:rPr>
            <w:webHidden/>
          </w:rPr>
          <w:fldChar w:fldCharType="separate"/>
        </w:r>
        <w:r>
          <w:rPr>
            <w:webHidden/>
          </w:rPr>
          <w:t>97</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691" w:history="1">
        <w:r w:rsidRPr="0078257C">
          <w:rPr>
            <w:rStyle w:val="af2"/>
            <w:rFonts w:asciiTheme="minorEastAsia" w:hAnsiTheme="minorEastAsia" w:hint="eastAsia"/>
            <w:bCs/>
          </w:rPr>
          <w:t>八、基金份额的申购、赎回</w:t>
        </w:r>
        <w:r>
          <w:rPr>
            <w:webHidden/>
          </w:rPr>
          <w:tab/>
        </w:r>
        <w:r>
          <w:rPr>
            <w:webHidden/>
          </w:rPr>
          <w:fldChar w:fldCharType="begin"/>
        </w:r>
        <w:r>
          <w:rPr>
            <w:webHidden/>
          </w:rPr>
          <w:instrText xml:space="preserve"> PAGEREF _Toc34834691 \h </w:instrText>
        </w:r>
        <w:r>
          <w:rPr>
            <w:webHidden/>
          </w:rPr>
        </w:r>
        <w:r>
          <w:rPr>
            <w:webHidden/>
          </w:rPr>
          <w:fldChar w:fldCharType="separate"/>
        </w:r>
        <w:r>
          <w:rPr>
            <w:webHidden/>
          </w:rPr>
          <w:t>98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92" w:history="1">
        <w:r w:rsidRPr="0078257C">
          <w:rPr>
            <w:rStyle w:val="af2"/>
            <w:rFonts w:asciiTheme="minorEastAsia" w:hAnsiTheme="minorEastAsia" w:hint="eastAsia"/>
          </w:rPr>
          <w:t>（一）基金投资者范围</w:t>
        </w:r>
        <w:r>
          <w:rPr>
            <w:webHidden/>
          </w:rPr>
          <w:tab/>
        </w:r>
        <w:r>
          <w:rPr>
            <w:webHidden/>
          </w:rPr>
          <w:fldChar w:fldCharType="begin"/>
        </w:r>
        <w:r>
          <w:rPr>
            <w:webHidden/>
          </w:rPr>
          <w:instrText xml:space="preserve"> PAGEREF _Toc34834692 \h </w:instrText>
        </w:r>
        <w:r>
          <w:rPr>
            <w:webHidden/>
          </w:rPr>
        </w:r>
        <w:r>
          <w:rPr>
            <w:webHidden/>
          </w:rPr>
          <w:fldChar w:fldCharType="separate"/>
        </w:r>
        <w:r>
          <w:rPr>
            <w:webHidden/>
          </w:rPr>
          <w:t>98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93" w:history="1">
        <w:r w:rsidRPr="0078257C">
          <w:rPr>
            <w:rStyle w:val="af2"/>
            <w:rFonts w:asciiTheme="minorEastAsia" w:hAnsiTheme="minorEastAsia" w:hint="eastAsia"/>
          </w:rPr>
          <w:t>（二）申购、赎回的场所</w:t>
        </w:r>
        <w:r>
          <w:rPr>
            <w:webHidden/>
          </w:rPr>
          <w:tab/>
        </w:r>
        <w:r>
          <w:rPr>
            <w:webHidden/>
          </w:rPr>
          <w:fldChar w:fldCharType="begin"/>
        </w:r>
        <w:r>
          <w:rPr>
            <w:webHidden/>
          </w:rPr>
          <w:instrText xml:space="preserve"> PAGEREF _Toc34834693 \h </w:instrText>
        </w:r>
        <w:r>
          <w:rPr>
            <w:webHidden/>
          </w:rPr>
        </w:r>
        <w:r>
          <w:rPr>
            <w:webHidden/>
          </w:rPr>
          <w:fldChar w:fldCharType="separate"/>
        </w:r>
        <w:r>
          <w:rPr>
            <w:webHidden/>
          </w:rPr>
          <w:t>98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94" w:history="1">
        <w:r w:rsidRPr="0078257C">
          <w:rPr>
            <w:rStyle w:val="af2"/>
            <w:rFonts w:asciiTheme="minorEastAsia" w:hAnsiTheme="minorEastAsia" w:hint="eastAsia"/>
          </w:rPr>
          <w:t>（三）申购、赎回的时间</w:t>
        </w:r>
        <w:r>
          <w:rPr>
            <w:webHidden/>
          </w:rPr>
          <w:tab/>
        </w:r>
        <w:r>
          <w:rPr>
            <w:webHidden/>
          </w:rPr>
          <w:fldChar w:fldCharType="begin"/>
        </w:r>
        <w:r>
          <w:rPr>
            <w:webHidden/>
          </w:rPr>
          <w:instrText xml:space="preserve"> PAGEREF _Toc34834694 \h </w:instrText>
        </w:r>
        <w:r>
          <w:rPr>
            <w:webHidden/>
          </w:rPr>
        </w:r>
        <w:r>
          <w:rPr>
            <w:webHidden/>
          </w:rPr>
          <w:fldChar w:fldCharType="separate"/>
        </w:r>
        <w:r>
          <w:rPr>
            <w:webHidden/>
          </w:rPr>
          <w:t>98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95" w:history="1">
        <w:r w:rsidRPr="0078257C">
          <w:rPr>
            <w:rStyle w:val="af2"/>
            <w:rFonts w:asciiTheme="minorEastAsia" w:hAnsiTheme="minorEastAsia" w:hint="eastAsia"/>
            <w:bCs/>
          </w:rPr>
          <w:t>（四）申购、赎回的原则</w:t>
        </w:r>
        <w:r>
          <w:rPr>
            <w:webHidden/>
          </w:rPr>
          <w:tab/>
        </w:r>
        <w:r>
          <w:rPr>
            <w:webHidden/>
          </w:rPr>
          <w:fldChar w:fldCharType="begin"/>
        </w:r>
        <w:r>
          <w:rPr>
            <w:webHidden/>
          </w:rPr>
          <w:instrText xml:space="preserve"> PAGEREF _Toc34834695 \h </w:instrText>
        </w:r>
        <w:r>
          <w:rPr>
            <w:webHidden/>
          </w:rPr>
        </w:r>
        <w:r>
          <w:rPr>
            <w:webHidden/>
          </w:rPr>
          <w:fldChar w:fldCharType="separate"/>
        </w:r>
        <w:r>
          <w:rPr>
            <w:webHidden/>
          </w:rPr>
          <w:t>98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96" w:history="1">
        <w:r w:rsidRPr="0078257C">
          <w:rPr>
            <w:rStyle w:val="af2"/>
            <w:rFonts w:asciiTheme="minorEastAsia" w:hAnsiTheme="minorEastAsia" w:hint="eastAsia"/>
          </w:rPr>
          <w:t>（五）申购、赎回的程序</w:t>
        </w:r>
        <w:r>
          <w:rPr>
            <w:webHidden/>
          </w:rPr>
          <w:tab/>
        </w:r>
        <w:r>
          <w:rPr>
            <w:webHidden/>
          </w:rPr>
          <w:fldChar w:fldCharType="begin"/>
        </w:r>
        <w:r>
          <w:rPr>
            <w:webHidden/>
          </w:rPr>
          <w:instrText xml:space="preserve"> PAGEREF _Toc34834696 \h </w:instrText>
        </w:r>
        <w:r>
          <w:rPr>
            <w:webHidden/>
          </w:rPr>
        </w:r>
        <w:r>
          <w:rPr>
            <w:webHidden/>
          </w:rPr>
          <w:fldChar w:fldCharType="separate"/>
        </w:r>
        <w:r>
          <w:rPr>
            <w:webHidden/>
          </w:rPr>
          <w:t>99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97" w:history="1">
        <w:r w:rsidRPr="0078257C">
          <w:rPr>
            <w:rStyle w:val="af2"/>
            <w:rFonts w:asciiTheme="minorEastAsia" w:hAnsiTheme="minorEastAsia" w:hint="eastAsia"/>
          </w:rPr>
          <w:t>（六）申购、赎回的数额限制</w:t>
        </w:r>
        <w:r>
          <w:rPr>
            <w:webHidden/>
          </w:rPr>
          <w:tab/>
        </w:r>
        <w:r>
          <w:rPr>
            <w:webHidden/>
          </w:rPr>
          <w:fldChar w:fldCharType="begin"/>
        </w:r>
        <w:r>
          <w:rPr>
            <w:webHidden/>
          </w:rPr>
          <w:instrText xml:space="preserve"> PAGEREF _Toc34834697 \h </w:instrText>
        </w:r>
        <w:r>
          <w:rPr>
            <w:webHidden/>
          </w:rPr>
        </w:r>
        <w:r>
          <w:rPr>
            <w:webHidden/>
          </w:rPr>
          <w:fldChar w:fldCharType="separate"/>
        </w:r>
        <w:r>
          <w:rPr>
            <w:webHidden/>
          </w:rPr>
          <w:t>99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98" w:history="1">
        <w:r w:rsidRPr="0078257C">
          <w:rPr>
            <w:rStyle w:val="af2"/>
            <w:rFonts w:asciiTheme="minorEastAsia" w:hAnsiTheme="minorEastAsia" w:hint="eastAsia"/>
          </w:rPr>
          <w:t>（七）申购、赎回的费率</w:t>
        </w:r>
        <w:r>
          <w:rPr>
            <w:webHidden/>
          </w:rPr>
          <w:tab/>
        </w:r>
        <w:r>
          <w:rPr>
            <w:webHidden/>
          </w:rPr>
          <w:fldChar w:fldCharType="begin"/>
        </w:r>
        <w:r>
          <w:rPr>
            <w:webHidden/>
          </w:rPr>
          <w:instrText xml:space="preserve"> PAGEREF _Toc34834698 \h </w:instrText>
        </w:r>
        <w:r>
          <w:rPr>
            <w:webHidden/>
          </w:rPr>
        </w:r>
        <w:r>
          <w:rPr>
            <w:webHidden/>
          </w:rPr>
          <w:fldChar w:fldCharType="separate"/>
        </w:r>
        <w:r>
          <w:rPr>
            <w:webHidden/>
          </w:rPr>
          <w:t>100</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699" w:history="1">
        <w:r w:rsidRPr="0078257C">
          <w:rPr>
            <w:rStyle w:val="af2"/>
            <w:rFonts w:asciiTheme="minorEastAsia" w:hAnsiTheme="minorEastAsia" w:hint="eastAsia"/>
          </w:rPr>
          <w:t>（八）申购份额、赎回金额的计算方式</w:t>
        </w:r>
        <w:r>
          <w:rPr>
            <w:webHidden/>
          </w:rPr>
          <w:tab/>
        </w:r>
        <w:r>
          <w:rPr>
            <w:webHidden/>
          </w:rPr>
          <w:fldChar w:fldCharType="begin"/>
        </w:r>
        <w:r>
          <w:rPr>
            <w:webHidden/>
          </w:rPr>
          <w:instrText xml:space="preserve"> PAGEREF _Toc34834699 \h </w:instrText>
        </w:r>
        <w:r>
          <w:rPr>
            <w:webHidden/>
          </w:rPr>
        </w:r>
        <w:r>
          <w:rPr>
            <w:webHidden/>
          </w:rPr>
          <w:fldChar w:fldCharType="separate"/>
        </w:r>
        <w:r>
          <w:rPr>
            <w:webHidden/>
          </w:rPr>
          <w:t>101</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00" w:history="1">
        <w:r w:rsidRPr="0078257C">
          <w:rPr>
            <w:rStyle w:val="af2"/>
            <w:rFonts w:asciiTheme="minorEastAsia" w:hAnsiTheme="minorEastAsia" w:hint="eastAsia"/>
          </w:rPr>
          <w:t>（九）申购、赎回的注册登记</w:t>
        </w:r>
        <w:r>
          <w:rPr>
            <w:webHidden/>
          </w:rPr>
          <w:tab/>
        </w:r>
        <w:r>
          <w:rPr>
            <w:webHidden/>
          </w:rPr>
          <w:fldChar w:fldCharType="begin"/>
        </w:r>
        <w:r>
          <w:rPr>
            <w:webHidden/>
          </w:rPr>
          <w:instrText xml:space="preserve"> PAGEREF _Toc34834700 \h </w:instrText>
        </w:r>
        <w:r>
          <w:rPr>
            <w:webHidden/>
          </w:rPr>
        </w:r>
        <w:r>
          <w:rPr>
            <w:webHidden/>
          </w:rPr>
          <w:fldChar w:fldCharType="separate"/>
        </w:r>
        <w:r>
          <w:rPr>
            <w:webHidden/>
          </w:rPr>
          <w:t>103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01" w:history="1">
        <w:r w:rsidRPr="0078257C">
          <w:rPr>
            <w:rStyle w:val="af2"/>
            <w:rFonts w:asciiTheme="minorEastAsia" w:hAnsiTheme="minorEastAsia" w:hint="eastAsia"/>
          </w:rPr>
          <w:t>（十）巨额赎回的认定及处理方式</w:t>
        </w:r>
        <w:r>
          <w:rPr>
            <w:webHidden/>
          </w:rPr>
          <w:tab/>
        </w:r>
        <w:r>
          <w:rPr>
            <w:webHidden/>
          </w:rPr>
          <w:fldChar w:fldCharType="begin"/>
        </w:r>
        <w:r>
          <w:rPr>
            <w:webHidden/>
          </w:rPr>
          <w:instrText xml:space="preserve"> PAGEREF _Toc34834701 \h </w:instrText>
        </w:r>
        <w:r>
          <w:rPr>
            <w:webHidden/>
          </w:rPr>
        </w:r>
        <w:r>
          <w:rPr>
            <w:webHidden/>
          </w:rPr>
          <w:fldChar w:fldCharType="separate"/>
        </w:r>
        <w:r>
          <w:rPr>
            <w:webHidden/>
          </w:rPr>
          <w:t>103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02" w:history="1">
        <w:r w:rsidRPr="0078257C">
          <w:rPr>
            <w:rStyle w:val="af2"/>
            <w:rFonts w:asciiTheme="minorEastAsia" w:hAnsiTheme="minorEastAsia" w:hint="eastAsia"/>
          </w:rPr>
          <w:t>（十一）</w:t>
        </w:r>
        <w:r w:rsidRPr="0078257C">
          <w:rPr>
            <w:rStyle w:val="af2"/>
            <w:rFonts w:asciiTheme="minorEastAsia" w:hAnsiTheme="minorEastAsia" w:hint="eastAsia"/>
            <w:bCs/>
          </w:rPr>
          <w:t>拒绝或暂停申购、赎回的情形及处理方式</w:t>
        </w:r>
        <w:r>
          <w:rPr>
            <w:webHidden/>
          </w:rPr>
          <w:tab/>
        </w:r>
        <w:r>
          <w:rPr>
            <w:webHidden/>
          </w:rPr>
          <w:fldChar w:fldCharType="begin"/>
        </w:r>
        <w:r>
          <w:rPr>
            <w:webHidden/>
          </w:rPr>
          <w:instrText xml:space="preserve"> PAGEREF _Toc34834702 \h </w:instrText>
        </w:r>
        <w:r>
          <w:rPr>
            <w:webHidden/>
          </w:rPr>
        </w:r>
        <w:r>
          <w:rPr>
            <w:webHidden/>
          </w:rPr>
          <w:fldChar w:fldCharType="separate"/>
        </w:r>
        <w:r>
          <w:rPr>
            <w:webHidden/>
          </w:rPr>
          <w:t>104</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03" w:history="1">
        <w:r w:rsidRPr="0078257C">
          <w:rPr>
            <w:rStyle w:val="af2"/>
            <w:rFonts w:asciiTheme="minorEastAsia" w:hAnsiTheme="minorEastAsia" w:hint="eastAsia"/>
          </w:rPr>
          <w:t>九、基金转换</w:t>
        </w:r>
        <w:r>
          <w:rPr>
            <w:webHidden/>
          </w:rPr>
          <w:tab/>
        </w:r>
        <w:r>
          <w:rPr>
            <w:webHidden/>
          </w:rPr>
          <w:fldChar w:fldCharType="begin"/>
        </w:r>
        <w:r>
          <w:rPr>
            <w:webHidden/>
          </w:rPr>
          <w:instrText xml:space="preserve"> PAGEREF _Toc34834703 \h </w:instrText>
        </w:r>
        <w:r>
          <w:rPr>
            <w:webHidden/>
          </w:rPr>
        </w:r>
        <w:r>
          <w:rPr>
            <w:webHidden/>
          </w:rPr>
          <w:fldChar w:fldCharType="separate"/>
        </w:r>
        <w:r>
          <w:rPr>
            <w:webHidden/>
          </w:rPr>
          <w:t>107</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04" w:history="1">
        <w:r w:rsidRPr="0078257C">
          <w:rPr>
            <w:rStyle w:val="af2"/>
            <w:rFonts w:asciiTheme="minorEastAsia" w:hAnsiTheme="minorEastAsia" w:hint="eastAsia"/>
          </w:rPr>
          <w:t>（一）基金转换开始日及时间</w:t>
        </w:r>
        <w:r>
          <w:rPr>
            <w:webHidden/>
          </w:rPr>
          <w:tab/>
        </w:r>
        <w:r>
          <w:rPr>
            <w:webHidden/>
          </w:rPr>
          <w:fldChar w:fldCharType="begin"/>
        </w:r>
        <w:r>
          <w:rPr>
            <w:webHidden/>
          </w:rPr>
          <w:instrText xml:space="preserve"> PAGEREF _Toc34834704 \h </w:instrText>
        </w:r>
        <w:r>
          <w:rPr>
            <w:webHidden/>
          </w:rPr>
        </w:r>
        <w:r>
          <w:rPr>
            <w:webHidden/>
          </w:rPr>
          <w:fldChar w:fldCharType="separate"/>
        </w:r>
        <w:r>
          <w:rPr>
            <w:webHidden/>
          </w:rPr>
          <w:t>107</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05" w:history="1">
        <w:r w:rsidRPr="0078257C">
          <w:rPr>
            <w:rStyle w:val="af2"/>
            <w:rFonts w:asciiTheme="minorEastAsia" w:hAnsiTheme="minorEastAsia" w:hint="eastAsia"/>
          </w:rPr>
          <w:t>（二）基金转换的原则</w:t>
        </w:r>
        <w:r>
          <w:rPr>
            <w:webHidden/>
          </w:rPr>
          <w:tab/>
        </w:r>
        <w:r>
          <w:rPr>
            <w:webHidden/>
          </w:rPr>
          <w:fldChar w:fldCharType="begin"/>
        </w:r>
        <w:r>
          <w:rPr>
            <w:webHidden/>
          </w:rPr>
          <w:instrText xml:space="preserve"> PAGEREF _Toc34834705 \h </w:instrText>
        </w:r>
        <w:r>
          <w:rPr>
            <w:webHidden/>
          </w:rPr>
        </w:r>
        <w:r>
          <w:rPr>
            <w:webHidden/>
          </w:rPr>
          <w:fldChar w:fldCharType="separate"/>
        </w:r>
        <w:r>
          <w:rPr>
            <w:webHidden/>
          </w:rPr>
          <w:t>107</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06" w:history="1">
        <w:r w:rsidRPr="0078257C">
          <w:rPr>
            <w:rStyle w:val="af2"/>
            <w:rFonts w:asciiTheme="minorEastAsia" w:hAnsiTheme="minorEastAsia" w:hint="eastAsia"/>
          </w:rPr>
          <w:t>（三）基金转换的程序</w:t>
        </w:r>
        <w:r>
          <w:rPr>
            <w:webHidden/>
          </w:rPr>
          <w:tab/>
        </w:r>
        <w:r>
          <w:rPr>
            <w:webHidden/>
          </w:rPr>
          <w:fldChar w:fldCharType="begin"/>
        </w:r>
        <w:r>
          <w:rPr>
            <w:webHidden/>
          </w:rPr>
          <w:instrText xml:space="preserve"> PAGEREF _Toc34834706 \h </w:instrText>
        </w:r>
        <w:r>
          <w:rPr>
            <w:webHidden/>
          </w:rPr>
        </w:r>
        <w:r>
          <w:rPr>
            <w:webHidden/>
          </w:rPr>
          <w:fldChar w:fldCharType="separate"/>
        </w:r>
        <w:r>
          <w:rPr>
            <w:webHidden/>
          </w:rPr>
          <w:t>108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07" w:history="1">
        <w:r w:rsidRPr="0078257C">
          <w:rPr>
            <w:rStyle w:val="af2"/>
            <w:rFonts w:asciiTheme="minorEastAsia" w:hAnsiTheme="minorEastAsia" w:hint="eastAsia"/>
          </w:rPr>
          <w:t>（四）基金转换的数额限制</w:t>
        </w:r>
        <w:r>
          <w:rPr>
            <w:webHidden/>
          </w:rPr>
          <w:tab/>
        </w:r>
        <w:r>
          <w:rPr>
            <w:webHidden/>
          </w:rPr>
          <w:fldChar w:fldCharType="begin"/>
        </w:r>
        <w:r>
          <w:rPr>
            <w:webHidden/>
          </w:rPr>
          <w:instrText xml:space="preserve"> PAGEREF _Toc34834707 \h </w:instrText>
        </w:r>
        <w:r>
          <w:rPr>
            <w:webHidden/>
          </w:rPr>
        </w:r>
        <w:r>
          <w:rPr>
            <w:webHidden/>
          </w:rPr>
          <w:fldChar w:fldCharType="separate"/>
        </w:r>
        <w:r>
          <w:rPr>
            <w:webHidden/>
          </w:rPr>
          <w:t>108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08" w:history="1">
        <w:r w:rsidRPr="0078257C">
          <w:rPr>
            <w:rStyle w:val="af2"/>
            <w:rFonts w:asciiTheme="minorEastAsia" w:hAnsiTheme="minorEastAsia" w:hint="eastAsia"/>
          </w:rPr>
          <w:t>（五）基金转换费率</w:t>
        </w:r>
        <w:r>
          <w:rPr>
            <w:webHidden/>
          </w:rPr>
          <w:tab/>
        </w:r>
        <w:r>
          <w:rPr>
            <w:webHidden/>
          </w:rPr>
          <w:fldChar w:fldCharType="begin"/>
        </w:r>
        <w:r>
          <w:rPr>
            <w:webHidden/>
          </w:rPr>
          <w:instrText xml:space="preserve"> PAGEREF _Toc34834708 \h </w:instrText>
        </w:r>
        <w:r>
          <w:rPr>
            <w:webHidden/>
          </w:rPr>
        </w:r>
        <w:r>
          <w:rPr>
            <w:webHidden/>
          </w:rPr>
          <w:fldChar w:fldCharType="separate"/>
        </w:r>
        <w:r>
          <w:rPr>
            <w:webHidden/>
          </w:rPr>
          <w:t>108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09" w:history="1">
        <w:r w:rsidRPr="0078257C">
          <w:rPr>
            <w:rStyle w:val="af2"/>
            <w:rFonts w:asciiTheme="minorEastAsia" w:hAnsiTheme="minorEastAsia" w:hint="eastAsia"/>
          </w:rPr>
          <w:t>（六）基金转换份额的计算方式</w:t>
        </w:r>
        <w:r>
          <w:rPr>
            <w:webHidden/>
          </w:rPr>
          <w:tab/>
        </w:r>
        <w:r>
          <w:rPr>
            <w:webHidden/>
          </w:rPr>
          <w:fldChar w:fldCharType="begin"/>
        </w:r>
        <w:r>
          <w:rPr>
            <w:webHidden/>
          </w:rPr>
          <w:instrText xml:space="preserve"> PAGEREF _Toc34834709 \h </w:instrText>
        </w:r>
        <w:r>
          <w:rPr>
            <w:webHidden/>
          </w:rPr>
        </w:r>
        <w:r>
          <w:rPr>
            <w:webHidden/>
          </w:rPr>
          <w:fldChar w:fldCharType="separate"/>
        </w:r>
        <w:r>
          <w:rPr>
            <w:webHidden/>
          </w:rPr>
          <w:t>108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10" w:history="1">
        <w:r w:rsidRPr="0078257C">
          <w:rPr>
            <w:rStyle w:val="af2"/>
            <w:rFonts w:asciiTheme="minorEastAsia" w:hAnsiTheme="minorEastAsia" w:hint="eastAsia"/>
          </w:rPr>
          <w:t>（七）基金转换的注册登记</w:t>
        </w:r>
        <w:r>
          <w:rPr>
            <w:webHidden/>
          </w:rPr>
          <w:tab/>
        </w:r>
        <w:r>
          <w:rPr>
            <w:webHidden/>
          </w:rPr>
          <w:fldChar w:fldCharType="begin"/>
        </w:r>
        <w:r>
          <w:rPr>
            <w:webHidden/>
          </w:rPr>
          <w:instrText xml:space="preserve"> PAGEREF _Toc34834710 \h </w:instrText>
        </w:r>
        <w:r>
          <w:rPr>
            <w:webHidden/>
          </w:rPr>
        </w:r>
        <w:r>
          <w:rPr>
            <w:webHidden/>
          </w:rPr>
          <w:fldChar w:fldCharType="separate"/>
        </w:r>
        <w:r>
          <w:rPr>
            <w:webHidden/>
          </w:rPr>
          <w:t>111</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11" w:history="1">
        <w:r w:rsidRPr="0078257C">
          <w:rPr>
            <w:rStyle w:val="af2"/>
            <w:rFonts w:asciiTheme="minorEastAsia" w:hAnsiTheme="minorEastAsia" w:hint="eastAsia"/>
          </w:rPr>
          <w:t>（八）基金转换与巨额赎回</w:t>
        </w:r>
        <w:r>
          <w:rPr>
            <w:webHidden/>
          </w:rPr>
          <w:tab/>
        </w:r>
        <w:r>
          <w:rPr>
            <w:webHidden/>
          </w:rPr>
          <w:fldChar w:fldCharType="begin"/>
        </w:r>
        <w:r>
          <w:rPr>
            <w:webHidden/>
          </w:rPr>
          <w:instrText xml:space="preserve"> PAGEREF _Toc34834711 \h </w:instrText>
        </w:r>
        <w:r>
          <w:rPr>
            <w:webHidden/>
          </w:rPr>
        </w:r>
        <w:r>
          <w:rPr>
            <w:webHidden/>
          </w:rPr>
          <w:fldChar w:fldCharType="separate"/>
        </w:r>
        <w:r>
          <w:rPr>
            <w:webHidden/>
          </w:rPr>
          <w:t>111</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12" w:history="1">
        <w:r w:rsidRPr="0078257C">
          <w:rPr>
            <w:rStyle w:val="af2"/>
            <w:rFonts w:asciiTheme="minorEastAsia" w:hAnsiTheme="minorEastAsia" w:hint="eastAsia"/>
          </w:rPr>
          <w:t>（九）暂停基金转换的情形</w:t>
        </w:r>
        <w:r>
          <w:rPr>
            <w:webHidden/>
          </w:rPr>
          <w:tab/>
        </w:r>
        <w:r>
          <w:rPr>
            <w:webHidden/>
          </w:rPr>
          <w:fldChar w:fldCharType="begin"/>
        </w:r>
        <w:r>
          <w:rPr>
            <w:webHidden/>
          </w:rPr>
          <w:instrText xml:space="preserve"> PAGEREF _Toc34834712 \h </w:instrText>
        </w:r>
        <w:r>
          <w:rPr>
            <w:webHidden/>
          </w:rPr>
        </w:r>
        <w:r>
          <w:rPr>
            <w:webHidden/>
          </w:rPr>
          <w:fldChar w:fldCharType="separate"/>
        </w:r>
        <w:r>
          <w:rPr>
            <w:webHidden/>
          </w:rPr>
          <w:t>111</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13" w:history="1">
        <w:r w:rsidRPr="0078257C">
          <w:rPr>
            <w:rStyle w:val="af2"/>
            <w:rFonts w:asciiTheme="minorEastAsia" w:hAnsiTheme="minorEastAsia" w:hint="eastAsia"/>
          </w:rPr>
          <w:t>十、基金的非交易过户、转托管及</w:t>
        </w:r>
        <w:r w:rsidRPr="0078257C">
          <w:rPr>
            <w:rStyle w:val="af2"/>
            <w:rFonts w:asciiTheme="minorEastAsia" w:hAnsiTheme="minorEastAsia" w:hint="eastAsia"/>
            <w:bCs/>
          </w:rPr>
          <w:t>冻结与解冻</w:t>
        </w:r>
        <w:r>
          <w:rPr>
            <w:webHidden/>
          </w:rPr>
          <w:tab/>
        </w:r>
        <w:r>
          <w:rPr>
            <w:webHidden/>
          </w:rPr>
          <w:fldChar w:fldCharType="begin"/>
        </w:r>
        <w:r>
          <w:rPr>
            <w:webHidden/>
          </w:rPr>
          <w:instrText xml:space="preserve"> PAGEREF _Toc34834713 \h </w:instrText>
        </w:r>
        <w:r>
          <w:rPr>
            <w:webHidden/>
          </w:rPr>
        </w:r>
        <w:r>
          <w:rPr>
            <w:webHidden/>
          </w:rPr>
          <w:fldChar w:fldCharType="separate"/>
        </w:r>
        <w:r>
          <w:rPr>
            <w:webHidden/>
          </w:rPr>
          <w:t>113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14" w:history="1">
        <w:r w:rsidRPr="0078257C">
          <w:rPr>
            <w:rStyle w:val="af2"/>
            <w:rFonts w:asciiTheme="minorEastAsia" w:hAnsiTheme="minorEastAsia" w:hint="eastAsia"/>
          </w:rPr>
          <w:t>（一）基金的非交易过户</w:t>
        </w:r>
        <w:r>
          <w:rPr>
            <w:webHidden/>
          </w:rPr>
          <w:tab/>
        </w:r>
        <w:r>
          <w:rPr>
            <w:webHidden/>
          </w:rPr>
          <w:fldChar w:fldCharType="begin"/>
        </w:r>
        <w:r>
          <w:rPr>
            <w:webHidden/>
          </w:rPr>
          <w:instrText xml:space="preserve"> PAGEREF _Toc34834714 \h </w:instrText>
        </w:r>
        <w:r>
          <w:rPr>
            <w:webHidden/>
          </w:rPr>
        </w:r>
        <w:r>
          <w:rPr>
            <w:webHidden/>
          </w:rPr>
          <w:fldChar w:fldCharType="separate"/>
        </w:r>
        <w:r>
          <w:rPr>
            <w:webHidden/>
          </w:rPr>
          <w:t>113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15" w:history="1">
        <w:r w:rsidRPr="0078257C">
          <w:rPr>
            <w:rStyle w:val="af2"/>
            <w:rFonts w:asciiTheme="minorEastAsia" w:hAnsiTheme="minorEastAsia" w:hint="eastAsia"/>
          </w:rPr>
          <w:t>（二）转托管</w:t>
        </w:r>
        <w:r>
          <w:rPr>
            <w:webHidden/>
          </w:rPr>
          <w:tab/>
        </w:r>
        <w:r>
          <w:rPr>
            <w:webHidden/>
          </w:rPr>
          <w:fldChar w:fldCharType="begin"/>
        </w:r>
        <w:r>
          <w:rPr>
            <w:webHidden/>
          </w:rPr>
          <w:instrText xml:space="preserve"> PAGEREF _Toc34834715 \h </w:instrText>
        </w:r>
        <w:r>
          <w:rPr>
            <w:webHidden/>
          </w:rPr>
        </w:r>
        <w:r>
          <w:rPr>
            <w:webHidden/>
          </w:rPr>
          <w:fldChar w:fldCharType="separate"/>
        </w:r>
        <w:r>
          <w:rPr>
            <w:webHidden/>
          </w:rPr>
          <w:t>113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16" w:history="1">
        <w:r w:rsidRPr="0078257C">
          <w:rPr>
            <w:rStyle w:val="af2"/>
            <w:rFonts w:asciiTheme="minorEastAsia" w:hAnsiTheme="minorEastAsia" w:hint="eastAsia"/>
          </w:rPr>
          <w:t>（三）基金的冻结与解冻</w:t>
        </w:r>
        <w:r>
          <w:rPr>
            <w:webHidden/>
          </w:rPr>
          <w:tab/>
        </w:r>
        <w:r>
          <w:rPr>
            <w:webHidden/>
          </w:rPr>
          <w:fldChar w:fldCharType="begin"/>
        </w:r>
        <w:r>
          <w:rPr>
            <w:webHidden/>
          </w:rPr>
          <w:instrText xml:space="preserve"> PAGEREF _Toc34834716 \h </w:instrText>
        </w:r>
        <w:r>
          <w:rPr>
            <w:webHidden/>
          </w:rPr>
        </w:r>
        <w:r>
          <w:rPr>
            <w:webHidden/>
          </w:rPr>
          <w:fldChar w:fldCharType="separate"/>
        </w:r>
        <w:r>
          <w:rPr>
            <w:webHidden/>
          </w:rPr>
          <w:t>113</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17" w:history="1">
        <w:r w:rsidRPr="0078257C">
          <w:rPr>
            <w:rStyle w:val="af2"/>
            <w:rFonts w:asciiTheme="minorEastAsia" w:hAnsiTheme="minorEastAsia" w:hint="eastAsia"/>
            <w:bCs/>
          </w:rPr>
          <w:t>十一、基金的投资</w:t>
        </w:r>
        <w:r>
          <w:rPr>
            <w:webHidden/>
          </w:rPr>
          <w:tab/>
        </w:r>
        <w:r>
          <w:rPr>
            <w:webHidden/>
          </w:rPr>
          <w:fldChar w:fldCharType="begin"/>
        </w:r>
        <w:r>
          <w:rPr>
            <w:webHidden/>
          </w:rPr>
          <w:instrText xml:space="preserve"> PAGEREF _Toc34834717 \h </w:instrText>
        </w:r>
        <w:r>
          <w:rPr>
            <w:webHidden/>
          </w:rPr>
        </w:r>
        <w:r>
          <w:rPr>
            <w:webHidden/>
          </w:rPr>
          <w:fldChar w:fldCharType="separate"/>
        </w:r>
        <w:r>
          <w:rPr>
            <w:webHidden/>
          </w:rPr>
          <w:t>114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18" w:history="1">
        <w:r w:rsidRPr="0078257C">
          <w:rPr>
            <w:rStyle w:val="af2"/>
            <w:rFonts w:asciiTheme="minorEastAsia" w:hAnsiTheme="minorEastAsia" w:hint="eastAsia"/>
          </w:rPr>
          <w:t>（一）投资目标</w:t>
        </w:r>
        <w:r>
          <w:rPr>
            <w:webHidden/>
          </w:rPr>
          <w:tab/>
        </w:r>
        <w:r>
          <w:rPr>
            <w:webHidden/>
          </w:rPr>
          <w:fldChar w:fldCharType="begin"/>
        </w:r>
        <w:r>
          <w:rPr>
            <w:webHidden/>
          </w:rPr>
          <w:instrText xml:space="preserve"> PAGEREF _Toc34834718 \h </w:instrText>
        </w:r>
        <w:r>
          <w:rPr>
            <w:webHidden/>
          </w:rPr>
        </w:r>
        <w:r>
          <w:rPr>
            <w:webHidden/>
          </w:rPr>
          <w:fldChar w:fldCharType="separate"/>
        </w:r>
        <w:r>
          <w:rPr>
            <w:webHidden/>
          </w:rPr>
          <w:t>114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19" w:history="1">
        <w:r w:rsidRPr="0078257C">
          <w:rPr>
            <w:rStyle w:val="af2"/>
            <w:rFonts w:asciiTheme="minorEastAsia" w:hAnsiTheme="minorEastAsia" w:hint="eastAsia"/>
          </w:rPr>
          <w:t>（二）投资范围</w:t>
        </w:r>
        <w:r>
          <w:rPr>
            <w:webHidden/>
          </w:rPr>
          <w:tab/>
        </w:r>
        <w:r>
          <w:rPr>
            <w:webHidden/>
          </w:rPr>
          <w:fldChar w:fldCharType="begin"/>
        </w:r>
        <w:r>
          <w:rPr>
            <w:webHidden/>
          </w:rPr>
          <w:instrText xml:space="preserve"> PAGEREF _Toc34834719 \h </w:instrText>
        </w:r>
        <w:r>
          <w:rPr>
            <w:webHidden/>
          </w:rPr>
        </w:r>
        <w:r>
          <w:rPr>
            <w:webHidden/>
          </w:rPr>
          <w:fldChar w:fldCharType="separate"/>
        </w:r>
        <w:r>
          <w:rPr>
            <w:webHidden/>
          </w:rPr>
          <w:t>114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20" w:history="1">
        <w:r w:rsidRPr="0078257C">
          <w:rPr>
            <w:rStyle w:val="af2"/>
            <w:rFonts w:asciiTheme="minorEastAsia" w:hAnsiTheme="minorEastAsia" w:hint="eastAsia"/>
          </w:rPr>
          <w:t>（三）投资理念</w:t>
        </w:r>
        <w:r>
          <w:rPr>
            <w:webHidden/>
          </w:rPr>
          <w:tab/>
        </w:r>
        <w:r>
          <w:rPr>
            <w:webHidden/>
          </w:rPr>
          <w:fldChar w:fldCharType="begin"/>
        </w:r>
        <w:r>
          <w:rPr>
            <w:webHidden/>
          </w:rPr>
          <w:instrText xml:space="preserve"> PAGEREF _Toc34834720 \h </w:instrText>
        </w:r>
        <w:r>
          <w:rPr>
            <w:webHidden/>
          </w:rPr>
        </w:r>
        <w:r>
          <w:rPr>
            <w:webHidden/>
          </w:rPr>
          <w:fldChar w:fldCharType="separate"/>
        </w:r>
        <w:r>
          <w:rPr>
            <w:webHidden/>
          </w:rPr>
          <w:t>114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21" w:history="1">
        <w:r w:rsidRPr="0078257C">
          <w:rPr>
            <w:rStyle w:val="af2"/>
            <w:rFonts w:asciiTheme="minorEastAsia" w:hAnsiTheme="minorEastAsia" w:hint="eastAsia"/>
          </w:rPr>
          <w:t>（四）投资策略</w:t>
        </w:r>
        <w:r>
          <w:rPr>
            <w:webHidden/>
          </w:rPr>
          <w:tab/>
        </w:r>
        <w:r>
          <w:rPr>
            <w:webHidden/>
          </w:rPr>
          <w:fldChar w:fldCharType="begin"/>
        </w:r>
        <w:r>
          <w:rPr>
            <w:webHidden/>
          </w:rPr>
          <w:instrText xml:space="preserve"> PAGEREF _Toc34834721 \h </w:instrText>
        </w:r>
        <w:r>
          <w:rPr>
            <w:webHidden/>
          </w:rPr>
        </w:r>
        <w:r>
          <w:rPr>
            <w:webHidden/>
          </w:rPr>
          <w:fldChar w:fldCharType="separate"/>
        </w:r>
        <w:r>
          <w:rPr>
            <w:webHidden/>
          </w:rPr>
          <w:t>114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22" w:history="1">
        <w:r w:rsidRPr="0078257C">
          <w:rPr>
            <w:rStyle w:val="af2"/>
            <w:rFonts w:asciiTheme="minorEastAsia" w:hAnsiTheme="minorEastAsia" w:hint="eastAsia"/>
          </w:rPr>
          <w:t>（五）投资决策</w:t>
        </w:r>
        <w:r>
          <w:rPr>
            <w:webHidden/>
          </w:rPr>
          <w:tab/>
        </w:r>
        <w:r>
          <w:rPr>
            <w:webHidden/>
          </w:rPr>
          <w:fldChar w:fldCharType="begin"/>
        </w:r>
        <w:r>
          <w:rPr>
            <w:webHidden/>
          </w:rPr>
          <w:instrText xml:space="preserve"> PAGEREF _Toc34834722 \h </w:instrText>
        </w:r>
        <w:r>
          <w:rPr>
            <w:webHidden/>
          </w:rPr>
        </w:r>
        <w:r>
          <w:rPr>
            <w:webHidden/>
          </w:rPr>
          <w:fldChar w:fldCharType="separate"/>
        </w:r>
        <w:r>
          <w:rPr>
            <w:webHidden/>
          </w:rPr>
          <w:t>114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23" w:history="1">
        <w:r w:rsidRPr="0078257C">
          <w:rPr>
            <w:rStyle w:val="af2"/>
            <w:rFonts w:asciiTheme="minorEastAsia" w:hAnsiTheme="minorEastAsia" w:hint="eastAsia"/>
          </w:rPr>
          <w:t>（六）投资限制</w:t>
        </w:r>
        <w:r>
          <w:rPr>
            <w:webHidden/>
          </w:rPr>
          <w:tab/>
        </w:r>
        <w:r>
          <w:rPr>
            <w:webHidden/>
          </w:rPr>
          <w:fldChar w:fldCharType="begin"/>
        </w:r>
        <w:r>
          <w:rPr>
            <w:webHidden/>
          </w:rPr>
          <w:instrText xml:space="preserve"> PAGEREF _Toc34834723 \h </w:instrText>
        </w:r>
        <w:r>
          <w:rPr>
            <w:webHidden/>
          </w:rPr>
        </w:r>
        <w:r>
          <w:rPr>
            <w:webHidden/>
          </w:rPr>
          <w:fldChar w:fldCharType="separate"/>
        </w:r>
        <w:r>
          <w:rPr>
            <w:webHidden/>
          </w:rPr>
          <w:t>115</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24" w:history="1">
        <w:r w:rsidRPr="0078257C">
          <w:rPr>
            <w:rStyle w:val="af2"/>
            <w:rFonts w:asciiTheme="minorEastAsia" w:hAnsiTheme="minorEastAsia" w:hint="eastAsia"/>
          </w:rPr>
          <w:t>（七）业绩比较基准</w:t>
        </w:r>
        <w:r>
          <w:rPr>
            <w:webHidden/>
          </w:rPr>
          <w:tab/>
        </w:r>
        <w:r>
          <w:rPr>
            <w:webHidden/>
          </w:rPr>
          <w:fldChar w:fldCharType="begin"/>
        </w:r>
        <w:r>
          <w:rPr>
            <w:webHidden/>
          </w:rPr>
          <w:instrText xml:space="preserve"> PAGEREF _Toc34834724 \h </w:instrText>
        </w:r>
        <w:r>
          <w:rPr>
            <w:webHidden/>
          </w:rPr>
        </w:r>
        <w:r>
          <w:rPr>
            <w:webHidden/>
          </w:rPr>
          <w:fldChar w:fldCharType="separate"/>
        </w:r>
        <w:r>
          <w:rPr>
            <w:webHidden/>
          </w:rPr>
          <w:t>116</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25" w:history="1">
        <w:r w:rsidRPr="0078257C">
          <w:rPr>
            <w:rStyle w:val="af2"/>
            <w:rFonts w:asciiTheme="minorEastAsia" w:hAnsiTheme="minorEastAsia" w:hint="eastAsia"/>
          </w:rPr>
          <w:t>（八）风险收益特征</w:t>
        </w:r>
        <w:r>
          <w:rPr>
            <w:webHidden/>
          </w:rPr>
          <w:tab/>
        </w:r>
        <w:r>
          <w:rPr>
            <w:webHidden/>
          </w:rPr>
          <w:fldChar w:fldCharType="begin"/>
        </w:r>
        <w:r>
          <w:rPr>
            <w:webHidden/>
          </w:rPr>
          <w:instrText xml:space="preserve"> PAGEREF _Toc34834725 \h </w:instrText>
        </w:r>
        <w:r>
          <w:rPr>
            <w:webHidden/>
          </w:rPr>
        </w:r>
        <w:r>
          <w:rPr>
            <w:webHidden/>
          </w:rPr>
          <w:fldChar w:fldCharType="separate"/>
        </w:r>
        <w:r>
          <w:rPr>
            <w:webHidden/>
          </w:rPr>
          <w:t>116</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26" w:history="1">
        <w:r w:rsidRPr="0078257C">
          <w:rPr>
            <w:rStyle w:val="af2"/>
            <w:rFonts w:asciiTheme="minorEastAsia" w:hAnsiTheme="minorEastAsia" w:hint="eastAsia"/>
          </w:rPr>
          <w:t>（九）基金管理人代表基金行使所投资证券产生权利的处理原则及方法</w:t>
        </w:r>
        <w:r>
          <w:rPr>
            <w:webHidden/>
          </w:rPr>
          <w:tab/>
        </w:r>
        <w:r>
          <w:rPr>
            <w:webHidden/>
          </w:rPr>
          <w:fldChar w:fldCharType="begin"/>
        </w:r>
        <w:r>
          <w:rPr>
            <w:webHidden/>
          </w:rPr>
          <w:instrText xml:space="preserve"> PAGEREF _Toc34834726 \h </w:instrText>
        </w:r>
        <w:r>
          <w:rPr>
            <w:webHidden/>
          </w:rPr>
        </w:r>
        <w:r>
          <w:rPr>
            <w:webHidden/>
          </w:rPr>
          <w:fldChar w:fldCharType="separate"/>
        </w:r>
        <w:r>
          <w:rPr>
            <w:webHidden/>
          </w:rPr>
          <w:t>116</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27" w:history="1">
        <w:r w:rsidRPr="0078257C">
          <w:rPr>
            <w:rStyle w:val="af2"/>
            <w:rFonts w:asciiTheme="minorEastAsia" w:hAnsiTheme="minorEastAsia" w:hint="eastAsia"/>
          </w:rPr>
          <w:t>（十）基金的融资、转融通</w:t>
        </w:r>
        <w:r>
          <w:rPr>
            <w:webHidden/>
          </w:rPr>
          <w:tab/>
        </w:r>
        <w:r>
          <w:rPr>
            <w:webHidden/>
          </w:rPr>
          <w:fldChar w:fldCharType="begin"/>
        </w:r>
        <w:r>
          <w:rPr>
            <w:webHidden/>
          </w:rPr>
          <w:instrText xml:space="preserve"> PAGEREF _Toc34834727 \h </w:instrText>
        </w:r>
        <w:r>
          <w:rPr>
            <w:webHidden/>
          </w:rPr>
        </w:r>
        <w:r>
          <w:rPr>
            <w:webHidden/>
          </w:rPr>
          <w:fldChar w:fldCharType="separate"/>
        </w:r>
        <w:r>
          <w:rPr>
            <w:webHidden/>
          </w:rPr>
          <w:t>117</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28" w:history="1">
        <w:r w:rsidRPr="0078257C">
          <w:rPr>
            <w:rStyle w:val="af2"/>
            <w:rFonts w:asciiTheme="minorEastAsia" w:hAnsiTheme="minorEastAsia" w:hint="eastAsia"/>
          </w:rPr>
          <w:t>（十一）</w:t>
        </w:r>
        <w:r w:rsidRPr="0078257C">
          <w:rPr>
            <w:rStyle w:val="af2"/>
            <w:rFonts w:asciiTheme="minorEastAsia" w:hAnsiTheme="minorEastAsia" w:hint="eastAsia"/>
            <w:bCs/>
          </w:rPr>
          <w:t>基金投资组合报告</w:t>
        </w:r>
        <w:r w:rsidRPr="0078257C">
          <w:rPr>
            <w:rStyle w:val="af2"/>
            <w:rFonts w:asciiTheme="minorEastAsia" w:hAnsiTheme="minorEastAsia"/>
            <w:bCs/>
          </w:rPr>
          <w:t>(</w:t>
        </w:r>
        <w:r w:rsidRPr="0078257C">
          <w:rPr>
            <w:rStyle w:val="af2"/>
            <w:rFonts w:asciiTheme="minorEastAsia" w:hAnsiTheme="minorEastAsia" w:hint="eastAsia"/>
            <w:bCs/>
          </w:rPr>
          <w:t>未经审计</w:t>
        </w:r>
        <w:r w:rsidRPr="0078257C">
          <w:rPr>
            <w:rStyle w:val="af2"/>
            <w:rFonts w:asciiTheme="minorEastAsia" w:hAnsiTheme="minorEastAsia"/>
            <w:bCs/>
          </w:rPr>
          <w:t>)</w:t>
        </w:r>
        <w:r>
          <w:rPr>
            <w:webHidden/>
          </w:rPr>
          <w:tab/>
        </w:r>
        <w:r>
          <w:rPr>
            <w:webHidden/>
          </w:rPr>
          <w:fldChar w:fldCharType="begin"/>
        </w:r>
        <w:r>
          <w:rPr>
            <w:webHidden/>
          </w:rPr>
          <w:instrText xml:space="preserve"> PAGEREF _Toc34834728 \h </w:instrText>
        </w:r>
        <w:r>
          <w:rPr>
            <w:webHidden/>
          </w:rPr>
        </w:r>
        <w:r>
          <w:rPr>
            <w:webHidden/>
          </w:rPr>
          <w:fldChar w:fldCharType="separate"/>
        </w:r>
        <w:r>
          <w:rPr>
            <w:webHidden/>
          </w:rPr>
          <w:t>117</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29" w:history="1">
        <w:r w:rsidRPr="0078257C">
          <w:rPr>
            <w:rStyle w:val="af2"/>
            <w:rFonts w:asciiTheme="minorEastAsia" w:hAnsiTheme="minorEastAsia" w:hint="eastAsia"/>
            <w:bCs/>
          </w:rPr>
          <w:t>十二、基金的业绩</w:t>
        </w:r>
        <w:r>
          <w:rPr>
            <w:webHidden/>
          </w:rPr>
          <w:tab/>
        </w:r>
        <w:r>
          <w:rPr>
            <w:webHidden/>
          </w:rPr>
          <w:fldChar w:fldCharType="begin"/>
        </w:r>
        <w:r>
          <w:rPr>
            <w:webHidden/>
          </w:rPr>
          <w:instrText xml:space="preserve"> PAGEREF _Toc34834729 \h </w:instrText>
        </w:r>
        <w:r>
          <w:rPr>
            <w:webHidden/>
          </w:rPr>
        </w:r>
        <w:r>
          <w:rPr>
            <w:webHidden/>
          </w:rPr>
          <w:fldChar w:fldCharType="separate"/>
        </w:r>
        <w:r>
          <w:rPr>
            <w:webHidden/>
          </w:rPr>
          <w:t>122</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30" w:history="1">
        <w:r w:rsidRPr="0078257C">
          <w:rPr>
            <w:rStyle w:val="af2"/>
            <w:rFonts w:asciiTheme="minorEastAsia" w:hAnsiTheme="minorEastAsia" w:hint="eastAsia"/>
            <w:bCs/>
          </w:rPr>
          <w:t>十三、基金的财产</w:t>
        </w:r>
        <w:r>
          <w:rPr>
            <w:webHidden/>
          </w:rPr>
          <w:tab/>
        </w:r>
        <w:r>
          <w:rPr>
            <w:webHidden/>
          </w:rPr>
          <w:fldChar w:fldCharType="begin"/>
        </w:r>
        <w:r>
          <w:rPr>
            <w:webHidden/>
          </w:rPr>
          <w:instrText xml:space="preserve"> PAGEREF _Toc34834730 \h </w:instrText>
        </w:r>
        <w:r>
          <w:rPr>
            <w:webHidden/>
          </w:rPr>
        </w:r>
        <w:r>
          <w:rPr>
            <w:webHidden/>
          </w:rPr>
          <w:fldChar w:fldCharType="separate"/>
        </w:r>
        <w:r>
          <w:rPr>
            <w:webHidden/>
          </w:rPr>
          <w:t>124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31" w:history="1">
        <w:r w:rsidRPr="0078257C">
          <w:rPr>
            <w:rStyle w:val="af2"/>
            <w:rFonts w:asciiTheme="minorEastAsia" w:hAnsiTheme="minorEastAsia" w:hint="eastAsia"/>
          </w:rPr>
          <w:t>（一）基金资产总值</w:t>
        </w:r>
        <w:r>
          <w:rPr>
            <w:webHidden/>
          </w:rPr>
          <w:tab/>
        </w:r>
        <w:r>
          <w:rPr>
            <w:webHidden/>
          </w:rPr>
          <w:fldChar w:fldCharType="begin"/>
        </w:r>
        <w:r>
          <w:rPr>
            <w:webHidden/>
          </w:rPr>
          <w:instrText xml:space="preserve"> PAGEREF _Toc34834731 \h </w:instrText>
        </w:r>
        <w:r>
          <w:rPr>
            <w:webHidden/>
          </w:rPr>
        </w:r>
        <w:r>
          <w:rPr>
            <w:webHidden/>
          </w:rPr>
          <w:fldChar w:fldCharType="separate"/>
        </w:r>
        <w:r>
          <w:rPr>
            <w:webHidden/>
          </w:rPr>
          <w:t>124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32" w:history="1">
        <w:r w:rsidRPr="0078257C">
          <w:rPr>
            <w:rStyle w:val="af2"/>
            <w:rFonts w:asciiTheme="minorEastAsia" w:hAnsiTheme="minorEastAsia" w:hint="eastAsia"/>
          </w:rPr>
          <w:t>（二）基金资产净值</w:t>
        </w:r>
        <w:r>
          <w:rPr>
            <w:webHidden/>
          </w:rPr>
          <w:tab/>
        </w:r>
        <w:r>
          <w:rPr>
            <w:webHidden/>
          </w:rPr>
          <w:fldChar w:fldCharType="begin"/>
        </w:r>
        <w:r>
          <w:rPr>
            <w:webHidden/>
          </w:rPr>
          <w:instrText xml:space="preserve"> PAGEREF _Toc34834732 \h </w:instrText>
        </w:r>
        <w:r>
          <w:rPr>
            <w:webHidden/>
          </w:rPr>
        </w:r>
        <w:r>
          <w:rPr>
            <w:webHidden/>
          </w:rPr>
          <w:fldChar w:fldCharType="separate"/>
        </w:r>
        <w:r>
          <w:rPr>
            <w:webHidden/>
          </w:rPr>
          <w:t>124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33" w:history="1">
        <w:r w:rsidRPr="0078257C">
          <w:rPr>
            <w:rStyle w:val="af2"/>
            <w:rFonts w:asciiTheme="minorEastAsia" w:hAnsiTheme="minorEastAsia" w:hint="eastAsia"/>
          </w:rPr>
          <w:t>（三）基金财产的账户</w:t>
        </w:r>
        <w:r>
          <w:rPr>
            <w:webHidden/>
          </w:rPr>
          <w:tab/>
        </w:r>
        <w:r>
          <w:rPr>
            <w:webHidden/>
          </w:rPr>
          <w:fldChar w:fldCharType="begin"/>
        </w:r>
        <w:r>
          <w:rPr>
            <w:webHidden/>
          </w:rPr>
          <w:instrText xml:space="preserve"> PAGEREF _Toc34834733 \h </w:instrText>
        </w:r>
        <w:r>
          <w:rPr>
            <w:webHidden/>
          </w:rPr>
        </w:r>
        <w:r>
          <w:rPr>
            <w:webHidden/>
          </w:rPr>
          <w:fldChar w:fldCharType="separate"/>
        </w:r>
        <w:r>
          <w:rPr>
            <w:webHidden/>
          </w:rPr>
          <w:t>124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34" w:history="1">
        <w:r w:rsidRPr="0078257C">
          <w:rPr>
            <w:rStyle w:val="af2"/>
            <w:rFonts w:asciiTheme="minorEastAsia" w:hAnsiTheme="minorEastAsia" w:hint="eastAsia"/>
          </w:rPr>
          <w:t>（四）基金财产的保管和处分</w:t>
        </w:r>
        <w:r>
          <w:rPr>
            <w:webHidden/>
          </w:rPr>
          <w:tab/>
        </w:r>
        <w:r>
          <w:rPr>
            <w:webHidden/>
          </w:rPr>
          <w:fldChar w:fldCharType="begin"/>
        </w:r>
        <w:r>
          <w:rPr>
            <w:webHidden/>
          </w:rPr>
          <w:instrText xml:space="preserve"> PAGEREF _Toc34834734 \h </w:instrText>
        </w:r>
        <w:r>
          <w:rPr>
            <w:webHidden/>
          </w:rPr>
        </w:r>
        <w:r>
          <w:rPr>
            <w:webHidden/>
          </w:rPr>
          <w:fldChar w:fldCharType="separate"/>
        </w:r>
        <w:r>
          <w:rPr>
            <w:webHidden/>
          </w:rPr>
          <w:t>124</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35" w:history="1">
        <w:r w:rsidRPr="0078257C">
          <w:rPr>
            <w:rStyle w:val="af2"/>
            <w:rFonts w:asciiTheme="minorEastAsia" w:hAnsiTheme="minorEastAsia" w:hint="eastAsia"/>
            <w:bCs/>
          </w:rPr>
          <w:t>十四、基金资产估值</w:t>
        </w:r>
        <w:r>
          <w:rPr>
            <w:webHidden/>
          </w:rPr>
          <w:tab/>
        </w:r>
        <w:r>
          <w:rPr>
            <w:webHidden/>
          </w:rPr>
          <w:fldChar w:fldCharType="begin"/>
        </w:r>
        <w:r>
          <w:rPr>
            <w:webHidden/>
          </w:rPr>
          <w:instrText xml:space="preserve"> PAGEREF _Toc34834735 \h </w:instrText>
        </w:r>
        <w:r>
          <w:rPr>
            <w:webHidden/>
          </w:rPr>
        </w:r>
        <w:r>
          <w:rPr>
            <w:webHidden/>
          </w:rPr>
          <w:fldChar w:fldCharType="separate"/>
        </w:r>
        <w:r>
          <w:rPr>
            <w:webHidden/>
          </w:rPr>
          <w:t>125</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36" w:history="1">
        <w:r w:rsidRPr="0078257C">
          <w:rPr>
            <w:rStyle w:val="af2"/>
            <w:rFonts w:asciiTheme="minorEastAsia" w:hAnsiTheme="minorEastAsia" w:hint="eastAsia"/>
          </w:rPr>
          <w:t>（一）估值目的</w:t>
        </w:r>
        <w:r>
          <w:rPr>
            <w:webHidden/>
          </w:rPr>
          <w:tab/>
        </w:r>
        <w:r>
          <w:rPr>
            <w:webHidden/>
          </w:rPr>
          <w:fldChar w:fldCharType="begin"/>
        </w:r>
        <w:r>
          <w:rPr>
            <w:webHidden/>
          </w:rPr>
          <w:instrText xml:space="preserve"> PAGEREF _Toc34834736 \h </w:instrText>
        </w:r>
        <w:r>
          <w:rPr>
            <w:webHidden/>
          </w:rPr>
        </w:r>
        <w:r>
          <w:rPr>
            <w:webHidden/>
          </w:rPr>
          <w:fldChar w:fldCharType="separate"/>
        </w:r>
        <w:r>
          <w:rPr>
            <w:webHidden/>
          </w:rPr>
          <w:t>125</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37" w:history="1">
        <w:r w:rsidRPr="0078257C">
          <w:rPr>
            <w:rStyle w:val="af2"/>
            <w:rFonts w:asciiTheme="minorEastAsia" w:hAnsiTheme="minorEastAsia" w:hint="eastAsia"/>
          </w:rPr>
          <w:t>（二）估值日</w:t>
        </w:r>
        <w:r>
          <w:rPr>
            <w:webHidden/>
          </w:rPr>
          <w:tab/>
        </w:r>
        <w:r>
          <w:rPr>
            <w:webHidden/>
          </w:rPr>
          <w:fldChar w:fldCharType="begin"/>
        </w:r>
        <w:r>
          <w:rPr>
            <w:webHidden/>
          </w:rPr>
          <w:instrText xml:space="preserve"> PAGEREF _Toc34834737 \h </w:instrText>
        </w:r>
        <w:r>
          <w:rPr>
            <w:webHidden/>
          </w:rPr>
        </w:r>
        <w:r>
          <w:rPr>
            <w:webHidden/>
          </w:rPr>
          <w:fldChar w:fldCharType="separate"/>
        </w:r>
        <w:r>
          <w:rPr>
            <w:webHidden/>
          </w:rPr>
          <w:t>125</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38" w:history="1">
        <w:r w:rsidRPr="0078257C">
          <w:rPr>
            <w:rStyle w:val="af2"/>
            <w:rFonts w:asciiTheme="minorEastAsia" w:hAnsiTheme="minorEastAsia" w:hint="eastAsia"/>
          </w:rPr>
          <w:t>（三）估值对象</w:t>
        </w:r>
        <w:r>
          <w:rPr>
            <w:webHidden/>
          </w:rPr>
          <w:tab/>
        </w:r>
        <w:r>
          <w:rPr>
            <w:webHidden/>
          </w:rPr>
          <w:fldChar w:fldCharType="begin"/>
        </w:r>
        <w:r>
          <w:rPr>
            <w:webHidden/>
          </w:rPr>
          <w:instrText xml:space="preserve"> PAGEREF _Toc34834738 \h </w:instrText>
        </w:r>
        <w:r>
          <w:rPr>
            <w:webHidden/>
          </w:rPr>
        </w:r>
        <w:r>
          <w:rPr>
            <w:webHidden/>
          </w:rPr>
          <w:fldChar w:fldCharType="separate"/>
        </w:r>
        <w:r>
          <w:rPr>
            <w:webHidden/>
          </w:rPr>
          <w:t>125</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39" w:history="1">
        <w:r w:rsidRPr="0078257C">
          <w:rPr>
            <w:rStyle w:val="af2"/>
            <w:rFonts w:asciiTheme="minorEastAsia" w:hAnsiTheme="minorEastAsia" w:hint="eastAsia"/>
          </w:rPr>
          <w:t>（四）估值程序</w:t>
        </w:r>
        <w:r>
          <w:rPr>
            <w:webHidden/>
          </w:rPr>
          <w:tab/>
        </w:r>
        <w:r>
          <w:rPr>
            <w:webHidden/>
          </w:rPr>
          <w:fldChar w:fldCharType="begin"/>
        </w:r>
        <w:r>
          <w:rPr>
            <w:webHidden/>
          </w:rPr>
          <w:instrText xml:space="preserve"> PAGEREF _Toc34834739 \h </w:instrText>
        </w:r>
        <w:r>
          <w:rPr>
            <w:webHidden/>
          </w:rPr>
        </w:r>
        <w:r>
          <w:rPr>
            <w:webHidden/>
          </w:rPr>
          <w:fldChar w:fldCharType="separate"/>
        </w:r>
        <w:r>
          <w:rPr>
            <w:webHidden/>
          </w:rPr>
          <w:t>125</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40" w:history="1">
        <w:r w:rsidRPr="0078257C">
          <w:rPr>
            <w:rStyle w:val="af2"/>
            <w:rFonts w:asciiTheme="minorEastAsia" w:hAnsiTheme="minorEastAsia" w:hint="eastAsia"/>
          </w:rPr>
          <w:t>（五）估值方法</w:t>
        </w:r>
        <w:r>
          <w:rPr>
            <w:webHidden/>
          </w:rPr>
          <w:tab/>
        </w:r>
        <w:r>
          <w:rPr>
            <w:webHidden/>
          </w:rPr>
          <w:fldChar w:fldCharType="begin"/>
        </w:r>
        <w:r>
          <w:rPr>
            <w:webHidden/>
          </w:rPr>
          <w:instrText xml:space="preserve"> PAGEREF _Toc34834740 \h </w:instrText>
        </w:r>
        <w:r>
          <w:rPr>
            <w:webHidden/>
          </w:rPr>
        </w:r>
        <w:r>
          <w:rPr>
            <w:webHidden/>
          </w:rPr>
          <w:fldChar w:fldCharType="separate"/>
        </w:r>
        <w:r>
          <w:rPr>
            <w:webHidden/>
          </w:rPr>
          <w:t>125</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41" w:history="1">
        <w:r w:rsidRPr="0078257C">
          <w:rPr>
            <w:rStyle w:val="af2"/>
            <w:rFonts w:asciiTheme="minorEastAsia" w:hAnsiTheme="minorEastAsia" w:hint="eastAsia"/>
          </w:rPr>
          <w:t>（六）基金份额净值的确认和估值错误的处理</w:t>
        </w:r>
        <w:r>
          <w:rPr>
            <w:webHidden/>
          </w:rPr>
          <w:tab/>
        </w:r>
        <w:r>
          <w:rPr>
            <w:webHidden/>
          </w:rPr>
          <w:fldChar w:fldCharType="begin"/>
        </w:r>
        <w:r>
          <w:rPr>
            <w:webHidden/>
          </w:rPr>
          <w:instrText xml:space="preserve"> PAGEREF _Toc34834741 \h </w:instrText>
        </w:r>
        <w:r>
          <w:rPr>
            <w:webHidden/>
          </w:rPr>
        </w:r>
        <w:r>
          <w:rPr>
            <w:webHidden/>
          </w:rPr>
          <w:fldChar w:fldCharType="separate"/>
        </w:r>
        <w:r>
          <w:rPr>
            <w:webHidden/>
          </w:rPr>
          <w:t>126</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42" w:history="1">
        <w:r w:rsidRPr="0078257C">
          <w:rPr>
            <w:rStyle w:val="af2"/>
            <w:rFonts w:asciiTheme="minorEastAsia" w:hAnsiTheme="minorEastAsia" w:hint="eastAsia"/>
          </w:rPr>
          <w:t>（七）暂停估值的情形</w:t>
        </w:r>
        <w:r>
          <w:rPr>
            <w:webHidden/>
          </w:rPr>
          <w:tab/>
        </w:r>
        <w:r>
          <w:rPr>
            <w:webHidden/>
          </w:rPr>
          <w:fldChar w:fldCharType="begin"/>
        </w:r>
        <w:r>
          <w:rPr>
            <w:webHidden/>
          </w:rPr>
          <w:instrText xml:space="preserve"> PAGEREF _Toc34834742 \h </w:instrText>
        </w:r>
        <w:r>
          <w:rPr>
            <w:webHidden/>
          </w:rPr>
        </w:r>
        <w:r>
          <w:rPr>
            <w:webHidden/>
          </w:rPr>
          <w:fldChar w:fldCharType="separate"/>
        </w:r>
        <w:r>
          <w:rPr>
            <w:webHidden/>
          </w:rPr>
          <w:t>128</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43" w:history="1">
        <w:r w:rsidRPr="0078257C">
          <w:rPr>
            <w:rStyle w:val="af2"/>
            <w:rFonts w:asciiTheme="minorEastAsia" w:hAnsiTheme="minorEastAsia" w:hint="eastAsia"/>
          </w:rPr>
          <w:t>（八）特殊情形的处理</w:t>
        </w:r>
        <w:r>
          <w:rPr>
            <w:webHidden/>
          </w:rPr>
          <w:tab/>
        </w:r>
        <w:r>
          <w:rPr>
            <w:webHidden/>
          </w:rPr>
          <w:fldChar w:fldCharType="begin"/>
        </w:r>
        <w:r>
          <w:rPr>
            <w:webHidden/>
          </w:rPr>
          <w:instrText xml:space="preserve"> PAGEREF _Toc34834743 \h </w:instrText>
        </w:r>
        <w:r>
          <w:rPr>
            <w:webHidden/>
          </w:rPr>
        </w:r>
        <w:r>
          <w:rPr>
            <w:webHidden/>
          </w:rPr>
          <w:fldChar w:fldCharType="separate"/>
        </w:r>
        <w:r>
          <w:rPr>
            <w:webHidden/>
          </w:rPr>
          <w:t>128</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44" w:history="1">
        <w:r w:rsidRPr="0078257C">
          <w:rPr>
            <w:rStyle w:val="af2"/>
            <w:rFonts w:asciiTheme="minorEastAsia" w:hAnsiTheme="minorEastAsia" w:hint="eastAsia"/>
            <w:bCs/>
          </w:rPr>
          <w:t>十五、基金的收益与分配</w:t>
        </w:r>
        <w:r>
          <w:rPr>
            <w:webHidden/>
          </w:rPr>
          <w:tab/>
        </w:r>
        <w:r>
          <w:rPr>
            <w:webHidden/>
          </w:rPr>
          <w:fldChar w:fldCharType="begin"/>
        </w:r>
        <w:r>
          <w:rPr>
            <w:webHidden/>
          </w:rPr>
          <w:instrText xml:space="preserve"> PAGEREF _Toc34834744 \h </w:instrText>
        </w:r>
        <w:r>
          <w:rPr>
            <w:webHidden/>
          </w:rPr>
        </w:r>
        <w:r>
          <w:rPr>
            <w:webHidden/>
          </w:rPr>
          <w:fldChar w:fldCharType="separate"/>
        </w:r>
        <w:r>
          <w:rPr>
            <w:webHidden/>
          </w:rPr>
          <w:t>129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45" w:history="1">
        <w:r w:rsidRPr="0078257C">
          <w:rPr>
            <w:rStyle w:val="af2"/>
            <w:rFonts w:asciiTheme="minorEastAsia" w:hAnsiTheme="minorEastAsia" w:hint="eastAsia"/>
          </w:rPr>
          <w:t>（一）基金利润的构成</w:t>
        </w:r>
        <w:r>
          <w:rPr>
            <w:webHidden/>
          </w:rPr>
          <w:tab/>
        </w:r>
        <w:r>
          <w:rPr>
            <w:webHidden/>
          </w:rPr>
          <w:fldChar w:fldCharType="begin"/>
        </w:r>
        <w:r>
          <w:rPr>
            <w:webHidden/>
          </w:rPr>
          <w:instrText xml:space="preserve"> PAGEREF _Toc34834745 \h </w:instrText>
        </w:r>
        <w:r>
          <w:rPr>
            <w:webHidden/>
          </w:rPr>
        </w:r>
        <w:r>
          <w:rPr>
            <w:webHidden/>
          </w:rPr>
          <w:fldChar w:fldCharType="separate"/>
        </w:r>
        <w:r>
          <w:rPr>
            <w:webHidden/>
          </w:rPr>
          <w:t>129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46" w:history="1">
        <w:r w:rsidRPr="0078257C">
          <w:rPr>
            <w:rStyle w:val="af2"/>
            <w:rFonts w:asciiTheme="minorEastAsia" w:hAnsiTheme="minorEastAsia" w:hint="eastAsia"/>
          </w:rPr>
          <w:t>（二）基金可供分配利润</w:t>
        </w:r>
        <w:r>
          <w:rPr>
            <w:webHidden/>
          </w:rPr>
          <w:tab/>
        </w:r>
        <w:r>
          <w:rPr>
            <w:webHidden/>
          </w:rPr>
          <w:fldChar w:fldCharType="begin"/>
        </w:r>
        <w:r>
          <w:rPr>
            <w:webHidden/>
          </w:rPr>
          <w:instrText xml:space="preserve"> PAGEREF _Toc34834746 \h </w:instrText>
        </w:r>
        <w:r>
          <w:rPr>
            <w:webHidden/>
          </w:rPr>
        </w:r>
        <w:r>
          <w:rPr>
            <w:webHidden/>
          </w:rPr>
          <w:fldChar w:fldCharType="separate"/>
        </w:r>
        <w:r>
          <w:rPr>
            <w:webHidden/>
          </w:rPr>
          <w:t>129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47" w:history="1">
        <w:r w:rsidRPr="0078257C">
          <w:rPr>
            <w:rStyle w:val="af2"/>
            <w:rFonts w:asciiTheme="minorEastAsia" w:hAnsiTheme="minorEastAsia" w:hint="eastAsia"/>
          </w:rPr>
          <w:t>（三）基金收益分配原则</w:t>
        </w:r>
        <w:r>
          <w:rPr>
            <w:webHidden/>
          </w:rPr>
          <w:tab/>
        </w:r>
        <w:r>
          <w:rPr>
            <w:webHidden/>
          </w:rPr>
          <w:fldChar w:fldCharType="begin"/>
        </w:r>
        <w:r>
          <w:rPr>
            <w:webHidden/>
          </w:rPr>
          <w:instrText xml:space="preserve"> PAGEREF _Toc34834747 \h </w:instrText>
        </w:r>
        <w:r>
          <w:rPr>
            <w:webHidden/>
          </w:rPr>
        </w:r>
        <w:r>
          <w:rPr>
            <w:webHidden/>
          </w:rPr>
          <w:fldChar w:fldCharType="separate"/>
        </w:r>
        <w:r>
          <w:rPr>
            <w:webHidden/>
          </w:rPr>
          <w:t>129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48" w:history="1">
        <w:r w:rsidRPr="0078257C">
          <w:rPr>
            <w:rStyle w:val="af2"/>
            <w:rFonts w:asciiTheme="minorEastAsia" w:hAnsiTheme="minorEastAsia" w:hint="eastAsia"/>
          </w:rPr>
          <w:t>（四）收益分配方案</w:t>
        </w:r>
        <w:r>
          <w:rPr>
            <w:webHidden/>
          </w:rPr>
          <w:tab/>
        </w:r>
        <w:r>
          <w:rPr>
            <w:webHidden/>
          </w:rPr>
          <w:fldChar w:fldCharType="begin"/>
        </w:r>
        <w:r>
          <w:rPr>
            <w:webHidden/>
          </w:rPr>
          <w:instrText xml:space="preserve"> PAGEREF _Toc34834748 \h </w:instrText>
        </w:r>
        <w:r>
          <w:rPr>
            <w:webHidden/>
          </w:rPr>
        </w:r>
        <w:r>
          <w:rPr>
            <w:webHidden/>
          </w:rPr>
          <w:fldChar w:fldCharType="separate"/>
        </w:r>
        <w:r>
          <w:rPr>
            <w:webHidden/>
          </w:rPr>
          <w:t>129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49" w:history="1">
        <w:r w:rsidRPr="0078257C">
          <w:rPr>
            <w:rStyle w:val="af2"/>
            <w:rFonts w:asciiTheme="minorEastAsia" w:hAnsiTheme="minorEastAsia" w:hint="eastAsia"/>
          </w:rPr>
          <w:t>（五）收益分配方案的确定、公告与实施</w:t>
        </w:r>
        <w:r>
          <w:rPr>
            <w:webHidden/>
          </w:rPr>
          <w:tab/>
        </w:r>
        <w:r>
          <w:rPr>
            <w:webHidden/>
          </w:rPr>
          <w:fldChar w:fldCharType="begin"/>
        </w:r>
        <w:r>
          <w:rPr>
            <w:webHidden/>
          </w:rPr>
          <w:instrText xml:space="preserve"> PAGEREF _Toc34834749 \h </w:instrText>
        </w:r>
        <w:r>
          <w:rPr>
            <w:webHidden/>
          </w:rPr>
        </w:r>
        <w:r>
          <w:rPr>
            <w:webHidden/>
          </w:rPr>
          <w:fldChar w:fldCharType="separate"/>
        </w:r>
        <w:r>
          <w:rPr>
            <w:webHidden/>
          </w:rPr>
          <w:t>129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50" w:history="1">
        <w:r w:rsidRPr="0078257C">
          <w:rPr>
            <w:rStyle w:val="af2"/>
            <w:rFonts w:asciiTheme="minorEastAsia" w:hAnsiTheme="minorEastAsia" w:hint="eastAsia"/>
          </w:rPr>
          <w:t>（六）基金收益分配中发生的费用</w:t>
        </w:r>
        <w:r>
          <w:rPr>
            <w:webHidden/>
          </w:rPr>
          <w:tab/>
        </w:r>
        <w:r>
          <w:rPr>
            <w:webHidden/>
          </w:rPr>
          <w:fldChar w:fldCharType="begin"/>
        </w:r>
        <w:r>
          <w:rPr>
            <w:webHidden/>
          </w:rPr>
          <w:instrText xml:space="preserve"> PAGEREF _Toc34834750 \h </w:instrText>
        </w:r>
        <w:r>
          <w:rPr>
            <w:webHidden/>
          </w:rPr>
        </w:r>
        <w:r>
          <w:rPr>
            <w:webHidden/>
          </w:rPr>
          <w:fldChar w:fldCharType="separate"/>
        </w:r>
        <w:r>
          <w:rPr>
            <w:webHidden/>
          </w:rPr>
          <w:t>129</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51" w:history="1">
        <w:r w:rsidRPr="0078257C">
          <w:rPr>
            <w:rStyle w:val="af2"/>
            <w:rFonts w:asciiTheme="minorEastAsia" w:hAnsiTheme="minorEastAsia" w:hint="eastAsia"/>
            <w:bCs/>
          </w:rPr>
          <w:t>十六、基金的费用与税收</w:t>
        </w:r>
        <w:r>
          <w:rPr>
            <w:webHidden/>
          </w:rPr>
          <w:tab/>
        </w:r>
        <w:r>
          <w:rPr>
            <w:webHidden/>
          </w:rPr>
          <w:fldChar w:fldCharType="begin"/>
        </w:r>
        <w:r>
          <w:rPr>
            <w:webHidden/>
          </w:rPr>
          <w:instrText xml:space="preserve"> PAGEREF _Toc34834751 \h </w:instrText>
        </w:r>
        <w:r>
          <w:rPr>
            <w:webHidden/>
          </w:rPr>
        </w:r>
        <w:r>
          <w:rPr>
            <w:webHidden/>
          </w:rPr>
          <w:fldChar w:fldCharType="separate"/>
        </w:r>
        <w:r>
          <w:rPr>
            <w:webHidden/>
          </w:rPr>
          <w:t>130</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52" w:history="1">
        <w:r w:rsidRPr="0078257C">
          <w:rPr>
            <w:rStyle w:val="af2"/>
            <w:rFonts w:asciiTheme="minorEastAsia" w:hAnsiTheme="minorEastAsia" w:hint="eastAsia"/>
          </w:rPr>
          <w:t>（一）与基金运作相关的费用</w:t>
        </w:r>
        <w:r>
          <w:rPr>
            <w:webHidden/>
          </w:rPr>
          <w:tab/>
        </w:r>
        <w:r>
          <w:rPr>
            <w:webHidden/>
          </w:rPr>
          <w:fldChar w:fldCharType="begin"/>
        </w:r>
        <w:r>
          <w:rPr>
            <w:webHidden/>
          </w:rPr>
          <w:instrText xml:space="preserve"> PAGEREF _Toc34834752 \h </w:instrText>
        </w:r>
        <w:r>
          <w:rPr>
            <w:webHidden/>
          </w:rPr>
        </w:r>
        <w:r>
          <w:rPr>
            <w:webHidden/>
          </w:rPr>
          <w:fldChar w:fldCharType="separate"/>
        </w:r>
        <w:r>
          <w:rPr>
            <w:webHidden/>
          </w:rPr>
          <w:t>130</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53" w:history="1">
        <w:r w:rsidRPr="0078257C">
          <w:rPr>
            <w:rStyle w:val="af2"/>
            <w:rFonts w:asciiTheme="minorEastAsia" w:hAnsiTheme="minorEastAsia" w:hint="eastAsia"/>
          </w:rPr>
          <w:t>（二）与基金销售有关的费用</w:t>
        </w:r>
        <w:r>
          <w:rPr>
            <w:webHidden/>
          </w:rPr>
          <w:tab/>
        </w:r>
        <w:r>
          <w:rPr>
            <w:webHidden/>
          </w:rPr>
          <w:fldChar w:fldCharType="begin"/>
        </w:r>
        <w:r>
          <w:rPr>
            <w:webHidden/>
          </w:rPr>
          <w:instrText xml:space="preserve"> PAGEREF _Toc34834753 \h </w:instrText>
        </w:r>
        <w:r>
          <w:rPr>
            <w:webHidden/>
          </w:rPr>
        </w:r>
        <w:r>
          <w:rPr>
            <w:webHidden/>
          </w:rPr>
          <w:fldChar w:fldCharType="separate"/>
        </w:r>
        <w:r>
          <w:rPr>
            <w:webHidden/>
          </w:rPr>
          <w:t>132</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54" w:history="1">
        <w:r w:rsidRPr="0078257C">
          <w:rPr>
            <w:rStyle w:val="af2"/>
            <w:rFonts w:asciiTheme="minorEastAsia" w:hAnsiTheme="minorEastAsia" w:hint="eastAsia"/>
          </w:rPr>
          <w:t>（三）基金税收</w:t>
        </w:r>
        <w:r>
          <w:rPr>
            <w:webHidden/>
          </w:rPr>
          <w:tab/>
        </w:r>
        <w:r>
          <w:rPr>
            <w:webHidden/>
          </w:rPr>
          <w:fldChar w:fldCharType="begin"/>
        </w:r>
        <w:r>
          <w:rPr>
            <w:webHidden/>
          </w:rPr>
          <w:instrText xml:space="preserve"> PAGEREF _Toc34834754 \h </w:instrText>
        </w:r>
        <w:r>
          <w:rPr>
            <w:webHidden/>
          </w:rPr>
        </w:r>
        <w:r>
          <w:rPr>
            <w:webHidden/>
          </w:rPr>
          <w:fldChar w:fldCharType="separate"/>
        </w:r>
        <w:r>
          <w:rPr>
            <w:webHidden/>
          </w:rPr>
          <w:t>132</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55" w:history="1">
        <w:r w:rsidRPr="0078257C">
          <w:rPr>
            <w:rStyle w:val="af2"/>
            <w:rFonts w:asciiTheme="minorEastAsia" w:hAnsiTheme="minorEastAsia" w:hint="eastAsia"/>
            <w:bCs/>
          </w:rPr>
          <w:t>十七、基金的会计与审计</w:t>
        </w:r>
        <w:r>
          <w:rPr>
            <w:webHidden/>
          </w:rPr>
          <w:tab/>
        </w:r>
        <w:r>
          <w:rPr>
            <w:webHidden/>
          </w:rPr>
          <w:fldChar w:fldCharType="begin"/>
        </w:r>
        <w:r>
          <w:rPr>
            <w:webHidden/>
          </w:rPr>
          <w:instrText xml:space="preserve"> PAGEREF _Toc34834755 \h </w:instrText>
        </w:r>
        <w:r>
          <w:rPr>
            <w:webHidden/>
          </w:rPr>
        </w:r>
        <w:r>
          <w:rPr>
            <w:webHidden/>
          </w:rPr>
          <w:fldChar w:fldCharType="separate"/>
        </w:r>
        <w:r>
          <w:rPr>
            <w:webHidden/>
          </w:rPr>
          <w:t>133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56" w:history="1">
        <w:r w:rsidRPr="0078257C">
          <w:rPr>
            <w:rStyle w:val="af2"/>
            <w:rFonts w:asciiTheme="minorEastAsia" w:hAnsiTheme="minorEastAsia" w:hint="eastAsia"/>
          </w:rPr>
          <w:t>（一）基金会计政策</w:t>
        </w:r>
        <w:r>
          <w:rPr>
            <w:webHidden/>
          </w:rPr>
          <w:tab/>
        </w:r>
        <w:r>
          <w:rPr>
            <w:webHidden/>
          </w:rPr>
          <w:fldChar w:fldCharType="begin"/>
        </w:r>
        <w:r>
          <w:rPr>
            <w:webHidden/>
          </w:rPr>
          <w:instrText xml:space="preserve"> PAGEREF _Toc34834756 \h </w:instrText>
        </w:r>
        <w:r>
          <w:rPr>
            <w:webHidden/>
          </w:rPr>
        </w:r>
        <w:r>
          <w:rPr>
            <w:webHidden/>
          </w:rPr>
          <w:fldChar w:fldCharType="separate"/>
        </w:r>
        <w:r>
          <w:rPr>
            <w:webHidden/>
          </w:rPr>
          <w:t>133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57" w:history="1">
        <w:r w:rsidRPr="0078257C">
          <w:rPr>
            <w:rStyle w:val="af2"/>
            <w:rFonts w:asciiTheme="minorEastAsia" w:hAnsiTheme="minorEastAsia" w:hint="eastAsia"/>
          </w:rPr>
          <w:t>（二）基金年度审计</w:t>
        </w:r>
        <w:r>
          <w:rPr>
            <w:webHidden/>
          </w:rPr>
          <w:tab/>
        </w:r>
        <w:r>
          <w:rPr>
            <w:webHidden/>
          </w:rPr>
          <w:fldChar w:fldCharType="begin"/>
        </w:r>
        <w:r>
          <w:rPr>
            <w:webHidden/>
          </w:rPr>
          <w:instrText xml:space="preserve"> PAGEREF _Toc34834757 \h </w:instrText>
        </w:r>
        <w:r>
          <w:rPr>
            <w:webHidden/>
          </w:rPr>
        </w:r>
        <w:r>
          <w:rPr>
            <w:webHidden/>
          </w:rPr>
          <w:fldChar w:fldCharType="separate"/>
        </w:r>
        <w:r>
          <w:rPr>
            <w:webHidden/>
          </w:rPr>
          <w:t>133</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58" w:history="1">
        <w:r w:rsidRPr="0078257C">
          <w:rPr>
            <w:rStyle w:val="af2"/>
            <w:rFonts w:asciiTheme="minorEastAsia" w:hAnsiTheme="minorEastAsia" w:hint="eastAsia"/>
            <w:bCs/>
          </w:rPr>
          <w:t>十八、基金的信息披露</w:t>
        </w:r>
        <w:r>
          <w:rPr>
            <w:webHidden/>
          </w:rPr>
          <w:tab/>
        </w:r>
        <w:r>
          <w:rPr>
            <w:webHidden/>
          </w:rPr>
          <w:fldChar w:fldCharType="begin"/>
        </w:r>
        <w:r>
          <w:rPr>
            <w:webHidden/>
          </w:rPr>
          <w:instrText xml:space="preserve"> PAGEREF _Toc34834758 \h </w:instrText>
        </w:r>
        <w:r>
          <w:rPr>
            <w:webHidden/>
          </w:rPr>
        </w:r>
        <w:r>
          <w:rPr>
            <w:webHidden/>
          </w:rPr>
          <w:fldChar w:fldCharType="separate"/>
        </w:r>
        <w:r>
          <w:rPr>
            <w:webHidden/>
          </w:rPr>
          <w:t>134</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59" w:history="1">
        <w:r w:rsidRPr="0078257C">
          <w:rPr>
            <w:rStyle w:val="af2"/>
            <w:rFonts w:asciiTheme="minorEastAsia" w:hAnsiTheme="minorEastAsia" w:hint="eastAsia"/>
            <w:bCs/>
          </w:rPr>
          <w:t>十九、风险揭示</w:t>
        </w:r>
        <w:r>
          <w:rPr>
            <w:webHidden/>
          </w:rPr>
          <w:tab/>
        </w:r>
        <w:r>
          <w:rPr>
            <w:webHidden/>
          </w:rPr>
          <w:fldChar w:fldCharType="begin"/>
        </w:r>
        <w:r>
          <w:rPr>
            <w:webHidden/>
          </w:rPr>
          <w:instrText xml:space="preserve"> PAGEREF _Toc34834759 \h </w:instrText>
        </w:r>
        <w:r>
          <w:rPr>
            <w:webHidden/>
          </w:rPr>
        </w:r>
        <w:r>
          <w:rPr>
            <w:webHidden/>
          </w:rPr>
          <w:fldChar w:fldCharType="separate"/>
        </w:r>
        <w:r>
          <w:rPr>
            <w:webHidden/>
          </w:rPr>
          <w:t>139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60" w:history="1">
        <w:r w:rsidRPr="0078257C">
          <w:rPr>
            <w:rStyle w:val="af2"/>
            <w:rFonts w:asciiTheme="minorEastAsia" w:hAnsiTheme="minorEastAsia" w:hint="eastAsia"/>
          </w:rPr>
          <w:t>（一）市场风险</w:t>
        </w:r>
        <w:r>
          <w:rPr>
            <w:webHidden/>
          </w:rPr>
          <w:tab/>
        </w:r>
        <w:r>
          <w:rPr>
            <w:webHidden/>
          </w:rPr>
          <w:fldChar w:fldCharType="begin"/>
        </w:r>
        <w:r>
          <w:rPr>
            <w:webHidden/>
          </w:rPr>
          <w:instrText xml:space="preserve"> PAGEREF _Toc34834760 \h </w:instrText>
        </w:r>
        <w:r>
          <w:rPr>
            <w:webHidden/>
          </w:rPr>
        </w:r>
        <w:r>
          <w:rPr>
            <w:webHidden/>
          </w:rPr>
          <w:fldChar w:fldCharType="separate"/>
        </w:r>
        <w:r>
          <w:rPr>
            <w:webHidden/>
          </w:rPr>
          <w:t>139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61" w:history="1">
        <w:r w:rsidRPr="0078257C">
          <w:rPr>
            <w:rStyle w:val="af2"/>
            <w:rFonts w:asciiTheme="minorEastAsia" w:hAnsiTheme="minorEastAsia" w:hint="eastAsia"/>
          </w:rPr>
          <w:t>（二）本基金特有的风险</w:t>
        </w:r>
        <w:r>
          <w:rPr>
            <w:webHidden/>
          </w:rPr>
          <w:tab/>
        </w:r>
        <w:r>
          <w:rPr>
            <w:webHidden/>
          </w:rPr>
          <w:fldChar w:fldCharType="begin"/>
        </w:r>
        <w:r>
          <w:rPr>
            <w:webHidden/>
          </w:rPr>
          <w:instrText xml:space="preserve"> PAGEREF _Toc34834761 \h </w:instrText>
        </w:r>
        <w:r>
          <w:rPr>
            <w:webHidden/>
          </w:rPr>
        </w:r>
        <w:r>
          <w:rPr>
            <w:webHidden/>
          </w:rPr>
          <w:fldChar w:fldCharType="separate"/>
        </w:r>
        <w:r>
          <w:rPr>
            <w:webHidden/>
          </w:rPr>
          <w:t>139</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62" w:history="1">
        <w:r w:rsidRPr="0078257C">
          <w:rPr>
            <w:rStyle w:val="af2"/>
            <w:rFonts w:asciiTheme="minorEastAsia" w:hAnsiTheme="minorEastAsia" w:hint="eastAsia"/>
          </w:rPr>
          <w:t>（三）流动性风险</w:t>
        </w:r>
        <w:r>
          <w:rPr>
            <w:webHidden/>
          </w:rPr>
          <w:tab/>
        </w:r>
        <w:r>
          <w:rPr>
            <w:webHidden/>
          </w:rPr>
          <w:fldChar w:fldCharType="begin"/>
        </w:r>
        <w:r>
          <w:rPr>
            <w:webHidden/>
          </w:rPr>
          <w:instrText xml:space="preserve"> PAGEREF _Toc34834762 \h </w:instrText>
        </w:r>
        <w:r>
          <w:rPr>
            <w:webHidden/>
          </w:rPr>
        </w:r>
        <w:r>
          <w:rPr>
            <w:webHidden/>
          </w:rPr>
          <w:fldChar w:fldCharType="separate"/>
        </w:r>
        <w:r>
          <w:rPr>
            <w:webHidden/>
          </w:rPr>
          <w:t>140</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63" w:history="1">
        <w:r w:rsidRPr="0078257C">
          <w:rPr>
            <w:rStyle w:val="af2"/>
            <w:rFonts w:asciiTheme="minorEastAsia" w:hAnsiTheme="minorEastAsia" w:hint="eastAsia"/>
          </w:rPr>
          <w:t>（四）本基金法律文件中涉及基金风险特征的表述与销售机构对基金的风险评级可能不一致的风险</w:t>
        </w:r>
        <w:r>
          <w:rPr>
            <w:webHidden/>
          </w:rPr>
          <w:tab/>
        </w:r>
        <w:r>
          <w:rPr>
            <w:webHidden/>
          </w:rPr>
          <w:fldChar w:fldCharType="begin"/>
        </w:r>
        <w:r>
          <w:rPr>
            <w:webHidden/>
          </w:rPr>
          <w:instrText xml:space="preserve"> PAGEREF _Toc34834763 \h </w:instrText>
        </w:r>
        <w:r>
          <w:rPr>
            <w:webHidden/>
          </w:rPr>
        </w:r>
        <w:r>
          <w:rPr>
            <w:webHidden/>
          </w:rPr>
          <w:fldChar w:fldCharType="separate"/>
        </w:r>
        <w:r>
          <w:rPr>
            <w:webHidden/>
          </w:rPr>
          <w:t>142</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64" w:history="1">
        <w:r w:rsidRPr="0078257C">
          <w:rPr>
            <w:rStyle w:val="af2"/>
            <w:rFonts w:asciiTheme="minorEastAsia" w:hAnsiTheme="minorEastAsia" w:hint="eastAsia"/>
          </w:rPr>
          <w:t>（五）管理风险</w:t>
        </w:r>
        <w:r>
          <w:rPr>
            <w:webHidden/>
          </w:rPr>
          <w:tab/>
        </w:r>
        <w:r>
          <w:rPr>
            <w:webHidden/>
          </w:rPr>
          <w:fldChar w:fldCharType="begin"/>
        </w:r>
        <w:r>
          <w:rPr>
            <w:webHidden/>
          </w:rPr>
          <w:instrText xml:space="preserve"> PAGEREF _Toc34834764 \h </w:instrText>
        </w:r>
        <w:r>
          <w:rPr>
            <w:webHidden/>
          </w:rPr>
        </w:r>
        <w:r>
          <w:rPr>
            <w:webHidden/>
          </w:rPr>
          <w:fldChar w:fldCharType="separate"/>
        </w:r>
        <w:r>
          <w:rPr>
            <w:webHidden/>
          </w:rPr>
          <w:t>142</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65" w:history="1">
        <w:r w:rsidRPr="0078257C">
          <w:rPr>
            <w:rStyle w:val="af2"/>
            <w:rFonts w:asciiTheme="minorEastAsia" w:hAnsiTheme="minorEastAsia" w:hint="eastAsia"/>
          </w:rPr>
          <w:t>（六）其他风险</w:t>
        </w:r>
        <w:r>
          <w:rPr>
            <w:webHidden/>
          </w:rPr>
          <w:tab/>
        </w:r>
        <w:r>
          <w:rPr>
            <w:webHidden/>
          </w:rPr>
          <w:fldChar w:fldCharType="begin"/>
        </w:r>
        <w:r>
          <w:rPr>
            <w:webHidden/>
          </w:rPr>
          <w:instrText xml:space="preserve"> PAGEREF _Toc34834765 \h </w:instrText>
        </w:r>
        <w:r>
          <w:rPr>
            <w:webHidden/>
          </w:rPr>
        </w:r>
        <w:r>
          <w:rPr>
            <w:webHidden/>
          </w:rPr>
          <w:fldChar w:fldCharType="separate"/>
        </w:r>
        <w:r>
          <w:rPr>
            <w:webHidden/>
          </w:rPr>
          <w:t>142</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66" w:history="1">
        <w:r w:rsidRPr="0078257C">
          <w:rPr>
            <w:rStyle w:val="af2"/>
            <w:rFonts w:asciiTheme="minorEastAsia" w:hAnsiTheme="minorEastAsia" w:hint="eastAsia"/>
            <w:bCs/>
          </w:rPr>
          <w:t>二十、基金合同的变更、终止与基金财产的清算</w:t>
        </w:r>
        <w:r>
          <w:rPr>
            <w:webHidden/>
          </w:rPr>
          <w:tab/>
        </w:r>
        <w:r>
          <w:rPr>
            <w:webHidden/>
          </w:rPr>
          <w:fldChar w:fldCharType="begin"/>
        </w:r>
        <w:r>
          <w:rPr>
            <w:webHidden/>
          </w:rPr>
          <w:instrText xml:space="preserve"> PAGEREF _Toc34834766 \h </w:instrText>
        </w:r>
        <w:r>
          <w:rPr>
            <w:webHidden/>
          </w:rPr>
        </w:r>
        <w:r>
          <w:rPr>
            <w:webHidden/>
          </w:rPr>
          <w:fldChar w:fldCharType="separate"/>
        </w:r>
        <w:r>
          <w:rPr>
            <w:webHidden/>
          </w:rPr>
          <w:t>143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67" w:history="1">
        <w:r w:rsidRPr="0078257C">
          <w:rPr>
            <w:rStyle w:val="af2"/>
            <w:rFonts w:asciiTheme="minorEastAsia" w:hAnsiTheme="minorEastAsia" w:hint="eastAsia"/>
          </w:rPr>
          <w:t>（一）《基金合同》的变更</w:t>
        </w:r>
        <w:r>
          <w:rPr>
            <w:webHidden/>
          </w:rPr>
          <w:tab/>
        </w:r>
        <w:r>
          <w:rPr>
            <w:webHidden/>
          </w:rPr>
          <w:fldChar w:fldCharType="begin"/>
        </w:r>
        <w:r>
          <w:rPr>
            <w:webHidden/>
          </w:rPr>
          <w:instrText xml:space="preserve"> PAGEREF _Toc34834767 \h </w:instrText>
        </w:r>
        <w:r>
          <w:rPr>
            <w:webHidden/>
          </w:rPr>
        </w:r>
        <w:r>
          <w:rPr>
            <w:webHidden/>
          </w:rPr>
          <w:fldChar w:fldCharType="separate"/>
        </w:r>
        <w:r>
          <w:rPr>
            <w:webHidden/>
          </w:rPr>
          <w:t>143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68" w:history="1">
        <w:r w:rsidRPr="0078257C">
          <w:rPr>
            <w:rStyle w:val="af2"/>
            <w:rFonts w:asciiTheme="minorEastAsia" w:hAnsiTheme="minorEastAsia" w:hint="eastAsia"/>
          </w:rPr>
          <w:t>（二）《基金合同》的终止</w:t>
        </w:r>
        <w:r>
          <w:rPr>
            <w:webHidden/>
          </w:rPr>
          <w:tab/>
        </w:r>
        <w:r>
          <w:rPr>
            <w:webHidden/>
          </w:rPr>
          <w:fldChar w:fldCharType="begin"/>
        </w:r>
        <w:r>
          <w:rPr>
            <w:webHidden/>
          </w:rPr>
          <w:instrText xml:space="preserve"> PAGEREF _Toc34834768 \h </w:instrText>
        </w:r>
        <w:r>
          <w:rPr>
            <w:webHidden/>
          </w:rPr>
        </w:r>
        <w:r>
          <w:rPr>
            <w:webHidden/>
          </w:rPr>
          <w:fldChar w:fldCharType="separate"/>
        </w:r>
        <w:r>
          <w:rPr>
            <w:webHidden/>
          </w:rPr>
          <w:t>143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69" w:history="1">
        <w:r w:rsidRPr="0078257C">
          <w:rPr>
            <w:rStyle w:val="af2"/>
            <w:rFonts w:asciiTheme="minorEastAsia" w:hAnsiTheme="minorEastAsia" w:hint="eastAsia"/>
          </w:rPr>
          <w:t>（三）基金财产的清算</w:t>
        </w:r>
        <w:r>
          <w:rPr>
            <w:webHidden/>
          </w:rPr>
          <w:tab/>
        </w:r>
        <w:r>
          <w:rPr>
            <w:webHidden/>
          </w:rPr>
          <w:fldChar w:fldCharType="begin"/>
        </w:r>
        <w:r>
          <w:rPr>
            <w:webHidden/>
          </w:rPr>
          <w:instrText xml:space="preserve"> PAGEREF _Toc34834769 \h </w:instrText>
        </w:r>
        <w:r>
          <w:rPr>
            <w:webHidden/>
          </w:rPr>
        </w:r>
        <w:r>
          <w:rPr>
            <w:webHidden/>
          </w:rPr>
          <w:fldChar w:fldCharType="separate"/>
        </w:r>
        <w:r>
          <w:rPr>
            <w:webHidden/>
          </w:rPr>
          <w:t>143</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70" w:history="1">
        <w:r w:rsidRPr="0078257C">
          <w:rPr>
            <w:rStyle w:val="af2"/>
            <w:rFonts w:asciiTheme="minorEastAsia" w:hAnsiTheme="minorEastAsia" w:hint="eastAsia"/>
          </w:rPr>
          <w:t>（四）清算费用</w:t>
        </w:r>
        <w:r>
          <w:rPr>
            <w:webHidden/>
          </w:rPr>
          <w:tab/>
        </w:r>
        <w:r>
          <w:rPr>
            <w:webHidden/>
          </w:rPr>
          <w:fldChar w:fldCharType="begin"/>
        </w:r>
        <w:r>
          <w:rPr>
            <w:webHidden/>
          </w:rPr>
          <w:instrText xml:space="preserve"> PAGEREF _Toc34834770 \h </w:instrText>
        </w:r>
        <w:r>
          <w:rPr>
            <w:webHidden/>
          </w:rPr>
        </w:r>
        <w:r>
          <w:rPr>
            <w:webHidden/>
          </w:rPr>
          <w:fldChar w:fldCharType="separate"/>
        </w:r>
        <w:r>
          <w:rPr>
            <w:webHidden/>
          </w:rPr>
          <w:t>144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71" w:history="1">
        <w:r w:rsidRPr="0078257C">
          <w:rPr>
            <w:rStyle w:val="af2"/>
            <w:rFonts w:asciiTheme="minorEastAsia" w:hAnsiTheme="minorEastAsia" w:hint="eastAsia"/>
          </w:rPr>
          <w:t>（五）基金财产清算剩余资产的分配</w:t>
        </w:r>
        <w:r>
          <w:rPr>
            <w:webHidden/>
          </w:rPr>
          <w:tab/>
        </w:r>
        <w:r>
          <w:rPr>
            <w:webHidden/>
          </w:rPr>
          <w:fldChar w:fldCharType="begin"/>
        </w:r>
        <w:r>
          <w:rPr>
            <w:webHidden/>
          </w:rPr>
          <w:instrText xml:space="preserve"> PAGEREF _Toc34834771 \h </w:instrText>
        </w:r>
        <w:r>
          <w:rPr>
            <w:webHidden/>
          </w:rPr>
        </w:r>
        <w:r>
          <w:rPr>
            <w:webHidden/>
          </w:rPr>
          <w:fldChar w:fldCharType="separate"/>
        </w:r>
        <w:r>
          <w:rPr>
            <w:webHidden/>
          </w:rPr>
          <w:t>144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72" w:history="1">
        <w:r w:rsidRPr="0078257C">
          <w:rPr>
            <w:rStyle w:val="af2"/>
            <w:rFonts w:asciiTheme="minorEastAsia" w:hAnsiTheme="minorEastAsia" w:hint="eastAsia"/>
          </w:rPr>
          <w:t>（六）基金财产清算的公告</w:t>
        </w:r>
        <w:r>
          <w:rPr>
            <w:webHidden/>
          </w:rPr>
          <w:tab/>
        </w:r>
        <w:r>
          <w:rPr>
            <w:webHidden/>
          </w:rPr>
          <w:fldChar w:fldCharType="begin"/>
        </w:r>
        <w:r>
          <w:rPr>
            <w:webHidden/>
          </w:rPr>
          <w:instrText xml:space="preserve"> PAGEREF _Toc34834772 \h </w:instrText>
        </w:r>
        <w:r>
          <w:rPr>
            <w:webHidden/>
          </w:rPr>
        </w:r>
        <w:r>
          <w:rPr>
            <w:webHidden/>
          </w:rPr>
          <w:fldChar w:fldCharType="separate"/>
        </w:r>
        <w:r>
          <w:rPr>
            <w:webHidden/>
          </w:rPr>
          <w:t>144</w:t>
        </w:r>
        <w:r>
          <w:rPr>
            <w:webHidden/>
          </w:rPr>
          <w:fldChar w:fldCharType="end"/>
        </w:r>
      </w:hyperlink>
    </w:p>
    <w:p w:rsidR="00453203" w:rsidRDefault="00453203">
      <w:pPr>
        <w:pStyle w:val="21"/>
        <w:rPr>
          <w:rFonts w:asciiTheme="minorHAnsi" w:eastAsiaTheme="minorEastAsia" w:hAnsiTheme="minorHAnsi" w:cstheme="minorBidi"/>
          <w:smallCaps w:val="0"/>
          <w:szCs w:val="22"/>
        </w:rPr>
      </w:pPr>
      <w:hyperlink w:anchor="_Toc34834773" w:history="1">
        <w:r w:rsidRPr="0078257C">
          <w:rPr>
            <w:rStyle w:val="af2"/>
            <w:rFonts w:asciiTheme="minorEastAsia" w:hAnsiTheme="minorEastAsia" w:hint="eastAsia"/>
          </w:rPr>
          <w:t>（七）基金财产清算账册及文件的保存</w:t>
        </w:r>
        <w:r>
          <w:rPr>
            <w:webHidden/>
          </w:rPr>
          <w:tab/>
        </w:r>
        <w:r>
          <w:rPr>
            <w:webHidden/>
          </w:rPr>
          <w:fldChar w:fldCharType="begin"/>
        </w:r>
        <w:r>
          <w:rPr>
            <w:webHidden/>
          </w:rPr>
          <w:instrText xml:space="preserve"> PAGEREF _Toc34834773 \h </w:instrText>
        </w:r>
        <w:r>
          <w:rPr>
            <w:webHidden/>
          </w:rPr>
        </w:r>
        <w:r>
          <w:rPr>
            <w:webHidden/>
          </w:rPr>
          <w:fldChar w:fldCharType="separate"/>
        </w:r>
        <w:r>
          <w:rPr>
            <w:webHidden/>
          </w:rPr>
          <w:t>144</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74" w:history="1">
        <w:r w:rsidRPr="0078257C">
          <w:rPr>
            <w:rStyle w:val="af2"/>
            <w:rFonts w:asciiTheme="minorEastAsia" w:hAnsiTheme="minorEastAsia" w:hint="eastAsia"/>
            <w:bCs/>
          </w:rPr>
          <w:t>二十一、基金合同内容摘要</w:t>
        </w:r>
        <w:r>
          <w:rPr>
            <w:webHidden/>
          </w:rPr>
          <w:tab/>
        </w:r>
        <w:r>
          <w:rPr>
            <w:webHidden/>
          </w:rPr>
          <w:fldChar w:fldCharType="begin"/>
        </w:r>
        <w:r>
          <w:rPr>
            <w:webHidden/>
          </w:rPr>
          <w:instrText xml:space="preserve"> PAGEREF _Toc34834774 \h </w:instrText>
        </w:r>
        <w:r>
          <w:rPr>
            <w:webHidden/>
          </w:rPr>
        </w:r>
        <w:r>
          <w:rPr>
            <w:webHidden/>
          </w:rPr>
          <w:fldChar w:fldCharType="separate"/>
        </w:r>
        <w:r>
          <w:rPr>
            <w:webHidden/>
          </w:rPr>
          <w:t>145</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75" w:history="1">
        <w:r w:rsidRPr="0078257C">
          <w:rPr>
            <w:rStyle w:val="af2"/>
            <w:rFonts w:asciiTheme="minorEastAsia" w:hAnsiTheme="minorEastAsia" w:hint="eastAsia"/>
            <w:bCs/>
          </w:rPr>
          <w:t>二十二、基金托管协议的内容摘要</w:t>
        </w:r>
        <w:r>
          <w:rPr>
            <w:webHidden/>
          </w:rPr>
          <w:tab/>
        </w:r>
        <w:r>
          <w:rPr>
            <w:webHidden/>
          </w:rPr>
          <w:fldChar w:fldCharType="begin"/>
        </w:r>
        <w:r>
          <w:rPr>
            <w:webHidden/>
          </w:rPr>
          <w:instrText xml:space="preserve"> PAGEREF _Toc34834775 \h </w:instrText>
        </w:r>
        <w:r>
          <w:rPr>
            <w:webHidden/>
          </w:rPr>
        </w:r>
        <w:r>
          <w:rPr>
            <w:webHidden/>
          </w:rPr>
          <w:fldChar w:fldCharType="separate"/>
        </w:r>
        <w:r>
          <w:rPr>
            <w:webHidden/>
          </w:rPr>
          <w:t>160</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76" w:history="1">
        <w:r w:rsidRPr="0078257C">
          <w:rPr>
            <w:rStyle w:val="af2"/>
            <w:rFonts w:asciiTheme="minorEastAsia" w:hAnsiTheme="minorEastAsia" w:hint="eastAsia"/>
            <w:bCs/>
          </w:rPr>
          <w:t>二十三、对基金份额持有人的服务</w:t>
        </w:r>
        <w:r>
          <w:rPr>
            <w:webHidden/>
          </w:rPr>
          <w:tab/>
        </w:r>
        <w:r>
          <w:rPr>
            <w:webHidden/>
          </w:rPr>
          <w:fldChar w:fldCharType="begin"/>
        </w:r>
        <w:r>
          <w:rPr>
            <w:webHidden/>
          </w:rPr>
          <w:instrText xml:space="preserve"> PAGEREF _Toc34834776 \h </w:instrText>
        </w:r>
        <w:r>
          <w:rPr>
            <w:webHidden/>
          </w:rPr>
        </w:r>
        <w:r>
          <w:rPr>
            <w:webHidden/>
          </w:rPr>
          <w:fldChar w:fldCharType="separate"/>
        </w:r>
        <w:r>
          <w:rPr>
            <w:webHidden/>
          </w:rPr>
          <w:t>172</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77" w:history="1">
        <w:r w:rsidRPr="0078257C">
          <w:rPr>
            <w:rStyle w:val="af2"/>
            <w:rFonts w:asciiTheme="minorEastAsia" w:hAnsiTheme="minorEastAsia" w:hint="eastAsia"/>
            <w:bCs/>
          </w:rPr>
          <w:t>二十四、其他应披露事项</w:t>
        </w:r>
        <w:r>
          <w:rPr>
            <w:webHidden/>
          </w:rPr>
          <w:tab/>
        </w:r>
        <w:r>
          <w:rPr>
            <w:webHidden/>
          </w:rPr>
          <w:fldChar w:fldCharType="begin"/>
        </w:r>
        <w:r>
          <w:rPr>
            <w:webHidden/>
          </w:rPr>
          <w:instrText xml:space="preserve"> PAGEREF _Toc34834777 \h </w:instrText>
        </w:r>
        <w:r>
          <w:rPr>
            <w:webHidden/>
          </w:rPr>
        </w:r>
        <w:r>
          <w:rPr>
            <w:webHidden/>
          </w:rPr>
          <w:fldChar w:fldCharType="separate"/>
        </w:r>
        <w:r>
          <w:rPr>
            <w:webHidden/>
          </w:rPr>
          <w:t>173</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78" w:history="1">
        <w:r w:rsidRPr="0078257C">
          <w:rPr>
            <w:rStyle w:val="af2"/>
            <w:rFonts w:asciiTheme="minorEastAsia" w:hAnsiTheme="minorEastAsia" w:hint="eastAsia"/>
            <w:bCs/>
          </w:rPr>
          <w:t>二十五、招募说明书存放及查阅方式</w:t>
        </w:r>
        <w:r>
          <w:rPr>
            <w:webHidden/>
          </w:rPr>
          <w:tab/>
        </w:r>
        <w:r>
          <w:rPr>
            <w:webHidden/>
          </w:rPr>
          <w:fldChar w:fldCharType="begin"/>
        </w:r>
        <w:r>
          <w:rPr>
            <w:webHidden/>
          </w:rPr>
          <w:instrText xml:space="preserve"> PAGEREF _Toc34834778 \h </w:instrText>
        </w:r>
        <w:r>
          <w:rPr>
            <w:webHidden/>
          </w:rPr>
        </w:r>
        <w:r>
          <w:rPr>
            <w:webHidden/>
          </w:rPr>
          <w:fldChar w:fldCharType="separate"/>
        </w:r>
        <w:r>
          <w:rPr>
            <w:webHidden/>
          </w:rPr>
          <w:t>178</w:t>
        </w:r>
        <w:r>
          <w:rPr>
            <w:webHidden/>
          </w:rPr>
          <w:fldChar w:fldCharType="end"/>
        </w:r>
      </w:hyperlink>
    </w:p>
    <w:p w:rsidR="00453203" w:rsidRDefault="00453203">
      <w:pPr>
        <w:pStyle w:val="10"/>
        <w:rPr>
          <w:rFonts w:asciiTheme="minorHAnsi" w:eastAsiaTheme="minorEastAsia" w:hAnsiTheme="minorHAnsi" w:cstheme="minorBidi"/>
          <w:caps w:val="0"/>
          <w:sz w:val="21"/>
          <w:szCs w:val="22"/>
        </w:rPr>
      </w:pPr>
      <w:hyperlink w:anchor="_Toc34834779" w:history="1">
        <w:r w:rsidRPr="0078257C">
          <w:rPr>
            <w:rStyle w:val="af2"/>
            <w:rFonts w:asciiTheme="minorEastAsia" w:hAnsiTheme="minorEastAsia" w:hint="eastAsia"/>
          </w:rPr>
          <w:t>二十六、备查文件</w:t>
        </w:r>
        <w:r>
          <w:rPr>
            <w:webHidden/>
          </w:rPr>
          <w:tab/>
        </w:r>
        <w:r>
          <w:rPr>
            <w:webHidden/>
          </w:rPr>
          <w:fldChar w:fldCharType="begin"/>
        </w:r>
        <w:r>
          <w:rPr>
            <w:webHidden/>
          </w:rPr>
          <w:instrText xml:space="preserve"> PAGEREF _Toc34834779 \h </w:instrText>
        </w:r>
        <w:r>
          <w:rPr>
            <w:webHidden/>
          </w:rPr>
        </w:r>
        <w:r>
          <w:rPr>
            <w:webHidden/>
          </w:rPr>
          <w:fldChar w:fldCharType="separate"/>
        </w:r>
        <w:r>
          <w:rPr>
            <w:webHidden/>
          </w:rPr>
          <w:t>179</w:t>
        </w:r>
        <w:r>
          <w:rPr>
            <w:webHidden/>
          </w:rPr>
          <w:fldChar w:fldCharType="end"/>
        </w:r>
      </w:hyperlink>
    </w:p>
    <w:p w:rsidR="00266A27" w:rsidRPr="00453203" w:rsidRDefault="005F359C" w:rsidP="00643071">
      <w:pPr>
        <w:snapToGrid w:val="0"/>
        <w:spacing w:line="360" w:lineRule="auto"/>
        <w:ind w:firstLine="560"/>
        <w:jc w:val="center"/>
        <w:rPr>
          <w:rFonts w:asciiTheme="minorEastAsia" w:eastAsiaTheme="minorEastAsia" w:hAnsiTheme="minorEastAsia"/>
          <w:szCs w:val="21"/>
        </w:rPr>
        <w:sectPr w:rsidR="00266A27" w:rsidRPr="00453203" w:rsidSect="00796F21">
          <w:footerReference w:type="default" r:id="rId15"/>
          <w:footerReference w:type="first" r:id="rId16"/>
          <w:pgSz w:w="11907" w:h="16840" w:code="9"/>
          <w:pgMar w:top="1701" w:right="1814" w:bottom="1701" w:left="1814" w:header="1134" w:footer="1247" w:gutter="0"/>
          <w:pgNumType w:fmt="upperRoman" w:start="1"/>
          <w:cols w:space="425"/>
          <w:titlePg/>
          <w:docGrid w:type="lines" w:linePitch="447"/>
        </w:sectPr>
      </w:pPr>
      <w:r w:rsidRPr="00453203">
        <w:rPr>
          <w:rFonts w:asciiTheme="minorEastAsia" w:eastAsiaTheme="minorEastAsia" w:hAnsiTheme="minorEastAsia"/>
          <w:b/>
          <w:szCs w:val="21"/>
        </w:rPr>
        <w:fldChar w:fldCharType="end"/>
      </w: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cs="宋体"/>
          <w:kern w:val="0"/>
          <w:szCs w:val="21"/>
        </w:rPr>
      </w:pPr>
      <w:bookmarkStart w:id="0" w:name="_Toc38432421"/>
      <w:bookmarkStart w:id="1" w:name="_Toc34834673"/>
      <w:r w:rsidRPr="00453203">
        <w:rPr>
          <w:rFonts w:asciiTheme="minorEastAsia" w:eastAsiaTheme="minorEastAsia" w:hAnsiTheme="minorEastAsia" w:cs="宋体" w:hint="eastAsia"/>
          <w:kern w:val="0"/>
          <w:szCs w:val="21"/>
        </w:rPr>
        <w:lastRenderedPageBreak/>
        <w:t>一、绪言</w:t>
      </w:r>
      <w:bookmarkEnd w:id="0"/>
      <w:bookmarkEnd w:id="1"/>
    </w:p>
    <w:p w:rsidR="00266A27" w:rsidRPr="00453203" w:rsidRDefault="00266A27" w:rsidP="00643071">
      <w:pPr>
        <w:snapToGrid w:val="0"/>
        <w:spacing w:line="360" w:lineRule="auto"/>
        <w:ind w:firstLine="482"/>
        <w:rPr>
          <w:rFonts w:asciiTheme="minorEastAsia" w:eastAsiaTheme="minorEastAsia" w:hAnsiTheme="minorEastAsia"/>
          <w:szCs w:val="21"/>
        </w:rPr>
      </w:pPr>
      <w:r w:rsidRPr="00453203">
        <w:rPr>
          <w:rFonts w:asciiTheme="minorEastAsia" w:eastAsiaTheme="minorEastAsia" w:hAnsiTheme="minorEastAsia" w:hint="eastAsia"/>
          <w:szCs w:val="21"/>
        </w:rPr>
        <w:t>本《招募说明书》依据《中华人民共和国证券投资基金法》（以下简称《基金法》）、《证券投资基金运作管理办法》（以下简称《运作办法》）、《证券投资基金销售管理办法》（以下简称《销售办法》）、《</w:t>
      </w:r>
      <w:r w:rsidR="0009600D" w:rsidRPr="00453203">
        <w:rPr>
          <w:rFonts w:asciiTheme="minorEastAsia" w:eastAsiaTheme="minorEastAsia" w:hAnsiTheme="minorEastAsia" w:hint="eastAsia"/>
          <w:szCs w:val="21"/>
        </w:rPr>
        <w:t>公开募集</w:t>
      </w:r>
      <w:r w:rsidRPr="00453203">
        <w:rPr>
          <w:rFonts w:asciiTheme="minorEastAsia" w:eastAsiaTheme="minorEastAsia" w:hAnsiTheme="minorEastAsia" w:hint="eastAsia"/>
          <w:szCs w:val="21"/>
        </w:rPr>
        <w:t>证券投资基金信息披露管理办法》（以下简称《信息披露办法》）、</w:t>
      </w:r>
      <w:r w:rsidRPr="00453203">
        <w:rPr>
          <w:rFonts w:asciiTheme="minorEastAsia" w:eastAsiaTheme="minorEastAsia" w:hAnsiTheme="minorEastAsia" w:hint="eastAsia"/>
        </w:rPr>
        <w:t>《证券投资基金信息披露内容与格式准则第</w:t>
      </w:r>
      <w:r w:rsidRPr="00453203">
        <w:rPr>
          <w:rFonts w:asciiTheme="minorEastAsia" w:eastAsiaTheme="minorEastAsia" w:hAnsiTheme="minorEastAsia"/>
        </w:rPr>
        <w:t>5</w:t>
      </w:r>
      <w:r w:rsidRPr="00453203">
        <w:rPr>
          <w:rFonts w:asciiTheme="minorEastAsia" w:eastAsiaTheme="minorEastAsia" w:hAnsiTheme="minorEastAsia" w:hint="eastAsia"/>
        </w:rPr>
        <w:t>号</w:t>
      </w:r>
      <w:r w:rsidRPr="00453203">
        <w:rPr>
          <w:rFonts w:asciiTheme="minorEastAsia" w:eastAsiaTheme="minorEastAsia" w:hAnsiTheme="minorEastAsia"/>
        </w:rPr>
        <w:t>&lt;</w:t>
      </w:r>
      <w:r w:rsidRPr="00453203">
        <w:rPr>
          <w:rFonts w:asciiTheme="minorEastAsia" w:eastAsiaTheme="minorEastAsia" w:hAnsiTheme="minorEastAsia" w:hint="eastAsia"/>
        </w:rPr>
        <w:t>招募说明书的内容与格式</w:t>
      </w:r>
      <w:r w:rsidRPr="00453203">
        <w:rPr>
          <w:rFonts w:asciiTheme="minorEastAsia" w:eastAsiaTheme="minorEastAsia" w:hAnsiTheme="minorEastAsia"/>
        </w:rPr>
        <w:t>&gt;</w:t>
      </w:r>
      <w:r w:rsidRPr="00453203">
        <w:rPr>
          <w:rFonts w:asciiTheme="minorEastAsia" w:eastAsiaTheme="minorEastAsia" w:hAnsiTheme="minorEastAsia" w:hint="eastAsia"/>
        </w:rPr>
        <w:t>》</w:t>
      </w:r>
      <w:r w:rsidR="00776E39" w:rsidRPr="00453203">
        <w:rPr>
          <w:rFonts w:asciiTheme="minorEastAsia" w:eastAsiaTheme="minorEastAsia" w:hAnsiTheme="minorEastAsia" w:hint="eastAsia"/>
        </w:rPr>
        <w:t>、《公开募集开放式证券投资基金流动性风险管理规定》（以下简称“《管理规定》”）</w:t>
      </w:r>
      <w:r w:rsidRPr="00453203">
        <w:rPr>
          <w:rFonts w:asciiTheme="minorEastAsia" w:eastAsiaTheme="minorEastAsia" w:hAnsiTheme="minorEastAsia" w:hint="eastAsia"/>
          <w:szCs w:val="21"/>
        </w:rPr>
        <w:t>等有关法律法规以及《</w:t>
      </w:r>
      <w:r w:rsidR="00DA4AC8" w:rsidRPr="00453203">
        <w:rPr>
          <w:rFonts w:asciiTheme="minorEastAsia" w:eastAsiaTheme="minorEastAsia" w:hAnsiTheme="minorEastAsia" w:cs="宋体" w:hint="eastAsia"/>
          <w:szCs w:val="21"/>
        </w:rPr>
        <w:t>易方达</w:t>
      </w:r>
      <w:r w:rsidR="00A741AA" w:rsidRPr="00453203">
        <w:rPr>
          <w:rFonts w:asciiTheme="minorEastAsia" w:eastAsiaTheme="minorEastAsia" w:hAnsiTheme="minorEastAsia" w:cs="宋体" w:hint="eastAsia"/>
          <w:szCs w:val="21"/>
        </w:rPr>
        <w:t>创业板</w:t>
      </w:r>
      <w:r w:rsidR="00DA4AC8" w:rsidRPr="00453203">
        <w:rPr>
          <w:rFonts w:asciiTheme="minorEastAsia" w:eastAsiaTheme="minorEastAsia" w:hAnsiTheme="minorEastAsia" w:cs="宋体" w:hint="eastAsia"/>
          <w:szCs w:val="21"/>
        </w:rPr>
        <w:t>交易型开放式指数证券投资基金联接基金</w:t>
      </w:r>
      <w:r w:rsidRPr="00453203">
        <w:rPr>
          <w:rFonts w:asciiTheme="minorEastAsia" w:eastAsiaTheme="minorEastAsia" w:hAnsiTheme="minorEastAsia" w:hint="eastAsia"/>
          <w:szCs w:val="21"/>
        </w:rPr>
        <w:t>基金合同》编写。</w:t>
      </w:r>
    </w:p>
    <w:p w:rsidR="00266A27" w:rsidRPr="00453203" w:rsidRDefault="00266A27" w:rsidP="00643071">
      <w:pPr>
        <w:snapToGrid w:val="0"/>
        <w:spacing w:line="360" w:lineRule="auto"/>
        <w:ind w:firstLine="482"/>
        <w:rPr>
          <w:rStyle w:val="da"/>
          <w:rFonts w:asciiTheme="minorEastAsia" w:eastAsiaTheme="minorEastAsia" w:hAnsiTheme="minorEastAsia"/>
        </w:rPr>
      </w:pPr>
      <w:r w:rsidRPr="00453203">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453203">
        <w:rPr>
          <w:rStyle w:val="da"/>
          <w:rFonts w:asciiTheme="minorEastAsia" w:eastAsiaTheme="minorEastAsia" w:hAnsiTheme="minorEastAsia" w:hint="eastAsia"/>
        </w:rPr>
        <w:t>，</w:t>
      </w:r>
      <w:r w:rsidRPr="00453203">
        <w:rPr>
          <w:rStyle w:val="da"/>
          <w:rFonts w:asciiTheme="minorEastAsia" w:eastAsiaTheme="minorEastAsia" w:hAnsiTheme="minorEastAsia"/>
        </w:rPr>
        <w:t>或对本招募说明书作任何解释或者说明。</w:t>
      </w:r>
    </w:p>
    <w:p w:rsidR="00266A27" w:rsidRPr="00453203" w:rsidRDefault="00266A27" w:rsidP="00643071">
      <w:pPr>
        <w:snapToGrid w:val="0"/>
        <w:spacing w:line="360" w:lineRule="auto"/>
        <w:ind w:firstLine="482"/>
        <w:rPr>
          <w:rStyle w:val="da"/>
          <w:rFonts w:asciiTheme="minorEastAsia" w:eastAsiaTheme="minorEastAsia" w:hAnsiTheme="minorEastAsia"/>
        </w:rPr>
      </w:pPr>
      <w:r w:rsidRPr="00453203">
        <w:rPr>
          <w:rStyle w:val="da"/>
          <w:rFonts w:asciiTheme="minorEastAsia" w:eastAsiaTheme="minorEastAsia" w:hAnsiTheme="minorEastAsia"/>
        </w:rPr>
        <w:t>本招募说明书根据本基金的基金合同编写</w:t>
      </w:r>
      <w:r w:rsidRPr="00453203">
        <w:rPr>
          <w:rStyle w:val="da"/>
          <w:rFonts w:asciiTheme="minorEastAsia" w:eastAsiaTheme="minorEastAsia" w:hAnsiTheme="minorEastAsia" w:hint="eastAsia"/>
        </w:rPr>
        <w:t>，</w:t>
      </w:r>
      <w:r w:rsidRPr="00453203">
        <w:rPr>
          <w:rStyle w:val="da"/>
          <w:rFonts w:asciiTheme="minorEastAsia" w:eastAsiaTheme="minorEastAsia" w:hAnsiTheme="minorEastAsia"/>
        </w:rPr>
        <w:t>并经中国证监会核准。基金合同是约定基金当事人之间权利、义务的法律文件。基金</w:t>
      </w:r>
      <w:r w:rsidR="00192CE8" w:rsidRPr="00453203">
        <w:rPr>
          <w:rStyle w:val="da"/>
          <w:rFonts w:asciiTheme="minorEastAsia" w:eastAsiaTheme="minorEastAsia" w:hAnsiTheme="minorEastAsia"/>
        </w:rPr>
        <w:t>投资者</w:t>
      </w:r>
      <w:r w:rsidRPr="00453203">
        <w:rPr>
          <w:rStyle w:val="da"/>
          <w:rFonts w:asciiTheme="minorEastAsia" w:eastAsiaTheme="minorEastAsia" w:hAnsiTheme="minorEastAsia"/>
        </w:rPr>
        <w:t>自依基金合同取得基金份额</w:t>
      </w:r>
      <w:r w:rsidRPr="00453203">
        <w:rPr>
          <w:rStyle w:val="da"/>
          <w:rFonts w:asciiTheme="minorEastAsia" w:eastAsiaTheme="minorEastAsia" w:hAnsiTheme="minorEastAsia" w:hint="eastAsia"/>
        </w:rPr>
        <w:t>，</w:t>
      </w:r>
      <w:r w:rsidRPr="00453203">
        <w:rPr>
          <w:rStyle w:val="da"/>
          <w:rFonts w:asciiTheme="minorEastAsia" w:eastAsiaTheme="minorEastAsia" w:hAnsiTheme="minorEastAsia"/>
        </w:rPr>
        <w:t>即成为基金份额持有人和</w:t>
      </w:r>
      <w:r w:rsidR="00F51C42" w:rsidRPr="00453203">
        <w:rPr>
          <w:rStyle w:val="da"/>
          <w:rFonts w:asciiTheme="minorEastAsia" w:eastAsiaTheme="minorEastAsia" w:hAnsiTheme="minorEastAsia"/>
        </w:rPr>
        <w:t>基金合同</w:t>
      </w:r>
      <w:r w:rsidRPr="00453203">
        <w:rPr>
          <w:rStyle w:val="da"/>
          <w:rFonts w:asciiTheme="minorEastAsia" w:eastAsiaTheme="minorEastAsia" w:hAnsiTheme="minorEastAsia"/>
        </w:rPr>
        <w:t>的当事人</w:t>
      </w:r>
      <w:r w:rsidRPr="00453203">
        <w:rPr>
          <w:rStyle w:val="da"/>
          <w:rFonts w:asciiTheme="minorEastAsia" w:eastAsiaTheme="minorEastAsia" w:hAnsiTheme="minorEastAsia" w:hint="eastAsia"/>
        </w:rPr>
        <w:t>，</w:t>
      </w:r>
      <w:r w:rsidRPr="00453203">
        <w:rPr>
          <w:rStyle w:val="da"/>
          <w:rFonts w:asciiTheme="minorEastAsia" w:eastAsiaTheme="minorEastAsia" w:hAnsiTheme="minorEastAsia"/>
        </w:rPr>
        <w:t>其持有基金份额的行为本身即表明其对基金合同的承认和接受</w:t>
      </w:r>
      <w:r w:rsidRPr="00453203">
        <w:rPr>
          <w:rStyle w:val="da"/>
          <w:rFonts w:asciiTheme="minorEastAsia" w:eastAsiaTheme="minorEastAsia" w:hAnsiTheme="minorEastAsia" w:hint="eastAsia"/>
        </w:rPr>
        <w:t>，</w:t>
      </w:r>
      <w:r w:rsidRPr="00453203">
        <w:rPr>
          <w:rStyle w:val="da"/>
          <w:rFonts w:asciiTheme="minorEastAsia" w:eastAsiaTheme="minorEastAsia" w:hAnsiTheme="minorEastAsia"/>
        </w:rPr>
        <w:t>并按照《基金法》、基金合同及其他有关规定享有权利、承担义务。基金</w:t>
      </w:r>
      <w:r w:rsidR="00192CE8" w:rsidRPr="00453203">
        <w:rPr>
          <w:rStyle w:val="da"/>
          <w:rFonts w:asciiTheme="minorEastAsia" w:eastAsiaTheme="minorEastAsia" w:hAnsiTheme="minorEastAsia"/>
        </w:rPr>
        <w:t>投资者</w:t>
      </w:r>
      <w:r w:rsidRPr="00453203">
        <w:rPr>
          <w:rStyle w:val="da"/>
          <w:rFonts w:asciiTheme="minorEastAsia" w:eastAsiaTheme="minorEastAsia" w:hAnsiTheme="minorEastAsia"/>
        </w:rPr>
        <w:t>欲了解基金份额持有人的权利和义务</w:t>
      </w:r>
      <w:r w:rsidRPr="00453203">
        <w:rPr>
          <w:rStyle w:val="da"/>
          <w:rFonts w:asciiTheme="minorEastAsia" w:eastAsiaTheme="minorEastAsia" w:hAnsiTheme="minorEastAsia" w:hint="eastAsia"/>
        </w:rPr>
        <w:t>，</w:t>
      </w:r>
      <w:r w:rsidRPr="00453203">
        <w:rPr>
          <w:rStyle w:val="da"/>
          <w:rFonts w:asciiTheme="minorEastAsia" w:eastAsiaTheme="minorEastAsia" w:hAnsiTheme="minorEastAsia"/>
        </w:rPr>
        <w:t>应详细查阅基金合同</w:t>
      </w:r>
      <w:r w:rsidRPr="00453203">
        <w:rPr>
          <w:rStyle w:val="da"/>
          <w:rFonts w:asciiTheme="minorEastAsia" w:eastAsiaTheme="minorEastAsia" w:hAnsiTheme="minorEastAsia" w:hint="eastAsia"/>
        </w:rPr>
        <w:t>。</w:t>
      </w:r>
    </w:p>
    <w:p w:rsidR="00266A27" w:rsidRPr="00453203" w:rsidRDefault="00266A27" w:rsidP="00643071">
      <w:pPr>
        <w:snapToGrid w:val="0"/>
        <w:spacing w:line="360" w:lineRule="auto"/>
        <w:ind w:firstLine="482"/>
        <w:rPr>
          <w:rFonts w:asciiTheme="minorEastAsia" w:eastAsiaTheme="minorEastAsia" w:hAnsiTheme="minorEastAsia"/>
          <w:szCs w:val="21"/>
        </w:rPr>
      </w:pPr>
    </w:p>
    <w:p w:rsidR="00266A27" w:rsidRPr="00453203" w:rsidRDefault="00266A27" w:rsidP="00643071">
      <w:pPr>
        <w:snapToGrid w:val="0"/>
        <w:spacing w:line="360" w:lineRule="auto"/>
        <w:ind w:firstLine="482"/>
        <w:rPr>
          <w:rFonts w:asciiTheme="minorEastAsia" w:eastAsiaTheme="minorEastAsia" w:hAnsiTheme="minorEastAsia"/>
          <w:szCs w:val="21"/>
        </w:rPr>
      </w:pPr>
    </w:p>
    <w:p w:rsidR="00266A27" w:rsidRPr="00453203" w:rsidRDefault="00266A27" w:rsidP="00643071">
      <w:pPr>
        <w:snapToGrid w:val="0"/>
        <w:spacing w:line="360" w:lineRule="auto"/>
        <w:ind w:firstLine="482"/>
        <w:rPr>
          <w:rFonts w:asciiTheme="minorEastAsia" w:eastAsiaTheme="minorEastAsia" w:hAnsiTheme="minorEastAsia"/>
          <w:szCs w:val="21"/>
        </w:rPr>
      </w:pPr>
    </w:p>
    <w:p w:rsidR="00266A27" w:rsidRPr="00453203" w:rsidRDefault="00266A27" w:rsidP="00643071">
      <w:pPr>
        <w:snapToGrid w:val="0"/>
        <w:spacing w:line="360" w:lineRule="auto"/>
        <w:ind w:firstLine="482"/>
        <w:rPr>
          <w:rFonts w:asciiTheme="minorEastAsia" w:eastAsiaTheme="minorEastAsia" w:hAnsiTheme="minorEastAsia"/>
          <w:szCs w:val="21"/>
        </w:rPr>
      </w:pPr>
    </w:p>
    <w:p w:rsidR="00265211" w:rsidRPr="00453203" w:rsidRDefault="00265211" w:rsidP="00643071">
      <w:pPr>
        <w:snapToGrid w:val="0"/>
        <w:spacing w:line="360" w:lineRule="auto"/>
        <w:ind w:firstLine="482"/>
        <w:rPr>
          <w:rFonts w:asciiTheme="minorEastAsia" w:eastAsiaTheme="minorEastAsia" w:hAnsiTheme="minorEastAsia"/>
          <w:szCs w:val="21"/>
        </w:rPr>
        <w:sectPr w:rsidR="00265211" w:rsidRPr="00453203" w:rsidSect="00E334F9">
          <w:pgSz w:w="11907" w:h="16840" w:code="9"/>
          <w:pgMar w:top="1701" w:right="1814" w:bottom="1701" w:left="1814" w:header="851" w:footer="992" w:gutter="0"/>
          <w:pgNumType w:start="1"/>
          <w:cols w:space="425"/>
          <w:docGrid w:type="lines" w:linePitch="312"/>
        </w:sectPr>
      </w:pP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cs="宋体"/>
          <w:kern w:val="0"/>
          <w:szCs w:val="21"/>
        </w:rPr>
      </w:pPr>
      <w:bookmarkStart w:id="2" w:name="_Toc38432422"/>
      <w:bookmarkStart w:id="3" w:name="_Toc34834674"/>
      <w:r w:rsidRPr="00453203">
        <w:rPr>
          <w:rFonts w:asciiTheme="minorEastAsia" w:eastAsiaTheme="minorEastAsia" w:hAnsiTheme="minorEastAsia" w:cs="宋体" w:hint="eastAsia"/>
          <w:kern w:val="0"/>
          <w:szCs w:val="21"/>
        </w:rPr>
        <w:lastRenderedPageBreak/>
        <w:t>二、释义</w:t>
      </w:r>
      <w:bookmarkEnd w:id="2"/>
      <w:bookmarkEnd w:id="3"/>
    </w:p>
    <w:p w:rsidR="00266A27" w:rsidRPr="00453203" w:rsidRDefault="00266A27" w:rsidP="00643071">
      <w:pPr>
        <w:snapToGrid w:val="0"/>
        <w:spacing w:line="360" w:lineRule="auto"/>
        <w:ind w:firstLine="480"/>
        <w:rPr>
          <w:rFonts w:asciiTheme="minorEastAsia" w:eastAsiaTheme="minorEastAsia" w:hAnsiTheme="minorEastAsia"/>
          <w:szCs w:val="21"/>
        </w:rPr>
      </w:pPr>
      <w:r w:rsidRPr="00453203">
        <w:rPr>
          <w:rFonts w:asciiTheme="minorEastAsia" w:eastAsiaTheme="minorEastAsia" w:hAnsiTheme="minorEastAsia" w:hint="eastAsia"/>
          <w:szCs w:val="21"/>
        </w:rPr>
        <w:t>本《招募说明书》中除非文意另有所指</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下列词语有如下含义：</w:t>
      </w:r>
    </w:p>
    <w:p w:rsidR="00266A27" w:rsidRPr="00453203" w:rsidRDefault="00266A27" w:rsidP="00643071">
      <w:pPr>
        <w:snapToGrid w:val="0"/>
        <w:spacing w:line="360" w:lineRule="auto"/>
        <w:ind w:firstLine="480"/>
        <w:jc w:val="center"/>
        <w:rPr>
          <w:rFonts w:asciiTheme="minorEastAsia" w:eastAsiaTheme="minorEastAsia" w:hAnsiTheme="minorEastAsia"/>
          <w:szCs w:val="21"/>
        </w:rPr>
      </w:pP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《基金合同》</w:t>
      </w:r>
      <w:r w:rsidRPr="00453203">
        <w:rPr>
          <w:rFonts w:asciiTheme="minorEastAsia" w:eastAsiaTheme="minorEastAsia" w:hAnsiTheme="minorEastAsia" w:hint="eastAsia"/>
          <w:szCs w:val="21"/>
        </w:rPr>
        <w:tab/>
        <w:t>《易方达创业板交易型开放式指数证券投资基金联接基金基金合同》及对基金合同的任何有效的修订和补充</w:t>
      </w:r>
    </w:p>
    <w:p w:rsidR="0009600D" w:rsidRPr="00453203" w:rsidRDefault="0009600D"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基金产品资料概要指《易方达创业板交易型开放式指数证券投资基金联接基金基金产品资料概要》及其更新</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中国</w:t>
      </w:r>
      <w:r w:rsidRPr="00453203">
        <w:rPr>
          <w:rFonts w:asciiTheme="minorEastAsia" w:eastAsiaTheme="minorEastAsia" w:hAnsiTheme="minorEastAsia" w:hint="eastAsia"/>
          <w:szCs w:val="21"/>
        </w:rPr>
        <w:tab/>
        <w:t>中华人民共和国</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仅为《基金合同》目的不包括香港特别行政区、澳门特别行政区及台湾地区</w:t>
      </w:r>
      <w:r w:rsidRPr="00453203">
        <w:rPr>
          <w:rFonts w:asciiTheme="minorEastAsia" w:eastAsiaTheme="minorEastAsia" w:hAnsiTheme="minorEastAsia"/>
          <w:szCs w:val="21"/>
        </w:rPr>
        <w:t>)</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法律法规</w:t>
      </w:r>
      <w:r w:rsidRPr="00453203">
        <w:rPr>
          <w:rFonts w:asciiTheme="minorEastAsia" w:eastAsiaTheme="minorEastAsia" w:hAnsiTheme="minorEastAsia" w:hint="eastAsia"/>
          <w:szCs w:val="21"/>
        </w:rPr>
        <w:tab/>
        <w:t>中国现时有效并公布实施的法律、行政法规、部门规章及规范性文件以及对于该等法律文件的不时修改和补充</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《基金法》</w:t>
      </w:r>
      <w:r w:rsidRPr="00453203">
        <w:rPr>
          <w:rFonts w:asciiTheme="minorEastAsia" w:eastAsiaTheme="minorEastAsia" w:hAnsiTheme="minorEastAsia" w:hint="eastAsia"/>
          <w:szCs w:val="21"/>
        </w:rPr>
        <w:tab/>
        <w:t>2003年10月28日经第十届全国人民代表大会常务委员会第五次会议通过的自2004年6月1日起实施的《中华人民共和国证券投资基金法》及不时做出的修订</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《销售办法》</w:t>
      </w:r>
      <w:r w:rsidRPr="00453203">
        <w:rPr>
          <w:rFonts w:asciiTheme="minorEastAsia" w:eastAsiaTheme="minorEastAsia" w:hAnsiTheme="minorEastAsia" w:hint="eastAsia"/>
          <w:szCs w:val="21"/>
        </w:rPr>
        <w:tab/>
        <w:t>中国证监会</w:t>
      </w:r>
      <w:r w:rsidR="00800003" w:rsidRPr="00453203">
        <w:rPr>
          <w:rFonts w:asciiTheme="minorEastAsia" w:eastAsiaTheme="minorEastAsia" w:hAnsiTheme="minorEastAsia" w:hint="eastAsia"/>
          <w:szCs w:val="21"/>
        </w:rPr>
        <w:t>201</w:t>
      </w:r>
      <w:r w:rsidR="002D58C5" w:rsidRPr="00453203">
        <w:rPr>
          <w:rFonts w:asciiTheme="minorEastAsia" w:eastAsiaTheme="minorEastAsia" w:hAnsiTheme="minorEastAsia" w:hint="eastAsia"/>
          <w:szCs w:val="21"/>
        </w:rPr>
        <w:t>1</w:t>
      </w:r>
      <w:r w:rsidR="00800003" w:rsidRPr="00453203">
        <w:rPr>
          <w:rFonts w:asciiTheme="minorEastAsia" w:eastAsiaTheme="minorEastAsia" w:hAnsiTheme="minorEastAsia" w:hint="eastAsia"/>
          <w:szCs w:val="21"/>
        </w:rPr>
        <w:t>年</w:t>
      </w:r>
      <w:r w:rsidR="002D58C5" w:rsidRPr="00453203">
        <w:rPr>
          <w:rFonts w:asciiTheme="minorEastAsia" w:eastAsiaTheme="minorEastAsia" w:hAnsiTheme="minorEastAsia" w:hint="eastAsia"/>
          <w:szCs w:val="21"/>
        </w:rPr>
        <w:t>6</w:t>
      </w:r>
      <w:r w:rsidR="00800003" w:rsidRPr="00453203">
        <w:rPr>
          <w:rFonts w:asciiTheme="minorEastAsia" w:eastAsiaTheme="minorEastAsia" w:hAnsiTheme="minorEastAsia" w:hint="eastAsia"/>
          <w:szCs w:val="21"/>
        </w:rPr>
        <w:t>月</w:t>
      </w:r>
      <w:r w:rsidR="002D58C5" w:rsidRPr="00453203">
        <w:rPr>
          <w:rFonts w:asciiTheme="minorEastAsia" w:eastAsiaTheme="minorEastAsia" w:hAnsiTheme="minorEastAsia" w:hint="eastAsia"/>
          <w:szCs w:val="21"/>
        </w:rPr>
        <w:t>9</w:t>
      </w:r>
      <w:r w:rsidR="00800003" w:rsidRPr="00453203">
        <w:rPr>
          <w:rFonts w:asciiTheme="minorEastAsia" w:eastAsiaTheme="minorEastAsia" w:hAnsiTheme="minorEastAsia" w:hint="eastAsia"/>
          <w:szCs w:val="21"/>
        </w:rPr>
        <w:t>日</w:t>
      </w:r>
      <w:r w:rsidR="002D58C5" w:rsidRPr="00453203">
        <w:rPr>
          <w:rFonts w:asciiTheme="minorEastAsia" w:eastAsiaTheme="minorEastAsia" w:hAnsiTheme="minorEastAsia" w:hint="eastAsia"/>
          <w:szCs w:val="21"/>
        </w:rPr>
        <w:t>颁布</w:t>
      </w:r>
      <w:r w:rsidRPr="00453203">
        <w:rPr>
          <w:rFonts w:asciiTheme="minorEastAsia" w:eastAsiaTheme="minorEastAsia" w:hAnsiTheme="minorEastAsia" w:hint="eastAsia"/>
          <w:szCs w:val="21"/>
        </w:rPr>
        <w:t>并于</w:t>
      </w:r>
      <w:r w:rsidR="00800003" w:rsidRPr="00453203">
        <w:rPr>
          <w:rFonts w:asciiTheme="minorEastAsia" w:eastAsiaTheme="minorEastAsia" w:hAnsiTheme="minorEastAsia" w:hint="eastAsia"/>
          <w:szCs w:val="21"/>
        </w:rPr>
        <w:t>2011</w:t>
      </w:r>
      <w:r w:rsidRPr="00453203">
        <w:rPr>
          <w:rFonts w:asciiTheme="minorEastAsia" w:eastAsiaTheme="minorEastAsia" w:hAnsiTheme="minorEastAsia" w:hint="eastAsia"/>
          <w:szCs w:val="21"/>
        </w:rPr>
        <w:t>年</w:t>
      </w:r>
      <w:r w:rsidR="00800003" w:rsidRPr="00453203">
        <w:rPr>
          <w:rFonts w:asciiTheme="minorEastAsia" w:eastAsiaTheme="minorEastAsia" w:hAnsiTheme="minorEastAsia" w:hint="eastAsia"/>
          <w:szCs w:val="21"/>
        </w:rPr>
        <w:t>10</w:t>
      </w:r>
      <w:r w:rsidRPr="00453203">
        <w:rPr>
          <w:rFonts w:asciiTheme="minorEastAsia" w:eastAsiaTheme="minorEastAsia" w:hAnsiTheme="minorEastAsia" w:hint="eastAsia"/>
          <w:szCs w:val="21"/>
        </w:rPr>
        <w:t>月1日起实施的《证券投资基金销售管理办法》及不时做出的修订</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《运作办法》</w:t>
      </w:r>
      <w:r w:rsidRPr="00453203">
        <w:rPr>
          <w:rFonts w:asciiTheme="minorEastAsia" w:eastAsiaTheme="minorEastAsia" w:hAnsiTheme="minorEastAsia" w:hint="eastAsia"/>
          <w:szCs w:val="21"/>
        </w:rPr>
        <w:tab/>
        <w:t>2004年6月29日由中国证监会公布并于2004年7月1日起实施的《证券投资基金运作管理办法》及不时做出的修订</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《信息披露办法》</w:t>
      </w:r>
      <w:r w:rsidRPr="00453203">
        <w:rPr>
          <w:rFonts w:asciiTheme="minorEastAsia" w:eastAsiaTheme="minorEastAsia" w:hAnsiTheme="minorEastAsia" w:hint="eastAsia"/>
          <w:szCs w:val="21"/>
        </w:rPr>
        <w:tab/>
      </w:r>
      <w:r w:rsidR="0009600D" w:rsidRPr="00453203">
        <w:rPr>
          <w:rFonts w:asciiTheme="minorEastAsia" w:eastAsiaTheme="minorEastAsia" w:hAnsiTheme="minorEastAsia" w:hint="eastAsia"/>
          <w:szCs w:val="21"/>
        </w:rPr>
        <w:t>指中国证监会2019年7月26日颁布、同年9月1日实施的《公开募集证券投资基金信息披露管理办法》及颁布机关对其不时做出的修订</w:t>
      </w:r>
    </w:p>
    <w:p w:rsidR="00776E39" w:rsidRPr="00453203" w:rsidRDefault="00776E39"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《管理规定》</w:t>
      </w:r>
      <w:r w:rsidR="002C1238" w:rsidRPr="00453203">
        <w:rPr>
          <w:rFonts w:asciiTheme="minorEastAsia" w:eastAsiaTheme="minorEastAsia" w:hAnsiTheme="minorEastAsia"/>
          <w:szCs w:val="21"/>
        </w:rPr>
        <w:tab/>
      </w:r>
      <w:r w:rsidRPr="00453203">
        <w:rPr>
          <w:rFonts w:asciiTheme="minorEastAsia" w:eastAsiaTheme="minorEastAsia" w:hAnsiTheme="minorEastAsia" w:hint="eastAsia"/>
          <w:szCs w:val="21"/>
        </w:rPr>
        <w:t>指中国证监会2017年8月31日颁布、同年10月1日实施的《公开募集开放式证券投资基金流动性风险管理规定》及颁布机关对其不时做出的修订</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元</w:t>
      </w:r>
      <w:r w:rsidRPr="00453203">
        <w:rPr>
          <w:rFonts w:asciiTheme="minorEastAsia" w:eastAsiaTheme="minorEastAsia" w:hAnsiTheme="minorEastAsia" w:hint="eastAsia"/>
          <w:szCs w:val="21"/>
        </w:rPr>
        <w:tab/>
        <w:t>中国法定货币人民币元</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基金或本基金</w:t>
      </w:r>
      <w:r w:rsidRPr="00453203">
        <w:rPr>
          <w:rFonts w:asciiTheme="minorEastAsia" w:eastAsiaTheme="minorEastAsia" w:hAnsiTheme="minorEastAsia" w:hint="eastAsia"/>
          <w:szCs w:val="21"/>
        </w:rPr>
        <w:tab/>
        <w:t>依据《基金合同》所募集的易方达创业板交易型开放式指数证券投资基金联接基金</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目标ETF、创业板ETF</w:t>
      </w:r>
      <w:r w:rsidRPr="00453203">
        <w:rPr>
          <w:rFonts w:asciiTheme="minorEastAsia" w:eastAsiaTheme="minorEastAsia" w:hAnsiTheme="minorEastAsia" w:hint="eastAsia"/>
          <w:szCs w:val="21"/>
        </w:rPr>
        <w:tab/>
        <w:t>易方达创业板交易型开放式指数证券投资基金</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招募说明书</w:t>
      </w:r>
      <w:r w:rsidRPr="00453203">
        <w:rPr>
          <w:rFonts w:asciiTheme="minorEastAsia" w:eastAsiaTheme="minorEastAsia" w:hAnsiTheme="minorEastAsia" w:hint="eastAsia"/>
          <w:szCs w:val="21"/>
        </w:rPr>
        <w:tab/>
        <w:t>《易方达创业板交易型开放式指数证券投资基金联接基金招募说明书》及其定期的更新</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托管协议</w:t>
      </w:r>
      <w:r w:rsidRPr="00453203">
        <w:rPr>
          <w:rFonts w:asciiTheme="minorEastAsia" w:eastAsiaTheme="minorEastAsia" w:hAnsiTheme="minorEastAsia" w:hint="eastAsia"/>
          <w:szCs w:val="21"/>
        </w:rPr>
        <w:tab/>
        <w:t>基金管理人与基金托管人签订的《易方达创业板交易型开放式指数证券投资基金联接基金托管协议》及其任何有效修订</w:t>
      </w:r>
      <w:r w:rsidRPr="00453203">
        <w:rPr>
          <w:rFonts w:asciiTheme="minorEastAsia" w:eastAsiaTheme="minorEastAsia" w:hAnsiTheme="minorEastAsia" w:hint="eastAsia"/>
          <w:szCs w:val="21"/>
        </w:rPr>
        <w:lastRenderedPageBreak/>
        <w:t>和补充</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发售公告</w:t>
      </w:r>
      <w:r w:rsidRPr="00453203">
        <w:rPr>
          <w:rFonts w:asciiTheme="minorEastAsia" w:eastAsiaTheme="minorEastAsia" w:hAnsiTheme="minorEastAsia" w:hint="eastAsia"/>
          <w:szCs w:val="21"/>
        </w:rPr>
        <w:tab/>
        <w:t>《易方达创业板交易型开放式指数证券投资基金联接基金基金份额发售公告》</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《业务规则》</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易方达基金管理有限公司开放式基金业务规则</w:t>
      </w:r>
      <w:r w:rsidRPr="00453203">
        <w:rPr>
          <w:rFonts w:asciiTheme="minorEastAsia" w:eastAsiaTheme="minorEastAsia" w:hAnsiTheme="minorEastAsia"/>
          <w:szCs w:val="21"/>
        </w:rPr>
        <w:t>》</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中国证监会</w:t>
      </w:r>
      <w:r w:rsidRPr="00453203">
        <w:rPr>
          <w:rFonts w:asciiTheme="minorEastAsia" w:eastAsiaTheme="minorEastAsia" w:hAnsiTheme="minorEastAsia" w:hint="eastAsia"/>
          <w:szCs w:val="21"/>
        </w:rPr>
        <w:tab/>
        <w:t>中国证券监督管理委员会</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银行监管机构</w:t>
      </w:r>
      <w:r w:rsidRPr="00453203">
        <w:rPr>
          <w:rFonts w:asciiTheme="minorEastAsia" w:eastAsiaTheme="minorEastAsia" w:hAnsiTheme="minorEastAsia" w:hint="eastAsia"/>
          <w:szCs w:val="21"/>
        </w:rPr>
        <w:tab/>
      </w:r>
      <w:r w:rsidR="00DA1E5A" w:rsidRPr="00453203">
        <w:rPr>
          <w:rFonts w:asciiTheme="minorEastAsia" w:eastAsiaTheme="minorEastAsia" w:hAnsiTheme="minorEastAsia" w:hint="eastAsia"/>
          <w:szCs w:val="21"/>
        </w:rPr>
        <w:t>中国银行保险监督管理委员会或其他经国务院授权的机构</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基金管理人</w:t>
      </w:r>
      <w:r w:rsidRPr="00453203">
        <w:rPr>
          <w:rFonts w:asciiTheme="minorEastAsia" w:eastAsiaTheme="minorEastAsia" w:hAnsiTheme="minorEastAsia" w:hint="eastAsia"/>
          <w:szCs w:val="21"/>
        </w:rPr>
        <w:tab/>
        <w:t>易方达基金管理有限公司</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基金托管人</w:t>
      </w:r>
      <w:r w:rsidRPr="00453203">
        <w:rPr>
          <w:rFonts w:asciiTheme="minorEastAsia" w:eastAsiaTheme="minorEastAsia" w:hAnsiTheme="minorEastAsia" w:hint="eastAsia"/>
          <w:szCs w:val="21"/>
        </w:rPr>
        <w:tab/>
        <w:t>中国工商银行股份有限公司</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Style w:val="read"/>
          <w:rFonts w:asciiTheme="minorEastAsia" w:eastAsiaTheme="minorEastAsia" w:hAnsiTheme="minorEastAsia" w:hint="eastAsia"/>
          <w:szCs w:val="21"/>
        </w:rPr>
        <w:t>基金份额持有人</w:t>
      </w:r>
      <w:r w:rsidRPr="00453203">
        <w:rPr>
          <w:rStyle w:val="read"/>
          <w:rFonts w:asciiTheme="minorEastAsia" w:eastAsiaTheme="minorEastAsia" w:hAnsiTheme="minorEastAsia" w:hint="eastAsia"/>
          <w:szCs w:val="21"/>
        </w:rPr>
        <w:tab/>
        <w:t>根据《基金合同》及相关文件合法取得本基金基金份额的投资者</w:t>
      </w:r>
    </w:p>
    <w:p w:rsidR="00E97231" w:rsidRPr="00453203" w:rsidRDefault="00472648" w:rsidP="00643071">
      <w:pPr>
        <w:snapToGrid w:val="0"/>
        <w:spacing w:line="360" w:lineRule="auto"/>
        <w:ind w:leftChars="200" w:left="2730" w:hangingChars="1100" w:hanging="2310"/>
        <w:rPr>
          <w:rFonts w:asciiTheme="minorEastAsia" w:eastAsiaTheme="minorEastAsia" w:hAnsiTheme="minorEastAsia"/>
          <w:szCs w:val="21"/>
        </w:rPr>
      </w:pPr>
      <w:r w:rsidRPr="00453203">
        <w:rPr>
          <w:rStyle w:val="da"/>
          <w:rFonts w:asciiTheme="minorEastAsia" w:eastAsiaTheme="minorEastAsia" w:hAnsiTheme="minorEastAsia" w:hint="eastAsia"/>
        </w:rPr>
        <w:t>非直销销售机构</w:t>
      </w:r>
      <w:r w:rsidR="00E97231" w:rsidRPr="00453203">
        <w:rPr>
          <w:rFonts w:asciiTheme="minorEastAsia" w:eastAsiaTheme="minorEastAsia" w:hAnsiTheme="minorEastAsia" w:hint="eastAsia"/>
          <w:szCs w:val="21"/>
        </w:rPr>
        <w:tab/>
        <w:t>符合《销售办法》和中国证监会规定的其他条件，取得基金</w:t>
      </w:r>
      <w:r w:rsidRPr="00453203">
        <w:rPr>
          <w:rFonts w:asciiTheme="minorEastAsia" w:eastAsiaTheme="minorEastAsia" w:hAnsiTheme="minorEastAsia" w:hint="eastAsia"/>
          <w:szCs w:val="21"/>
        </w:rPr>
        <w:t>销售</w:t>
      </w:r>
      <w:r w:rsidR="00E97231" w:rsidRPr="00453203">
        <w:rPr>
          <w:rFonts w:asciiTheme="minorEastAsia" w:eastAsiaTheme="minorEastAsia" w:hAnsiTheme="minorEastAsia" w:hint="eastAsia"/>
          <w:szCs w:val="21"/>
        </w:rPr>
        <w:t>业务资格</w:t>
      </w:r>
      <w:r w:rsidRPr="00453203">
        <w:rPr>
          <w:rStyle w:val="da"/>
          <w:rFonts w:asciiTheme="minorEastAsia" w:eastAsiaTheme="minorEastAsia" w:hAnsiTheme="minorEastAsia" w:hint="eastAsia"/>
        </w:rPr>
        <w:t>并与基金管理人签订了基金销售服务协议，办理基金销售业务的机构</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销售机构</w:t>
      </w:r>
      <w:r w:rsidRPr="00453203">
        <w:rPr>
          <w:rFonts w:asciiTheme="minorEastAsia" w:eastAsiaTheme="minorEastAsia" w:hAnsiTheme="minorEastAsia" w:hint="eastAsia"/>
          <w:szCs w:val="21"/>
        </w:rPr>
        <w:tab/>
        <w:t>基金管理人及基金</w:t>
      </w:r>
      <w:r w:rsidR="00472648" w:rsidRPr="00453203">
        <w:rPr>
          <w:rStyle w:val="da"/>
          <w:rFonts w:asciiTheme="minorEastAsia" w:eastAsiaTheme="minorEastAsia" w:hAnsiTheme="minorEastAsia" w:hint="eastAsia"/>
        </w:rPr>
        <w:t>非直销销售机构</w:t>
      </w:r>
    </w:p>
    <w:p w:rsidR="00ED26B8" w:rsidRPr="00453203" w:rsidRDefault="00E97231" w:rsidP="00643071">
      <w:pPr>
        <w:snapToGrid w:val="0"/>
        <w:spacing w:line="360" w:lineRule="auto"/>
        <w:ind w:leftChars="200" w:left="2730" w:hangingChars="1100" w:hanging="2310"/>
        <w:rPr>
          <w:rFonts w:asciiTheme="minorEastAsia" w:eastAsiaTheme="minorEastAsia" w:hAnsiTheme="minorEastAsia"/>
          <w:sz w:val="24"/>
        </w:rPr>
      </w:pPr>
      <w:r w:rsidRPr="00453203">
        <w:rPr>
          <w:rFonts w:asciiTheme="minorEastAsia" w:eastAsiaTheme="minorEastAsia" w:hAnsiTheme="minorEastAsia" w:hint="eastAsia"/>
          <w:szCs w:val="21"/>
        </w:rPr>
        <w:t>基金销售网点</w:t>
      </w:r>
      <w:r w:rsidRPr="00453203">
        <w:rPr>
          <w:rFonts w:asciiTheme="minorEastAsia" w:eastAsiaTheme="minorEastAsia" w:hAnsiTheme="minorEastAsia" w:hint="eastAsia"/>
          <w:szCs w:val="21"/>
        </w:rPr>
        <w:tab/>
      </w:r>
      <w:r w:rsidR="00ED26B8" w:rsidRPr="00453203">
        <w:rPr>
          <w:rFonts w:asciiTheme="minorEastAsia" w:eastAsiaTheme="minorEastAsia" w:hAnsiTheme="minorEastAsia" w:hint="eastAsia"/>
          <w:szCs w:val="21"/>
        </w:rPr>
        <w:t>基金管理人的直销网点及基金</w:t>
      </w:r>
      <w:r w:rsidR="00472648" w:rsidRPr="00453203">
        <w:rPr>
          <w:rStyle w:val="da"/>
          <w:rFonts w:asciiTheme="minorEastAsia" w:eastAsiaTheme="minorEastAsia" w:hAnsiTheme="minorEastAsia" w:hint="eastAsia"/>
        </w:rPr>
        <w:t>非直销销售机构</w:t>
      </w:r>
      <w:r w:rsidR="00ED26B8" w:rsidRPr="00453203">
        <w:rPr>
          <w:rFonts w:asciiTheme="minorEastAsia" w:eastAsiaTheme="minorEastAsia" w:hAnsiTheme="minorEastAsia" w:hint="eastAsia"/>
          <w:szCs w:val="21"/>
        </w:rPr>
        <w:t>的</w:t>
      </w:r>
      <w:r w:rsidR="00472648" w:rsidRPr="00453203">
        <w:rPr>
          <w:rFonts w:asciiTheme="minorEastAsia" w:eastAsiaTheme="minorEastAsia" w:hAnsiTheme="minorEastAsia" w:hint="eastAsia"/>
          <w:szCs w:val="21"/>
        </w:rPr>
        <w:t>销售</w:t>
      </w:r>
      <w:r w:rsidR="00ED26B8" w:rsidRPr="00453203">
        <w:rPr>
          <w:rFonts w:asciiTheme="minorEastAsia" w:eastAsiaTheme="minorEastAsia" w:hAnsiTheme="minorEastAsia" w:hint="eastAsia"/>
          <w:szCs w:val="21"/>
        </w:rPr>
        <w:t>网点</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注册登记业务</w:t>
      </w:r>
      <w:r w:rsidRPr="00453203">
        <w:rPr>
          <w:rFonts w:asciiTheme="minorEastAsia" w:eastAsiaTheme="minorEastAsia" w:hAnsiTheme="minorEastAsia" w:hint="eastAsia"/>
          <w:szCs w:val="21"/>
        </w:rPr>
        <w:tab/>
        <w:t>基金登记、存管、清算和交收业务，具体内容包括投资者基金账户管理、基金份额注册登记、清算及基金交易确认、发放红利、建立并保管基金份额持有人名册等</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基金注册登记机构</w:t>
      </w:r>
      <w:r w:rsidRPr="00453203">
        <w:rPr>
          <w:rFonts w:asciiTheme="minorEastAsia" w:eastAsiaTheme="minorEastAsia" w:hAnsiTheme="minorEastAsia" w:hint="eastAsia"/>
          <w:szCs w:val="21"/>
        </w:rPr>
        <w:tab/>
        <w:t>易方达基金管理有限公司或其委托的其他符合条件的办理基金注册登记业务的机构</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《基金合同》当事人</w:t>
      </w:r>
      <w:r w:rsidRPr="00453203">
        <w:rPr>
          <w:rFonts w:asciiTheme="minorEastAsia" w:eastAsiaTheme="minorEastAsia" w:hAnsiTheme="minorEastAsia" w:hint="eastAsia"/>
          <w:szCs w:val="21"/>
        </w:rPr>
        <w:tab/>
        <w:t>受《基金合同》约束，根据《基金合同》享受权利并承担义务的法律主体，包括基金管理人、基金托管人和基金份额持有人</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个人投资者</w:t>
      </w:r>
      <w:r w:rsidRPr="00453203">
        <w:rPr>
          <w:rFonts w:asciiTheme="minorEastAsia" w:eastAsiaTheme="minorEastAsia" w:hAnsiTheme="minorEastAsia" w:hint="eastAsia"/>
          <w:szCs w:val="21"/>
        </w:rPr>
        <w:tab/>
        <w:t>符合法律法规规定的条件可以投资开放式证券投资基金的自然人</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机构投资者</w:t>
      </w:r>
      <w:r w:rsidRPr="00453203">
        <w:rPr>
          <w:rFonts w:asciiTheme="minorEastAsia" w:eastAsiaTheme="minorEastAsia" w:hAnsiTheme="minorEastAsia" w:hint="eastAsia"/>
          <w:szCs w:val="21"/>
        </w:rPr>
        <w:tab/>
        <w:t>符合法律法规规定可以投资开放式证券投资基金的在中国合法注册登记并存续或经政府有关部门批准设立的并存续的企业法人、事业法人、社会团体和其他组织</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合格境外机构投资者</w:t>
      </w:r>
      <w:r w:rsidRPr="00453203">
        <w:rPr>
          <w:rFonts w:asciiTheme="minorEastAsia" w:eastAsiaTheme="minorEastAsia" w:hAnsiTheme="minorEastAsia" w:hint="eastAsia"/>
          <w:szCs w:val="21"/>
        </w:rPr>
        <w:tab/>
        <w:t>符合《合格境外机构投资者境内证券投资管理办法》及相关法律法规规定的可投资于中国境内合法募集的证券投资基金的中国境外的</w:t>
      </w:r>
      <w:r w:rsidRPr="00453203">
        <w:rPr>
          <w:rFonts w:asciiTheme="minorEastAsia" w:eastAsiaTheme="minorEastAsia" w:hAnsiTheme="minorEastAsia"/>
          <w:szCs w:val="21"/>
        </w:rPr>
        <w:t>基金管理机构、保险公司、证券公司以及其他资产管理机构</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投资者</w:t>
      </w:r>
      <w:r w:rsidRPr="00453203">
        <w:rPr>
          <w:rFonts w:asciiTheme="minorEastAsia" w:eastAsiaTheme="minorEastAsia" w:hAnsiTheme="minorEastAsia" w:hint="eastAsia"/>
          <w:szCs w:val="21"/>
        </w:rPr>
        <w:tab/>
        <w:t>个人投资者、机构投资者、合格境外机构投资者和法律法规</w:t>
      </w:r>
      <w:r w:rsidRPr="00453203">
        <w:rPr>
          <w:rFonts w:asciiTheme="minorEastAsia" w:eastAsiaTheme="minorEastAsia" w:hAnsiTheme="minorEastAsia" w:hint="eastAsia"/>
          <w:szCs w:val="21"/>
        </w:rPr>
        <w:lastRenderedPageBreak/>
        <w:t>或中国证监会允许购买开放式证券投资基金的其他投资者的总称</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《基金合同》生效日</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基金</w:t>
      </w:r>
      <w:r w:rsidRPr="00453203">
        <w:rPr>
          <w:rFonts w:asciiTheme="minorEastAsia" w:eastAsiaTheme="minorEastAsia" w:hAnsiTheme="minorEastAsia" w:hint="eastAsia"/>
          <w:szCs w:val="21"/>
        </w:rPr>
        <w:t>募集</w:t>
      </w:r>
      <w:r w:rsidRPr="00453203">
        <w:rPr>
          <w:rFonts w:asciiTheme="minorEastAsia" w:eastAsiaTheme="minorEastAsia" w:hAnsiTheme="minorEastAsia"/>
          <w:szCs w:val="21"/>
        </w:rPr>
        <w:t>达到法律规定及</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基金合同</w:t>
      </w:r>
      <w:r w:rsidRPr="00453203">
        <w:rPr>
          <w:rFonts w:asciiTheme="minorEastAsia" w:eastAsiaTheme="minorEastAsia" w:hAnsiTheme="minorEastAsia" w:hint="eastAsia"/>
          <w:szCs w:val="21"/>
        </w:rPr>
        <w:t>》约定</w:t>
      </w:r>
      <w:r w:rsidRPr="00453203">
        <w:rPr>
          <w:rFonts w:asciiTheme="minorEastAsia" w:eastAsiaTheme="minorEastAsia" w:hAnsiTheme="minorEastAsia"/>
          <w:szCs w:val="21"/>
        </w:rPr>
        <w:t>的条件，</w:t>
      </w:r>
      <w:r w:rsidRPr="00453203">
        <w:rPr>
          <w:rFonts w:asciiTheme="minorEastAsia" w:eastAsiaTheme="minorEastAsia" w:hAnsiTheme="minorEastAsia" w:hint="eastAsia"/>
          <w:szCs w:val="21"/>
        </w:rPr>
        <w:t>基金管理人聘请法定机构验资并办理完毕基金备案手续，获得中国证监会书面确认之日</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募集期</w:t>
      </w:r>
      <w:r w:rsidRPr="00453203">
        <w:rPr>
          <w:rFonts w:asciiTheme="minorEastAsia" w:eastAsiaTheme="minorEastAsia" w:hAnsiTheme="minorEastAsia" w:hint="eastAsia"/>
          <w:szCs w:val="21"/>
        </w:rPr>
        <w:tab/>
        <w:t>自基金份额发售之日起不超过3个月的期限</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基金存续期</w:t>
      </w:r>
      <w:r w:rsidRPr="00453203">
        <w:rPr>
          <w:rFonts w:asciiTheme="minorEastAsia" w:eastAsiaTheme="minorEastAsia" w:hAnsiTheme="minorEastAsia" w:hint="eastAsia"/>
          <w:szCs w:val="21"/>
        </w:rPr>
        <w:tab/>
        <w:t>《基金合同》生效后合法存续的不定期之期间</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日/天</w:t>
      </w:r>
      <w:r w:rsidRPr="00453203">
        <w:rPr>
          <w:rFonts w:asciiTheme="minorEastAsia" w:eastAsiaTheme="minorEastAsia" w:hAnsiTheme="minorEastAsia" w:hint="eastAsia"/>
          <w:szCs w:val="21"/>
        </w:rPr>
        <w:tab/>
        <w:t>公历日</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月</w:t>
      </w:r>
      <w:r w:rsidRPr="00453203">
        <w:rPr>
          <w:rFonts w:asciiTheme="minorEastAsia" w:eastAsiaTheme="minorEastAsia" w:hAnsiTheme="minorEastAsia" w:hint="eastAsia"/>
          <w:szCs w:val="21"/>
        </w:rPr>
        <w:tab/>
        <w:t>公历月</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工作日、交易日</w:t>
      </w:r>
      <w:r w:rsidRPr="00453203">
        <w:rPr>
          <w:rFonts w:asciiTheme="minorEastAsia" w:eastAsiaTheme="minorEastAsia" w:hAnsiTheme="minorEastAsia" w:hint="eastAsia"/>
          <w:szCs w:val="21"/>
        </w:rPr>
        <w:tab/>
        <w:t>上海证券交易所和深圳证券交易所的正常交易日</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开放日</w:t>
      </w:r>
      <w:r w:rsidRPr="00453203">
        <w:rPr>
          <w:rFonts w:asciiTheme="minorEastAsia" w:eastAsiaTheme="minorEastAsia" w:hAnsiTheme="minorEastAsia" w:hint="eastAsia"/>
          <w:szCs w:val="21"/>
        </w:rPr>
        <w:tab/>
        <w:t>销售机构办理本基金份额申购、赎回等业务的工作日</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T日</w:t>
      </w:r>
      <w:r w:rsidRPr="00453203">
        <w:rPr>
          <w:rFonts w:asciiTheme="minorEastAsia" w:eastAsiaTheme="minorEastAsia" w:hAnsiTheme="minorEastAsia" w:hint="eastAsia"/>
          <w:szCs w:val="21"/>
        </w:rPr>
        <w:tab/>
        <w:t>指销售机构在招募说明书规定时间受理投资者申购、赎回或其他业务申请的工作日</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T+</w:t>
      </w:r>
      <w:r w:rsidRPr="00453203">
        <w:rPr>
          <w:rFonts w:asciiTheme="minorEastAsia" w:eastAsiaTheme="minorEastAsia" w:hAnsiTheme="minorEastAsia"/>
          <w:szCs w:val="21"/>
        </w:rPr>
        <w:t>n</w:t>
      </w:r>
      <w:r w:rsidRPr="00453203">
        <w:rPr>
          <w:rFonts w:asciiTheme="minorEastAsia" w:eastAsiaTheme="minorEastAsia" w:hAnsiTheme="minorEastAsia" w:hint="eastAsia"/>
          <w:szCs w:val="21"/>
        </w:rPr>
        <w:t>日</w:t>
      </w:r>
      <w:r w:rsidRPr="00453203">
        <w:rPr>
          <w:rFonts w:asciiTheme="minorEastAsia" w:eastAsiaTheme="minorEastAsia" w:hAnsiTheme="minorEastAsia" w:hint="eastAsia"/>
          <w:szCs w:val="21"/>
        </w:rPr>
        <w:tab/>
        <w:t>自T日起第</w:t>
      </w:r>
      <w:r w:rsidRPr="00453203">
        <w:rPr>
          <w:rFonts w:asciiTheme="minorEastAsia" w:eastAsiaTheme="minorEastAsia" w:hAnsiTheme="minorEastAsia"/>
          <w:szCs w:val="21"/>
        </w:rPr>
        <w:t>n</w:t>
      </w:r>
      <w:r w:rsidRPr="00453203">
        <w:rPr>
          <w:rFonts w:asciiTheme="minorEastAsia" w:eastAsiaTheme="minorEastAsia" w:hAnsiTheme="minorEastAsia" w:hint="eastAsia"/>
          <w:szCs w:val="21"/>
        </w:rPr>
        <w:t>个工作日（不包含T日）</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认购</w:t>
      </w:r>
      <w:r w:rsidRPr="00453203">
        <w:rPr>
          <w:rFonts w:asciiTheme="minorEastAsia" w:eastAsiaTheme="minorEastAsia" w:hAnsiTheme="minorEastAsia" w:hint="eastAsia"/>
          <w:szCs w:val="21"/>
        </w:rPr>
        <w:tab/>
        <w:t>在本基金募集期内投资者购买本基金基金份额的行为</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发售</w:t>
      </w:r>
      <w:r w:rsidRPr="00453203">
        <w:rPr>
          <w:rFonts w:asciiTheme="minorEastAsia" w:eastAsiaTheme="minorEastAsia" w:hAnsiTheme="minorEastAsia" w:hint="eastAsia"/>
          <w:szCs w:val="21"/>
        </w:rPr>
        <w:tab/>
        <w:t>在本基金募集期内，销售机构向投资者销售本基金份额的行为</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申购</w:t>
      </w:r>
      <w:r w:rsidRPr="00453203">
        <w:rPr>
          <w:rFonts w:asciiTheme="minorEastAsia" w:eastAsiaTheme="minorEastAsia" w:hAnsiTheme="minorEastAsia" w:hint="eastAsia"/>
          <w:szCs w:val="21"/>
        </w:rPr>
        <w:tab/>
        <w:t>《基金合同》生效后，基金投资者根据基金销售网点规定的手续，向基金管理人购买基金份额的行为。本基金的日常申购自《基金合同》生效后不超过3个月的时间开始办理</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赎回</w:t>
      </w:r>
      <w:r w:rsidRPr="00453203">
        <w:rPr>
          <w:rFonts w:asciiTheme="minorEastAsia" w:eastAsiaTheme="minorEastAsia" w:hAnsiTheme="minorEastAsia" w:hint="eastAsia"/>
          <w:szCs w:val="21"/>
        </w:rPr>
        <w:tab/>
        <w:t>《基金合同》生效后，基金投资者根据基金销售网点规定的手续，向基金管理人卖出基金份额的行为。本基金的日常赎回自《基金合同》生效后不超过3个月的时间开始办理</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巨额赎回</w:t>
      </w:r>
      <w:r w:rsidRPr="00453203">
        <w:rPr>
          <w:rFonts w:asciiTheme="minorEastAsia" w:eastAsiaTheme="minorEastAsia" w:hAnsiTheme="minorEastAsia" w:hint="eastAsia"/>
          <w:szCs w:val="21"/>
        </w:rPr>
        <w:tab/>
        <w:t>在单个开放日，本基金的基金份额净赎回申请（赎回申请总数加上基金转换中转出申请份额总数后扣除申购申请总数及基金转换中转入申请份额总数后的余额）超过上一日本基金总份额的</w:t>
      </w:r>
      <w:r w:rsidRPr="00453203">
        <w:rPr>
          <w:rFonts w:asciiTheme="minorEastAsia" w:eastAsiaTheme="minorEastAsia" w:hAnsiTheme="minorEastAsia"/>
          <w:szCs w:val="21"/>
        </w:rPr>
        <w:t>10%</w:t>
      </w:r>
      <w:r w:rsidRPr="00453203">
        <w:rPr>
          <w:rFonts w:asciiTheme="minorEastAsia" w:eastAsiaTheme="minorEastAsia" w:hAnsiTheme="minorEastAsia" w:hint="eastAsia"/>
          <w:szCs w:val="21"/>
        </w:rPr>
        <w:t>时的情形</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基金账户</w:t>
      </w:r>
      <w:r w:rsidRPr="00453203">
        <w:rPr>
          <w:rFonts w:asciiTheme="minorEastAsia" w:eastAsiaTheme="minorEastAsia" w:hAnsiTheme="minorEastAsia" w:hint="eastAsia"/>
          <w:szCs w:val="21"/>
        </w:rPr>
        <w:tab/>
        <w:t>基金注册登记机构为投资者开立的用于记录投资者持有基金管理人管理的开放式基金份额情况的账户</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交易账户</w:t>
      </w:r>
      <w:r w:rsidRPr="00453203">
        <w:rPr>
          <w:rFonts w:asciiTheme="minorEastAsia" w:eastAsiaTheme="minorEastAsia" w:hAnsiTheme="minorEastAsia" w:hint="eastAsia"/>
          <w:szCs w:val="21"/>
        </w:rPr>
        <w:tab/>
        <w:t>各销售机构为投资者开立的记录投资者通过该销售机构办理基金交易所引起的基金份额的变动及结余情况的账户</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szCs w:val="21"/>
        </w:rPr>
        <w:t>转托管</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投资者将其持有的同一基金账户下的基金份额从某一交易账户转入另一交易账户的业务</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基金转换</w:t>
      </w:r>
      <w:r w:rsidRPr="00453203">
        <w:rPr>
          <w:rFonts w:asciiTheme="minorEastAsia" w:eastAsiaTheme="minorEastAsia" w:hAnsiTheme="minorEastAsia" w:hint="eastAsia"/>
          <w:szCs w:val="21"/>
        </w:rPr>
        <w:tab/>
        <w:t>基金份额持有人按照本《基金合同》和基金管理人届时有效公告规定的条件，申请将其所持有的基金管理人管理的、某一开放式基金的基金份额转换为基金管理人管理的其他某一开放式基金基金份额的行为</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定期定额投资计划</w:t>
      </w:r>
      <w:r w:rsidRPr="00453203">
        <w:rPr>
          <w:rFonts w:asciiTheme="minorEastAsia" w:eastAsiaTheme="minorEastAsia" w:hAnsiTheme="minorEastAsia" w:hint="eastAsia"/>
          <w:szCs w:val="21"/>
        </w:rPr>
        <w:tab/>
        <w:t>投资者通过有关销售机构提出申请，约定每期扣款日、扣款金额及扣款方式，由销售机构于每期约定扣款日在投资者指定银行账户内自动完成扣款及基金申购申请的一种投资方式</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基金利润</w:t>
      </w:r>
      <w:r w:rsidRPr="00453203">
        <w:rPr>
          <w:rFonts w:asciiTheme="minorEastAsia" w:eastAsiaTheme="minorEastAsia" w:hAnsiTheme="minorEastAsia" w:hint="eastAsia"/>
          <w:szCs w:val="21"/>
        </w:rPr>
        <w:tab/>
        <w:t>基金利息收入、投资收益、公允价值变动收益和其他收入扣除相关费用后的余额</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基金资产总值</w:t>
      </w:r>
      <w:r w:rsidRPr="00453203">
        <w:rPr>
          <w:rFonts w:asciiTheme="minorEastAsia" w:eastAsiaTheme="minorEastAsia" w:hAnsiTheme="minorEastAsia" w:hint="eastAsia"/>
          <w:szCs w:val="21"/>
        </w:rPr>
        <w:tab/>
        <w:t>基金所拥有的各类证券、银行存款本息和和基金应收的款项以及其他投资所形成的价值总和</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基金资产净值</w:t>
      </w:r>
      <w:r w:rsidRPr="00453203">
        <w:rPr>
          <w:rFonts w:asciiTheme="minorEastAsia" w:eastAsiaTheme="minorEastAsia" w:hAnsiTheme="minorEastAsia" w:hint="eastAsia"/>
          <w:szCs w:val="21"/>
        </w:rPr>
        <w:tab/>
        <w:t>基金资产总值减去基金负债后的价值</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基金份额净值</w:t>
      </w:r>
      <w:r w:rsidR="002C1238" w:rsidRPr="00453203">
        <w:rPr>
          <w:rFonts w:asciiTheme="minorEastAsia" w:eastAsiaTheme="minorEastAsia" w:hAnsiTheme="minorEastAsia"/>
          <w:szCs w:val="21"/>
        </w:rPr>
        <w:tab/>
      </w:r>
      <w:r w:rsidRPr="00453203">
        <w:rPr>
          <w:rFonts w:asciiTheme="minorEastAsia" w:eastAsiaTheme="minorEastAsia" w:hAnsiTheme="minorEastAsia" w:hint="eastAsia"/>
          <w:szCs w:val="21"/>
        </w:rPr>
        <w:t>计算日基金资产净值除以计算日基金份额总数的数值</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基金资产估值</w:t>
      </w:r>
      <w:r w:rsidRPr="00453203">
        <w:rPr>
          <w:rFonts w:asciiTheme="minorEastAsia" w:eastAsiaTheme="minorEastAsia" w:hAnsiTheme="minorEastAsia" w:hint="eastAsia"/>
          <w:szCs w:val="21"/>
        </w:rPr>
        <w:tab/>
        <w:t>计算评估基金资产和负债的价值，以确定基金资产净值的过程</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货币市场工具</w:t>
      </w:r>
      <w:r w:rsidRPr="00453203">
        <w:rPr>
          <w:rFonts w:asciiTheme="minorEastAsia" w:eastAsiaTheme="minorEastAsia" w:hAnsiTheme="minorEastAsia" w:hint="eastAsia"/>
          <w:szCs w:val="21"/>
        </w:rPr>
        <w:tab/>
        <w:t>现金；</w:t>
      </w:r>
      <w:r w:rsidRPr="00453203">
        <w:rPr>
          <w:rFonts w:asciiTheme="minorEastAsia" w:eastAsiaTheme="minorEastAsia" w:hAnsiTheme="minorEastAsia"/>
          <w:szCs w:val="21"/>
        </w:rPr>
        <w:t>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w:t>
      </w:r>
      <w:r w:rsidRPr="00453203">
        <w:rPr>
          <w:rFonts w:asciiTheme="minorEastAsia" w:eastAsiaTheme="minorEastAsia" w:hAnsiTheme="minorEastAsia" w:hint="eastAsia"/>
          <w:szCs w:val="21"/>
        </w:rPr>
        <w:t>金融</w:t>
      </w:r>
      <w:r w:rsidRPr="00453203">
        <w:rPr>
          <w:rFonts w:asciiTheme="minorEastAsia" w:eastAsiaTheme="minorEastAsia" w:hAnsiTheme="minorEastAsia"/>
          <w:szCs w:val="21"/>
        </w:rPr>
        <w:t>工具</w:t>
      </w:r>
    </w:p>
    <w:p w:rsidR="00E97231" w:rsidRPr="00453203" w:rsidRDefault="0009600D"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指定媒介</w:t>
      </w:r>
      <w:r w:rsidR="00E97231" w:rsidRPr="00453203">
        <w:rPr>
          <w:rFonts w:asciiTheme="minorEastAsia" w:eastAsiaTheme="minorEastAsia" w:hAnsiTheme="minorEastAsia" w:hint="eastAsia"/>
          <w:szCs w:val="21"/>
        </w:rPr>
        <w:tab/>
      </w:r>
      <w:r w:rsidRPr="00453203">
        <w:rPr>
          <w:rFonts w:asciiTheme="minorEastAsia" w:eastAsiaTheme="minorEastAsia" w:hAnsiTheme="minorEastAsia" w:hint="eastAsia"/>
          <w:szCs w:val="21"/>
        </w:rPr>
        <w:t>指中国证监会指定的用以进行信息披露的全国性报刊及指定互联网网站（包括基金管理人网站、基金托管人网站、中国证监会基金电子披露网站）等媒介</w:t>
      </w:r>
    </w:p>
    <w:p w:rsidR="00E97231" w:rsidRPr="00453203" w:rsidRDefault="00E9723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不可抗力</w:t>
      </w:r>
      <w:r w:rsidR="002C1238" w:rsidRPr="00453203">
        <w:rPr>
          <w:rFonts w:asciiTheme="minorEastAsia" w:eastAsiaTheme="minorEastAsia" w:hAnsiTheme="minorEastAsia"/>
          <w:szCs w:val="21"/>
        </w:rPr>
        <w:tab/>
      </w:r>
      <w:r w:rsidR="00BC5337" w:rsidRPr="00453203">
        <w:rPr>
          <w:rFonts w:asciiTheme="minorEastAsia" w:eastAsiaTheme="minorEastAsia" w:hAnsiTheme="minorEastAsia" w:hint="eastAsia"/>
          <w:szCs w:val="21"/>
        </w:rPr>
        <w:t>基金合同</w:t>
      </w:r>
      <w:r w:rsidRPr="00453203">
        <w:rPr>
          <w:rFonts w:asciiTheme="minorEastAsia" w:eastAsiaTheme="minorEastAsia" w:hAnsiTheme="minorEastAsia" w:hint="eastAsia"/>
          <w:szCs w:val="21"/>
        </w:rPr>
        <w:t>当事人不能预见、不能避免且不能克服的客观事件</w:t>
      </w:r>
    </w:p>
    <w:p w:rsidR="00BB1B81" w:rsidRPr="00453203" w:rsidRDefault="00BB1B81"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szCs w:val="21"/>
        </w:rPr>
        <w:t>A类基金份额</w:t>
      </w:r>
      <w:r w:rsidR="001F7AFB" w:rsidRPr="00453203">
        <w:rPr>
          <w:rFonts w:asciiTheme="minorEastAsia" w:eastAsiaTheme="minorEastAsia" w:hAnsiTheme="minorEastAsia" w:hint="eastAsia"/>
          <w:szCs w:val="21"/>
        </w:rPr>
        <w:tab/>
        <w:t>在投资人申购基金时收取申购费用，并不再从本类别基金资产中计提销售服务费的基金份额，称为A类基金份额</w:t>
      </w:r>
    </w:p>
    <w:p w:rsidR="004B7DBE" w:rsidRPr="00453203" w:rsidRDefault="001F7AFB"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szCs w:val="21"/>
        </w:rPr>
        <w:t>C类基金份额</w:t>
      </w:r>
      <w:r w:rsidRPr="00453203">
        <w:rPr>
          <w:rFonts w:asciiTheme="minorEastAsia" w:eastAsiaTheme="minorEastAsia" w:hAnsiTheme="minorEastAsia" w:hint="eastAsia"/>
          <w:szCs w:val="21"/>
        </w:rPr>
        <w:tab/>
        <w:t>从本类基金资产中计提销售服务费，并不收取申购费用的基金份额，称为C类份额</w:t>
      </w:r>
    </w:p>
    <w:p w:rsidR="00ED4D9A" w:rsidRPr="00453203" w:rsidRDefault="00ED4D9A" w:rsidP="00643071">
      <w:pPr>
        <w:snapToGrid w:val="0"/>
        <w:spacing w:line="360" w:lineRule="auto"/>
        <w:ind w:leftChars="200" w:left="2730" w:hangingChars="1100" w:hanging="2310"/>
        <w:rPr>
          <w:rFonts w:asciiTheme="minorEastAsia" w:eastAsiaTheme="minorEastAsia" w:hAnsiTheme="minorEastAsia"/>
          <w:szCs w:val="21"/>
        </w:rPr>
      </w:pPr>
      <w:r w:rsidRPr="00453203">
        <w:rPr>
          <w:rFonts w:asciiTheme="minorEastAsia" w:eastAsiaTheme="minorEastAsia" w:hAnsiTheme="minorEastAsia" w:hint="eastAsia"/>
          <w:szCs w:val="21"/>
        </w:rPr>
        <w:t>流动性受限资产</w:t>
      </w:r>
      <w:r w:rsidR="002C1238" w:rsidRPr="00453203">
        <w:rPr>
          <w:rFonts w:asciiTheme="minorEastAsia" w:eastAsiaTheme="minorEastAsia" w:hAnsiTheme="minorEastAsia"/>
          <w:szCs w:val="21"/>
        </w:rPr>
        <w:tab/>
      </w:r>
      <w:r w:rsidRPr="00453203">
        <w:rPr>
          <w:rFonts w:asciiTheme="minorEastAsia" w:eastAsiaTheme="minorEastAsia" w:hAnsiTheme="minorEastAsia" w:hint="eastAsia"/>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w:t>
      </w:r>
      <w:r w:rsidRPr="00453203">
        <w:rPr>
          <w:rFonts w:asciiTheme="minorEastAsia" w:eastAsiaTheme="minorEastAsia" w:hAnsiTheme="minorEastAsia" w:hint="eastAsia"/>
          <w:szCs w:val="21"/>
        </w:rPr>
        <w:lastRenderedPageBreak/>
        <w:t>券等</w:t>
      </w:r>
    </w:p>
    <w:p w:rsidR="001F7AFB" w:rsidRPr="00453203" w:rsidRDefault="001F7AFB" w:rsidP="00643071">
      <w:pPr>
        <w:snapToGrid w:val="0"/>
        <w:spacing w:line="360" w:lineRule="auto"/>
        <w:ind w:leftChars="200" w:left="2730" w:hangingChars="1100" w:hanging="2310"/>
        <w:rPr>
          <w:rFonts w:asciiTheme="minorEastAsia" w:eastAsiaTheme="minorEastAsia" w:hAnsiTheme="minorEastAsia"/>
          <w:szCs w:val="21"/>
        </w:rPr>
        <w:sectPr w:rsidR="001F7AFB" w:rsidRPr="00453203" w:rsidSect="007F583F">
          <w:pgSz w:w="11907" w:h="16840" w:code="9"/>
          <w:pgMar w:top="1701" w:right="1814" w:bottom="1701" w:left="1814" w:header="851" w:footer="992" w:gutter="0"/>
          <w:cols w:space="425"/>
          <w:docGrid w:type="lines" w:linePitch="312"/>
        </w:sectPr>
      </w:pP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cs="宋体"/>
          <w:kern w:val="0"/>
          <w:szCs w:val="21"/>
        </w:rPr>
      </w:pPr>
      <w:bookmarkStart w:id="4" w:name="_Toc34834675"/>
      <w:r w:rsidRPr="00453203">
        <w:rPr>
          <w:rFonts w:asciiTheme="minorEastAsia" w:eastAsiaTheme="minorEastAsia" w:hAnsiTheme="minorEastAsia" w:cs="宋体" w:hint="eastAsia"/>
          <w:kern w:val="0"/>
          <w:szCs w:val="21"/>
        </w:rPr>
        <w:lastRenderedPageBreak/>
        <w:t>三、基金管理人</w:t>
      </w:r>
      <w:bookmarkEnd w:id="4"/>
    </w:p>
    <w:p w:rsidR="00DF62B8" w:rsidRPr="00453203" w:rsidRDefault="00DF62B8"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5" w:name="_Toc279089199"/>
      <w:bookmarkStart w:id="6" w:name="_Toc133292563"/>
      <w:bookmarkStart w:id="7" w:name="_Toc163189520"/>
      <w:bookmarkStart w:id="8" w:name="_Toc34834676"/>
      <w:r w:rsidRPr="00453203">
        <w:rPr>
          <w:rFonts w:asciiTheme="minorEastAsia" w:eastAsiaTheme="minorEastAsia" w:hAnsiTheme="minorEastAsia" w:cs="仿宋_GB2312" w:hint="eastAsia"/>
          <w:bCs/>
          <w:kern w:val="0"/>
          <w:sz w:val="21"/>
          <w:szCs w:val="21"/>
        </w:rPr>
        <w:t>（一）</w:t>
      </w:r>
      <w:r w:rsidRPr="00453203">
        <w:rPr>
          <w:rFonts w:asciiTheme="minorEastAsia" w:eastAsiaTheme="minorEastAsia" w:hAnsiTheme="minorEastAsia" w:cs="仿宋_GB2312"/>
          <w:bCs/>
          <w:kern w:val="0"/>
          <w:sz w:val="21"/>
          <w:szCs w:val="21"/>
        </w:rPr>
        <w:t>基金管理人</w:t>
      </w:r>
      <w:r w:rsidRPr="00453203">
        <w:rPr>
          <w:rFonts w:asciiTheme="minorEastAsia" w:eastAsiaTheme="minorEastAsia" w:hAnsiTheme="minorEastAsia" w:cs="仿宋_GB2312" w:hint="eastAsia"/>
          <w:bCs/>
          <w:kern w:val="0"/>
          <w:sz w:val="21"/>
          <w:szCs w:val="21"/>
        </w:rPr>
        <w:t>基本情况</w:t>
      </w:r>
      <w:bookmarkEnd w:id="5"/>
      <w:bookmarkEnd w:id="8"/>
    </w:p>
    <w:p w:rsidR="001F76B4" w:rsidRPr="00453203" w:rsidRDefault="001F76B4" w:rsidP="001F76B4">
      <w:pPr>
        <w:pStyle w:val="af"/>
        <w:autoSpaceDE w:val="0"/>
        <w:autoSpaceDN w:val="0"/>
        <w:adjustRightInd w:val="0"/>
        <w:snapToGrid w:val="0"/>
        <w:spacing w:line="360" w:lineRule="auto"/>
        <w:ind w:firstLineChars="200"/>
        <w:rPr>
          <w:rFonts w:asciiTheme="minorEastAsia" w:eastAsiaTheme="minorEastAsia" w:hAnsiTheme="minorEastAsia"/>
          <w:szCs w:val="21"/>
        </w:rPr>
      </w:pPr>
      <w:bookmarkStart w:id="9" w:name="_Toc279089200"/>
      <w:r w:rsidRPr="00453203">
        <w:rPr>
          <w:rFonts w:asciiTheme="minorEastAsia" w:eastAsiaTheme="minorEastAsia" w:hAnsiTheme="minorEastAsia" w:hint="eastAsia"/>
          <w:szCs w:val="21"/>
        </w:rPr>
        <w:t>1、基金管理人：易方达基金管理有限公司</w:t>
      </w:r>
    </w:p>
    <w:p w:rsidR="007B60CE" w:rsidRPr="00453203" w:rsidRDefault="001F76B4" w:rsidP="001F76B4">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注册地址：</w:t>
      </w:r>
      <w:r w:rsidR="007B60CE" w:rsidRPr="00453203">
        <w:rPr>
          <w:rFonts w:asciiTheme="minorEastAsia" w:eastAsiaTheme="minorEastAsia" w:hAnsiTheme="minorEastAsia" w:hint="eastAsia"/>
          <w:szCs w:val="21"/>
        </w:rPr>
        <w:t>广东省珠海市横琴新区宝华路6号105室-42891（集中办公区）</w:t>
      </w:r>
    </w:p>
    <w:p w:rsidR="001F76B4" w:rsidRPr="00453203" w:rsidRDefault="001F76B4" w:rsidP="001F76B4">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办公地址：广州市天河区珠江新城珠江东路30号广州银行大厦40-43楼</w:t>
      </w:r>
    </w:p>
    <w:p w:rsidR="001F76B4" w:rsidRPr="00453203" w:rsidRDefault="001F76B4" w:rsidP="001F76B4">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设立日期：</w:t>
      </w:r>
      <w:smartTag w:uri="urn:schemas-microsoft-com:office:smarttags" w:element="chsdate">
        <w:smartTagPr>
          <w:attr w:name="IsROCDate" w:val="False"/>
          <w:attr w:name="IsLunarDate" w:val="False"/>
          <w:attr w:name="Day" w:val="17"/>
          <w:attr w:name="Month" w:val="4"/>
          <w:attr w:name="Year" w:val="2001"/>
        </w:smartTagPr>
        <w:r w:rsidRPr="00453203">
          <w:rPr>
            <w:rFonts w:asciiTheme="minorEastAsia" w:eastAsiaTheme="minorEastAsia" w:hAnsiTheme="minorEastAsia" w:hint="eastAsia"/>
            <w:szCs w:val="21"/>
          </w:rPr>
          <w:t>2001年4月17日</w:t>
        </w:r>
      </w:smartTag>
    </w:p>
    <w:p w:rsidR="001F76B4" w:rsidRPr="00453203" w:rsidRDefault="001F76B4" w:rsidP="001F76B4">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法定代表人：刘晓艳</w:t>
      </w:r>
    </w:p>
    <w:p w:rsidR="001F76B4" w:rsidRPr="00453203" w:rsidRDefault="001F76B4" w:rsidP="001F76B4">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联系电话：4008818088</w:t>
      </w:r>
    </w:p>
    <w:p w:rsidR="001F76B4" w:rsidRPr="00453203" w:rsidRDefault="00F42070" w:rsidP="001F76B4">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联系人：李红枫</w:t>
      </w:r>
    </w:p>
    <w:p w:rsidR="001F76B4" w:rsidRPr="00453203" w:rsidRDefault="00CA5EE2" w:rsidP="001F76B4">
      <w:pPr>
        <w:pStyle w:val="af1"/>
        <w:adjustRightInd w:val="0"/>
        <w:snapToGrid w:val="0"/>
        <w:spacing w:line="360" w:lineRule="auto"/>
        <w:ind w:firstLine="420"/>
        <w:textAlignment w:val="baseline"/>
        <w:rPr>
          <w:rFonts w:asciiTheme="minorEastAsia" w:eastAsiaTheme="minorEastAsia" w:hAnsiTheme="minorEastAsia"/>
        </w:rPr>
      </w:pPr>
      <w:r w:rsidRPr="00453203">
        <w:rPr>
          <w:rFonts w:asciiTheme="minorEastAsia" w:eastAsiaTheme="minorEastAsia" w:hAnsiTheme="minorEastAsia" w:hint="eastAsia"/>
        </w:rPr>
        <w:t>注册资本：13,244.2万元人民币</w:t>
      </w:r>
    </w:p>
    <w:p w:rsidR="001F76B4" w:rsidRPr="00453203" w:rsidRDefault="001F76B4" w:rsidP="001F76B4">
      <w:pPr>
        <w:pStyle w:val="af1"/>
        <w:adjustRightInd w:val="0"/>
        <w:snapToGrid w:val="0"/>
        <w:spacing w:line="360" w:lineRule="auto"/>
        <w:ind w:firstLine="420"/>
        <w:textAlignment w:val="baseline"/>
        <w:rPr>
          <w:rFonts w:asciiTheme="minorEastAsia" w:eastAsiaTheme="minorEastAsia" w:hAnsiTheme="minorEastAsia"/>
        </w:rPr>
      </w:pPr>
      <w:r w:rsidRPr="00453203">
        <w:rPr>
          <w:rFonts w:asciiTheme="minorEastAsia" w:eastAsiaTheme="minorEastAsia" w:hAnsiTheme="minorEastAsia" w:hint="eastAsia"/>
        </w:rPr>
        <w:t>批准设立机关及文号：中国</w:t>
      </w:r>
      <w:r w:rsidRPr="00453203">
        <w:rPr>
          <w:rFonts w:asciiTheme="minorEastAsia" w:eastAsiaTheme="minorEastAsia" w:hAnsiTheme="minorEastAsia"/>
        </w:rPr>
        <w:t>证券</w:t>
      </w:r>
      <w:r w:rsidRPr="00453203">
        <w:rPr>
          <w:rFonts w:asciiTheme="minorEastAsia" w:eastAsiaTheme="minorEastAsia" w:hAnsiTheme="minorEastAsia" w:hint="eastAsia"/>
        </w:rPr>
        <w:t>监督管理</w:t>
      </w:r>
      <w:r w:rsidRPr="00453203">
        <w:rPr>
          <w:rFonts w:asciiTheme="minorEastAsia" w:eastAsiaTheme="minorEastAsia" w:hAnsiTheme="minorEastAsia"/>
        </w:rPr>
        <w:t>委员会</w:t>
      </w:r>
      <w:r w:rsidRPr="00453203">
        <w:rPr>
          <w:rFonts w:asciiTheme="minorEastAsia" w:eastAsiaTheme="minorEastAsia" w:hAnsiTheme="minorEastAsia" w:hint="eastAsia"/>
        </w:rPr>
        <w:t>，证监基金字[2001]4号</w:t>
      </w:r>
    </w:p>
    <w:p w:rsidR="001F76B4" w:rsidRPr="00453203" w:rsidRDefault="001F76B4" w:rsidP="001F76B4">
      <w:pPr>
        <w:pStyle w:val="af1"/>
        <w:adjustRightInd w:val="0"/>
        <w:snapToGrid w:val="0"/>
        <w:spacing w:line="360" w:lineRule="auto"/>
        <w:ind w:firstLine="420"/>
        <w:textAlignment w:val="baseline"/>
        <w:rPr>
          <w:rFonts w:asciiTheme="minorEastAsia" w:eastAsiaTheme="minorEastAsia" w:hAnsiTheme="minorEastAsia"/>
          <w:kern w:val="0"/>
          <w:szCs w:val="24"/>
        </w:rPr>
      </w:pPr>
      <w:r w:rsidRPr="00453203">
        <w:rPr>
          <w:rFonts w:asciiTheme="minorEastAsia" w:eastAsiaTheme="minorEastAsia" w:hAnsiTheme="minorEastAsia" w:hint="eastAsia"/>
        </w:rPr>
        <w:t>经营范围：</w:t>
      </w:r>
      <w:r w:rsidR="007B60CE" w:rsidRPr="00453203">
        <w:rPr>
          <w:rFonts w:asciiTheme="minorEastAsia" w:eastAsiaTheme="minorEastAsia" w:hAnsiTheme="minorEastAsia" w:hint="eastAsia"/>
        </w:rPr>
        <w:t>公开募集证券投资基金管理、基金销售、特定客户资产管理</w:t>
      </w:r>
    </w:p>
    <w:p w:rsidR="001F76B4" w:rsidRPr="00453203" w:rsidRDefault="001F76B4" w:rsidP="001F76B4">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2、股权结构：</w:t>
      </w: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2569"/>
      </w:tblGrid>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vAlign w:val="center"/>
            <w:hideMark/>
          </w:tcPr>
          <w:p w:rsidR="001F76B4" w:rsidRPr="00453203" w:rsidRDefault="001F76B4" w:rsidP="001F76B4">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股东名称</w:t>
            </w:r>
          </w:p>
        </w:tc>
        <w:tc>
          <w:tcPr>
            <w:tcW w:w="1802" w:type="pct"/>
            <w:tcBorders>
              <w:top w:val="single" w:sz="4" w:space="0" w:color="auto"/>
              <w:left w:val="single" w:sz="4" w:space="0" w:color="auto"/>
              <w:bottom w:val="single" w:sz="4" w:space="0" w:color="auto"/>
              <w:right w:val="single" w:sz="4" w:space="0" w:color="auto"/>
            </w:tcBorders>
            <w:vAlign w:val="center"/>
            <w:hideMark/>
          </w:tcPr>
          <w:p w:rsidR="001F76B4" w:rsidRPr="00453203" w:rsidRDefault="001F76B4" w:rsidP="001F76B4">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出资比例</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广东粤财信托有限公司</w:t>
            </w:r>
          </w:p>
        </w:tc>
        <w:tc>
          <w:tcPr>
            <w:tcW w:w="1802"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22.6514％</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广发证券股份有限公司</w:t>
            </w:r>
          </w:p>
        </w:tc>
        <w:tc>
          <w:tcPr>
            <w:tcW w:w="1802"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22.6514％</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盈峰控股集团有限公司</w:t>
            </w:r>
          </w:p>
        </w:tc>
        <w:tc>
          <w:tcPr>
            <w:tcW w:w="1802"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22.6514％</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广东省广晟资产经营有限公司</w:t>
            </w:r>
          </w:p>
        </w:tc>
        <w:tc>
          <w:tcPr>
            <w:tcW w:w="1802"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15.1010％</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广州市广永国有资产经营有限公司</w:t>
            </w:r>
          </w:p>
        </w:tc>
        <w:tc>
          <w:tcPr>
            <w:tcW w:w="1802"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7.5505％</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珠海祺荣宝股权投资合伙企业（有限合伙）</w:t>
            </w:r>
          </w:p>
        </w:tc>
        <w:tc>
          <w:tcPr>
            <w:tcW w:w="1802" w:type="pct"/>
            <w:tcBorders>
              <w:top w:val="single" w:sz="4" w:space="0" w:color="auto"/>
              <w:left w:val="single" w:sz="4" w:space="0" w:color="auto"/>
              <w:bottom w:val="single" w:sz="4" w:space="0" w:color="auto"/>
              <w:right w:val="single" w:sz="4" w:space="0" w:color="auto"/>
            </w:tcBorders>
            <w:hideMark/>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1.5087％</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珠海祺泰宝股权投资合伙企业（有限合伙）</w:t>
            </w:r>
          </w:p>
        </w:tc>
        <w:tc>
          <w:tcPr>
            <w:tcW w:w="1802"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1.6205％</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珠海祺丰宝股权投资合伙企业（有限合伙）</w:t>
            </w:r>
          </w:p>
        </w:tc>
        <w:tc>
          <w:tcPr>
            <w:tcW w:w="1802"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1.5309％</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珠海聚莱康股权投资合伙企业（有限合伙）</w:t>
            </w:r>
          </w:p>
        </w:tc>
        <w:tc>
          <w:tcPr>
            <w:tcW w:w="1802"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1.7558％</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珠海聚宁康股权投资合伙企业（有限合伙）</w:t>
            </w:r>
          </w:p>
        </w:tc>
        <w:tc>
          <w:tcPr>
            <w:tcW w:w="1802"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1.4396％</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珠海聚弘康股权投资合伙企业（有限合伙）</w:t>
            </w:r>
          </w:p>
        </w:tc>
        <w:tc>
          <w:tcPr>
            <w:tcW w:w="1802"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1.5388％</w:t>
            </w:r>
          </w:p>
        </w:tc>
      </w:tr>
      <w:tr w:rsidR="00453203" w:rsidRPr="00453203" w:rsidTr="00453203">
        <w:trPr>
          <w:jc w:val="center"/>
        </w:trPr>
        <w:tc>
          <w:tcPr>
            <w:tcW w:w="3198"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总   计</w:t>
            </w:r>
          </w:p>
        </w:tc>
        <w:tc>
          <w:tcPr>
            <w:tcW w:w="1802" w:type="pct"/>
            <w:tcBorders>
              <w:top w:val="single" w:sz="4" w:space="0" w:color="auto"/>
              <w:left w:val="single" w:sz="4" w:space="0" w:color="auto"/>
              <w:bottom w:val="single" w:sz="4" w:space="0" w:color="auto"/>
              <w:right w:val="single" w:sz="4" w:space="0" w:color="auto"/>
            </w:tcBorders>
          </w:tcPr>
          <w:p w:rsidR="00AB76CA" w:rsidRPr="00453203" w:rsidRDefault="00AB76CA" w:rsidP="00AB76CA">
            <w:pPr>
              <w:snapToGrid w:val="0"/>
              <w:spacing w:line="360" w:lineRule="auto"/>
              <w:ind w:firstLine="420"/>
              <w:jc w:val="center"/>
              <w:rPr>
                <w:rFonts w:asciiTheme="minorEastAsia" w:eastAsiaTheme="minorEastAsia" w:hAnsiTheme="minorEastAsia"/>
              </w:rPr>
            </w:pPr>
            <w:r w:rsidRPr="00453203">
              <w:rPr>
                <w:rFonts w:asciiTheme="minorEastAsia" w:eastAsiaTheme="minorEastAsia" w:hAnsiTheme="minorEastAsia" w:hint="eastAsia"/>
              </w:rPr>
              <w:t>100％</w:t>
            </w:r>
          </w:p>
        </w:tc>
      </w:tr>
    </w:tbl>
    <w:p w:rsidR="00DF62B8" w:rsidRPr="00453203" w:rsidRDefault="00DF62B8" w:rsidP="001F76B4">
      <w:pPr>
        <w:pStyle w:val="20"/>
        <w:snapToGrid w:val="0"/>
        <w:spacing w:beforeLines="0" w:afterLines="0" w:line="360" w:lineRule="auto"/>
        <w:ind w:firstLineChars="0" w:firstLine="0"/>
        <w:rPr>
          <w:rFonts w:asciiTheme="minorEastAsia" w:eastAsiaTheme="minorEastAsia" w:hAnsiTheme="minorEastAsia" w:cs="仿宋_GB2312"/>
          <w:bCs/>
          <w:kern w:val="0"/>
          <w:sz w:val="21"/>
          <w:szCs w:val="21"/>
        </w:rPr>
      </w:pPr>
      <w:bookmarkStart w:id="10" w:name="_Toc34834677"/>
      <w:r w:rsidRPr="00453203">
        <w:rPr>
          <w:rFonts w:asciiTheme="minorEastAsia" w:eastAsiaTheme="minorEastAsia" w:hAnsiTheme="minorEastAsia" w:hint="eastAsia"/>
          <w:bCs/>
          <w:sz w:val="21"/>
          <w:szCs w:val="21"/>
        </w:rPr>
        <w:t>（二）</w:t>
      </w:r>
      <w:r w:rsidRPr="00453203">
        <w:rPr>
          <w:rFonts w:asciiTheme="minorEastAsia" w:eastAsiaTheme="minorEastAsia" w:hAnsiTheme="minorEastAsia"/>
          <w:bCs/>
          <w:sz w:val="21"/>
          <w:szCs w:val="21"/>
        </w:rPr>
        <w:t>主要人员情况</w:t>
      </w:r>
      <w:bookmarkEnd w:id="9"/>
      <w:bookmarkEnd w:id="10"/>
    </w:p>
    <w:p w:rsidR="0032113B" w:rsidRPr="00453203" w:rsidRDefault="0032113B" w:rsidP="001F76B4">
      <w:pPr>
        <w:pStyle w:val="af1"/>
        <w:adjustRightInd w:val="0"/>
        <w:snapToGrid w:val="0"/>
        <w:spacing w:line="360" w:lineRule="auto"/>
        <w:ind w:firstLine="482"/>
        <w:textAlignment w:val="baseline"/>
        <w:rPr>
          <w:rFonts w:asciiTheme="minorEastAsia" w:eastAsiaTheme="minorEastAsia" w:hAnsiTheme="minorEastAsia" w:cs="仿宋_GB2312"/>
          <w:bCs/>
          <w:kern w:val="0"/>
          <w:szCs w:val="24"/>
        </w:rPr>
      </w:pPr>
      <w:r w:rsidRPr="00453203">
        <w:rPr>
          <w:rFonts w:asciiTheme="minorEastAsia" w:eastAsiaTheme="minorEastAsia" w:hAnsiTheme="minorEastAsia" w:cs="仿宋_GB2312" w:hint="eastAsia"/>
          <w:bCs/>
          <w:kern w:val="0"/>
          <w:szCs w:val="24"/>
        </w:rPr>
        <w:t>1</w:t>
      </w:r>
      <w:r w:rsidR="0042392E" w:rsidRPr="00453203">
        <w:rPr>
          <w:rFonts w:asciiTheme="minorEastAsia" w:eastAsiaTheme="minorEastAsia" w:hAnsiTheme="minorEastAsia" w:cs="仿宋_GB2312" w:hint="eastAsia"/>
          <w:bCs/>
          <w:kern w:val="0"/>
          <w:szCs w:val="24"/>
        </w:rPr>
        <w:t>、</w:t>
      </w:r>
      <w:r w:rsidRPr="00453203">
        <w:rPr>
          <w:rFonts w:asciiTheme="minorEastAsia" w:eastAsiaTheme="minorEastAsia" w:hAnsiTheme="minorEastAsia" w:cs="仿宋_GB2312" w:hint="eastAsia"/>
          <w:bCs/>
          <w:kern w:val="0"/>
          <w:szCs w:val="24"/>
        </w:rPr>
        <w:t>董事、监事及高级管理人员</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w:t>
      </w:r>
      <w:r w:rsidRPr="00453203">
        <w:rPr>
          <w:rFonts w:asciiTheme="minorEastAsia" w:eastAsiaTheme="minorEastAsia" w:hAnsiTheme="minorEastAsia" w:cs="Times New Roman" w:hint="eastAsia"/>
          <w:szCs w:val="24"/>
        </w:rPr>
        <w:lastRenderedPageBreak/>
        <w:t>任、投资部主任、证券投资部主任。现任易方达基金管理有限公司董事长；易方达国际控股有限公司董事长。</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广东粤财投资控股有限公司董事、总经理。</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广发证券股份有限公司执行董事、常务副总经理；广发控股（香港）有限公司董事长。</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陈志辉先生，管理学硕士，董事。曾任美的集团税务总监；安永会计师事务所广州分所高级审计员；盈峰控股集团有限公司资财中心总经理。现任宁波盈峰股权投资基金管理有限公司合伙人、联席总裁；深圳市盈峰环保产业基金管理有限公司监事；广东顺德盈峰互联网产业投资管理有限公司监事；广东神华保险代理有限公司董事；厦门瑞为信息技术有限公司董事。</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中欧国际工商学院教授；复星旅游文化集团（开曼）有限公司独立董事。</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谭劲松先生，管理学博士（会计学），独立董事。曾任邵阳市财会学校教师；中山大学管理学院助教、讲师、副教授。现任中山大学管理学院教授；中远海运特种运输股份有限</w:t>
      </w:r>
      <w:r w:rsidRPr="00453203">
        <w:rPr>
          <w:rFonts w:asciiTheme="minorEastAsia" w:eastAsiaTheme="minorEastAsia" w:hAnsiTheme="minorEastAsia" w:cs="Times New Roman" w:hint="eastAsia"/>
          <w:szCs w:val="24"/>
        </w:rPr>
        <w:lastRenderedPageBreak/>
        <w:t>公司独立董事；上海莱士血液制品股份有限公司独立董事；珠海华发实业股份有限公司独立董事；广州恒运企业集团股份有限公司独立董事；中国南方航空股份有限公司独立董事；广州环保投资集团有限公司外部董事。</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庄伟燕女士，法学博士，独立董事。曾任广东省妇女联合会干部；广东鸿鼎律师事务所主任；广东广悦鸿鼎律师事务所管委会主任。现任广东广信君达律师事务所高级合伙人。</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陈国祥先生，经济学硕士，监事会主席。曾任交通银行广州分行江南西营业部经理；广东粤财信托投资公司证券部副总经理、基金部总经理；易方达基金管理有限公司市场拓展部总经理、总裁助理、市场总监。现任易方达基金管理有限公司监事会主席。</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赵必伟先生，经济学专业研究生，监事。曾任广州市财政局第四分局工作专管员；广州市税务局对外分局工作科长、副局长；广州市广永国有资产经营有限公司董事副总裁、总裁、董事长；香港广永财务有限公司副总经理、总经理；广州市广永经贸公司总经理；广州银行股份有限公司副董事长；广州广永丽都酒店有限公司董事。现任广州市广永国有资产经营有限公司党总支书记；万联证券股份有限公司董事；广州赛马娱乐总公司副董事长；广州银行股份有限公司董事。</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廖智先生，经济学硕士，监事。曾任广东证券股份有限公司基金部主管；易方达基金管理有限公司综合管理部副总经理、人力资源部副总经理、市场部总经理、互联网金融部总经理。现任易方达基金管理有限公司总裁助理；广东粤财互联网金融股份有限公司董事。</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张优造先生，工商管理硕士(MBA)，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马骏先生，高级管理人员工商管理硕士（EMBA），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50指数证券投资基金基金经理、易方达深证100交易型开放式指数基金基金经理。现任易方达基金管理有限公司副总裁；易方达资产管理（香港）有限公司董事、人民币合格境外投资者（RQFII）业务负责人、证券交易负责人员（RO）、就证券提供意见负责人员（RO）、提供资产管理负</w:t>
      </w:r>
      <w:r w:rsidRPr="00453203">
        <w:rPr>
          <w:rFonts w:asciiTheme="minorEastAsia" w:eastAsiaTheme="minorEastAsia" w:hAnsiTheme="minorEastAsia" w:cs="Times New Roman" w:hint="eastAsia"/>
          <w:szCs w:val="24"/>
        </w:rPr>
        <w:lastRenderedPageBreak/>
        <w:t>责人员（RO）、固定收益投资决策委员会委员、产品审批委员会委员。</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张南女士，经济学博士，督察长。曾任广东省经济贸易委员会主任科员、副处长；易方达基金管理有限公司市场拓展部副总经理、监察部总经理。现任易方达基金管理有限公司督察长。</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范岳先生，工商管理硕士(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关秀霞女士，财务硕士、工商管理硕士，首席国际业务官。曾任中国银行 (香港) 分析员；Daniel Dennis 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高松凡先生，高级管理人员工商管理硕士（EMBA），首席养老金业务官。曾任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rsidR="00AB76CA" w:rsidRPr="00453203" w:rsidRDefault="00AB76CA" w:rsidP="00AB76CA">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现任易方达基金管理有限公司首席运营官，兼任公司财务中心主任；易方达资产管理（香港）有限公司董事；易方达资产管理有限公司监事；易方达海外投资（深圳）有限公司监事。</w:t>
      </w:r>
    </w:p>
    <w:p w:rsidR="00480112" w:rsidRPr="00453203" w:rsidRDefault="00AB76CA" w:rsidP="00440A93">
      <w:pPr>
        <w:pStyle w:val="af1"/>
        <w:adjustRightInd w:val="0"/>
        <w:snapToGrid w:val="0"/>
        <w:spacing w:line="360" w:lineRule="auto"/>
        <w:ind w:firstLine="482"/>
        <w:textAlignment w:val="baseline"/>
        <w:rPr>
          <w:rFonts w:asciiTheme="minorEastAsia" w:eastAsiaTheme="minorEastAsia" w:hAnsiTheme="minorEastAsia" w:cs="Times New Roman"/>
          <w:szCs w:val="24"/>
        </w:rPr>
      </w:pPr>
      <w:r w:rsidRPr="00453203">
        <w:rPr>
          <w:rFonts w:asciiTheme="minorEastAsia" w:eastAsiaTheme="minorEastAsia" w:hAnsiTheme="minorEastAsia" w:cs="Times New Roman" w:hint="eastAsia"/>
          <w:szCs w:val="24"/>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rsidR="00480112" w:rsidRPr="00453203" w:rsidRDefault="00480112"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rPr>
        <w:t>2、基金经理</w:t>
      </w:r>
    </w:p>
    <w:p w:rsidR="00480112" w:rsidRPr="00453203" w:rsidRDefault="00480112"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成曦先生，经济学硕士。曾任华泰联合证券资产管理部研究员，易方达基金管理有限公司集中交易室交易员、指数与量化投资部指数基金运作专员、基金经理助理、易方达深证成指交易型开放式指数证券投资基金基金经理（自</w:t>
      </w:r>
      <w:r w:rsidRPr="00453203">
        <w:rPr>
          <w:rFonts w:asciiTheme="minorEastAsia" w:eastAsiaTheme="minorEastAsia" w:hAnsiTheme="minorEastAsia"/>
        </w:rPr>
        <w:t>2017年4月27日至2019年8月15日）、易方达深证成指交易型开放式指数证券投资基金联接基金基金经理（自2017年5月4日至2019年8月15日）。现任易方达基金管理有限公司易方达深证100交易型开放式指数基金基金经理（自2016年5月7日起任职）、易方达深证100交易型开放式指数证券投资基金</w:t>
      </w:r>
      <w:r w:rsidRPr="00453203">
        <w:rPr>
          <w:rFonts w:asciiTheme="minorEastAsia" w:eastAsiaTheme="minorEastAsia" w:hAnsiTheme="minorEastAsia" w:hint="eastAsia"/>
        </w:rPr>
        <w:t>联接基金基金经理（自</w:t>
      </w:r>
      <w:r w:rsidRPr="00453203">
        <w:rPr>
          <w:rFonts w:asciiTheme="minorEastAsia" w:eastAsiaTheme="minorEastAsia" w:hAnsiTheme="minorEastAsia"/>
        </w:rPr>
        <w:t>2016年5月7日起任职）、易方达创业板交易型开放式指数证券投资基金基金经理（自2016年5月7日起任职）、易方达创业板交易型开放式指数证券投资基金联接基金基金经理（自2016年5月7日起任职）、易方达中小板指数证券投资基金（LOF）（原易方达中小板指数分级证券投资基金）基金经理（自2016年5月7日起任职）、易方达银行指数分级证券投资基金基金经理（自2016年5月7日起任职）、易方达生物科技指数分级证券投资基金基金经理（自2016年5月7日起任职）、易方达并购重组指数分级证券投资基金</w:t>
      </w:r>
      <w:r w:rsidRPr="00453203">
        <w:rPr>
          <w:rFonts w:asciiTheme="minorEastAsia" w:eastAsiaTheme="minorEastAsia" w:hAnsiTheme="minorEastAsia" w:hint="eastAsia"/>
        </w:rPr>
        <w:t>基金经理（自</w:t>
      </w:r>
      <w:r w:rsidRPr="00453203">
        <w:rPr>
          <w:rFonts w:asciiTheme="minorEastAsia" w:eastAsiaTheme="minorEastAsia" w:hAnsiTheme="minorEastAsia"/>
        </w:rPr>
        <w:t>2016年5月7日起任职）、易方达MSCI中国A股国际通交易型开放式指数证券投资基金基金经理（自2018年5月17日起任职）、易方达恒生中国企业交易型开放式指数证券投资基金基金经理（自2018年8月11日起任职）、易方达恒生中国企业交易型开放式指数证券投资基金联接基金基金经理（自2018年8月11日起任职）、易方达原油证券投资基金（QDII）基金经理（自2018年8月11日起任职）、易方达纳斯达克100指数证券投资基金（LOF）基金经理（自2018年8月11日起任职）、易方达MSCI中国A股国</w:t>
      </w:r>
      <w:r w:rsidRPr="00453203">
        <w:rPr>
          <w:rFonts w:asciiTheme="minorEastAsia" w:eastAsiaTheme="minorEastAsia" w:hAnsiTheme="minorEastAsia" w:hint="eastAsia"/>
        </w:rPr>
        <w:t>际通交易型开放式指数证券投资基金发起式联接基金基金经理（自</w:t>
      </w:r>
      <w:r w:rsidRPr="00453203">
        <w:rPr>
          <w:rFonts w:asciiTheme="minorEastAsia" w:eastAsiaTheme="minorEastAsia" w:hAnsiTheme="minorEastAsia"/>
        </w:rPr>
        <w:t>2019年3月13日起任职）、易方达上证50交易型开放式指数证券投资基金基金经理（自2019年9月6日起任职）、易方达上证50交易型开放式指数证券投资基金发起式联接基金基金经理（自2019年9月9日起任职）。</w:t>
      </w:r>
    </w:p>
    <w:p w:rsidR="00480112" w:rsidRPr="00453203" w:rsidRDefault="00480112"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刘树荣先生，经济学硕士。曾任招商银行资产托管部基金会计，易方达基金管理有限公司核算部基金核算专员、指数与量化投资部运作支持专员、基金经理助理、易方达深证成指交易型开放式指数证券投资基金基金经理（自</w:t>
      </w:r>
      <w:r w:rsidRPr="00453203">
        <w:rPr>
          <w:rFonts w:asciiTheme="minorEastAsia" w:eastAsiaTheme="minorEastAsia" w:hAnsiTheme="minorEastAsia"/>
        </w:rPr>
        <w:t>2017年7月18日至2019年8月15日）</w:t>
      </w:r>
      <w:r w:rsidRPr="00453203">
        <w:rPr>
          <w:rFonts w:asciiTheme="minorEastAsia" w:eastAsiaTheme="minorEastAsia" w:hAnsiTheme="minorEastAsia" w:hint="eastAsia"/>
        </w:rPr>
        <w:t>、易方达深证成指交易型开放式指数证券投资基金联接基金基金经理（自</w:t>
      </w:r>
      <w:r w:rsidRPr="00453203">
        <w:rPr>
          <w:rFonts w:asciiTheme="minorEastAsia" w:eastAsiaTheme="minorEastAsia" w:hAnsiTheme="minorEastAsia"/>
        </w:rPr>
        <w:t>2017年7月18日至2019年8月15日）。现任易方达基金管理有限公司易方达深证100交易型开放式指数基金基金经理（自2017年7月18日起任职）、易方达深证100交易型开放式指数证券投资基金联接基金基金经理（自2017年7月18日起任职）、易方达创业板交易型开放式指数证券投资基金基金经理（自2017年7月18日起任职）、易方达创业板交易型开放式指数证券投资基金联接基金基金经理（自2017年7月18日起任职）、易方达中小板指数证券投资基金</w:t>
      </w:r>
      <w:r w:rsidRPr="00453203">
        <w:rPr>
          <w:rFonts w:asciiTheme="minorEastAsia" w:eastAsiaTheme="minorEastAsia" w:hAnsiTheme="minorEastAsia" w:hint="eastAsia"/>
        </w:rPr>
        <w:t>（</w:t>
      </w:r>
      <w:r w:rsidRPr="00453203">
        <w:rPr>
          <w:rFonts w:asciiTheme="minorEastAsia" w:eastAsiaTheme="minorEastAsia" w:hAnsiTheme="minorEastAsia"/>
        </w:rPr>
        <w:t>LOF）（原易方达中小板指数分级证券投资基金）基金经理（自2017年7月18日起任职）、易方达银行指数分级证券投资基金基金经理（自2017年7月18日起任职）、易方达生物科</w:t>
      </w:r>
      <w:r w:rsidRPr="00453203">
        <w:rPr>
          <w:rFonts w:asciiTheme="minorEastAsia" w:eastAsiaTheme="minorEastAsia" w:hAnsiTheme="minorEastAsia"/>
        </w:rPr>
        <w:lastRenderedPageBreak/>
        <w:t>技指数分级证券投资基金基金经理（自2017年7月18日起任职）、易方达并购重组指数分级证券投资基金基金经理（自2017年7月18日起任职）、易方达上证中盘交易型开放式指数证券投资基金基金经理（自2018年8月11日起任职）、易方达上证中盘交易型开放式指数证券投资基金联接基金基金经理（自2018年8月11日起任职）、易方达香港恒生综合小</w:t>
      </w:r>
      <w:r w:rsidRPr="00453203">
        <w:rPr>
          <w:rFonts w:asciiTheme="minorEastAsia" w:eastAsiaTheme="minorEastAsia" w:hAnsiTheme="minorEastAsia" w:hint="eastAsia"/>
        </w:rPr>
        <w:t>型股指数证券投资基金（</w:t>
      </w:r>
      <w:r w:rsidRPr="00453203">
        <w:rPr>
          <w:rFonts w:asciiTheme="minorEastAsia" w:eastAsiaTheme="minorEastAsia" w:hAnsiTheme="minorEastAsia"/>
        </w:rPr>
        <w:t>LOF）基金经理（自2018年8月11日起任职）、易方达标普医疗保健指数证券投资基金(LOF) 基金经理（自2018年8月11日起任职）、易方达标普500指数证券投资基金（LOF）基金经理（自2018年8月11日起任职）、易方达标普生物科技指数证券投资基金（LOF）基金经理（自2018年8月11日起任职）、易方达标普信息科技指数证券投资基金（LOF）基金经理（自2018年8月11日起任职）、易方达中证800交易型开放式指数证券投资基金基金经理（自2019年10月8日起任职）、易方达中</w:t>
      </w:r>
      <w:r w:rsidRPr="00453203">
        <w:rPr>
          <w:rFonts w:asciiTheme="minorEastAsia" w:eastAsiaTheme="minorEastAsia" w:hAnsiTheme="minorEastAsia" w:hint="eastAsia"/>
        </w:rPr>
        <w:t>证</w:t>
      </w:r>
      <w:r w:rsidRPr="00453203">
        <w:rPr>
          <w:rFonts w:asciiTheme="minorEastAsia" w:eastAsiaTheme="minorEastAsia" w:hAnsiTheme="minorEastAsia"/>
        </w:rPr>
        <w:t>800交易型开放式指数证券投资基金发起式联接基金基金经理（自2019年10月21日起任职）。</w:t>
      </w:r>
    </w:p>
    <w:p w:rsidR="00480112" w:rsidRPr="00453203" w:rsidRDefault="00480112"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本基金历任基金经理情况：王建军先生，管理时间为</w:t>
      </w:r>
      <w:r w:rsidRPr="00453203">
        <w:rPr>
          <w:rFonts w:asciiTheme="minorEastAsia" w:eastAsiaTheme="minorEastAsia" w:hAnsiTheme="minorEastAsia"/>
        </w:rPr>
        <w:t>2011年9月20日至2016年7月5日。</w:t>
      </w:r>
    </w:p>
    <w:p w:rsidR="00480112" w:rsidRPr="00453203" w:rsidRDefault="00480112"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rPr>
        <w:t>3、指数投资决策委员会成员</w:t>
      </w:r>
    </w:p>
    <w:p w:rsidR="00480112" w:rsidRPr="00453203" w:rsidRDefault="00480112"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本公司指数投资决策委员会成员包括：林飞先生、张胜记先生、林伟斌先生。</w:t>
      </w:r>
    </w:p>
    <w:p w:rsidR="00480112" w:rsidRPr="00453203" w:rsidRDefault="00480112"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林飞先生，经济学博士。曾任融通基金管理有限公司研究员、基金经理助理，易方达基金管理有限公司基金经理助理、指数与量化投资部总经理助理、指数与量化投资部副总经理、指数与量化投资部总经理、量化基金组合部总经理、指数与量化投资管理总部总经理、指数及增强投资部总经理、量化策略部总经理、量化投资部代总经理、易方达沪深</w:t>
      </w:r>
      <w:r w:rsidRPr="00453203">
        <w:rPr>
          <w:rFonts w:asciiTheme="minorEastAsia" w:eastAsiaTheme="minorEastAsia" w:hAnsiTheme="minorEastAsia"/>
        </w:rPr>
        <w:t>300指数证券投资基金基金经理、易方达深证100交易型开放式指数基金基金经理、易方达50指数证券投资基金基金经理、易方达深证100交易型开放式指数证券投资基金联接基金基金经理、易方达沪深300交易型开放式指数发起式证券投资基金基金经理、易方达沪深300医药卫生交易型开放式指数证券投资基金基金经理、易方达沪深300非银行金融交易型开放式指数证券投资基金基金经理。现任易方达基金管理有限公司指数管理总部总经理、解决方案部总经理、投资</w:t>
      </w:r>
      <w:r w:rsidRPr="00453203">
        <w:rPr>
          <w:rFonts w:asciiTheme="minorEastAsia" w:eastAsiaTheme="minorEastAsia" w:hAnsiTheme="minorEastAsia" w:hint="eastAsia"/>
        </w:rPr>
        <w:t>经理，易方达资产管理（香港）有限公司就证券提供意见负责人员（</w:t>
      </w:r>
      <w:r w:rsidRPr="00453203">
        <w:rPr>
          <w:rFonts w:asciiTheme="minorEastAsia" w:eastAsiaTheme="minorEastAsia" w:hAnsiTheme="minorEastAsia"/>
        </w:rPr>
        <w:t>RO）、提供资产管理负责人员（RO）、证券交易负责人员（RO）。</w:t>
      </w:r>
    </w:p>
    <w:p w:rsidR="00823999" w:rsidRPr="00453203" w:rsidRDefault="00823999" w:rsidP="00823999">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张胜记先生，管理学硕士。曾任易方达基金管理有限公司投资经理助理、基金经理助理、行业研究员、指数与量化投资部总经理助理、指数与量化投资部副总经理、指数及增强投资部副总经理、易方达沪深300交易型开放式指数发起式证券投资基金联接基金（原易方达沪深300指数证券投资基金）基金经理、易方达上证中盘交易型开放式指数证券投资基金基金经理、易方达上证中盘交易型开放式指数证券投资基金联接基金基金经理、易方达标普医疗保健指数证券投资基金（LOF）基金经理、易方达标普500指数证券投资基金（LOF）基金经理、易方达标普生物科技指数证券投资基金（LOF）基金经理、易方达标普</w:t>
      </w:r>
      <w:r w:rsidRPr="00453203">
        <w:rPr>
          <w:rFonts w:asciiTheme="minorEastAsia" w:eastAsiaTheme="minorEastAsia" w:hAnsiTheme="minorEastAsia" w:hint="eastAsia"/>
        </w:rPr>
        <w:lastRenderedPageBreak/>
        <w:t>信息科技指数证券投资基金（LOF）基金经理。现任易方达基金管理有限公司指数投资部总经理、易方达恒生中国企业交易型开放式指数证券投资基金基金经理、易方达恒生中国企业交易型开放式指数证券投资基金联接基金基金经理、易方达50指数证券投资基金基金经理、易方达标普全球高端消费品指数增强型证券投资基金基金经理、易方达香港恒生综合小型股指数证券投资基金（LOF）基金经理、易方达原油证券投资基金（QDII）基金经理。</w:t>
      </w:r>
    </w:p>
    <w:p w:rsidR="00823999" w:rsidRPr="00453203" w:rsidRDefault="00823999"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林伟斌先生，经济学博士。曾任中国金融期货交易所股份有限公司研发部研究员，易方达基金管理有限公司指数与量化投资部指数量化研究员、基金经理助理兼任指数量化研究员、量化基金组合部副总经理、量化策略部副总经理、易方达沪深300交易型开放式指数发起式证券投资基金基金经理、易方达沪深300交易型开放式指数发起式证券投资基金联接基金基金经理、易方达中证500交易型开放式指数证券投资基金基金经理、易方达黄金交易型开放式证券投资基金基金经理、易方达黄金交易型开放式证券投资基金联接基金基金经理、易方达标普医疗保健指数证券投资基金（LOF）基金经理、易方达标普500指数证券投资基金（LOF）基金经理、易方达标普生物科技指数证券投资基金（LOF）基金经理、易方达标普信息科技指数证券投资基金（LOF）基金经理、易方达纳斯达克100指数证券投资基金（LOF）基金经理。现任易方达基金管理有限公司指数投资部副总经理、易方达中证800交易型开放式指数证券投资基金基金经理、易方达中证800交易型开放式指数证券投资基金发起式联接基金基金经理、易方达中证红利交易型开放式指数证券投资基金基金经理。</w:t>
      </w:r>
    </w:p>
    <w:p w:rsidR="007A7394" w:rsidRPr="00453203" w:rsidRDefault="007A7394" w:rsidP="00643071">
      <w:pPr>
        <w:snapToGrid w:val="0"/>
        <w:spacing w:line="360" w:lineRule="auto"/>
        <w:ind w:firstLineChars="200" w:firstLine="420"/>
        <w:rPr>
          <w:rFonts w:asciiTheme="minorEastAsia" w:eastAsiaTheme="minorEastAsia" w:hAnsiTheme="minorEastAsia" w:cs="仿宋_GB2312"/>
          <w:bCs/>
          <w:kern w:val="0"/>
        </w:rPr>
      </w:pPr>
      <w:r w:rsidRPr="00453203">
        <w:rPr>
          <w:rFonts w:asciiTheme="minorEastAsia" w:eastAsiaTheme="minorEastAsia" w:hAnsiTheme="minorEastAsia" w:cs="仿宋_GB2312" w:hint="eastAsia"/>
          <w:bCs/>
          <w:kern w:val="0"/>
          <w:szCs w:val="21"/>
        </w:rPr>
        <w:t>4、上述人员之间均不存在近亲属关系。</w:t>
      </w:r>
    </w:p>
    <w:p w:rsidR="00DF62B8" w:rsidRPr="00453203" w:rsidRDefault="00DF62B8" w:rsidP="00741477">
      <w:pPr>
        <w:pStyle w:val="20"/>
        <w:snapToGrid w:val="0"/>
        <w:spacing w:beforeLines="0" w:afterLines="0" w:line="360" w:lineRule="auto"/>
        <w:ind w:firstLineChars="0" w:firstLine="0"/>
        <w:rPr>
          <w:rFonts w:asciiTheme="minorEastAsia" w:eastAsiaTheme="minorEastAsia" w:hAnsiTheme="minorEastAsia"/>
          <w:bCs/>
          <w:sz w:val="21"/>
          <w:szCs w:val="21"/>
        </w:rPr>
      </w:pPr>
      <w:bookmarkStart w:id="11" w:name="_Toc279089201"/>
      <w:bookmarkStart w:id="12" w:name="_Toc34834678"/>
      <w:r w:rsidRPr="00453203">
        <w:rPr>
          <w:rFonts w:asciiTheme="minorEastAsia" w:eastAsiaTheme="minorEastAsia" w:hAnsiTheme="minorEastAsia" w:hint="eastAsia"/>
          <w:bCs/>
          <w:sz w:val="21"/>
          <w:szCs w:val="21"/>
        </w:rPr>
        <w:t>（三）</w:t>
      </w:r>
      <w:r w:rsidRPr="00453203">
        <w:rPr>
          <w:rFonts w:asciiTheme="minorEastAsia" w:eastAsiaTheme="minorEastAsia" w:hAnsiTheme="minorEastAsia"/>
          <w:bCs/>
          <w:sz w:val="21"/>
          <w:szCs w:val="21"/>
        </w:rPr>
        <w:t>基金管理人的职责</w:t>
      </w:r>
      <w:bookmarkEnd w:id="11"/>
      <w:bookmarkEnd w:id="12"/>
    </w:p>
    <w:p w:rsidR="00DF62B8" w:rsidRPr="00453203" w:rsidRDefault="00877AAF"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hint="eastAsia"/>
        </w:rPr>
        <w:t>依法募集资金，办理基金份额的发售和登记事宜</w:t>
      </w:r>
      <w:r w:rsidR="00DF62B8" w:rsidRPr="00453203">
        <w:rPr>
          <w:rFonts w:asciiTheme="minorEastAsia" w:eastAsiaTheme="minorEastAsia" w:hAnsiTheme="minorEastAsia"/>
        </w:rPr>
        <w:t>；</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rPr>
        <w:t>办理基金备案手续；</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rPr>
        <w:t>对所管理的不同基金财产分别管理、分别记账，进行证券投资；</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rPr>
        <w:t>按照基金合同的约定确定基金收益分配方案，及时向基金份额持有人分配收益；</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rPr>
        <w:t>进行基金会计核算并编制基金财务会计报告；</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rPr>
        <w:t>编制</w:t>
      </w:r>
      <w:r w:rsidRPr="00453203">
        <w:rPr>
          <w:rFonts w:asciiTheme="minorEastAsia" w:eastAsiaTheme="minorEastAsia" w:hAnsiTheme="minorEastAsia" w:hint="eastAsia"/>
        </w:rPr>
        <w:t>季度</w:t>
      </w:r>
      <w:r w:rsidR="00621B67" w:rsidRPr="00453203">
        <w:rPr>
          <w:rFonts w:asciiTheme="minorEastAsia" w:eastAsiaTheme="minorEastAsia" w:hAnsiTheme="minorEastAsia" w:hint="eastAsia"/>
        </w:rPr>
        <w:t>报告</w:t>
      </w:r>
      <w:r w:rsidRPr="00453203">
        <w:rPr>
          <w:rFonts w:asciiTheme="minorEastAsia" w:eastAsiaTheme="minorEastAsia" w:hAnsiTheme="minorEastAsia" w:hint="eastAsia"/>
        </w:rPr>
        <w:t>、</w:t>
      </w:r>
      <w:r w:rsidR="00621B67" w:rsidRPr="00453203">
        <w:rPr>
          <w:rFonts w:asciiTheme="minorEastAsia" w:eastAsiaTheme="minorEastAsia" w:hAnsiTheme="minorEastAsia" w:hint="eastAsia"/>
        </w:rPr>
        <w:t>中期报告</w:t>
      </w:r>
      <w:r w:rsidRPr="00453203">
        <w:rPr>
          <w:rFonts w:asciiTheme="minorEastAsia" w:eastAsiaTheme="minorEastAsia" w:hAnsiTheme="minorEastAsia"/>
        </w:rPr>
        <w:t>和年度报告；</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rPr>
        <w:t>计算并公告基金净值</w:t>
      </w:r>
      <w:r w:rsidR="00621B67" w:rsidRPr="00453203">
        <w:rPr>
          <w:rFonts w:asciiTheme="minorEastAsia" w:eastAsiaTheme="minorEastAsia" w:hAnsiTheme="minorEastAsia"/>
        </w:rPr>
        <w:t>信息</w:t>
      </w:r>
      <w:r w:rsidRPr="00453203">
        <w:rPr>
          <w:rFonts w:asciiTheme="minorEastAsia" w:eastAsiaTheme="minorEastAsia" w:hAnsiTheme="minorEastAsia"/>
        </w:rPr>
        <w:t>，确定基金份额申购、赎回价格；</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rPr>
        <w:t>办理与基金财产管理业务活动有关的信息披露事项；</w:t>
      </w:r>
    </w:p>
    <w:p w:rsidR="00DF62B8" w:rsidRPr="00453203" w:rsidRDefault="00877AAF"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hint="eastAsia"/>
        </w:rPr>
        <w:t>按照规定</w:t>
      </w:r>
      <w:r w:rsidR="00DF62B8" w:rsidRPr="00453203">
        <w:rPr>
          <w:rFonts w:asciiTheme="minorEastAsia" w:eastAsiaTheme="minorEastAsia" w:hAnsiTheme="minorEastAsia"/>
        </w:rPr>
        <w:t>召集基金份额持有人大会；</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hint="eastAsia"/>
        </w:rPr>
        <w:t>保存基</w:t>
      </w:r>
      <w:r w:rsidRPr="00453203">
        <w:rPr>
          <w:rFonts w:asciiTheme="minorEastAsia" w:eastAsiaTheme="minorEastAsia" w:hAnsiTheme="minorEastAsia"/>
        </w:rPr>
        <w:t>金财产管理业务活动的记录、账册、报表和其他相关资料；</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rPr>
        <w:t>以基金管理人名义，代表基金份额持有人利益行使诉讼权利或者实施其他法律行为；</w:t>
      </w:r>
    </w:p>
    <w:p w:rsidR="00DF62B8" w:rsidRPr="00453203" w:rsidRDefault="00DF62B8" w:rsidP="00643071">
      <w:pPr>
        <w:numPr>
          <w:ilvl w:val="0"/>
          <w:numId w:val="5"/>
        </w:numPr>
        <w:tabs>
          <w:tab w:val="clear" w:pos="780"/>
          <w:tab w:val="left" w:pos="735"/>
          <w:tab w:val="num" w:pos="900"/>
        </w:tabs>
        <w:snapToGrid w:val="0"/>
        <w:spacing w:line="360" w:lineRule="auto"/>
        <w:ind w:left="900" w:hanging="480"/>
        <w:rPr>
          <w:rFonts w:asciiTheme="minorEastAsia" w:eastAsiaTheme="minorEastAsia" w:hAnsiTheme="minorEastAsia"/>
        </w:rPr>
      </w:pPr>
      <w:r w:rsidRPr="00453203">
        <w:rPr>
          <w:rFonts w:asciiTheme="minorEastAsia" w:eastAsiaTheme="minorEastAsia" w:hAnsiTheme="minorEastAsia"/>
        </w:rPr>
        <w:t>国务院证券监督管理机构规定的其他职责。</w:t>
      </w:r>
    </w:p>
    <w:p w:rsidR="00DF62B8" w:rsidRPr="00453203" w:rsidRDefault="00DF62B8" w:rsidP="00741477">
      <w:pPr>
        <w:pStyle w:val="20"/>
        <w:snapToGrid w:val="0"/>
        <w:spacing w:beforeLines="0" w:afterLines="0" w:line="360" w:lineRule="auto"/>
        <w:ind w:firstLineChars="0" w:firstLine="0"/>
        <w:rPr>
          <w:rFonts w:asciiTheme="minorEastAsia" w:eastAsiaTheme="minorEastAsia" w:hAnsiTheme="minorEastAsia"/>
          <w:bCs/>
          <w:sz w:val="21"/>
          <w:szCs w:val="21"/>
        </w:rPr>
      </w:pPr>
      <w:bookmarkStart w:id="13" w:name="_Toc279089202"/>
      <w:bookmarkStart w:id="14" w:name="_Toc34834679"/>
      <w:r w:rsidRPr="00453203">
        <w:rPr>
          <w:rFonts w:asciiTheme="minorEastAsia" w:eastAsiaTheme="minorEastAsia" w:hAnsiTheme="minorEastAsia" w:hint="eastAsia"/>
          <w:bCs/>
          <w:sz w:val="21"/>
          <w:szCs w:val="21"/>
        </w:rPr>
        <w:lastRenderedPageBreak/>
        <w:t>（四）</w:t>
      </w:r>
      <w:r w:rsidRPr="00453203">
        <w:rPr>
          <w:rFonts w:asciiTheme="minorEastAsia" w:eastAsiaTheme="minorEastAsia" w:hAnsiTheme="minorEastAsia"/>
          <w:bCs/>
          <w:sz w:val="21"/>
          <w:szCs w:val="21"/>
        </w:rPr>
        <w:t>基金管理人的承诺</w:t>
      </w:r>
      <w:bookmarkEnd w:id="13"/>
      <w:bookmarkEnd w:id="14"/>
    </w:p>
    <w:p w:rsidR="00DF62B8" w:rsidRPr="00453203" w:rsidRDefault="00DF62B8" w:rsidP="008E5A93">
      <w:pPr>
        <w:numPr>
          <w:ilvl w:val="0"/>
          <w:numId w:val="10"/>
        </w:numPr>
        <w:tabs>
          <w:tab w:val="clear" w:pos="90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DF62B8" w:rsidRPr="00453203" w:rsidRDefault="00DF62B8" w:rsidP="008E5A93">
      <w:pPr>
        <w:numPr>
          <w:ilvl w:val="0"/>
          <w:numId w:val="10"/>
        </w:numPr>
        <w:tabs>
          <w:tab w:val="clear" w:pos="90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本基金管理人承诺严格遵守《证券法》、《基金法》及有关法律法规，建立健全内部控制制度，采取有效措施，防止下列行为发生：</w:t>
      </w:r>
    </w:p>
    <w:p w:rsidR="00DF62B8" w:rsidRPr="00453203" w:rsidRDefault="00DF62B8" w:rsidP="00643071">
      <w:pPr>
        <w:numPr>
          <w:ilvl w:val="1"/>
          <w:numId w:val="6"/>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将其固有财产或者他人财产混同于基金财产从事证券投资；</w:t>
      </w:r>
    </w:p>
    <w:p w:rsidR="00DF62B8" w:rsidRPr="00453203" w:rsidRDefault="00DF62B8" w:rsidP="00643071">
      <w:pPr>
        <w:numPr>
          <w:ilvl w:val="1"/>
          <w:numId w:val="6"/>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不公平地对待其管理的不同基金财产；</w:t>
      </w:r>
    </w:p>
    <w:p w:rsidR="00DF62B8" w:rsidRPr="00453203" w:rsidRDefault="00DF62B8" w:rsidP="00643071">
      <w:pPr>
        <w:numPr>
          <w:ilvl w:val="1"/>
          <w:numId w:val="6"/>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利用基金财产</w:t>
      </w:r>
      <w:r w:rsidR="00877AAF" w:rsidRPr="00453203">
        <w:rPr>
          <w:rFonts w:asciiTheme="minorEastAsia" w:eastAsiaTheme="minorEastAsia" w:hAnsiTheme="minorEastAsia" w:hint="eastAsia"/>
        </w:rPr>
        <w:t>或者职务之便</w:t>
      </w:r>
      <w:r w:rsidRPr="00453203">
        <w:rPr>
          <w:rFonts w:asciiTheme="minorEastAsia" w:eastAsiaTheme="minorEastAsia" w:hAnsiTheme="minorEastAsia" w:hint="eastAsia"/>
        </w:rPr>
        <w:t>为基金份额持有人以外的第三人谋取利益；</w:t>
      </w:r>
    </w:p>
    <w:p w:rsidR="00DF62B8" w:rsidRPr="00453203" w:rsidRDefault="00DF62B8" w:rsidP="00643071">
      <w:pPr>
        <w:numPr>
          <w:ilvl w:val="1"/>
          <w:numId w:val="6"/>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向基金份额持有人违规承诺收益或者承担损失；</w:t>
      </w:r>
    </w:p>
    <w:p w:rsidR="00877AAF" w:rsidRPr="00453203" w:rsidRDefault="00877AAF" w:rsidP="00643071">
      <w:pPr>
        <w:numPr>
          <w:ilvl w:val="1"/>
          <w:numId w:val="6"/>
        </w:numPr>
        <w:tabs>
          <w:tab w:val="clear" w:pos="1134"/>
          <w:tab w:val="left" w:pos="735"/>
          <w:tab w:val="num" w:pos="1140"/>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侵占、挪用基金财产；</w:t>
      </w:r>
    </w:p>
    <w:p w:rsidR="00877AAF" w:rsidRPr="00453203" w:rsidRDefault="00877AAF" w:rsidP="00643071">
      <w:pPr>
        <w:numPr>
          <w:ilvl w:val="1"/>
          <w:numId w:val="6"/>
        </w:numPr>
        <w:tabs>
          <w:tab w:val="clear" w:pos="1134"/>
          <w:tab w:val="left" w:pos="735"/>
          <w:tab w:val="num" w:pos="1140"/>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泄露因职务便利获取的未公开信息、利用该信息从事或者明示、暗示他人从事相关的交易活动；</w:t>
      </w:r>
    </w:p>
    <w:p w:rsidR="00877AAF" w:rsidRPr="00453203" w:rsidRDefault="00877AAF" w:rsidP="00643071">
      <w:pPr>
        <w:numPr>
          <w:ilvl w:val="1"/>
          <w:numId w:val="6"/>
        </w:numPr>
        <w:tabs>
          <w:tab w:val="clear" w:pos="1134"/>
          <w:tab w:val="left" w:pos="735"/>
          <w:tab w:val="num" w:pos="1140"/>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玩忽职守，不按照规定履行职责；</w:t>
      </w:r>
    </w:p>
    <w:p w:rsidR="00DF62B8" w:rsidRPr="00453203" w:rsidRDefault="00877AAF" w:rsidP="00643071">
      <w:pPr>
        <w:numPr>
          <w:ilvl w:val="1"/>
          <w:numId w:val="6"/>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法律、行政法规和中国证监会规定禁止的其他行为。</w:t>
      </w:r>
    </w:p>
    <w:p w:rsidR="00DF62B8" w:rsidRPr="00453203" w:rsidRDefault="00DF62B8" w:rsidP="008E5A93">
      <w:pPr>
        <w:numPr>
          <w:ilvl w:val="0"/>
          <w:numId w:val="10"/>
        </w:numPr>
        <w:tabs>
          <w:tab w:val="clear" w:pos="90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本基金管理人承诺加强人员管理，强化职业操守，督促和约束员工遵守国家有关法律、法规及行业规范，诚实信用、勤勉尽责，不从事以下活动：</w:t>
      </w:r>
    </w:p>
    <w:p w:rsidR="00DF62B8" w:rsidRPr="00453203" w:rsidRDefault="00DF62B8" w:rsidP="008E5A93">
      <w:pPr>
        <w:numPr>
          <w:ilvl w:val="0"/>
          <w:numId w:val="9"/>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越权或违规经营；</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违反基金合同或托管协议；</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故意损害基金份额持有人或其他基金相关机构的合法利益；</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在向中国证监会报送的资料中弄虚作假；</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拒绝、干扰、阻挠或严重影响中国证监会依法监管；</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玩忽职守、滥用职权；</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违反现行有效的有关法律、法规、规章、基金合同和中国证监会的有关规定，泄漏在任职期间知悉的有关证券、基金的商业秘密，尚未依法公开的基金投资内容、基金投资计划等信息；</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违反证券交易场所业务规则，利用对敲、倒仓等手段操纵市场价格，扰乱市场秩序；</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贬损同行，以抬高自己；</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以不正当手段谋求业务发展；</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有悖社会公德，损害证券投资基金人员形象；</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在公开信息披露和广告中故意含有虚假、误导、欺诈成分；</w:t>
      </w:r>
    </w:p>
    <w:p w:rsidR="00DF62B8" w:rsidRPr="00453203" w:rsidRDefault="00DF62B8" w:rsidP="008E5A93">
      <w:pPr>
        <w:numPr>
          <w:ilvl w:val="0"/>
          <w:numId w:val="9"/>
        </w:numPr>
        <w:tabs>
          <w:tab w:val="left" w:pos="735"/>
          <w:tab w:val="num" w:pos="132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其他法律、行政法规以及中国证监会禁止的行为。</w:t>
      </w:r>
    </w:p>
    <w:p w:rsidR="00DF62B8" w:rsidRPr="00453203" w:rsidRDefault="00DF62B8" w:rsidP="008E5A93">
      <w:pPr>
        <w:numPr>
          <w:ilvl w:val="0"/>
          <w:numId w:val="10"/>
        </w:numPr>
        <w:tabs>
          <w:tab w:val="clear" w:pos="900"/>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lastRenderedPageBreak/>
        <w:t>基金经理承诺</w:t>
      </w:r>
    </w:p>
    <w:p w:rsidR="00DF62B8" w:rsidRPr="00453203" w:rsidRDefault="00DF62B8" w:rsidP="0064307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w:t>
      </w:r>
      <w:r w:rsidRPr="00453203">
        <w:rPr>
          <w:rFonts w:asciiTheme="minorEastAsia" w:eastAsiaTheme="minorEastAsia" w:hAnsiTheme="minorEastAsia" w:cs="Arial"/>
          <w:kern w:val="0"/>
          <w:szCs w:val="21"/>
        </w:rPr>
        <w:t>1</w:t>
      </w:r>
      <w:r w:rsidRPr="00453203">
        <w:rPr>
          <w:rFonts w:asciiTheme="minorEastAsia" w:eastAsiaTheme="minorEastAsia" w:hAnsiTheme="minorEastAsia" w:hint="eastAsia"/>
          <w:kern w:val="0"/>
          <w:szCs w:val="21"/>
        </w:rPr>
        <w:t>）依照有关法律、法规和基金合同的规定，本着谨慎的原则为基金份额持有人谋取最大利益；</w:t>
      </w:r>
    </w:p>
    <w:p w:rsidR="00DF62B8" w:rsidRPr="00453203" w:rsidRDefault="00DF62B8" w:rsidP="0064307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w:t>
      </w:r>
      <w:r w:rsidRPr="00453203">
        <w:rPr>
          <w:rFonts w:asciiTheme="minorEastAsia" w:eastAsiaTheme="minorEastAsia" w:hAnsiTheme="minorEastAsia" w:cs="Arial"/>
          <w:kern w:val="0"/>
          <w:szCs w:val="21"/>
        </w:rPr>
        <w:t>2</w:t>
      </w:r>
      <w:r w:rsidRPr="00453203">
        <w:rPr>
          <w:rFonts w:asciiTheme="minorEastAsia" w:eastAsiaTheme="minorEastAsia" w:hAnsiTheme="minorEastAsia" w:hint="eastAsia"/>
          <w:kern w:val="0"/>
          <w:szCs w:val="21"/>
        </w:rPr>
        <w:t>）不利用职务之便为自己及其代理人、受雇人或任何第三人谋取利益；</w:t>
      </w:r>
    </w:p>
    <w:p w:rsidR="00DF62B8" w:rsidRPr="00453203" w:rsidRDefault="00DF62B8" w:rsidP="00643071">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453203">
        <w:rPr>
          <w:rFonts w:asciiTheme="minorEastAsia" w:eastAsiaTheme="minorEastAsia" w:hAnsiTheme="minorEastAsia" w:hint="eastAsia"/>
          <w:kern w:val="0"/>
        </w:rPr>
        <w:t>（</w:t>
      </w:r>
      <w:r w:rsidRPr="00453203">
        <w:rPr>
          <w:rFonts w:asciiTheme="minorEastAsia" w:eastAsiaTheme="minorEastAsia" w:hAnsiTheme="minorEastAsia" w:cs="Arial"/>
          <w:kern w:val="0"/>
        </w:rPr>
        <w:t>3</w:t>
      </w:r>
      <w:r w:rsidRPr="00453203">
        <w:rPr>
          <w:rFonts w:asciiTheme="minorEastAsia" w:eastAsiaTheme="minorEastAsia" w:hAnsiTheme="minorEastAsia" w:hint="eastAsia"/>
          <w:kern w:val="0"/>
        </w:rPr>
        <w:t>）不</w:t>
      </w:r>
      <w:r w:rsidRPr="00453203">
        <w:rPr>
          <w:rFonts w:asciiTheme="minorEastAsia" w:eastAsiaTheme="minorEastAsia" w:hAnsiTheme="minorEastAsia" w:hint="eastAsia"/>
          <w:kern w:val="0"/>
          <w:szCs w:val="21"/>
        </w:rPr>
        <w:t>违反现行有效的有关法律、法规、规章、基金合同和中国证监会的有关规定，</w:t>
      </w:r>
      <w:r w:rsidRPr="00453203">
        <w:rPr>
          <w:rFonts w:asciiTheme="minorEastAsia" w:eastAsiaTheme="minorEastAsia" w:hAnsiTheme="minorEastAsia" w:hint="eastAsia"/>
          <w:kern w:val="0"/>
        </w:rPr>
        <w:t>泄漏在任职期间知悉的有关证券、基金的商业秘密、尚未依法公开的基金投资内容、基金投资计划等信息；</w:t>
      </w:r>
    </w:p>
    <w:p w:rsidR="00DF62B8" w:rsidRPr="00453203" w:rsidRDefault="00DF62B8" w:rsidP="00643071">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453203">
        <w:rPr>
          <w:rFonts w:asciiTheme="minorEastAsia" w:eastAsiaTheme="minorEastAsia" w:hAnsiTheme="minorEastAsia" w:hint="eastAsia"/>
          <w:kern w:val="0"/>
        </w:rPr>
        <w:t>（4）不</w:t>
      </w:r>
      <w:r w:rsidRPr="00453203">
        <w:rPr>
          <w:rFonts w:asciiTheme="minorEastAsia" w:eastAsiaTheme="minorEastAsia" w:hAnsiTheme="minorEastAsia"/>
          <w:kern w:val="0"/>
        </w:rPr>
        <w:t>从事损害基金财产和基金份额持有人利益的证券交易及其他活动。</w:t>
      </w:r>
    </w:p>
    <w:p w:rsidR="00DF62B8" w:rsidRPr="00453203" w:rsidRDefault="00DF62B8" w:rsidP="00741477">
      <w:pPr>
        <w:pStyle w:val="20"/>
        <w:snapToGrid w:val="0"/>
        <w:spacing w:beforeLines="0" w:afterLines="0" w:line="360" w:lineRule="auto"/>
        <w:ind w:firstLineChars="0" w:firstLine="0"/>
        <w:rPr>
          <w:rFonts w:asciiTheme="minorEastAsia" w:eastAsiaTheme="minorEastAsia" w:hAnsiTheme="minorEastAsia"/>
          <w:bCs/>
          <w:sz w:val="21"/>
          <w:szCs w:val="21"/>
        </w:rPr>
      </w:pPr>
      <w:bookmarkStart w:id="15" w:name="_Toc279089203"/>
      <w:bookmarkStart w:id="16" w:name="_Toc34834680"/>
      <w:r w:rsidRPr="00453203">
        <w:rPr>
          <w:rFonts w:asciiTheme="minorEastAsia" w:eastAsiaTheme="minorEastAsia" w:hAnsiTheme="minorEastAsia" w:hint="eastAsia"/>
          <w:bCs/>
          <w:sz w:val="21"/>
          <w:szCs w:val="21"/>
        </w:rPr>
        <w:t>（五）</w:t>
      </w:r>
      <w:r w:rsidRPr="00453203">
        <w:rPr>
          <w:rFonts w:asciiTheme="minorEastAsia" w:eastAsiaTheme="minorEastAsia" w:hAnsiTheme="minorEastAsia"/>
          <w:bCs/>
          <w:sz w:val="21"/>
          <w:szCs w:val="21"/>
        </w:rPr>
        <w:t>基金管理人的内部控制制度</w:t>
      </w:r>
      <w:bookmarkEnd w:id="15"/>
      <w:bookmarkEnd w:id="16"/>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DF62B8" w:rsidRPr="00453203" w:rsidRDefault="0042392E" w:rsidP="00643071">
      <w:pPr>
        <w:tabs>
          <w:tab w:val="left" w:pos="735"/>
        </w:tabs>
        <w:snapToGrid w:val="0"/>
        <w:spacing w:line="360" w:lineRule="auto"/>
        <w:ind w:left="420"/>
        <w:rPr>
          <w:rFonts w:asciiTheme="minorEastAsia" w:eastAsiaTheme="minorEastAsia" w:hAnsiTheme="minorEastAsia"/>
          <w:bCs/>
          <w:szCs w:val="21"/>
        </w:rPr>
      </w:pPr>
      <w:r w:rsidRPr="00453203">
        <w:rPr>
          <w:rFonts w:asciiTheme="minorEastAsia" w:eastAsiaTheme="minorEastAsia" w:hAnsiTheme="minorEastAsia" w:hint="eastAsia"/>
          <w:bCs/>
        </w:rPr>
        <w:t>1、</w:t>
      </w:r>
      <w:r w:rsidR="00DF62B8" w:rsidRPr="00453203">
        <w:rPr>
          <w:rFonts w:asciiTheme="minorEastAsia" w:eastAsiaTheme="minorEastAsia" w:hAnsiTheme="minorEastAsia" w:hint="eastAsia"/>
          <w:bCs/>
        </w:rPr>
        <w:t>公司内部控制的总体目标</w:t>
      </w:r>
    </w:p>
    <w:p w:rsidR="00DF62B8" w:rsidRPr="00453203" w:rsidRDefault="00DF62B8" w:rsidP="00643071">
      <w:pPr>
        <w:numPr>
          <w:ilvl w:val="1"/>
          <w:numId w:val="7"/>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保证公司经营管理活动的合法合规性；</w:t>
      </w:r>
    </w:p>
    <w:p w:rsidR="00DF62B8" w:rsidRPr="00453203" w:rsidRDefault="00DF62B8" w:rsidP="00643071">
      <w:pPr>
        <w:numPr>
          <w:ilvl w:val="1"/>
          <w:numId w:val="7"/>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保证基金份额持有人的合法权益不受侵犯；</w:t>
      </w:r>
    </w:p>
    <w:p w:rsidR="00DF62B8" w:rsidRPr="00453203" w:rsidRDefault="00DF62B8" w:rsidP="00643071">
      <w:pPr>
        <w:numPr>
          <w:ilvl w:val="1"/>
          <w:numId w:val="7"/>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实现公司稳健、持续发展，维护股东权益；</w:t>
      </w:r>
    </w:p>
    <w:p w:rsidR="00DF62B8" w:rsidRPr="00453203" w:rsidRDefault="00DF62B8" w:rsidP="00643071">
      <w:pPr>
        <w:numPr>
          <w:ilvl w:val="1"/>
          <w:numId w:val="7"/>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促进公司全体员工恪守职业操守，正直诚信，廉洁自律，勤勉尽责；</w:t>
      </w:r>
    </w:p>
    <w:p w:rsidR="00DF62B8" w:rsidRPr="00453203" w:rsidRDefault="00DF62B8" w:rsidP="00643071">
      <w:pPr>
        <w:numPr>
          <w:ilvl w:val="1"/>
          <w:numId w:val="7"/>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保护公司最重要的资本：公司声誉。</w:t>
      </w:r>
    </w:p>
    <w:p w:rsidR="00DF62B8" w:rsidRPr="00453203" w:rsidRDefault="0042392E" w:rsidP="00643071">
      <w:pPr>
        <w:tabs>
          <w:tab w:val="left" w:pos="735"/>
        </w:tabs>
        <w:snapToGrid w:val="0"/>
        <w:spacing w:line="360" w:lineRule="auto"/>
        <w:ind w:left="420"/>
        <w:rPr>
          <w:rFonts w:asciiTheme="minorEastAsia" w:eastAsiaTheme="minorEastAsia" w:hAnsiTheme="minorEastAsia"/>
          <w:bCs/>
          <w:szCs w:val="21"/>
        </w:rPr>
      </w:pPr>
      <w:r w:rsidRPr="00453203">
        <w:rPr>
          <w:rFonts w:asciiTheme="minorEastAsia" w:eastAsiaTheme="minorEastAsia" w:hAnsiTheme="minorEastAsia" w:hint="eastAsia"/>
          <w:bCs/>
        </w:rPr>
        <w:t>2、</w:t>
      </w:r>
      <w:r w:rsidR="00DF62B8" w:rsidRPr="00453203">
        <w:rPr>
          <w:rFonts w:asciiTheme="minorEastAsia" w:eastAsiaTheme="minorEastAsia" w:hAnsiTheme="minorEastAsia" w:hint="eastAsia"/>
          <w:bCs/>
        </w:rPr>
        <w:t>公司内部控制遵循的原则</w:t>
      </w:r>
    </w:p>
    <w:p w:rsidR="00DF62B8" w:rsidRPr="00453203" w:rsidRDefault="00DF62B8" w:rsidP="008E5A93">
      <w:pPr>
        <w:numPr>
          <w:ilvl w:val="0"/>
          <w:numId w:val="11"/>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全面性原则：内部控制必须覆盖公司的所有部门和岗位，渗透各项业务过程和业务环节，并普遍适用于公司每一位职员；</w:t>
      </w:r>
    </w:p>
    <w:p w:rsidR="00DF62B8" w:rsidRPr="00453203" w:rsidRDefault="00DF62B8" w:rsidP="008E5A93">
      <w:pPr>
        <w:numPr>
          <w:ilvl w:val="0"/>
          <w:numId w:val="11"/>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审慎性原则：内部控制的核心是有效防范各种风险，公司组织体系的构成、内部管理制度的建立都要以防范风险、审慎经营为出发点；</w:t>
      </w:r>
    </w:p>
    <w:p w:rsidR="00DF62B8" w:rsidRPr="00453203" w:rsidRDefault="00DF62B8" w:rsidP="008E5A93">
      <w:pPr>
        <w:numPr>
          <w:ilvl w:val="0"/>
          <w:numId w:val="11"/>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相互制约原则：公司设置的各部门、各岗位权责分明、相互制衡。</w:t>
      </w:r>
    </w:p>
    <w:p w:rsidR="00DF62B8" w:rsidRPr="00453203" w:rsidRDefault="00DF62B8" w:rsidP="008E5A93">
      <w:pPr>
        <w:numPr>
          <w:ilvl w:val="0"/>
          <w:numId w:val="11"/>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独立性原则：公司根据业务的需要设立相对独立的机构、部门和岗位；公司内部部门和岗位的设置必须权责分明；</w:t>
      </w:r>
    </w:p>
    <w:p w:rsidR="00DF62B8" w:rsidRPr="00453203" w:rsidRDefault="00DF62B8" w:rsidP="008E5A93">
      <w:pPr>
        <w:numPr>
          <w:ilvl w:val="0"/>
          <w:numId w:val="11"/>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有效性原则：各种内部管理制度具有高度的权威性，应是所有员工严格遵守的行动指南；执行内部管理制度不能有任何例外，任何人不得拥有超越制度或违反规章的权力；</w:t>
      </w:r>
    </w:p>
    <w:p w:rsidR="00DF62B8" w:rsidRPr="00453203" w:rsidRDefault="00DF62B8" w:rsidP="008E5A93">
      <w:pPr>
        <w:numPr>
          <w:ilvl w:val="0"/>
          <w:numId w:val="11"/>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适时性原则：内部控制应具有前瞻性，并且必须随着公司经营战略、经营方针、经营理念等内部环境的变化和国家法律、法规、政策制度等外部环境的改变及时进行相应的修改和完善；</w:t>
      </w:r>
    </w:p>
    <w:p w:rsidR="00DF62B8" w:rsidRPr="00453203" w:rsidRDefault="00DF62B8" w:rsidP="008E5A93">
      <w:pPr>
        <w:numPr>
          <w:ilvl w:val="0"/>
          <w:numId w:val="11"/>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成本效益原则：公司运用科学化的经营管理方法降低运作成本，提高经济效益，</w:t>
      </w:r>
      <w:r w:rsidRPr="00453203">
        <w:rPr>
          <w:rFonts w:asciiTheme="minorEastAsia" w:eastAsiaTheme="minorEastAsia" w:hAnsiTheme="minorEastAsia" w:hint="eastAsia"/>
        </w:rPr>
        <w:lastRenderedPageBreak/>
        <w:t>力争以合理的控制成本达到最佳的内部控制效果。</w:t>
      </w:r>
    </w:p>
    <w:p w:rsidR="00DF62B8" w:rsidRPr="00453203" w:rsidRDefault="0042392E" w:rsidP="00643071">
      <w:pPr>
        <w:tabs>
          <w:tab w:val="left" w:pos="735"/>
        </w:tabs>
        <w:snapToGrid w:val="0"/>
        <w:spacing w:line="360" w:lineRule="auto"/>
        <w:ind w:left="420"/>
        <w:rPr>
          <w:rFonts w:asciiTheme="minorEastAsia" w:eastAsiaTheme="minorEastAsia" w:hAnsiTheme="minorEastAsia"/>
          <w:bCs/>
        </w:rPr>
      </w:pPr>
      <w:r w:rsidRPr="00453203">
        <w:rPr>
          <w:rFonts w:asciiTheme="minorEastAsia" w:eastAsiaTheme="minorEastAsia" w:hAnsiTheme="minorEastAsia" w:hint="eastAsia"/>
          <w:bCs/>
        </w:rPr>
        <w:t>3、</w:t>
      </w:r>
      <w:r w:rsidR="00DF62B8" w:rsidRPr="00453203">
        <w:rPr>
          <w:rFonts w:asciiTheme="minorEastAsia" w:eastAsiaTheme="minorEastAsia" w:hAnsiTheme="minorEastAsia" w:hint="eastAsia"/>
          <w:bCs/>
        </w:rPr>
        <w:t>内部控制的制度体系</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DF62B8" w:rsidRPr="00453203" w:rsidRDefault="0042392E" w:rsidP="00643071">
      <w:pPr>
        <w:tabs>
          <w:tab w:val="left" w:pos="735"/>
        </w:tabs>
        <w:snapToGrid w:val="0"/>
        <w:spacing w:line="360" w:lineRule="auto"/>
        <w:ind w:left="420"/>
        <w:rPr>
          <w:rFonts w:asciiTheme="minorEastAsia" w:eastAsiaTheme="minorEastAsia" w:hAnsiTheme="minorEastAsia"/>
          <w:bCs/>
        </w:rPr>
      </w:pPr>
      <w:r w:rsidRPr="00453203">
        <w:rPr>
          <w:rFonts w:asciiTheme="minorEastAsia" w:eastAsiaTheme="minorEastAsia" w:hAnsiTheme="minorEastAsia" w:hint="eastAsia"/>
          <w:bCs/>
        </w:rPr>
        <w:t>4、</w:t>
      </w:r>
      <w:r w:rsidR="00DF62B8" w:rsidRPr="00453203">
        <w:rPr>
          <w:rFonts w:asciiTheme="minorEastAsia" w:eastAsiaTheme="minorEastAsia" w:hAnsiTheme="minorEastAsia" w:hint="eastAsia"/>
          <w:bCs/>
        </w:rPr>
        <w:t>关于授权、研究、投资、交易等方面的控制点</w:t>
      </w:r>
    </w:p>
    <w:p w:rsidR="00DF62B8" w:rsidRPr="00453203" w:rsidRDefault="00DF62B8" w:rsidP="008E5A93">
      <w:pPr>
        <w:numPr>
          <w:ilvl w:val="0"/>
          <w:numId w:val="12"/>
        </w:numPr>
        <w:tabs>
          <w:tab w:val="left" w:pos="735"/>
        </w:tabs>
        <w:snapToGrid w:val="0"/>
        <w:spacing w:line="360" w:lineRule="auto"/>
        <w:rPr>
          <w:rFonts w:asciiTheme="minorEastAsia" w:eastAsiaTheme="minorEastAsia" w:hAnsiTheme="minorEastAsia"/>
          <w:szCs w:val="21"/>
        </w:rPr>
      </w:pPr>
      <w:r w:rsidRPr="00453203">
        <w:rPr>
          <w:rFonts w:asciiTheme="minorEastAsia" w:eastAsiaTheme="minorEastAsia" w:hAnsiTheme="minorEastAsia" w:hint="eastAsia"/>
        </w:rPr>
        <w:t>授权制度</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DF62B8" w:rsidRPr="00453203" w:rsidRDefault="00DF62B8" w:rsidP="008E5A93">
      <w:pPr>
        <w:numPr>
          <w:ilvl w:val="0"/>
          <w:numId w:val="12"/>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公司研究业务</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DF62B8" w:rsidRPr="00453203" w:rsidRDefault="00DF62B8" w:rsidP="008E5A93">
      <w:pPr>
        <w:numPr>
          <w:ilvl w:val="0"/>
          <w:numId w:val="12"/>
        </w:numPr>
        <w:tabs>
          <w:tab w:val="left" w:pos="735"/>
        </w:tabs>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基金投资业务</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DF62B8" w:rsidRPr="00453203" w:rsidRDefault="00DF62B8" w:rsidP="008E5A93">
      <w:pPr>
        <w:numPr>
          <w:ilvl w:val="0"/>
          <w:numId w:val="12"/>
        </w:numPr>
        <w:tabs>
          <w:tab w:val="left" w:pos="735"/>
        </w:tabs>
        <w:snapToGrid w:val="0"/>
        <w:spacing w:line="360" w:lineRule="auto"/>
        <w:rPr>
          <w:rFonts w:asciiTheme="minorEastAsia" w:eastAsiaTheme="minorEastAsia" w:hAnsiTheme="minorEastAsia"/>
          <w:szCs w:val="21"/>
        </w:rPr>
      </w:pPr>
      <w:r w:rsidRPr="00453203">
        <w:rPr>
          <w:rFonts w:asciiTheme="minorEastAsia" w:eastAsiaTheme="minorEastAsia" w:hAnsiTheme="minorEastAsia" w:hint="eastAsia"/>
        </w:rPr>
        <w:t>交易业务</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DF62B8" w:rsidRPr="00453203" w:rsidRDefault="00DF62B8" w:rsidP="008E5A93">
      <w:pPr>
        <w:numPr>
          <w:ilvl w:val="0"/>
          <w:numId w:val="12"/>
        </w:numPr>
        <w:tabs>
          <w:tab w:val="left" w:pos="735"/>
        </w:tabs>
        <w:snapToGrid w:val="0"/>
        <w:spacing w:line="360" w:lineRule="auto"/>
        <w:rPr>
          <w:rFonts w:asciiTheme="minorEastAsia" w:eastAsiaTheme="minorEastAsia" w:hAnsiTheme="minorEastAsia"/>
          <w:szCs w:val="21"/>
        </w:rPr>
      </w:pPr>
      <w:r w:rsidRPr="00453203">
        <w:rPr>
          <w:rFonts w:asciiTheme="minorEastAsia" w:eastAsiaTheme="minorEastAsia" w:hAnsiTheme="minorEastAsia" w:hint="eastAsia"/>
        </w:rPr>
        <w:lastRenderedPageBreak/>
        <w:t>基金会计核算</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DF62B8" w:rsidRPr="00453203" w:rsidRDefault="00DF62B8" w:rsidP="008E5A93">
      <w:pPr>
        <w:numPr>
          <w:ilvl w:val="0"/>
          <w:numId w:val="12"/>
        </w:numPr>
        <w:tabs>
          <w:tab w:val="left" w:pos="735"/>
        </w:tabs>
        <w:snapToGrid w:val="0"/>
        <w:spacing w:line="360" w:lineRule="auto"/>
        <w:rPr>
          <w:rFonts w:asciiTheme="minorEastAsia" w:eastAsiaTheme="minorEastAsia" w:hAnsiTheme="minorEastAsia"/>
          <w:szCs w:val="21"/>
        </w:rPr>
      </w:pPr>
      <w:r w:rsidRPr="00453203">
        <w:rPr>
          <w:rFonts w:asciiTheme="minorEastAsia" w:eastAsiaTheme="minorEastAsia" w:hAnsiTheme="minorEastAsia" w:hint="eastAsia"/>
        </w:rPr>
        <w:t>信息披露</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DF62B8" w:rsidRPr="00453203" w:rsidRDefault="00F42070" w:rsidP="008E5A93">
      <w:pPr>
        <w:numPr>
          <w:ilvl w:val="0"/>
          <w:numId w:val="12"/>
        </w:numPr>
        <w:tabs>
          <w:tab w:val="left" w:pos="735"/>
        </w:tabs>
        <w:snapToGrid w:val="0"/>
        <w:spacing w:line="360" w:lineRule="auto"/>
        <w:rPr>
          <w:rFonts w:asciiTheme="minorEastAsia" w:eastAsiaTheme="minorEastAsia" w:hAnsiTheme="minorEastAsia"/>
          <w:szCs w:val="21"/>
        </w:rPr>
      </w:pPr>
      <w:r w:rsidRPr="00453203">
        <w:rPr>
          <w:rFonts w:asciiTheme="minorEastAsia" w:eastAsiaTheme="minorEastAsia" w:hAnsiTheme="minorEastAsia" w:hint="eastAsia"/>
        </w:rPr>
        <w:t>监察与合规管理</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公司设立督察长，经董事会聘任，报中国证监会核准。根据公司</w:t>
      </w:r>
      <w:r w:rsidR="00F42070" w:rsidRPr="00453203">
        <w:rPr>
          <w:rFonts w:asciiTheme="minorEastAsia" w:eastAsiaTheme="minorEastAsia" w:hAnsiTheme="minorEastAsia" w:hint="eastAsia"/>
          <w:szCs w:val="21"/>
        </w:rPr>
        <w:t>监察与合规管理</w:t>
      </w:r>
      <w:r w:rsidRPr="00453203">
        <w:rPr>
          <w:rFonts w:asciiTheme="minorEastAsia" w:eastAsiaTheme="minorEastAsia" w:hAnsiTheme="minorEastAsia"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公司设立</w:t>
      </w:r>
      <w:r w:rsidR="00F42070" w:rsidRPr="00453203">
        <w:rPr>
          <w:rFonts w:asciiTheme="minorEastAsia" w:eastAsiaTheme="minorEastAsia" w:hAnsiTheme="minorEastAsia" w:hint="eastAsia"/>
          <w:szCs w:val="21"/>
        </w:rPr>
        <w:t>监察与合规管理总部</w:t>
      </w:r>
      <w:r w:rsidRPr="00453203">
        <w:rPr>
          <w:rFonts w:asciiTheme="minorEastAsia" w:eastAsiaTheme="minorEastAsia" w:hAnsiTheme="minorEastAsia" w:hint="eastAsia"/>
          <w:szCs w:val="21"/>
        </w:rPr>
        <w:t>开展</w:t>
      </w:r>
      <w:r w:rsidR="00F42070" w:rsidRPr="00453203">
        <w:rPr>
          <w:rFonts w:asciiTheme="minorEastAsia" w:eastAsiaTheme="minorEastAsia" w:hAnsiTheme="minorEastAsia" w:hint="eastAsia"/>
          <w:szCs w:val="21"/>
        </w:rPr>
        <w:t>监察与合规管理</w:t>
      </w:r>
      <w:r w:rsidRPr="00453203">
        <w:rPr>
          <w:rFonts w:asciiTheme="minorEastAsia" w:eastAsiaTheme="minorEastAsia" w:hAnsiTheme="minorEastAsia" w:hint="eastAsia"/>
          <w:szCs w:val="21"/>
        </w:rPr>
        <w:t>工作，并保证</w:t>
      </w:r>
      <w:r w:rsidR="00F42070" w:rsidRPr="00453203">
        <w:rPr>
          <w:rFonts w:asciiTheme="minorEastAsia" w:eastAsiaTheme="minorEastAsia" w:hAnsiTheme="minorEastAsia" w:hint="eastAsia"/>
          <w:szCs w:val="21"/>
        </w:rPr>
        <w:t>监察与合规管理总部</w:t>
      </w:r>
      <w:r w:rsidRPr="00453203">
        <w:rPr>
          <w:rFonts w:asciiTheme="minorEastAsia" w:eastAsiaTheme="minorEastAsia" w:hAnsiTheme="minorEastAsia" w:hint="eastAsia"/>
          <w:szCs w:val="21"/>
        </w:rPr>
        <w:t>的独立性和权威性。公司明确了</w:t>
      </w:r>
      <w:r w:rsidR="00F42070" w:rsidRPr="00453203">
        <w:rPr>
          <w:rFonts w:asciiTheme="minorEastAsia" w:eastAsiaTheme="minorEastAsia" w:hAnsiTheme="minorEastAsia" w:hint="eastAsia"/>
          <w:szCs w:val="21"/>
        </w:rPr>
        <w:t>监察与合规管理总部</w:t>
      </w:r>
      <w:r w:rsidRPr="00453203">
        <w:rPr>
          <w:rFonts w:asciiTheme="minorEastAsia" w:eastAsiaTheme="minorEastAsia" w:hAnsiTheme="minorEastAsia" w:hint="eastAsia"/>
          <w:szCs w:val="21"/>
        </w:rPr>
        <w:t>及内部各岗位的具体职责，严格制订了专业任职条件、操作程序和组织纪律。</w:t>
      </w:r>
    </w:p>
    <w:p w:rsidR="00DF62B8" w:rsidRPr="00453203" w:rsidRDefault="00F42070"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监察与合规管理总部</w:t>
      </w:r>
      <w:r w:rsidR="00DF62B8" w:rsidRPr="00453203">
        <w:rPr>
          <w:rFonts w:asciiTheme="minorEastAsia" w:eastAsiaTheme="minorEastAsia" w:hAnsiTheme="minorEastAsia" w:hint="eastAsia"/>
          <w:szCs w:val="21"/>
        </w:rPr>
        <w:t>强化内部检查制度，通过定期或不定期检查内部控制制度的执行情况，促使公司各项经营管理活动的规范运行。</w:t>
      </w:r>
    </w:p>
    <w:p w:rsidR="00DF62B8" w:rsidRPr="00453203" w:rsidRDefault="00DF62B8" w:rsidP="0064307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公司董事会和管理层充分重视和支持</w:t>
      </w:r>
      <w:r w:rsidR="00F42070" w:rsidRPr="00453203">
        <w:rPr>
          <w:rFonts w:asciiTheme="minorEastAsia" w:eastAsiaTheme="minorEastAsia" w:hAnsiTheme="minorEastAsia" w:hint="eastAsia"/>
          <w:szCs w:val="21"/>
        </w:rPr>
        <w:t>监察与合规管理</w:t>
      </w:r>
      <w:r w:rsidRPr="00453203">
        <w:rPr>
          <w:rFonts w:asciiTheme="minorEastAsia" w:eastAsiaTheme="minorEastAsia" w:hAnsiTheme="minorEastAsia" w:hint="eastAsia"/>
          <w:szCs w:val="21"/>
        </w:rPr>
        <w:t>工作，对违反法律、法规和公司内部控制制度的，追究有关部门和人员的责任。</w:t>
      </w:r>
    </w:p>
    <w:p w:rsidR="00DF62B8" w:rsidRPr="00453203" w:rsidRDefault="0042392E" w:rsidP="00643071">
      <w:pPr>
        <w:tabs>
          <w:tab w:val="left" w:pos="735"/>
        </w:tabs>
        <w:snapToGrid w:val="0"/>
        <w:spacing w:line="360" w:lineRule="auto"/>
        <w:ind w:left="420"/>
        <w:rPr>
          <w:rFonts w:asciiTheme="minorEastAsia" w:eastAsiaTheme="minorEastAsia" w:hAnsiTheme="minorEastAsia"/>
          <w:bCs/>
        </w:rPr>
      </w:pPr>
      <w:r w:rsidRPr="00453203">
        <w:rPr>
          <w:rFonts w:asciiTheme="minorEastAsia" w:eastAsiaTheme="minorEastAsia" w:hAnsiTheme="minorEastAsia" w:hint="eastAsia"/>
          <w:bCs/>
        </w:rPr>
        <w:t>5、</w:t>
      </w:r>
      <w:r w:rsidR="00DF62B8" w:rsidRPr="00453203">
        <w:rPr>
          <w:rFonts w:asciiTheme="minorEastAsia" w:eastAsiaTheme="minorEastAsia" w:hAnsiTheme="minorEastAsia" w:hint="eastAsia"/>
          <w:bCs/>
        </w:rPr>
        <w:t>基金管理人关于内部控制制度声明书</w:t>
      </w:r>
    </w:p>
    <w:p w:rsidR="00DF62B8" w:rsidRPr="00453203" w:rsidRDefault="00DF62B8" w:rsidP="008E5A93">
      <w:pPr>
        <w:numPr>
          <w:ilvl w:val="0"/>
          <w:numId w:val="13"/>
        </w:numPr>
        <w:tabs>
          <w:tab w:val="left" w:pos="735"/>
        </w:tabs>
        <w:snapToGrid w:val="0"/>
        <w:spacing w:line="360" w:lineRule="auto"/>
        <w:rPr>
          <w:rFonts w:asciiTheme="minorEastAsia" w:eastAsiaTheme="minorEastAsia" w:hAnsiTheme="minorEastAsia"/>
          <w:szCs w:val="21"/>
        </w:rPr>
      </w:pPr>
      <w:r w:rsidRPr="00453203">
        <w:rPr>
          <w:rFonts w:asciiTheme="minorEastAsia" w:eastAsiaTheme="minorEastAsia" w:hAnsiTheme="minorEastAsia" w:hint="eastAsia"/>
        </w:rPr>
        <w:t>本公司承诺以上关于内部控制制度的披露真实、准确；</w:t>
      </w:r>
    </w:p>
    <w:p w:rsidR="00DF62B8" w:rsidRPr="00453203" w:rsidRDefault="00DF62B8" w:rsidP="008E5A93">
      <w:pPr>
        <w:numPr>
          <w:ilvl w:val="0"/>
          <w:numId w:val="13"/>
        </w:numPr>
        <w:tabs>
          <w:tab w:val="left" w:pos="735"/>
        </w:tabs>
        <w:snapToGrid w:val="0"/>
        <w:spacing w:line="360" w:lineRule="auto"/>
        <w:rPr>
          <w:rFonts w:asciiTheme="minorEastAsia" w:eastAsiaTheme="minorEastAsia" w:hAnsiTheme="minorEastAsia"/>
          <w:szCs w:val="21"/>
        </w:rPr>
      </w:pPr>
      <w:r w:rsidRPr="00453203">
        <w:rPr>
          <w:rFonts w:asciiTheme="minorEastAsia" w:eastAsiaTheme="minorEastAsia" w:hAnsiTheme="minorEastAsia" w:hint="eastAsia"/>
        </w:rPr>
        <w:t>本公司承诺根据市场变化和公司业务发展不断完善内部控制制度。</w:t>
      </w:r>
    </w:p>
    <w:p w:rsidR="00173B3E" w:rsidRPr="00453203" w:rsidRDefault="00173B3E" w:rsidP="00173B3E">
      <w:pPr>
        <w:tabs>
          <w:tab w:val="left" w:pos="735"/>
        </w:tabs>
        <w:snapToGrid w:val="0"/>
        <w:spacing w:line="360" w:lineRule="auto"/>
        <w:ind w:left="1123"/>
        <w:rPr>
          <w:rFonts w:asciiTheme="minorEastAsia" w:eastAsiaTheme="minorEastAsia" w:hAnsiTheme="minorEastAsia"/>
          <w:szCs w:val="21"/>
        </w:rPr>
        <w:sectPr w:rsidR="00173B3E" w:rsidRPr="00453203" w:rsidSect="00F67DBE">
          <w:pgSz w:w="11907" w:h="16840" w:code="9"/>
          <w:pgMar w:top="1701" w:right="1814" w:bottom="1701" w:left="1814" w:header="1134" w:footer="1247" w:gutter="0"/>
          <w:cols w:space="425"/>
          <w:docGrid w:type="lines" w:linePitch="312"/>
        </w:sectPr>
      </w:pP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cs="宋体"/>
          <w:kern w:val="0"/>
          <w:szCs w:val="21"/>
        </w:rPr>
      </w:pPr>
      <w:bookmarkStart w:id="17" w:name="_Toc34834681"/>
      <w:bookmarkEnd w:id="6"/>
      <w:bookmarkEnd w:id="7"/>
      <w:r w:rsidRPr="00453203">
        <w:rPr>
          <w:rFonts w:asciiTheme="minorEastAsia" w:eastAsiaTheme="minorEastAsia" w:hAnsiTheme="minorEastAsia" w:cs="宋体" w:hint="eastAsia"/>
          <w:kern w:val="0"/>
          <w:szCs w:val="21"/>
        </w:rPr>
        <w:lastRenderedPageBreak/>
        <w:t>四、基金托管人</w:t>
      </w:r>
      <w:bookmarkEnd w:id="17"/>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bookmarkStart w:id="18" w:name="_Toc279089205"/>
      <w:r w:rsidRPr="00453203">
        <w:rPr>
          <w:rFonts w:asciiTheme="minorEastAsia" w:eastAsiaTheme="minorEastAsia" w:hAnsiTheme="minorEastAsia" w:hint="eastAsia"/>
          <w:szCs w:val="21"/>
        </w:rPr>
        <w:t xml:space="preserve">（一）基金托管人基本情况 </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名称：中国工商银行股份有限公司</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注册地址：北京市西城区复兴门内大街55号</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成立时间：</w:t>
      </w:r>
      <w:r w:rsidRPr="00453203">
        <w:rPr>
          <w:rFonts w:asciiTheme="minorEastAsia" w:eastAsiaTheme="minorEastAsia" w:hAnsiTheme="minorEastAsia"/>
          <w:szCs w:val="21"/>
        </w:rPr>
        <w:t>198</w:t>
      </w:r>
      <w:r w:rsidRPr="00453203">
        <w:rPr>
          <w:rFonts w:asciiTheme="minorEastAsia" w:eastAsiaTheme="minorEastAsia" w:hAnsiTheme="minorEastAsia" w:hint="eastAsia"/>
          <w:szCs w:val="21"/>
        </w:rPr>
        <w:t>4</w:t>
      </w:r>
      <w:r w:rsidRPr="00453203">
        <w:rPr>
          <w:rFonts w:asciiTheme="minorEastAsia" w:eastAsiaTheme="minorEastAsia" w:hAnsiTheme="minorEastAsia"/>
          <w:szCs w:val="21"/>
        </w:rPr>
        <w:t>年</w:t>
      </w:r>
      <w:r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月</w:t>
      </w:r>
      <w:r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日</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法定代表人：陈四清</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注册资本：人民币35,640,625.7089万元</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联系电话：010-66105799</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联系人：郭明</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（二）主要人员情况</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截至2019年9月，中国工商银行资产托管部共有员工208人，平均年龄33岁，95%以上员工拥有大学本科以上学历，高管人员均拥有研究生以上学历或高级技术职称。</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（三）基金托管业务经营情况</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作为中国大陆托管服务的先行者，中国工商银行自</w:t>
      </w:r>
      <w:r w:rsidRPr="00453203">
        <w:rPr>
          <w:rFonts w:asciiTheme="minorEastAsia" w:eastAsiaTheme="minorEastAsia" w:hAnsiTheme="minorEastAsia"/>
          <w:szCs w:val="21"/>
        </w:rPr>
        <w:t>1998</w:t>
      </w:r>
      <w:r w:rsidRPr="00453203">
        <w:rPr>
          <w:rFonts w:asciiTheme="minorEastAsia" w:eastAsiaTheme="minorEastAsia" w:hAnsiTheme="minorEastAsia" w:hint="eastAsia"/>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w:t>
      </w:r>
      <w:r w:rsidRPr="00453203">
        <w:rPr>
          <w:rFonts w:asciiTheme="minorEastAsia" w:eastAsiaTheme="minorEastAsia" w:hAnsiTheme="minorEastAsia"/>
          <w:szCs w:val="21"/>
        </w:rPr>
        <w:t>QDII</w:t>
      </w:r>
      <w:r w:rsidRPr="00453203">
        <w:rPr>
          <w:rFonts w:asciiTheme="minorEastAsia" w:eastAsiaTheme="minorEastAsia" w:hAnsiTheme="minorEastAsia" w:hint="eastAsia"/>
          <w:szCs w:val="21"/>
        </w:rPr>
        <w:t>专户资产、</w:t>
      </w:r>
      <w:r w:rsidRPr="00453203">
        <w:rPr>
          <w:rFonts w:asciiTheme="minorEastAsia" w:eastAsiaTheme="minorEastAsia" w:hAnsiTheme="minorEastAsia"/>
          <w:szCs w:val="21"/>
        </w:rPr>
        <w:t>ESCROW</w:t>
      </w:r>
      <w:r w:rsidRPr="00453203">
        <w:rPr>
          <w:rFonts w:asciiTheme="minorEastAsia" w:eastAsiaTheme="minorEastAsia" w:hAnsiTheme="minorEastAsia" w:hint="eastAsia"/>
          <w:szCs w:val="21"/>
        </w:rPr>
        <w:t>等门类齐全的托管产品体系，同时在国内率先开展绩效评估、风险管理等增值服务，可以为各类客户提供个性化的托管服务。截至</w:t>
      </w:r>
      <w:r w:rsidRPr="00453203">
        <w:rPr>
          <w:rFonts w:asciiTheme="minorEastAsia" w:eastAsiaTheme="minorEastAsia" w:hAnsiTheme="minorEastAsia"/>
          <w:szCs w:val="21"/>
        </w:rPr>
        <w:t>201</w:t>
      </w:r>
      <w:r w:rsidRPr="00453203">
        <w:rPr>
          <w:rFonts w:asciiTheme="minorEastAsia" w:eastAsiaTheme="minorEastAsia" w:hAnsiTheme="minorEastAsia" w:hint="eastAsia"/>
          <w:szCs w:val="21"/>
        </w:rPr>
        <w:t>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w:t>
      </w:r>
      <w:r w:rsidRPr="00453203">
        <w:rPr>
          <w:rFonts w:asciiTheme="minorEastAsia" w:eastAsiaTheme="minorEastAsia" w:hAnsiTheme="minorEastAsia"/>
          <w:szCs w:val="21"/>
        </w:rPr>
        <w:t>优良的服务品质获得国内外金融领域的持续认可和广泛好评。</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（四）基金托管人的内部控制制度</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w:t>
      </w:r>
      <w:r w:rsidRPr="00453203">
        <w:rPr>
          <w:rFonts w:asciiTheme="minorEastAsia" w:eastAsiaTheme="minorEastAsia" w:hAnsiTheme="minorEastAsia" w:hint="eastAsia"/>
          <w:szCs w:val="21"/>
        </w:rPr>
        <w:lastRenderedPageBreak/>
        <w:t>强化业务项目全过程风险管理作为重要工作来做。从2005年至今共十二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1、内部风险控制目标</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2、内部风险控制组织结构</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3、内部风险控制原则</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（1）合法性原则。内控制度应当符合国家法律法规及监管机构的监管要求，并贯穿于托管业务经营管理活动的始终。</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（2）完整性原则。托管业务的各项经营管理活动都必须有相应的规范程序和监督制约；监督制约应渗透到托管业务的全过程和各个操作环节，覆盖所有的部门、岗位和人员。</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（3）及时性原则。托管业务经营活动必须在发生时能准确及时地记录；按照“内控优先”的原则，新设机构或新增业务品种时，必须做到已建立相关的规章制度。</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（4）审慎性原则。各项业务经营活动必须防范风险，审慎经营，保证基金资产和其他委托资产的安全与完整。</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（5）有效性原则。内控制度应根据国家政策、法律及经营管理的需要适时修改完善，并保证得到全面落实执行，不得有任何空间、时限及人员的例外。</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（6）独立性原则。设立专门履行托管人职责的管理部门；直接操作人员和控制人员必须相对独立，适当分离；内控制度的检查、评价部门必须独立于内控制度的制定和执行部门。</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4、内部风险控制措施实施</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（1）严格的隔离制度。资产托管业务与传统业务实行严格分离，建立了明确的岗位职</w:t>
      </w:r>
      <w:r w:rsidRPr="00453203">
        <w:rPr>
          <w:rFonts w:asciiTheme="minorEastAsia" w:eastAsiaTheme="minorEastAsia" w:hAnsiTheme="minorEastAsia" w:hint="eastAsia"/>
          <w:szCs w:val="21"/>
        </w:rPr>
        <w:lastRenderedPageBreak/>
        <w:t>责、科学的业务流程、详细的操作手册、严格的人员行为规范等一系列规章制度，并采取了良好的防火墙隔离制度，能够确保资产独立、环境独立、人员独立、业务制度和管理独立、网络独立。</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（4）经营控制。资产托管部通过制定计划、编制预算等方法开展各种业务营销活动、处理各项事务，从而有效地控制和配置组织资源，达到资源利用和效益最大化目的。</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（6）数据安全控制。我们通过业务操作区相对独立、数据和传真加密、数据传输线路的冗余备份、监控设施的运用和保障等措施来保障数据安全。</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5、资产托管部内部风险控制情况</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（1）资产托管部内部设置专职稽核监察部门，配备专职稽核监察人员，在总经理的直接领导下，依照有关法律规章，全面贯彻落实全程监控思想，确保资产托管业务健康、稳定地发展。</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sidRPr="00453203">
        <w:rPr>
          <w:rFonts w:asciiTheme="minorEastAsia" w:eastAsiaTheme="minorEastAsia" w:hAnsiTheme="minorEastAsia" w:hint="eastAsia"/>
          <w:szCs w:val="21"/>
        </w:rPr>
        <w:lastRenderedPageBreak/>
        <w:t>信息披露制度等，覆盖所有部门和岗位，渗透各项业务过程，形成各个业务环节之间的相互制约机制。</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 xml:space="preserve">（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（五）基金托管人对基金管理人运作基金进行监督的方法和程序</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6B4C03" w:rsidRPr="00453203" w:rsidRDefault="006B4C03" w:rsidP="00453203">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基金托管人发现基金管理人有重大违规行为，应立即报告中国证监会，同时通知基金管理人限期纠正。</w:t>
      </w:r>
    </w:p>
    <w:p w:rsidR="006B4C03" w:rsidRPr="00453203" w:rsidRDefault="006B4C03" w:rsidP="00453203">
      <w:pPr>
        <w:widowControl/>
        <w:jc w:val="left"/>
        <w:rPr>
          <w:rFonts w:asciiTheme="minorEastAsia" w:eastAsiaTheme="minorEastAsia" w:hAnsiTheme="minorEastAsia"/>
          <w:szCs w:val="21"/>
        </w:rPr>
      </w:pPr>
      <w:r w:rsidRPr="00453203">
        <w:rPr>
          <w:rFonts w:asciiTheme="minorEastAsia" w:eastAsiaTheme="minorEastAsia" w:hAnsiTheme="minorEastAsia"/>
          <w:szCs w:val="21"/>
        </w:rPr>
        <w:br w:type="page"/>
      </w:r>
    </w:p>
    <w:p w:rsidR="00480112" w:rsidRPr="00453203" w:rsidRDefault="00480112" w:rsidP="00480112">
      <w:pPr>
        <w:pStyle w:val="af"/>
        <w:autoSpaceDE w:val="0"/>
        <w:autoSpaceDN w:val="0"/>
        <w:adjustRightInd w:val="0"/>
        <w:snapToGrid w:val="0"/>
        <w:spacing w:before="312" w:after="312" w:line="360" w:lineRule="auto"/>
        <w:ind w:firstLineChars="200"/>
        <w:rPr>
          <w:rFonts w:asciiTheme="minorEastAsia" w:eastAsiaTheme="minorEastAsia" w:hAnsiTheme="minorEastAsia"/>
          <w:szCs w:val="21"/>
        </w:rPr>
      </w:pP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cs="宋体"/>
          <w:kern w:val="0"/>
          <w:szCs w:val="21"/>
        </w:rPr>
      </w:pPr>
      <w:bookmarkStart w:id="19" w:name="_Toc34834682"/>
      <w:bookmarkEnd w:id="18"/>
      <w:r w:rsidRPr="00453203">
        <w:rPr>
          <w:rFonts w:asciiTheme="minorEastAsia" w:eastAsiaTheme="minorEastAsia" w:hAnsiTheme="minorEastAsia" w:cs="宋体" w:hint="eastAsia"/>
          <w:kern w:val="0"/>
          <w:szCs w:val="21"/>
        </w:rPr>
        <w:t>五、相关服务机构</w:t>
      </w:r>
      <w:bookmarkEnd w:id="19"/>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bCs/>
          <w:sz w:val="21"/>
          <w:szCs w:val="21"/>
        </w:rPr>
      </w:pPr>
      <w:bookmarkStart w:id="20" w:name="_Toc34834683"/>
      <w:r w:rsidRPr="00453203">
        <w:rPr>
          <w:rFonts w:asciiTheme="minorEastAsia" w:eastAsiaTheme="minorEastAsia" w:hAnsiTheme="minorEastAsia" w:hint="eastAsia"/>
          <w:bCs/>
          <w:sz w:val="21"/>
          <w:szCs w:val="21"/>
        </w:rPr>
        <w:t>（一）基金份额</w:t>
      </w:r>
      <w:r w:rsidR="00D90255" w:rsidRPr="00453203">
        <w:rPr>
          <w:rFonts w:asciiTheme="minorEastAsia" w:eastAsiaTheme="minorEastAsia" w:hAnsiTheme="minorEastAsia" w:hint="eastAsia"/>
          <w:bCs/>
          <w:sz w:val="21"/>
          <w:szCs w:val="21"/>
        </w:rPr>
        <w:t>销售</w:t>
      </w:r>
      <w:r w:rsidRPr="00453203">
        <w:rPr>
          <w:rFonts w:asciiTheme="minorEastAsia" w:eastAsiaTheme="minorEastAsia" w:hAnsiTheme="minorEastAsia" w:hint="eastAsia"/>
          <w:bCs/>
          <w:sz w:val="21"/>
          <w:szCs w:val="21"/>
        </w:rPr>
        <w:t>机构</w:t>
      </w:r>
      <w:bookmarkEnd w:id="20"/>
    </w:p>
    <w:p w:rsidR="00266A27" w:rsidRPr="00453203" w:rsidRDefault="00266A27"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1、直销机构</w:t>
      </w:r>
    </w:p>
    <w:p w:rsidR="00E12A0D" w:rsidRPr="00453203" w:rsidRDefault="00E12A0D"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易方达基金管理有限公司</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注册地址：</w:t>
      </w:r>
      <w:r w:rsidR="007F1551" w:rsidRPr="00453203">
        <w:rPr>
          <w:rFonts w:asciiTheme="minorEastAsia" w:eastAsiaTheme="minorEastAsia" w:hAnsiTheme="minorEastAsia" w:hint="eastAsia"/>
          <w:szCs w:val="21"/>
        </w:rPr>
        <w:t>广东省珠海市横琴新区宝华路6号105室-42891（集中办公区）</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办公地址：广州市天河区珠江新城珠江东路30号广州银行大厦40-43楼</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法定代表人：</w:t>
      </w:r>
      <w:r w:rsidR="00E1523B" w:rsidRPr="00453203">
        <w:rPr>
          <w:rFonts w:asciiTheme="minorEastAsia" w:eastAsiaTheme="minorEastAsia" w:hAnsiTheme="minorEastAsia" w:hint="eastAsia"/>
          <w:szCs w:val="21"/>
        </w:rPr>
        <w:t>刘晓艳</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电话：020-85102506</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传真：4008818099</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联系人：</w:t>
      </w:r>
      <w:r w:rsidR="007771C2" w:rsidRPr="00453203">
        <w:rPr>
          <w:rFonts w:asciiTheme="minorEastAsia" w:eastAsiaTheme="minorEastAsia" w:hAnsiTheme="minorEastAsia" w:hint="eastAsia"/>
          <w:szCs w:val="21"/>
        </w:rPr>
        <w:t>李红枫</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网址：www.efunds.com.cn</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直销机构网点信息：</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（1）易方达基金管理有限公司广州直销中心</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办公地址：广州市天河区珠江新城珠江东路30号广州银行大厦40楼</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电话：020-85102506</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传真：4008818099</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联系人：</w:t>
      </w:r>
      <w:r w:rsidR="007771C2" w:rsidRPr="00453203">
        <w:rPr>
          <w:rFonts w:asciiTheme="minorEastAsia" w:eastAsiaTheme="minorEastAsia" w:hAnsiTheme="minorEastAsia" w:hint="eastAsia"/>
          <w:szCs w:val="21"/>
        </w:rPr>
        <w:t>李红枫</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（2）易方达基金管理有限公司北京直销中心</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办公地址：</w:t>
      </w:r>
      <w:r w:rsidR="00F42070" w:rsidRPr="00453203">
        <w:rPr>
          <w:rFonts w:asciiTheme="minorEastAsia" w:eastAsiaTheme="minorEastAsia" w:hAnsiTheme="minorEastAsia" w:hint="eastAsia"/>
          <w:szCs w:val="21"/>
        </w:rPr>
        <w:t>北京市西城区武定侯街2号泰康国际大厦18层</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电话：010-63213377</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传真：4008818099</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联系人：</w:t>
      </w:r>
      <w:r w:rsidR="00E1523B" w:rsidRPr="00453203">
        <w:rPr>
          <w:rFonts w:asciiTheme="minorEastAsia" w:eastAsiaTheme="minorEastAsia" w:hAnsiTheme="minorEastAsia" w:hint="eastAsia"/>
          <w:szCs w:val="21"/>
        </w:rPr>
        <w:t>刘蕾</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（3）易方达基金管理有限公司上海直销中心</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办公地址：上海市</w:t>
      </w:r>
      <w:r w:rsidR="007771C2" w:rsidRPr="00453203">
        <w:rPr>
          <w:rFonts w:asciiTheme="minorEastAsia" w:eastAsiaTheme="minorEastAsia" w:hAnsiTheme="minorEastAsia" w:hint="eastAsia"/>
          <w:szCs w:val="21"/>
        </w:rPr>
        <w:t>浦东新区</w:t>
      </w:r>
      <w:r w:rsidRPr="00453203">
        <w:rPr>
          <w:rFonts w:asciiTheme="minorEastAsia" w:eastAsiaTheme="minorEastAsia" w:hAnsiTheme="minorEastAsia" w:hint="eastAsia"/>
          <w:szCs w:val="21"/>
        </w:rPr>
        <w:t>世纪大道88号金茂大厦</w:t>
      </w:r>
      <w:r w:rsidR="007771C2" w:rsidRPr="00453203">
        <w:rPr>
          <w:rFonts w:asciiTheme="minorEastAsia" w:eastAsiaTheme="minorEastAsia" w:hAnsiTheme="minorEastAsia"/>
          <w:szCs w:val="21"/>
        </w:rPr>
        <w:t>46楼</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电话：021-50476668</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传真：4008818099</w:t>
      </w:r>
    </w:p>
    <w:p w:rsidR="00141165" w:rsidRPr="00453203" w:rsidRDefault="00141165"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联系人：于楠</w:t>
      </w:r>
    </w:p>
    <w:p w:rsidR="00E12A0D" w:rsidRPr="00453203" w:rsidRDefault="00E12A0D"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（4）易方达基金管理有限公司网上交易系统</w:t>
      </w:r>
    </w:p>
    <w:p w:rsidR="00BB345A" w:rsidRPr="00453203" w:rsidRDefault="00E12A0D" w:rsidP="00643071">
      <w:pPr>
        <w:widowControl/>
        <w:tabs>
          <w:tab w:val="num" w:pos="360"/>
        </w:tabs>
        <w:snapToGrid w:val="0"/>
        <w:spacing w:line="360" w:lineRule="auto"/>
        <w:ind w:leftChars="171" w:left="359"/>
        <w:rPr>
          <w:rFonts w:asciiTheme="minorEastAsia" w:eastAsiaTheme="minorEastAsia" w:hAnsiTheme="minorEastAsia"/>
          <w:szCs w:val="21"/>
        </w:rPr>
      </w:pPr>
      <w:r w:rsidRPr="00453203">
        <w:rPr>
          <w:rFonts w:asciiTheme="minorEastAsia" w:eastAsiaTheme="minorEastAsia" w:hAnsiTheme="minorEastAsia" w:hint="eastAsia"/>
          <w:szCs w:val="21"/>
        </w:rPr>
        <w:t>网址：www.efunds.com.cn</w:t>
      </w:r>
    </w:p>
    <w:p w:rsidR="00B82204" w:rsidRPr="00453203" w:rsidRDefault="00F660C9" w:rsidP="00453203">
      <w:pPr>
        <w:widowControl/>
        <w:tabs>
          <w:tab w:val="num" w:pos="360"/>
        </w:tabs>
        <w:snapToGrid w:val="0"/>
        <w:spacing w:line="360" w:lineRule="auto"/>
        <w:rPr>
          <w:rFonts w:asciiTheme="minorEastAsia" w:eastAsiaTheme="minorEastAsia" w:hAnsiTheme="minorEastAsia"/>
        </w:rPr>
      </w:pPr>
      <w:r w:rsidRPr="00453203">
        <w:rPr>
          <w:rFonts w:asciiTheme="minorEastAsia" w:eastAsiaTheme="minorEastAsia" w:hAnsiTheme="minorEastAsia"/>
        </w:rPr>
        <w:t>2</w:t>
      </w:r>
      <w:r w:rsidRPr="00453203">
        <w:rPr>
          <w:rFonts w:asciiTheme="minorEastAsia" w:eastAsiaTheme="minorEastAsia" w:hAnsiTheme="minorEastAsia" w:hint="eastAsia"/>
        </w:rPr>
        <w:t>、</w:t>
      </w:r>
      <w:r w:rsidR="00472648" w:rsidRPr="00453203">
        <w:rPr>
          <w:rFonts w:asciiTheme="minorEastAsia" w:eastAsiaTheme="minorEastAsia" w:hAnsiTheme="minorEastAsia" w:hint="eastAsia"/>
        </w:rPr>
        <w:t>非直销销售</w:t>
      </w:r>
      <w:r w:rsidR="00EB017F" w:rsidRPr="00453203">
        <w:rPr>
          <w:rFonts w:asciiTheme="minorEastAsia" w:eastAsiaTheme="minorEastAsia" w:hAnsiTheme="minorEastAsia" w:hint="eastAsia"/>
        </w:rPr>
        <w:t>机构</w:t>
      </w:r>
      <w:r w:rsidRPr="00453203">
        <w:rPr>
          <w:rFonts w:asciiTheme="minorEastAsia" w:eastAsiaTheme="minorEastAsia" w:hAnsiTheme="minorEastAsia" w:hint="eastAsia"/>
        </w:rPr>
        <w:t>（以下排序不分先后）</w:t>
      </w:r>
    </w:p>
    <w:p w:rsidR="00B82204" w:rsidRPr="00453203" w:rsidRDefault="00B82204" w:rsidP="00B82204">
      <w:pPr>
        <w:widowControl/>
        <w:tabs>
          <w:tab w:val="num" w:pos="360"/>
        </w:tabs>
        <w:snapToGrid w:val="0"/>
        <w:spacing w:line="360" w:lineRule="auto"/>
        <w:ind w:leftChars="171" w:left="359"/>
        <w:rPr>
          <w:rFonts w:asciiTheme="minorEastAsia" w:eastAsiaTheme="minorEastAsia" w:hAnsiTheme="minorEastAsia"/>
        </w:rPr>
      </w:pPr>
      <w:r w:rsidRPr="00453203">
        <w:rPr>
          <w:rFonts w:asciiTheme="minorEastAsia" w:eastAsiaTheme="minorEastAsia" w:hAnsiTheme="minorEastAsia" w:hint="eastAsia"/>
        </w:rPr>
        <w:lastRenderedPageBreak/>
        <w:t>（</w:t>
      </w:r>
      <w:r w:rsidRPr="00453203">
        <w:rPr>
          <w:rFonts w:asciiTheme="minorEastAsia" w:eastAsiaTheme="minorEastAsia" w:hAnsiTheme="minorEastAsia"/>
        </w:rPr>
        <w:t>1</w:t>
      </w:r>
      <w:r w:rsidRPr="00453203">
        <w:rPr>
          <w:rFonts w:asciiTheme="minorEastAsia" w:eastAsiaTheme="minorEastAsia" w:hAnsiTheme="minorEastAsia" w:hint="eastAsia"/>
        </w:rPr>
        <w:t>）</w:t>
      </w:r>
      <w:r w:rsidRPr="00453203">
        <w:rPr>
          <w:rFonts w:asciiTheme="minorEastAsia" w:eastAsiaTheme="minorEastAsia" w:hAnsiTheme="minorEastAsia"/>
        </w:rPr>
        <w:t>A</w:t>
      </w:r>
      <w:r w:rsidRPr="00453203">
        <w:rPr>
          <w:rFonts w:asciiTheme="minorEastAsia" w:eastAsiaTheme="minorEastAsia" w:hAnsiTheme="minorEastAsia" w:hint="eastAsia"/>
        </w:rPr>
        <w:t>类基金份额</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 中国工商银行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注册地址：北京西城区复兴门内大街55号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办公地址：北京西城区复兴门内大街55号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法定代表人：陈四清</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联系人：杨菲</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网址：www.icbc.com.cn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 渤海银行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注册地址：天津市河东区海河东路218号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办公地址：天津市河东区海河东路218号渤海银行大厦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法定代表人：李伏安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联系电话：022-58316666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客户服务电话：95541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传真：022-58316569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网址：www.cbhb.com.cn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 广发银行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注册地址：广东省广州市越秀区东风东路713号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办公地址：广东省广州市越秀区东风东路713号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法定代表人：王滨</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客户服务电话：400-830-8003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网址：www.cgbchina.com.cn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 恒丰银行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注册地址：山东省烟台市芝罘区南大街248号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办公地址：山东省烟台市莱山区港城东大街289号南山世纪大厦A座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法定代表人：陈颖</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联系人：李胜贤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电话：021-63890179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传真：021-63890196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网址：www.hfbank.com.cn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 华夏银行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注册地址：北京市东城区建国门内大街22号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办公地址：北京市东城区建国门内大街22号华夏银行大厦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法定代表人：李民吉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联系人：王者凡</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传真：010-85238680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网址：www.hxb.com.cn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 交通银行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注册地址：中国（上海）自由贸易试验区银城中路188号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办公地址：中国（上海）自由贸易试验区银城中路188号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法定代表人：彭纯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联系人：王菁</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联系电话：021-58781234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客户服务电话：95559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网址：www.bankcomm.com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 平安银行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注册地址：广东省深圳市罗湖区深南东路5047号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办公地址：广东省深圳市罗湖区深南东路5047号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法定代表人：谢永林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联系人：赵杨</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联系电话：0755-22166574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客户服务电话：95511-3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传真：021-50979507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网址：bank.pingan.com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 浦发银行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注册地址：上海市中山东一路12号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办公地址：上海市中山东一路12号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法定代表人：郑杨</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联系人：赵守良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联系电话：021-61618888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传真：021-63604196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网址：www.spdb.com.cn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9) 招商银行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注册地址：深圳市福田区深南大道7088号招商银行大厦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办公地址：深圳市福田区深南大道7088号招商银行大厦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法定代表人：李建红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联系人：季平伟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网址：www.cmbchina.com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 浙商银行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注册地址：浙江杭州市庆春路288号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办公地址：浙江杭州市庆春路288号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法定代表人：沈仁康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联系人：沈崟杰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联系电话：0571- 88261822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客户服务电话：95527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传真：0571-87659954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网址：www.czbank.com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 中国光大银行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注册地址：北京市西城区太平桥大街25号、甲25号中国光大中心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办公地址：北京市西城区太平桥大街25号金融街F3大厦（中国光大中心）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法定代表人：李晓鹏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联系人：朱红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联系电话：010-63636153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传真：010-63639709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网址：www.cebbank.com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 中国建设银行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注册地址：北京市西城区金融大街25号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办公地址：北京市西城区闹市口大街1号院1号楼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法定代表人：田国立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联系人：王未雨</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 中国民生银行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注册地址：北京市西城区复兴门内大街2号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办公地址：北京市西城区复兴门内大街2号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法定代表人：洪崎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联系人：穆婷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客户服务电话：95568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网址：www.cmbc.com.cn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 中国农业银行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注册地址：北京市东城区建国门内大街69号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办公地址：北京市东城区建国门内大街69号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法定代表人：周慕冰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联系人：李紫钰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传真：010-85109219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网址：www.abchina.com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 中国银行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注册地址：北京市西城区复兴门内大街1号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办公地址：北京市西城区复兴门内大街1号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法定代表人：刘连舸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网址：www.boc.cn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 中国邮政储蓄银行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注册地址：北京市西城区金融大街3号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办公地址：北京市西城区金融大街3号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法定代表人：张金良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联系人：王硕</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客户服务电话：95580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传真：010-68858057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网址：www.psbc.com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 中信银行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注册地址：北京市东城区朝阳门北大街9号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办公地址：北京市东城区朝阳门北大街9号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法定代表人：李庆萍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联系人：王晓琳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客户服务电话：95558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传真：010-85230049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网址：bank.ecitic.com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 包商银行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注册地址：内蒙古自治区包头市青山区钢铁大街6号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办公地址：内蒙古自治区包头市青山区钢铁大街6号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法定代表人：李镇西</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联系人：张晶</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联系电话：0472-5189165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传真：010-84596546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网址：www.bsb.com.cn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 北京农商银行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注册地址：北京市西城区月坛南街1号院2号楼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办公地址：北京市西城区月坛南街1号院2号楼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法定代表人：王金山</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联系人：鲁娟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联系电话：010-89198762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客户服务电话：96198（北京）、400-66-96198（全国）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网址：www.bjrcb.com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 北京银行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注册地址：北京市西城区金融大街甲17号首层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办公地址：北京市西城区金融大街丙17号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法定代表人：张东宁</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联系人：韩裕</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传真：010-66226045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网址：www.bankofbeijing.com.cn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 长安银行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注册地址：西安市高新技术产业开发区高新四路13号1幢1单元10101室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办公地址：西安市高新技术产业开发区高新四路13号朗臣大厦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法定代表人：赵永军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联系人：闫石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客户服务电话：400-05-96669；（029）96669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传真：029-88609566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网址：http://www.ccabchina.com/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 长春农商银行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注册地址：吉林省长春市二道区自由大路5755号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办公地址：吉林省长春市绿园区正阳街4288号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法定代表人：马铁刚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联系人：张俊峰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客户服务电话：96888-1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网址：www.cccb.cn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23) 长沙银行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注册地址：长沙市岳麓区滨江路53号楷林商务中心B座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办公地址：长沙市岳麓区滨江路长沙银行大厦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法定代表人：朱玉国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联系人：于立娜</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联系电话：0731-89736250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客户服务电话：0731-96511（湖南省内）、40067-96511（全国）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网址：www.bankofchangsha.com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24) 成都农商银行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注册地址：成都市武侯区科华中路88号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办公地址：成都市武侯区科华中路88号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联系人：杨琪</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联系电话：028-85315412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客户服务电话：028-962711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传真：028-85390961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网址：http://www.cdrcb.com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25) 大连银行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注册地址：大连市中山区中山路88号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办公地址：大连市中山区中山路88号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法定代表人：崔磊</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联系人：朱珠</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联系电话：0411-82356695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客户服务电话：400-664-0099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网址：www.bankofdl.com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26) 德州银行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注册地址：山东省德州市三八东路1266号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办公地址：山东省德州市三八东路1266号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法定代表人：董合平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联系人：王方震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电话：0534-2297326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客户服务电话：40084-96588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网址：www.dzbchina.com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27) 东莞农村商业银行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注册地址：广东省东莞市东城区鸿福东路2号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办公地址：广东省东莞市东城区鸿福东路2号东莞农商银行大厦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法定代表人：王耀球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联系人：洪晓琳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客户服务电话：0769-961122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网址：www.drcbank.com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28) 东莞银行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注册地址：东莞市莞城区体育路21号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办公地址：东莞市莞城区体育路21号东莞银行大厦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法定代表人：卢国锋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联系人：朱杰霞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联系电话：0769-22865177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客户服务电话：96228（广东省内）、40011-96228（全国）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网址：www.dongguanbank.cn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29) 佛山农商银行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注册地址：佛山市禅城区华远东路5号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办公地址：佛山市禅城区华远东路5号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法定代表人：李川</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联系人：曾敏琪</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客户服务电话：96138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网址：www.foshanbank.cn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30) 福建海峡银行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注册地址：福建省福州市台江区江滨中大道358号海峡银行大厦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办公地址：福建省福州市台江区江滨中大道358号福建海峡银行8楼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法定代表人：俞敏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联系人：黄钰雯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联系电话：0591-87332762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客户服务电话：400-893-9999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传真：0591-87330926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网址：www.fjhxbank.com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31) 富滇银行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注册地址：云南省昆明市拓东路41号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办公地址：云南省昆明市拓东路41号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法定代表人：洪维智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联系人：杨翊琳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电话：0871-63140324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客户服务电话：400-88-96533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传真：0871-63194471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网址：http://www.fudian-bank.com/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32) 富阳农商银行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注册地址：杭州市富阳区鹿山街道依江路501号第1幢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办公地址：杭州市富阳区鹿山街道依江路501号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法定代表人：丁松茂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联系人：陈硕</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联系电话：0571-63280253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客户服务电话：96596、4008896596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网址：www.fyrcbk.com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33) 广东华兴银行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注册地址：广东省汕头市龙湖区黄山路28号四层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办公地址：广州市天河区天河路533号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法定代表人：周泽荣</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联系人：许悦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联系电话：020-38173552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客户服务电话：4008308001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传真：020-38173857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网址：www.ghbank.com.cn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34) 广东南粤银行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注册地址：广东省湛江市经济技术开发区乐山大道60号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办公地址：广东省湛江市经济技术开发区乐山大道60号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法定代表人：蒋丹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联系电话：020-28308757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客户服务电话：4000-961818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网址：www.gdnybank.com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35) 广州农商银行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注册地址：广州市黄埔区映日路9号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办公地址：广州市天河区珠江新城华夏路1号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法定代表人：王继康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联系电话：020-22389067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传真：020-22389031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网址：www.grcbank.com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36) 广州银行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注册地址：广州市天河区珠江东路30号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办公地址：广州市天河区珠江东路30号广州银行大厦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法定代表人：黄子励</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联系人：唐荟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客户服务电话：96699（广东）400-83-96699（全国）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网址：www.gzcb.com.cn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37) 贵阳银行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注册地址：贵州省贵阳市中华北路77号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办公地址：贵州省贵阳市中华北路77号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法定代表人：陈宗权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联系人：何西</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电话：0851-86858673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客户服务电话：40011-96033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传真：0851-86858673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网址：http://www.96033.cn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38) 哈尔滨银行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注册地址：哈尔滨市道里区尚志大街160号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办公地址：哈尔滨市道里区上江街888号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法定代表人：郭志文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联系人：何岩岩</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电话：0451-87792450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客户服务电话：95537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传真：0451-87792682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网址：www.hrbb.com.cn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39) 杭州联合银行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注册地址：浙江省杭州市上城区建国中路99号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办公地址：杭州市建国中路99号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法定代表人：张海林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联系人：胡莹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联系电话：0571-87923324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客户服务电话：96596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传真：0571-87923214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网址：www.urcb.com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40) 杭州银行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注册地址：杭州市下城区庆春路46号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办公地址：杭州市下城区庆春路46号杭州银行大厦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法定代表人：陈震山</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联系人：陈振峰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联系电话：0571-85872972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客户服务电话：95398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传真：0571-85106576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网址：www.hzbank.com.cn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41) 河北银行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注册地址：石家庄市平安北大街28号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办公地址：石家庄市平安北大街28号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法定代表人：乔志强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联系人：王丽辉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联系电话：0311-67807030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客户服务电话：400-612-9999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传真：0311-67806407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网址：www.hebbank.com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42) 吉林银行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注册地址：吉林省长春市经济技术开发区东南湖大路1817号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办公地址：吉林省长春市经济技术开发区东南湖大路1817号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法定代表人：张宝祥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联系人：孙琦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联系电话：0431-84999627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客户服务电话：400-88-96666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传真：0431-84992649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网址：www.jlbank.com.cn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43) 嘉兴银行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注册地址：浙江省嘉兴市昌盛南路1001号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办公地址：浙江省嘉兴市昌盛南路1001号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法定代表人：夏林生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联系人：余舟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联系电话：0573-82080201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客户服务电话：0573-96528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网址：http://www.bojx.com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44) 江南农村商业银行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注册地址：常州市和平中路413号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办公地址：常州市和平中路413号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法定代表人：陆向阳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电话：0519-80585939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客户服务电话：0519-96005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传真：0519-89995170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网址：http://www.jnbank.com.cn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45) 江苏银行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注册地址：南京市中华路26号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办公地址：南京市中华路26号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法定代表人：夏平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联系人：张洪玮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联系电话：025-58587036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客户服务电话：95319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传真：025-58587820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网址：www.jsbchina.cn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46) 江西银行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注册地址：江西省南昌市红谷滩新区金融大街699号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办公地址：江西省南昌市红谷滩新区金融大街699号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法定代表人：陈晓明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联系人：陈云波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联系电话：0791-86796029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客户服务电话：956055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传真：0791-86790795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网址：www.jx-bank.com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47) 金华银行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注册地址：浙江省金华市丹溪路1388号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办公地址：浙江省金华市金东区光南路668号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法定代表人：徐雅清</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联系人：何赛丽、陈霞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联系电话：0579-82178270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客户服务电话：400-711-6668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传真：0579-82178321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网址：www.jhccb.com.cn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48) 锦州银行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注册地址：辽宁省锦州市科技路68号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办公地址：辽宁省锦州市科技路68号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法定代表人：魏学坤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联系人：庞璐璐</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客户服务电话：400-66-96178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网址：www.jinzhoubank.com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49) 晋商银行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注册地址：山西省太原市长风西街1号丽华大厦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办公地址：山西省太原市小店区长风街59号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法定代表人：阎俊生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联系人：董嘉文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联系电话：0351-6819579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客户服务电话：9510-5588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传真：0351-6819926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网址：www.jshbank.com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50) 九江银行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注册地址：江西省九江市濂溪区长虹大道619号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办公地址：江西省九江市濂溪区长虹大道619号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法定代表人：刘羡庭</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联系人：胡浩</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联系电话：0792-2171968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网址：www.jjccb.com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51) 九台农商银行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注册地址：吉林省长春市九台区新华大街504号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办公地址：吉林省长春市高新开发区蔚山路2559号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法定代表人：高兵</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联系人：曲凌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客户服务电话：0431-96888-0-2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网址：http://www.jtnsh.com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52) 昆仑银行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注册地址：新疆克拉玛依市世纪大道7号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办公地址：北京市西城区金融大街1号B座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法定代表人：蒋尚军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联系人：张碧华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联系电话：010-89026813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客户服务电话：95379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传真：010-89025421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网址：www.klb.cn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53) 昆山农村商业银行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注册地址：江苏省昆山市前进东路828号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办公地址：江苏省昆山市前进东路828号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法定代表人：张哲清</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联系人：黄怡</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客户服务电话：0512-96079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网址：www.ksrcb.com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54) 乐清农商银行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注册地址：浙江省乐清市城南街道伯乐西路99号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办公地址：浙江省乐清市城南街道伯乐西路99号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法定代表人：高剑飞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联系人：金晓娇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联系电话：0577-61566028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客户服务电话：4008896596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传真：0577-61566063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网址：www.yqbank.com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55) 龙江银行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注册地址：黑龙江省哈尔滨市道里区友谊路436号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办公地址：黑龙江省哈尔滨市道里区友谊路436号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法定代表人：张建辉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联系人：闫勇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联系电话：0451-85706107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客户服务电话：400-645-8888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传真：0451-85706036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网址：http://www.lj-bank.com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56) 龙湾农商银行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注册地址：浙江省温州市龙湾区永中街道永宁西路555号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办公地址：浙江省温州市龙湾区永中街道永宁西路555号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法定代表人：刘少云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联系人：胡俊杰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联系电话：0577-86923223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客户服务电话：4008296596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传真：0577-86921250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网址：www.lwrcb.com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57) 鹿城农商银行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注册地址：浙江省温州市鹿城区会展路1500号富银大厦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办公地址：温州市车站大道547号信合大厦A幢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法定代表人：陈宏强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联系人：董雷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联系电话：0577-88077675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客户服务电话：96526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网址：http://www.lcrcbank.com/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58) 洛阳银行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注册地址：洛阳市洛阳新区开元大道与通济街交叉口</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办公地址：河南省洛阳市开元大道256号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法定代表人：王建甫</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联系人：郭文博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联系电话：0379-65921977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客户服务电话：0379-96699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传真：0379-65938595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网址：www.bankofluoyang.com.cn/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59) 南海农商银行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注册地址：广东省佛山市南海区桂城街道南海大道北26号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办公地址：广东省佛山市南海区桂城街道南海大道北26号农商银行大厦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法定代表人：李宜心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联系人：廖雪</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电话：0757-86266566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客户服务电话：96138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传真：0757-86250627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网址：www.nanhaibank.com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60) 宁波银行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注册地址：浙江省宁波市鄞州区宁东路345号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办公地址：浙江省宁波市鄞州区宁东路345号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法定代表人：陆华裕</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联系人：施豪迪</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客户服务电话：95574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网址：www.nbcb.com.cn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61) 攀枝花市商业银行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注册地址：攀枝花市炳三区机场路88号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办公地址：攀枝花市炳三区机场路88号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法定代表人：杨宗林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联系电话：0812-5791295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客户服务电话：4001096998（全国）、96998（四川）</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传真：0812-5791295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网址：http://www.pzhccb.com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62) 齐商银行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注册地址：淄博市张店区中心路105号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办公地址：山东省淄博市张店区金晶大道105号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法定代表人：杲传勇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联系人：焦浦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联系电话：0533-2178888-9907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客户服务电话：400-86-96588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传真：0533-2180303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网址：www.qsbank.cc</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63) 青岛农商银行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注册地址：山东省青岛市崂山区秦岭路6号1号楼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办公地址：山东省青岛市崂山区秦岭路6号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法定代表人：刘仲生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联系人：李洪姣</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联系电话：0532-66957228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客户服务电话：96668、4001196668或4008896668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传真：0532-66957229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网址：www.qrcb.com.cn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64) 青岛银行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注册地址：山东省青岛市崂山区秦岭路6号3号楼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办公地址：山东省青岛市崂山区秦岭路6号3号楼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法定代表人：郭少泉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联系人：徐伟静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联系电话：0532-68629925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客户服务电话：96588（青岛）400-66-96588（全国）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网址：http://www.qdccb.com/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65) 青海银行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注册地址：青海省西宁市黄河路36号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办公地址：青海省西宁市黄河路36号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联系人：李万芳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联系电话：0971-6111792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客户服务电话：0971-96399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传真：0971-6111792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网址：www.bankqh.com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66) 泉州银行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注册地址：泉州市丰泽区云鹿路3号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办公地址：泉州市丰泽区云鹿路3号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法定代表人：傅子能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联系人：董培姗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联系电话：0595-22551071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客户服务电话：400-88-96312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传真：0595-22578871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网址：www.qzccbank.com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67) 日照银行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注册地址：山东省日照市烟台路197号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办公地址：山东省日照市烟台路197号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联系人：孔颖</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联系电话：0633-8081590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客户服务电话：400-68-96588（全国）、0633-96588（日照）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传真：0633-8081276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网址：http://www.bankofrizhao.com.cn/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68) 瑞安农商银行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注册地址：瑞安市安阳街道万松东路148号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办公地址：瑞安市安阳街道万松东路148号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法定代表人：王光领</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联系人：吴清萍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联系电话：0577-66816501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客户服务电话：4008057702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网址：https://www.rarcbank.com/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69) 瑞丰银行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注册地址：浙江省绍兴市柯桥区笛扬路1363号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办公地址：浙江省绍兴市柯桥区笛扬路1363号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法定代表人：俞俊海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联系人：孟建潮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联系电话：0575-81105323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客户服务电话：400-88-96596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传真：0575-84788134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网址：www.borf.cn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70) 上海农村商业银行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注册地址：上海市黄浦区中山东二路70号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办公地址：上海市黄浦区中山东二路70号上海农商银行大厦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法定代表人：徐力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联系人：施传荣</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联系电话：021-61899999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客户服务电话：021-962999、4006962999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开放式基金业务传真：021-50105124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网址：www.srcb.com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71) 上海银行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注册地址：中国（上海）自由贸易试验区银城中路168号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办公地址：上海市浦东新区银城中路168号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法定代表人：金煜</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联系电话：021-68475732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客户服务电话：95594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网址：http://www.bosc.cn/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72) 顺德农村商业银行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注册地址：佛山市顺德区大良德和居委会拥翠路2号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办公地址：佛山市顺德区大良德和居委会拥翠路2号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法定代表人：姚真勇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联系人：陈素莹、区敏欣</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联系电话：0757-22385879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客户服务电话：0757-22223388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传真：0757-22388235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网址：www.sdebank.com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73) 四川天府银行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注册地址：四川省南充市涪江路1号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办公地址：四川省成都市锦江区东大街下东大街258号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法定代表人：邢敏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联系人：周乃雍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联系电话：028-67676038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客户服务电话：400-16-96869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网址：www.tf.cn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74) 苏州银行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注册地址：江苏省苏州市工业园区钟园路728号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办公地址：江苏省苏州市工业园区钟园路728号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法定代表人：王兰凤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联系人：吴骏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联系电话：0512-69868373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客户服务电话：96067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传真：0512-69868373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网址：www.suzhoubank.com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75) 天津银行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注册地址：天津市河西区友谊路15号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办公地址：天津市河西区友谊路15号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法定代表人：李宗唐</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联系人：李岩</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联系电话：022-28405684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客户服务电话：956056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传真：022-28405631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网址：www.bank-of-tianjin.com.cn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76) 威海市商业银行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注册地址：威海市宝泉路9号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办公地址：威海市宝泉路9号财政大厦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法定代表人：谭先国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联系人：冯十卉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联系电话：0531-68978175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客户服务电话：山东省内96636、中国境内40000-96636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传真：0531-68978176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网址：www.whccb.com，www.whccb.com.cn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77) 微众银行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注册地址：深圳市前海深港合作区前湾一路1号A栋201室（入驻深圳市前海商务秘书有限公司）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办公地址：广东省深圳市南山区沙河西路1819号深圳湾科技生态园7栋A座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法定代表人：顾敏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客户服务电话：95384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网址：http://www.webank.com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78) 潍坊银行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注册地址：山东省潍坊市奎文区胜利东街5139号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办公地址：山东省潍坊市奎文区胜利东街5139号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法定代表人：郭虎英</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联系人：井靖</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联系电话：0536-8051904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客户服务电话：400-61-96588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传真：0536-8056061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网址：www.wfccb.com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79) 西安银行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注册地址：西安市高新路60号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办公地址：西安市高新路60号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法定代表人：郭军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联系人：白智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联系电话：029-88992881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客户服务电话：40086-96779（全国）、96779（陕西）</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网址：www.xacbank.com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80) 萧山农商银行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注册地址：萧山区人民路258号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办公地址：浙江省杭州市萧山区人民路258号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法定代表人：王云龙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联系人：朱光锋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联系电话：0571-82739513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客户服务电话：96596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网址：http://www.zjxsbank.com/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81) 烟台银行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注册地址：山东省烟台市芝罘区海港路25号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办公地址：山东省烟台市芝罘区海港路25号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法定代表人：吴明理</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联系人：张卓智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联系电话：0535-6699671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客户服务电话：4008-311-777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传真：0535-6699884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网址：www.yantaibank.net</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82) 余杭农村商业银行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注册地址：杭州市余杭区南苑街道南大街72号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办公地址：杭州市余杭区南苑街道南大街72号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法定代表人：来煜标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联系人：蔡亮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联系电话：0571-86209980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客户服务电话：96596，4008896596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网址：www.yhrcb.com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83) 云南红塔银行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注册地址：云南省玉溪市东风南路2号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办公地址：云南省昆明市盘龙区世博路低碳中心A座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法定代表人：李光林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联系人：马杰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联系电话：0871-65236624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客户服务电话：0877-96522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网址：www.ynhtbank.com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84) 浙江稠州商业银行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注册地址：浙江省义乌市江滨路义乌乐园东侧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办公地址：杭州市上城区望潮路158号稠银大厦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法定代表人：金子军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联系人：谢圆圆</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联系电话：0571-87117661/13777805250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客户服务电话：0571-96527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传真：0571-87117607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网址：http://www.czcb.com.cn/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85) 浙江泰隆商业银行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注册地址：浙江省台州市路桥区南官大道188号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办公地址：浙江省台州市路桥区南官大道188号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联系人：陈妍宇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联系电话：0571-87219677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客户服务电话：95347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网址：www.zjtlcb.com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86) 郑州银行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注册地址：河南省郑州市郑东新区商务外环路22号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办公地址：河南省郑州市郑东新区商务外环路22号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法定代表人：王天宇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联系人：焦明飞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联系电话：0371-67009917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客户服务电话：95097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传真：0371-67009097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网址：http://www.zzbank.cn/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87) 中原银行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注册地址：河南省郑州市郑东新区CBD商务外环路23号中科金座大厦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办公地址：河南省郑州市郑东新区CBD商务外环路23号中科金座大厦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法定代表人：窦荣兴</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联系人：张星强  联系电话：0371-85517713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客户服务电话：95186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网址：www.zybank.com.cn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88) 重庆农村商业银行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注册地址：重庆市江北区金沙门路36号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办公地址：重庆市江北区金沙门路36号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法定代表人：刘建忠</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联系人：范亮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联系电话：023-61110146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客户服务电话：95389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传真：023-61110146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网址：www.cqrcb.com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89) 重庆银行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注册地址：重庆市渝中区邹容路153号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办公地址：重庆市江北区永平门街6号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法定代表人：林军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联系人：石千凡</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联系电话：023-63367180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客户服务电话：96899，4007096899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网址：www.cqcbank.com.cn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90) 珠海华润银行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注册地址：广东省珠海市吉大九洲大道东1346号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办公地址：广东省珠海市吉大九洲大道东1346号珠海华润银行大厦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法定代表人：刘晓勇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联系电话：4008800338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客户服务电话：96588（广东省外请加拨0756），400-8800-338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网址：www.crbank.com.cn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91) 安信证券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注册地址：深圳市福田区金田路4018号安联大厦35层、28层A02单元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办公地址：深圳市福田区金田路4018号安联大厦35层、28层A02单元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          深圳市福田区深南大道2008号中国凤凰大厦1栋9层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法定代表人：王连志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联系人：陈剑虹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联系电话：0755-82825551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客户服务电话：95517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传真：0755-82558355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网址：www.essence.com.cn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92) 渤海证券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注册地址：天津市经济技术开发区第二大街42号写字楼101室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办公地址：天津市南开区宾水西道8号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法定代表人：王春峰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联系人：蔡霆</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联系电话：022-28451991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客户服务电话：400-651-5988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传真：022-28451892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网址：www.ewww.com.cn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93) 财达证券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注册地址：河北省石家庄市桥西区自强路35号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办公地址：河北省石家庄市桥西区自强路35号庄家金融大厦23-26层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法定代表人：翟建强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联系人：李卓颖</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联系电话：0311-66008561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客户服务电话：95363（河北省内）；0311-95363（河北省外）</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传真：0311-66006414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网址：www.s10000.com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94) 财富证券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注册地址：长沙市芙蓉中路二段80号顺天国际财富中心26层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办公地址：长沙市芙蓉中路二段80号顺天国际财富中心26-28层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法定代表人：刘宛晨</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联系人：郭静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联系电话：0731-84403347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客户服务电话：95317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传真：0731-84403439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网址：www.cfzq.com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95) 财通证券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注册地址：浙江省杭州市杭大路15号嘉华国际商务中心201，501，502，1103，1601-1615，1701-1716室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办公地址：浙江省杭州市杭大路15号嘉华国际商务中心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法定代表人：陆建强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联系人：陶志华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联系电话：0571－87789160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客户服务电话：95336、40086-96336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网址：www.ctsec.com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96) 长城国瑞证券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注册地址：厦门市思明区莲前西路2号莲富大厦17楼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办公地址：厦门市思明区深田路46号深田国际大厦20楼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联系人：邱震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联系电话：0592-2079259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客户服务电话：400-0099-886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传真：0592-2079602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网址：www.gwgsc.com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97) 长城证券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注册地址：深圳市福田区福田街道金田路2026号能源大厦南塔楼10-19层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办公地址：深圳市福田区福田街道金田路2026号能源大厦南塔楼10-19层长城证券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法定代表人：曹宏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联系人：梁浩</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联系电话：0755-83530715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客户服务电话：400-6666-888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传真：0755-83516199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网址：www.cgws.com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98) 长江证券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注册地址：湖北省武汉市新华路特8号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办公地址：湖北省武汉市新华路特8号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法定代表人：李新华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联系人：奚博宇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联系电话：027-65799999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客户服务电话：95579或4008-888-999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传真：027-85481900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网址：www.95579.com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99) 川财证券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注册地址：中国（四川）自由贸易试验区成都高新区交子大道177号中海国际中心B座17楼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办公地址：四川省成都高新区交子大道177号中海国际中心B座17楼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法定代表人：孟建军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联系人：匡婷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联系电话：028-86583053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客户服务电话：028-86583000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网址：www.cczq.com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100) 大通证券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注册地址：辽宁省大连市沙河口区会展路129号大连国际金融中心A座-大连期货大厦38、39层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办公地址：辽宁省大连市沙河口区会展路129号大连国际金融中心A座-大连期货大厦38、39层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法定代表人：赵玺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联系人：谢立军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联系电话：0411-39991807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客户服务电话：4008-169-169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传真：0411-39673214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网址：www.daton.com.cn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101) 大同证券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注册地址：山西省大同市城区迎宾街15号桐城中央21层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办公地址：山西省太原市小店区长治路111号山西世贸中心A座F12、F13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法定代表人：董祥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联系人：薛津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联系电话：0351-4130322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客户服务电话：4007121212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传真：0351-7219891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网址：www.dtsbc.com.cn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102) 德邦证券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注册地址：上海市普陀区曹杨路510号南半幢9楼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办公地址：上海市福山路500号城建国际中心29楼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法定代表人：武晓春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联系人：刘熠</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联系电话：021-68761616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客户服务电话：400-8888-128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传真：021-68767880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网址：http://www.tebon.com.cn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103) 第一创业证券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注册地址：深圳市福田区福华一路115号投行大厦20楼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办公地址：深圳市福田区福华一路115号投行大厦20楼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法定代表人：刘学民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联系人：毛诗莉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联系电话：0755-23838750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客户服务电话：95358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网址：www.firstcapital.com.cn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104) 东北证券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注册地址：长春市生态大街6666号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办公地址：长春市生态大街6666号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法定代表人：李福春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联系人：安岩岩</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联系电话：0431-85096517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客户服务电话：95360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传真：0431-85096795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网址：www.nesc.cn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105) 东莞证券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注册地址：东莞市莞城区可园南路一号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办公地址：东莞市莞城区可园南路1号金源中心30楼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法定代表人：陈照星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联系人：李荣</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联系电话：0769-22115712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传真：0769-22115712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网址：www.dgzq.com.cn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106) 东海证券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注册地址：江苏省常州市延陵西路23号投资广场18层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办公地址：上海市浦东新区东方路1928号东海证券大厦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法定代表人：陈耀庭</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联系人：王一彦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联系电话：021-20333333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客户服务电话：95531、400-8888-588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传真：021-50498825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网址：www.longone.com.cn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107) 东吴证券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注册地址：苏州工业园区星阳街5号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办公地址：苏州工业园区星阳街5号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法定代表人：范力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联系人：陆晓</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联系电话：0512-62938521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客户服务电话：95330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传真：0512-65588021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网址：www.dwzq.com.cn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108) 东兴证券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注册地址：北京市西城区金融大街5号（新盛大厦）12、15层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办公地址：北京市西城区金融大街5号新盛大厦B座12-15层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法定代表人：魏庆华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联系人：和志鹏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联系电话：010-66559371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客户服务电话：95309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传真：010-66555133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网址：www.dxzq.net</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109) 方正证券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注册地址：长沙市天心区湘江中路二段36号华远华中心4、5号楼3701-3717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办公地址：北京市朝阳区北四环中路27号盘古大观A座40F</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法定代表人：施华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联系人：程博怡</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联系电话：010-56437060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客户服务电话：95571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传真：010-56437013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网址：www.foundersc.com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110) 光大证券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注册地址：上海市静安区新闸路1508号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办公地址：上海市静安区新闸路1508号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法定代表人：周健男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联系人：龚俊涛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联系电话：021-22169999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客户服务电话：95525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传真：021-22169134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网址：www.ebscn.com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111) 广发证券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注册地址：广东省广州市黄埔区中新广州知识城腾飞一街2号618室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办公地址：广州市天河区马场路26号广发证券大厦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法定代表人：孙树明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联系人：黄岚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客户服务电话：95575或02095575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网址：www.gf.com.cn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112) 国都证券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注册地址：北京市东城区东直门南大街3号国华投资大厦9层10层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办公地址：北京市东城区东直门南大街3号国华投资大厦9层10层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法定代表人：王少华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联系人：黄静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联系电话：010-84183389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客户服务电话：400-818-8118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传真：010-84183311-3122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网址：www.guodu.com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113) 国海证券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注册地址：广西桂林市辅星路13号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办公地址：深圳市福田区竹子林四路光大银行大厦3楼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法定代表人：何春梅</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联系人：田密</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联系电话：0755-83716916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客户服务电话：95563或0771-95563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网址：www.ghzq.com.cn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114) 国金证券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注册地址：成都市青羊区东城根上街95号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办公地址：成都市青羊区东城根上街95号成证大厦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法定代表人：冉云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联系人：杜晶、黎建平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联系电话：028-86690057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客户服务电话：95310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传真：028-86690126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网址：www.gjzq.com.cn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115) 国融证券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注册地址：内蒙古自治区呼和浩特市武川县腾飞大道1号4楼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办公地址：内蒙古自治区呼和浩特市武川县腾飞大道与呈祥路交汇处武川立农村镇银行股份有限公司四楼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法定代表人：张智河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联系人：郭一非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联系电话：010-83991777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客户服务电话：95385或400-660-9839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传真：010-66412537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网址：www.grzq.com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116) 国盛证券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注册地址：江西省南昌市新建区子实路1589号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办公地址：江西省南昌市红谷滩新区凤凰中大道1115号北京银行大厦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法定代表人：徐丽峰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联系人：占文驰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联系电话：0791-86283372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客户服务电话：956080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传真：0791-86281305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网址：www.gszq.com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117) 国泰君安证券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注册地址：中国（上海）自由贸易试验区商城路618号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办公地址：上海市静安区南京西路768号国泰君安大厦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法定代表人：杨德红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联系人：芮敏祺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客户服务电话：95521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传真：021-38670666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网址：www.gtja.com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118) 国信证券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注册地址：深圳市罗湖区红岭中路1012号国信证券大厦十六层至二十六层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办公地址：深圳市罗湖区红岭中路1012号国信证券大厦十六层至二十六层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法定代表人：何如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联系人：李颖</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联系电话：0755-82130833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客户服务电话：95536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传真：0755-82133952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网址：www.guosen.com.cn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119) 国元证券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注册地址：安徽省合肥市梅山路18号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办公地址：安徽省合肥市梅山路18号安徽国际金融中心A座国元证券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法定代表人：蔡咏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联系人：李蔡</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客户服务电话：95578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传真：0551-2272100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网址：www.gyzq.com.cn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120) 海通证券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注册地址：上海市广东路689号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办公地址：上海市广东路689号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法定代表人：周杰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联系人：金芸、李笑鸣</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联系电话：021-23219000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客户服务电话：95553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传真：021-23219100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网址：www.htsec.com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121) 恒泰证券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注册地址：内蒙古自治区呼和浩特市新城区海拉尔东街满世尚都办公商业综合楼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办公地址：呼和浩特市新城区海拉尔东街满世书香苑办公楼7楼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法定代表人：庞介民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联系人：熊丽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联系电话：0471-4972675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客户服务电话：4001966188,956088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网址：www.cnht.com.cn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122) 华安证券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注册地址：安徽省合肥市政务文化新区天鹅湖路198号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办公地址：安徽省合肥市政务文化新区天鹅湖路198号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法定代表人：章宏韬</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联系人：范超</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联系电话：0551-65161821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传真：0551-65161825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网址：www.hazq.com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123) 华宝证券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注册地址：中国（上海）自由贸易试验区世纪大道100号57层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办公地址：中国（上海）自由贸易试验区世纪大道100号57层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联系人：刘闻川</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联系电话：021-20657517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客户服务电话：400-820-9898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传真：021-20515593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网址：www.cnhbstock.com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124) 华福证券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注册地址：福州市鼓楼区温泉街道五四路157号7－8层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办公地址：上海市浦东新区陆家嘴环路1088号招商银行大厦18-19楼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法定代表人：黄金琳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联系电话：021-20655183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客户服务电话：95547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传真：021-20655196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网址：www.hfzq.com.cn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125) 华龙证券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注册地址：兰州市城关区东岗西路638号兰州财富中心21楼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办公地址：兰州市城关区东岗西路638号兰州财富中心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法定代表人：陈牧原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联系人：范坤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联系电话：0931-4890208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客户服务电话：95368、400-689-8888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传真：0931-4890628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网址：www.hlzq.com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126) 华融证券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注册地址：北京市西城区金融大街8号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办公地址：北京市朝阳区朝阳门北大街18号中国人保寿险大厦11至18层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法定代表人：祝献忠</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联系人：孙燕波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联系电话：010-85556048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客户服务电话：95390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传真：010-85556088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网址：www.hrsec.com.cn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127) 华泰证券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注册地址：南京市江东中路228号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办公地址：南京市建邺区江东中路228号华泰证券广场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联系人：庞晓芸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联系电话：0755-82492193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客户服务电话：95597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传真：025-83387523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网址：www.htsc.com.cn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128) 华西证券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注册地址：四川省成都市高新区天府二街198号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办公地址：四川省成都市高新区天府二街198号华西证券大厦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法定代表人：杨炯洋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联系人：谢国梅</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联系电话：010-58124967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客户服务电话：95584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传真：028-86150040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网址：www.hx168.com.cn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129) 华鑫证券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注册地址：深圳市福田区莲花街道福中社区深南大道2008号中国凤凰大厦1栋20C-1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办公地址：上海市徐汇区宛平南路8号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法定代表人：俞洋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联系人：杨莉娟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联系电话：021-54967552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客户服务电话：95323（全国）、400-109-9918（全国）、029-68918888（西安）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传真：021-54967293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网址：www.cfsc.com.cn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130) 华信证券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注册地址：上海浦东新区世纪大道100号环球金融中心9楼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办公地址：上海市黄浦区南京西路399号明天广场23楼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法定代表人：陈灿辉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联系人：徐璐</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联系电话：021-63898952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客户服务电话：400-820-5999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传真：021-68776977转8952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网址：www.shhxzq.com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131) 江海证券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注册地址：黑龙江省哈尔滨市香坊区赣水路56号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办公地址：黑龙江省哈尔滨市松北区创新三路833号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法定代表人：赵洪波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联系人：姜志伟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联系电话：0451-87765732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客户服务电话：400-666-2288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传真：0451-82337279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网址：www.jhzq.com.cn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132) 金元证券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注册地址：海口市南宝路36号证券大厦4楼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办公地址：深圳市深南大道4001号时代金融中心大厦17楼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法定代表人：王作义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联系电话：0755-83025693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客户服务电话：95372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传真：0755-83025625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网址：www.jyzq.cn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133) 九州证券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注册地址：青海省西宁市南川工业园区创业路108号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办公地址：北京市朝阳区安立路30号仰山公园东一门2号楼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法定代表人：魏先锋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联系人：张思思</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联系电话：010-57672272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客户服务电话：95305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传真：010-57672296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网址：www.jzsec.com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134) 开源证券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注册地址：陕西省西安市高新区锦业路1号都市之门B座5层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办公地址：陕西省西安市高新区锦业路1号都市之门B座5层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联系人：张蕊</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联系电话：029-88365809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客户服务电话：95325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网址：www.kysec.cn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135) 联储证券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注册地址：广东省深圳市福田区福田街道岗厦社区深南大道南侧金地中心大厦9楼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办公地址：上海市浦东新区陆家嘴环路333号金砖大厦8楼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法定代表人：吕春卫</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联系人：丁倩云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联系电话：010-86499427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客户服务电话：400-620-6868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网址：www.lczq.com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136) 民生证券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注册地址：北京市东城区建国门内大街28号民生金融中心A座16层-18层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办公地址：北京市东城区建国门内大街28号民生金融中心A座16-20层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法定代表人：冯鹤年</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联系人：韩秀萍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联系电话：010-85127609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客户服务电话：95376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网址：www.mszq.com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137) 南京证券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注册地址：南京市江东中路389号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办公地址：南京市江东中路389号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法定代表人：步国旬</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联系人：王万君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联系电话：025-58519523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客户服务电话：95386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传真：025-83369725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网址：www.njzq.com.cn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138) 平安证券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注册地址：深圳市福田区福田街道益田路5023号平安金融中心B座第22-25层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办公地址：深圳市福田区金田路4036号荣超大厦16-20层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法定代表人：何之江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联系人：周驰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联系电话：021-38643230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客户服务电话：95511-8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传真：021-58991896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网址：stock.pingan.com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139) 瑞银证券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注册地址：北京市西城区金融大街7号英蓝国际金融中心12层、15层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办公地址：北京市西城区金融大街7号英蓝国际金融中心12层、15层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法定代表人：钱于军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联系人：谢丹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联系电话：0755-22158878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客户服务电话：400-887-8827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传真：010-58328170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网址：https://www.ubs.com/ubssecurities</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140) 山西证券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注册地址：太原市府西街69号山西国际贸易中心东塔楼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办公地址：太原市府西街69号山西国际贸易中心东塔楼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法定代表人：侯巍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联系人：郭熠</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联系电话：0351-8686659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客户服务电话：95573或400-666-1618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传真：0351-8686619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网址：www.i618.com.cn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141) 上海证券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注册地址：上海市黄浦区四川中路213号7楼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办公地址：上海市四川中路213号久事商务大厦7楼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法定代表人：李俊杰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联系人：邵珍珍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联系电话：021-53686888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客户服务电话：4008-918-918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传真：021-53686100、021-53686200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网址：https://www.shzq.com/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142) 申万宏源西部证券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注册地址：新疆乌鲁木齐市高新区（新市区）北京南路358号大成国际大厦20楼2005室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办公地址：新疆乌鲁木齐市高新区（新市区）北京南路358号大成国际大厦20楼2005室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联系人：王怀春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联系电话：0991-2307105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客户服务电话：4008-000-562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传真：010-88085195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网址：www.hysec.com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143) 申万宏源证券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注册地址：上海市徐汇区长乐路989号45层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办公地址：上海市徐汇区长乐路989号世纪商贸广场45层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法定代表人：杨玉成</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联系人：余敏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联系电话：021-33388252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客户服务电话：95523、4008895523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传真：021-33388224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网址：www.swhysc.com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144) 首创证券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注册地址：北京市西城区德胜门外大街115号德胜尚城E座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办公地址：北京市西城区德胜门外大街115号德胜尚城E座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法定代表人：毕劲松</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联系电话：010-59366070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客户服务电话：400-620-0620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传真：010-59366055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网址：http://www.sczq.com.cn/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145) 天风证券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注册地址：湖北省武汉市东湖新技术开发区关东园路2号高科大厦四楼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办公地址：湖北省武汉市武昌区中南路99号保利广场A座37楼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法定代表人：余磊</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联系人：程晓英</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联系电话：027-87617017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客户服务电话：4008005000、95391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传真：027-87618863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网址：http://www.tfzq.com/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146) 万联证券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注册地址：广州市天河区珠江东路11号18、19楼全层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办公地址：广州市天河区珠江东路13号高德置地广场E栋12层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法定代表人：罗钦城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联系人：甘蕾</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联系电话：020-38286026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客户服务电话：95322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传真：020-38286588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网址：www.wlzq.cn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147) 西南证券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注册地址：重庆市江北区桥北苑8号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办公地址：重庆市江北区桥北苑8号西南证券大厦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法定代表人：廖庆轩</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联系人：周青</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联系电话：023-63786633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客户服务电话：4008096096或95355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传真：023-63786212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网址：www.swsc.com.cn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148) 新时代证券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注册地址：北京市海淀区北三环西路99号院1号楼15层1501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办公地址：北京市海淀区北三环西路99号院1号楼15层1501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法定代表人：叶顺德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联系人：田芳芳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联系电话：010-83561146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网址：www.xsdzq.cn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149) 信达证券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注册地址：北京市西城区闹市口大街9号院1号楼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办公地址：北京市西城区闹市口大街9号院1号楼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法定代表人：张志刚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联系人：尹旭航</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联系电话：010-63081000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客户服务电话：95321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传真：010-63080978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网址：www.cindasc.com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150) 兴业证券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注册地址：福州市湖东路268号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办公地址：上海浦东新区长柳路36号兴业证券大厦20楼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法定代表人：杨华辉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联系人：乔琳雪</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联系电话：021-38565547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客户服务电话：95562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网址：www.xyzq.com.cn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151) 银河证券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注册地址：北京市西城区金融大街35号2-6层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办公地址：北京市西城区金融大街35号国际企业大厦C座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法定代表人：陈共炎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联系人：辛国政</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联系电话：010-83574507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客户服务电话：4008-888-888或95551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网址：www.chinastock.com.cn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152) 粤开证券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注册地址：惠州市江北东江三路55号广播电视新闻中心西面一层大堂和三、四层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办公地址：深圳市福田区深南中路2002号中广核大厦北楼10层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法定代表人：严亦斌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联系人：彭莲</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联系电话：0755-83331195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客户服务电话：95564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公司网址：http://www.ykzq.com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153) 招商证券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注册地址：深圳市福田区福田街道福华一路111号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办公地址：深圳市福田区福田街道福华一路111号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法定代表人：霍达</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联系人：黄婵君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联系电话：0755-82943666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客户服务电话：95565、400-8888-111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传真：0755-82943636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网址：www.newone.com.cn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154) 浙商证券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注册地址：浙江省杭州市江干区五星路201号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办公地址：浙江省杭州市江干区五星路201号浙商证券大楼8楼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法定代表人：吴承根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联系人：高扬</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联系电话：0571-87902974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客户服务电话：95345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传真：0571-87901913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网址：www.stocke.com.cn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155) 中航证券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注册地址：江西省南昌市红谷滩新区红谷中大道1619号南昌国际金融大厦A栋41层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办公地址：江西省南昌市红谷滩新区红谷中大道1619号南昌国际金融大厦A栋41层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法定代表人：王晓峰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联系人：王紫雯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联系电话：15611538682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客户服务电话：95335或400-88-95335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传真：010-59562637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网址：www.avicsec.com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156) 中金财富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注册地址：深圳市福田区益田路与福中路交界处荣超商务中心A栋第18-21层及第04层01.02.03.05.11.12.13.15.16.18.19.20.21.22.23单元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办公地址：深圳福田区益田路6003号荣超商务中心A座4层、18-21层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法定代表人：高涛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联系人：万玉琳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联系电话：0755-82026907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客户服务电话：95532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网址：https://www.ciccwm.com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157) 中金公司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注册地址：北京市朝阳区建国门外大街1号国贸大厦2座27层及28层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办公地址：北京市朝阳区建国门外大街1号国贸大厦2座27层及28层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法定代表人：沈如军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联系人：杨涵宇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联系电话：010-65051166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客户服务电话：4009101166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网址：www.cicc.com.cn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158) 中山证券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注册地址：深圳市南山区粤海街道蔚蓝海岸社区创业路1777号海信南方大厦21、22层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办公地址：深圳市南山区创业路1777号海信南方大厦21、22层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法定代表人：林炳城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联系人：罗艺琳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电话：0755-82943755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传真：0755-82960582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客户服务电话：95329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网址：www.zszq.com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159) 中泰证券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注册地址：济南市市中区经七路86号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办公地址：山东省济南市经七路86号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联系人：许曼华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联系电话：021-20315290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客户服务电话：95538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传真：0531-68889095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网址：www.zts.com.cn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160) 中天证券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注册地址：辽宁省沈阳市和平区光荣街23甲</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办公地址：辽宁省沈阳市和平区光荣街23甲</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法定代表人：马功勋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联系人：李泓灏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联系电话：024-23255256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客户服务电话：024-95346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传真：024-23255606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网址：www.iztzq.com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161) 中信建投证券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注册地址：北京市朝阳区安立路66号4号楼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办公地址：北京市朝阳门内大街188号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法定代表人：王常青</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联系电话：010－85130554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客户服务电话：95587或4008-888-108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网址：http://www.csc108.com/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162) 中信证券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注册地址：广东省深圳市福田区中心三路8号卓越时代广场（二期）北座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办公地址：北京市朝阳区亮马桥路48号中信证券大厦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法定代表人：张佑君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联系人：王一通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联系电话：010-60838888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客户服务电话：95548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传真：010-60836029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网址：www.cs.ecitic.com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163) 中信证券（华南）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注册地址：广州市天河区珠江西路5号广州国际金融中心主塔19层、20层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办公地址：广州市天河区珠江西路5号广州国际金融中心主塔19层、20层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法定代表人：胡伏云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联系人：梁微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联系电话：020-88836999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传真：020-88836984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网址：www.gzs.com.cn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164) 中信证券（山东）</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注册地址：青岛市崂山区深圳路222号1号楼2001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办公地址：青岛市市南区东海西路28号龙翔广场东座5层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法定代表人：姜晓林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联系人：焦刚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联系电话：0531-89606166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客户服务电话：95548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传真：0532-85022605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网址：http://sd.citics.com/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165) 中银国际证券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注册地址：上海市浦东新区银城中路200号中银大厦39层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办公地址：上海市浦东新区银城中路200号中银大厦39-40层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法定代表人：宁敏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联系人：王炜哲</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客户服务电话：400-620-8888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传真：021-50372474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网址：www.bocichina.com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166) 中邮证券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注册地址：陕西省西安市唐延路5号（陕西邮政信息大厦9-11层）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办公地址：北京市东城区珠市口东大街17号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法定代表人：丁奇文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联系人：岳帅</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联系电话: 010-67017788-6068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客户服务电话：4008-888-005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传真：010-67017788-9696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网址：www.cnpsec.com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167) 中原证券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注册地址：郑州市郑东新区商务外环路10号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办公地址：河南省郑州市郑东新区商务外环路10号中原广发金融大厦19楼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法定代表人：菅明军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联系人：程月艳  李盼盼 党静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联系电话：0371-69099882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传真：0371-65585899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网址：www.ccnew.com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168) 百度百盈</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注册地址：北京市海淀区上地十街10号1幢1层101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办公地址：北京市海淀区西北旺东路10号院西区4号楼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法定代表人：张旭阳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联系人：孙博超</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联系电话：010-59403028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客户服务电话：95055-4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网址：www.baiyingfund.com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169) 长量基金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注册地址：上海市浦东新区高翔路526号2幢220室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办公地址：上海市浦东新区东方路1267号陆家嘴金融服务广场二期11层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法定代表人：张跃伟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联系人：党敏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联系电话：021-20691935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客户服务电话：400-820-2899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传真：021-20691861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网址：www.erichfund.com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170) 朝阳永续</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注册地址：浦东新区上丰路977号1幢B座812室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办公地址：上海市浦东新区碧波路690号4号楼2楼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法人代表：廖冰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联系人：陆纪青</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联系电话：021-80234888-6813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客户服务电话：400-699-1888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网址：www.998fund.com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171) 创金启富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注册地址：北京市西城区白纸坊东街2号院6号楼712室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办公地址：北京市西城区白纸坊东街2号院6号楼712室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法定代表人：梁蓉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联系人：李慧慧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联系电话：010-66154828-8047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客户服务电话：400-6262-818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传真：010-63583991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网址：www.5irich.com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172) 大泰金石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注册地址：南京市建邺区江东中路102号708室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办公地址：上海市浦东新区峨山路505号东方纯一大厦15楼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法定代表人：陈达伟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联系人：孟召社</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联系电话：021-20324176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客户服务电话：400-995-9220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传真：021-20324199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网址：www.dtfunds.com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173) 大智慧基金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注册地址：中国（上海）自由贸易试验区杨高南路428号1号楼1102单元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办公地址：中国（上海）自由贸易试验区杨高南路428号1号楼1102单元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法定代表人：申健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联系人：张蜓</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联系电话：021-20219988-35374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客户服务电话：021-20292031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传真：021-20219923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网址：https://www.wg.com.cn/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174) 蛋卷基金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注册地址：北京市朝阳区阜通东大街1号院6号楼2单元21层222507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办公地址：北京市朝阳区阜通东大街1号院6号楼2单元21层222507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法定代表人：钟斐斐</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联系人：侯芳芳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联系电话：010-61840688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客户服务电话：4001599288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网址：https://danjuanapp.com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175) 鼎信汇金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注册地址：北京市海淀区太月园3号楼5层521室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办公地址：北京市海淀区太月园3号楼5层521室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法定代表人：齐凌峰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联系人：阮志凌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联系电话：010-82050520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客户服务电话：400-886-3311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传真：010-82086110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网址：www.9ifund.com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176) 东证期货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注册地址：中国（上海）自由贸易试验区浦电路500号上海期货大厦14层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办公地址：上海市黄浦区中山南路318号2号楼22楼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法定代表人：卢大印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联系人：张敏圆</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联系电话：021-63325888-4259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客户服务电话：4008859999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传真：021-63326752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网址：www.dzqh.com.cn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177) 泛华普益</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注册地址：四川省成都市成华区建设路9号高地中心1101室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办公地址：四川省成都市锦江区东大街99号平安金融中心1501室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法定代表人：于海锋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联系人：陈金红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联系电话：028-86758820-803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客户服务电话：400-020-0606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网址：www.puyifund.com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178) 富济基金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注册地址：深圳市福田区福田街道岗厦社区金田路3088号中洲大厦3203A单元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办公地址：深圳市福田区福田街道岗厦社区金田路3088号中洲大厦3203A单元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法定代表人：祝中村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联系人：曾瑶敏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联系电话：0755-83999907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客户服务电话：0755-83999907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传真：0755-83999926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网址：www.fujifund.cn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179) 海银基金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注册地址：中国（上海）自由贸易试验区银城中路8号402室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办公地址：上海市浦东新区银城中路8号海银金融中心4楼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法定代表人：惠晓川</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联系人：毛林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联系电话：021-80133597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客户服务电话：400-808-1016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传真：021-80133413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网址：www.fundhaiyin.com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180) 好买基金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注册地址：上海市虹口区欧阳路196号26号楼2楼41号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办公地址：上海市浦东南路1118号鄂尔多斯国际大厦903～906室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法定代表人：杨文斌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联系电话：021-20613600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客户服务电话：400-700-9665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传真：021-68596916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网址：www.ehowbuy.com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181) 和讯信息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注册地址：北京市朝阳区朝外大街22号1002室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办公地址：北京市朝阳区朝外大街22号泛利大厦10层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联系人：陈慧慧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联系电话：010-85657353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客户服务电话：400-920-0022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传真：010-65884788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网址：http://licaike.hexun.com/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182) 恒天明泽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注册地址：北京市经济技术开发区宏达北路10号五层5122室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办公地址：北京市朝阳区东三环北路甲19号SOHO嘉盛中心30层3001室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法定代表人：周斌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联系电话：010-59313555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客户服务电话：4008980618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传真：010-59313586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网址：www.chtwm.com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183) 弘业期货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注册地址：江苏省南京市秦淮区中华路50号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办公地址：江苏省南京市秦淮区中华路50号弘业大厦9楼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法人代表：周剑秋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联系人：孙朝旺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联系电话：025-52278870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客户服务电话：400-828-1288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网址：www.ftol.com.cn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184) 虹点基金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注册地址：北京市朝阳区东三环北路17号10层1015室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办公地址：北京市朝阳区工体北路甲2号盈科中心东门2层216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法定代表人：何静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联系人：牛亚楠</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联系电话：010-65951887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客户服务电话：400-618-0707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网址：www.hongdianfund.com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185) 华夏财富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注册地址：上海市虹口区东大名路687号1幢2楼268室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办公地址：北京市西城区金融大街33号通泰大厦B座8层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法定代表人：毛淮平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联系人：张静怡</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联系电话：010-88066632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客户服务电话：400-817-5666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传真：010-63136184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网址：www.amcfortune.com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186) 徽商期货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注册地址：安徽省合肥市芜湖路258号3号楼6-7层，6号楼1-2层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办公地址：合肥市芜湖路258号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法人代表：吴国华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联系人：申倩倩</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联系电话：0551-62865215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客户服务电话：400-887-8707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网址：www.hsqh.net</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187) 汇成基金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注册地址：北京市海淀区中关村大街11号11层1108号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办公地址：北京市西城区西直门外大街1号院2号楼 19层 19C13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法定代表人：王伟刚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联系人：王骁骁</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联系电话：010-56251471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客户服务电话：400-619-9059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网址：www.hcjijin.com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188) 汇付基金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注册地址：上海市黄浦区黄河路333号201室A区056单元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办公地址：上海市徐汇区宜山路700号普天信息产业园2期C5栋 汇付天下总部大楼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法定代表人：金佶</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联系人：甄宝林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联系电话：021-34013996-3011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客户服务电话：021-34013999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传真：021-33323837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网址：www.hotjijin.com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189) 济安财富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注册地址：北京市朝阳区太阳宫中路16号院1号楼3层307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办公地址：北京市朝阳区太阳宫中路16号院1号楼冠捷大厦3层307单元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法定代表人：杨健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联系人：李海燕</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联系电话：010-65309516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客户服务电话：400-673-7010（济安财富官网）  400-071-6766（腾讯财经）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传真：010-65330699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网址：www.jianfortune.com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190) 加和基金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注册地址：北京市西城区德胜门外大街13号院1号楼5层505室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办公地址：北京市西城区德胜门外大街13号院1号楼5层505室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法定代表人：曲阳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联系人：王梓骄</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联系电话：010-80456756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客户服务电话：400-803-1188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传真：010-80456278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网址：www.bzfunds.com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191) 嘉实财富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注册地址：中国（上海）自由贸易试验区世纪大道8号上海国金中心办公楼二期53层5312-15单元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办公地址：北京市朝阳区建国路91号金地中心A座6层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法定代表人：赵学军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联系电话：010-60842306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客户服务电话：400-021-8850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传真：010-85712195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网址：www.harvestwm.cn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192) 金百临</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注册地址：无锡市滨湖区锦溪路99号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办公地址：江苏省无锡市太湖新城锦溪道楝泽路9号楼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法人代表：费晓燕</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联系人：邹云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联系电话：0510-81188088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客户服务电话：0510-9688988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网址：www.jsjbl.com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193) 金观诚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注册地址：杭州拱墅区登云路45号金诚集团（锦昌大厦）1幢10楼1001室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办公地址：杭州拱墅区登云路55号金诚集团（锦昌大厦）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法定代表人：蒋雪琦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联系人：来舒岚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联系电话：0571-88337888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客户服务电话：4000680058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传真：0571-88337666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网址：http://www.jincheng-fund.com/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194) 久富财富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注册地址：上海市浦东新区莱阳路2819号1幢109室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办公地址：上海市浦东新区民生路1403号上海信息大厦1215室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法定代表人：赵惠蓉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联系人：赵惠蓉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联系电话：021-68682279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客户服务电话：400-102-1813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传真：021-68682297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网址：www.jfcta.com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195) 凯石财富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注册地址：上海市黄浦区西藏南路765号602-115室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办公地址：上海市黄浦区延安东路1号凯石大厦4楼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法定代表人：陈继武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联系人：冯强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联系电话：021-63333389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客户服务电话：4006-433-389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传真：021-63333390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网址：www.vstonewealth.com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196) 肯特瑞基金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注册地址：北京市海淀区显龙山路19号1幢4层1座401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办公地址：北京市大兴区亦庄经济开发区科创十一街十八号院京东集团总部A座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法定代表人：江卉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联系人：韩锦星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联系电话：010-89189291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客户服务电话：95118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网址：http://fund.jd.com/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197) 利得基金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注册地址：上海市宝山区蕴川路5475号1033室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办公地址：上海市虹口区东大名路1098号浦江国际金融广场53层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法定代表人：李兴春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联系人：陈孜明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联系电话：86-021-50583533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客户服务电话：95733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传真：86-21-61101630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网址：www.leadfund.com.cn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198) 联泰基金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注册地址：中国（上海）自由贸易试验区富特北路277号3层310室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办公地址：上海市长宁区福泉北路518号8座3楼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法定代表人：尹彬彬</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联系人：陈东</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联系电话：021-52822063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客户服务电话：400-118-1188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传真：021-52975270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网址：www.66zichan.com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199) 陆基金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注册地址：中国（上海）自由贸易试验区陆家嘴环路1333号14楼09单元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办公地址：中国（上海）自由贸易试验区陆家嘴环路1333号14楼09单元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法定代表人：王之光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联系人：宁博宇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联系电话：021-20665952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客户服务电话：4008219031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传真：021-22066653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网址：www.lufunds.com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200) 蚂蚁基金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注册地址：浙江省杭州市余杭区五常街道文一西路969号3幢5层599室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办公地址：浙江省杭州市西湖区万塘路18号黄龙时代广场B座6F</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法定代表人：祖国明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联系人：韩爱彬</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联系电话：0571-26888888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客户服务电话：4000-766-123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网址：http://www.fund123.cn/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201) 民商基金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注册地址：上海黄浦区北京东路666号H区（东座）6楼A31室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办公地址：上海市浦东新区张杨路707号生命人寿大厦32楼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法定代表人：贲惠琴</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联系人：杨一新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联系电话：021-50206003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客户服务电话：021-50206002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传真：021-50206001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网址：http://www.msftec.com/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202) 诺亚正行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注册地址：上海市虹口区飞虹路360弄9号3724室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办公地址：上海杨浦区秦皇岛路32号C栋 2楼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法定代表人：汪静波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联系人：余翼飞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联系电话：021-80358749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客户服务电话：400-821-5399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传真：021-38509777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网址：www.noah-fund.com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203) 浦领基金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注册地址：北京市朝阳区望京东园四区13号楼A座9层908室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办公地址：北京市朝阳区望京浦项中心A座9层04-08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法定代表人：聂婉君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联系电话：010-59497361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客户服务电话：400-012-5899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传真：010-64788016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网址：www.zscffund.com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204) 钱景基金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注册地址：北京市海淀区中关村东路18号1号楼11层B-1108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办公地址：北京市海淀区中关村东路18号财智国际大厦B-1108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法定代表人：王利刚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联系人：姚付景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联系电话：010-62565181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客户服务电话：400-893-6885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传真：010-57569671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网址：www.qianjing.com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205) 深圳新兰德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注册地址：深圳市福田区福田街道民田路178号华融大厦27层2704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办公地址：北京市西城区宣武门外大街28号富卓大厦A座7层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法定代表人：洪弘</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联系人：张燕</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联系电话：010-83363099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客户服务电话：400-166-1188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传真：010-83363010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网址：http://8.jrj.com.cn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206) 晟视天下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注册地址：北京市怀柔区九渡河镇黄坎村735号03室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办公地址：北京市朝阳区朝外大街甲六号万通中心D座21层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法定代表人：蒋煜</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联系人：史俊杰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联系电话：010-58170936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客户服务电话：010-58170761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传真：010-58170800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网址：www.shengshiview.com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207) 苏宁基金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注册地址：南京市玄武区苏宁大道1-5号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办公地址：南京市玄武区苏宁大道1-5号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联系人：张云飞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联系电话：025-66996699-882796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客户服务电话：95177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网址：www.snjijin.com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208) 腾安基金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注册地址：深圳市前海深港合作区前湾一路1号A栋201室（入驻深圳市前海商务秘书有限公司）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办公地址：深圳市南山区海天二路33号腾讯滨海大厦15楼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法定代表人：刘明军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联系人：谭广锋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客户服务电话：95017（拨通后转1转8）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公司网址：https://www.txfund.com/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209) 天天基金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注册地址：上海市徐汇区龙田路190号2号楼2层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办公地址：上海市徐汇区宛平南路88号东方财富大厦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法定代表人：其实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联系人：屠彦洋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联系电话：021-54509977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客户服务电话：95021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传真：021-64385308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网址：www.1234567.com.cn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210) 通华财富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注册地址：上海市虹口区同丰路667弄107号201室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办公地址：上海市浦东新区金沪路55号通华科技大厦7楼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法定代表人：沈丹义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联系人：杨涛、庄洁茹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联系电话：021-60810586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客户服务电话：95177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传真：021-60810695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网址：www.tonghuafund.com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211) 同花顺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注册地址：浙江省杭州市文二西路1号903室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办公地址：杭州市余杭区五常街道同顺街18号同花顺大楼4层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法定代表人：吴强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联系人：吴强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联系电话：0571-88911818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客户服务电话：952555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传真：0571-86800423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网址：www.5ifund.com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212) 途牛基金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注册地址：江苏省南京市玄武区玄武大道699-1号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办公地址：江苏省南京市玄武区玄武大道699-32号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法人代表：宋时琳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联系人：贺杰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联系电话：025-86853960-66727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客户服务电话：4007-999-999转3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网址：http://jr.tuniu.com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213) 挖财基金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注册地址：中国（上海）自由贸易试验区杨高南路799号5楼01、02、03室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办公地址：上海市浦东新区杨高南路799号陆家嘴世纪金融广场3号楼5层01、02、03层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法定代表人：冷飞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联系电话：021-50810687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客户服务电话：021-50810673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网址：www.wacaijijin.com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214) 万得基金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注册地址：中国（上海）自由贸易试验区福山路33号11楼B座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办公地址：上海市浦东新区浦明路1500号万得大厦11楼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法定代表人：黄祎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联系人：徐亚丹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联系电话：021-50712782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客户服务电话：400-799-1888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网址：www.520fund.com.cn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215) 万家财富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注册地址：天津自贸区（中心商务区）迎宾大道1988号滨海浙商大厦公寓2-2413室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办公地址：北京市西城区丰盛胡同28号太平洋保险大厦A座5层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联系人：王芳芳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联系电话：010-59013828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客户服务电话：010-59013895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网址：http://www.wanjiawealth.com/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216) 新浪仓石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注册地址：北京市海淀区东北旺西路中关村软件园二期（西扩）N-1、N-2地块新浪总部科研楼5层518室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办公地址：北京市海淀区西北旺东路10号院东区3号楼为明大厦C座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法定代表人：赵芯蕊</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联系人：赵芯蕊</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联系电话：010-62625768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客户服务电话：010-62675369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传真：010-62676582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网址：www.xincai.com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217) 鑫鼎盛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注册地址：厦门市思明区鹭江道2号厦门第一广场西座1501-1502室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办公地址：厦门市思明区鹭江道2号厦门第一广场西座1501-1502室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法定代表人：陈洪生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联系人：梁云波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联系电话：0592-3122757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客户服务电话：400-918-0808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网址：www.xds.com.cn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218) 阳光人寿保险</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注册地址：海南省三亚市迎宾路360-1号三亚阳光金融广场16层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办公地址：北京市朝阳区朝外大街20号联合大厦701A室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联系人：龙尧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联系电话：010-59053779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客户服务电话：95510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传真：010-59053700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网址：http://fund.sinosig.com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219) 一路财富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注册地址：北京市西城区阜成门外大街2号1幢A2208室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办公地址：北京市海淀区宝盛南路奥北科技园20号楼国泰大厦9层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法定代表人：吴雪秀</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联系人：刘栋栋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联系电话：010-88312877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客户服务电话：400-001-1566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传真：010-88312099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网址：www.yilucaifu.com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220) 宜投基金销售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注册地址：深圳市前海深港合作区前湾一路1号A栋201室（入驻深圳市前海商务秘书有限公司）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办公地址：深圳市福田区嘉里建设广场2座15楼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法定代表人：雷凤潮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联系人：梁菲菲</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联系电话：0755-88603874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客户服务电话：4008-955-811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网址：www.yitfund.com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221) 宜信普泽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注册地址：北京市朝阳区建国路88号9号楼15层1809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办公地址：北京市朝阳区建国路88号楼SOHO现代城C座18层1809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法定代表人：戎兵</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联系人：魏晨</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联系电话：010-52413385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客户服务电话：400-6099-200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传真：010-85800047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网址：www.yixinfund.com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222) 奕丰金融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注册地址：深圳市前海深港合作区前湾一路1号A栋201室（入驻深圳市前海商务秘书有限公司）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办公地址：深圳市南山区海德三道航天科技广场A座17楼1704室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法定代表人：TEO WEE HOWE</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联系人：叶健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联系电话：0755-89460507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客户服务电话：400-684-0500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传真：0755-21674453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网址：www.ifastps.com.cn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223) 盈米基金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注册地址：珠海市横琴新区宝华路6号105室-3491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办公地址：广州市海珠区琶洲大道东路1号保利国际广场南塔1201-1203室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法定代表人：肖雯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联系人：邱湘湘</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联系电话：020-89629099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客户服务电话：020-89629066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传真：020-89629011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网址：www.yingmi.cn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224) 云湾基金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注册地址：中国（上海）自由贸易试验区新金桥路27号、明月路1257号1幢1层103-1、103-2办公区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办公地址：上海市浦东新区新金桥路27号1号楼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法定代表人：冯轶明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联系人：范泽杰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联系电话：021-20530186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客户服务电话：400-820-1515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传真：021-20539999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网址：http://www.zhengtongfunds.com/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225) 增财基金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注册地址：北京市西城区南礼士路66号建威大厦1208室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办公地址：北京市西城区南礼士路66号建威大厦1208-1209室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法定代表人：罗细安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联系人：闫丽敏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联系电话：010-67000988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客户服务电话：400-001-8811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传真：010-67000988-6000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网址：www.zcvc.com.cn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226) 展恒基金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注册地址：北京市顺义区后沙峪镇安富街6号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办公地址：北京市朝阳区安苑路15-1号邮电新闻大厦6层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法定代表人：闫振杰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联系人：李晓芳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联系电话：010-59601366-7167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客户服务电话：400-818-8000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传真：0351-4110714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网址：www.myfund.com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227) 植信基金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注册地址：北京市密云县兴盛南路8号院2号楼106室-67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办公地址：北京市朝阳区盛世龙源国食苑10号楼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法人代表：于龙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联系人：吴鹏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联系电话：010-56075718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客户服务电话：4006-802-123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网址：www.zhixin-inv.com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228) 中国国际期货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注册地址：北京市朝阳区建国门外光华路14号1幢6层609号、610号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办公地址：北京市朝阳区建国门外光华路14号1幢1层、2层、9层、11层、12层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法定代表人：王兵</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联系人：霍丽文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联系电话：010-65807827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客户服务电话：95162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传真：010-59539806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网址：http://www.cifco.net/</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229) 中期时代基金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注册地址：北京市朝阳区建国门外光华路14号1幢11层1103号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办公地址：北京市朝阳区建国门外光华路14号1幢4层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法定代表人：田宏莉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联系人：尹庆</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联系电话：010-65807865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客户服务电话：95162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传真：010-65807864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网址：www.jrtoo.com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230) 中信建投期货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注册地址：重庆市渝中区中山三路107号上站大楼平街11-B，名义层11-A，8-B4，9-B、C</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办公地址：重庆市渝中区中山三路107号皇冠大厦11楼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法定代表人：王广学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联系电话：023-86769637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客户服务电话：400-8877-780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传真：023-86769629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网址：www.cfc108.com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231) 中信期货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注册地址：广东省深圳市福田区中心三路8号卓越时代广场（二期）北座13层1301-1305室、14层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办公地址：深圳市福田区中心三路8号卓越时代广场（二期）北座13层1301-1305室、14层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法定代表人：张皓</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联系人：刘宏莹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联系电话：010-6083 3754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客户服务电话：400-990-8826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传真：021-60819988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网址：www.citicsf.com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232) 中正达广</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注册地址：上海市徐汇区龙腾大道2815号302室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办公地址：上海市徐汇区龙腾大道2815号302室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法定代表人：黄欣</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联系人：戴珉微</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联系电话：021-33768132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客户服务电话：400-6767-523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传真：021-33768132-802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网址：www.zhongzhengfund.com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233) 中证金牛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注册地址：北京市丰台区东管头1号2号楼2-45室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办公地址：北京市西城区宣武门外大街甲1号环球财讯中心A座5层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法定代表人：钱昊旻</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联系人：沈晨</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联系电话：010-59336544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客户服务电话：4008-909-998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网址：www.jnlc.com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234) 众禄基金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注册地址：深圳市罗湖区笋岗街道笋西社区梨园路8号HALO广场一期四层12-13室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办公地址：深圳市罗湖区梨园路HALO广场4楼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法定代表人：薛峰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联系人：龚江江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联系电话：0755-33227950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客户服务电话：4006-788-887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传真：0755-33227951</w:t>
      </w:r>
    </w:p>
    <w:p w:rsidR="00B82204" w:rsidRPr="00453203" w:rsidRDefault="003C2DEE" w:rsidP="00453203">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网址：www.zlfund.cn    www.jjmmw.com</w:t>
      </w:r>
    </w:p>
    <w:p w:rsidR="00B82204" w:rsidRPr="00453203" w:rsidRDefault="00B82204" w:rsidP="00453203">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w:t>
      </w:r>
      <w:r w:rsidRPr="00453203">
        <w:rPr>
          <w:rFonts w:asciiTheme="minorEastAsia" w:eastAsiaTheme="minorEastAsia" w:hAnsiTheme="minorEastAsia"/>
        </w:rPr>
        <w:t>2）C类基金份额</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 兴业银行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注册地址：福州市湖东路154号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办公地址：上海市静安区江宁路168号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法定代表人：高建平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联系电话：021-52629999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客户服务电话：95561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网址：www.cib.com.cn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 长沙银行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注册地址：长沙市岳麓区滨江路53号楷林商务中心B座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办公地址：长沙市岳麓区滨江路长沙银行大厦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法定代表人：朱玉国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联系人：于立娜</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联系电话：0731-89736250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客户服务电话：0731-96511（湖南省内）、40067-96511（全国）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网址：www.bankofchangsha.com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 杭州银行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注册地址：杭州市下城区庆春路46号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办公地址：杭州市下城区庆春路46号杭州银行大厦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法定代表人：陈震山</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联系人：陈振峰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联系电话：0571-85872972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客户服务电话：95398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传真：0571-85106576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网址：www.hzbank.com.cn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 四川天府银行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注册地址：四川省南充市涪江路1号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办公地址：四川省成都市锦江区东大街下东大街258号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法定代表人：邢敏</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联系人：周乃雍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联系电话：028-67676038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客户服务电话：400-16-96869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网址：www.tf.cn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5) 安信证券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注册地址：深圳市福田区金田路4018号安联大厦35层、28层A02单元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办公地址：深圳市福田区金田路4018号安联大厦35层、28层A02单元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          深圳市福田区深南大道2008号中国凤凰大厦1栋9层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法定代表人：王连志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联系人：陈剑虹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联系电话：0755-82825551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客户服务电话：95517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传真：0755-82558355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网址：www.essence.com.cn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6) 财达证券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注册地址：河北省石家庄市桥西区自强路35号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办公地址：河北省石家庄市桥西区自强路35号庄家金融大厦23-26层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法定代表人：翟建强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联系人：李卓颖</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联系电话：0311-66008561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客户服务电话：95363（河北省内）；0311-95363（河北省外）</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传真：0311-66006414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网址：www.s10000.com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7) 第一创业证券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注册地址：深圳市福田区福华一路115号投行大厦20楼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办公地址：深圳市福田区福华一路115号投行大厦20楼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法定代表人：刘学民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联系人：毛诗莉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联系电话：0755-23838750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客户服务电话：95358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网址：www.firstcapital.com.cn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8) 东北证券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注册地址：长春市生态大街6666号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办公地址：长春市生态大街6666号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法定代表人：李福春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联系人：安岩岩</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联系电话：0431-85096517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客户服务电话：95360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传真：0431-85096795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网址：www.nesc.cn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9) 广发证券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注册地址：广东省广州市黄埔区中新广州知识城腾飞一街2号618室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办公地址：广州市天河区马场路26号广发证券大厦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法定代表人：孙树明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联系人：黄岚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客户服务电话：95575或02095575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网址：www.gf.com.cn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10) 国盛证券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注册地址：江西省南昌市新建区子实路1589号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办公地址：江西省南昌市红谷滩新区凤凰中大道1115号北京银行大厦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法定代表人：徐丽峰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联系人：占文驰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联系电话：0791-86283372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客户服务电话：956080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传真：0791-86281305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网址：www.gszq.com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11) 国信证券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注册地址：深圳市罗湖区红岭中路1012号国信证券大厦十六层至二十六层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办公地址：深圳市罗湖区红岭中路1012号国信证券大厦十六层至二十六层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法定代表人：何如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联系人：李颖</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联系电话：0755-82130833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客户服务电话：95536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传真：0755-82133952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网址：www.guosen.com.cn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12) 恒泰证券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注册地址：内蒙古自治区呼和浩特市新城区海拉尔东街满世尚都办公商业综合楼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办公地址：呼和浩特市新城区海拉尔东街满世书香苑办公楼7楼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法定代表人：庞介民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联系人：熊丽</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联系电话：0471-4972675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客户服务电话：4001966188,956088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网址：www.cnht.com.cn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13) 华泰证券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注册地址：南京市江东中路228号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办公地址：南京市建邺区江东中路228号华泰证券广场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联系人：庞晓芸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联系电话：0755-82492193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客户服务电话：95597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传真：025-83387523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网址：www.htsc.com.cn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14) 江海证券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注册地址：黑龙江省哈尔滨市香坊区赣水路56号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办公地址：黑龙江省哈尔滨市松北区创新三路833号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法定代表人：赵洪波</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联系人：姜志伟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联系电话：0451-87765732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客户服务电话：400-666-2288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传真：0451-82337279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网址：www.jhzq.com.cn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15) 金元证券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注册地址：海口市南宝路36号证券大厦4楼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办公地址：深圳市深南大道4001号时代金融中心大厦17楼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法定代表人：王作义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联系电话：0755-83025693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客户服务电话：95372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传真：0755-83025625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网址：www.jyzq.cn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16) 民生证券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注册地址：北京市东城区建国门内大街28号民生金融中心A座16层-18层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办公地址：北京市东城区建国门内大街28号民生金融中心A座16-20层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法定代表人：冯鹤年</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联系人：韩秀萍</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联系电话：010-85127609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客户服务电话：95376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网址：www.mszq.com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17) 银河证券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注册地址：北京市西城区金融大街35号2-6层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办公地址：北京市西城区金融大街35号国际企业大厦C座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法定代表人：陈共炎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联系人：辛国政</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联系电话：010-83574507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客户服务电话：4008-888-888或95551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网址：www.chinastock.com.cn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18) 浙商证券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注册地址：浙江省杭州市江干区五星路201号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办公地址：浙江省杭州市江干区五星路201号浙商证券大楼8楼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法定代表人：吴承根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联系人：高扬</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联系电话：0571-87902974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客户服务电话：95345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传真：0571-87901913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网址：www.stocke.com.cn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19) 中信建投证券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注册地址：北京市朝阳区安立路66号4号楼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办公地址：北京市朝阳门内大街188号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法定代表人：王常青</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联系电话：010－85130554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客户服务电话：95587或4008-888-108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网址：http://www.csc108.com/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20) 中信证券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注册地址：广东省深圳市福田区中心三路8号卓越时代广场（二期）北座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办公地址：北京市朝阳区亮马桥路48号中信证券大厦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法定代表人：张佑君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 xml:space="preserve">联系人：王一通 </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联系电话：010-60838888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客户服务电话：95548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传真：010-60836029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网址：www.cs.ecitic.com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21) 中信证券（山东）</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注册地址：青岛市崂山区深圳路222号1号楼2001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办公地址：青岛市市南区东海西路28号龙翔广场东座5层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法定代表人：姜晓林</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联系人：焦刚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联系电话：0531-89606166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客户服务电话：95548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传真：0532-85022605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网址：http://sd.citics.com/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22) 中原证券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注册地址：郑州市郑东新区商务外环路10号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办公地址：河南省郑州市郑东新区商务外环路10号中原广发金融大厦19楼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法定代表人：菅明军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联系人：程月艳  李盼盼 党静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联系电话：0371-69099882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客户服务电话：95377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传真：0371-65585899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网址：www.ccnew.com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23) 百度百盈</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注册地址：北京市海淀区上地十街10号1幢1层101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办公地址：北京市海淀区西北旺东路10号院西区4号楼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法定代表人：张旭阳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联系人：孙博超</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联系电话：010-59403028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客户服务电话：95055-4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网址：www.baiyingfund.com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24) 大智慧基金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注册地址：中国（上海）自由贸易试验区杨高南路428号1号楼1102单元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办公地址：中国（上海）自由贸易试验区杨高南路428号1号楼1102单元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法定代表人：申健</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联系人：张蜓</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联系电话：021-20219988-35374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客户服务电话：021-20292031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传真：021-20219923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网址：https://www.wg.com.cn/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25) 蛋卷基金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注册地址：北京市朝阳区阜通东大街1号院6号楼2单元21层222507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办公地址：北京市朝阳区阜通东大街1号院6号楼2单元21层222507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法定代表人：钟斐斐</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联系人：侯芳芳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联系电话：010-61840688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客户服务电话：4001599288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网址：https://danjuanapp.com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26) 好买基金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注册地址：上海市虹口区欧阳路196号26号楼2楼41号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办公地址：上海市浦东南路1118号鄂尔多斯国际大厦903～906室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法定代表人：杨文斌</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联系电话：021-20613600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客户服务电话：400-700-9665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传真：021-68596916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网址：www.ehowbuy.com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27) 虹点基金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注册地址：北京市朝阳区东三环北路17号10层1015室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办公地址：北京市朝阳区工体北路甲2号盈科中心东门2层216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法定代表人：何静</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联系人：牛亚楠</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联系电话：010-65951887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客户服务电话：400-618-0707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网址：www.hongdianfund.com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28) 汇成基金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注册地址：北京市海淀区中关村大街11号11层1108号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办公地址：北京市西城区西直门外大街1号院2号楼 19层 19C13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法定代表人：王伟刚</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联系人：王骁骁</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联系电话：010-56251471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客户服务电话：400-619-9059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网址：www.hcjijin.com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29) 肯特瑞基金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注册地址：北京市海淀区显龙山路19号1幢4层1座401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办公地址：北京市大兴区亦庄经济开发区科创十一街十八号院京东集团总部A座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法定代表人：江卉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联系人：韩锦星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联系电话：010-89189291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客户服务电话：95118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网址：http://fund.jd.com/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30) 陆基金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注册地址：中国（上海）自由贸易试验区陆家嘴环路1333号14楼09单元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办公地址：中国（上海）自由贸易试验区陆家嘴环路1333号14楼09单元</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法定代表人：王之光</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联系人：宁博宇</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联系电话：021-20665952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客户服务电话：4008219031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传真：021-22066653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网址：www.lufunds.com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31) 蚂蚁基金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注册地址：浙江省杭州市余杭区五常街道文一西路969号3幢5层599室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办公地址：浙江省杭州市西湖区万塘路18号黄龙时代广场B座6F</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法定代表人：祖国明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联系人：韩爱彬</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联系电话：0571-26888888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客户服务电话：4000-766-123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网址：http://www.fund123.cn/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32) 苏宁基金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注册地址：南京市玄武区苏宁大道1-5号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办公地址：南京市玄武区苏宁大道1-5号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法定代表人：王锋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联系人：张云飞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联系电话：025-66996699-882796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客户服务电话：95177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网址：www.snjijin.com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33) 腾安基金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注册地址：深圳市前海深港合作区前湾一路1号A栋201室（入驻深圳市前海商务秘书有限公司）</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办公地址：深圳市南山区海天二路33号腾讯滨海大厦15楼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法定代表人：刘明军</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联系人：谭广锋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客户服务电话：95017（拨通后转1转8）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公司网址：https://www.txfund.com/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34) 天天基金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注册地址：上海市徐汇区龙田路190号2号楼2层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办公地址：上海市徐汇区宛平南路88号东方财富大厦</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法定代表人：其实</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联系人：屠彦洋</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联系电话：021-54509977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客户服务电话：95021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传真：021-64385308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网址：www.1234567.com.cn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35) 同花顺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注册地址：浙江省杭州市文二西路1号903室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办公地址：杭州市余杭区五常街道同顺街18号同花顺大楼4层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法定代表人：吴强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联系人：吴强</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联系电话：0571-88911818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客户服务电话：952555</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传真：0571-86800423</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网址：www.5ifund.com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36) 万得基金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注册地址：中国（上海）自由贸易试验区福山路33号11楼B座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办公地址：上海市浦东新区浦明路1500号万得大厦11楼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法定代表人：黄祎</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联系人：徐亚丹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联系电话：021-50712782</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客户服务电话：400-799-1888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网址：www.520fund.com.cn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37) 盈米基金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注册地址：珠海市横琴新区宝华路6号105室-3491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办公地址：广州市海珠区琶洲大道东路1号保利国际广场南塔1201-1203室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法定代表人：肖雯</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联系人：邱湘湘</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联系电话：020-89629099</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客户服务电话：020-89629066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传真：020-89629011</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网址：www.yingmi.cn</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38) 展恒基金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注册地址：北京市顺义区后沙峪镇安富街6号</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办公地址：北京市朝阳区安苑路15-1号邮电新闻大厦6层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法定代表人：闫振杰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lastRenderedPageBreak/>
        <w:t>联系人：李晓芳</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联系电话：010-59601366-7167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客户服务电话：400-818-8000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传真：0351-4110714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网址：www.myfund.com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39) 中信期货</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注册地址：广东省深圳市福田区中心三路8号卓越时代广场（二期）北座13层1301-1305室、14层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办公地址：深圳市福田区中心三路8号卓越时代广场（二期）北座13层1301-1305室、14层</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法定代表人：张皓</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联系人：刘宏莹</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联系电话：010-6083 3754</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客户服务电话：400-990-8826</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传真：021-60819988</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网址：www.citicsf.com</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40) 众禄基金</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注册地址：深圳市罗湖区笋岗街道笋西社区梨园路8号HALO广场一期四层12-13室</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办公地址：深圳市罗湖区梨园路HALO广场4楼</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法定代表人：薛峰</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联系人：龚江江</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联系电话：0755-33227950</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客户服务电话：4006-788-887</w:t>
      </w:r>
    </w:p>
    <w:p w:rsidR="003C2DEE" w:rsidRPr="00453203" w:rsidRDefault="003C2DEE" w:rsidP="003C2DEE">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传真：0755-33227951</w:t>
      </w:r>
    </w:p>
    <w:p w:rsidR="00557FE0" w:rsidRPr="00453203" w:rsidRDefault="003C2DEE" w:rsidP="00453203">
      <w:pPr>
        <w:ind w:leftChars="200" w:left="420"/>
        <w:rPr>
          <w:rFonts w:asciiTheme="minorEastAsia" w:eastAsiaTheme="minorEastAsia" w:hAnsiTheme="minorEastAsia"/>
        </w:rPr>
      </w:pPr>
      <w:r w:rsidRPr="00453203">
        <w:rPr>
          <w:rFonts w:asciiTheme="minorEastAsia" w:eastAsiaTheme="minorEastAsia" w:hAnsiTheme="minorEastAsia" w:hint="eastAsia"/>
        </w:rPr>
        <w:t xml:space="preserve">网址：www.zlfund.cn    </w:t>
      </w:r>
      <w:hyperlink r:id="rId17" w:history="1">
        <w:r w:rsidR="00557FE0" w:rsidRPr="00453203">
          <w:rPr>
            <w:rFonts w:asciiTheme="minorEastAsia" w:eastAsiaTheme="minorEastAsia" w:hAnsiTheme="minorEastAsia"/>
          </w:rPr>
          <w:t>www.jjmmw.com</w:t>
        </w:r>
      </w:hyperlink>
    </w:p>
    <w:p w:rsidR="00266A27" w:rsidRPr="00453203" w:rsidRDefault="00266A27" w:rsidP="00DA1E5A">
      <w:pPr>
        <w:pStyle w:val="20"/>
        <w:snapToGrid w:val="0"/>
        <w:spacing w:beforeLines="0" w:afterLines="0" w:line="360" w:lineRule="auto"/>
        <w:ind w:firstLineChars="0" w:firstLine="0"/>
        <w:rPr>
          <w:rFonts w:asciiTheme="minorEastAsia" w:eastAsiaTheme="minorEastAsia" w:hAnsiTheme="minorEastAsia"/>
          <w:bCs/>
          <w:sz w:val="22"/>
          <w:szCs w:val="21"/>
        </w:rPr>
      </w:pPr>
      <w:bookmarkStart w:id="21" w:name="_Toc38432429"/>
      <w:bookmarkStart w:id="22" w:name="_Toc34834684"/>
      <w:r w:rsidRPr="00453203">
        <w:rPr>
          <w:rFonts w:asciiTheme="minorEastAsia" w:eastAsiaTheme="minorEastAsia" w:hAnsiTheme="minorEastAsia" w:hint="eastAsia"/>
          <w:bCs/>
          <w:sz w:val="22"/>
          <w:szCs w:val="21"/>
        </w:rPr>
        <w:t>（二）基金注册登记机构</w:t>
      </w:r>
      <w:bookmarkEnd w:id="21"/>
      <w:bookmarkEnd w:id="22"/>
    </w:p>
    <w:p w:rsidR="00446BF9" w:rsidRPr="00453203" w:rsidRDefault="00446BF9"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名称：易方达基金管理有限公司</w:t>
      </w:r>
    </w:p>
    <w:p w:rsidR="00546552" w:rsidRPr="00453203" w:rsidRDefault="00546552"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注册地址：</w:t>
      </w:r>
      <w:r w:rsidR="00DD4D47" w:rsidRPr="00453203">
        <w:rPr>
          <w:rFonts w:asciiTheme="minorEastAsia" w:eastAsiaTheme="minorEastAsia" w:hAnsiTheme="minorEastAsia" w:hint="eastAsia"/>
        </w:rPr>
        <w:t>广东省珠海市横琴新区宝华路6号105室-42891（集中办公区）</w:t>
      </w:r>
    </w:p>
    <w:p w:rsidR="00446BF9" w:rsidRPr="00453203" w:rsidRDefault="00546552"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办公地址：广州市天河区珠江新城珠江东路30号广州银行大厦40-43楼</w:t>
      </w:r>
    </w:p>
    <w:p w:rsidR="00446BF9" w:rsidRPr="00453203" w:rsidRDefault="00446BF9"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法定代表人：</w:t>
      </w:r>
      <w:r w:rsidR="000469FB" w:rsidRPr="00453203">
        <w:rPr>
          <w:rFonts w:asciiTheme="minorEastAsia" w:eastAsiaTheme="minorEastAsia" w:hAnsiTheme="minorEastAsia" w:hint="eastAsia"/>
        </w:rPr>
        <w:t>刘晓艳</w:t>
      </w:r>
    </w:p>
    <w:p w:rsidR="00446BF9" w:rsidRPr="00453203" w:rsidRDefault="00446BF9"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电话：4008818088</w:t>
      </w:r>
    </w:p>
    <w:p w:rsidR="00446BF9" w:rsidRPr="00453203" w:rsidRDefault="00446BF9"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传真：</w:t>
      </w:r>
      <w:r w:rsidRPr="00453203">
        <w:rPr>
          <w:rFonts w:asciiTheme="minorEastAsia" w:eastAsiaTheme="minorEastAsia" w:hAnsiTheme="minorEastAsia"/>
        </w:rPr>
        <w:t>020</w:t>
      </w:r>
      <w:r w:rsidRPr="00453203">
        <w:rPr>
          <w:rFonts w:asciiTheme="minorEastAsia" w:eastAsiaTheme="minorEastAsia" w:hAnsiTheme="minorEastAsia" w:hint="eastAsia"/>
        </w:rPr>
        <w:t>-38799249</w:t>
      </w:r>
    </w:p>
    <w:p w:rsidR="00446BF9" w:rsidRPr="00453203" w:rsidRDefault="00446BF9"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联系人：余贤高</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bCs/>
          <w:sz w:val="21"/>
          <w:szCs w:val="21"/>
        </w:rPr>
      </w:pPr>
      <w:bookmarkStart w:id="23" w:name="_Toc38432430"/>
      <w:bookmarkStart w:id="24" w:name="_Toc34834685"/>
      <w:r w:rsidRPr="00453203">
        <w:rPr>
          <w:rFonts w:asciiTheme="minorEastAsia" w:eastAsiaTheme="minorEastAsia" w:hAnsiTheme="minorEastAsia" w:hint="eastAsia"/>
          <w:bCs/>
          <w:szCs w:val="21"/>
        </w:rPr>
        <w:lastRenderedPageBreak/>
        <w:t>（</w:t>
      </w:r>
      <w:r w:rsidRPr="00453203">
        <w:rPr>
          <w:rFonts w:asciiTheme="minorEastAsia" w:eastAsiaTheme="minorEastAsia" w:hAnsiTheme="minorEastAsia" w:hint="eastAsia"/>
          <w:bCs/>
          <w:sz w:val="21"/>
          <w:szCs w:val="21"/>
        </w:rPr>
        <w:t>三）律师事务所和经办律师</w:t>
      </w:r>
      <w:bookmarkEnd w:id="23"/>
      <w:bookmarkEnd w:id="24"/>
    </w:p>
    <w:p w:rsidR="007B64BD" w:rsidRPr="00453203" w:rsidRDefault="007B64BD"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律师事务所：上海源泰律师事务所</w:t>
      </w:r>
    </w:p>
    <w:p w:rsidR="007B64BD" w:rsidRPr="00453203" w:rsidRDefault="007B64BD"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地址：</w:t>
      </w:r>
      <w:r w:rsidR="00D73265" w:rsidRPr="00453203">
        <w:rPr>
          <w:rFonts w:asciiTheme="minorEastAsia" w:eastAsiaTheme="minorEastAsia" w:hAnsiTheme="minorEastAsia" w:hint="eastAsia"/>
          <w:szCs w:val="21"/>
        </w:rPr>
        <w:t>上海市浦东新区浦东南路256号华夏银行大厦14层</w:t>
      </w:r>
    </w:p>
    <w:p w:rsidR="007B64BD" w:rsidRPr="00453203" w:rsidRDefault="007B64BD"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负责人：廖海</w:t>
      </w:r>
    </w:p>
    <w:p w:rsidR="007B64BD" w:rsidRPr="00453203" w:rsidRDefault="007B64BD"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电话：（</w:t>
      </w:r>
      <w:r w:rsidRPr="00453203">
        <w:rPr>
          <w:rFonts w:asciiTheme="minorEastAsia" w:eastAsiaTheme="minorEastAsia" w:hAnsiTheme="minorEastAsia"/>
          <w:szCs w:val="21"/>
        </w:rPr>
        <w:t>021</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51150298</w:t>
      </w:r>
    </w:p>
    <w:p w:rsidR="007B64BD" w:rsidRPr="00453203" w:rsidRDefault="007B64BD"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传真：（</w:t>
      </w:r>
      <w:r w:rsidRPr="00453203">
        <w:rPr>
          <w:rFonts w:asciiTheme="minorEastAsia" w:eastAsiaTheme="minorEastAsia" w:hAnsiTheme="minorEastAsia"/>
          <w:szCs w:val="21"/>
        </w:rPr>
        <w:t>021</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51150398</w:t>
      </w:r>
    </w:p>
    <w:p w:rsidR="007B64BD" w:rsidRPr="00453203" w:rsidRDefault="007B64BD"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经办律师：梁丽金、刘佳</w:t>
      </w:r>
    </w:p>
    <w:p w:rsidR="007B64BD" w:rsidRPr="00453203" w:rsidRDefault="007B64BD"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联系人：廖海</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bCs/>
          <w:sz w:val="21"/>
          <w:szCs w:val="21"/>
        </w:rPr>
      </w:pPr>
      <w:bookmarkStart w:id="25" w:name="_Toc38432431"/>
      <w:bookmarkStart w:id="26" w:name="_Toc34834686"/>
      <w:r w:rsidRPr="00453203">
        <w:rPr>
          <w:rFonts w:asciiTheme="minorEastAsia" w:eastAsiaTheme="minorEastAsia" w:hAnsiTheme="minorEastAsia" w:hint="eastAsia"/>
          <w:bCs/>
          <w:sz w:val="21"/>
          <w:szCs w:val="21"/>
        </w:rPr>
        <w:t>（四）会计师事务所和经办注册会计师</w:t>
      </w:r>
      <w:bookmarkEnd w:id="25"/>
      <w:bookmarkEnd w:id="26"/>
    </w:p>
    <w:p w:rsidR="00E75666" w:rsidRPr="00453203" w:rsidRDefault="00E7566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会计师事务所：普华永道中天会计师事务所（特殊普通合伙）</w:t>
      </w:r>
    </w:p>
    <w:p w:rsidR="00E75666" w:rsidRPr="00453203" w:rsidRDefault="00E7566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住所：</w:t>
      </w:r>
      <w:r w:rsidR="005926AC" w:rsidRPr="00453203">
        <w:rPr>
          <w:rFonts w:asciiTheme="minorEastAsia" w:eastAsiaTheme="minorEastAsia" w:hAnsiTheme="minorEastAsia" w:hint="eastAsia"/>
          <w:szCs w:val="21"/>
        </w:rPr>
        <w:t>上海市湖滨路202号普华永道中心11楼</w:t>
      </w:r>
    </w:p>
    <w:p w:rsidR="00E75666" w:rsidRPr="00453203" w:rsidRDefault="00E7566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办公地址：上海市湖滨路202号普华永道中心11楼</w:t>
      </w:r>
    </w:p>
    <w:p w:rsidR="00E75666" w:rsidRPr="00453203" w:rsidRDefault="00E7566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首席合伙人：李丹</w:t>
      </w:r>
    </w:p>
    <w:p w:rsidR="00E75666" w:rsidRPr="00453203" w:rsidRDefault="00E7566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电话：（021）23238888</w:t>
      </w:r>
    </w:p>
    <w:p w:rsidR="00E75666" w:rsidRPr="00453203" w:rsidRDefault="00E7566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传真：（021）23238800</w:t>
      </w:r>
    </w:p>
    <w:p w:rsidR="00E75666" w:rsidRPr="00453203" w:rsidRDefault="00E7566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经办注册会计师：</w:t>
      </w:r>
      <w:r w:rsidR="00F42070" w:rsidRPr="00453203">
        <w:rPr>
          <w:rFonts w:asciiTheme="minorEastAsia" w:eastAsiaTheme="minorEastAsia" w:hAnsiTheme="minorEastAsia"/>
        </w:rPr>
        <w:t>陈熹、周祎</w:t>
      </w:r>
    </w:p>
    <w:p w:rsidR="00A107BD" w:rsidRPr="00453203" w:rsidRDefault="00E7566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联系人：</w:t>
      </w:r>
      <w:r w:rsidR="005926AC" w:rsidRPr="00453203">
        <w:rPr>
          <w:rFonts w:asciiTheme="minorEastAsia" w:eastAsiaTheme="minorEastAsia" w:hAnsiTheme="minorEastAsia" w:hint="eastAsia"/>
          <w:szCs w:val="21"/>
        </w:rPr>
        <w:t>周祎</w:t>
      </w:r>
    </w:p>
    <w:p w:rsidR="00266A27" w:rsidRPr="00453203" w:rsidRDefault="00CA4C74" w:rsidP="00741477">
      <w:pPr>
        <w:pStyle w:val="1"/>
        <w:snapToGrid w:val="0"/>
        <w:spacing w:beforeLines="0" w:afterLines="0" w:line="360" w:lineRule="auto"/>
        <w:ind w:firstLineChars="0" w:firstLine="0"/>
        <w:rPr>
          <w:rFonts w:asciiTheme="minorEastAsia" w:eastAsiaTheme="minorEastAsia" w:hAnsiTheme="minorEastAsia" w:cs="宋体"/>
          <w:kern w:val="0"/>
          <w:szCs w:val="21"/>
        </w:rPr>
      </w:pPr>
      <w:r w:rsidRPr="00453203">
        <w:rPr>
          <w:rFonts w:asciiTheme="minorEastAsia" w:eastAsiaTheme="minorEastAsia" w:hAnsiTheme="minorEastAsia"/>
          <w:szCs w:val="21"/>
        </w:rPr>
        <w:br w:type="page"/>
      </w:r>
      <w:bookmarkStart w:id="27" w:name="_Toc38432432"/>
      <w:bookmarkStart w:id="28" w:name="_Toc34834687"/>
      <w:r w:rsidR="00266A27" w:rsidRPr="00453203">
        <w:rPr>
          <w:rFonts w:asciiTheme="minorEastAsia" w:eastAsiaTheme="minorEastAsia" w:hAnsiTheme="minorEastAsia" w:cs="宋体" w:hint="eastAsia"/>
          <w:kern w:val="0"/>
          <w:szCs w:val="21"/>
        </w:rPr>
        <w:lastRenderedPageBreak/>
        <w:t>六、基金的募集</w:t>
      </w:r>
      <w:bookmarkEnd w:id="27"/>
      <w:bookmarkEnd w:id="28"/>
    </w:p>
    <w:p w:rsidR="00B36447" w:rsidRPr="00453203" w:rsidRDefault="00266A27" w:rsidP="00643071">
      <w:pPr>
        <w:snapToGrid w:val="0"/>
        <w:spacing w:line="360" w:lineRule="auto"/>
        <w:ind w:firstLineChars="202" w:firstLine="424"/>
        <w:rPr>
          <w:rFonts w:asciiTheme="minorEastAsia" w:eastAsiaTheme="minorEastAsia" w:hAnsiTheme="minorEastAsia"/>
          <w:szCs w:val="21"/>
        </w:rPr>
      </w:pPr>
      <w:bookmarkStart w:id="29" w:name="_Toc38432433"/>
      <w:r w:rsidRPr="00453203">
        <w:rPr>
          <w:rFonts w:asciiTheme="minorEastAsia" w:eastAsiaTheme="minorEastAsia" w:hAnsiTheme="minorEastAsia" w:hint="eastAsia"/>
          <w:szCs w:val="21"/>
        </w:rPr>
        <w:t>本基金由基金管理人依照《基金法》、《运作办法》、《销售办法》、基金合同的相关规定、并经中国证券监督管理委员会《关于</w:t>
      </w:r>
      <w:r w:rsidR="00BC04E0" w:rsidRPr="00453203">
        <w:rPr>
          <w:rFonts w:asciiTheme="minorEastAsia" w:eastAsiaTheme="minorEastAsia" w:hAnsiTheme="minorEastAsia" w:hint="eastAsia"/>
          <w:szCs w:val="21"/>
        </w:rPr>
        <w:t>核准</w:t>
      </w:r>
      <w:r w:rsidR="00DA4AC8" w:rsidRPr="00453203">
        <w:rPr>
          <w:rFonts w:asciiTheme="minorEastAsia" w:eastAsiaTheme="minorEastAsia" w:hAnsiTheme="minorEastAsia" w:hint="eastAsia"/>
          <w:szCs w:val="21"/>
        </w:rPr>
        <w:t>易方达</w:t>
      </w:r>
      <w:r w:rsidR="00A741AA" w:rsidRPr="00453203">
        <w:rPr>
          <w:rFonts w:asciiTheme="minorEastAsia" w:eastAsiaTheme="minorEastAsia" w:hAnsiTheme="minorEastAsia" w:hint="eastAsia"/>
          <w:szCs w:val="21"/>
        </w:rPr>
        <w:t>创业板</w:t>
      </w:r>
      <w:r w:rsidR="00DA4AC8" w:rsidRPr="00453203">
        <w:rPr>
          <w:rFonts w:asciiTheme="minorEastAsia" w:eastAsiaTheme="minorEastAsia" w:hAnsiTheme="minorEastAsia" w:hint="eastAsia"/>
          <w:szCs w:val="21"/>
        </w:rPr>
        <w:t>交易型开放式指数证券投资基金</w:t>
      </w:r>
      <w:r w:rsidR="004D45B4" w:rsidRPr="00453203">
        <w:rPr>
          <w:rFonts w:asciiTheme="minorEastAsia" w:eastAsiaTheme="minorEastAsia" w:hAnsiTheme="minorEastAsia" w:hint="eastAsia"/>
          <w:szCs w:val="21"/>
        </w:rPr>
        <w:t>及其</w:t>
      </w:r>
      <w:r w:rsidR="00DA4AC8" w:rsidRPr="00453203">
        <w:rPr>
          <w:rFonts w:asciiTheme="minorEastAsia" w:eastAsiaTheme="minorEastAsia" w:hAnsiTheme="minorEastAsia" w:hint="eastAsia"/>
          <w:szCs w:val="21"/>
        </w:rPr>
        <w:t>联接基金</w:t>
      </w:r>
      <w:r w:rsidRPr="00453203">
        <w:rPr>
          <w:rFonts w:asciiTheme="minorEastAsia" w:eastAsiaTheme="minorEastAsia" w:hAnsiTheme="minorEastAsia" w:hint="eastAsia"/>
          <w:szCs w:val="21"/>
        </w:rPr>
        <w:t>募集的批复》（证监</w:t>
      </w:r>
      <w:r w:rsidR="004D1F10" w:rsidRPr="00453203">
        <w:rPr>
          <w:rFonts w:asciiTheme="minorEastAsia" w:eastAsiaTheme="minorEastAsia" w:hAnsiTheme="minorEastAsia" w:hint="eastAsia"/>
          <w:szCs w:val="21"/>
        </w:rPr>
        <w:t>许可</w:t>
      </w:r>
      <w:r w:rsidRPr="00453203">
        <w:rPr>
          <w:rFonts w:asciiTheme="minorEastAsia" w:eastAsiaTheme="minorEastAsia" w:hAnsiTheme="minorEastAsia"/>
          <w:szCs w:val="21"/>
        </w:rPr>
        <w:t>[</w:t>
      </w:r>
      <w:r w:rsidR="006F7D4F" w:rsidRPr="00453203">
        <w:rPr>
          <w:rFonts w:asciiTheme="minorEastAsia" w:eastAsiaTheme="minorEastAsia" w:hAnsiTheme="minorEastAsia" w:hint="eastAsia"/>
          <w:szCs w:val="21"/>
        </w:rPr>
        <w:t>201</w:t>
      </w:r>
      <w:r w:rsidR="001C2A7A"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w:t>
      </w:r>
      <w:r w:rsidR="00D67C29" w:rsidRPr="00453203">
        <w:rPr>
          <w:rFonts w:asciiTheme="minorEastAsia" w:eastAsiaTheme="minorEastAsia" w:hAnsiTheme="minorEastAsia" w:hint="eastAsia"/>
          <w:szCs w:val="21"/>
        </w:rPr>
        <w:t>740</w:t>
      </w:r>
      <w:r w:rsidRPr="00453203">
        <w:rPr>
          <w:rFonts w:asciiTheme="minorEastAsia" w:eastAsiaTheme="minorEastAsia" w:hAnsiTheme="minorEastAsia" w:hint="eastAsia"/>
          <w:szCs w:val="21"/>
        </w:rPr>
        <w:t>号）核准募集。</w:t>
      </w:r>
    </w:p>
    <w:p w:rsidR="00B36447" w:rsidRPr="00453203" w:rsidRDefault="00B36447"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本基金为</w:t>
      </w:r>
      <w:r w:rsidRPr="00453203">
        <w:rPr>
          <w:rFonts w:asciiTheme="minorEastAsia" w:eastAsiaTheme="minorEastAsia" w:hAnsiTheme="minorEastAsia"/>
          <w:szCs w:val="21"/>
        </w:rPr>
        <w:t>契约型开放式</w:t>
      </w:r>
      <w:r w:rsidRPr="00453203">
        <w:rPr>
          <w:rFonts w:asciiTheme="minorEastAsia" w:eastAsiaTheme="minorEastAsia" w:hAnsiTheme="minorEastAsia" w:hint="eastAsia"/>
          <w:szCs w:val="21"/>
        </w:rPr>
        <w:t>股票型联接基金</w:t>
      </w:r>
      <w:r w:rsidRPr="00453203">
        <w:rPr>
          <w:rFonts w:asciiTheme="minorEastAsia" w:eastAsiaTheme="minorEastAsia" w:hAnsiTheme="minorEastAsia"/>
          <w:szCs w:val="21"/>
        </w:rPr>
        <w:t>。基金</w:t>
      </w:r>
      <w:r w:rsidRPr="00453203">
        <w:rPr>
          <w:rFonts w:asciiTheme="minorEastAsia" w:eastAsiaTheme="minorEastAsia" w:hAnsiTheme="minorEastAsia" w:hint="eastAsia"/>
          <w:szCs w:val="21"/>
        </w:rPr>
        <w:t>的</w:t>
      </w:r>
      <w:r w:rsidRPr="00453203">
        <w:rPr>
          <w:rFonts w:asciiTheme="minorEastAsia" w:eastAsiaTheme="minorEastAsia" w:hAnsiTheme="minorEastAsia"/>
          <w:szCs w:val="21"/>
        </w:rPr>
        <w:t>存续期间</w:t>
      </w:r>
      <w:r w:rsidRPr="00453203">
        <w:rPr>
          <w:rFonts w:asciiTheme="minorEastAsia" w:eastAsiaTheme="minorEastAsia" w:hAnsiTheme="minorEastAsia" w:hint="eastAsia"/>
          <w:szCs w:val="21"/>
        </w:rPr>
        <w:t>为</w:t>
      </w:r>
      <w:r w:rsidRPr="00453203">
        <w:rPr>
          <w:rFonts w:asciiTheme="minorEastAsia" w:eastAsiaTheme="minorEastAsia" w:hAnsiTheme="minorEastAsia"/>
          <w:szCs w:val="21"/>
        </w:rPr>
        <w:t>不定期</w:t>
      </w:r>
      <w:r w:rsidRPr="00453203">
        <w:rPr>
          <w:rFonts w:asciiTheme="minorEastAsia" w:eastAsiaTheme="minorEastAsia" w:hAnsiTheme="minorEastAsia" w:hint="eastAsia"/>
          <w:szCs w:val="21"/>
        </w:rPr>
        <w:t>。</w:t>
      </w:r>
    </w:p>
    <w:p w:rsidR="00B36447" w:rsidRPr="00453203" w:rsidRDefault="00B36447"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本基金</w:t>
      </w:r>
      <w:r w:rsidRPr="00453203">
        <w:rPr>
          <w:rFonts w:asciiTheme="minorEastAsia" w:eastAsiaTheme="minorEastAsia" w:hAnsiTheme="minorEastAsia" w:hint="eastAsia"/>
          <w:szCs w:val="21"/>
        </w:rPr>
        <w:t>募集期间</w:t>
      </w:r>
      <w:r w:rsidRPr="00453203">
        <w:rPr>
          <w:rFonts w:asciiTheme="minorEastAsia" w:eastAsiaTheme="minorEastAsia" w:hAnsiTheme="minorEastAsia"/>
          <w:szCs w:val="21"/>
        </w:rPr>
        <w:t>每份基金份额的</w:t>
      </w:r>
      <w:r w:rsidRPr="00453203">
        <w:rPr>
          <w:rFonts w:asciiTheme="minorEastAsia" w:eastAsiaTheme="minorEastAsia" w:hAnsiTheme="minorEastAsia" w:hint="eastAsia"/>
          <w:szCs w:val="21"/>
        </w:rPr>
        <w:t>初始</w:t>
      </w:r>
      <w:r w:rsidRPr="00453203">
        <w:rPr>
          <w:rFonts w:asciiTheme="minorEastAsia" w:eastAsiaTheme="minorEastAsia" w:hAnsiTheme="minorEastAsia"/>
          <w:szCs w:val="21"/>
        </w:rPr>
        <w:t>面值为人民币1.00元</w:t>
      </w:r>
      <w:r w:rsidRPr="00453203">
        <w:rPr>
          <w:rFonts w:asciiTheme="minorEastAsia" w:eastAsiaTheme="minorEastAsia" w:hAnsiTheme="minorEastAsia" w:hint="eastAsia"/>
          <w:szCs w:val="21"/>
        </w:rPr>
        <w:t>。</w:t>
      </w:r>
    </w:p>
    <w:p w:rsidR="00B36447" w:rsidRPr="00453203" w:rsidRDefault="00B36447"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本基金募集期自</w:t>
      </w:r>
      <w:r w:rsidR="00632DF4" w:rsidRPr="00453203">
        <w:rPr>
          <w:rFonts w:asciiTheme="minorEastAsia" w:eastAsiaTheme="minorEastAsia" w:hAnsiTheme="minorEastAsia" w:hint="eastAsia"/>
          <w:szCs w:val="21"/>
        </w:rPr>
        <w:t>2011年8月15日至</w:t>
      </w:r>
      <w:r w:rsidR="00632DF4" w:rsidRPr="00453203">
        <w:rPr>
          <w:rFonts w:asciiTheme="minorEastAsia" w:eastAsiaTheme="minorEastAsia" w:hAnsiTheme="minorEastAsia"/>
          <w:szCs w:val="21"/>
        </w:rPr>
        <w:t>201</w:t>
      </w:r>
      <w:r w:rsidR="00632DF4" w:rsidRPr="00453203">
        <w:rPr>
          <w:rFonts w:asciiTheme="minorEastAsia" w:eastAsiaTheme="minorEastAsia" w:hAnsiTheme="minorEastAsia" w:hint="eastAsia"/>
          <w:szCs w:val="21"/>
        </w:rPr>
        <w:t>1年9月14日。</w:t>
      </w:r>
      <w:r w:rsidRPr="00453203">
        <w:rPr>
          <w:rFonts w:asciiTheme="minorEastAsia" w:eastAsiaTheme="minorEastAsia" w:hAnsiTheme="minorEastAsia" w:hint="eastAsia"/>
          <w:szCs w:val="21"/>
        </w:rPr>
        <w:t>募集对象为</w:t>
      </w:r>
      <w:r w:rsidR="00632DF4" w:rsidRPr="00453203">
        <w:rPr>
          <w:rFonts w:asciiTheme="minorEastAsia" w:eastAsiaTheme="minorEastAsia" w:hAnsiTheme="minorEastAsia" w:hint="eastAsia"/>
          <w:szCs w:val="21"/>
        </w:rPr>
        <w:t>符合法律法规规定的个人投资者、机构投资者及合格境外机构投资者，以及法律法规或中国证监会允许购买证券投资基金的其他投资者。</w:t>
      </w:r>
    </w:p>
    <w:p w:rsidR="00B36447" w:rsidRPr="00453203" w:rsidRDefault="00B36447" w:rsidP="00643071">
      <w:pPr>
        <w:snapToGrid w:val="0"/>
        <w:spacing w:line="360" w:lineRule="auto"/>
        <w:ind w:firstLineChars="202" w:firstLine="424"/>
        <w:rPr>
          <w:rFonts w:asciiTheme="minorEastAsia" w:eastAsiaTheme="minorEastAsia" w:hAnsiTheme="minorEastAsia"/>
          <w:szCs w:val="21"/>
        </w:rPr>
        <w:sectPr w:rsidR="00B36447" w:rsidRPr="00453203" w:rsidSect="00F67DBE">
          <w:pgSz w:w="11907" w:h="16840" w:code="9"/>
          <w:pgMar w:top="1701" w:right="1814" w:bottom="1701" w:left="1814" w:header="1134" w:footer="1247" w:gutter="0"/>
          <w:cols w:space="425"/>
          <w:docGrid w:type="lines" w:linePitch="312"/>
        </w:sectPr>
      </w:pP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rPr>
      </w:pPr>
      <w:bookmarkStart w:id="30" w:name="_Toc34834688"/>
      <w:bookmarkEnd w:id="29"/>
      <w:r w:rsidRPr="00453203">
        <w:rPr>
          <w:rFonts w:asciiTheme="minorEastAsia" w:eastAsiaTheme="minorEastAsia" w:hAnsiTheme="minorEastAsia" w:hint="eastAsia"/>
          <w:bCs/>
        </w:rPr>
        <w:lastRenderedPageBreak/>
        <w:t>七、基金合同的生效</w:t>
      </w:r>
      <w:bookmarkEnd w:id="30"/>
    </w:p>
    <w:p w:rsidR="00641A31" w:rsidRPr="00453203" w:rsidRDefault="001C6048"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31" w:name="_Toc38432438"/>
      <w:bookmarkStart w:id="32" w:name="_Toc133292585"/>
      <w:bookmarkStart w:id="33" w:name="_Toc34834689"/>
      <w:r w:rsidRPr="00453203">
        <w:rPr>
          <w:rFonts w:asciiTheme="minorEastAsia" w:eastAsiaTheme="minorEastAsia" w:hAnsiTheme="minorEastAsia" w:hint="eastAsia"/>
          <w:sz w:val="21"/>
          <w:szCs w:val="21"/>
        </w:rPr>
        <w:t>（一）基金合同的生效</w:t>
      </w:r>
      <w:bookmarkEnd w:id="33"/>
    </w:p>
    <w:p w:rsidR="00A47DEF" w:rsidRPr="00453203" w:rsidRDefault="00632DF4"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本基金</w:t>
      </w:r>
      <w:r w:rsidRPr="00453203">
        <w:rPr>
          <w:rFonts w:asciiTheme="minorEastAsia" w:eastAsiaTheme="minorEastAsia" w:hAnsiTheme="minorEastAsia" w:hint="eastAsia"/>
          <w:szCs w:val="21"/>
        </w:rPr>
        <w:t>基金合同于2011年9月20日正式生效。自基金合同生效日起，本基金管理人正式开始管理本基金。</w:t>
      </w:r>
      <w:bookmarkEnd w:id="31"/>
      <w:bookmarkEnd w:id="32"/>
    </w:p>
    <w:p w:rsidR="00641A31" w:rsidRPr="00453203" w:rsidRDefault="001C6048"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34" w:name="_Toc34834690"/>
      <w:r w:rsidRPr="00453203">
        <w:rPr>
          <w:rFonts w:asciiTheme="minorEastAsia" w:eastAsiaTheme="minorEastAsia" w:hAnsiTheme="minorEastAsia" w:hint="eastAsia"/>
          <w:sz w:val="21"/>
          <w:szCs w:val="21"/>
        </w:rPr>
        <w:t>（二）</w:t>
      </w:r>
      <w:r w:rsidRPr="00453203">
        <w:rPr>
          <w:rFonts w:asciiTheme="minorEastAsia" w:eastAsiaTheme="minorEastAsia" w:hAnsiTheme="minorEastAsia" w:hint="eastAsia"/>
          <w:bCs/>
          <w:sz w:val="21"/>
          <w:szCs w:val="21"/>
        </w:rPr>
        <w:t>基金存续期内的基金份额持有人数量和资产规模</w:t>
      </w:r>
      <w:bookmarkEnd w:id="34"/>
    </w:p>
    <w:p w:rsidR="001C6048" w:rsidRPr="00453203" w:rsidRDefault="001C6048"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1C6048" w:rsidRPr="00453203" w:rsidRDefault="001C6048"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法律法规或中国证监会另有规定时，从其规定。</w:t>
      </w: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643071" w:rsidRPr="00453203" w:rsidRDefault="00643071" w:rsidP="00643071">
      <w:pPr>
        <w:snapToGrid w:val="0"/>
        <w:spacing w:line="360" w:lineRule="auto"/>
        <w:ind w:firstLineChars="202" w:firstLine="424"/>
        <w:rPr>
          <w:rFonts w:asciiTheme="minorEastAsia" w:eastAsiaTheme="minorEastAsia" w:hAnsiTheme="minorEastAsia"/>
          <w:szCs w:val="21"/>
        </w:rPr>
      </w:pP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bCs/>
        </w:rPr>
      </w:pPr>
      <w:bookmarkStart w:id="35" w:name="_Toc34834691"/>
      <w:r w:rsidRPr="00453203">
        <w:rPr>
          <w:rFonts w:asciiTheme="minorEastAsia" w:eastAsiaTheme="minorEastAsia" w:hAnsiTheme="minorEastAsia" w:hint="eastAsia"/>
          <w:bCs/>
        </w:rPr>
        <w:lastRenderedPageBreak/>
        <w:t>八、基金份额的申购、赎回</w:t>
      </w:r>
      <w:bookmarkEnd w:id="35"/>
    </w:p>
    <w:p w:rsidR="00DB129C" w:rsidRPr="00453203" w:rsidRDefault="00BF16FD" w:rsidP="00FE4929">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本基金根据所收取费用的差异，将基金份额分为不同的类别。在投资人申购基金时收取申购费用，并不再从本类别基金资产中计提销售服务费的基金份额，称为</w:t>
      </w:r>
      <w:r w:rsidRPr="00453203">
        <w:rPr>
          <w:rFonts w:asciiTheme="minorEastAsia" w:eastAsiaTheme="minorEastAsia" w:hAnsiTheme="minorEastAsia"/>
          <w:szCs w:val="21"/>
        </w:rPr>
        <w:t>A</w:t>
      </w:r>
      <w:r w:rsidRPr="00453203">
        <w:rPr>
          <w:rFonts w:asciiTheme="minorEastAsia" w:eastAsiaTheme="minorEastAsia" w:hAnsiTheme="minorEastAsia" w:hint="eastAsia"/>
          <w:szCs w:val="21"/>
        </w:rPr>
        <w:t>类基金份额；从本类基金资产中计提销售服务费，并不收取申购费用的基金份额，称为</w:t>
      </w:r>
      <w:r w:rsidRPr="00453203">
        <w:rPr>
          <w:rFonts w:asciiTheme="minorEastAsia" w:eastAsiaTheme="minorEastAsia" w:hAnsiTheme="minorEastAsia"/>
          <w:szCs w:val="21"/>
        </w:rPr>
        <w:t>C</w:t>
      </w:r>
      <w:r w:rsidRPr="00453203">
        <w:rPr>
          <w:rFonts w:asciiTheme="minorEastAsia" w:eastAsiaTheme="minorEastAsia" w:hAnsiTheme="minorEastAsia" w:hint="eastAsia"/>
          <w:szCs w:val="21"/>
        </w:rPr>
        <w:t>类基金份额。本基金两类基金份额分别设置代码，分别公布基金份额净值和基金份额累计净值。</w:t>
      </w:r>
    </w:p>
    <w:p w:rsidR="00DB129C" w:rsidRPr="00453203" w:rsidRDefault="00BF16FD" w:rsidP="00FE4929">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投资人在申购基金份额时可自行选择基金份额类别。本基金不同基金份额类别之间不得互相转换。</w:t>
      </w:r>
    </w:p>
    <w:p w:rsidR="00641A31" w:rsidRPr="00453203" w:rsidRDefault="000B4230"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36" w:name="_Toc34834692"/>
      <w:r w:rsidRPr="00453203">
        <w:rPr>
          <w:rFonts w:asciiTheme="minorEastAsia" w:eastAsiaTheme="minorEastAsia" w:hAnsiTheme="minorEastAsia" w:hint="eastAsia"/>
          <w:sz w:val="21"/>
          <w:szCs w:val="21"/>
        </w:rPr>
        <w:t>（一）基金投资者范围</w:t>
      </w:r>
      <w:bookmarkEnd w:id="36"/>
    </w:p>
    <w:p w:rsidR="000B4230" w:rsidRPr="00453203" w:rsidRDefault="000B4230"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符合法律法规规定的个人投资者、机构投资者及合格境外机构投资者，以及法律法规或中国证监会允许购买证券投资基金的其他投资者。</w:t>
      </w:r>
    </w:p>
    <w:p w:rsidR="00641A31"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37" w:name="_Toc34834693"/>
      <w:r w:rsidRPr="00453203">
        <w:rPr>
          <w:rFonts w:asciiTheme="minorEastAsia" w:eastAsiaTheme="minorEastAsia" w:hAnsiTheme="minorEastAsia" w:hint="eastAsia"/>
          <w:sz w:val="21"/>
          <w:szCs w:val="21"/>
        </w:rPr>
        <w:t>（</w:t>
      </w:r>
      <w:r w:rsidR="000B4230" w:rsidRPr="00453203">
        <w:rPr>
          <w:rFonts w:asciiTheme="minorEastAsia" w:eastAsiaTheme="minorEastAsia" w:hAnsiTheme="minorEastAsia" w:hint="eastAsia"/>
          <w:sz w:val="21"/>
          <w:szCs w:val="21"/>
        </w:rPr>
        <w:t>二</w:t>
      </w:r>
      <w:r w:rsidRPr="00453203">
        <w:rPr>
          <w:rFonts w:asciiTheme="minorEastAsia" w:eastAsiaTheme="minorEastAsia" w:hAnsiTheme="minorEastAsia" w:hint="eastAsia"/>
          <w:sz w:val="21"/>
          <w:szCs w:val="21"/>
        </w:rPr>
        <w:t>）申购、赎回的场所</w:t>
      </w:r>
      <w:bookmarkEnd w:id="37"/>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1、基金管理</w:t>
      </w:r>
      <w:r w:rsidRPr="00453203">
        <w:rPr>
          <w:rFonts w:asciiTheme="minorEastAsia" w:eastAsiaTheme="minorEastAsia" w:hAnsiTheme="minorEastAsia" w:hint="eastAsia"/>
          <w:szCs w:val="21"/>
        </w:rPr>
        <w:t>人的直销</w:t>
      </w:r>
      <w:r w:rsidR="00C461FE" w:rsidRPr="00453203">
        <w:rPr>
          <w:rFonts w:asciiTheme="minorEastAsia" w:eastAsiaTheme="minorEastAsia" w:hAnsiTheme="minorEastAsia" w:hint="eastAsia"/>
          <w:szCs w:val="21"/>
        </w:rPr>
        <w:t>中心</w:t>
      </w:r>
      <w:r w:rsidRPr="00453203">
        <w:rPr>
          <w:rFonts w:asciiTheme="minorEastAsia" w:eastAsiaTheme="minorEastAsia" w:hAnsiTheme="minorEastAsia"/>
          <w:szCs w:val="21"/>
        </w:rPr>
        <w:t>及</w:t>
      </w:r>
      <w:r w:rsidRPr="00453203">
        <w:rPr>
          <w:rFonts w:asciiTheme="minorEastAsia" w:eastAsiaTheme="minorEastAsia" w:hAnsiTheme="minorEastAsia" w:hint="eastAsia"/>
          <w:szCs w:val="21"/>
        </w:rPr>
        <w:t>网上交易系统</w:t>
      </w:r>
      <w:r w:rsidRPr="00453203">
        <w:rPr>
          <w:rFonts w:asciiTheme="minorEastAsia" w:eastAsiaTheme="minorEastAsia" w:hAnsiTheme="minorEastAsia"/>
          <w:szCs w:val="21"/>
        </w:rPr>
        <w:t>；</w:t>
      </w:r>
      <w:r w:rsidRPr="00453203">
        <w:rPr>
          <w:rFonts w:asciiTheme="minorEastAsia" w:eastAsiaTheme="minorEastAsia" w:hAnsiTheme="minorEastAsia"/>
          <w:szCs w:val="21"/>
        </w:rPr>
        <w:br/>
        <w:t xml:space="preserve">　　2、各</w:t>
      </w:r>
      <w:r w:rsidR="00472648" w:rsidRPr="00453203">
        <w:rPr>
          <w:rFonts w:asciiTheme="minorEastAsia" w:eastAsiaTheme="minorEastAsia" w:hAnsiTheme="minorEastAsia" w:hint="eastAsia"/>
          <w:szCs w:val="21"/>
        </w:rPr>
        <w:t>非直销销售</w:t>
      </w:r>
      <w:r w:rsidRPr="00453203">
        <w:rPr>
          <w:rFonts w:asciiTheme="minorEastAsia" w:eastAsiaTheme="minorEastAsia" w:hAnsiTheme="minorEastAsia" w:hint="eastAsia"/>
          <w:szCs w:val="21"/>
        </w:rPr>
        <w:t>机构</w:t>
      </w:r>
      <w:r w:rsidRPr="00453203">
        <w:rPr>
          <w:rFonts w:asciiTheme="minorEastAsia" w:eastAsiaTheme="minorEastAsia" w:hAnsiTheme="minorEastAsia"/>
          <w:szCs w:val="21"/>
        </w:rPr>
        <w:t>开办开放式基金业务的营业网点。</w:t>
      </w:r>
      <w:r w:rsidRPr="00453203">
        <w:rPr>
          <w:rFonts w:asciiTheme="minorEastAsia" w:eastAsiaTheme="minorEastAsia" w:hAnsiTheme="minorEastAsia"/>
          <w:szCs w:val="21"/>
        </w:rPr>
        <w:br/>
        <w:t xml:space="preserve">　　</w:t>
      </w:r>
      <w:r w:rsidRPr="00453203">
        <w:rPr>
          <w:rFonts w:asciiTheme="minorEastAsia" w:eastAsiaTheme="minorEastAsia" w:hAnsiTheme="minorEastAsia" w:hint="eastAsia"/>
          <w:szCs w:val="21"/>
        </w:rPr>
        <w:t>基金管理人可根据情况变更基金的销售机构，并</w:t>
      </w:r>
      <w:r w:rsidR="0009600D" w:rsidRPr="00453203">
        <w:rPr>
          <w:rFonts w:asciiTheme="minorEastAsia" w:eastAsiaTheme="minorEastAsia" w:hAnsiTheme="minorEastAsia" w:hint="eastAsia"/>
          <w:szCs w:val="21"/>
        </w:rPr>
        <w:t>在基金管理人网站公示</w:t>
      </w:r>
      <w:r w:rsidRPr="00453203">
        <w:rPr>
          <w:rFonts w:asciiTheme="minorEastAsia" w:eastAsiaTheme="minorEastAsia" w:hAnsiTheme="minorEastAsia" w:hint="eastAsia"/>
          <w:szCs w:val="21"/>
        </w:rPr>
        <w:t>。</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投资者还可通过基金管理人或者指定的基金</w:t>
      </w:r>
      <w:r w:rsidR="00472648"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机构以电话或互联网等其他电子交易方式进行申购、赎回，具体以各销售机构的规定为准。</w:t>
      </w:r>
    </w:p>
    <w:p w:rsidR="00641A31"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38" w:name="_Toc34834694"/>
      <w:r w:rsidRPr="00453203">
        <w:rPr>
          <w:rFonts w:asciiTheme="minorEastAsia" w:eastAsiaTheme="minorEastAsia" w:hAnsiTheme="minorEastAsia" w:hint="eastAsia"/>
          <w:sz w:val="21"/>
          <w:szCs w:val="21"/>
        </w:rPr>
        <w:t>（</w:t>
      </w:r>
      <w:r w:rsidR="00FE5546" w:rsidRPr="00453203">
        <w:rPr>
          <w:rFonts w:asciiTheme="minorEastAsia" w:eastAsiaTheme="minorEastAsia" w:hAnsiTheme="minorEastAsia" w:hint="eastAsia"/>
          <w:sz w:val="21"/>
          <w:szCs w:val="21"/>
        </w:rPr>
        <w:t>三</w:t>
      </w:r>
      <w:r w:rsidRPr="00453203">
        <w:rPr>
          <w:rFonts w:asciiTheme="minorEastAsia" w:eastAsiaTheme="minorEastAsia" w:hAnsiTheme="minorEastAsia" w:hint="eastAsia"/>
          <w:sz w:val="21"/>
          <w:szCs w:val="21"/>
        </w:rPr>
        <w:t>）申购、赎回的时间</w:t>
      </w:r>
      <w:bookmarkEnd w:id="38"/>
    </w:p>
    <w:p w:rsidR="00FE5546" w:rsidRPr="00453203" w:rsidRDefault="00632DF4"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本基金</w:t>
      </w:r>
      <w:r w:rsidR="008F7E6E" w:rsidRPr="00453203">
        <w:rPr>
          <w:rFonts w:asciiTheme="minorEastAsia" w:eastAsiaTheme="minorEastAsia" w:hAnsiTheme="minorEastAsia" w:hint="eastAsia"/>
          <w:szCs w:val="21"/>
        </w:rPr>
        <w:t>A类基金份额</w:t>
      </w:r>
      <w:r w:rsidRPr="00453203">
        <w:rPr>
          <w:rFonts w:asciiTheme="minorEastAsia" w:eastAsiaTheme="minorEastAsia" w:hAnsiTheme="minorEastAsia" w:hint="eastAsia"/>
          <w:szCs w:val="21"/>
        </w:rPr>
        <w:t>已于</w:t>
      </w:r>
      <w:r w:rsidRPr="00453203">
        <w:rPr>
          <w:rFonts w:asciiTheme="minorEastAsia" w:eastAsiaTheme="minorEastAsia" w:hAnsiTheme="minorEastAsia"/>
          <w:szCs w:val="21"/>
        </w:rPr>
        <w:t>20</w:t>
      </w:r>
      <w:r w:rsidRPr="00453203">
        <w:rPr>
          <w:rFonts w:asciiTheme="minorEastAsia" w:eastAsiaTheme="minorEastAsia" w:hAnsiTheme="minorEastAsia" w:hint="eastAsia"/>
          <w:szCs w:val="21"/>
        </w:rPr>
        <w:t>1</w:t>
      </w:r>
      <w:r w:rsidR="00F660C9"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年</w:t>
      </w:r>
      <w:r w:rsidR="00F660C9" w:rsidRPr="00453203">
        <w:rPr>
          <w:rFonts w:asciiTheme="minorEastAsia" w:eastAsiaTheme="minorEastAsia" w:hAnsiTheme="minorEastAsia" w:hint="eastAsia"/>
          <w:szCs w:val="21"/>
        </w:rPr>
        <w:t>11</w:t>
      </w:r>
      <w:r w:rsidRPr="00453203">
        <w:rPr>
          <w:rFonts w:asciiTheme="minorEastAsia" w:eastAsiaTheme="minorEastAsia" w:hAnsiTheme="minorEastAsia"/>
          <w:szCs w:val="21"/>
        </w:rPr>
        <w:t>月</w:t>
      </w:r>
      <w:r w:rsidR="00F660C9" w:rsidRPr="00453203">
        <w:rPr>
          <w:rFonts w:asciiTheme="minorEastAsia" w:eastAsiaTheme="minorEastAsia" w:hAnsiTheme="minorEastAsia" w:hint="eastAsia"/>
          <w:szCs w:val="21"/>
        </w:rPr>
        <w:t>21</w:t>
      </w:r>
      <w:r w:rsidRPr="00453203">
        <w:rPr>
          <w:rFonts w:asciiTheme="minorEastAsia" w:eastAsiaTheme="minorEastAsia" w:hAnsiTheme="minorEastAsia"/>
          <w:szCs w:val="21"/>
        </w:rPr>
        <w:t>日</w:t>
      </w:r>
      <w:r w:rsidRPr="00453203">
        <w:rPr>
          <w:rFonts w:asciiTheme="minorEastAsia" w:eastAsiaTheme="minorEastAsia" w:hAnsiTheme="minorEastAsia" w:hint="eastAsia"/>
          <w:szCs w:val="21"/>
        </w:rPr>
        <w:t>开始办理日常申购和赎回业务。</w:t>
      </w:r>
      <w:r w:rsidR="008F7E6E" w:rsidRPr="00453203">
        <w:rPr>
          <w:rFonts w:asciiTheme="minorEastAsia" w:eastAsiaTheme="minorEastAsia" w:hAnsiTheme="minorEastAsia" w:hint="eastAsia"/>
          <w:szCs w:val="21"/>
        </w:rPr>
        <w:t>本基金</w:t>
      </w:r>
      <w:r w:rsidR="008F7E6E" w:rsidRPr="00453203">
        <w:rPr>
          <w:rFonts w:asciiTheme="minorEastAsia" w:eastAsiaTheme="minorEastAsia" w:hAnsiTheme="minorEastAsia"/>
          <w:szCs w:val="21"/>
        </w:rPr>
        <w:t>C</w:t>
      </w:r>
      <w:r w:rsidR="008F7E6E" w:rsidRPr="00453203">
        <w:rPr>
          <w:rFonts w:asciiTheme="minorEastAsia" w:eastAsiaTheme="minorEastAsia" w:hAnsiTheme="minorEastAsia" w:hint="eastAsia"/>
          <w:szCs w:val="21"/>
        </w:rPr>
        <w:t>类基金份额已于</w:t>
      </w:r>
      <w:r w:rsidR="008F7E6E" w:rsidRPr="00453203">
        <w:rPr>
          <w:rFonts w:asciiTheme="minorEastAsia" w:eastAsiaTheme="minorEastAsia" w:hAnsiTheme="minorEastAsia"/>
          <w:szCs w:val="21"/>
        </w:rPr>
        <w:t>20</w:t>
      </w:r>
      <w:r w:rsidR="008F7E6E" w:rsidRPr="00453203">
        <w:rPr>
          <w:rFonts w:asciiTheme="minorEastAsia" w:eastAsiaTheme="minorEastAsia" w:hAnsiTheme="minorEastAsia" w:hint="eastAsia"/>
          <w:szCs w:val="21"/>
        </w:rPr>
        <w:t>1</w:t>
      </w:r>
      <w:r w:rsidR="008F7E6E" w:rsidRPr="00453203">
        <w:rPr>
          <w:rFonts w:asciiTheme="minorEastAsia" w:eastAsiaTheme="minorEastAsia" w:hAnsiTheme="minorEastAsia"/>
          <w:szCs w:val="21"/>
        </w:rPr>
        <w:t>7年6月2日</w:t>
      </w:r>
      <w:r w:rsidR="008F7E6E" w:rsidRPr="00453203">
        <w:rPr>
          <w:rFonts w:asciiTheme="minorEastAsia" w:eastAsiaTheme="minorEastAsia" w:hAnsiTheme="minorEastAsia" w:hint="eastAsia"/>
          <w:szCs w:val="21"/>
        </w:rPr>
        <w:t>开始办理日常申购和赎回业务。</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上海证券交易所和深圳证券交易所同时开放交易的工作日为本基金的开放日（基金管理人根据法律法规或</w:t>
      </w:r>
      <w:r w:rsidR="00F51C42" w:rsidRPr="00453203">
        <w:rPr>
          <w:rFonts w:asciiTheme="minorEastAsia" w:eastAsiaTheme="minorEastAsia" w:hAnsiTheme="minorEastAsia" w:hint="eastAsia"/>
          <w:szCs w:val="21"/>
        </w:rPr>
        <w:t>基金合同</w:t>
      </w:r>
      <w:r w:rsidRPr="00453203">
        <w:rPr>
          <w:rFonts w:asciiTheme="minorEastAsia" w:eastAsiaTheme="minorEastAsia" w:hAnsiTheme="minorEastAsia" w:hint="eastAsia"/>
          <w:szCs w:val="21"/>
        </w:rPr>
        <w:t>的规定公告暂停申购、赎回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至少一家</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公告。</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投资者在基金合同约定之外的日期和时间提出申购、赎回或者转换申请的，其基金份额申购、赎回价格为下次办理基金份额申购、赎回时间所在开放日的价格。</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bCs/>
          <w:sz w:val="21"/>
          <w:szCs w:val="21"/>
        </w:rPr>
      </w:pPr>
      <w:bookmarkStart w:id="39" w:name="_Toc34834695"/>
      <w:r w:rsidRPr="00453203">
        <w:rPr>
          <w:rFonts w:asciiTheme="minorEastAsia" w:eastAsiaTheme="minorEastAsia" w:hAnsiTheme="minorEastAsia" w:hint="eastAsia"/>
          <w:bCs/>
          <w:sz w:val="21"/>
          <w:szCs w:val="21"/>
        </w:rPr>
        <w:t>（</w:t>
      </w:r>
      <w:r w:rsidR="00AB21C7" w:rsidRPr="00453203">
        <w:rPr>
          <w:rFonts w:asciiTheme="minorEastAsia" w:eastAsiaTheme="minorEastAsia" w:hAnsiTheme="minorEastAsia" w:hint="eastAsia"/>
          <w:bCs/>
          <w:sz w:val="21"/>
          <w:szCs w:val="21"/>
        </w:rPr>
        <w:t>四</w:t>
      </w:r>
      <w:r w:rsidRPr="00453203">
        <w:rPr>
          <w:rFonts w:asciiTheme="minorEastAsia" w:eastAsiaTheme="minorEastAsia" w:hAnsiTheme="minorEastAsia" w:hint="eastAsia"/>
          <w:bCs/>
          <w:sz w:val="21"/>
          <w:szCs w:val="21"/>
        </w:rPr>
        <w:t>）申购、赎回的原则</w:t>
      </w:r>
      <w:bookmarkEnd w:id="39"/>
    </w:p>
    <w:p w:rsidR="008F5A88" w:rsidRPr="00453203" w:rsidRDefault="008F5A88"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、“未知价”原则，即申购、赎回价格以申请当日收市后计算的</w:t>
      </w:r>
      <w:r w:rsidR="00B7433C" w:rsidRPr="00453203">
        <w:rPr>
          <w:rFonts w:asciiTheme="minorEastAsia" w:eastAsiaTheme="minorEastAsia" w:hAnsiTheme="minorEastAsia" w:hint="eastAsia"/>
          <w:szCs w:val="21"/>
        </w:rPr>
        <w:t>各类</w:t>
      </w:r>
      <w:r w:rsidRPr="00453203">
        <w:rPr>
          <w:rFonts w:asciiTheme="minorEastAsia" w:eastAsiaTheme="minorEastAsia" w:hAnsiTheme="minorEastAsia" w:hint="eastAsia"/>
          <w:szCs w:val="21"/>
        </w:rPr>
        <w:t>基金份额净值为基准进行计算</w:t>
      </w:r>
      <w:r w:rsidR="00B7433C" w:rsidRPr="00453203">
        <w:rPr>
          <w:rFonts w:asciiTheme="minorEastAsia" w:eastAsiaTheme="minorEastAsia" w:hAnsiTheme="minorEastAsia" w:hint="eastAsia"/>
          <w:szCs w:val="21"/>
        </w:rPr>
        <w:t>，其中：C类基金份额首笔申购当日的申购价格为当日A类基金份额的基金份额净值</w:t>
      </w:r>
      <w:r w:rsidRPr="00453203">
        <w:rPr>
          <w:rFonts w:asciiTheme="minorEastAsia" w:eastAsiaTheme="minorEastAsia" w:hAnsiTheme="minorEastAsia" w:hint="eastAsia"/>
          <w:szCs w:val="21"/>
        </w:rPr>
        <w:t>；</w:t>
      </w:r>
    </w:p>
    <w:p w:rsidR="008F5A88" w:rsidRPr="00453203" w:rsidRDefault="008F5A88" w:rsidP="00440A93">
      <w:pPr>
        <w:spacing w:line="360" w:lineRule="auto"/>
        <w:ind w:firstLineChars="200" w:firstLine="420"/>
        <w:rPr>
          <w:rFonts w:asciiTheme="minorEastAsia" w:eastAsiaTheme="minorEastAsia" w:hAnsiTheme="minorEastAsia" w:cs="仿宋_GB2312"/>
          <w:bCs/>
          <w:kern w:val="0"/>
        </w:rPr>
      </w:pPr>
      <w:r w:rsidRPr="00453203">
        <w:rPr>
          <w:rFonts w:asciiTheme="minorEastAsia" w:eastAsiaTheme="minorEastAsia" w:hAnsiTheme="minorEastAsia" w:cs="仿宋_GB2312"/>
          <w:bCs/>
          <w:kern w:val="0"/>
        </w:rPr>
        <w:t>2</w:t>
      </w:r>
      <w:r w:rsidRPr="00453203">
        <w:rPr>
          <w:rFonts w:asciiTheme="minorEastAsia" w:eastAsiaTheme="minorEastAsia" w:hAnsiTheme="minorEastAsia" w:cs="仿宋_GB2312" w:hint="eastAsia"/>
          <w:bCs/>
          <w:kern w:val="0"/>
        </w:rPr>
        <w:t>、“</w:t>
      </w:r>
      <w:r w:rsidRPr="00453203">
        <w:rPr>
          <w:rFonts w:asciiTheme="minorEastAsia" w:eastAsiaTheme="minorEastAsia" w:hAnsiTheme="minorEastAsia" w:hint="eastAsia"/>
          <w:szCs w:val="21"/>
        </w:rPr>
        <w:t>金额申购</w:t>
      </w:r>
      <w:r w:rsidRPr="00453203">
        <w:rPr>
          <w:rFonts w:asciiTheme="minorEastAsia" w:eastAsiaTheme="minorEastAsia" w:hAnsiTheme="minorEastAsia" w:cs="仿宋_GB2312" w:hint="eastAsia"/>
          <w:bCs/>
          <w:kern w:val="0"/>
        </w:rPr>
        <w:t>、份额赎回”原则，即申购以金额申请，赎回以份额申请；</w:t>
      </w:r>
    </w:p>
    <w:p w:rsidR="008F5A88" w:rsidRPr="00453203" w:rsidRDefault="008F5A88"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3、当日的申购与赎回申请可以在当日业务办理时间结束前撤销，在当日的业务办理时间结束后不得撤销；</w:t>
      </w:r>
    </w:p>
    <w:p w:rsidR="008F5A88" w:rsidRPr="00453203" w:rsidRDefault="008F5A88"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4、</w:t>
      </w:r>
      <w:r w:rsidRPr="00453203">
        <w:rPr>
          <w:rFonts w:asciiTheme="minorEastAsia" w:eastAsiaTheme="minorEastAsia" w:hAnsiTheme="minorEastAsia"/>
          <w:szCs w:val="21"/>
        </w:rPr>
        <w:t>基金份额持有人赎回时，除指定赎回外，基金管理人按</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先进先出</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的原则，对该</w:t>
      </w:r>
      <w:r w:rsidRPr="00453203">
        <w:rPr>
          <w:rFonts w:asciiTheme="minorEastAsia" w:eastAsiaTheme="minorEastAsia" w:hAnsiTheme="minorEastAsia" w:hint="eastAsia"/>
          <w:szCs w:val="21"/>
        </w:rPr>
        <w:t>基金份额</w:t>
      </w:r>
      <w:r w:rsidRPr="00453203">
        <w:rPr>
          <w:rFonts w:asciiTheme="minorEastAsia" w:eastAsiaTheme="minorEastAsia" w:hAnsiTheme="minorEastAsia"/>
          <w:szCs w:val="21"/>
        </w:rPr>
        <w:t>持有人账户在该销售机构托管的基金份额进行处理，即先确认的</w:t>
      </w:r>
      <w:r w:rsidRPr="00453203">
        <w:rPr>
          <w:rFonts w:asciiTheme="minorEastAsia" w:eastAsiaTheme="minorEastAsia" w:hAnsiTheme="minorEastAsia" w:hint="eastAsia"/>
          <w:szCs w:val="21"/>
        </w:rPr>
        <w:t>基金</w:t>
      </w:r>
      <w:r w:rsidRPr="00453203">
        <w:rPr>
          <w:rFonts w:asciiTheme="minorEastAsia" w:eastAsiaTheme="minorEastAsia" w:hAnsiTheme="minorEastAsia"/>
          <w:szCs w:val="21"/>
        </w:rPr>
        <w:t>份额先赎回，后确认的</w:t>
      </w:r>
      <w:r w:rsidRPr="00453203">
        <w:rPr>
          <w:rFonts w:asciiTheme="minorEastAsia" w:eastAsiaTheme="minorEastAsia" w:hAnsiTheme="minorEastAsia" w:hint="eastAsia"/>
          <w:szCs w:val="21"/>
        </w:rPr>
        <w:t>基金</w:t>
      </w:r>
      <w:r w:rsidRPr="00453203">
        <w:rPr>
          <w:rFonts w:asciiTheme="minorEastAsia" w:eastAsiaTheme="minorEastAsia" w:hAnsiTheme="minorEastAsia"/>
          <w:szCs w:val="21"/>
        </w:rPr>
        <w:t>份额后赎回，以确定所适用的赎回费率</w:t>
      </w:r>
      <w:r w:rsidRPr="00453203">
        <w:rPr>
          <w:rFonts w:asciiTheme="minorEastAsia" w:eastAsiaTheme="minorEastAsia" w:hAnsiTheme="minorEastAsia" w:hint="eastAsia"/>
          <w:szCs w:val="21"/>
        </w:rPr>
        <w:t>；</w:t>
      </w:r>
    </w:p>
    <w:p w:rsidR="008F5A88" w:rsidRPr="00453203" w:rsidRDefault="008F5A88"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5、基金管理人可根据基金运作的实际情况并在不影响基金份额持有人实质利益的前提下调整上述原则。基金管理人必须在新规则开始实施前按照《信息披露办法》的有关规定在</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公告。</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40" w:name="_Toc34834696"/>
      <w:r w:rsidRPr="00453203">
        <w:rPr>
          <w:rFonts w:asciiTheme="minorEastAsia" w:eastAsiaTheme="minorEastAsia" w:hAnsiTheme="minorEastAsia" w:hint="eastAsia"/>
          <w:sz w:val="21"/>
          <w:szCs w:val="21"/>
        </w:rPr>
        <w:t>（</w:t>
      </w:r>
      <w:r w:rsidR="00AB21C7" w:rsidRPr="00453203">
        <w:rPr>
          <w:rFonts w:asciiTheme="minorEastAsia" w:eastAsiaTheme="minorEastAsia" w:hAnsiTheme="minorEastAsia" w:hint="eastAsia"/>
          <w:sz w:val="21"/>
          <w:szCs w:val="21"/>
        </w:rPr>
        <w:t>五</w:t>
      </w:r>
      <w:r w:rsidRPr="00453203">
        <w:rPr>
          <w:rFonts w:asciiTheme="minorEastAsia" w:eastAsiaTheme="minorEastAsia" w:hAnsiTheme="minorEastAsia" w:hint="eastAsia"/>
          <w:sz w:val="21"/>
          <w:szCs w:val="21"/>
        </w:rPr>
        <w:t>）申购、赎回的程序</w:t>
      </w:r>
      <w:bookmarkEnd w:id="40"/>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1、申购、赎回的申请方式</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基金投资者必须根据基金管理人和基金</w:t>
      </w:r>
      <w:r w:rsidR="00472648"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机构规定的手续，在开放日的业务办理时间提出申购、赎回的申请。</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投资者在提交申购申请时</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须按销售机构规定的方式备足申购资金；提交赎回申请时,帐户中必须有足够的基金</w:t>
      </w:r>
      <w:r w:rsidRPr="00453203">
        <w:rPr>
          <w:rFonts w:asciiTheme="minorEastAsia" w:eastAsiaTheme="minorEastAsia" w:hAnsiTheme="minorEastAsia" w:hint="eastAsia"/>
          <w:szCs w:val="21"/>
        </w:rPr>
        <w:t>份额</w:t>
      </w:r>
      <w:r w:rsidRPr="00453203">
        <w:rPr>
          <w:rFonts w:asciiTheme="minorEastAsia" w:eastAsiaTheme="minorEastAsia" w:hAnsiTheme="minorEastAsia"/>
          <w:szCs w:val="21"/>
        </w:rPr>
        <w:t>余额</w:t>
      </w:r>
      <w:r w:rsidRPr="00453203">
        <w:rPr>
          <w:rFonts w:asciiTheme="minorEastAsia" w:eastAsiaTheme="minorEastAsia" w:hAnsiTheme="minorEastAsia" w:hint="eastAsia"/>
          <w:szCs w:val="21"/>
        </w:rPr>
        <w:t>，否则所提交的申购、赎回的申请无效而不予成交。</w:t>
      </w:r>
    </w:p>
    <w:p w:rsidR="00FE5546" w:rsidRPr="00453203" w:rsidRDefault="00FE5546" w:rsidP="00440A93">
      <w:pPr>
        <w:spacing w:line="360" w:lineRule="auto"/>
        <w:ind w:firstLineChars="200" w:firstLine="420"/>
        <w:rPr>
          <w:rFonts w:asciiTheme="minorEastAsia" w:eastAsiaTheme="minorEastAsia" w:hAnsiTheme="minorEastAsia" w:cs="仿宋_GB2312"/>
          <w:bCs/>
          <w:kern w:val="0"/>
        </w:rPr>
      </w:pPr>
      <w:r w:rsidRPr="00453203">
        <w:rPr>
          <w:rFonts w:asciiTheme="minorEastAsia" w:eastAsiaTheme="minorEastAsia" w:hAnsiTheme="minorEastAsia" w:cs="仿宋_GB2312" w:hint="eastAsia"/>
          <w:bCs/>
          <w:kern w:val="0"/>
        </w:rPr>
        <w:t>2、申购、</w:t>
      </w:r>
      <w:r w:rsidRPr="00453203">
        <w:rPr>
          <w:rFonts w:asciiTheme="minorEastAsia" w:eastAsiaTheme="minorEastAsia" w:hAnsiTheme="minorEastAsia" w:hint="eastAsia"/>
          <w:szCs w:val="21"/>
        </w:rPr>
        <w:t>赎回申请的确认</w:t>
      </w:r>
    </w:p>
    <w:p w:rsidR="00FE5546" w:rsidRPr="00453203" w:rsidRDefault="00FE5546" w:rsidP="00643071">
      <w:pPr>
        <w:pStyle w:val="af1"/>
        <w:adjustRightInd w:val="0"/>
        <w:snapToGrid w:val="0"/>
        <w:spacing w:line="360" w:lineRule="auto"/>
        <w:ind w:firstLine="482"/>
        <w:textAlignment w:val="baseline"/>
        <w:rPr>
          <w:rFonts w:asciiTheme="minorEastAsia" w:eastAsiaTheme="minorEastAsia" w:hAnsiTheme="minorEastAsia" w:cs="仿宋_GB2312"/>
          <w:bCs/>
          <w:kern w:val="0"/>
          <w:szCs w:val="24"/>
        </w:rPr>
      </w:pPr>
      <w:r w:rsidRPr="00453203">
        <w:rPr>
          <w:rFonts w:asciiTheme="minorEastAsia" w:eastAsiaTheme="minorEastAsia" w:hAnsiTheme="minorEastAsia" w:cs="仿宋_GB2312"/>
          <w:bCs/>
          <w:kern w:val="0"/>
          <w:szCs w:val="24"/>
        </w:rPr>
        <w:t>T</w:t>
      </w:r>
      <w:r w:rsidRPr="00453203">
        <w:rPr>
          <w:rFonts w:asciiTheme="minorEastAsia" w:eastAsiaTheme="minorEastAsia" w:hAnsiTheme="minorEastAsia" w:cs="仿宋_GB2312" w:hint="eastAsia"/>
          <w:bCs/>
          <w:kern w:val="0"/>
          <w:szCs w:val="24"/>
        </w:rPr>
        <w:t>日规定时间受理的申请，正常情况下，基金注册登记机构在</w:t>
      </w:r>
      <w:r w:rsidRPr="00453203">
        <w:rPr>
          <w:rFonts w:asciiTheme="minorEastAsia" w:eastAsiaTheme="minorEastAsia" w:hAnsiTheme="minorEastAsia" w:cs="仿宋_GB2312"/>
          <w:bCs/>
          <w:kern w:val="0"/>
          <w:szCs w:val="24"/>
        </w:rPr>
        <w:t>T+1</w:t>
      </w:r>
      <w:r w:rsidRPr="00453203">
        <w:rPr>
          <w:rFonts w:asciiTheme="minorEastAsia" w:eastAsiaTheme="minorEastAsia" w:hAnsiTheme="minorEastAsia" w:cs="仿宋_GB2312" w:hint="eastAsia"/>
          <w:bCs/>
          <w:kern w:val="0"/>
          <w:szCs w:val="24"/>
        </w:rPr>
        <w:t>日内为投资者对该交易的有效性进行确认，在</w:t>
      </w:r>
      <w:r w:rsidRPr="00453203">
        <w:rPr>
          <w:rFonts w:asciiTheme="minorEastAsia" w:eastAsiaTheme="minorEastAsia" w:hAnsiTheme="minorEastAsia" w:cs="仿宋_GB2312"/>
          <w:bCs/>
          <w:kern w:val="0"/>
          <w:szCs w:val="24"/>
        </w:rPr>
        <w:t>T</w:t>
      </w:r>
      <w:r w:rsidRPr="00453203">
        <w:rPr>
          <w:rFonts w:asciiTheme="minorEastAsia" w:eastAsiaTheme="minorEastAsia" w:hAnsiTheme="minorEastAsia" w:cs="仿宋_GB2312" w:hint="eastAsia"/>
          <w:bCs/>
          <w:kern w:val="0"/>
          <w:szCs w:val="24"/>
        </w:rPr>
        <w:t>＋</w:t>
      </w:r>
      <w:r w:rsidRPr="00453203">
        <w:rPr>
          <w:rFonts w:asciiTheme="minorEastAsia" w:eastAsiaTheme="minorEastAsia" w:hAnsiTheme="minorEastAsia" w:cs="仿宋_GB2312"/>
          <w:bCs/>
          <w:kern w:val="0"/>
          <w:szCs w:val="24"/>
        </w:rPr>
        <w:t>2</w:t>
      </w:r>
      <w:r w:rsidRPr="00453203">
        <w:rPr>
          <w:rFonts w:asciiTheme="minorEastAsia" w:eastAsiaTheme="minorEastAsia" w:hAnsiTheme="minorEastAsia" w:cs="仿宋_GB2312" w:hint="eastAsia"/>
          <w:bCs/>
          <w:kern w:val="0"/>
          <w:szCs w:val="24"/>
        </w:rPr>
        <w:t>日后（包括该日）投资者</w:t>
      </w:r>
      <w:r w:rsidR="00D73E41" w:rsidRPr="00453203">
        <w:rPr>
          <w:rFonts w:asciiTheme="minorEastAsia" w:eastAsiaTheme="minorEastAsia" w:hAnsiTheme="minorEastAsia" w:cs="仿宋_GB2312" w:hint="eastAsia"/>
          <w:bCs/>
          <w:kern w:val="0"/>
          <w:szCs w:val="24"/>
        </w:rPr>
        <w:t>应</w:t>
      </w:r>
      <w:r w:rsidRPr="00453203">
        <w:rPr>
          <w:rFonts w:asciiTheme="minorEastAsia" w:eastAsiaTheme="minorEastAsia" w:hAnsiTheme="minorEastAsia" w:cs="仿宋_GB2312" w:hint="eastAsia"/>
          <w:bCs/>
          <w:kern w:val="0"/>
          <w:szCs w:val="24"/>
        </w:rPr>
        <w:t>向销售机构或以销售机构规定的其他方式查询申购与赎回的成交情况。</w:t>
      </w:r>
    </w:p>
    <w:p w:rsidR="0023376E" w:rsidRPr="00453203" w:rsidRDefault="0023376E" w:rsidP="00643071">
      <w:pPr>
        <w:pStyle w:val="af1"/>
        <w:adjustRightInd w:val="0"/>
        <w:snapToGrid w:val="0"/>
        <w:spacing w:line="360" w:lineRule="auto"/>
        <w:ind w:firstLine="482"/>
        <w:textAlignment w:val="baseline"/>
        <w:rPr>
          <w:rFonts w:asciiTheme="minorEastAsia" w:eastAsiaTheme="minorEastAsia" w:hAnsiTheme="minorEastAsia" w:cs="仿宋_GB2312"/>
          <w:bCs/>
          <w:kern w:val="0"/>
          <w:szCs w:val="24"/>
        </w:rPr>
      </w:pPr>
      <w:r w:rsidRPr="00453203">
        <w:rPr>
          <w:rFonts w:asciiTheme="minorEastAsia" w:eastAsiaTheme="minorEastAsia" w:hAnsiTheme="minorEastAsia" w:cs="仿宋_GB2312" w:hint="eastAsia"/>
          <w:bCs/>
          <w:kern w:val="0"/>
          <w:szCs w:val="24"/>
        </w:rPr>
        <w:t>销售机构对申购、赎回申请的受理并不代表该申请一定成功，而仅代表销售机构确实接收到申购、赎回申请。申购、赎回的确认以基金注册登记机构的确认结果为准。</w:t>
      </w:r>
    </w:p>
    <w:p w:rsidR="00FE5546" w:rsidRPr="00453203" w:rsidRDefault="00FE5546" w:rsidP="00440A93">
      <w:pPr>
        <w:spacing w:line="360" w:lineRule="auto"/>
        <w:ind w:firstLineChars="200" w:firstLine="420"/>
        <w:rPr>
          <w:rFonts w:asciiTheme="minorEastAsia" w:eastAsiaTheme="minorEastAsia" w:hAnsiTheme="minorEastAsia" w:cs="仿宋_GB2312"/>
          <w:bCs/>
          <w:kern w:val="0"/>
        </w:rPr>
      </w:pPr>
      <w:r w:rsidRPr="00453203">
        <w:rPr>
          <w:rFonts w:asciiTheme="minorEastAsia" w:eastAsiaTheme="minorEastAsia" w:hAnsiTheme="minorEastAsia" w:cs="仿宋_GB2312" w:hint="eastAsia"/>
          <w:bCs/>
          <w:kern w:val="0"/>
        </w:rPr>
        <w:t>3、</w:t>
      </w:r>
      <w:r w:rsidRPr="00453203">
        <w:rPr>
          <w:rFonts w:asciiTheme="minorEastAsia" w:eastAsiaTheme="minorEastAsia" w:hAnsiTheme="minorEastAsia" w:hint="eastAsia"/>
          <w:szCs w:val="21"/>
        </w:rPr>
        <w:t>申购和赎回的款项支付</w:t>
      </w:r>
    </w:p>
    <w:p w:rsidR="004375F5" w:rsidRPr="00453203" w:rsidRDefault="004375F5" w:rsidP="00643071">
      <w:pPr>
        <w:pStyle w:val="af1"/>
        <w:adjustRightInd w:val="0"/>
        <w:snapToGrid w:val="0"/>
        <w:spacing w:line="360" w:lineRule="auto"/>
        <w:ind w:firstLine="482"/>
        <w:textAlignment w:val="baseline"/>
        <w:rPr>
          <w:rFonts w:asciiTheme="minorEastAsia" w:eastAsiaTheme="minorEastAsia" w:hAnsiTheme="minorEastAsia"/>
        </w:rPr>
      </w:pPr>
      <w:r w:rsidRPr="00453203">
        <w:rPr>
          <w:rFonts w:asciiTheme="minorEastAsia" w:eastAsiaTheme="minorEastAsia" w:hAnsiTheme="minorEastAsia" w:cs="仿宋_GB2312" w:hint="eastAsia"/>
          <w:bCs/>
          <w:kern w:val="0"/>
          <w:szCs w:val="24"/>
        </w:rPr>
        <w:t>申购采用全额缴款方式，若申购资金在规定时间内未全额到账则申购不成功，若申购</w:t>
      </w:r>
      <w:r w:rsidRPr="00453203">
        <w:rPr>
          <w:rFonts w:asciiTheme="minorEastAsia" w:eastAsiaTheme="minorEastAsia" w:hAnsiTheme="minorEastAsia" w:hint="eastAsia"/>
        </w:rPr>
        <w:t>不成功或无效，投资者已缴付的申购款项本金将退回投资者账户。</w:t>
      </w:r>
    </w:p>
    <w:p w:rsidR="004375F5" w:rsidRPr="00453203" w:rsidRDefault="004375F5"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投资者T日赎回申请成功后，基金管理人将通过基金注册登记机构及其相关基金销售机构在</w:t>
      </w:r>
      <w:r w:rsidRPr="00453203">
        <w:rPr>
          <w:rFonts w:asciiTheme="minorEastAsia" w:eastAsiaTheme="minorEastAsia" w:hAnsiTheme="minorEastAsia"/>
          <w:szCs w:val="21"/>
        </w:rPr>
        <w:t>T</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7</w:t>
      </w:r>
      <w:r w:rsidRPr="00453203">
        <w:rPr>
          <w:rFonts w:asciiTheme="minorEastAsia" w:eastAsiaTheme="minorEastAsia" w:hAnsiTheme="minorEastAsia" w:hint="eastAsia"/>
          <w:szCs w:val="21"/>
        </w:rPr>
        <w:t>日（包括该日）内支付赎回款项。在发生巨额赎回的情形时，款项的支付办法按照《基金合同》的有关条款处理。</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41" w:name="_Toc34834697"/>
      <w:r w:rsidRPr="00453203">
        <w:rPr>
          <w:rFonts w:asciiTheme="minorEastAsia" w:eastAsiaTheme="minorEastAsia" w:hAnsiTheme="minorEastAsia" w:hint="eastAsia"/>
          <w:sz w:val="21"/>
          <w:szCs w:val="21"/>
        </w:rPr>
        <w:t>（</w:t>
      </w:r>
      <w:r w:rsidR="00AB21C7" w:rsidRPr="00453203">
        <w:rPr>
          <w:rFonts w:asciiTheme="minorEastAsia" w:eastAsiaTheme="minorEastAsia" w:hAnsiTheme="minorEastAsia" w:hint="eastAsia"/>
          <w:sz w:val="21"/>
          <w:szCs w:val="21"/>
        </w:rPr>
        <w:t>六</w:t>
      </w:r>
      <w:r w:rsidRPr="00453203">
        <w:rPr>
          <w:rFonts w:asciiTheme="minorEastAsia" w:eastAsiaTheme="minorEastAsia" w:hAnsiTheme="minorEastAsia" w:hint="eastAsia"/>
          <w:sz w:val="21"/>
          <w:szCs w:val="21"/>
        </w:rPr>
        <w:t>）申购、赎回的数额限制</w:t>
      </w:r>
      <w:bookmarkEnd w:id="41"/>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1、申购基金的金额限制</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投资者通过</w:t>
      </w:r>
      <w:r w:rsidR="00472648" w:rsidRPr="00453203">
        <w:rPr>
          <w:rFonts w:asciiTheme="minorEastAsia" w:eastAsiaTheme="minorEastAsia" w:hAnsiTheme="minorEastAsia" w:hint="eastAsia"/>
          <w:szCs w:val="21"/>
        </w:rPr>
        <w:t>非直销销售机构</w:t>
      </w:r>
      <w:r w:rsidRPr="00453203">
        <w:rPr>
          <w:rFonts w:asciiTheme="minorEastAsia" w:eastAsiaTheme="minorEastAsia" w:hAnsiTheme="minorEastAsia" w:hint="eastAsia"/>
          <w:szCs w:val="21"/>
        </w:rPr>
        <w:t>或本公司网上交易系统首次申购的单笔最低金额为</w:t>
      </w:r>
      <w:r w:rsidR="00805F94"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元人民币，</w:t>
      </w:r>
      <w:r w:rsidR="00472648" w:rsidRPr="00453203">
        <w:rPr>
          <w:rFonts w:asciiTheme="minorEastAsia" w:eastAsiaTheme="minorEastAsia" w:hAnsiTheme="minorEastAsia" w:hint="eastAsia"/>
          <w:szCs w:val="21"/>
        </w:rPr>
        <w:t>追加申购单笔最低金额为</w:t>
      </w:r>
      <w:r w:rsidR="00805F94" w:rsidRPr="00453203">
        <w:rPr>
          <w:rFonts w:asciiTheme="minorEastAsia" w:eastAsiaTheme="minorEastAsia" w:hAnsiTheme="minorEastAsia" w:hint="eastAsia"/>
          <w:szCs w:val="21"/>
        </w:rPr>
        <w:t>1</w:t>
      </w:r>
      <w:r w:rsidR="00472648" w:rsidRPr="00453203">
        <w:rPr>
          <w:rFonts w:asciiTheme="minorEastAsia" w:eastAsiaTheme="minorEastAsia" w:hAnsiTheme="minorEastAsia" w:hint="eastAsia"/>
          <w:szCs w:val="21"/>
        </w:rPr>
        <w:t>元人民币；</w:t>
      </w:r>
      <w:r w:rsidRPr="00453203">
        <w:rPr>
          <w:rFonts w:asciiTheme="minorEastAsia" w:eastAsiaTheme="minorEastAsia" w:hAnsiTheme="minorEastAsia" w:hint="eastAsia"/>
          <w:szCs w:val="21"/>
        </w:rPr>
        <w:t>通过直销中心首次申购的单笔最低金额为50000元人民币，追加申购单笔最低金额均为1000元人民币。</w:t>
      </w:r>
      <w:r w:rsidR="00410909" w:rsidRPr="00453203">
        <w:rPr>
          <w:rFonts w:asciiTheme="minorEastAsia" w:eastAsiaTheme="minorEastAsia" w:hAnsiTheme="minorEastAsia" w:hint="eastAsia"/>
          <w:szCs w:val="21"/>
        </w:rPr>
        <w:t>在符合法律法规规定的前提下，</w:t>
      </w:r>
      <w:r w:rsidRPr="00453203">
        <w:rPr>
          <w:rFonts w:asciiTheme="minorEastAsia" w:eastAsiaTheme="minorEastAsia" w:hAnsiTheme="minorEastAsia" w:hint="eastAsia"/>
          <w:szCs w:val="21"/>
        </w:rPr>
        <w:t>各</w:t>
      </w:r>
      <w:r w:rsidR="00472648"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机构对最低申购限额及交易级差有其他规定的,</w:t>
      </w:r>
      <w:r w:rsidR="009237E4" w:rsidRPr="00453203">
        <w:rPr>
          <w:rFonts w:asciiTheme="minorEastAsia" w:eastAsiaTheme="minorEastAsia" w:hAnsiTheme="minorEastAsia" w:hint="eastAsia"/>
          <w:szCs w:val="21"/>
        </w:rPr>
        <w:t>需同时遵循该销售机构的相关规定</w:t>
      </w:r>
      <w:r w:rsidRPr="00453203">
        <w:rPr>
          <w:rFonts w:asciiTheme="minorEastAsia" w:eastAsiaTheme="minorEastAsia" w:hAnsiTheme="minorEastAsia" w:hint="eastAsia"/>
          <w:szCs w:val="21"/>
        </w:rPr>
        <w:t>。</w:t>
      </w:r>
      <w:r w:rsidR="00472648" w:rsidRPr="00453203">
        <w:rPr>
          <w:rFonts w:asciiTheme="minorEastAsia" w:eastAsiaTheme="minorEastAsia" w:hAnsiTheme="minorEastAsia" w:hint="eastAsia"/>
          <w:szCs w:val="21"/>
        </w:rPr>
        <w:lastRenderedPageBreak/>
        <w:t>（以上金额均含申购费）</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投资者将当期分配的基金收益转购基金份额或采用定期定额投资计划时，不受最低申购金额的限制。</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投资者可多次申购，对单个投资者累计持有份额不设上限限制。</w:t>
      </w:r>
      <w:r w:rsidR="00BD729F" w:rsidRPr="00453203">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453203">
        <w:rPr>
          <w:rFonts w:asciiTheme="minorEastAsia" w:eastAsiaTheme="minorEastAsia" w:hAnsiTheme="minorEastAsia" w:hint="eastAsia"/>
          <w:szCs w:val="21"/>
        </w:rPr>
        <w:t>法律法规、中国证监会另有规定的除外。</w:t>
      </w:r>
    </w:p>
    <w:p w:rsidR="00FE5546" w:rsidRPr="00453203" w:rsidRDefault="00FE5546" w:rsidP="00440A93">
      <w:pPr>
        <w:spacing w:line="360" w:lineRule="auto"/>
        <w:ind w:firstLineChars="200" w:firstLine="420"/>
        <w:rPr>
          <w:rFonts w:asciiTheme="minorEastAsia" w:eastAsiaTheme="minorEastAsia" w:hAnsiTheme="minorEastAsia" w:cs="仿宋_GB2312"/>
          <w:bCs/>
          <w:kern w:val="0"/>
        </w:rPr>
      </w:pPr>
      <w:bookmarkStart w:id="42" w:name="OLE_LINK2"/>
      <w:r w:rsidRPr="00453203">
        <w:rPr>
          <w:rFonts w:asciiTheme="minorEastAsia" w:eastAsiaTheme="minorEastAsia" w:hAnsiTheme="minorEastAsia" w:cs="仿宋_GB2312" w:hint="eastAsia"/>
          <w:bCs/>
          <w:kern w:val="0"/>
        </w:rPr>
        <w:t>2、</w:t>
      </w:r>
      <w:r w:rsidRPr="00453203">
        <w:rPr>
          <w:rFonts w:asciiTheme="minorEastAsia" w:eastAsiaTheme="minorEastAsia" w:hAnsiTheme="minorEastAsia" w:hint="eastAsia"/>
          <w:szCs w:val="21"/>
        </w:rPr>
        <w:t>赎回的份额限制</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投资者可将其全部或部分基金</w:t>
      </w:r>
      <w:r w:rsidRPr="00453203">
        <w:rPr>
          <w:rFonts w:asciiTheme="minorEastAsia" w:eastAsiaTheme="minorEastAsia" w:hAnsiTheme="minorEastAsia" w:hint="eastAsia"/>
          <w:szCs w:val="21"/>
        </w:rPr>
        <w:t>份额</w:t>
      </w:r>
      <w:r w:rsidRPr="00453203">
        <w:rPr>
          <w:rFonts w:asciiTheme="minorEastAsia" w:eastAsiaTheme="minorEastAsia" w:hAnsiTheme="minorEastAsia"/>
          <w:szCs w:val="21"/>
        </w:rPr>
        <w:t>赎回。</w:t>
      </w:r>
      <w:r w:rsidR="003E30C0" w:rsidRPr="00453203">
        <w:rPr>
          <w:rFonts w:asciiTheme="minorEastAsia" w:eastAsiaTheme="minorEastAsia" w:hAnsiTheme="minorEastAsia"/>
          <w:szCs w:val="21"/>
        </w:rPr>
        <w:t>每类基金份额</w:t>
      </w:r>
      <w:r w:rsidRPr="00453203">
        <w:rPr>
          <w:rFonts w:asciiTheme="minorEastAsia" w:eastAsiaTheme="minorEastAsia" w:hAnsiTheme="minorEastAsia"/>
          <w:szCs w:val="21"/>
        </w:rPr>
        <w:t>单笔赎回或转换不得少于</w:t>
      </w:r>
      <w:r w:rsidR="00463DEA"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份(如该</w:t>
      </w:r>
      <w:r w:rsidR="008F7E6E" w:rsidRPr="00453203">
        <w:rPr>
          <w:rFonts w:asciiTheme="minorEastAsia" w:eastAsiaTheme="minorEastAsia" w:hAnsiTheme="minorEastAsia" w:hint="eastAsia"/>
          <w:szCs w:val="21"/>
        </w:rPr>
        <w:t>账户</w:t>
      </w:r>
      <w:r w:rsidRPr="00453203">
        <w:rPr>
          <w:rFonts w:asciiTheme="minorEastAsia" w:eastAsiaTheme="minorEastAsia" w:hAnsiTheme="minorEastAsia"/>
          <w:szCs w:val="21"/>
        </w:rPr>
        <w:t>在该销售机构托管的</w:t>
      </w:r>
      <w:r w:rsidR="003E30C0" w:rsidRPr="00453203">
        <w:rPr>
          <w:rFonts w:asciiTheme="minorEastAsia" w:eastAsiaTheme="minorEastAsia" w:hAnsiTheme="minorEastAsia"/>
          <w:szCs w:val="21"/>
        </w:rPr>
        <w:t>该类</w:t>
      </w:r>
      <w:r w:rsidRPr="00453203">
        <w:rPr>
          <w:rFonts w:asciiTheme="minorEastAsia" w:eastAsiaTheme="minorEastAsia" w:hAnsiTheme="minorEastAsia"/>
          <w:szCs w:val="21"/>
        </w:rPr>
        <w:t>基金</w:t>
      </w:r>
      <w:r w:rsidR="003E30C0" w:rsidRPr="00453203">
        <w:rPr>
          <w:rFonts w:asciiTheme="minorEastAsia" w:eastAsiaTheme="minorEastAsia" w:hAnsiTheme="minorEastAsia"/>
          <w:szCs w:val="21"/>
        </w:rPr>
        <w:t>份额</w:t>
      </w:r>
      <w:r w:rsidRPr="00453203">
        <w:rPr>
          <w:rFonts w:asciiTheme="minorEastAsia" w:eastAsiaTheme="minorEastAsia" w:hAnsiTheme="minorEastAsia"/>
          <w:szCs w:val="21"/>
        </w:rPr>
        <w:t>余额不足</w:t>
      </w:r>
      <w:r w:rsidR="00463DEA"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份</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则必须一次性赎回或转出该</w:t>
      </w:r>
      <w:r w:rsidR="003E30C0" w:rsidRPr="00453203">
        <w:rPr>
          <w:rFonts w:asciiTheme="minorEastAsia" w:eastAsiaTheme="minorEastAsia" w:hAnsiTheme="minorEastAsia"/>
          <w:szCs w:val="21"/>
        </w:rPr>
        <w:t>类</w:t>
      </w:r>
      <w:r w:rsidRPr="00453203">
        <w:rPr>
          <w:rFonts w:asciiTheme="minorEastAsia" w:eastAsiaTheme="minorEastAsia" w:hAnsiTheme="minorEastAsia"/>
          <w:szCs w:val="21"/>
        </w:rPr>
        <w:t>基金</w:t>
      </w:r>
      <w:r w:rsidR="003E30C0" w:rsidRPr="00453203">
        <w:rPr>
          <w:rFonts w:asciiTheme="minorEastAsia" w:eastAsiaTheme="minorEastAsia" w:hAnsiTheme="minorEastAsia"/>
          <w:szCs w:val="21"/>
        </w:rPr>
        <w:t>份额</w:t>
      </w:r>
      <w:r w:rsidRPr="00453203">
        <w:rPr>
          <w:rFonts w:asciiTheme="minorEastAsia" w:eastAsiaTheme="minorEastAsia" w:hAnsiTheme="minorEastAsia"/>
          <w:szCs w:val="21"/>
        </w:rPr>
        <w:t>全部份额)；若某笔赎回将导致投资者在</w:t>
      </w:r>
      <w:r w:rsidR="008F7E6E" w:rsidRPr="00453203">
        <w:rPr>
          <w:rFonts w:asciiTheme="minorEastAsia" w:eastAsiaTheme="minorEastAsia" w:hAnsiTheme="minorEastAsia" w:hint="eastAsia"/>
          <w:szCs w:val="21"/>
        </w:rPr>
        <w:t>该</w:t>
      </w:r>
      <w:r w:rsidRPr="00453203">
        <w:rPr>
          <w:rFonts w:asciiTheme="minorEastAsia" w:eastAsiaTheme="minorEastAsia" w:hAnsiTheme="minorEastAsia"/>
          <w:szCs w:val="21"/>
        </w:rPr>
        <w:t>销售机构托管的</w:t>
      </w:r>
      <w:r w:rsidR="003E30C0" w:rsidRPr="00453203">
        <w:rPr>
          <w:rFonts w:asciiTheme="minorEastAsia" w:eastAsiaTheme="minorEastAsia" w:hAnsiTheme="minorEastAsia"/>
          <w:szCs w:val="21"/>
        </w:rPr>
        <w:t>该类</w:t>
      </w:r>
      <w:r w:rsidRPr="00453203">
        <w:rPr>
          <w:rFonts w:asciiTheme="minorEastAsia" w:eastAsiaTheme="minorEastAsia" w:hAnsiTheme="minorEastAsia"/>
          <w:szCs w:val="21"/>
        </w:rPr>
        <w:t>基金</w:t>
      </w:r>
      <w:r w:rsidR="003E30C0" w:rsidRPr="00453203">
        <w:rPr>
          <w:rFonts w:asciiTheme="minorEastAsia" w:eastAsiaTheme="minorEastAsia" w:hAnsiTheme="minorEastAsia"/>
          <w:szCs w:val="21"/>
        </w:rPr>
        <w:t>份额</w:t>
      </w:r>
      <w:r w:rsidRPr="00453203">
        <w:rPr>
          <w:rFonts w:asciiTheme="minorEastAsia" w:eastAsiaTheme="minorEastAsia" w:hAnsiTheme="minorEastAsia"/>
          <w:szCs w:val="21"/>
        </w:rPr>
        <w:t>余额不足</w:t>
      </w:r>
      <w:r w:rsidR="00463DEA"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份时</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基金管理人有权将投资者在该销售机构托管的该</w:t>
      </w:r>
      <w:r w:rsidR="003E30C0" w:rsidRPr="00453203">
        <w:rPr>
          <w:rFonts w:asciiTheme="minorEastAsia" w:eastAsiaTheme="minorEastAsia" w:hAnsiTheme="minorEastAsia"/>
          <w:szCs w:val="21"/>
        </w:rPr>
        <w:t>类</w:t>
      </w:r>
      <w:r w:rsidRPr="00453203">
        <w:rPr>
          <w:rFonts w:asciiTheme="minorEastAsia" w:eastAsiaTheme="minorEastAsia" w:hAnsiTheme="minorEastAsia"/>
          <w:szCs w:val="21"/>
        </w:rPr>
        <w:t>基金</w:t>
      </w:r>
      <w:r w:rsidR="003E30C0" w:rsidRPr="00453203">
        <w:rPr>
          <w:rFonts w:asciiTheme="minorEastAsia" w:eastAsiaTheme="minorEastAsia" w:hAnsiTheme="minorEastAsia"/>
          <w:szCs w:val="21"/>
        </w:rPr>
        <w:t>份额</w:t>
      </w:r>
      <w:r w:rsidRPr="00453203">
        <w:rPr>
          <w:rFonts w:asciiTheme="minorEastAsia" w:eastAsiaTheme="minorEastAsia" w:hAnsiTheme="minorEastAsia"/>
          <w:szCs w:val="21"/>
        </w:rPr>
        <w:t>剩余份额一次性全部赎回</w:t>
      </w:r>
      <w:r w:rsidR="00463DEA" w:rsidRPr="00453203">
        <w:rPr>
          <w:rFonts w:asciiTheme="minorEastAsia" w:eastAsiaTheme="minorEastAsia" w:hAnsiTheme="minorEastAsia" w:hint="eastAsia"/>
          <w:szCs w:val="21"/>
        </w:rPr>
        <w:t>。</w:t>
      </w:r>
      <w:r w:rsidR="00410909" w:rsidRPr="00453203">
        <w:rPr>
          <w:rFonts w:asciiTheme="minorEastAsia" w:eastAsiaTheme="minorEastAsia" w:hAnsiTheme="minorEastAsia" w:hint="eastAsia"/>
          <w:szCs w:val="21"/>
        </w:rPr>
        <w:t>在符合法律法规规定的前提下，</w:t>
      </w:r>
      <w:r w:rsidRPr="00453203">
        <w:rPr>
          <w:rFonts w:asciiTheme="minorEastAsia" w:eastAsiaTheme="minorEastAsia" w:hAnsiTheme="minorEastAsia" w:hint="eastAsia"/>
          <w:szCs w:val="21"/>
        </w:rPr>
        <w:t>各销售机构对赎回份额限制有其他规定的,</w:t>
      </w:r>
      <w:r w:rsidR="009237E4" w:rsidRPr="00453203">
        <w:rPr>
          <w:rFonts w:asciiTheme="minorEastAsia" w:eastAsiaTheme="minorEastAsia" w:hAnsiTheme="minorEastAsia" w:hint="eastAsia"/>
          <w:szCs w:val="21"/>
        </w:rPr>
        <w:t>需同时遵循该销售机构的相关规定</w:t>
      </w:r>
      <w:r w:rsidRPr="00453203">
        <w:rPr>
          <w:rFonts w:asciiTheme="minorEastAsia" w:eastAsiaTheme="minorEastAsia" w:hAnsiTheme="minorEastAsia" w:hint="eastAsia"/>
          <w:szCs w:val="21"/>
        </w:rPr>
        <w:t>。</w:t>
      </w:r>
    </w:p>
    <w:bookmarkEnd w:id="42"/>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3、基金管理人可根据市场情况制定或调整上述申购、赎回的程序及有关限制，</w:t>
      </w:r>
      <w:r w:rsidR="00DF43A5" w:rsidRPr="00453203">
        <w:rPr>
          <w:rFonts w:asciiTheme="minorEastAsia" w:eastAsiaTheme="minorEastAsia" w:hAnsiTheme="minorEastAsia" w:hint="eastAsia"/>
          <w:szCs w:val="21"/>
        </w:rPr>
        <w:t>或者新增基金规模控制措施，</w:t>
      </w:r>
      <w:r w:rsidRPr="00453203">
        <w:rPr>
          <w:rFonts w:asciiTheme="minorEastAsia" w:eastAsiaTheme="minorEastAsia" w:hAnsiTheme="minorEastAsia" w:hint="eastAsia"/>
          <w:szCs w:val="21"/>
        </w:rPr>
        <w:t>但应按照《信息披露办法》或其他相关规定在调整生效前至少在一家</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及基金管理人网站公告。</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43" w:name="_Toc34834698"/>
      <w:r w:rsidRPr="00453203">
        <w:rPr>
          <w:rFonts w:asciiTheme="minorEastAsia" w:eastAsiaTheme="minorEastAsia" w:hAnsiTheme="minorEastAsia" w:hint="eastAsia"/>
          <w:sz w:val="21"/>
          <w:szCs w:val="21"/>
        </w:rPr>
        <w:t>（</w:t>
      </w:r>
      <w:r w:rsidR="00AB21C7" w:rsidRPr="00453203">
        <w:rPr>
          <w:rFonts w:asciiTheme="minorEastAsia" w:eastAsiaTheme="minorEastAsia" w:hAnsiTheme="minorEastAsia" w:hint="eastAsia"/>
          <w:sz w:val="21"/>
          <w:szCs w:val="21"/>
        </w:rPr>
        <w:t>七</w:t>
      </w:r>
      <w:r w:rsidRPr="00453203">
        <w:rPr>
          <w:rFonts w:asciiTheme="minorEastAsia" w:eastAsiaTheme="minorEastAsia" w:hAnsiTheme="minorEastAsia" w:hint="eastAsia"/>
          <w:sz w:val="21"/>
          <w:szCs w:val="21"/>
        </w:rPr>
        <w:t>）申购、赎回的费率</w:t>
      </w:r>
      <w:bookmarkEnd w:id="43"/>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1、本基金的申购、赎回费率</w:t>
      </w:r>
    </w:p>
    <w:p w:rsidR="003E30C0" w:rsidRPr="00453203" w:rsidRDefault="003E30C0"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（1）A类基金份额</w:t>
      </w:r>
    </w:p>
    <w:p w:rsidR="00DB129C" w:rsidRPr="00453203" w:rsidRDefault="003E30C0" w:rsidP="00FE4929">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对于A类基金份额，</w:t>
      </w:r>
      <w:r w:rsidR="00A97110" w:rsidRPr="00453203">
        <w:rPr>
          <w:rFonts w:asciiTheme="minorEastAsia" w:eastAsiaTheme="minorEastAsia" w:hAnsiTheme="minorEastAsia" w:hint="eastAsia"/>
          <w:szCs w:val="21"/>
        </w:rPr>
        <w:t>本基金对通过本公司直</w:t>
      </w:r>
      <w:r w:rsidR="00AB1751" w:rsidRPr="00453203">
        <w:rPr>
          <w:rFonts w:asciiTheme="minorEastAsia" w:eastAsiaTheme="minorEastAsia" w:hAnsiTheme="minorEastAsia" w:hint="eastAsia"/>
          <w:szCs w:val="21"/>
        </w:rPr>
        <w:t>销中心申购的</w:t>
      </w:r>
      <w:r w:rsidR="00A97110" w:rsidRPr="00453203">
        <w:rPr>
          <w:rFonts w:asciiTheme="minorEastAsia" w:eastAsiaTheme="minorEastAsia" w:hAnsiTheme="minorEastAsia" w:hint="eastAsia"/>
          <w:szCs w:val="21"/>
        </w:rPr>
        <w:t>特定投资群体与除此之外的其他投资者实施差别的申购费率。</w:t>
      </w:r>
    </w:p>
    <w:p w:rsidR="00A97110" w:rsidRPr="00453203" w:rsidRDefault="00AB1751"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特定</w:t>
      </w:r>
      <w:r w:rsidR="00A97110" w:rsidRPr="00453203">
        <w:rPr>
          <w:rFonts w:asciiTheme="minorEastAsia" w:eastAsiaTheme="minorEastAsia" w:hAnsiTheme="minorEastAsia" w:hint="eastAsia"/>
          <w:szCs w:val="21"/>
        </w:rPr>
        <w:t>投资群体指全国社会保障基金、依法设立的基本养老保险基金、依法制定的企业</w:t>
      </w:r>
    </w:p>
    <w:p w:rsidR="00A97110" w:rsidRPr="00453203" w:rsidRDefault="00A97110"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hint="eastAsia"/>
          <w:szCs w:val="21"/>
        </w:rPr>
        <w:t>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A97110" w:rsidRPr="00453203" w:rsidRDefault="00A9711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通过基金管理人的直销中心申购本基金</w:t>
      </w:r>
      <w:r w:rsidR="003E30C0" w:rsidRPr="00453203">
        <w:rPr>
          <w:rFonts w:asciiTheme="minorEastAsia" w:eastAsiaTheme="minorEastAsia" w:hAnsiTheme="minorEastAsia" w:hint="eastAsia"/>
          <w:szCs w:val="21"/>
        </w:rPr>
        <w:t>A类基金份额</w:t>
      </w:r>
      <w:r w:rsidRPr="00453203">
        <w:rPr>
          <w:rFonts w:asciiTheme="minorEastAsia" w:eastAsiaTheme="minorEastAsia" w:hAnsiTheme="minorEastAsia" w:hint="eastAsia"/>
          <w:szCs w:val="21"/>
        </w:rPr>
        <w:t>的特定投资群体申购费率为：</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2"/>
        <w:gridCol w:w="2144"/>
      </w:tblGrid>
      <w:tr w:rsidR="00640C24" w:rsidRPr="00453203" w:rsidTr="00A97110">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b/>
                <w:kern w:val="0"/>
                <w:szCs w:val="21"/>
              </w:rPr>
            </w:pPr>
            <w:r w:rsidRPr="00453203">
              <w:rPr>
                <w:rFonts w:asciiTheme="minorEastAsia" w:eastAsiaTheme="minorEastAsia" w:hAnsiTheme="minorEastAsia" w:cs="宋体" w:hint="eastAsia"/>
                <w:b/>
                <w:kern w:val="0"/>
                <w:szCs w:val="21"/>
              </w:rPr>
              <w:t>申购金额M（元）（含申购费）</w:t>
            </w:r>
          </w:p>
        </w:tc>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b/>
                <w:kern w:val="0"/>
                <w:szCs w:val="21"/>
              </w:rPr>
            </w:pPr>
            <w:r w:rsidRPr="00453203">
              <w:rPr>
                <w:rFonts w:asciiTheme="minorEastAsia" w:eastAsiaTheme="minorEastAsia" w:hAnsiTheme="minorEastAsia" w:cs="宋体" w:hint="eastAsia"/>
                <w:b/>
                <w:kern w:val="0"/>
                <w:szCs w:val="21"/>
              </w:rPr>
              <w:t>申购费率</w:t>
            </w:r>
          </w:p>
        </w:tc>
      </w:tr>
      <w:tr w:rsidR="008D435F" w:rsidRPr="00453203" w:rsidTr="00A97110">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M＜100万</w:t>
            </w:r>
          </w:p>
        </w:tc>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0.12%</w:t>
            </w:r>
          </w:p>
        </w:tc>
      </w:tr>
      <w:tr w:rsidR="008D435F" w:rsidRPr="00453203" w:rsidTr="00A97110">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100万≤M＜500万</w:t>
            </w:r>
          </w:p>
        </w:tc>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0.05%</w:t>
            </w:r>
          </w:p>
        </w:tc>
      </w:tr>
      <w:tr w:rsidR="008D435F" w:rsidRPr="00453203" w:rsidTr="00A97110">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lastRenderedPageBreak/>
              <w:t>500万≤M＜1000万</w:t>
            </w:r>
          </w:p>
        </w:tc>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0.01%</w:t>
            </w:r>
          </w:p>
        </w:tc>
      </w:tr>
      <w:tr w:rsidR="00640C24" w:rsidRPr="00453203" w:rsidTr="00A97110">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M≥1000万</w:t>
            </w:r>
          </w:p>
        </w:tc>
        <w:tc>
          <w:tcPr>
            <w:tcW w:w="0" w:type="auto"/>
            <w:tcBorders>
              <w:top w:val="single" w:sz="4" w:space="0" w:color="auto"/>
              <w:left w:val="single" w:sz="4" w:space="0" w:color="auto"/>
              <w:bottom w:val="single" w:sz="4" w:space="0" w:color="auto"/>
              <w:right w:val="single" w:sz="4" w:space="0" w:color="auto"/>
            </w:tcBorders>
          </w:tcPr>
          <w:p w:rsidR="00A97110" w:rsidRPr="00453203" w:rsidRDefault="00A97110"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1000元/笔</w:t>
            </w:r>
          </w:p>
        </w:tc>
      </w:tr>
    </w:tbl>
    <w:p w:rsidR="00FE5546" w:rsidRPr="00453203" w:rsidRDefault="00A97110"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kern w:val="0"/>
        </w:rPr>
        <w:t>其他投资者申购本基金</w:t>
      </w:r>
      <w:r w:rsidR="003E30C0" w:rsidRPr="00453203">
        <w:rPr>
          <w:rFonts w:asciiTheme="minorEastAsia" w:eastAsiaTheme="minorEastAsia" w:hAnsiTheme="minorEastAsia" w:hint="eastAsia"/>
          <w:szCs w:val="21"/>
        </w:rPr>
        <w:t>A类基金份额</w:t>
      </w:r>
      <w:r w:rsidRPr="00453203">
        <w:rPr>
          <w:rFonts w:asciiTheme="minorEastAsia" w:eastAsiaTheme="minorEastAsia" w:hAnsiTheme="minorEastAsia" w:hint="eastAsia"/>
          <w:kern w:val="0"/>
        </w:rPr>
        <w:t>的</w:t>
      </w:r>
      <w:r w:rsidR="00FE5546" w:rsidRPr="00453203">
        <w:rPr>
          <w:rFonts w:asciiTheme="minorEastAsia" w:eastAsiaTheme="minorEastAsia" w:hAnsiTheme="minorEastAsia"/>
          <w:szCs w:val="21"/>
        </w:rPr>
        <w:t>申购费率为：</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2"/>
        <w:gridCol w:w="2144"/>
      </w:tblGrid>
      <w:tr w:rsidR="00640C24" w:rsidRPr="00453203" w:rsidTr="00DA76ED">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b/>
                <w:kern w:val="0"/>
                <w:szCs w:val="21"/>
              </w:rPr>
            </w:pPr>
            <w:r w:rsidRPr="00453203">
              <w:rPr>
                <w:rFonts w:asciiTheme="minorEastAsia" w:eastAsiaTheme="minorEastAsia" w:hAnsiTheme="minorEastAsia" w:cs="宋体" w:hint="eastAsia"/>
                <w:b/>
                <w:kern w:val="0"/>
                <w:szCs w:val="21"/>
              </w:rPr>
              <w:t>申购金额M</w:t>
            </w:r>
            <w:r w:rsidR="001B301D" w:rsidRPr="00453203">
              <w:rPr>
                <w:rFonts w:asciiTheme="minorEastAsia" w:eastAsiaTheme="minorEastAsia" w:hAnsiTheme="minorEastAsia" w:cs="宋体" w:hint="eastAsia"/>
                <w:b/>
                <w:kern w:val="0"/>
                <w:szCs w:val="21"/>
              </w:rPr>
              <w:t>（元）</w:t>
            </w:r>
            <w:r w:rsidRPr="00453203">
              <w:rPr>
                <w:rFonts w:asciiTheme="minorEastAsia" w:eastAsiaTheme="minorEastAsia" w:hAnsiTheme="minorEastAsia" w:cs="宋体" w:hint="eastAsia"/>
                <w:b/>
                <w:kern w:val="0"/>
                <w:szCs w:val="21"/>
              </w:rPr>
              <w:t>（含申购费）</w:t>
            </w:r>
          </w:p>
        </w:tc>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b/>
                <w:kern w:val="0"/>
                <w:szCs w:val="21"/>
              </w:rPr>
            </w:pPr>
            <w:r w:rsidRPr="00453203">
              <w:rPr>
                <w:rFonts w:asciiTheme="minorEastAsia" w:eastAsiaTheme="minorEastAsia" w:hAnsiTheme="minorEastAsia" w:cs="宋体" w:hint="eastAsia"/>
                <w:b/>
                <w:kern w:val="0"/>
                <w:szCs w:val="21"/>
              </w:rPr>
              <w:t>申购费率</w:t>
            </w:r>
          </w:p>
        </w:tc>
      </w:tr>
      <w:tr w:rsidR="008D435F" w:rsidRPr="00453203" w:rsidTr="00DA76ED">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M＜100万</w:t>
            </w:r>
          </w:p>
        </w:tc>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1.2%</w:t>
            </w:r>
          </w:p>
        </w:tc>
      </w:tr>
      <w:tr w:rsidR="008D435F" w:rsidRPr="00453203" w:rsidTr="00DA76ED">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100万≤M＜500万</w:t>
            </w:r>
          </w:p>
        </w:tc>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0.50%</w:t>
            </w:r>
          </w:p>
        </w:tc>
      </w:tr>
      <w:tr w:rsidR="008D435F" w:rsidRPr="00453203" w:rsidTr="00DA76ED">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500万≤M＜1000万</w:t>
            </w:r>
          </w:p>
        </w:tc>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0.10%</w:t>
            </w:r>
          </w:p>
        </w:tc>
      </w:tr>
      <w:tr w:rsidR="00A47DEF" w:rsidRPr="00453203" w:rsidTr="00DA76ED">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M≥1000万</w:t>
            </w:r>
          </w:p>
        </w:tc>
        <w:tc>
          <w:tcPr>
            <w:tcW w:w="0" w:type="auto"/>
          </w:tcPr>
          <w:p w:rsidR="00A47DEF" w:rsidRPr="00453203" w:rsidRDefault="00A47DEF"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1000元/笔</w:t>
            </w:r>
          </w:p>
        </w:tc>
      </w:tr>
    </w:tbl>
    <w:p w:rsidR="00FE5546" w:rsidRPr="00453203" w:rsidRDefault="003E30C0"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A类基金份额的</w:t>
      </w:r>
      <w:r w:rsidR="00FE5546" w:rsidRPr="00453203">
        <w:rPr>
          <w:rFonts w:asciiTheme="minorEastAsia" w:eastAsiaTheme="minorEastAsia" w:hAnsiTheme="minorEastAsia"/>
          <w:szCs w:val="21"/>
        </w:rPr>
        <w:t>赎回</w:t>
      </w:r>
      <w:r w:rsidR="00FE5546" w:rsidRPr="00453203">
        <w:rPr>
          <w:rFonts w:asciiTheme="minorEastAsia" w:eastAsiaTheme="minorEastAsia" w:hAnsiTheme="minorEastAsia" w:hint="eastAsia"/>
          <w:szCs w:val="21"/>
        </w:rPr>
        <w:t>费率为</w:t>
      </w:r>
      <w:r w:rsidR="00FE5546" w:rsidRPr="00453203">
        <w:rPr>
          <w:rFonts w:asciiTheme="minorEastAsia" w:eastAsiaTheme="minorEastAsia" w:hAnsiTheme="minor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3"/>
        <w:gridCol w:w="2415"/>
      </w:tblGrid>
      <w:tr w:rsidR="00640C24" w:rsidRPr="00453203" w:rsidTr="00DA76ED">
        <w:tc>
          <w:tcPr>
            <w:tcW w:w="5253" w:type="dxa"/>
          </w:tcPr>
          <w:p w:rsidR="00FE5546" w:rsidRPr="00453203" w:rsidRDefault="00FE5546" w:rsidP="00643071">
            <w:pPr>
              <w:widowControl/>
              <w:snapToGrid w:val="0"/>
              <w:spacing w:line="360" w:lineRule="auto"/>
              <w:jc w:val="center"/>
              <w:rPr>
                <w:rFonts w:asciiTheme="minorEastAsia" w:eastAsiaTheme="minorEastAsia" w:hAnsiTheme="minorEastAsia" w:cs="宋体"/>
                <w:b/>
                <w:kern w:val="0"/>
                <w:szCs w:val="21"/>
              </w:rPr>
            </w:pPr>
            <w:r w:rsidRPr="00453203">
              <w:rPr>
                <w:rFonts w:asciiTheme="minorEastAsia" w:eastAsiaTheme="minorEastAsia" w:hAnsiTheme="minorEastAsia" w:cs="宋体"/>
                <w:b/>
                <w:kern w:val="0"/>
                <w:szCs w:val="21"/>
              </w:rPr>
              <w:t>持有时间</w:t>
            </w:r>
            <w:r w:rsidRPr="00453203">
              <w:rPr>
                <w:rFonts w:asciiTheme="minorEastAsia" w:eastAsiaTheme="minorEastAsia" w:hAnsiTheme="minorEastAsia" w:cs="宋体" w:hint="eastAsia"/>
                <w:b/>
                <w:kern w:val="0"/>
                <w:szCs w:val="21"/>
              </w:rPr>
              <w:t>（天）</w:t>
            </w:r>
          </w:p>
        </w:tc>
        <w:tc>
          <w:tcPr>
            <w:tcW w:w="2415" w:type="dxa"/>
          </w:tcPr>
          <w:p w:rsidR="00FE5546" w:rsidRPr="00453203" w:rsidRDefault="00FE5546" w:rsidP="00643071">
            <w:pPr>
              <w:widowControl/>
              <w:snapToGrid w:val="0"/>
              <w:spacing w:line="360" w:lineRule="auto"/>
              <w:jc w:val="center"/>
              <w:rPr>
                <w:rFonts w:asciiTheme="minorEastAsia" w:eastAsiaTheme="minorEastAsia" w:hAnsiTheme="minorEastAsia" w:cs="宋体"/>
                <w:b/>
                <w:kern w:val="0"/>
                <w:szCs w:val="21"/>
              </w:rPr>
            </w:pPr>
            <w:r w:rsidRPr="00453203">
              <w:rPr>
                <w:rFonts w:asciiTheme="minorEastAsia" w:eastAsiaTheme="minorEastAsia" w:hAnsiTheme="minorEastAsia" w:cs="宋体"/>
                <w:b/>
                <w:kern w:val="0"/>
                <w:szCs w:val="21"/>
              </w:rPr>
              <w:t>赎回费率</w:t>
            </w:r>
          </w:p>
        </w:tc>
      </w:tr>
      <w:tr w:rsidR="00640C24" w:rsidRPr="00453203" w:rsidTr="00C70934">
        <w:trPr>
          <w:trHeight w:val="493"/>
        </w:trPr>
        <w:tc>
          <w:tcPr>
            <w:tcW w:w="5253" w:type="dxa"/>
            <w:vAlign w:val="center"/>
          </w:tcPr>
          <w:p w:rsidR="00875E45" w:rsidRPr="00453203" w:rsidRDefault="005F359C" w:rsidP="00C70934">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kern w:val="0"/>
                <w:szCs w:val="21"/>
              </w:rPr>
              <w:t>0-6</w:t>
            </w:r>
          </w:p>
        </w:tc>
        <w:tc>
          <w:tcPr>
            <w:tcW w:w="2415" w:type="dxa"/>
          </w:tcPr>
          <w:p w:rsidR="00875E45" w:rsidRPr="00453203" w:rsidRDefault="005F359C" w:rsidP="00C70934">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kern w:val="0"/>
                <w:szCs w:val="21"/>
              </w:rPr>
              <w:t>1.5%</w:t>
            </w:r>
          </w:p>
        </w:tc>
      </w:tr>
      <w:tr w:rsidR="00640C24" w:rsidRPr="00453203" w:rsidTr="00DA76ED">
        <w:tc>
          <w:tcPr>
            <w:tcW w:w="5253" w:type="dxa"/>
          </w:tcPr>
          <w:p w:rsidR="00FE5546" w:rsidRPr="00453203" w:rsidRDefault="00BD729F"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kern w:val="0"/>
                <w:szCs w:val="21"/>
              </w:rPr>
              <w:t>7</w:t>
            </w:r>
            <w:r w:rsidR="00FE5546" w:rsidRPr="00453203">
              <w:rPr>
                <w:rFonts w:asciiTheme="minorEastAsia" w:eastAsiaTheme="minorEastAsia" w:hAnsiTheme="minorEastAsia" w:cs="宋体"/>
                <w:kern w:val="0"/>
                <w:szCs w:val="21"/>
              </w:rPr>
              <w:t>-364</w:t>
            </w:r>
          </w:p>
        </w:tc>
        <w:tc>
          <w:tcPr>
            <w:tcW w:w="2415" w:type="dxa"/>
          </w:tcPr>
          <w:p w:rsidR="00FE5546" w:rsidRPr="00453203" w:rsidRDefault="00FE5546"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kern w:val="0"/>
                <w:szCs w:val="21"/>
              </w:rPr>
              <w:t>0.5%</w:t>
            </w:r>
          </w:p>
        </w:tc>
      </w:tr>
      <w:tr w:rsidR="00640C24" w:rsidRPr="00453203" w:rsidTr="00DA76ED">
        <w:tc>
          <w:tcPr>
            <w:tcW w:w="5253" w:type="dxa"/>
          </w:tcPr>
          <w:p w:rsidR="00FE5546" w:rsidRPr="00453203" w:rsidRDefault="00FE5546"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kern w:val="0"/>
                <w:szCs w:val="21"/>
              </w:rPr>
              <w:t>365-729</w:t>
            </w:r>
          </w:p>
        </w:tc>
        <w:tc>
          <w:tcPr>
            <w:tcW w:w="2415" w:type="dxa"/>
          </w:tcPr>
          <w:p w:rsidR="00FE5546" w:rsidRPr="00453203" w:rsidRDefault="00FE5546"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kern w:val="0"/>
                <w:szCs w:val="21"/>
              </w:rPr>
              <w:t>0.25%</w:t>
            </w:r>
          </w:p>
        </w:tc>
      </w:tr>
      <w:tr w:rsidR="00640C24" w:rsidRPr="00453203" w:rsidTr="00DA76ED">
        <w:tc>
          <w:tcPr>
            <w:tcW w:w="5253" w:type="dxa"/>
          </w:tcPr>
          <w:p w:rsidR="00FE5546" w:rsidRPr="00453203" w:rsidRDefault="00FE5546"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730及以上</w:t>
            </w:r>
          </w:p>
        </w:tc>
        <w:tc>
          <w:tcPr>
            <w:tcW w:w="2415" w:type="dxa"/>
          </w:tcPr>
          <w:p w:rsidR="00FE5546" w:rsidRPr="00453203" w:rsidRDefault="00FE5546" w:rsidP="00643071">
            <w:pPr>
              <w:widowControl/>
              <w:snapToGrid w:val="0"/>
              <w:spacing w:line="360" w:lineRule="auto"/>
              <w:jc w:val="center"/>
              <w:rPr>
                <w:rFonts w:asciiTheme="minorEastAsia" w:eastAsiaTheme="minorEastAsia" w:hAnsiTheme="minorEastAsia" w:cs="宋体"/>
                <w:kern w:val="0"/>
                <w:szCs w:val="21"/>
              </w:rPr>
            </w:pPr>
            <w:r w:rsidRPr="00453203">
              <w:rPr>
                <w:rFonts w:asciiTheme="minorEastAsia" w:eastAsiaTheme="minorEastAsia" w:hAnsiTheme="minorEastAsia" w:cs="宋体"/>
                <w:kern w:val="0"/>
                <w:szCs w:val="21"/>
              </w:rPr>
              <w:t>0%</w:t>
            </w:r>
          </w:p>
        </w:tc>
      </w:tr>
    </w:tbl>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在申购费按金额分档的情况下，如果投资者多次申购，申购费适用单笔申购金额所对应的费率。</w:t>
      </w:r>
    </w:p>
    <w:p w:rsidR="003E30C0" w:rsidRPr="00453203" w:rsidRDefault="003E30C0"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（2）C类基金份额</w:t>
      </w:r>
    </w:p>
    <w:p w:rsidR="003E30C0" w:rsidRPr="00453203" w:rsidRDefault="003E30C0" w:rsidP="003E30C0">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C类基金份额不收取申购费。</w:t>
      </w:r>
    </w:p>
    <w:p w:rsidR="003E30C0" w:rsidRPr="00453203" w:rsidRDefault="003E30C0" w:rsidP="003E30C0">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C类基金份额赎回费率为</w:t>
      </w:r>
      <w:r w:rsidRPr="00453203">
        <w:rPr>
          <w:rFonts w:asciiTheme="minorEastAsia" w:eastAsiaTheme="minorEastAsia" w:hAnsiTheme="minorEastAsia"/>
          <w:szCs w:val="2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9"/>
        <w:gridCol w:w="3136"/>
      </w:tblGrid>
      <w:tr w:rsidR="00640C24" w:rsidRPr="00453203" w:rsidTr="00E56E03">
        <w:tc>
          <w:tcPr>
            <w:tcW w:w="2959" w:type="dxa"/>
            <w:tcBorders>
              <w:top w:val="single" w:sz="4" w:space="0" w:color="auto"/>
              <w:left w:val="single" w:sz="4" w:space="0" w:color="auto"/>
              <w:bottom w:val="single" w:sz="4" w:space="0" w:color="auto"/>
              <w:right w:val="single" w:sz="4" w:space="0" w:color="auto"/>
            </w:tcBorders>
            <w:hideMark/>
          </w:tcPr>
          <w:p w:rsidR="00DB129C" w:rsidRPr="00453203" w:rsidRDefault="003E30C0" w:rsidP="00FE4929">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持有时间(天)</w:t>
            </w:r>
          </w:p>
        </w:tc>
        <w:tc>
          <w:tcPr>
            <w:tcW w:w="3136" w:type="dxa"/>
            <w:tcBorders>
              <w:top w:val="single" w:sz="4" w:space="0" w:color="auto"/>
              <w:left w:val="single" w:sz="4" w:space="0" w:color="auto"/>
              <w:bottom w:val="single" w:sz="4" w:space="0" w:color="auto"/>
              <w:right w:val="single" w:sz="4" w:space="0" w:color="auto"/>
            </w:tcBorders>
            <w:hideMark/>
          </w:tcPr>
          <w:p w:rsidR="00DB129C" w:rsidRPr="00453203" w:rsidRDefault="003E30C0" w:rsidP="00FE4929">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C类基金份额赎回费率</w:t>
            </w:r>
          </w:p>
        </w:tc>
      </w:tr>
      <w:tr w:rsidR="00640C24" w:rsidRPr="00453203" w:rsidTr="00E56E03">
        <w:tc>
          <w:tcPr>
            <w:tcW w:w="2959" w:type="dxa"/>
            <w:tcBorders>
              <w:top w:val="single" w:sz="4" w:space="0" w:color="auto"/>
              <w:left w:val="single" w:sz="4" w:space="0" w:color="auto"/>
              <w:bottom w:val="single" w:sz="4" w:space="0" w:color="auto"/>
              <w:right w:val="single" w:sz="4" w:space="0" w:color="auto"/>
            </w:tcBorders>
            <w:hideMark/>
          </w:tcPr>
          <w:p w:rsidR="00DB129C" w:rsidRPr="00453203" w:rsidRDefault="003E30C0" w:rsidP="00FE4929">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szCs w:val="21"/>
              </w:rPr>
              <w:t>0-6</w:t>
            </w:r>
          </w:p>
        </w:tc>
        <w:tc>
          <w:tcPr>
            <w:tcW w:w="3136" w:type="dxa"/>
            <w:tcBorders>
              <w:top w:val="single" w:sz="4" w:space="0" w:color="auto"/>
              <w:left w:val="single" w:sz="4" w:space="0" w:color="auto"/>
              <w:bottom w:val="single" w:sz="4" w:space="0" w:color="auto"/>
              <w:right w:val="single" w:sz="4" w:space="0" w:color="auto"/>
            </w:tcBorders>
            <w:hideMark/>
          </w:tcPr>
          <w:p w:rsidR="00DB129C" w:rsidRPr="00453203" w:rsidRDefault="00BD729F" w:rsidP="00FE4929">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szCs w:val="21"/>
              </w:rPr>
              <w:t>1.5</w:t>
            </w:r>
            <w:r w:rsidR="003E30C0" w:rsidRPr="00453203">
              <w:rPr>
                <w:rFonts w:asciiTheme="minorEastAsia" w:eastAsiaTheme="minorEastAsia" w:hAnsiTheme="minorEastAsia"/>
                <w:szCs w:val="21"/>
              </w:rPr>
              <w:t>%</w:t>
            </w:r>
          </w:p>
        </w:tc>
      </w:tr>
      <w:tr w:rsidR="00640C24" w:rsidRPr="00453203" w:rsidTr="00E56E03">
        <w:tc>
          <w:tcPr>
            <w:tcW w:w="2959" w:type="dxa"/>
            <w:tcBorders>
              <w:top w:val="single" w:sz="4" w:space="0" w:color="auto"/>
              <w:left w:val="single" w:sz="4" w:space="0" w:color="auto"/>
              <w:bottom w:val="single" w:sz="4" w:space="0" w:color="auto"/>
              <w:right w:val="single" w:sz="4" w:space="0" w:color="auto"/>
            </w:tcBorders>
            <w:hideMark/>
          </w:tcPr>
          <w:p w:rsidR="00DB129C" w:rsidRPr="00453203" w:rsidRDefault="003E30C0" w:rsidP="00FE4929">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szCs w:val="21"/>
              </w:rPr>
              <w:t>7</w:t>
            </w:r>
            <w:r w:rsidRPr="00453203">
              <w:rPr>
                <w:rFonts w:asciiTheme="minorEastAsia" w:eastAsiaTheme="minorEastAsia" w:hAnsiTheme="minorEastAsia" w:hint="eastAsia"/>
                <w:szCs w:val="21"/>
              </w:rPr>
              <w:t>及以上</w:t>
            </w:r>
          </w:p>
        </w:tc>
        <w:tc>
          <w:tcPr>
            <w:tcW w:w="3136" w:type="dxa"/>
            <w:tcBorders>
              <w:top w:val="single" w:sz="4" w:space="0" w:color="auto"/>
              <w:left w:val="single" w:sz="4" w:space="0" w:color="auto"/>
              <w:bottom w:val="single" w:sz="4" w:space="0" w:color="auto"/>
              <w:right w:val="single" w:sz="4" w:space="0" w:color="auto"/>
            </w:tcBorders>
            <w:hideMark/>
          </w:tcPr>
          <w:p w:rsidR="00DB129C" w:rsidRPr="00453203" w:rsidRDefault="003E30C0" w:rsidP="00FE4929">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szCs w:val="21"/>
              </w:rPr>
              <w:t>0%</w:t>
            </w:r>
          </w:p>
        </w:tc>
      </w:tr>
    </w:tbl>
    <w:p w:rsidR="00FE5546" w:rsidRPr="00453203" w:rsidRDefault="003E30C0"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2、</w:t>
      </w:r>
      <w:r w:rsidR="00FE5546" w:rsidRPr="00453203">
        <w:rPr>
          <w:rFonts w:asciiTheme="minorEastAsia" w:eastAsiaTheme="minorEastAsia" w:hAnsiTheme="minorEastAsia"/>
          <w:szCs w:val="21"/>
        </w:rPr>
        <w:t>基金管理人可以在基金合同规定的范围内调整申购费率和赎回费率，调整后的申购费率和赎回费率在</w:t>
      </w:r>
      <w:r w:rsidR="00FE5546" w:rsidRPr="00453203">
        <w:rPr>
          <w:rFonts w:asciiTheme="minorEastAsia" w:eastAsiaTheme="minorEastAsia" w:hAnsiTheme="minorEastAsia" w:hint="eastAsia"/>
          <w:szCs w:val="21"/>
        </w:rPr>
        <w:t>《更新的招募说明书》</w:t>
      </w:r>
      <w:r w:rsidR="00FE5546" w:rsidRPr="00453203">
        <w:rPr>
          <w:rFonts w:asciiTheme="minorEastAsia" w:eastAsiaTheme="minorEastAsia" w:hAnsiTheme="minorEastAsia"/>
          <w:szCs w:val="21"/>
        </w:rPr>
        <w:t>中列示。上述费率如发生变更，基金管理人</w:t>
      </w:r>
      <w:r w:rsidR="00FE5546" w:rsidRPr="00453203">
        <w:rPr>
          <w:rFonts w:asciiTheme="minorEastAsia" w:eastAsiaTheme="minorEastAsia" w:hAnsiTheme="minorEastAsia" w:hint="eastAsia"/>
          <w:szCs w:val="21"/>
        </w:rPr>
        <w:t>还</w:t>
      </w:r>
      <w:r w:rsidR="00FE5546" w:rsidRPr="00453203">
        <w:rPr>
          <w:rFonts w:asciiTheme="minorEastAsia" w:eastAsiaTheme="minorEastAsia" w:hAnsiTheme="minorEastAsia"/>
          <w:szCs w:val="21"/>
        </w:rPr>
        <w:t>应</w:t>
      </w:r>
      <w:r w:rsidR="00FE5546" w:rsidRPr="00453203">
        <w:rPr>
          <w:rFonts w:asciiTheme="minorEastAsia" w:eastAsiaTheme="minorEastAsia" w:hAnsiTheme="minorEastAsia" w:hint="eastAsia"/>
          <w:szCs w:val="21"/>
        </w:rPr>
        <w:t>按照《信息披露办法》或其他相关规定</w:t>
      </w:r>
      <w:r w:rsidR="00FE5546" w:rsidRPr="00453203">
        <w:rPr>
          <w:rFonts w:asciiTheme="minorEastAsia" w:eastAsiaTheme="minorEastAsia" w:hAnsiTheme="minorEastAsia"/>
          <w:szCs w:val="21"/>
        </w:rPr>
        <w:t>于新的费率实施前</w:t>
      </w:r>
      <w:r w:rsidR="00FE5546" w:rsidRPr="00453203">
        <w:rPr>
          <w:rFonts w:asciiTheme="minorEastAsia" w:eastAsiaTheme="minorEastAsia" w:hAnsiTheme="minorEastAsia" w:hint="eastAsia"/>
          <w:szCs w:val="21"/>
        </w:rPr>
        <w:t>在至少一家</w:t>
      </w:r>
      <w:r w:rsidR="0009600D" w:rsidRPr="00453203">
        <w:rPr>
          <w:rFonts w:asciiTheme="minorEastAsia" w:eastAsiaTheme="minorEastAsia" w:hAnsiTheme="minorEastAsia" w:hint="eastAsia"/>
          <w:szCs w:val="21"/>
        </w:rPr>
        <w:t>指定媒介</w:t>
      </w:r>
      <w:r w:rsidR="00FE5546" w:rsidRPr="00453203">
        <w:rPr>
          <w:rFonts w:asciiTheme="minorEastAsia" w:eastAsiaTheme="minorEastAsia" w:hAnsiTheme="minorEastAsia"/>
          <w:szCs w:val="21"/>
        </w:rPr>
        <w:t>及</w:t>
      </w:r>
      <w:r w:rsidR="00FE5546" w:rsidRPr="00453203">
        <w:rPr>
          <w:rFonts w:asciiTheme="minorEastAsia" w:eastAsiaTheme="minorEastAsia" w:hAnsiTheme="minorEastAsia" w:hint="eastAsia"/>
          <w:szCs w:val="21"/>
        </w:rPr>
        <w:t>基金管理人</w:t>
      </w:r>
      <w:r w:rsidR="00FE5546" w:rsidRPr="00453203">
        <w:rPr>
          <w:rFonts w:asciiTheme="minorEastAsia" w:eastAsiaTheme="minorEastAsia" w:hAnsiTheme="minorEastAsia"/>
          <w:szCs w:val="21"/>
        </w:rPr>
        <w:t>网站</w:t>
      </w:r>
      <w:r w:rsidR="00FE5546" w:rsidRPr="00453203">
        <w:rPr>
          <w:rFonts w:asciiTheme="minorEastAsia" w:eastAsiaTheme="minorEastAsia" w:hAnsiTheme="minorEastAsia" w:hint="eastAsia"/>
          <w:szCs w:val="21"/>
        </w:rPr>
        <w:t>公告</w:t>
      </w:r>
      <w:r w:rsidR="00FE5546" w:rsidRPr="00453203">
        <w:rPr>
          <w:rFonts w:asciiTheme="minorEastAsia" w:eastAsiaTheme="minorEastAsia" w:hAnsiTheme="minorEastAsia"/>
          <w:szCs w:val="21"/>
        </w:rPr>
        <w:t>。</w:t>
      </w:r>
    </w:p>
    <w:p w:rsidR="00FE5546" w:rsidRPr="00453203" w:rsidRDefault="003E30C0"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3、</w:t>
      </w:r>
      <w:r w:rsidR="00A16C6C" w:rsidRPr="00453203">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44" w:name="_Toc34834699"/>
      <w:r w:rsidRPr="00453203">
        <w:rPr>
          <w:rFonts w:asciiTheme="minorEastAsia" w:eastAsiaTheme="minorEastAsia" w:hAnsiTheme="minorEastAsia" w:hint="eastAsia"/>
          <w:sz w:val="21"/>
          <w:szCs w:val="21"/>
        </w:rPr>
        <w:t>（</w:t>
      </w:r>
      <w:r w:rsidR="00FE5546" w:rsidRPr="00453203">
        <w:rPr>
          <w:rFonts w:asciiTheme="minorEastAsia" w:eastAsiaTheme="minorEastAsia" w:hAnsiTheme="minorEastAsia" w:hint="eastAsia"/>
          <w:sz w:val="21"/>
          <w:szCs w:val="21"/>
        </w:rPr>
        <w:t>八</w:t>
      </w:r>
      <w:r w:rsidRPr="00453203">
        <w:rPr>
          <w:rFonts w:asciiTheme="minorEastAsia" w:eastAsiaTheme="minorEastAsia" w:hAnsiTheme="minorEastAsia" w:hint="eastAsia"/>
          <w:sz w:val="21"/>
          <w:szCs w:val="21"/>
        </w:rPr>
        <w:t>）申购份额、赎回金额的计算方式</w:t>
      </w:r>
      <w:bookmarkEnd w:id="44"/>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1、申购份额的计算</w:t>
      </w:r>
    </w:p>
    <w:p w:rsidR="00201E07" w:rsidRPr="00453203" w:rsidRDefault="00201E07"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lastRenderedPageBreak/>
        <w:t>（1）</w:t>
      </w:r>
      <w:r w:rsidRPr="00453203">
        <w:rPr>
          <w:rFonts w:asciiTheme="minorEastAsia" w:eastAsiaTheme="minorEastAsia" w:hAnsiTheme="minorEastAsia" w:hint="eastAsia"/>
          <w:szCs w:val="21"/>
        </w:rPr>
        <w:t>A类基金份额</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本基金</w:t>
      </w:r>
      <w:r w:rsidR="00201E07" w:rsidRPr="00453203">
        <w:rPr>
          <w:rFonts w:asciiTheme="minorEastAsia" w:eastAsiaTheme="minorEastAsia" w:hAnsiTheme="minorEastAsia" w:hint="eastAsia"/>
          <w:szCs w:val="21"/>
        </w:rPr>
        <w:t>A类基金份额</w:t>
      </w:r>
      <w:r w:rsidRPr="00453203">
        <w:rPr>
          <w:rFonts w:asciiTheme="minorEastAsia" w:eastAsiaTheme="minorEastAsia" w:hAnsiTheme="minorEastAsia" w:hint="eastAsia"/>
          <w:szCs w:val="21"/>
        </w:rPr>
        <w:t>的申购金额包括申购费用和净申购金额，其中：</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净申购金额=申购金额/（1+申购费率）</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申购费用=申购金额-净申购金额</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申购份数=净申购金额/T日</w:t>
      </w:r>
      <w:r w:rsidR="00201E07" w:rsidRPr="00453203">
        <w:rPr>
          <w:rFonts w:asciiTheme="minorEastAsia" w:eastAsiaTheme="minorEastAsia" w:hAnsiTheme="minorEastAsia" w:hint="eastAsia"/>
          <w:szCs w:val="21"/>
        </w:rPr>
        <w:t>该类份额的</w:t>
      </w:r>
      <w:r w:rsidRPr="00453203">
        <w:rPr>
          <w:rFonts w:asciiTheme="minorEastAsia" w:eastAsiaTheme="minorEastAsia" w:hAnsiTheme="minorEastAsia" w:hint="eastAsia"/>
          <w:szCs w:val="21"/>
        </w:rPr>
        <w:t>基金份额净值</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对于</w:t>
      </w:r>
      <w:r w:rsidR="00F0622E" w:rsidRPr="00453203">
        <w:rPr>
          <w:rFonts w:asciiTheme="minorEastAsia" w:eastAsiaTheme="minorEastAsia" w:hAnsiTheme="minorEastAsia" w:hint="eastAsia"/>
          <w:szCs w:val="21"/>
        </w:rPr>
        <w:t>10</w:t>
      </w:r>
      <w:r w:rsidR="00F208A3" w:rsidRPr="00453203">
        <w:rPr>
          <w:rFonts w:asciiTheme="minorEastAsia" w:eastAsiaTheme="minorEastAsia" w:hAnsiTheme="minorEastAsia" w:hint="eastAsia"/>
          <w:szCs w:val="21"/>
        </w:rPr>
        <w:t>00</w:t>
      </w:r>
      <w:r w:rsidRPr="00453203">
        <w:rPr>
          <w:rFonts w:asciiTheme="minorEastAsia" w:eastAsiaTheme="minorEastAsia" w:hAnsiTheme="minorEastAsia" w:hint="eastAsia"/>
          <w:szCs w:val="21"/>
        </w:rPr>
        <w:t>万元（含）以上的申购，净申购金额=申购金额-绝对数额的申购费金额</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举例说明：</w:t>
      </w:r>
    </w:p>
    <w:p w:rsidR="00A97110" w:rsidRPr="00453203" w:rsidRDefault="00A97110" w:rsidP="00643071">
      <w:pPr>
        <w:snapToGrid w:val="0"/>
        <w:spacing w:line="360" w:lineRule="auto"/>
        <w:ind w:firstLineChars="202" w:firstLine="424"/>
        <w:rPr>
          <w:rFonts w:asciiTheme="minorEastAsia" w:eastAsiaTheme="minorEastAsia" w:hAnsiTheme="minorEastAsia"/>
          <w:kern w:val="0"/>
        </w:rPr>
      </w:pPr>
      <w:r w:rsidRPr="00453203">
        <w:rPr>
          <w:rFonts w:asciiTheme="minorEastAsia" w:eastAsiaTheme="minorEastAsia" w:hAnsiTheme="minorEastAsia" w:hint="eastAsia"/>
          <w:szCs w:val="21"/>
        </w:rPr>
        <w:t>例一：</w:t>
      </w:r>
      <w:r w:rsidRPr="00453203">
        <w:rPr>
          <w:rFonts w:asciiTheme="minorEastAsia" w:eastAsiaTheme="minorEastAsia" w:hAnsiTheme="minorEastAsia" w:hint="eastAsia"/>
          <w:kern w:val="0"/>
        </w:rPr>
        <w:t>某投资者（特定投资群体）通过基金管理人的直销中心申购本基金</w:t>
      </w:r>
      <w:r w:rsidR="00201E07" w:rsidRPr="00453203">
        <w:rPr>
          <w:rFonts w:asciiTheme="minorEastAsia" w:eastAsiaTheme="minorEastAsia" w:hAnsiTheme="minorEastAsia" w:hint="eastAsia"/>
          <w:szCs w:val="21"/>
        </w:rPr>
        <w:t>A类基金份额</w:t>
      </w:r>
      <w:r w:rsidRPr="00453203">
        <w:rPr>
          <w:rFonts w:asciiTheme="minorEastAsia" w:eastAsiaTheme="minorEastAsia" w:hAnsiTheme="minorEastAsia" w:hint="eastAsia"/>
          <w:kern w:val="0"/>
        </w:rPr>
        <w:t>：</w:t>
      </w:r>
    </w:p>
    <w:tbl>
      <w:tblPr>
        <w:tblW w:w="887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418"/>
        <w:gridCol w:w="1660"/>
        <w:gridCol w:w="1660"/>
        <w:gridCol w:w="1422"/>
      </w:tblGrid>
      <w:tr w:rsidR="00640C24" w:rsidRPr="00453203" w:rsidTr="00617B20">
        <w:trPr>
          <w:jc w:val="center"/>
        </w:trPr>
        <w:tc>
          <w:tcPr>
            <w:tcW w:w="1581" w:type="dxa"/>
          </w:tcPr>
          <w:p w:rsidR="00A97110" w:rsidRPr="00453203" w:rsidRDefault="00A97110"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申购金额</w:t>
            </w:r>
          </w:p>
        </w:tc>
        <w:tc>
          <w:tcPr>
            <w:tcW w:w="1134" w:type="dxa"/>
          </w:tcPr>
          <w:p w:rsidR="00A97110" w:rsidRPr="00453203" w:rsidRDefault="00A97110"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申购费率</w:t>
            </w:r>
          </w:p>
        </w:tc>
        <w:tc>
          <w:tcPr>
            <w:tcW w:w="1418" w:type="dxa"/>
          </w:tcPr>
          <w:p w:rsidR="00A97110" w:rsidRPr="00453203" w:rsidRDefault="00A97110"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净申购金额</w:t>
            </w:r>
          </w:p>
        </w:tc>
        <w:tc>
          <w:tcPr>
            <w:tcW w:w="1660" w:type="dxa"/>
          </w:tcPr>
          <w:p w:rsidR="00A97110" w:rsidRPr="00453203" w:rsidRDefault="00A97110"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申购费用</w:t>
            </w:r>
          </w:p>
        </w:tc>
        <w:tc>
          <w:tcPr>
            <w:tcW w:w="1660" w:type="dxa"/>
          </w:tcPr>
          <w:p w:rsidR="00A97110" w:rsidRPr="00453203" w:rsidRDefault="00A97110"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基金份额净值</w:t>
            </w:r>
          </w:p>
        </w:tc>
        <w:tc>
          <w:tcPr>
            <w:tcW w:w="1422" w:type="dxa"/>
          </w:tcPr>
          <w:p w:rsidR="00A97110" w:rsidRPr="00453203" w:rsidRDefault="00A97110"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申购份数</w:t>
            </w:r>
          </w:p>
        </w:tc>
      </w:tr>
      <w:tr w:rsidR="00640C24" w:rsidRPr="00453203" w:rsidTr="00617B20">
        <w:trPr>
          <w:jc w:val="center"/>
        </w:trPr>
        <w:tc>
          <w:tcPr>
            <w:tcW w:w="1581" w:type="dxa"/>
          </w:tcPr>
          <w:p w:rsidR="00A97110" w:rsidRPr="00453203" w:rsidRDefault="00A97110"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100,000元</w:t>
            </w:r>
          </w:p>
        </w:tc>
        <w:tc>
          <w:tcPr>
            <w:tcW w:w="1134" w:type="dxa"/>
          </w:tcPr>
          <w:p w:rsidR="00A97110" w:rsidRPr="00453203" w:rsidRDefault="00A97110" w:rsidP="00643071">
            <w:pPr>
              <w:snapToGrid w:val="0"/>
              <w:spacing w:line="360" w:lineRule="auto"/>
              <w:ind w:firstLineChars="100" w:firstLine="210"/>
              <w:rPr>
                <w:rFonts w:asciiTheme="minorEastAsia" w:eastAsiaTheme="minorEastAsia" w:hAnsiTheme="minorEastAsia"/>
                <w:szCs w:val="21"/>
              </w:rPr>
            </w:pPr>
            <w:r w:rsidRPr="00453203">
              <w:rPr>
                <w:rFonts w:asciiTheme="minorEastAsia" w:eastAsiaTheme="minorEastAsia" w:hAnsiTheme="minorEastAsia" w:hint="eastAsia"/>
                <w:szCs w:val="21"/>
              </w:rPr>
              <w:t>0.12%</w:t>
            </w:r>
          </w:p>
        </w:tc>
        <w:tc>
          <w:tcPr>
            <w:tcW w:w="1418" w:type="dxa"/>
          </w:tcPr>
          <w:p w:rsidR="00A97110" w:rsidRPr="00453203" w:rsidRDefault="00A97110"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99,880.14元</w:t>
            </w:r>
          </w:p>
        </w:tc>
        <w:tc>
          <w:tcPr>
            <w:tcW w:w="1660" w:type="dxa"/>
          </w:tcPr>
          <w:p w:rsidR="00A97110" w:rsidRPr="00453203" w:rsidRDefault="00A97110"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119.86元</w:t>
            </w:r>
          </w:p>
        </w:tc>
        <w:tc>
          <w:tcPr>
            <w:tcW w:w="1660" w:type="dxa"/>
          </w:tcPr>
          <w:p w:rsidR="00A97110" w:rsidRPr="00453203" w:rsidRDefault="00A97110"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1.0000元</w:t>
            </w:r>
          </w:p>
        </w:tc>
        <w:tc>
          <w:tcPr>
            <w:tcW w:w="1422" w:type="dxa"/>
          </w:tcPr>
          <w:p w:rsidR="00A97110" w:rsidRPr="00453203" w:rsidRDefault="00A97110"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99,880.14份</w:t>
            </w:r>
          </w:p>
        </w:tc>
      </w:tr>
      <w:tr w:rsidR="00640C24" w:rsidRPr="00453203" w:rsidTr="00617B20">
        <w:trPr>
          <w:jc w:val="center"/>
        </w:trPr>
        <w:tc>
          <w:tcPr>
            <w:tcW w:w="1581" w:type="dxa"/>
          </w:tcPr>
          <w:p w:rsidR="00A97110" w:rsidRPr="00453203" w:rsidRDefault="00A97110"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10,000,000元</w:t>
            </w:r>
          </w:p>
        </w:tc>
        <w:tc>
          <w:tcPr>
            <w:tcW w:w="1134" w:type="dxa"/>
          </w:tcPr>
          <w:p w:rsidR="00A97110" w:rsidRPr="00453203" w:rsidRDefault="00A97110"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1000元</w:t>
            </w:r>
          </w:p>
        </w:tc>
        <w:tc>
          <w:tcPr>
            <w:tcW w:w="1418" w:type="dxa"/>
          </w:tcPr>
          <w:p w:rsidR="00A97110" w:rsidRPr="00453203" w:rsidRDefault="00A97110"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9,999,000元</w:t>
            </w:r>
          </w:p>
        </w:tc>
        <w:tc>
          <w:tcPr>
            <w:tcW w:w="1660" w:type="dxa"/>
          </w:tcPr>
          <w:p w:rsidR="00A97110" w:rsidRPr="00453203" w:rsidRDefault="00A97110"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1000元</w:t>
            </w:r>
          </w:p>
        </w:tc>
        <w:tc>
          <w:tcPr>
            <w:tcW w:w="1660" w:type="dxa"/>
          </w:tcPr>
          <w:p w:rsidR="00A97110" w:rsidRPr="00453203" w:rsidRDefault="00A97110"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1.0000元</w:t>
            </w:r>
          </w:p>
        </w:tc>
        <w:tc>
          <w:tcPr>
            <w:tcW w:w="1422" w:type="dxa"/>
          </w:tcPr>
          <w:p w:rsidR="00A97110" w:rsidRPr="00453203" w:rsidRDefault="00A97110"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9,999,000份</w:t>
            </w:r>
          </w:p>
        </w:tc>
      </w:tr>
    </w:tbl>
    <w:p w:rsidR="00A97110" w:rsidRPr="00453203" w:rsidRDefault="00A97110"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kern w:val="0"/>
        </w:rPr>
        <w:t>例二：某投资者（非特定投资群体）申购本基金</w:t>
      </w:r>
      <w:r w:rsidR="00201E07" w:rsidRPr="00453203">
        <w:rPr>
          <w:rFonts w:asciiTheme="minorEastAsia" w:eastAsiaTheme="minorEastAsia" w:hAnsiTheme="minorEastAsia" w:hint="eastAsia"/>
          <w:szCs w:val="21"/>
        </w:rPr>
        <w:t>A类基金份额</w:t>
      </w:r>
      <w:r w:rsidRPr="00453203">
        <w:rPr>
          <w:rFonts w:asciiTheme="minorEastAsia" w:eastAsiaTheme="minorEastAsia" w:hAnsiTheme="minorEastAsia" w:hint="eastAsia"/>
          <w:kern w:val="0"/>
        </w:rPr>
        <w:t>：</w:t>
      </w:r>
    </w:p>
    <w:tbl>
      <w:tblPr>
        <w:tblW w:w="887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418"/>
        <w:gridCol w:w="1660"/>
        <w:gridCol w:w="1660"/>
        <w:gridCol w:w="1422"/>
      </w:tblGrid>
      <w:tr w:rsidR="00640C24" w:rsidRPr="00453203" w:rsidTr="00550FC0">
        <w:trPr>
          <w:jc w:val="center"/>
        </w:trPr>
        <w:tc>
          <w:tcPr>
            <w:tcW w:w="1581" w:type="dxa"/>
          </w:tcPr>
          <w:p w:rsidR="00FE5546" w:rsidRPr="00453203" w:rsidRDefault="00FE5546"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申购金额</w:t>
            </w:r>
          </w:p>
        </w:tc>
        <w:tc>
          <w:tcPr>
            <w:tcW w:w="1134" w:type="dxa"/>
          </w:tcPr>
          <w:p w:rsidR="00FE5546" w:rsidRPr="00453203" w:rsidRDefault="00FE5546"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申购费率</w:t>
            </w:r>
          </w:p>
        </w:tc>
        <w:tc>
          <w:tcPr>
            <w:tcW w:w="1418" w:type="dxa"/>
          </w:tcPr>
          <w:p w:rsidR="00FE5546" w:rsidRPr="00453203" w:rsidRDefault="00FE5546"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净申购金额</w:t>
            </w:r>
          </w:p>
        </w:tc>
        <w:tc>
          <w:tcPr>
            <w:tcW w:w="1660" w:type="dxa"/>
          </w:tcPr>
          <w:p w:rsidR="00FE5546" w:rsidRPr="00453203" w:rsidRDefault="00FE5546"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申购费用</w:t>
            </w:r>
          </w:p>
        </w:tc>
        <w:tc>
          <w:tcPr>
            <w:tcW w:w="1660" w:type="dxa"/>
          </w:tcPr>
          <w:p w:rsidR="00FE5546" w:rsidRPr="00453203" w:rsidRDefault="00FE5546"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基金份额净值</w:t>
            </w:r>
          </w:p>
        </w:tc>
        <w:tc>
          <w:tcPr>
            <w:tcW w:w="1422" w:type="dxa"/>
          </w:tcPr>
          <w:p w:rsidR="00FE5546" w:rsidRPr="00453203" w:rsidRDefault="00FE5546" w:rsidP="00643071">
            <w:pPr>
              <w:snapToGrid w:val="0"/>
              <w:spacing w:line="360" w:lineRule="auto"/>
              <w:jc w:val="center"/>
              <w:rPr>
                <w:rFonts w:asciiTheme="minorEastAsia" w:eastAsiaTheme="minorEastAsia" w:hAnsiTheme="minorEastAsia"/>
                <w:b/>
                <w:szCs w:val="21"/>
              </w:rPr>
            </w:pPr>
            <w:r w:rsidRPr="00453203">
              <w:rPr>
                <w:rFonts w:asciiTheme="minorEastAsia" w:eastAsiaTheme="minorEastAsia" w:hAnsiTheme="minorEastAsia" w:hint="eastAsia"/>
                <w:b/>
                <w:szCs w:val="21"/>
              </w:rPr>
              <w:t>申购份数</w:t>
            </w:r>
          </w:p>
        </w:tc>
      </w:tr>
      <w:tr w:rsidR="00640C24" w:rsidRPr="00453203" w:rsidTr="00550FC0">
        <w:trPr>
          <w:jc w:val="center"/>
        </w:trPr>
        <w:tc>
          <w:tcPr>
            <w:tcW w:w="1581" w:type="dxa"/>
          </w:tcPr>
          <w:p w:rsidR="00FE5546" w:rsidRPr="00453203" w:rsidRDefault="00FE5546"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10,000元</w:t>
            </w:r>
          </w:p>
        </w:tc>
        <w:tc>
          <w:tcPr>
            <w:tcW w:w="1134" w:type="dxa"/>
          </w:tcPr>
          <w:p w:rsidR="00FE5546" w:rsidRPr="00453203" w:rsidRDefault="00B748A6" w:rsidP="00643071">
            <w:pPr>
              <w:snapToGrid w:val="0"/>
              <w:spacing w:line="360" w:lineRule="auto"/>
              <w:ind w:firstLineChars="100" w:firstLine="210"/>
              <w:rPr>
                <w:rFonts w:asciiTheme="minorEastAsia" w:eastAsiaTheme="minorEastAsia" w:hAnsiTheme="minorEastAsia"/>
                <w:szCs w:val="21"/>
              </w:rPr>
            </w:pPr>
            <w:r w:rsidRPr="00453203">
              <w:rPr>
                <w:rFonts w:asciiTheme="minorEastAsia" w:eastAsiaTheme="minorEastAsia" w:hAnsiTheme="minorEastAsia" w:hint="eastAsia"/>
                <w:szCs w:val="21"/>
              </w:rPr>
              <w:t>1.</w:t>
            </w:r>
            <w:r w:rsidR="001D5931" w:rsidRPr="00453203">
              <w:rPr>
                <w:rFonts w:asciiTheme="minorEastAsia" w:eastAsiaTheme="minorEastAsia" w:hAnsiTheme="minorEastAsia" w:hint="eastAsia"/>
                <w:szCs w:val="21"/>
              </w:rPr>
              <w:t>2</w:t>
            </w:r>
            <w:r w:rsidR="00FE5546" w:rsidRPr="00453203">
              <w:rPr>
                <w:rFonts w:asciiTheme="minorEastAsia" w:eastAsiaTheme="minorEastAsia" w:hAnsiTheme="minorEastAsia" w:hint="eastAsia"/>
                <w:szCs w:val="21"/>
              </w:rPr>
              <w:t>%</w:t>
            </w:r>
          </w:p>
        </w:tc>
        <w:tc>
          <w:tcPr>
            <w:tcW w:w="1418" w:type="dxa"/>
          </w:tcPr>
          <w:p w:rsidR="00FE5546" w:rsidRPr="00453203" w:rsidRDefault="001D5931"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9,881.42</w:t>
            </w:r>
            <w:r w:rsidR="00FE5546" w:rsidRPr="00453203">
              <w:rPr>
                <w:rFonts w:asciiTheme="minorEastAsia" w:eastAsiaTheme="minorEastAsia" w:hAnsiTheme="minorEastAsia" w:hint="eastAsia"/>
                <w:szCs w:val="21"/>
              </w:rPr>
              <w:t>元</w:t>
            </w:r>
          </w:p>
        </w:tc>
        <w:tc>
          <w:tcPr>
            <w:tcW w:w="1660" w:type="dxa"/>
          </w:tcPr>
          <w:p w:rsidR="00FE5546" w:rsidRPr="00453203" w:rsidRDefault="001D5931"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118.58</w:t>
            </w:r>
            <w:r w:rsidR="00FE5546" w:rsidRPr="00453203">
              <w:rPr>
                <w:rFonts w:asciiTheme="minorEastAsia" w:eastAsiaTheme="minorEastAsia" w:hAnsiTheme="minorEastAsia" w:hint="eastAsia"/>
                <w:szCs w:val="21"/>
              </w:rPr>
              <w:t>元</w:t>
            </w:r>
          </w:p>
        </w:tc>
        <w:tc>
          <w:tcPr>
            <w:tcW w:w="1660"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1.000</w:t>
            </w:r>
            <w:r w:rsidR="008A7401" w:rsidRPr="00453203">
              <w:rPr>
                <w:rFonts w:asciiTheme="minorEastAsia" w:eastAsiaTheme="minorEastAsia" w:hAnsiTheme="minorEastAsia" w:hint="eastAsia"/>
                <w:szCs w:val="21"/>
              </w:rPr>
              <w:t>0</w:t>
            </w:r>
            <w:r w:rsidRPr="00453203">
              <w:rPr>
                <w:rFonts w:asciiTheme="minorEastAsia" w:eastAsiaTheme="minorEastAsia" w:hAnsiTheme="minorEastAsia" w:hint="eastAsia"/>
                <w:szCs w:val="21"/>
              </w:rPr>
              <w:t>元</w:t>
            </w:r>
          </w:p>
        </w:tc>
        <w:tc>
          <w:tcPr>
            <w:tcW w:w="1422" w:type="dxa"/>
          </w:tcPr>
          <w:p w:rsidR="00FE5546" w:rsidRPr="00453203" w:rsidRDefault="003A55B6"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9,</w:t>
            </w:r>
            <w:r w:rsidR="001D5931" w:rsidRPr="00453203">
              <w:rPr>
                <w:rFonts w:asciiTheme="minorEastAsia" w:eastAsiaTheme="minorEastAsia" w:hAnsiTheme="minorEastAsia" w:hint="eastAsia"/>
                <w:szCs w:val="21"/>
              </w:rPr>
              <w:t>881.42</w:t>
            </w:r>
            <w:r w:rsidR="00FE5546" w:rsidRPr="00453203">
              <w:rPr>
                <w:rFonts w:asciiTheme="minorEastAsia" w:eastAsiaTheme="minorEastAsia" w:hAnsiTheme="minorEastAsia" w:hint="eastAsia"/>
                <w:szCs w:val="21"/>
              </w:rPr>
              <w:t>份</w:t>
            </w:r>
          </w:p>
        </w:tc>
      </w:tr>
      <w:tr w:rsidR="00640C24" w:rsidRPr="00453203" w:rsidTr="00550FC0">
        <w:trPr>
          <w:jc w:val="center"/>
        </w:trPr>
        <w:tc>
          <w:tcPr>
            <w:tcW w:w="1581" w:type="dxa"/>
          </w:tcPr>
          <w:p w:rsidR="00FE5546" w:rsidRPr="00453203" w:rsidRDefault="00FE5546"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10,000,000元</w:t>
            </w:r>
          </w:p>
        </w:tc>
        <w:tc>
          <w:tcPr>
            <w:tcW w:w="1134" w:type="dxa"/>
          </w:tcPr>
          <w:p w:rsidR="00FE5546" w:rsidRPr="00453203" w:rsidRDefault="00FE5546"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1000元</w:t>
            </w:r>
          </w:p>
        </w:tc>
        <w:tc>
          <w:tcPr>
            <w:tcW w:w="1418" w:type="dxa"/>
          </w:tcPr>
          <w:p w:rsidR="00FE5546" w:rsidRPr="00453203" w:rsidRDefault="00FE5546"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9,999,000元</w:t>
            </w:r>
          </w:p>
        </w:tc>
        <w:tc>
          <w:tcPr>
            <w:tcW w:w="1660"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1000元</w:t>
            </w:r>
          </w:p>
        </w:tc>
        <w:tc>
          <w:tcPr>
            <w:tcW w:w="1660"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1.000</w:t>
            </w:r>
            <w:r w:rsidR="008A7401" w:rsidRPr="00453203">
              <w:rPr>
                <w:rFonts w:asciiTheme="minorEastAsia" w:eastAsiaTheme="minorEastAsia" w:hAnsiTheme="minorEastAsia" w:hint="eastAsia"/>
                <w:szCs w:val="21"/>
              </w:rPr>
              <w:t>0</w:t>
            </w:r>
            <w:r w:rsidRPr="00453203">
              <w:rPr>
                <w:rFonts w:asciiTheme="minorEastAsia" w:eastAsiaTheme="minorEastAsia" w:hAnsiTheme="minorEastAsia" w:hint="eastAsia"/>
                <w:szCs w:val="21"/>
              </w:rPr>
              <w:t>元</w:t>
            </w:r>
          </w:p>
        </w:tc>
        <w:tc>
          <w:tcPr>
            <w:tcW w:w="1422" w:type="dxa"/>
          </w:tcPr>
          <w:p w:rsidR="00FE5546" w:rsidRPr="00453203" w:rsidRDefault="00FE5546" w:rsidP="00643071">
            <w:pPr>
              <w:snapToGrid w:val="0"/>
              <w:spacing w:line="360" w:lineRule="auto"/>
              <w:jc w:val="center"/>
              <w:rPr>
                <w:rFonts w:asciiTheme="minorEastAsia" w:eastAsiaTheme="minorEastAsia" w:hAnsiTheme="minorEastAsia"/>
                <w:szCs w:val="21"/>
              </w:rPr>
            </w:pPr>
            <w:r w:rsidRPr="00453203">
              <w:rPr>
                <w:rFonts w:asciiTheme="minorEastAsia" w:eastAsiaTheme="minorEastAsia" w:hAnsiTheme="minorEastAsia" w:hint="eastAsia"/>
                <w:szCs w:val="21"/>
              </w:rPr>
              <w:t>9,999,000份</w:t>
            </w:r>
          </w:p>
        </w:tc>
      </w:tr>
    </w:tbl>
    <w:p w:rsidR="00201E07" w:rsidRPr="00453203" w:rsidRDefault="00201E07"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（2）C类基金份额</w:t>
      </w:r>
    </w:p>
    <w:p w:rsidR="00201E07" w:rsidRPr="00453203" w:rsidRDefault="00201E07" w:rsidP="00201E07">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申购份额=申购金额/申购当日该类份额的基金份额净值</w:t>
      </w:r>
    </w:p>
    <w:p w:rsidR="00201E07" w:rsidRPr="00453203" w:rsidRDefault="00201E07" w:rsidP="00201E07">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例三：某投资人投资100,000元申购本基金C类基金份额，假设申购当日C类基金份额的基金份额净值为1.040元，则其可得到的申购份额为：</w:t>
      </w:r>
    </w:p>
    <w:p w:rsidR="00201E07" w:rsidRPr="00453203" w:rsidRDefault="00201E07" w:rsidP="00201E07">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申购份额=100,000/1.040=96,153.85份</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申购费用以人民币元为单位，四舍五入，保留至小数点后二位；</w:t>
      </w:r>
      <w:r w:rsidR="00071708" w:rsidRPr="00453203">
        <w:rPr>
          <w:rFonts w:asciiTheme="minorEastAsia" w:eastAsiaTheme="minorEastAsia" w:hAnsiTheme="minorEastAsia" w:hint="eastAsia"/>
          <w:szCs w:val="21"/>
        </w:rPr>
        <w:t>申购费用由基金申购人承担，不列入基金财产，主要用于本基金的市场推广、销售、注册登记等各项费用；</w:t>
      </w:r>
      <w:r w:rsidRPr="00453203">
        <w:rPr>
          <w:rFonts w:asciiTheme="minorEastAsia" w:eastAsiaTheme="minorEastAsia" w:hAnsiTheme="minorEastAsia" w:hint="eastAsia"/>
          <w:szCs w:val="21"/>
        </w:rPr>
        <w:t>申购份数采取四舍五入的方法保留小数点后二位，由此产生的误差计入基金财产。</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2、基金赎回金额的计算</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本基金的</w:t>
      </w:r>
      <w:r w:rsidR="002E2999" w:rsidRPr="00453203">
        <w:rPr>
          <w:rFonts w:asciiTheme="minorEastAsia" w:eastAsiaTheme="minorEastAsia" w:hAnsiTheme="minorEastAsia" w:hint="eastAsia"/>
          <w:szCs w:val="21"/>
        </w:rPr>
        <w:t>净</w:t>
      </w:r>
      <w:r w:rsidRPr="00453203">
        <w:rPr>
          <w:rFonts w:asciiTheme="minorEastAsia" w:eastAsiaTheme="minorEastAsia" w:hAnsiTheme="minorEastAsia" w:hint="eastAsia"/>
          <w:szCs w:val="21"/>
        </w:rPr>
        <w:t>赎回金额为赎回总</w:t>
      </w:r>
      <w:r w:rsidR="00BE3960" w:rsidRPr="00453203">
        <w:rPr>
          <w:rFonts w:asciiTheme="minorEastAsia" w:eastAsiaTheme="minorEastAsia" w:hAnsiTheme="minorEastAsia" w:hint="eastAsia"/>
          <w:szCs w:val="21"/>
        </w:rPr>
        <w:t>金</w:t>
      </w:r>
      <w:r w:rsidRPr="00453203">
        <w:rPr>
          <w:rFonts w:asciiTheme="minorEastAsia" w:eastAsiaTheme="minorEastAsia" w:hAnsiTheme="minorEastAsia" w:hint="eastAsia"/>
          <w:szCs w:val="21"/>
        </w:rPr>
        <w:t>额扣减赎回费用，其中：</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赎回总金额=赎回份额</w:t>
      </w:r>
      <w:r w:rsidRPr="00453203">
        <w:rPr>
          <w:rFonts w:asciiTheme="minorEastAsia" w:eastAsiaTheme="minorEastAsia" w:hAnsiTheme="minorEastAsia" w:hint="eastAsia"/>
          <w:szCs w:val="21"/>
        </w:rPr>
        <w:sym w:font="Symbol" w:char="F0B4"/>
      </w:r>
      <w:r w:rsidRPr="00453203">
        <w:rPr>
          <w:rFonts w:asciiTheme="minorEastAsia" w:eastAsiaTheme="minorEastAsia" w:hAnsiTheme="minorEastAsia" w:hint="eastAsia"/>
          <w:szCs w:val="21"/>
        </w:rPr>
        <w:t>T日</w:t>
      </w:r>
      <w:r w:rsidR="00E7547E" w:rsidRPr="00453203">
        <w:rPr>
          <w:rFonts w:asciiTheme="minorEastAsia" w:eastAsiaTheme="minorEastAsia" w:hAnsiTheme="minorEastAsia" w:hint="eastAsia"/>
          <w:szCs w:val="21"/>
        </w:rPr>
        <w:t>该类份额的</w:t>
      </w:r>
      <w:r w:rsidRPr="00453203">
        <w:rPr>
          <w:rFonts w:asciiTheme="minorEastAsia" w:eastAsiaTheme="minorEastAsia" w:hAnsiTheme="minorEastAsia" w:hint="eastAsia"/>
          <w:szCs w:val="21"/>
        </w:rPr>
        <w:t>基金份额净值</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赎回费用=</w:t>
      </w:r>
      <w:r w:rsidR="00B42471" w:rsidRPr="00453203">
        <w:rPr>
          <w:rFonts w:asciiTheme="minorEastAsia" w:eastAsiaTheme="minorEastAsia" w:hAnsiTheme="minorEastAsia" w:hint="eastAsia"/>
          <w:szCs w:val="21"/>
        </w:rPr>
        <w:t>赎回份额</w:t>
      </w:r>
      <w:r w:rsidR="00B42471" w:rsidRPr="00453203">
        <w:rPr>
          <w:rFonts w:asciiTheme="minorEastAsia" w:eastAsiaTheme="minorEastAsia" w:hAnsiTheme="minorEastAsia" w:hint="eastAsia"/>
          <w:szCs w:val="21"/>
        </w:rPr>
        <w:sym w:font="Symbol" w:char="F0B4"/>
      </w:r>
      <w:r w:rsidR="00B42471" w:rsidRPr="00453203">
        <w:rPr>
          <w:rFonts w:asciiTheme="minorEastAsia" w:eastAsiaTheme="minorEastAsia" w:hAnsiTheme="minorEastAsia" w:hint="eastAsia"/>
          <w:szCs w:val="21"/>
        </w:rPr>
        <w:t>T日</w:t>
      </w:r>
      <w:r w:rsidR="00502777" w:rsidRPr="00453203">
        <w:rPr>
          <w:rFonts w:asciiTheme="minorEastAsia" w:eastAsiaTheme="minorEastAsia" w:hAnsiTheme="minorEastAsia" w:hint="eastAsia"/>
          <w:szCs w:val="21"/>
        </w:rPr>
        <w:t>该类份额的</w:t>
      </w:r>
      <w:r w:rsidR="00B42471" w:rsidRPr="00453203">
        <w:rPr>
          <w:rFonts w:asciiTheme="minorEastAsia" w:eastAsiaTheme="minorEastAsia" w:hAnsiTheme="minorEastAsia" w:hint="eastAsia"/>
          <w:szCs w:val="21"/>
        </w:rPr>
        <w:t>基金份额净值</w:t>
      </w:r>
      <w:r w:rsidRPr="00453203">
        <w:rPr>
          <w:rFonts w:asciiTheme="minorEastAsia" w:eastAsiaTheme="minorEastAsia" w:hAnsiTheme="minorEastAsia" w:hint="eastAsia"/>
          <w:szCs w:val="21"/>
        </w:rPr>
        <w:sym w:font="Symbol" w:char="F0B4"/>
      </w:r>
      <w:r w:rsidR="008C6A80" w:rsidRPr="00453203">
        <w:rPr>
          <w:rFonts w:asciiTheme="minorEastAsia" w:eastAsiaTheme="minorEastAsia" w:hAnsiTheme="minorEastAsia" w:hint="eastAsia"/>
          <w:szCs w:val="21"/>
        </w:rPr>
        <w:t>该类份额的</w:t>
      </w:r>
      <w:r w:rsidRPr="00453203">
        <w:rPr>
          <w:rFonts w:asciiTheme="minorEastAsia" w:eastAsiaTheme="minorEastAsia" w:hAnsiTheme="minorEastAsia" w:hint="eastAsia"/>
          <w:szCs w:val="21"/>
        </w:rPr>
        <w:t>赎回费率</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净赎回金额=赎回总金额</w:t>
      </w:r>
      <w:r w:rsidRPr="00453203">
        <w:rPr>
          <w:rFonts w:asciiTheme="minorEastAsia" w:eastAsiaTheme="minorEastAsia" w:hAnsiTheme="minorEastAsia" w:hint="eastAsia"/>
          <w:szCs w:val="21"/>
        </w:rPr>
        <w:sym w:font="Symbol" w:char="F02D"/>
      </w:r>
      <w:r w:rsidRPr="00453203">
        <w:rPr>
          <w:rFonts w:asciiTheme="minorEastAsia" w:eastAsiaTheme="minorEastAsia" w:hAnsiTheme="minorEastAsia" w:hint="eastAsia"/>
          <w:szCs w:val="21"/>
        </w:rPr>
        <w:t>赎回费用</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举例说明：</w:t>
      </w:r>
    </w:p>
    <w:p w:rsidR="00502777" w:rsidRPr="00453203" w:rsidRDefault="00502777"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（1）A类基金份额</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640C24" w:rsidRPr="00453203" w:rsidTr="00550FC0">
        <w:trPr>
          <w:jc w:val="center"/>
        </w:trPr>
        <w:tc>
          <w:tcPr>
            <w:tcW w:w="1243" w:type="dxa"/>
          </w:tcPr>
          <w:p w:rsidR="00FE5546" w:rsidRPr="00453203" w:rsidRDefault="00FE5546"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szCs w:val="21"/>
              </w:rPr>
              <w:lastRenderedPageBreak/>
              <w:t>赎回份额</w:t>
            </w:r>
          </w:p>
        </w:tc>
        <w:tc>
          <w:tcPr>
            <w:tcW w:w="1650" w:type="dxa"/>
          </w:tcPr>
          <w:p w:rsidR="00FE5546" w:rsidRPr="00453203" w:rsidRDefault="00FE5546"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szCs w:val="21"/>
              </w:rPr>
              <w:t>基金份额净值</w:t>
            </w:r>
          </w:p>
        </w:tc>
        <w:tc>
          <w:tcPr>
            <w:tcW w:w="1436" w:type="dxa"/>
          </w:tcPr>
          <w:p w:rsidR="00FE5546" w:rsidRPr="00453203" w:rsidRDefault="00FE5546"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szCs w:val="21"/>
              </w:rPr>
              <w:t>持有时间</w:t>
            </w:r>
          </w:p>
        </w:tc>
        <w:tc>
          <w:tcPr>
            <w:tcW w:w="1437" w:type="dxa"/>
          </w:tcPr>
          <w:p w:rsidR="00FE5546" w:rsidRPr="00453203" w:rsidRDefault="00FE5546"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szCs w:val="21"/>
              </w:rPr>
              <w:t>赎回费率</w:t>
            </w:r>
          </w:p>
        </w:tc>
        <w:tc>
          <w:tcPr>
            <w:tcW w:w="1409" w:type="dxa"/>
          </w:tcPr>
          <w:p w:rsidR="00FE5546" w:rsidRPr="00453203" w:rsidRDefault="00FE5546"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szCs w:val="21"/>
              </w:rPr>
              <w:t>赎回费</w:t>
            </w:r>
            <w:r w:rsidRPr="00453203">
              <w:rPr>
                <w:rFonts w:asciiTheme="minorEastAsia" w:eastAsiaTheme="minorEastAsia" w:hAnsiTheme="minorEastAsia" w:hint="eastAsia"/>
                <w:szCs w:val="21"/>
              </w:rPr>
              <w:t>用</w:t>
            </w:r>
          </w:p>
        </w:tc>
        <w:tc>
          <w:tcPr>
            <w:tcW w:w="1457" w:type="dxa"/>
          </w:tcPr>
          <w:p w:rsidR="00FE5546" w:rsidRPr="00453203" w:rsidRDefault="00F86147"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hint="eastAsia"/>
                <w:szCs w:val="21"/>
              </w:rPr>
              <w:t>净</w:t>
            </w:r>
            <w:r w:rsidR="00FE5546" w:rsidRPr="00453203">
              <w:rPr>
                <w:rFonts w:asciiTheme="minorEastAsia" w:eastAsiaTheme="minorEastAsia" w:hAnsiTheme="minorEastAsia"/>
                <w:szCs w:val="21"/>
              </w:rPr>
              <w:t>赎回</w:t>
            </w:r>
            <w:r w:rsidR="00FE5546" w:rsidRPr="00453203">
              <w:rPr>
                <w:rFonts w:asciiTheme="minorEastAsia" w:eastAsiaTheme="minorEastAsia" w:hAnsiTheme="minorEastAsia" w:hint="eastAsia"/>
                <w:szCs w:val="21"/>
              </w:rPr>
              <w:t>金</w:t>
            </w:r>
            <w:r w:rsidR="00FE5546" w:rsidRPr="00453203">
              <w:rPr>
                <w:rFonts w:asciiTheme="minorEastAsia" w:eastAsiaTheme="minorEastAsia" w:hAnsiTheme="minorEastAsia"/>
                <w:szCs w:val="21"/>
              </w:rPr>
              <w:t>额</w:t>
            </w:r>
          </w:p>
        </w:tc>
      </w:tr>
      <w:tr w:rsidR="00640C24" w:rsidRPr="00453203" w:rsidTr="00550FC0">
        <w:trPr>
          <w:jc w:val="center"/>
        </w:trPr>
        <w:tc>
          <w:tcPr>
            <w:tcW w:w="1243" w:type="dxa"/>
          </w:tcPr>
          <w:p w:rsidR="00FE5546" w:rsidRPr="00453203" w:rsidRDefault="00FE5546"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szCs w:val="21"/>
              </w:rPr>
              <w:t>10,000</w:t>
            </w:r>
          </w:p>
        </w:tc>
        <w:tc>
          <w:tcPr>
            <w:tcW w:w="1650"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1.00</w:t>
            </w:r>
            <w:r w:rsidRPr="00453203">
              <w:rPr>
                <w:rFonts w:asciiTheme="minorEastAsia" w:eastAsiaTheme="minorEastAsia" w:hAnsiTheme="minorEastAsia" w:hint="eastAsia"/>
                <w:szCs w:val="21"/>
              </w:rPr>
              <w:t>0</w:t>
            </w:r>
            <w:r w:rsidR="000E06D3" w:rsidRPr="00453203">
              <w:rPr>
                <w:rFonts w:asciiTheme="minorEastAsia" w:eastAsiaTheme="minorEastAsia" w:hAnsiTheme="minorEastAsia" w:hint="eastAsia"/>
                <w:szCs w:val="21"/>
              </w:rPr>
              <w:t>0</w:t>
            </w:r>
            <w:r w:rsidRPr="00453203">
              <w:rPr>
                <w:rFonts w:asciiTheme="minorEastAsia" w:eastAsiaTheme="minorEastAsia" w:hAnsiTheme="minorEastAsia"/>
                <w:szCs w:val="21"/>
              </w:rPr>
              <w:t>元</w:t>
            </w:r>
          </w:p>
        </w:tc>
        <w:tc>
          <w:tcPr>
            <w:tcW w:w="1436"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100天</w:t>
            </w:r>
          </w:p>
        </w:tc>
        <w:tc>
          <w:tcPr>
            <w:tcW w:w="1437"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0.5%</w:t>
            </w:r>
          </w:p>
        </w:tc>
        <w:tc>
          <w:tcPr>
            <w:tcW w:w="1409"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50元</w:t>
            </w:r>
          </w:p>
        </w:tc>
        <w:tc>
          <w:tcPr>
            <w:tcW w:w="1457"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9,950元</w:t>
            </w:r>
          </w:p>
        </w:tc>
      </w:tr>
      <w:tr w:rsidR="00640C24" w:rsidRPr="00453203" w:rsidTr="00550FC0">
        <w:trPr>
          <w:jc w:val="center"/>
        </w:trPr>
        <w:tc>
          <w:tcPr>
            <w:tcW w:w="1243" w:type="dxa"/>
          </w:tcPr>
          <w:p w:rsidR="00FE5546" w:rsidRPr="00453203" w:rsidRDefault="00FE5546"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szCs w:val="21"/>
              </w:rPr>
              <w:t>10,000</w:t>
            </w:r>
          </w:p>
        </w:tc>
        <w:tc>
          <w:tcPr>
            <w:tcW w:w="1650"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1.0</w:t>
            </w:r>
            <w:r w:rsidRPr="00453203">
              <w:rPr>
                <w:rFonts w:asciiTheme="minorEastAsia" w:eastAsiaTheme="minorEastAsia" w:hAnsiTheme="minorEastAsia" w:hint="eastAsia"/>
                <w:szCs w:val="21"/>
              </w:rPr>
              <w:t>0</w:t>
            </w:r>
            <w:r w:rsidRPr="00453203">
              <w:rPr>
                <w:rFonts w:asciiTheme="minorEastAsia" w:eastAsiaTheme="minorEastAsia" w:hAnsiTheme="minorEastAsia"/>
                <w:szCs w:val="21"/>
              </w:rPr>
              <w:t>0</w:t>
            </w:r>
            <w:r w:rsidR="000E06D3" w:rsidRPr="00453203">
              <w:rPr>
                <w:rFonts w:asciiTheme="minorEastAsia" w:eastAsiaTheme="minorEastAsia" w:hAnsiTheme="minorEastAsia" w:hint="eastAsia"/>
                <w:szCs w:val="21"/>
              </w:rPr>
              <w:t>0</w:t>
            </w:r>
            <w:r w:rsidRPr="00453203">
              <w:rPr>
                <w:rFonts w:asciiTheme="minorEastAsia" w:eastAsiaTheme="minorEastAsia" w:hAnsiTheme="minorEastAsia"/>
                <w:szCs w:val="21"/>
              </w:rPr>
              <w:t>元</w:t>
            </w:r>
          </w:p>
        </w:tc>
        <w:tc>
          <w:tcPr>
            <w:tcW w:w="1436" w:type="dxa"/>
          </w:tcPr>
          <w:p w:rsidR="00FE5546" w:rsidRPr="00453203" w:rsidRDefault="00FE5546" w:rsidP="00643071">
            <w:pPr>
              <w:snapToGrid w:val="0"/>
              <w:spacing w:line="360" w:lineRule="auto"/>
              <w:ind w:firstLine="480"/>
              <w:rPr>
                <w:rFonts w:asciiTheme="minorEastAsia" w:eastAsiaTheme="minorEastAsia" w:hAnsiTheme="minorEastAsia"/>
                <w:szCs w:val="21"/>
              </w:rPr>
            </w:pPr>
            <w:r w:rsidRPr="00453203">
              <w:rPr>
                <w:rFonts w:asciiTheme="minorEastAsia" w:eastAsiaTheme="minorEastAsia" w:hAnsiTheme="minorEastAsia" w:hint="eastAsia"/>
                <w:szCs w:val="21"/>
              </w:rPr>
              <w:t>500天</w:t>
            </w:r>
          </w:p>
        </w:tc>
        <w:tc>
          <w:tcPr>
            <w:tcW w:w="1437"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0.</w:t>
            </w:r>
            <w:r w:rsidRPr="00453203">
              <w:rPr>
                <w:rFonts w:asciiTheme="minorEastAsia" w:eastAsiaTheme="minorEastAsia" w:hAnsiTheme="minorEastAsia" w:hint="eastAsia"/>
                <w:szCs w:val="21"/>
              </w:rPr>
              <w:t>25</w:t>
            </w:r>
            <w:r w:rsidRPr="00453203">
              <w:rPr>
                <w:rFonts w:asciiTheme="minorEastAsia" w:eastAsiaTheme="minorEastAsia" w:hAnsiTheme="minorEastAsia"/>
                <w:szCs w:val="21"/>
              </w:rPr>
              <w:t>%</w:t>
            </w:r>
          </w:p>
        </w:tc>
        <w:tc>
          <w:tcPr>
            <w:tcW w:w="1409"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25</w:t>
            </w:r>
            <w:r w:rsidRPr="00453203">
              <w:rPr>
                <w:rFonts w:asciiTheme="minorEastAsia" w:eastAsiaTheme="minorEastAsia" w:hAnsiTheme="minorEastAsia"/>
                <w:szCs w:val="21"/>
              </w:rPr>
              <w:t>元</w:t>
            </w:r>
          </w:p>
        </w:tc>
        <w:tc>
          <w:tcPr>
            <w:tcW w:w="1457"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9,97</w:t>
            </w:r>
            <w:r w:rsidRPr="00453203">
              <w:rPr>
                <w:rFonts w:asciiTheme="minorEastAsia" w:eastAsiaTheme="minorEastAsia" w:hAnsiTheme="minorEastAsia" w:hint="eastAsia"/>
                <w:szCs w:val="21"/>
              </w:rPr>
              <w:t>5</w:t>
            </w:r>
            <w:r w:rsidRPr="00453203">
              <w:rPr>
                <w:rFonts w:asciiTheme="minorEastAsia" w:eastAsiaTheme="minorEastAsia" w:hAnsiTheme="minorEastAsia"/>
                <w:szCs w:val="21"/>
              </w:rPr>
              <w:t>元</w:t>
            </w:r>
          </w:p>
        </w:tc>
      </w:tr>
      <w:tr w:rsidR="00640C24" w:rsidRPr="00453203" w:rsidTr="00550FC0">
        <w:trPr>
          <w:jc w:val="center"/>
        </w:trPr>
        <w:tc>
          <w:tcPr>
            <w:tcW w:w="1243" w:type="dxa"/>
          </w:tcPr>
          <w:p w:rsidR="00FE5546" w:rsidRPr="00453203" w:rsidRDefault="00FE5546" w:rsidP="00643071">
            <w:pPr>
              <w:snapToGrid w:val="0"/>
              <w:spacing w:line="360" w:lineRule="auto"/>
              <w:rPr>
                <w:rFonts w:asciiTheme="minorEastAsia" w:eastAsiaTheme="minorEastAsia" w:hAnsiTheme="minorEastAsia"/>
                <w:szCs w:val="21"/>
              </w:rPr>
            </w:pPr>
            <w:r w:rsidRPr="00453203">
              <w:rPr>
                <w:rFonts w:asciiTheme="minorEastAsia" w:eastAsiaTheme="minorEastAsia" w:hAnsiTheme="minorEastAsia"/>
                <w:szCs w:val="21"/>
              </w:rPr>
              <w:t>10,000</w:t>
            </w:r>
          </w:p>
        </w:tc>
        <w:tc>
          <w:tcPr>
            <w:tcW w:w="1650"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1.00</w:t>
            </w:r>
            <w:r w:rsidRPr="00453203">
              <w:rPr>
                <w:rFonts w:asciiTheme="minorEastAsia" w:eastAsiaTheme="minorEastAsia" w:hAnsiTheme="minorEastAsia" w:hint="eastAsia"/>
                <w:szCs w:val="21"/>
              </w:rPr>
              <w:t>0</w:t>
            </w:r>
            <w:r w:rsidR="000E06D3" w:rsidRPr="00453203">
              <w:rPr>
                <w:rFonts w:asciiTheme="minorEastAsia" w:eastAsiaTheme="minorEastAsia" w:hAnsiTheme="minorEastAsia" w:hint="eastAsia"/>
                <w:szCs w:val="21"/>
              </w:rPr>
              <w:t>0</w:t>
            </w:r>
            <w:r w:rsidRPr="00453203">
              <w:rPr>
                <w:rFonts w:asciiTheme="minorEastAsia" w:eastAsiaTheme="minorEastAsia" w:hAnsiTheme="minorEastAsia"/>
                <w:szCs w:val="21"/>
              </w:rPr>
              <w:t>元</w:t>
            </w:r>
          </w:p>
        </w:tc>
        <w:tc>
          <w:tcPr>
            <w:tcW w:w="1436" w:type="dxa"/>
          </w:tcPr>
          <w:p w:rsidR="00FE5546" w:rsidRPr="00453203" w:rsidRDefault="00FE5546" w:rsidP="00643071">
            <w:pPr>
              <w:snapToGrid w:val="0"/>
              <w:spacing w:line="360" w:lineRule="auto"/>
              <w:ind w:firstLine="480"/>
              <w:rPr>
                <w:rFonts w:asciiTheme="minorEastAsia" w:eastAsiaTheme="minorEastAsia" w:hAnsiTheme="minorEastAsia"/>
                <w:szCs w:val="21"/>
              </w:rPr>
            </w:pPr>
            <w:r w:rsidRPr="00453203">
              <w:rPr>
                <w:rFonts w:asciiTheme="minorEastAsia" w:eastAsiaTheme="minorEastAsia" w:hAnsiTheme="minorEastAsia" w:hint="eastAsia"/>
                <w:szCs w:val="21"/>
              </w:rPr>
              <w:t>800天</w:t>
            </w:r>
          </w:p>
        </w:tc>
        <w:tc>
          <w:tcPr>
            <w:tcW w:w="1437"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0%</w:t>
            </w:r>
          </w:p>
        </w:tc>
        <w:tc>
          <w:tcPr>
            <w:tcW w:w="1409" w:type="dxa"/>
          </w:tcPr>
          <w:p w:rsidR="00FE5546" w:rsidRPr="00453203" w:rsidRDefault="00FE5546"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szCs w:val="21"/>
              </w:rPr>
              <w:t>0</w:t>
            </w:r>
          </w:p>
        </w:tc>
        <w:tc>
          <w:tcPr>
            <w:tcW w:w="1457" w:type="dxa"/>
          </w:tcPr>
          <w:p w:rsidR="00FE5546" w:rsidRPr="00453203" w:rsidRDefault="00FE5546" w:rsidP="00643071">
            <w:pPr>
              <w:snapToGrid w:val="0"/>
              <w:spacing w:line="360" w:lineRule="auto"/>
              <w:ind w:firstLineChars="100" w:firstLine="210"/>
              <w:rPr>
                <w:rFonts w:asciiTheme="minorEastAsia" w:eastAsiaTheme="minorEastAsia" w:hAnsiTheme="minorEastAsia"/>
                <w:szCs w:val="21"/>
              </w:rPr>
            </w:pPr>
            <w:r w:rsidRPr="00453203">
              <w:rPr>
                <w:rFonts w:asciiTheme="minorEastAsia" w:eastAsiaTheme="minorEastAsia" w:hAnsiTheme="minorEastAsia"/>
                <w:szCs w:val="21"/>
              </w:rPr>
              <w:t>10,000元</w:t>
            </w:r>
          </w:p>
        </w:tc>
      </w:tr>
    </w:tbl>
    <w:p w:rsidR="00E56E03" w:rsidRPr="00453203" w:rsidRDefault="00E56E03"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szCs w:val="21"/>
        </w:rPr>
        <w:t>（2）C类基金份额</w:t>
      </w:r>
    </w:p>
    <w:p w:rsidR="00E56E03" w:rsidRPr="00453203" w:rsidRDefault="00E56E03" w:rsidP="00E56E03">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某投资人赎回10,000份C类基金份额，假设该笔份额持有期限为3天，则对应的赎回费率为</w:t>
      </w:r>
      <w:r w:rsidR="0072310A" w:rsidRPr="00453203">
        <w:rPr>
          <w:rFonts w:asciiTheme="minorEastAsia" w:eastAsiaTheme="minorEastAsia" w:hAnsiTheme="minorEastAsia" w:hint="eastAsia"/>
          <w:szCs w:val="21"/>
        </w:rPr>
        <w:t>1.5</w:t>
      </w:r>
      <w:r w:rsidRPr="00453203">
        <w:rPr>
          <w:rFonts w:asciiTheme="minorEastAsia" w:eastAsiaTheme="minorEastAsia" w:hAnsiTheme="minorEastAsia" w:hint="eastAsia"/>
          <w:szCs w:val="21"/>
        </w:rPr>
        <w:t>%，假设赎回当日C类份额基金份额净值是1.016元，则其可得到的赎回金额为：</w:t>
      </w:r>
    </w:p>
    <w:p w:rsidR="00E56E03" w:rsidRPr="00453203" w:rsidRDefault="00E56E03" w:rsidP="00E56E03">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赎回费用=10,000×1.016×</w:t>
      </w:r>
      <w:r w:rsidR="0072310A" w:rsidRPr="00453203">
        <w:rPr>
          <w:rFonts w:asciiTheme="minorEastAsia" w:eastAsiaTheme="minorEastAsia" w:hAnsiTheme="minorEastAsia" w:hint="eastAsia"/>
          <w:szCs w:val="21"/>
        </w:rPr>
        <w:t>1.5</w:t>
      </w:r>
      <w:r w:rsidRPr="00453203">
        <w:rPr>
          <w:rFonts w:asciiTheme="minorEastAsia" w:eastAsiaTheme="minorEastAsia" w:hAnsiTheme="minorEastAsia" w:hint="eastAsia"/>
          <w:szCs w:val="21"/>
        </w:rPr>
        <w:t>%＝</w:t>
      </w:r>
      <w:r w:rsidR="0072310A" w:rsidRPr="00453203">
        <w:rPr>
          <w:rFonts w:asciiTheme="minorEastAsia" w:eastAsiaTheme="minorEastAsia" w:hAnsiTheme="minorEastAsia" w:hint="eastAsia"/>
          <w:szCs w:val="21"/>
        </w:rPr>
        <w:t>152.4</w:t>
      </w:r>
      <w:r w:rsidRPr="00453203">
        <w:rPr>
          <w:rFonts w:asciiTheme="minorEastAsia" w:eastAsiaTheme="minorEastAsia" w:hAnsiTheme="minorEastAsia" w:hint="eastAsia"/>
          <w:szCs w:val="21"/>
        </w:rPr>
        <w:t>元</w:t>
      </w:r>
    </w:p>
    <w:p w:rsidR="00E56E03" w:rsidRPr="00453203" w:rsidRDefault="00E56E03" w:rsidP="00E56E03">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赎回金额=10,000×1.016-</w:t>
      </w:r>
      <w:r w:rsidR="0072310A" w:rsidRPr="00453203">
        <w:rPr>
          <w:rFonts w:asciiTheme="minorEastAsia" w:eastAsiaTheme="minorEastAsia" w:hAnsiTheme="minorEastAsia" w:hint="eastAsia"/>
          <w:szCs w:val="21"/>
        </w:rPr>
        <w:t>152.4</w:t>
      </w:r>
      <w:r w:rsidRPr="00453203">
        <w:rPr>
          <w:rFonts w:asciiTheme="minorEastAsia" w:eastAsiaTheme="minorEastAsia" w:hAnsiTheme="minorEastAsia" w:hint="eastAsia"/>
          <w:szCs w:val="21"/>
        </w:rPr>
        <w:t>＝</w:t>
      </w:r>
      <w:r w:rsidR="0072310A" w:rsidRPr="00453203">
        <w:rPr>
          <w:rFonts w:asciiTheme="minorEastAsia" w:eastAsiaTheme="minorEastAsia" w:hAnsiTheme="minorEastAsia" w:hint="eastAsia"/>
          <w:szCs w:val="21"/>
        </w:rPr>
        <w:t>10</w:t>
      </w:r>
      <w:r w:rsidR="0072310A" w:rsidRPr="00453203">
        <w:rPr>
          <w:rFonts w:asciiTheme="minorEastAsia" w:eastAsiaTheme="minorEastAsia" w:hAnsiTheme="minorEastAsia"/>
          <w:szCs w:val="21"/>
        </w:rPr>
        <w:t>,</w:t>
      </w:r>
      <w:r w:rsidR="0072310A" w:rsidRPr="00453203">
        <w:rPr>
          <w:rFonts w:asciiTheme="minorEastAsia" w:eastAsiaTheme="minorEastAsia" w:hAnsiTheme="minorEastAsia" w:hint="eastAsia"/>
          <w:szCs w:val="21"/>
        </w:rPr>
        <w:t>007.6</w:t>
      </w:r>
      <w:r w:rsidRPr="00453203">
        <w:rPr>
          <w:rFonts w:asciiTheme="minorEastAsia" w:eastAsiaTheme="minorEastAsia" w:hAnsiTheme="minorEastAsia" w:hint="eastAsia"/>
          <w:szCs w:val="21"/>
        </w:rPr>
        <w:t>元</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赎回</w:t>
      </w:r>
      <w:r w:rsidR="00F86147" w:rsidRPr="00453203">
        <w:rPr>
          <w:rFonts w:asciiTheme="minorEastAsia" w:eastAsiaTheme="minorEastAsia" w:hAnsiTheme="minorEastAsia" w:hint="eastAsia"/>
          <w:szCs w:val="21"/>
        </w:rPr>
        <w:t>总</w:t>
      </w:r>
      <w:r w:rsidRPr="00453203">
        <w:rPr>
          <w:rFonts w:asciiTheme="minorEastAsia" w:eastAsiaTheme="minorEastAsia" w:hAnsiTheme="minorEastAsia" w:hint="eastAsia"/>
          <w:szCs w:val="21"/>
        </w:rPr>
        <w:t>金额、赎回费用以人民币元为单位，四舍五入，保留小数点后两位，由此产生的误差计入基金财产</w:t>
      </w:r>
      <w:r w:rsidRPr="00453203">
        <w:rPr>
          <w:rFonts w:asciiTheme="minorEastAsia" w:eastAsiaTheme="minorEastAsia" w:hAnsiTheme="minorEastAsia"/>
          <w:szCs w:val="21"/>
        </w:rPr>
        <w:t>。</w:t>
      </w:r>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3、T日的</w:t>
      </w:r>
      <w:r w:rsidR="00D25308" w:rsidRPr="00453203">
        <w:rPr>
          <w:rFonts w:asciiTheme="minorEastAsia" w:eastAsiaTheme="minorEastAsia" w:hAnsiTheme="minorEastAsia" w:hint="eastAsia"/>
          <w:szCs w:val="21"/>
        </w:rPr>
        <w:t>两类份额的</w:t>
      </w:r>
      <w:r w:rsidRPr="00453203">
        <w:rPr>
          <w:rFonts w:asciiTheme="minorEastAsia" w:eastAsiaTheme="minorEastAsia" w:hAnsiTheme="minorEastAsia" w:hint="eastAsia"/>
          <w:szCs w:val="21"/>
        </w:rPr>
        <w:t>基金份额净值在当天收市后计算，并在T+1日内公告。遇特殊情况，可以适当延迟计算或公告。其计算公式为：</w:t>
      </w:r>
    </w:p>
    <w:p w:rsidR="00FE5546" w:rsidRPr="00453203" w:rsidRDefault="00E56E03"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该类</w:t>
      </w:r>
      <w:r w:rsidR="00FE5546" w:rsidRPr="00453203">
        <w:rPr>
          <w:rFonts w:asciiTheme="minorEastAsia" w:eastAsiaTheme="minorEastAsia" w:hAnsiTheme="minorEastAsia" w:hint="eastAsia"/>
          <w:szCs w:val="21"/>
        </w:rPr>
        <w:t>基金份额净值=计算日</w:t>
      </w:r>
      <w:r w:rsidRPr="00453203">
        <w:rPr>
          <w:rFonts w:asciiTheme="minorEastAsia" w:eastAsiaTheme="minorEastAsia" w:hAnsiTheme="minorEastAsia" w:hint="eastAsia"/>
          <w:szCs w:val="21"/>
        </w:rPr>
        <w:t>该类</w:t>
      </w:r>
      <w:r w:rsidR="00FE5546" w:rsidRPr="00453203">
        <w:rPr>
          <w:rFonts w:asciiTheme="minorEastAsia" w:eastAsiaTheme="minorEastAsia" w:hAnsiTheme="minorEastAsia" w:hint="eastAsia"/>
          <w:szCs w:val="21"/>
        </w:rPr>
        <w:t>基金资产净值÷计算日</w:t>
      </w:r>
      <w:r w:rsidRPr="00453203">
        <w:rPr>
          <w:rFonts w:asciiTheme="minorEastAsia" w:eastAsiaTheme="minorEastAsia" w:hAnsiTheme="minorEastAsia" w:hint="eastAsia"/>
          <w:szCs w:val="21"/>
        </w:rPr>
        <w:t>该类</w:t>
      </w:r>
      <w:r w:rsidR="00FE5546" w:rsidRPr="00453203">
        <w:rPr>
          <w:rFonts w:asciiTheme="minorEastAsia" w:eastAsiaTheme="minorEastAsia" w:hAnsiTheme="minorEastAsia" w:hint="eastAsia"/>
          <w:szCs w:val="21"/>
        </w:rPr>
        <w:t>基金总份额</w:t>
      </w:r>
    </w:p>
    <w:p w:rsidR="004F364D"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4、</w:t>
      </w:r>
      <w:r w:rsidR="0000156A" w:rsidRPr="00453203">
        <w:rPr>
          <w:rFonts w:asciiTheme="minorEastAsia" w:eastAsiaTheme="minorEastAsia" w:hAnsiTheme="minorEastAsia" w:hint="eastAsia"/>
          <w:szCs w:val="21"/>
        </w:rPr>
        <w:t>投资者可将其持有的全部或部分基金份额赎回。赎回费用由基金赎回人承担，在投资者赎回本基金份额时收取，</w:t>
      </w:r>
      <w:r w:rsidR="006902C2" w:rsidRPr="00453203">
        <w:rPr>
          <w:rFonts w:asciiTheme="minorEastAsia" w:eastAsiaTheme="minorEastAsia" w:hAnsiTheme="minorEastAsia" w:hint="eastAsia"/>
          <w:szCs w:val="21"/>
        </w:rPr>
        <w:t>其中对持续持有期大于7天（含）的A类基金份额的投资者收取的赎回费的25%归入基金财产，其余用于支付注册登记费和其他必要的手续费，对C类基金份额的投资者收取的赎回费全额计入基金财产。对持续持有期少于7天（不含）的A类基金份额、C类基金份额的投资者收取的赎回费</w:t>
      </w:r>
      <w:r w:rsidR="00287DB3" w:rsidRPr="00453203">
        <w:rPr>
          <w:rFonts w:asciiTheme="minorEastAsia" w:eastAsiaTheme="minorEastAsia" w:hAnsiTheme="minorEastAsia" w:hint="eastAsia"/>
          <w:szCs w:val="21"/>
        </w:rPr>
        <w:t>率</w:t>
      </w:r>
      <w:r w:rsidR="006902C2" w:rsidRPr="00453203">
        <w:rPr>
          <w:rFonts w:asciiTheme="minorEastAsia" w:eastAsiaTheme="minorEastAsia" w:hAnsiTheme="minorEastAsia" w:hint="eastAsia"/>
          <w:szCs w:val="21"/>
        </w:rPr>
        <w:t>为1.5%，并将上述对持续持有期少于7天（不含）的投资者收取的赎回费全额计入基金财产。</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45" w:name="_Toc34834700"/>
      <w:r w:rsidRPr="00453203">
        <w:rPr>
          <w:rFonts w:asciiTheme="minorEastAsia" w:eastAsiaTheme="minorEastAsia" w:hAnsiTheme="minorEastAsia" w:hint="eastAsia"/>
          <w:sz w:val="21"/>
          <w:szCs w:val="21"/>
        </w:rPr>
        <w:t>（</w:t>
      </w:r>
      <w:r w:rsidR="00FE5546" w:rsidRPr="00453203">
        <w:rPr>
          <w:rFonts w:asciiTheme="minorEastAsia" w:eastAsiaTheme="minorEastAsia" w:hAnsiTheme="minorEastAsia" w:hint="eastAsia"/>
          <w:sz w:val="21"/>
          <w:szCs w:val="21"/>
        </w:rPr>
        <w:t>九</w:t>
      </w:r>
      <w:r w:rsidRPr="00453203">
        <w:rPr>
          <w:rFonts w:asciiTheme="minorEastAsia" w:eastAsiaTheme="minorEastAsia" w:hAnsiTheme="minorEastAsia" w:hint="eastAsia"/>
          <w:sz w:val="21"/>
          <w:szCs w:val="21"/>
        </w:rPr>
        <w:t>）申购、赎回的注册登记</w:t>
      </w:r>
      <w:bookmarkEnd w:id="45"/>
    </w:p>
    <w:p w:rsidR="00FE5546" w:rsidRPr="00453203" w:rsidRDefault="00FE5546"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1、投资者申购基金成功后，正常情况下，基金注册登记机构在T+1日为投资者增加权益并办理注册登记手续，投资者自T+2日（含</w:t>
      </w:r>
      <w:r w:rsidR="00A72E49" w:rsidRPr="00453203">
        <w:rPr>
          <w:rFonts w:asciiTheme="minorEastAsia" w:eastAsiaTheme="minorEastAsia" w:hAnsiTheme="minorEastAsia" w:hint="eastAsia"/>
          <w:szCs w:val="21"/>
        </w:rPr>
        <w:t>该日</w:t>
      </w:r>
      <w:r w:rsidRPr="00453203">
        <w:rPr>
          <w:rFonts w:asciiTheme="minorEastAsia" w:eastAsiaTheme="minorEastAsia" w:hAnsiTheme="minorEastAsia" w:hint="eastAsia"/>
          <w:szCs w:val="21"/>
        </w:rPr>
        <w:t>）后有权赎回该部分基金份额。</w:t>
      </w:r>
    </w:p>
    <w:p w:rsidR="00D11F67" w:rsidRPr="00453203" w:rsidRDefault="00D11F67"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2、投资者赎回基金成功后，正常情况下，基金注册登记机构在</w:t>
      </w:r>
      <w:r w:rsidRPr="00453203">
        <w:rPr>
          <w:rFonts w:asciiTheme="minorEastAsia" w:eastAsiaTheme="minorEastAsia" w:hAnsiTheme="minorEastAsia"/>
          <w:szCs w:val="21"/>
        </w:rPr>
        <w:t>T+1</w:t>
      </w:r>
      <w:r w:rsidRPr="00453203">
        <w:rPr>
          <w:rFonts w:asciiTheme="minorEastAsia" w:eastAsiaTheme="minorEastAsia" w:hAnsiTheme="minorEastAsia" w:hint="eastAsia"/>
          <w:szCs w:val="21"/>
        </w:rPr>
        <w:t>日为投资者办理扣除权益的注册登记手续。</w:t>
      </w:r>
    </w:p>
    <w:p w:rsidR="00D11F67" w:rsidRPr="00453203" w:rsidRDefault="00D11F67" w:rsidP="00643071">
      <w:pPr>
        <w:snapToGrid w:val="0"/>
        <w:spacing w:line="360" w:lineRule="auto"/>
        <w:ind w:firstLineChars="202" w:firstLine="424"/>
        <w:rPr>
          <w:rFonts w:asciiTheme="minorEastAsia" w:eastAsiaTheme="minorEastAsia" w:hAnsiTheme="minorEastAsia"/>
          <w:szCs w:val="21"/>
        </w:rPr>
      </w:pPr>
      <w:r w:rsidRPr="00453203">
        <w:rPr>
          <w:rFonts w:asciiTheme="minorEastAsia" w:eastAsiaTheme="minorEastAsia" w:hAnsiTheme="minorEastAsia" w:hint="eastAsia"/>
          <w:szCs w:val="21"/>
        </w:rPr>
        <w:t>基金管理人可以在法律法规允许的范围内，对上述注册登记办理时间进行调整，并最迟于开始实施前2日在</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公告。</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46" w:name="_Toc34834701"/>
      <w:r w:rsidRPr="00453203">
        <w:rPr>
          <w:rFonts w:asciiTheme="minorEastAsia" w:eastAsiaTheme="minorEastAsia" w:hAnsiTheme="minorEastAsia" w:hint="eastAsia"/>
          <w:sz w:val="21"/>
          <w:szCs w:val="21"/>
        </w:rPr>
        <w:t>（</w:t>
      </w:r>
      <w:r w:rsidR="00FE5546" w:rsidRPr="00453203">
        <w:rPr>
          <w:rFonts w:asciiTheme="minorEastAsia" w:eastAsiaTheme="minorEastAsia" w:hAnsiTheme="minorEastAsia" w:hint="eastAsia"/>
          <w:sz w:val="21"/>
          <w:szCs w:val="21"/>
        </w:rPr>
        <w:t>十</w:t>
      </w:r>
      <w:r w:rsidRPr="00453203">
        <w:rPr>
          <w:rFonts w:asciiTheme="minorEastAsia" w:eastAsiaTheme="minorEastAsia" w:hAnsiTheme="minorEastAsia" w:hint="eastAsia"/>
          <w:sz w:val="21"/>
          <w:szCs w:val="21"/>
        </w:rPr>
        <w:t>）巨额赎回的认定及处理方式</w:t>
      </w:r>
      <w:bookmarkEnd w:id="46"/>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1、巨额赎回的认定</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本基金单个开放日，基金净赎回申请（赎回申请总数加上基金转换中转出申请份额总数后扣除申购申请总数及基金转换中转入申请份额总数后的余额）超过上一日基金总份额的</w:t>
      </w:r>
      <w:r w:rsidRPr="00453203">
        <w:rPr>
          <w:rFonts w:asciiTheme="minorEastAsia" w:eastAsiaTheme="minorEastAsia" w:hAnsiTheme="minorEastAsia"/>
        </w:rPr>
        <w:t>10%</w:t>
      </w:r>
      <w:r w:rsidRPr="00453203">
        <w:rPr>
          <w:rFonts w:asciiTheme="minorEastAsia" w:eastAsiaTheme="minorEastAsia" w:hAnsiTheme="minorEastAsia" w:hint="eastAsia"/>
        </w:rPr>
        <w:t>时，即认为发生了巨额赎回。</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lastRenderedPageBreak/>
        <w:t>2、巨额赎回的处理方式</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当出现巨额赎回时，基金管理人可以根据本基金当时的资产组合状况决定全额赎回或部分顺延赎回。</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（1</w:t>
      </w:r>
      <w:r w:rsidRPr="00453203">
        <w:rPr>
          <w:rFonts w:asciiTheme="minorEastAsia" w:eastAsiaTheme="minorEastAsia" w:hAnsiTheme="minorEastAsia"/>
        </w:rPr>
        <w:t>）</w:t>
      </w:r>
      <w:r w:rsidRPr="00453203">
        <w:rPr>
          <w:rFonts w:asciiTheme="minorEastAsia" w:eastAsiaTheme="minorEastAsia" w:hAnsiTheme="minorEastAsia" w:hint="eastAsia"/>
        </w:rPr>
        <w:t>全额赎回：当基金管理人认为有能力支付投资者的全部赎回申请时，按正常赎回程序执行。</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（2）部分顺延赎回：当基金管理人认为支付投资者的赎回申请有困难或认为支付投资者的赎回申请可能会对基金的资产净值造成较大波动时，基金管理人在当日接受赎回比例不低于上一日基金总份额的</w:t>
      </w:r>
      <w:r w:rsidRPr="00453203">
        <w:rPr>
          <w:rFonts w:asciiTheme="minorEastAsia" w:eastAsiaTheme="minorEastAsia" w:hAnsiTheme="minorEastAsia"/>
        </w:rPr>
        <w:t>10</w:t>
      </w:r>
      <w:r w:rsidRPr="00453203">
        <w:rPr>
          <w:rFonts w:asciiTheme="minorEastAsia" w:eastAsiaTheme="minorEastAsia" w:hAnsiTheme="minorEastAsia" w:hint="eastAsia"/>
        </w:rPr>
        <w:t>%</w:t>
      </w:r>
      <w:r w:rsidRPr="00453203">
        <w:rPr>
          <w:rFonts w:asciiTheme="minorEastAsia" w:eastAsiaTheme="minorEastAsia" w:hAnsiTheme="minorEastAsia"/>
        </w:rPr>
        <w:t>的前提下，对其余赎回申请延期予以办理。对于</w:t>
      </w:r>
      <w:r w:rsidRPr="00453203">
        <w:rPr>
          <w:rFonts w:asciiTheme="minorEastAsia" w:eastAsiaTheme="minorEastAsia" w:hAnsiTheme="minorEastAsia" w:hint="eastAsia"/>
        </w:rPr>
        <w:t>单个基金份额持有人</w:t>
      </w:r>
      <w:r w:rsidRPr="00453203">
        <w:rPr>
          <w:rFonts w:asciiTheme="minorEastAsia" w:eastAsiaTheme="minorEastAsia" w:hAnsiTheme="minorEastAsia"/>
        </w:rPr>
        <w:t>的赎回申请，应当按</w:t>
      </w:r>
      <w:r w:rsidRPr="00453203">
        <w:rPr>
          <w:rFonts w:asciiTheme="minorEastAsia" w:eastAsiaTheme="minorEastAsia" w:hAnsiTheme="minorEastAsia" w:hint="eastAsia"/>
        </w:rPr>
        <w:t>照其申请赎回份额</w:t>
      </w:r>
      <w:r w:rsidRPr="00453203">
        <w:rPr>
          <w:rFonts w:asciiTheme="minorEastAsia" w:eastAsiaTheme="minorEastAsia" w:hAnsiTheme="minorEastAsia"/>
        </w:rPr>
        <w:t>占</w:t>
      </w:r>
      <w:r w:rsidRPr="00453203">
        <w:rPr>
          <w:rFonts w:asciiTheme="minorEastAsia" w:eastAsiaTheme="minorEastAsia" w:hAnsiTheme="minorEastAsia" w:hint="eastAsia"/>
        </w:rPr>
        <w:t>当日申请</w:t>
      </w:r>
      <w:r w:rsidRPr="00453203">
        <w:rPr>
          <w:rFonts w:asciiTheme="minorEastAsia" w:eastAsiaTheme="minorEastAsia" w:hAnsiTheme="minorEastAsia"/>
        </w:rPr>
        <w:t>赎回总</w:t>
      </w:r>
      <w:r w:rsidRPr="00453203">
        <w:rPr>
          <w:rFonts w:asciiTheme="minorEastAsia" w:eastAsiaTheme="minorEastAsia" w:hAnsiTheme="minorEastAsia" w:hint="eastAsia"/>
        </w:rPr>
        <w:t>份额</w:t>
      </w:r>
      <w:r w:rsidRPr="00453203">
        <w:rPr>
          <w:rFonts w:asciiTheme="minorEastAsia" w:eastAsiaTheme="minorEastAsia" w:hAnsiTheme="minorEastAsia"/>
        </w:rPr>
        <w:t>的比例，确定</w:t>
      </w:r>
      <w:r w:rsidRPr="00453203">
        <w:rPr>
          <w:rFonts w:asciiTheme="minorEastAsia" w:eastAsiaTheme="minorEastAsia" w:hAnsiTheme="minorEastAsia" w:hint="eastAsia"/>
        </w:rPr>
        <w:t>该单个基金份额持有人</w:t>
      </w:r>
      <w:r w:rsidRPr="00453203">
        <w:rPr>
          <w:rFonts w:asciiTheme="minorEastAsia" w:eastAsiaTheme="minorEastAsia" w:hAnsiTheme="minorEastAsia"/>
        </w:rPr>
        <w:t>当日</w:t>
      </w:r>
      <w:r w:rsidRPr="00453203">
        <w:rPr>
          <w:rFonts w:asciiTheme="minorEastAsia" w:eastAsiaTheme="minorEastAsia" w:hAnsiTheme="minorEastAsia" w:hint="eastAsia"/>
        </w:rPr>
        <w:t>办理</w:t>
      </w:r>
      <w:r w:rsidRPr="00453203">
        <w:rPr>
          <w:rFonts w:asciiTheme="minorEastAsia" w:eastAsiaTheme="minorEastAsia" w:hAnsiTheme="minorEastAsia"/>
        </w:rPr>
        <w:t>的赎回份额；</w:t>
      </w:r>
      <w:r w:rsidRPr="00453203">
        <w:rPr>
          <w:rFonts w:asciiTheme="minorEastAsia" w:eastAsiaTheme="minorEastAsia" w:hAnsiTheme="minorEastAsia" w:hint="eastAsia"/>
        </w:rPr>
        <w:t>投资者未能赎回部分，除投资者在提交赎回申请时选择将当日未获办理部分予以撤销外，延迟至下一个开放日办理，赎回价格为下一个开放日</w:t>
      </w:r>
      <w:r w:rsidR="00701316" w:rsidRPr="00453203">
        <w:rPr>
          <w:rFonts w:asciiTheme="minorEastAsia" w:eastAsiaTheme="minorEastAsia" w:hAnsiTheme="minorEastAsia" w:hint="eastAsia"/>
        </w:rPr>
        <w:t>该类基金份额</w:t>
      </w:r>
      <w:r w:rsidRPr="00453203">
        <w:rPr>
          <w:rFonts w:asciiTheme="minorEastAsia" w:eastAsiaTheme="minorEastAsia" w:hAnsiTheme="minorEastAsia" w:hint="eastAsia"/>
        </w:rPr>
        <w:t>的价格。依照上述规定转入下一个开放日的赎回不享有赎回优先权，并以此类推，直到全部赎回为止。部分顺延赎回不受单笔赎回最低份额的限制。</w:t>
      </w:r>
    </w:p>
    <w:p w:rsidR="00DF43A5" w:rsidRPr="00453203" w:rsidRDefault="003B2D76"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（3）巨额赎回的公告：当发生巨额赎回并顺延赎回时，基金管理人应在2日内通过</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及基金管理人的公司网站或基金</w:t>
      </w:r>
      <w:r w:rsidR="00472648" w:rsidRPr="00453203">
        <w:rPr>
          <w:rFonts w:asciiTheme="minorEastAsia" w:eastAsiaTheme="minorEastAsia" w:hAnsiTheme="minorEastAsia" w:hint="eastAsia"/>
        </w:rPr>
        <w:t>销售</w:t>
      </w:r>
      <w:r w:rsidRPr="00453203">
        <w:rPr>
          <w:rFonts w:asciiTheme="minorEastAsia" w:eastAsiaTheme="minorEastAsia" w:hAnsiTheme="minorEastAsia" w:hint="eastAsia"/>
        </w:rPr>
        <w:t>机构的网点刊登公告。同时以</w:t>
      </w:r>
      <w:r w:rsidRPr="00453203">
        <w:rPr>
          <w:rFonts w:asciiTheme="minorEastAsia" w:eastAsiaTheme="minorEastAsia" w:hAnsiTheme="minorEastAsia"/>
        </w:rPr>
        <w:t>邮寄、传真</w:t>
      </w:r>
      <w:r w:rsidRPr="00453203">
        <w:rPr>
          <w:rFonts w:asciiTheme="minorEastAsia" w:eastAsiaTheme="minorEastAsia" w:hAnsiTheme="minorEastAsia" w:hint="eastAsia"/>
        </w:rPr>
        <w:t>或招募说明书规定的其他方式</w:t>
      </w:r>
      <w:r w:rsidRPr="00453203">
        <w:rPr>
          <w:rFonts w:asciiTheme="minorEastAsia" w:eastAsiaTheme="minorEastAsia" w:hAnsiTheme="minorEastAsia"/>
        </w:rPr>
        <w:t>通知基金份额持有人</w:t>
      </w:r>
      <w:r w:rsidRPr="00453203">
        <w:rPr>
          <w:rFonts w:asciiTheme="minorEastAsia" w:eastAsiaTheme="minorEastAsia" w:hAnsiTheme="minorEastAsia" w:hint="eastAsia"/>
        </w:rPr>
        <w:t>，并说明有关处理方法。</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本基金连续2个开放日以上发生巨额赎回，如基金管理人认为有必要，可暂停接受赎回申请；已经接受的赎回申请可以延缓支付赎回款项，但不得超过</w:t>
      </w:r>
      <w:r w:rsidRPr="00453203">
        <w:rPr>
          <w:rFonts w:asciiTheme="minorEastAsia" w:eastAsiaTheme="minorEastAsia" w:hAnsiTheme="minorEastAsia"/>
        </w:rPr>
        <w:t>20</w:t>
      </w:r>
      <w:r w:rsidRPr="00453203">
        <w:rPr>
          <w:rFonts w:asciiTheme="minorEastAsia" w:eastAsiaTheme="minorEastAsia" w:hAnsiTheme="minorEastAsia" w:hint="eastAsia"/>
        </w:rPr>
        <w:t>个工作日，并</w:t>
      </w:r>
      <w:r w:rsidR="00621B67" w:rsidRPr="00453203">
        <w:rPr>
          <w:rFonts w:asciiTheme="minorEastAsia" w:eastAsiaTheme="minorEastAsia" w:hAnsiTheme="minorEastAsia" w:hint="eastAsia"/>
        </w:rPr>
        <w:t>在2日内</w:t>
      </w:r>
      <w:r w:rsidRPr="00453203">
        <w:rPr>
          <w:rFonts w:asciiTheme="minorEastAsia" w:eastAsiaTheme="minorEastAsia" w:hAnsiTheme="minorEastAsia" w:hint="eastAsia"/>
        </w:rPr>
        <w:t>在至少一家</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公告。</w:t>
      </w:r>
    </w:p>
    <w:p w:rsidR="00641A31"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47" w:name="_Toc34834702"/>
      <w:r w:rsidRPr="00453203">
        <w:rPr>
          <w:rFonts w:asciiTheme="minorEastAsia" w:eastAsiaTheme="minorEastAsia" w:hAnsiTheme="minorEastAsia" w:hint="eastAsia"/>
          <w:sz w:val="21"/>
          <w:szCs w:val="21"/>
        </w:rPr>
        <w:t>（</w:t>
      </w:r>
      <w:r w:rsidR="00FE5546" w:rsidRPr="00453203">
        <w:rPr>
          <w:rFonts w:asciiTheme="minorEastAsia" w:eastAsiaTheme="minorEastAsia" w:hAnsiTheme="minorEastAsia" w:hint="eastAsia"/>
          <w:sz w:val="21"/>
          <w:szCs w:val="21"/>
        </w:rPr>
        <w:t>十一</w:t>
      </w:r>
      <w:r w:rsidRPr="00453203">
        <w:rPr>
          <w:rFonts w:asciiTheme="minorEastAsia" w:eastAsiaTheme="minorEastAsia" w:hAnsiTheme="minorEastAsia" w:hint="eastAsia"/>
          <w:sz w:val="21"/>
          <w:szCs w:val="21"/>
        </w:rPr>
        <w:t>）</w:t>
      </w:r>
      <w:r w:rsidR="000E16BA" w:rsidRPr="00453203">
        <w:rPr>
          <w:rFonts w:asciiTheme="minorEastAsia" w:eastAsiaTheme="minorEastAsia" w:hAnsiTheme="minorEastAsia" w:hint="eastAsia"/>
          <w:bCs/>
          <w:sz w:val="21"/>
          <w:szCs w:val="21"/>
        </w:rPr>
        <w:t>拒绝或暂停申购</w:t>
      </w:r>
      <w:r w:rsidR="00AB21C7" w:rsidRPr="00453203">
        <w:rPr>
          <w:rFonts w:asciiTheme="minorEastAsia" w:eastAsiaTheme="minorEastAsia" w:hAnsiTheme="minorEastAsia" w:hint="eastAsia"/>
          <w:bCs/>
          <w:sz w:val="21"/>
          <w:szCs w:val="21"/>
        </w:rPr>
        <w:t>、赎回</w:t>
      </w:r>
      <w:r w:rsidR="000E16BA" w:rsidRPr="00453203">
        <w:rPr>
          <w:rFonts w:asciiTheme="minorEastAsia" w:eastAsiaTheme="minorEastAsia" w:hAnsiTheme="minorEastAsia" w:hint="eastAsia"/>
          <w:bCs/>
          <w:sz w:val="21"/>
          <w:szCs w:val="21"/>
        </w:rPr>
        <w:t>的情形及处理方式</w:t>
      </w:r>
      <w:bookmarkEnd w:id="47"/>
    </w:p>
    <w:p w:rsidR="00FE5546" w:rsidRPr="00453203" w:rsidRDefault="00FE5546"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1、除</w:t>
      </w:r>
      <w:r w:rsidR="008F2DA5" w:rsidRPr="00453203">
        <w:rPr>
          <w:rFonts w:asciiTheme="minorEastAsia" w:eastAsiaTheme="minorEastAsia" w:hAnsiTheme="minorEastAsia" w:hint="eastAsia"/>
        </w:rPr>
        <w:t>非</w:t>
      </w:r>
      <w:r w:rsidRPr="00453203">
        <w:rPr>
          <w:rFonts w:asciiTheme="minorEastAsia" w:eastAsiaTheme="minorEastAsia" w:hAnsiTheme="minorEastAsia" w:hint="eastAsia"/>
        </w:rPr>
        <w:t>出现如下情形，基金管理人不得拒绝或暂停接受基金投资者的申购申请：</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（1）不可抗力的原因导致基金无法正常运作；</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（2）证券交易场所在交易时间非正常停市或依法决定临时停市，导致当日基金资产净值无法计算；</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（3）基金资产规模过大，使基金管理人无法找到合适的投资品种，或可能对基金业绩产生负面影响，从而损害现有基金份额持有人的利益；</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（4）目标</w:t>
      </w:r>
      <w:r w:rsidRPr="00453203">
        <w:rPr>
          <w:rFonts w:asciiTheme="minorEastAsia" w:eastAsiaTheme="minorEastAsia" w:hAnsiTheme="minorEastAsia"/>
        </w:rPr>
        <w:t>ETF</w:t>
      </w:r>
      <w:r w:rsidRPr="00453203">
        <w:rPr>
          <w:rFonts w:asciiTheme="minorEastAsia" w:eastAsiaTheme="minorEastAsia" w:hAnsiTheme="minorEastAsia" w:hint="eastAsia"/>
        </w:rPr>
        <w:t>暂停估值，导致基金管理人无法计算当日基金资产净值；</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（5）目标ETF暂停申购、暂停上市或目标ETF停牌，基金管理人认为有必要暂停本基金申购的；</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（6）发生《基金合同》规定的暂停基金资产估值的情况；</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lastRenderedPageBreak/>
        <w:t>（7）</w:t>
      </w:r>
      <w:r w:rsidRPr="00453203">
        <w:rPr>
          <w:rFonts w:asciiTheme="minorEastAsia" w:eastAsiaTheme="minorEastAsia" w:hAnsiTheme="minorEastAsia"/>
        </w:rPr>
        <w:t>本基金的资产组合中的重要部分发生暂停交易或其他重大事件，继续接受申购可能会影响或损害其他基金份额持有人利益时</w:t>
      </w:r>
      <w:r w:rsidRPr="00453203">
        <w:rPr>
          <w:rFonts w:asciiTheme="minorEastAsia" w:eastAsiaTheme="minorEastAsia" w:hAnsiTheme="minorEastAsia" w:hint="eastAsia"/>
        </w:rPr>
        <w:t>；</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（8）基金管理人、基金托管人、基金</w:t>
      </w:r>
      <w:r w:rsidR="00472648" w:rsidRPr="00453203">
        <w:rPr>
          <w:rFonts w:asciiTheme="minorEastAsia" w:eastAsiaTheme="minorEastAsia" w:hAnsiTheme="minorEastAsia" w:hint="eastAsia"/>
        </w:rPr>
        <w:t>销售</w:t>
      </w:r>
      <w:r w:rsidRPr="00453203">
        <w:rPr>
          <w:rFonts w:asciiTheme="minorEastAsia" w:eastAsiaTheme="minorEastAsia" w:hAnsiTheme="minorEastAsia" w:hint="eastAsia"/>
        </w:rPr>
        <w:t>机构或基金注册登记机构因技术故障或人员伤亡导致基金销售系统或基金注册登记系统或基金会计系统无法正常运行时；</w:t>
      </w:r>
    </w:p>
    <w:p w:rsidR="00972985" w:rsidRPr="00453203" w:rsidRDefault="00972985" w:rsidP="00972985">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9）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972985" w:rsidRPr="00453203" w:rsidRDefault="00972985" w:rsidP="00972985">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10）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w:t>
      </w:r>
      <w:r w:rsidR="00972985" w:rsidRPr="00453203">
        <w:rPr>
          <w:rFonts w:asciiTheme="minorEastAsia" w:eastAsiaTheme="minorEastAsia" w:hAnsiTheme="minorEastAsia"/>
        </w:rPr>
        <w:t>11</w:t>
      </w:r>
      <w:r w:rsidRPr="00453203">
        <w:rPr>
          <w:rFonts w:asciiTheme="minorEastAsia" w:eastAsiaTheme="minorEastAsia" w:hAnsiTheme="minorEastAsia" w:hint="eastAsia"/>
        </w:rPr>
        <w:t>）法律法规规定或中国证监会认定的其他可暂停申购的情形；</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w:t>
      </w:r>
      <w:r w:rsidR="00972985" w:rsidRPr="00453203">
        <w:rPr>
          <w:rFonts w:asciiTheme="minorEastAsia" w:eastAsiaTheme="minorEastAsia" w:hAnsiTheme="minorEastAsia"/>
        </w:rPr>
        <w:t>12</w:t>
      </w:r>
      <w:r w:rsidRPr="00453203">
        <w:rPr>
          <w:rFonts w:asciiTheme="minorEastAsia" w:eastAsiaTheme="minorEastAsia" w:hAnsiTheme="minorEastAsia" w:hint="eastAsia"/>
        </w:rPr>
        <w:t>）基金管理人认为会有损于现有基金份额持有人利益的某笔申购。</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发生上述情形之一且基金管理人决定暂停或拒绝基金投资者的申购申请的，申购款项将全额退还投资者。发生上述（</w:t>
      </w:r>
      <w:r w:rsidRPr="00453203">
        <w:rPr>
          <w:rFonts w:asciiTheme="minorEastAsia" w:eastAsiaTheme="minorEastAsia" w:hAnsiTheme="minorEastAsia"/>
        </w:rPr>
        <w:t>1</w:t>
      </w:r>
      <w:r w:rsidRPr="00453203">
        <w:rPr>
          <w:rFonts w:asciiTheme="minorEastAsia" w:eastAsiaTheme="minorEastAsia" w:hAnsiTheme="minorEastAsia" w:hint="eastAsia"/>
        </w:rPr>
        <w:t>）到（</w:t>
      </w:r>
      <w:r w:rsidR="003B2D76" w:rsidRPr="00453203">
        <w:rPr>
          <w:rFonts w:asciiTheme="minorEastAsia" w:eastAsiaTheme="minorEastAsia" w:hAnsiTheme="minorEastAsia"/>
        </w:rPr>
        <w:t>11</w:t>
      </w:r>
      <w:r w:rsidRPr="00453203">
        <w:rPr>
          <w:rFonts w:asciiTheme="minorEastAsia" w:eastAsiaTheme="minorEastAsia" w:hAnsiTheme="minorEastAsia" w:hint="eastAsia"/>
        </w:rPr>
        <w:t>）项暂停申购情形时，基金管理人应当在至少一家</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刊登暂停申购公告。基金管理人及基金托管人不承担该退回款项产生的利息等损失。</w:t>
      </w:r>
      <w:r w:rsidRPr="00453203">
        <w:rPr>
          <w:rFonts w:asciiTheme="minorEastAsia" w:eastAsiaTheme="minorEastAsia" w:hAnsiTheme="minorEastAsia"/>
        </w:rPr>
        <w:t>在暂停申购的情况消除时，基金管理人应及时恢复申购业务的办理</w:t>
      </w:r>
      <w:r w:rsidRPr="00453203">
        <w:rPr>
          <w:rFonts w:asciiTheme="minorEastAsia" w:eastAsiaTheme="minorEastAsia" w:hAnsiTheme="minorEastAsia" w:hint="eastAsia"/>
        </w:rPr>
        <w:t>，按规定在</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公告</w:t>
      </w:r>
      <w:r w:rsidRPr="00453203">
        <w:rPr>
          <w:rFonts w:asciiTheme="minorEastAsia" w:eastAsiaTheme="minorEastAsia" w:hAnsiTheme="minorEastAsia"/>
        </w:rPr>
        <w:t>。</w:t>
      </w:r>
    </w:p>
    <w:p w:rsidR="00FE5546" w:rsidRPr="00453203" w:rsidRDefault="00FE5546"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基金管理人拒绝或暂停接受申购的方式包括：</w:t>
      </w:r>
    </w:p>
    <w:p w:rsidR="00FE5546" w:rsidRPr="00453203" w:rsidRDefault="00FE5546"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（1）拒绝接受、暂停接受某笔或某数笔申购申请；</w:t>
      </w:r>
    </w:p>
    <w:p w:rsidR="00FE5546" w:rsidRPr="00453203" w:rsidRDefault="00FE5546"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（2）拒绝接受、暂停接受某个或某数个工作日的全部申购申请；</w:t>
      </w:r>
    </w:p>
    <w:p w:rsidR="00FE5546" w:rsidRPr="00453203" w:rsidRDefault="00FE5546"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（3）按比例拒绝接受、暂停接受某个或某数个工作日的申购申请。</w:t>
      </w:r>
    </w:p>
    <w:p w:rsidR="00FE5546" w:rsidRPr="00453203" w:rsidRDefault="00FE5546"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2、</w:t>
      </w:r>
      <w:r w:rsidRPr="00453203">
        <w:rPr>
          <w:rFonts w:asciiTheme="minorEastAsia" w:eastAsiaTheme="minorEastAsia" w:hAnsiTheme="minorEastAsia" w:hint="eastAsia"/>
          <w:szCs w:val="21"/>
        </w:rPr>
        <w:t>除非出现如下情形，基金管理人不得拒绝接受或暂停基金份额持有人的赎回申请或者延缓支付赎回款项</w:t>
      </w:r>
      <w:r w:rsidRPr="00453203">
        <w:rPr>
          <w:rFonts w:asciiTheme="minorEastAsia" w:eastAsiaTheme="minorEastAsia" w:hAnsiTheme="minorEastAsia" w:hint="eastAsia"/>
        </w:rPr>
        <w:t>：</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（1）不可抗力的原因导致基金管理人不能支付赎回款项；</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（2）证券交易场所在交易时间非正常停市或依法决定临时停市，导致基金管理人无法计算当日基金资产净值；</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（3）因市场剧烈波动或其他原因而出现连续2个或2个以上开放日巨额赎回，导致本基金的现金支付出现困难；</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（4）目标</w:t>
      </w:r>
      <w:r w:rsidRPr="00453203">
        <w:rPr>
          <w:rFonts w:asciiTheme="minorEastAsia" w:eastAsiaTheme="minorEastAsia" w:hAnsiTheme="minorEastAsia"/>
        </w:rPr>
        <w:t>ETF</w:t>
      </w:r>
      <w:r w:rsidRPr="00453203">
        <w:rPr>
          <w:rFonts w:asciiTheme="minorEastAsia" w:eastAsiaTheme="minorEastAsia" w:hAnsiTheme="minorEastAsia" w:hint="eastAsia"/>
        </w:rPr>
        <w:t>暂停估值，导致基金管理人无法计算当日基金资产净值；</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（5）目标ETF暂停申购、暂停上市或目标ETF停牌，基金管理人认为有必要暂停本基金赎回的；</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（6）发生《基金合同》规定的暂停基金资产估值的情况；</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lastRenderedPageBreak/>
        <w:t>（7）</w:t>
      </w:r>
      <w:r w:rsidRPr="00453203">
        <w:rPr>
          <w:rFonts w:asciiTheme="minorEastAsia" w:eastAsiaTheme="minorEastAsia" w:hAnsiTheme="minorEastAsia"/>
        </w:rPr>
        <w:t>本基金的资产组合中的重要部分发生暂停交易或其他重大事件，继续接受</w:t>
      </w:r>
      <w:r w:rsidRPr="00453203">
        <w:rPr>
          <w:rFonts w:asciiTheme="minorEastAsia" w:eastAsiaTheme="minorEastAsia" w:hAnsiTheme="minorEastAsia" w:hint="eastAsia"/>
        </w:rPr>
        <w:t>赎回</w:t>
      </w:r>
      <w:r w:rsidRPr="00453203">
        <w:rPr>
          <w:rFonts w:asciiTheme="minorEastAsia" w:eastAsiaTheme="minorEastAsia" w:hAnsiTheme="minorEastAsia"/>
        </w:rPr>
        <w:t>可能会影响或损害其他基金份额持有人利益时</w:t>
      </w:r>
      <w:r w:rsidRPr="00453203">
        <w:rPr>
          <w:rFonts w:asciiTheme="minorEastAsia" w:eastAsiaTheme="minorEastAsia" w:hAnsiTheme="minorEastAsia" w:hint="eastAsia"/>
        </w:rPr>
        <w:t>；</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（8）基金管理人、基金托管人、基金</w:t>
      </w:r>
      <w:r w:rsidR="00472648" w:rsidRPr="00453203">
        <w:rPr>
          <w:rFonts w:asciiTheme="minorEastAsia" w:eastAsiaTheme="minorEastAsia" w:hAnsiTheme="minorEastAsia" w:hint="eastAsia"/>
        </w:rPr>
        <w:t>销售</w:t>
      </w:r>
      <w:r w:rsidRPr="00453203">
        <w:rPr>
          <w:rFonts w:asciiTheme="minorEastAsia" w:eastAsiaTheme="minorEastAsia" w:hAnsiTheme="minorEastAsia" w:hint="eastAsia"/>
        </w:rPr>
        <w:t>机构或基金注册登记机构因技术故障或人员伤亡导致基金销售系统或基金注册登记系统或基金会计系统无法正常运行时；</w:t>
      </w:r>
    </w:p>
    <w:p w:rsidR="00972985" w:rsidRPr="00453203" w:rsidRDefault="00972985"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9）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w:t>
      </w:r>
      <w:r w:rsidR="00972985" w:rsidRPr="00453203">
        <w:rPr>
          <w:rFonts w:asciiTheme="minorEastAsia" w:eastAsiaTheme="minorEastAsia" w:hAnsiTheme="minorEastAsia"/>
        </w:rPr>
        <w:t>10</w:t>
      </w:r>
      <w:r w:rsidRPr="00453203">
        <w:rPr>
          <w:rFonts w:asciiTheme="minorEastAsia" w:eastAsiaTheme="minorEastAsia" w:hAnsiTheme="minorEastAsia" w:hint="eastAsia"/>
        </w:rPr>
        <w:t>）法律法规规定或中国证监会认定的其他情形。</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发生上述情形之一且基金管理人拒绝接受或暂停基金份额持有人的赎回申请或者延缓支付赎回款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同时，在出现上述第（</w:t>
      </w:r>
      <w:r w:rsidRPr="00453203">
        <w:rPr>
          <w:rFonts w:asciiTheme="minorEastAsia" w:eastAsiaTheme="minorEastAsia" w:hAnsiTheme="minorEastAsia"/>
        </w:rPr>
        <w:t>3</w:t>
      </w:r>
      <w:r w:rsidRPr="00453203">
        <w:rPr>
          <w:rFonts w:asciiTheme="minorEastAsia" w:eastAsiaTheme="minorEastAsia" w:hAnsiTheme="minorEastAsia" w:hint="eastAsia"/>
        </w:rPr>
        <w:t>）款的情形时，对已接受的赎回申请可延期支付赎回款项，最长不超过</w:t>
      </w:r>
      <w:r w:rsidRPr="00453203">
        <w:rPr>
          <w:rFonts w:asciiTheme="minorEastAsia" w:eastAsiaTheme="minorEastAsia" w:hAnsiTheme="minorEastAsia"/>
        </w:rPr>
        <w:t>20</w:t>
      </w:r>
      <w:r w:rsidRPr="00453203">
        <w:rPr>
          <w:rFonts w:asciiTheme="minorEastAsia" w:eastAsiaTheme="minorEastAsia" w:hAnsiTheme="minorEastAsia" w:hint="eastAsia"/>
        </w:rPr>
        <w:t>个工作日，并在至少一家</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公告。投资者在申请赎回时可事先选择将当日可能未获受理部分予以撤销。</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暂停基金的赎回，基金管理人应及时在至少一家</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刊登暂停赎回公告。</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在暂停赎回的情况消除时，基金管理人应及时恢复赎回业务的办理，并依照有关规定在至少一家</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公告。</w:t>
      </w:r>
    </w:p>
    <w:p w:rsidR="00FE5546" w:rsidRPr="00453203" w:rsidRDefault="00FE5546"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3、</w:t>
      </w:r>
      <w:r w:rsidRPr="00453203">
        <w:rPr>
          <w:rFonts w:asciiTheme="minorEastAsia" w:eastAsiaTheme="minorEastAsia" w:hAnsiTheme="minorEastAsia" w:hint="eastAsia"/>
          <w:szCs w:val="21"/>
        </w:rPr>
        <w:t>重新开放申购或赎回的公告</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如果发生暂停的时间为一天，基金管理人应于重新开放日在至少一家</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刊登基金重新开放申购或赎回的公告并公布最近一个工作日的基金份额净值。</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如果发生暂停的时间超过一天但少于两周，暂停结束基金重新开放申购或赎回时，基金管理人应按照《信息披露办法》或其他相关规定于重新开放申购或赎回日前在至少一家</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刊登基金重新开放申购或赎回的公告，并在重新开始办理申购或赎回的开放日公告最近一个工作日的基金份额净值。</w:t>
      </w:r>
    </w:p>
    <w:p w:rsidR="00CD1E53" w:rsidRPr="00453203" w:rsidRDefault="00CD1E5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如果发生暂停的时间超过两周，暂停期间，基金管理人应每两周至少重复刊登暂停公告一次。暂停结束基金重新开放申购或赎回时，基金管理人应按照《信息披露办法》或其他相关规定于重新开放申购或赎回日前在至少一家</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刊登基金重新开放申购或赎回的公告，并在重新开放申购或赎回日公告最近一个工作日的基金份额净值。</w:t>
      </w:r>
    </w:p>
    <w:p w:rsidR="00763C90" w:rsidRPr="00453203" w:rsidRDefault="00763C90" w:rsidP="00643071">
      <w:pPr>
        <w:snapToGrid w:val="0"/>
        <w:spacing w:line="360" w:lineRule="auto"/>
        <w:ind w:firstLineChars="200" w:firstLine="480"/>
        <w:rPr>
          <w:rFonts w:asciiTheme="minorEastAsia" w:eastAsiaTheme="minorEastAsia" w:hAnsiTheme="minorEastAsia"/>
          <w:sz w:val="24"/>
        </w:rPr>
      </w:pPr>
    </w:p>
    <w:p w:rsidR="00266A27" w:rsidRPr="00453203" w:rsidRDefault="006E02E8" w:rsidP="00741477">
      <w:pPr>
        <w:pStyle w:val="1"/>
        <w:pageBreakBefore/>
        <w:widowControl/>
        <w:snapToGrid w:val="0"/>
        <w:spacing w:beforeLines="0" w:afterLines="0" w:line="360" w:lineRule="auto"/>
        <w:ind w:firstLineChars="0" w:firstLine="0"/>
        <w:rPr>
          <w:rFonts w:asciiTheme="minorEastAsia" w:eastAsiaTheme="minorEastAsia" w:hAnsiTheme="minorEastAsia"/>
        </w:rPr>
      </w:pPr>
      <w:bookmarkStart w:id="48" w:name="_Toc236639827"/>
      <w:bookmarkStart w:id="49" w:name="_Toc236640272"/>
      <w:bookmarkStart w:id="50" w:name="_Toc236640728"/>
      <w:bookmarkStart w:id="51" w:name="_Toc236641051"/>
      <w:bookmarkStart w:id="52" w:name="_Toc91334992"/>
      <w:bookmarkStart w:id="53" w:name="_Toc34834703"/>
      <w:bookmarkEnd w:id="48"/>
      <w:bookmarkEnd w:id="49"/>
      <w:bookmarkEnd w:id="50"/>
      <w:bookmarkEnd w:id="51"/>
      <w:r w:rsidRPr="00453203">
        <w:rPr>
          <w:rFonts w:asciiTheme="minorEastAsia" w:eastAsiaTheme="minorEastAsia" w:hAnsiTheme="minorEastAsia" w:hint="eastAsia"/>
        </w:rPr>
        <w:lastRenderedPageBreak/>
        <w:t>九、</w:t>
      </w:r>
      <w:r w:rsidR="00266A27" w:rsidRPr="00453203">
        <w:rPr>
          <w:rFonts w:asciiTheme="minorEastAsia" w:eastAsiaTheme="minorEastAsia" w:hAnsiTheme="minorEastAsia" w:hint="eastAsia"/>
        </w:rPr>
        <w:t>基金转换</w:t>
      </w:r>
      <w:bookmarkEnd w:id="52"/>
      <w:bookmarkEnd w:id="53"/>
    </w:p>
    <w:p w:rsidR="0051786F" w:rsidRPr="00453203" w:rsidRDefault="0051786F" w:rsidP="00741477">
      <w:pPr>
        <w:pStyle w:val="20"/>
        <w:snapToGrid w:val="0"/>
        <w:spacing w:beforeLines="0" w:afterLines="0" w:line="360" w:lineRule="auto"/>
        <w:ind w:firstLineChars="0" w:firstLine="422"/>
        <w:rPr>
          <w:rFonts w:asciiTheme="minorEastAsia" w:eastAsiaTheme="minorEastAsia" w:hAnsiTheme="minorEastAsia"/>
          <w:sz w:val="21"/>
          <w:szCs w:val="21"/>
        </w:rPr>
      </w:pPr>
      <w:bookmarkStart w:id="54" w:name="_Toc34834704"/>
      <w:r w:rsidRPr="00453203">
        <w:rPr>
          <w:rFonts w:asciiTheme="minorEastAsia" w:eastAsiaTheme="minorEastAsia" w:hAnsiTheme="minorEastAsia" w:hint="eastAsia"/>
          <w:sz w:val="21"/>
          <w:szCs w:val="21"/>
        </w:rPr>
        <w:t>（一）基金转换</w:t>
      </w:r>
      <w:r w:rsidR="00B00483" w:rsidRPr="00453203">
        <w:rPr>
          <w:rFonts w:asciiTheme="minorEastAsia" w:eastAsiaTheme="minorEastAsia" w:hAnsiTheme="minorEastAsia" w:hint="eastAsia"/>
          <w:sz w:val="21"/>
          <w:szCs w:val="21"/>
        </w:rPr>
        <w:t>开始日及时间</w:t>
      </w:r>
      <w:bookmarkEnd w:id="54"/>
    </w:p>
    <w:p w:rsidR="00BD56CD" w:rsidRPr="00453203" w:rsidRDefault="00BD56CD"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本基金</w:t>
      </w:r>
      <w:r w:rsidR="008F7E6E" w:rsidRPr="00453203">
        <w:rPr>
          <w:rFonts w:asciiTheme="minorEastAsia" w:eastAsiaTheme="minorEastAsia" w:hAnsiTheme="minorEastAsia" w:hint="eastAsia"/>
        </w:rPr>
        <w:t>A</w:t>
      </w:r>
      <w:r w:rsidR="008F7E6E" w:rsidRPr="00453203">
        <w:rPr>
          <w:rFonts w:asciiTheme="minorEastAsia" w:eastAsiaTheme="minorEastAsia" w:hAnsiTheme="minorEastAsia"/>
        </w:rPr>
        <w:t>类基金份额</w:t>
      </w:r>
      <w:r w:rsidRPr="00453203">
        <w:rPr>
          <w:rFonts w:asciiTheme="minorEastAsia" w:eastAsiaTheme="minorEastAsia" w:hAnsiTheme="minorEastAsia" w:hint="eastAsia"/>
        </w:rPr>
        <w:t>已于</w:t>
      </w:r>
      <w:r w:rsidRPr="00453203">
        <w:rPr>
          <w:rFonts w:asciiTheme="minorEastAsia" w:eastAsiaTheme="minorEastAsia" w:hAnsiTheme="minorEastAsia" w:hint="eastAsia"/>
          <w:kern w:val="0"/>
          <w:szCs w:val="21"/>
        </w:rPr>
        <w:t>2011年11月21日</w:t>
      </w:r>
      <w:r w:rsidRPr="00453203">
        <w:rPr>
          <w:rFonts w:asciiTheme="minorEastAsia" w:eastAsiaTheme="minorEastAsia" w:hAnsiTheme="minorEastAsia" w:hint="eastAsia"/>
        </w:rPr>
        <w:t>开始办理</w:t>
      </w:r>
      <w:r w:rsidRPr="00453203">
        <w:rPr>
          <w:rFonts w:asciiTheme="minorEastAsia" w:eastAsiaTheme="minorEastAsia" w:hAnsiTheme="minorEastAsia" w:hint="eastAsia"/>
          <w:szCs w:val="21"/>
        </w:rPr>
        <w:t>转换</w:t>
      </w:r>
      <w:r w:rsidRPr="00453203">
        <w:rPr>
          <w:rFonts w:asciiTheme="minorEastAsia" w:eastAsiaTheme="minorEastAsia" w:hAnsiTheme="minorEastAsia" w:hint="eastAsia"/>
        </w:rPr>
        <w:t>业务，</w:t>
      </w:r>
      <w:r w:rsidR="008F7E6E" w:rsidRPr="00453203">
        <w:rPr>
          <w:rFonts w:asciiTheme="minorEastAsia" w:eastAsiaTheme="minorEastAsia" w:hAnsiTheme="minorEastAsia" w:hint="eastAsia"/>
        </w:rPr>
        <w:t>本基金</w:t>
      </w:r>
      <w:r w:rsidR="008F7E6E" w:rsidRPr="00453203">
        <w:rPr>
          <w:rFonts w:asciiTheme="minorEastAsia" w:eastAsiaTheme="minorEastAsia" w:hAnsiTheme="minorEastAsia"/>
        </w:rPr>
        <w:t>C类基金份额</w:t>
      </w:r>
      <w:r w:rsidR="008F7E6E" w:rsidRPr="00453203">
        <w:rPr>
          <w:rFonts w:asciiTheme="minorEastAsia" w:eastAsiaTheme="minorEastAsia" w:hAnsiTheme="minorEastAsia" w:hint="eastAsia"/>
        </w:rPr>
        <w:t>已于</w:t>
      </w:r>
      <w:r w:rsidR="008F7E6E" w:rsidRPr="00453203">
        <w:rPr>
          <w:rFonts w:asciiTheme="minorEastAsia" w:eastAsiaTheme="minorEastAsia" w:hAnsiTheme="minorEastAsia" w:hint="eastAsia"/>
          <w:kern w:val="0"/>
          <w:szCs w:val="21"/>
        </w:rPr>
        <w:t>201</w:t>
      </w:r>
      <w:r w:rsidR="008F7E6E" w:rsidRPr="00453203">
        <w:rPr>
          <w:rFonts w:asciiTheme="minorEastAsia" w:eastAsiaTheme="minorEastAsia" w:hAnsiTheme="minorEastAsia"/>
          <w:kern w:val="0"/>
          <w:szCs w:val="21"/>
        </w:rPr>
        <w:t>7</w:t>
      </w:r>
      <w:r w:rsidR="008F7E6E" w:rsidRPr="00453203">
        <w:rPr>
          <w:rFonts w:asciiTheme="minorEastAsia" w:eastAsiaTheme="minorEastAsia" w:hAnsiTheme="minorEastAsia" w:hint="eastAsia"/>
          <w:kern w:val="0"/>
          <w:szCs w:val="21"/>
        </w:rPr>
        <w:t>年</w:t>
      </w:r>
      <w:r w:rsidR="008F7E6E" w:rsidRPr="00453203">
        <w:rPr>
          <w:rFonts w:asciiTheme="minorEastAsia" w:eastAsiaTheme="minorEastAsia" w:hAnsiTheme="minorEastAsia"/>
          <w:kern w:val="0"/>
          <w:szCs w:val="21"/>
        </w:rPr>
        <w:t>6</w:t>
      </w:r>
      <w:r w:rsidR="008F7E6E" w:rsidRPr="00453203">
        <w:rPr>
          <w:rFonts w:asciiTheme="minorEastAsia" w:eastAsiaTheme="minorEastAsia" w:hAnsiTheme="minorEastAsia" w:hint="eastAsia"/>
          <w:kern w:val="0"/>
          <w:szCs w:val="21"/>
        </w:rPr>
        <w:t>月</w:t>
      </w:r>
      <w:r w:rsidR="008F7E6E" w:rsidRPr="00453203">
        <w:rPr>
          <w:rFonts w:asciiTheme="minorEastAsia" w:eastAsiaTheme="minorEastAsia" w:hAnsiTheme="minorEastAsia"/>
          <w:kern w:val="0"/>
          <w:szCs w:val="21"/>
        </w:rPr>
        <w:t>2</w:t>
      </w:r>
      <w:r w:rsidR="008F7E6E" w:rsidRPr="00453203">
        <w:rPr>
          <w:rFonts w:asciiTheme="minorEastAsia" w:eastAsiaTheme="minorEastAsia" w:hAnsiTheme="minorEastAsia" w:hint="eastAsia"/>
          <w:kern w:val="0"/>
          <w:szCs w:val="21"/>
        </w:rPr>
        <w:t>日</w:t>
      </w:r>
      <w:r w:rsidR="008F7E6E" w:rsidRPr="00453203">
        <w:rPr>
          <w:rFonts w:asciiTheme="minorEastAsia" w:eastAsiaTheme="minorEastAsia" w:hAnsiTheme="minorEastAsia" w:hint="eastAsia"/>
        </w:rPr>
        <w:t>开始办理</w:t>
      </w:r>
      <w:r w:rsidR="008F7E6E" w:rsidRPr="00453203">
        <w:rPr>
          <w:rFonts w:asciiTheme="minorEastAsia" w:eastAsiaTheme="minorEastAsia" w:hAnsiTheme="minorEastAsia" w:hint="eastAsia"/>
          <w:szCs w:val="21"/>
        </w:rPr>
        <w:t>转换</w:t>
      </w:r>
      <w:r w:rsidR="008F7E6E" w:rsidRPr="00453203">
        <w:rPr>
          <w:rFonts w:asciiTheme="minorEastAsia" w:eastAsiaTheme="minorEastAsia" w:hAnsiTheme="minorEastAsia" w:hint="eastAsia"/>
        </w:rPr>
        <w:t>业务，</w:t>
      </w:r>
      <w:r w:rsidRPr="00453203">
        <w:rPr>
          <w:rFonts w:asciiTheme="minorEastAsia" w:eastAsiaTheme="minorEastAsia" w:hAnsiTheme="minorEastAsia" w:hint="eastAsia"/>
        </w:rPr>
        <w:t>具体实施办法参见相关公告。</w:t>
      </w:r>
    </w:p>
    <w:p w:rsidR="00B00483" w:rsidRPr="00453203" w:rsidRDefault="00B00483"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本基金转换业务的开放日为上海证券交易所和深圳证券交易所同时开放交易的工作日（基金管理人根据法律法规或基金合同的规定公告暂停转换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至少一家</w:t>
      </w:r>
      <w:r w:rsidR="0009600D" w:rsidRPr="00453203">
        <w:rPr>
          <w:rFonts w:asciiTheme="minorEastAsia" w:eastAsiaTheme="minorEastAsia" w:hAnsiTheme="minorEastAsia" w:hint="eastAsia"/>
        </w:rPr>
        <w:t>指定媒介</w:t>
      </w:r>
      <w:r w:rsidRPr="00453203">
        <w:rPr>
          <w:rFonts w:asciiTheme="minorEastAsia" w:eastAsiaTheme="minorEastAsia" w:hAnsiTheme="minorEastAsia" w:hint="eastAsia"/>
        </w:rPr>
        <w:t>公告。</w:t>
      </w:r>
    </w:p>
    <w:p w:rsidR="00B00483" w:rsidRPr="00453203" w:rsidRDefault="001B4D3F"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投资人在基金合同约定之外的日期和时间提出转换申请的，其基金份额转换价格为下一开放日基金份额转换的价格。</w:t>
      </w:r>
    </w:p>
    <w:p w:rsidR="00B00483" w:rsidRPr="00453203" w:rsidRDefault="00B00483" w:rsidP="00741477">
      <w:pPr>
        <w:pStyle w:val="20"/>
        <w:snapToGrid w:val="0"/>
        <w:spacing w:beforeLines="0" w:afterLines="0" w:line="360" w:lineRule="auto"/>
        <w:ind w:firstLine="422"/>
        <w:rPr>
          <w:rFonts w:asciiTheme="minorEastAsia" w:eastAsiaTheme="minorEastAsia" w:hAnsiTheme="minorEastAsia"/>
          <w:sz w:val="21"/>
          <w:szCs w:val="21"/>
        </w:rPr>
      </w:pPr>
      <w:bookmarkStart w:id="55" w:name="_Toc198959617"/>
      <w:bookmarkStart w:id="56" w:name="_Toc229996708"/>
      <w:bookmarkStart w:id="57" w:name="_Toc245693554"/>
      <w:bookmarkStart w:id="58" w:name="_Toc258398102"/>
      <w:bookmarkStart w:id="59" w:name="_Toc264906009"/>
      <w:bookmarkStart w:id="60" w:name="_Toc34834705"/>
      <w:r w:rsidRPr="00453203">
        <w:rPr>
          <w:rFonts w:asciiTheme="minorEastAsia" w:eastAsiaTheme="minorEastAsia" w:hAnsiTheme="minorEastAsia" w:hint="eastAsia"/>
          <w:sz w:val="21"/>
          <w:szCs w:val="21"/>
        </w:rPr>
        <w:t>（二）</w:t>
      </w:r>
      <w:r w:rsidRPr="00453203">
        <w:rPr>
          <w:rFonts w:asciiTheme="minorEastAsia" w:eastAsiaTheme="minorEastAsia" w:hAnsiTheme="minorEastAsia"/>
          <w:sz w:val="21"/>
          <w:szCs w:val="21"/>
        </w:rPr>
        <w:t>基金转换的原则</w:t>
      </w:r>
      <w:bookmarkEnd w:id="55"/>
      <w:bookmarkEnd w:id="56"/>
      <w:bookmarkEnd w:id="57"/>
      <w:bookmarkEnd w:id="58"/>
      <w:bookmarkEnd w:id="59"/>
      <w:bookmarkEnd w:id="60"/>
    </w:p>
    <w:p w:rsidR="00B00483" w:rsidRPr="00453203" w:rsidRDefault="00B00483"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1</w:t>
      </w:r>
      <w:r w:rsidR="00643071" w:rsidRPr="00453203">
        <w:rPr>
          <w:rFonts w:asciiTheme="minorEastAsia" w:eastAsiaTheme="minorEastAsia" w:hAnsiTheme="minorEastAsia" w:hint="eastAsia"/>
        </w:rPr>
        <w:t>、</w:t>
      </w:r>
      <w:r w:rsidRPr="00453203">
        <w:rPr>
          <w:rFonts w:asciiTheme="minorEastAsia" w:eastAsiaTheme="minorEastAsia" w:hAnsiTheme="minorEastAsia" w:hint="eastAsia"/>
          <w:kern w:val="0"/>
          <w:szCs w:val="21"/>
        </w:rPr>
        <w:t>基金转换以份额为单位进行申请。投资者可以发起多次基金转换业务，基金转换费用按每笔申请单独计算。转换费用以人民币元为单位，计算结果按照四舍五入方法，保留小数点后两位。</w:t>
      </w:r>
    </w:p>
    <w:p w:rsidR="00B00483" w:rsidRPr="00453203" w:rsidRDefault="00643071"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2、</w:t>
      </w:r>
      <w:r w:rsidR="00B00483" w:rsidRPr="00453203">
        <w:rPr>
          <w:rFonts w:asciiTheme="minorEastAsia" w:eastAsiaTheme="minorEastAsia" w:hAnsiTheme="minorEastAsia" w:hint="eastAsia"/>
        </w:rPr>
        <w:t>当日的转换申请可以在当日交易结束时间前撤销，在当日的交易时间结束后不得撤销。</w:t>
      </w:r>
    </w:p>
    <w:p w:rsidR="00B00483" w:rsidRPr="00453203" w:rsidRDefault="00B00483"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3</w:t>
      </w:r>
      <w:r w:rsidR="00643071" w:rsidRPr="00453203">
        <w:rPr>
          <w:rFonts w:asciiTheme="minorEastAsia" w:eastAsiaTheme="minorEastAsia" w:hAnsiTheme="minorEastAsia" w:hint="eastAsia"/>
        </w:rPr>
        <w:t>、</w:t>
      </w:r>
      <w:r w:rsidRPr="00453203">
        <w:rPr>
          <w:rFonts w:asciiTheme="minorEastAsia" w:eastAsiaTheme="minorEastAsia" w:hAnsiTheme="minorEastAsia" w:hint="eastAsia"/>
          <w:kern w:val="0"/>
          <w:szCs w:val="21"/>
        </w:rPr>
        <w:t>基金转换采取未知价法，即基金的转换价格以转换申请受理当日各转出、转入基金的份额净值为基准进行计算。</w:t>
      </w:r>
    </w:p>
    <w:p w:rsidR="00B00483" w:rsidRPr="00453203" w:rsidRDefault="00B00483"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4</w:t>
      </w:r>
      <w:r w:rsidR="00643071" w:rsidRPr="00453203">
        <w:rPr>
          <w:rFonts w:asciiTheme="minorEastAsia" w:eastAsiaTheme="minorEastAsia" w:hAnsiTheme="minorEastAsia" w:hint="eastAsia"/>
        </w:rPr>
        <w:t>、</w:t>
      </w:r>
      <w:r w:rsidRPr="00453203">
        <w:rPr>
          <w:rFonts w:asciiTheme="minorEastAsia" w:eastAsiaTheme="minorEastAsia" w:hAnsiTheme="minorEastAsia" w:hint="eastAsia"/>
          <w:kern w:val="0"/>
          <w:szCs w:val="21"/>
        </w:rPr>
        <w:t>基金转换只能在同一销售机构进行。转换的两只基金必须都是该销售机构代理的同一基金管理人管理的、在同一注册登记机构注册登记的基金。</w:t>
      </w:r>
    </w:p>
    <w:p w:rsidR="00B00483" w:rsidRPr="00453203" w:rsidRDefault="00B0048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5</w:t>
      </w:r>
      <w:r w:rsidR="00643071" w:rsidRPr="00453203">
        <w:rPr>
          <w:rFonts w:asciiTheme="minorEastAsia" w:eastAsiaTheme="minorEastAsia" w:hAnsiTheme="minorEastAsia" w:hint="eastAsia"/>
        </w:rPr>
        <w:t>、</w:t>
      </w:r>
      <w:r w:rsidRPr="00453203">
        <w:rPr>
          <w:rFonts w:asciiTheme="minorEastAsia" w:eastAsiaTheme="minorEastAsia" w:hAnsiTheme="minorEastAsia" w:hint="eastAsia"/>
          <w:kern w:val="0"/>
          <w:szCs w:val="21"/>
        </w:rPr>
        <w:t>投资者办理基金转换业务时，转出方的基金必须处于可赎回状态，转入方的基金必须处于可申购状态。</w:t>
      </w:r>
    </w:p>
    <w:p w:rsidR="00B00483" w:rsidRPr="00453203" w:rsidRDefault="00B00483" w:rsidP="00643071">
      <w:pPr>
        <w:pStyle w:val="af0"/>
        <w:snapToGrid w:val="0"/>
        <w:spacing w:line="360" w:lineRule="auto"/>
        <w:ind w:firstLineChars="200"/>
        <w:rPr>
          <w:rFonts w:asciiTheme="minorEastAsia" w:eastAsiaTheme="minorEastAsia" w:hAnsiTheme="minorEastAsia"/>
        </w:rPr>
      </w:pPr>
      <w:r w:rsidRPr="00453203">
        <w:rPr>
          <w:rFonts w:asciiTheme="minorEastAsia" w:eastAsiaTheme="minorEastAsia" w:hAnsiTheme="minorEastAsia" w:hint="eastAsia"/>
        </w:rPr>
        <w:t>6</w:t>
      </w:r>
      <w:r w:rsidR="00643071" w:rsidRPr="00453203">
        <w:rPr>
          <w:rFonts w:asciiTheme="minorEastAsia" w:eastAsiaTheme="minorEastAsia" w:hAnsiTheme="minorEastAsia" w:hint="eastAsia"/>
        </w:rPr>
        <w:t>、</w:t>
      </w:r>
      <w:r w:rsidRPr="00453203">
        <w:rPr>
          <w:rFonts w:asciiTheme="minorEastAsia" w:eastAsiaTheme="minorEastAsia" w:hAnsiTheme="minorEastAsia" w:hint="eastAsia"/>
          <w:kern w:val="0"/>
          <w:szCs w:val="21"/>
        </w:rPr>
        <w:t>转换业务遵循“先进先出”的业务规则，即份额注册日期在前的先转换出，份额注册日期在后的后转换出，如果转换申请当日，同时有赎回申请的情况下，则遵循先赎回后转换的处理原则。</w:t>
      </w:r>
    </w:p>
    <w:p w:rsidR="00B00483" w:rsidRPr="00453203" w:rsidRDefault="00643071" w:rsidP="00643071">
      <w:pPr>
        <w:pStyle w:val="af0"/>
        <w:snapToGrid w:val="0"/>
        <w:spacing w:line="360" w:lineRule="auto"/>
        <w:ind w:firstLineChars="200"/>
        <w:rPr>
          <w:rFonts w:asciiTheme="minorEastAsia" w:eastAsiaTheme="minorEastAsia" w:hAnsiTheme="minorEastAsia"/>
        </w:rPr>
      </w:pPr>
      <w:r w:rsidRPr="00453203">
        <w:rPr>
          <w:rFonts w:asciiTheme="minorEastAsia" w:eastAsiaTheme="minorEastAsia" w:hAnsiTheme="minorEastAsia" w:hint="eastAsia"/>
          <w:kern w:val="0"/>
          <w:szCs w:val="21"/>
        </w:rPr>
        <w:t>7、</w:t>
      </w:r>
      <w:r w:rsidR="00B00483" w:rsidRPr="00453203">
        <w:rPr>
          <w:rFonts w:asciiTheme="minorEastAsia" w:eastAsiaTheme="minorEastAsia" w:hAnsiTheme="minorEastAsia" w:hint="eastAsia"/>
          <w:kern w:val="0"/>
          <w:szCs w:val="21"/>
        </w:rPr>
        <w:t>基金份额在转换后，</w:t>
      </w:r>
      <w:r w:rsidR="00B00483" w:rsidRPr="00453203">
        <w:rPr>
          <w:rFonts w:asciiTheme="minorEastAsia" w:eastAsiaTheme="minorEastAsia" w:hAnsiTheme="minorEastAsia"/>
        </w:rPr>
        <w:t>转入的基金份额的持有期将自转入的基金份额被确认之日起重新开始计算。</w:t>
      </w:r>
    </w:p>
    <w:p w:rsidR="00B00483" w:rsidRPr="00453203" w:rsidRDefault="00B00483"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基金管理人可在不损害基金份额持有人权益的情况下更改上述原则，</w:t>
      </w:r>
      <w:r w:rsidRPr="00453203">
        <w:rPr>
          <w:rFonts w:asciiTheme="minorEastAsia" w:eastAsiaTheme="minorEastAsia" w:hAnsiTheme="minorEastAsia" w:hint="eastAsia"/>
          <w:kern w:val="0"/>
          <w:szCs w:val="21"/>
        </w:rPr>
        <w:t>但应在调整生效前在至少一种中国证监会指定的媒体上予以公告。</w:t>
      </w:r>
    </w:p>
    <w:p w:rsidR="00B00483" w:rsidRPr="00453203" w:rsidRDefault="00B00483" w:rsidP="00741477">
      <w:pPr>
        <w:pStyle w:val="20"/>
        <w:snapToGrid w:val="0"/>
        <w:spacing w:beforeLines="0" w:afterLines="0" w:line="360" w:lineRule="auto"/>
        <w:ind w:firstLine="422"/>
        <w:rPr>
          <w:rFonts w:asciiTheme="minorEastAsia" w:eastAsiaTheme="minorEastAsia" w:hAnsiTheme="minorEastAsia"/>
          <w:sz w:val="21"/>
          <w:szCs w:val="21"/>
        </w:rPr>
      </w:pPr>
      <w:bookmarkStart w:id="61" w:name="_Toc198959618"/>
      <w:bookmarkStart w:id="62" w:name="_Toc229996709"/>
      <w:bookmarkStart w:id="63" w:name="_Toc245693555"/>
      <w:bookmarkStart w:id="64" w:name="_Toc258398103"/>
      <w:bookmarkStart w:id="65" w:name="_Toc264906010"/>
      <w:bookmarkStart w:id="66" w:name="_Toc34834706"/>
      <w:r w:rsidRPr="00453203">
        <w:rPr>
          <w:rFonts w:asciiTheme="minorEastAsia" w:eastAsiaTheme="minorEastAsia" w:hAnsiTheme="minorEastAsia" w:hint="eastAsia"/>
          <w:sz w:val="21"/>
          <w:szCs w:val="21"/>
        </w:rPr>
        <w:lastRenderedPageBreak/>
        <w:t>（三）基金转换的程序</w:t>
      </w:r>
      <w:bookmarkEnd w:id="61"/>
      <w:bookmarkEnd w:id="62"/>
      <w:bookmarkEnd w:id="63"/>
      <w:bookmarkEnd w:id="64"/>
      <w:bookmarkEnd w:id="65"/>
      <w:bookmarkEnd w:id="66"/>
    </w:p>
    <w:p w:rsidR="00B00483" w:rsidRPr="00453203" w:rsidRDefault="00643071"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1、</w:t>
      </w:r>
      <w:r w:rsidR="00B00483" w:rsidRPr="00453203">
        <w:rPr>
          <w:rFonts w:asciiTheme="minorEastAsia" w:eastAsiaTheme="minorEastAsia" w:hAnsiTheme="minorEastAsia" w:hint="eastAsia"/>
        </w:rPr>
        <w:t>基金转换的申请方式</w:t>
      </w:r>
    </w:p>
    <w:p w:rsidR="00B00483" w:rsidRPr="00453203" w:rsidRDefault="00B00483"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基金投资者必须根据基金管理人和基金</w:t>
      </w:r>
      <w:r w:rsidR="00472648" w:rsidRPr="00453203">
        <w:rPr>
          <w:rFonts w:asciiTheme="minorEastAsia" w:eastAsiaTheme="minorEastAsia" w:hAnsiTheme="minorEastAsia" w:hint="eastAsia"/>
        </w:rPr>
        <w:t>销售</w:t>
      </w:r>
      <w:r w:rsidRPr="00453203">
        <w:rPr>
          <w:rFonts w:asciiTheme="minorEastAsia" w:eastAsiaTheme="minorEastAsia" w:hAnsiTheme="minorEastAsia" w:hint="eastAsia"/>
        </w:rPr>
        <w:t>机构规定的手续，在开放日的业务办理时间提出转换的申请。</w:t>
      </w:r>
    </w:p>
    <w:p w:rsidR="00B00483" w:rsidRPr="00453203" w:rsidRDefault="00B00483"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提交基金转换申请时，账户中必须有足够可用的转出基金份额余额。</w:t>
      </w:r>
    </w:p>
    <w:p w:rsidR="00B00483" w:rsidRPr="00453203" w:rsidRDefault="00643071"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2、</w:t>
      </w:r>
      <w:r w:rsidR="00B00483" w:rsidRPr="00453203">
        <w:rPr>
          <w:rFonts w:asciiTheme="minorEastAsia" w:eastAsiaTheme="minorEastAsia" w:hAnsiTheme="minorEastAsia" w:hint="eastAsia"/>
        </w:rPr>
        <w:t>基金转换申请的确认</w:t>
      </w:r>
    </w:p>
    <w:p w:rsidR="00B00483" w:rsidRPr="00453203" w:rsidRDefault="00B00483"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B00483" w:rsidRPr="00453203" w:rsidRDefault="00B00483" w:rsidP="00741477">
      <w:pPr>
        <w:pStyle w:val="20"/>
        <w:snapToGrid w:val="0"/>
        <w:spacing w:beforeLines="0" w:afterLines="0" w:line="360" w:lineRule="auto"/>
        <w:ind w:firstLine="422"/>
        <w:rPr>
          <w:rFonts w:asciiTheme="minorEastAsia" w:eastAsiaTheme="minorEastAsia" w:hAnsiTheme="minorEastAsia"/>
          <w:sz w:val="21"/>
          <w:szCs w:val="21"/>
        </w:rPr>
      </w:pPr>
      <w:bookmarkStart w:id="67" w:name="_Toc198959619"/>
      <w:bookmarkStart w:id="68" w:name="_Toc229996710"/>
      <w:bookmarkStart w:id="69" w:name="_Toc245693556"/>
      <w:bookmarkStart w:id="70" w:name="_Toc258398104"/>
      <w:bookmarkStart w:id="71" w:name="_Toc264906011"/>
      <w:bookmarkStart w:id="72" w:name="_Toc34834707"/>
      <w:r w:rsidRPr="00453203">
        <w:rPr>
          <w:rFonts w:asciiTheme="minorEastAsia" w:eastAsiaTheme="minorEastAsia" w:hAnsiTheme="minorEastAsia" w:hint="eastAsia"/>
          <w:sz w:val="21"/>
          <w:szCs w:val="21"/>
        </w:rPr>
        <w:t>（四）基金转换的数额限制</w:t>
      </w:r>
      <w:bookmarkEnd w:id="67"/>
      <w:bookmarkEnd w:id="68"/>
      <w:bookmarkEnd w:id="69"/>
      <w:bookmarkEnd w:id="70"/>
      <w:bookmarkEnd w:id="71"/>
      <w:bookmarkEnd w:id="72"/>
    </w:p>
    <w:p w:rsidR="00B909C6" w:rsidRPr="00453203" w:rsidRDefault="00B00483" w:rsidP="00643071">
      <w:pPr>
        <w:pStyle w:val="af0"/>
        <w:snapToGrid w:val="0"/>
        <w:spacing w:line="360" w:lineRule="auto"/>
        <w:ind w:firstLine="560"/>
        <w:rPr>
          <w:rFonts w:asciiTheme="minorEastAsia" w:eastAsiaTheme="minorEastAsia" w:hAnsiTheme="minorEastAsia"/>
        </w:rPr>
      </w:pPr>
      <w:r w:rsidRPr="00453203">
        <w:rPr>
          <w:rFonts w:asciiTheme="minorEastAsia" w:eastAsiaTheme="minorEastAsia" w:hAnsiTheme="minorEastAsia" w:cs="宋体"/>
          <w:kern w:val="0"/>
          <w:szCs w:val="21"/>
        </w:rPr>
        <w:t>基金份额持有人可将其全部或部分基金份额转换成另一只基金，本基金</w:t>
      </w:r>
      <w:r w:rsidR="008F7E6E" w:rsidRPr="00453203">
        <w:rPr>
          <w:rFonts w:asciiTheme="minorEastAsia" w:eastAsiaTheme="minorEastAsia" w:hAnsiTheme="minorEastAsia" w:cs="宋体" w:hint="eastAsia"/>
          <w:kern w:val="0"/>
          <w:szCs w:val="21"/>
        </w:rPr>
        <w:t>每类</w:t>
      </w:r>
      <w:r w:rsidR="008F7E6E" w:rsidRPr="00453203">
        <w:rPr>
          <w:rFonts w:asciiTheme="minorEastAsia" w:eastAsiaTheme="minorEastAsia" w:hAnsiTheme="minorEastAsia" w:cs="宋体"/>
          <w:kern w:val="0"/>
          <w:szCs w:val="21"/>
        </w:rPr>
        <w:t>基金份额</w:t>
      </w:r>
      <w:r w:rsidRPr="00453203">
        <w:rPr>
          <w:rFonts w:asciiTheme="minorEastAsia" w:eastAsiaTheme="minorEastAsia" w:hAnsiTheme="minorEastAsia" w:cs="宋体"/>
          <w:kern w:val="0"/>
          <w:szCs w:val="21"/>
        </w:rPr>
        <w:t>转出申请不得少于</w:t>
      </w:r>
      <w:r w:rsidR="00463DEA" w:rsidRPr="00453203">
        <w:rPr>
          <w:rFonts w:asciiTheme="minorEastAsia" w:eastAsiaTheme="minorEastAsia" w:hAnsiTheme="minorEastAsia" w:cs="宋体" w:hint="eastAsia"/>
          <w:kern w:val="0"/>
          <w:szCs w:val="21"/>
        </w:rPr>
        <w:t>1</w:t>
      </w:r>
      <w:r w:rsidRPr="00453203">
        <w:rPr>
          <w:rFonts w:asciiTheme="minorEastAsia" w:eastAsiaTheme="minorEastAsia" w:hAnsiTheme="minorEastAsia" w:cs="宋体"/>
          <w:kern w:val="0"/>
          <w:szCs w:val="21"/>
        </w:rPr>
        <w:t>份（如该账户在该销售机构托管的该</w:t>
      </w:r>
      <w:r w:rsidR="008F7E6E" w:rsidRPr="00453203">
        <w:rPr>
          <w:rFonts w:asciiTheme="minorEastAsia" w:eastAsiaTheme="minorEastAsia" w:hAnsiTheme="minorEastAsia" w:cs="宋体" w:hint="eastAsia"/>
          <w:kern w:val="0"/>
          <w:szCs w:val="21"/>
        </w:rPr>
        <w:t>类</w:t>
      </w:r>
      <w:r w:rsidRPr="00453203">
        <w:rPr>
          <w:rFonts w:asciiTheme="minorEastAsia" w:eastAsiaTheme="minorEastAsia" w:hAnsiTheme="minorEastAsia" w:cs="宋体"/>
          <w:kern w:val="0"/>
          <w:szCs w:val="21"/>
        </w:rPr>
        <w:t>基金余额不足</w:t>
      </w:r>
      <w:r w:rsidR="00463DEA" w:rsidRPr="00453203">
        <w:rPr>
          <w:rFonts w:asciiTheme="minorEastAsia" w:eastAsiaTheme="minorEastAsia" w:hAnsiTheme="minorEastAsia" w:cs="宋体" w:hint="eastAsia"/>
          <w:kern w:val="0"/>
          <w:szCs w:val="21"/>
        </w:rPr>
        <w:t>1</w:t>
      </w:r>
      <w:r w:rsidRPr="00453203">
        <w:rPr>
          <w:rFonts w:asciiTheme="minorEastAsia" w:eastAsiaTheme="minorEastAsia" w:hAnsiTheme="minorEastAsia" w:cs="宋体"/>
          <w:kern w:val="0"/>
          <w:szCs w:val="21"/>
        </w:rPr>
        <w:t>份，则必须一次性赎回或转出该</w:t>
      </w:r>
      <w:r w:rsidR="008F7E6E" w:rsidRPr="00453203">
        <w:rPr>
          <w:rFonts w:asciiTheme="minorEastAsia" w:eastAsiaTheme="minorEastAsia" w:hAnsiTheme="minorEastAsia" w:cs="宋体" w:hint="eastAsia"/>
          <w:kern w:val="0"/>
          <w:szCs w:val="21"/>
        </w:rPr>
        <w:t>类</w:t>
      </w:r>
      <w:r w:rsidRPr="00453203">
        <w:rPr>
          <w:rFonts w:asciiTheme="minorEastAsia" w:eastAsiaTheme="minorEastAsia" w:hAnsiTheme="minorEastAsia" w:cs="宋体"/>
          <w:kern w:val="0"/>
          <w:szCs w:val="21"/>
        </w:rPr>
        <w:t>基金全部份额）；若某笔转换导致投资者在</w:t>
      </w:r>
      <w:r w:rsidR="008F7E6E" w:rsidRPr="00453203">
        <w:rPr>
          <w:rFonts w:asciiTheme="minorEastAsia" w:eastAsiaTheme="minorEastAsia" w:hAnsiTheme="minorEastAsia" w:cs="宋体" w:hint="eastAsia"/>
          <w:kern w:val="0"/>
          <w:szCs w:val="21"/>
        </w:rPr>
        <w:t>该</w:t>
      </w:r>
      <w:r w:rsidRPr="00453203">
        <w:rPr>
          <w:rFonts w:asciiTheme="minorEastAsia" w:eastAsiaTheme="minorEastAsia" w:hAnsiTheme="minorEastAsia" w:cs="宋体"/>
          <w:kern w:val="0"/>
          <w:szCs w:val="21"/>
        </w:rPr>
        <w:t>销售机构托管的该</w:t>
      </w:r>
      <w:r w:rsidR="008F7E6E" w:rsidRPr="00453203">
        <w:rPr>
          <w:rFonts w:asciiTheme="minorEastAsia" w:eastAsiaTheme="minorEastAsia" w:hAnsiTheme="minorEastAsia" w:cs="宋体" w:hint="eastAsia"/>
          <w:kern w:val="0"/>
          <w:szCs w:val="21"/>
        </w:rPr>
        <w:t>类</w:t>
      </w:r>
      <w:r w:rsidRPr="00453203">
        <w:rPr>
          <w:rFonts w:asciiTheme="minorEastAsia" w:eastAsiaTheme="minorEastAsia" w:hAnsiTheme="minorEastAsia" w:cs="宋体"/>
          <w:kern w:val="0"/>
          <w:szCs w:val="21"/>
        </w:rPr>
        <w:t>基金余额不足</w:t>
      </w:r>
      <w:r w:rsidR="00463DEA" w:rsidRPr="00453203">
        <w:rPr>
          <w:rFonts w:asciiTheme="minorEastAsia" w:eastAsiaTheme="minorEastAsia" w:hAnsiTheme="minorEastAsia" w:cs="宋体" w:hint="eastAsia"/>
          <w:kern w:val="0"/>
          <w:szCs w:val="21"/>
        </w:rPr>
        <w:t>1</w:t>
      </w:r>
      <w:r w:rsidRPr="00453203">
        <w:rPr>
          <w:rFonts w:asciiTheme="minorEastAsia" w:eastAsiaTheme="minorEastAsia" w:hAnsiTheme="minorEastAsia" w:cs="宋体"/>
          <w:kern w:val="0"/>
          <w:szCs w:val="21"/>
        </w:rPr>
        <w:t>份时，基金管理人有权将投资者在该销售机构托管的该</w:t>
      </w:r>
      <w:r w:rsidR="008F7E6E" w:rsidRPr="00453203">
        <w:rPr>
          <w:rFonts w:asciiTheme="minorEastAsia" w:eastAsiaTheme="minorEastAsia" w:hAnsiTheme="minorEastAsia" w:cs="宋体" w:hint="eastAsia"/>
          <w:kern w:val="0"/>
          <w:szCs w:val="21"/>
        </w:rPr>
        <w:t>类</w:t>
      </w:r>
      <w:r w:rsidRPr="00453203">
        <w:rPr>
          <w:rFonts w:asciiTheme="minorEastAsia" w:eastAsiaTheme="minorEastAsia" w:hAnsiTheme="minorEastAsia" w:cs="宋体"/>
          <w:kern w:val="0"/>
          <w:szCs w:val="21"/>
        </w:rPr>
        <w:t>基金剩余份额一次性全部赎回。</w:t>
      </w:r>
    </w:p>
    <w:p w:rsidR="00B00483" w:rsidRPr="00453203" w:rsidRDefault="00B00483" w:rsidP="00643071">
      <w:pPr>
        <w:pStyle w:val="af0"/>
        <w:snapToGrid w:val="0"/>
        <w:spacing w:line="360" w:lineRule="auto"/>
        <w:rPr>
          <w:rFonts w:asciiTheme="minorEastAsia" w:eastAsiaTheme="minorEastAsia" w:hAnsiTheme="minorEastAsia"/>
        </w:rPr>
      </w:pPr>
      <w:r w:rsidRPr="00453203">
        <w:rPr>
          <w:rFonts w:asciiTheme="minorEastAsia" w:eastAsiaTheme="minorEastAsia" w:hAnsiTheme="minorEastAsia" w:hint="eastAsia"/>
        </w:rPr>
        <w:t>基金管理人可根据市场情况制定或调整上述基金转换的程序及有关限制，但</w:t>
      </w:r>
      <w:r w:rsidRPr="00453203">
        <w:rPr>
          <w:rFonts w:asciiTheme="minorEastAsia" w:eastAsiaTheme="minorEastAsia" w:hAnsiTheme="minorEastAsia" w:hint="eastAsia"/>
          <w:kern w:val="0"/>
          <w:szCs w:val="21"/>
        </w:rPr>
        <w:t>应在调整生效前在至少一种中国证监会指定的媒体上予以公告。</w:t>
      </w:r>
    </w:p>
    <w:p w:rsidR="00B00483" w:rsidRPr="00453203" w:rsidRDefault="00B00483" w:rsidP="00741477">
      <w:pPr>
        <w:pStyle w:val="20"/>
        <w:snapToGrid w:val="0"/>
        <w:spacing w:beforeLines="0" w:afterLines="0" w:line="360" w:lineRule="auto"/>
        <w:ind w:firstLine="422"/>
        <w:rPr>
          <w:rFonts w:asciiTheme="minorEastAsia" w:eastAsiaTheme="minorEastAsia" w:hAnsiTheme="minorEastAsia"/>
          <w:sz w:val="21"/>
          <w:szCs w:val="21"/>
        </w:rPr>
      </w:pPr>
      <w:bookmarkStart w:id="73" w:name="_Toc87367293"/>
      <w:bookmarkStart w:id="74" w:name="_Toc198959620"/>
      <w:bookmarkStart w:id="75" w:name="_Toc229996711"/>
      <w:bookmarkStart w:id="76" w:name="_Toc245693557"/>
      <w:bookmarkStart w:id="77" w:name="_Toc258398105"/>
      <w:bookmarkStart w:id="78" w:name="_Toc264906012"/>
      <w:bookmarkStart w:id="79" w:name="_Toc34834708"/>
      <w:r w:rsidRPr="00453203">
        <w:rPr>
          <w:rFonts w:asciiTheme="minorEastAsia" w:eastAsiaTheme="minorEastAsia" w:hAnsiTheme="minorEastAsia" w:hint="eastAsia"/>
          <w:sz w:val="21"/>
          <w:szCs w:val="21"/>
        </w:rPr>
        <w:t>（五）基金转换费率</w:t>
      </w:r>
      <w:bookmarkEnd w:id="73"/>
      <w:bookmarkEnd w:id="74"/>
      <w:bookmarkEnd w:id="75"/>
      <w:bookmarkEnd w:id="76"/>
      <w:bookmarkEnd w:id="77"/>
      <w:bookmarkEnd w:id="78"/>
      <w:bookmarkEnd w:id="79"/>
    </w:p>
    <w:p w:rsidR="00B00483" w:rsidRPr="00453203" w:rsidRDefault="00B00483" w:rsidP="00643071">
      <w:pPr>
        <w:autoSpaceDE w:val="0"/>
        <w:autoSpaceDN w:val="0"/>
        <w:snapToGrid w:val="0"/>
        <w:spacing w:line="360" w:lineRule="auto"/>
        <w:ind w:firstLine="420"/>
        <w:textAlignment w:val="bottom"/>
        <w:rPr>
          <w:rFonts w:asciiTheme="minorEastAsia" w:eastAsiaTheme="minorEastAsia" w:hAnsiTheme="minorEastAsia"/>
          <w:szCs w:val="21"/>
        </w:rPr>
      </w:pPr>
      <w:r w:rsidRPr="00453203">
        <w:rPr>
          <w:rFonts w:asciiTheme="minorEastAsia" w:eastAsiaTheme="minorEastAsia" w:hAnsiTheme="minorEastAsia" w:hint="eastAsia"/>
        </w:rPr>
        <w:t>基金转换费由基金份额持有人承担，</w:t>
      </w:r>
      <w:r w:rsidRPr="00453203">
        <w:rPr>
          <w:rFonts w:asciiTheme="minorEastAsia" w:eastAsiaTheme="minorEastAsia" w:hAnsiTheme="minorEastAsia" w:hint="eastAsia"/>
          <w:szCs w:val="21"/>
        </w:rPr>
        <w:t>由转出基金赎回费用及基金申购补差费用构成，其中赎回费</w:t>
      </w:r>
      <w:r w:rsidR="00A070AD" w:rsidRPr="00453203">
        <w:rPr>
          <w:rFonts w:asciiTheme="minorEastAsia" w:eastAsiaTheme="minorEastAsia" w:hAnsiTheme="minorEastAsia" w:hint="eastAsia"/>
          <w:szCs w:val="21"/>
        </w:rPr>
        <w:t>按照</w:t>
      </w:r>
      <w:r w:rsidR="00010E0F" w:rsidRPr="00453203">
        <w:rPr>
          <w:rFonts w:asciiTheme="minorEastAsia" w:eastAsiaTheme="minorEastAsia" w:hAnsiTheme="minorEastAsia" w:hint="eastAsia"/>
          <w:szCs w:val="21"/>
        </w:rPr>
        <w:t>各基金的</w:t>
      </w:r>
      <w:r w:rsidR="00A070AD" w:rsidRPr="00453203">
        <w:rPr>
          <w:rFonts w:asciiTheme="minorEastAsia" w:eastAsiaTheme="minorEastAsia" w:hAnsiTheme="minorEastAsia" w:hint="eastAsia"/>
          <w:szCs w:val="21"/>
        </w:rPr>
        <w:t>基金合同、更新的招募说明书及最新的相关公告约定的比例归入基金财产</w:t>
      </w:r>
      <w:r w:rsidRPr="00453203">
        <w:rPr>
          <w:rFonts w:asciiTheme="minorEastAsia" w:eastAsiaTheme="minorEastAsia" w:hAnsiTheme="minorEastAsia" w:hint="eastAsia"/>
          <w:szCs w:val="21"/>
        </w:rPr>
        <w:t>，其余部分用于支付注册登记费等相关手续费，</w:t>
      </w:r>
      <w:r w:rsidRPr="00453203">
        <w:rPr>
          <w:rFonts w:asciiTheme="minorEastAsia" w:eastAsiaTheme="minorEastAsia" w:hAnsiTheme="minorEastAsia" w:hint="eastAsia"/>
        </w:rPr>
        <w:t>具体实施办法和转换费率详见相关公告。</w:t>
      </w:r>
      <w:r w:rsidRPr="00453203">
        <w:rPr>
          <w:rFonts w:asciiTheme="minorEastAsia" w:eastAsiaTheme="minorEastAsia" w:hAnsiTheme="minorEastAsia"/>
          <w:szCs w:val="21"/>
        </w:rPr>
        <w:t>转换费用以人民币元为单位，计算结果按照四舍五入方法，保留小数点后两位。</w:t>
      </w:r>
    </w:p>
    <w:p w:rsidR="00B00483" w:rsidRPr="00453203" w:rsidRDefault="00B00483" w:rsidP="00643071">
      <w:pPr>
        <w:autoSpaceDE w:val="0"/>
        <w:autoSpaceDN w:val="0"/>
        <w:snapToGrid w:val="0"/>
        <w:spacing w:line="360" w:lineRule="auto"/>
        <w:ind w:firstLine="420"/>
        <w:textAlignment w:val="bottom"/>
        <w:rPr>
          <w:rFonts w:asciiTheme="minorEastAsia" w:eastAsiaTheme="minorEastAsia" w:hAnsiTheme="minorEastAsia"/>
        </w:rPr>
      </w:pPr>
      <w:bookmarkStart w:id="80" w:name="_Toc182826360"/>
      <w:bookmarkStart w:id="81" w:name="_Toc198959621"/>
      <w:r w:rsidRPr="00453203">
        <w:rPr>
          <w:rFonts w:asciiTheme="minorEastAsia" w:eastAsiaTheme="minorEastAsia" w:hAnsiTheme="minorEastAsia"/>
        </w:rPr>
        <w:t>基金管理人可以在基金合同规定的范围内调整</w:t>
      </w:r>
      <w:r w:rsidRPr="00453203">
        <w:rPr>
          <w:rFonts w:asciiTheme="minorEastAsia" w:eastAsiaTheme="minorEastAsia" w:hAnsiTheme="minorEastAsia" w:hint="eastAsia"/>
        </w:rPr>
        <w:t>上述</w:t>
      </w:r>
      <w:r w:rsidRPr="00453203">
        <w:rPr>
          <w:rFonts w:asciiTheme="minorEastAsia" w:eastAsiaTheme="minorEastAsia" w:hAnsiTheme="minorEastAsia"/>
        </w:rPr>
        <w:t>费率</w:t>
      </w:r>
      <w:r w:rsidRPr="00453203">
        <w:rPr>
          <w:rFonts w:asciiTheme="minorEastAsia" w:eastAsiaTheme="minorEastAsia" w:hAnsiTheme="minorEastAsia" w:hint="eastAsia"/>
        </w:rPr>
        <w:t>。</w:t>
      </w:r>
      <w:r w:rsidRPr="00453203">
        <w:rPr>
          <w:rFonts w:asciiTheme="minorEastAsia" w:eastAsiaTheme="minorEastAsia" w:hAnsiTheme="minorEastAsia"/>
        </w:rPr>
        <w:t>上述费率如发生变更，</w:t>
      </w:r>
      <w:r w:rsidRPr="00453203">
        <w:rPr>
          <w:rFonts w:asciiTheme="minorEastAsia" w:eastAsiaTheme="minorEastAsia" w:hAnsiTheme="minorEastAsia" w:hint="eastAsia"/>
          <w:kern w:val="0"/>
          <w:szCs w:val="21"/>
        </w:rPr>
        <w:t>应在调整生效前在至少一种中国证监会指定的媒体上予以公告。</w:t>
      </w:r>
    </w:p>
    <w:p w:rsidR="00B00483" w:rsidRPr="00453203" w:rsidRDefault="00A16C6C" w:rsidP="00643071">
      <w:pPr>
        <w:autoSpaceDE w:val="0"/>
        <w:autoSpaceDN w:val="0"/>
        <w:snapToGrid w:val="0"/>
        <w:spacing w:line="360" w:lineRule="auto"/>
        <w:ind w:firstLine="420"/>
        <w:textAlignment w:val="bottom"/>
        <w:rPr>
          <w:rFonts w:asciiTheme="minorEastAsia" w:eastAsiaTheme="minorEastAsia" w:hAnsiTheme="minorEastAsia"/>
        </w:rPr>
      </w:pPr>
      <w:r w:rsidRPr="00453203">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00483" w:rsidRPr="00453203" w:rsidRDefault="00B00483" w:rsidP="00741477">
      <w:pPr>
        <w:pStyle w:val="20"/>
        <w:snapToGrid w:val="0"/>
        <w:spacing w:beforeLines="0" w:afterLines="0" w:line="360" w:lineRule="auto"/>
        <w:ind w:firstLine="422"/>
        <w:rPr>
          <w:rFonts w:asciiTheme="minorEastAsia" w:eastAsiaTheme="minorEastAsia" w:hAnsiTheme="minorEastAsia"/>
          <w:sz w:val="21"/>
          <w:szCs w:val="21"/>
        </w:rPr>
      </w:pPr>
      <w:bookmarkStart w:id="82" w:name="_Toc229996712"/>
      <w:bookmarkStart w:id="83" w:name="_Toc245693558"/>
      <w:bookmarkStart w:id="84" w:name="_Toc258398106"/>
      <w:bookmarkStart w:id="85" w:name="_Toc264906013"/>
      <w:bookmarkStart w:id="86" w:name="_Toc34834709"/>
      <w:r w:rsidRPr="00453203">
        <w:rPr>
          <w:rFonts w:asciiTheme="minorEastAsia" w:eastAsiaTheme="minorEastAsia" w:hAnsiTheme="minorEastAsia" w:hint="eastAsia"/>
          <w:sz w:val="21"/>
          <w:szCs w:val="21"/>
        </w:rPr>
        <w:t>（六）基金转换份额的计算方式</w:t>
      </w:r>
      <w:bookmarkEnd w:id="80"/>
      <w:bookmarkEnd w:id="81"/>
      <w:bookmarkEnd w:id="82"/>
      <w:bookmarkEnd w:id="83"/>
      <w:bookmarkEnd w:id="84"/>
      <w:bookmarkEnd w:id="85"/>
      <w:bookmarkEnd w:id="86"/>
    </w:p>
    <w:p w:rsidR="00B00483" w:rsidRPr="00453203" w:rsidRDefault="00B00483" w:rsidP="00643071">
      <w:pPr>
        <w:autoSpaceDE w:val="0"/>
        <w:autoSpaceDN w:val="0"/>
        <w:snapToGrid w:val="0"/>
        <w:spacing w:line="360" w:lineRule="auto"/>
        <w:ind w:firstLine="420"/>
        <w:textAlignment w:val="bottom"/>
        <w:rPr>
          <w:rFonts w:asciiTheme="minorEastAsia" w:eastAsiaTheme="minorEastAsia" w:hAnsiTheme="minorEastAsia"/>
        </w:rPr>
      </w:pPr>
      <w:r w:rsidRPr="00453203">
        <w:rPr>
          <w:rFonts w:asciiTheme="minorEastAsia" w:eastAsiaTheme="minorEastAsia" w:hAnsiTheme="minorEastAsia" w:hint="eastAsia"/>
        </w:rPr>
        <w:t>计算公式：</w:t>
      </w:r>
    </w:p>
    <w:p w:rsidR="00B00483" w:rsidRPr="00453203" w:rsidRDefault="00B00483" w:rsidP="00173B3E">
      <w:pPr>
        <w:pStyle w:val="af1"/>
        <w:adjustRightInd w:val="0"/>
        <w:snapToGrid w:val="0"/>
        <w:spacing w:line="360" w:lineRule="auto"/>
        <w:ind w:firstLine="482"/>
        <w:textAlignment w:val="baseline"/>
        <w:rPr>
          <w:rFonts w:asciiTheme="minorEastAsia" w:eastAsiaTheme="minorEastAsia" w:hAnsiTheme="minorEastAsia" w:cs="仿宋_GB2312"/>
          <w:bCs/>
          <w:kern w:val="0"/>
          <w:szCs w:val="24"/>
        </w:rPr>
      </w:pPr>
      <w:r w:rsidRPr="00453203">
        <w:rPr>
          <w:rFonts w:asciiTheme="minorEastAsia" w:eastAsiaTheme="minorEastAsia" w:hAnsiTheme="minorEastAsia" w:cs="仿宋_GB2312" w:hint="eastAsia"/>
          <w:bCs/>
          <w:kern w:val="0"/>
          <w:szCs w:val="24"/>
        </w:rPr>
        <w:t>A＝［B×C×(1-D)/（1+G）+F］/E</w:t>
      </w:r>
    </w:p>
    <w:p w:rsidR="00B00483" w:rsidRPr="00453203" w:rsidRDefault="00B00483" w:rsidP="00173B3E">
      <w:pPr>
        <w:pStyle w:val="af1"/>
        <w:adjustRightInd w:val="0"/>
        <w:snapToGrid w:val="0"/>
        <w:spacing w:line="360" w:lineRule="auto"/>
        <w:ind w:firstLine="482"/>
        <w:textAlignment w:val="baseline"/>
        <w:rPr>
          <w:rFonts w:asciiTheme="minorEastAsia" w:eastAsiaTheme="minorEastAsia" w:hAnsiTheme="minorEastAsia" w:cs="仿宋_GB2312"/>
          <w:bCs/>
          <w:kern w:val="0"/>
          <w:szCs w:val="24"/>
        </w:rPr>
      </w:pPr>
      <w:r w:rsidRPr="00453203">
        <w:rPr>
          <w:rFonts w:asciiTheme="minorEastAsia" w:eastAsiaTheme="minorEastAsia" w:hAnsiTheme="minorEastAsia" w:cs="仿宋_GB2312" w:hint="eastAsia"/>
          <w:bCs/>
          <w:kern w:val="0"/>
          <w:szCs w:val="24"/>
        </w:rPr>
        <w:t>H＝</w:t>
      </w:r>
      <w:r w:rsidRPr="00453203">
        <w:rPr>
          <w:rFonts w:asciiTheme="minorEastAsia" w:eastAsiaTheme="minorEastAsia" w:hAnsiTheme="minorEastAsia" w:cs="仿宋_GB2312"/>
          <w:bCs/>
          <w:kern w:val="0"/>
          <w:szCs w:val="24"/>
        </w:rPr>
        <w:t>B×C×D</w:t>
      </w:r>
    </w:p>
    <w:p w:rsidR="00B00483" w:rsidRPr="00453203" w:rsidRDefault="00B00483" w:rsidP="00173B3E">
      <w:pPr>
        <w:pStyle w:val="af1"/>
        <w:adjustRightInd w:val="0"/>
        <w:snapToGrid w:val="0"/>
        <w:spacing w:line="360" w:lineRule="auto"/>
        <w:ind w:firstLine="482"/>
        <w:textAlignment w:val="baseline"/>
        <w:rPr>
          <w:rFonts w:asciiTheme="minorEastAsia" w:eastAsiaTheme="minorEastAsia" w:hAnsiTheme="minorEastAsia" w:cs="仿宋_GB2312"/>
          <w:bCs/>
          <w:kern w:val="0"/>
          <w:szCs w:val="24"/>
        </w:rPr>
      </w:pPr>
      <w:r w:rsidRPr="00453203">
        <w:rPr>
          <w:rFonts w:asciiTheme="minorEastAsia" w:eastAsiaTheme="minorEastAsia" w:hAnsiTheme="minorEastAsia" w:cs="仿宋_GB2312" w:hint="eastAsia"/>
          <w:bCs/>
          <w:kern w:val="0"/>
          <w:szCs w:val="24"/>
        </w:rPr>
        <w:t>J＝[B×C×(1-D)/(1+G)]×G</w:t>
      </w:r>
    </w:p>
    <w:p w:rsidR="00B00483" w:rsidRPr="00453203" w:rsidRDefault="00B00483" w:rsidP="00643071">
      <w:pPr>
        <w:pStyle w:val="af1"/>
        <w:adjustRightInd w:val="0"/>
        <w:snapToGrid w:val="0"/>
        <w:spacing w:line="360" w:lineRule="auto"/>
        <w:ind w:firstLine="482"/>
        <w:textAlignment w:val="baseline"/>
        <w:rPr>
          <w:rFonts w:asciiTheme="minorEastAsia" w:eastAsiaTheme="minorEastAsia" w:hAnsiTheme="minorEastAsia"/>
        </w:rPr>
      </w:pPr>
      <w:r w:rsidRPr="00453203">
        <w:rPr>
          <w:rFonts w:asciiTheme="minorEastAsia" w:eastAsiaTheme="minorEastAsia" w:hAnsiTheme="minorEastAsia" w:cs="仿宋_GB2312" w:hint="eastAsia"/>
          <w:bCs/>
          <w:kern w:val="0"/>
          <w:szCs w:val="24"/>
        </w:rPr>
        <w:lastRenderedPageBreak/>
        <w:t>其中，</w:t>
      </w:r>
      <w:r w:rsidRPr="00453203">
        <w:rPr>
          <w:rFonts w:asciiTheme="minorEastAsia" w:eastAsiaTheme="minorEastAsia" w:hAnsiTheme="minorEastAsia" w:cs="仿宋_GB2312"/>
          <w:bCs/>
          <w:kern w:val="0"/>
          <w:szCs w:val="24"/>
        </w:rPr>
        <w:t>A</w:t>
      </w:r>
      <w:r w:rsidRPr="00453203">
        <w:rPr>
          <w:rFonts w:asciiTheme="minorEastAsia" w:eastAsiaTheme="minorEastAsia" w:hAnsiTheme="minorEastAsia" w:cs="仿宋_GB2312" w:hint="eastAsia"/>
          <w:bCs/>
          <w:kern w:val="0"/>
          <w:szCs w:val="24"/>
        </w:rPr>
        <w:t>为转入的基金份额；</w:t>
      </w:r>
      <w:r w:rsidRPr="00453203">
        <w:rPr>
          <w:rFonts w:asciiTheme="minorEastAsia" w:eastAsiaTheme="minorEastAsia" w:hAnsiTheme="minorEastAsia" w:cs="仿宋_GB2312"/>
          <w:bCs/>
          <w:kern w:val="0"/>
          <w:szCs w:val="24"/>
        </w:rPr>
        <w:t>B</w:t>
      </w:r>
      <w:r w:rsidRPr="00453203">
        <w:rPr>
          <w:rFonts w:asciiTheme="minorEastAsia" w:eastAsiaTheme="minorEastAsia" w:hAnsiTheme="minorEastAsia" w:cs="仿宋_GB2312" w:hint="eastAsia"/>
          <w:bCs/>
          <w:kern w:val="0"/>
          <w:szCs w:val="24"/>
        </w:rPr>
        <w:t>为转出的基金份额；</w:t>
      </w:r>
      <w:r w:rsidRPr="00453203">
        <w:rPr>
          <w:rFonts w:asciiTheme="minorEastAsia" w:eastAsiaTheme="minorEastAsia" w:hAnsiTheme="minorEastAsia" w:cs="仿宋_GB2312"/>
          <w:bCs/>
          <w:kern w:val="0"/>
          <w:szCs w:val="24"/>
        </w:rPr>
        <w:t>C</w:t>
      </w:r>
      <w:r w:rsidRPr="00453203">
        <w:rPr>
          <w:rFonts w:asciiTheme="minorEastAsia" w:eastAsiaTheme="minorEastAsia" w:hAnsiTheme="minorEastAsia" w:cs="仿宋_GB2312" w:hint="eastAsia"/>
          <w:bCs/>
          <w:kern w:val="0"/>
          <w:szCs w:val="24"/>
        </w:rPr>
        <w:t>为转换申请当日转出基金的基金份额净值；</w:t>
      </w:r>
      <w:r w:rsidRPr="00453203">
        <w:rPr>
          <w:rFonts w:asciiTheme="minorEastAsia" w:eastAsiaTheme="minorEastAsia" w:hAnsiTheme="minorEastAsia" w:cs="仿宋_GB2312"/>
          <w:bCs/>
          <w:kern w:val="0"/>
          <w:szCs w:val="24"/>
        </w:rPr>
        <w:t>D</w:t>
      </w:r>
      <w:r w:rsidRPr="00453203">
        <w:rPr>
          <w:rFonts w:asciiTheme="minorEastAsia" w:eastAsiaTheme="minorEastAsia" w:hAnsiTheme="minorEastAsia" w:cs="仿宋_GB2312" w:hint="eastAsia"/>
          <w:bCs/>
          <w:kern w:val="0"/>
          <w:szCs w:val="24"/>
        </w:rPr>
        <w:t>为转出基金的对应赎回费率，</w:t>
      </w:r>
      <w:r w:rsidRPr="00453203">
        <w:rPr>
          <w:rFonts w:asciiTheme="minorEastAsia" w:eastAsiaTheme="minorEastAsia" w:hAnsiTheme="minorEastAsia" w:cs="仿宋_GB2312"/>
          <w:bCs/>
          <w:kern w:val="0"/>
          <w:szCs w:val="24"/>
        </w:rPr>
        <w:t>G</w:t>
      </w:r>
      <w:r w:rsidRPr="00453203">
        <w:rPr>
          <w:rFonts w:asciiTheme="minorEastAsia" w:eastAsiaTheme="minorEastAsia" w:hAnsiTheme="minorEastAsia" w:cs="仿宋_GB2312" w:hint="eastAsia"/>
          <w:bCs/>
          <w:kern w:val="0"/>
          <w:szCs w:val="24"/>
        </w:rPr>
        <w:t>为对应的申购补差费率；</w:t>
      </w:r>
      <w:r w:rsidRPr="00453203">
        <w:rPr>
          <w:rFonts w:asciiTheme="minorEastAsia" w:eastAsiaTheme="minorEastAsia" w:hAnsiTheme="minorEastAsia" w:cs="仿宋_GB2312"/>
          <w:bCs/>
          <w:kern w:val="0"/>
          <w:szCs w:val="24"/>
        </w:rPr>
        <w:t>E</w:t>
      </w:r>
      <w:r w:rsidRPr="00453203">
        <w:rPr>
          <w:rFonts w:asciiTheme="minorEastAsia" w:eastAsiaTheme="minorEastAsia" w:hAnsiTheme="minorEastAsia" w:cs="仿宋_GB2312" w:hint="eastAsia"/>
          <w:bCs/>
          <w:kern w:val="0"/>
          <w:szCs w:val="24"/>
        </w:rPr>
        <w:t>为转换申请</w:t>
      </w:r>
      <w:r w:rsidRPr="00453203">
        <w:rPr>
          <w:rFonts w:asciiTheme="minorEastAsia" w:eastAsiaTheme="minorEastAsia" w:hAnsiTheme="minorEastAsia" w:hint="eastAsia"/>
        </w:rPr>
        <w:t>当日转入基金的基金份额净值</w:t>
      </w:r>
      <w:r w:rsidR="00B82204" w:rsidRPr="00453203">
        <w:rPr>
          <w:rFonts w:asciiTheme="minorEastAsia" w:eastAsiaTheme="minorEastAsia" w:hAnsiTheme="minorEastAsia" w:hint="eastAsia"/>
        </w:rPr>
        <w:t>F为货币市场基金全部转出时注册登记机构已支付的未付收益</w:t>
      </w:r>
      <w:r w:rsidR="009237E4" w:rsidRPr="00453203">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53304D" w:rsidRPr="00453203">
        <w:rPr>
          <w:rFonts w:asciiTheme="minorEastAsia" w:eastAsiaTheme="minorEastAsia" w:hAnsiTheme="minorEastAsia" w:hint="eastAsia"/>
        </w:rPr>
        <w:t>、易</w:t>
      </w:r>
      <w:r w:rsidR="009237E4" w:rsidRPr="00453203">
        <w:rPr>
          <w:rFonts w:asciiTheme="minorEastAsia" w:eastAsiaTheme="minorEastAsia" w:hAnsiTheme="minorEastAsia" w:hint="eastAsia"/>
        </w:rPr>
        <w:t>方达龙宝货币市场基金</w:t>
      </w:r>
      <w:r w:rsidR="0053304D" w:rsidRPr="00453203">
        <w:rPr>
          <w:rFonts w:asciiTheme="minorEastAsia" w:eastAsiaTheme="minorEastAsia" w:hAnsiTheme="minorEastAsia" w:hint="eastAsia"/>
        </w:rPr>
        <w:t>、易方达增金宝货币市场基金</w:t>
      </w:r>
      <w:r w:rsidR="00D511A2" w:rsidRPr="00453203">
        <w:rPr>
          <w:rFonts w:asciiTheme="minorEastAsia" w:eastAsiaTheme="minorEastAsia" w:hAnsiTheme="minorEastAsia" w:hint="eastAsia"/>
        </w:rPr>
        <w:t>、易</w:t>
      </w:r>
      <w:r w:rsidR="0053304D" w:rsidRPr="00453203">
        <w:rPr>
          <w:rFonts w:asciiTheme="minorEastAsia" w:eastAsiaTheme="minorEastAsia" w:hAnsiTheme="minorEastAsia" w:hint="eastAsia"/>
        </w:rPr>
        <w:t>方达现金增利货币市场基金</w:t>
      </w:r>
      <w:r w:rsidR="00D511A2" w:rsidRPr="00453203">
        <w:rPr>
          <w:rFonts w:asciiTheme="minorEastAsia" w:eastAsiaTheme="minorEastAsia" w:hAnsiTheme="minorEastAsia" w:hint="eastAsia"/>
        </w:rPr>
        <w:t>、易方达天天发货币市场基金</w:t>
      </w:r>
      <w:r w:rsidR="00B82204" w:rsidRPr="00453203">
        <w:rPr>
          <w:rFonts w:asciiTheme="minorEastAsia" w:eastAsiaTheme="minorEastAsia" w:hAnsiTheme="minorEastAsia" w:hint="eastAsia"/>
        </w:rPr>
        <w:t>、</w:t>
      </w:r>
      <w:r w:rsidR="00557FE0" w:rsidRPr="00453203">
        <w:rPr>
          <w:rFonts w:asciiTheme="minorEastAsia" w:eastAsiaTheme="minorEastAsia" w:hAnsiTheme="minorEastAsia" w:hint="eastAsia"/>
        </w:rPr>
        <w:t>易方达</w:t>
      </w:r>
      <w:r w:rsidR="00B82204" w:rsidRPr="00453203">
        <w:rPr>
          <w:rFonts w:asciiTheme="minorEastAsia" w:eastAsiaTheme="minorEastAsia" w:hAnsiTheme="minorEastAsia" w:hint="eastAsia"/>
        </w:rPr>
        <w:t>易理财货币市场基金</w:t>
      </w:r>
      <w:r w:rsidR="009237E4" w:rsidRPr="00453203">
        <w:rPr>
          <w:rFonts w:asciiTheme="minorEastAsia" w:eastAsiaTheme="minorEastAsia" w:hAnsiTheme="minorEastAsia" w:hint="eastAsia"/>
        </w:rPr>
        <w:t>）或者短期理财基金转出时对应的累计未付收益（</w:t>
      </w:r>
      <w:r w:rsidR="008F7E6E" w:rsidRPr="00453203">
        <w:rPr>
          <w:rFonts w:asciiTheme="minorEastAsia" w:eastAsiaTheme="minorEastAsia" w:hAnsiTheme="minorEastAsia" w:hint="eastAsia"/>
        </w:rPr>
        <w:t>转出基金为易方达月月利理财债券型证券投资基金和易方达掌柜</w:t>
      </w:r>
      <w:r w:rsidR="008F7E6E" w:rsidRPr="00453203">
        <w:rPr>
          <w:rFonts w:asciiTheme="minorEastAsia" w:eastAsiaTheme="minorEastAsia" w:hAnsiTheme="minorEastAsia"/>
        </w:rPr>
        <w:t>季季盈</w:t>
      </w:r>
      <w:r w:rsidR="008F7E6E" w:rsidRPr="00453203">
        <w:rPr>
          <w:rFonts w:asciiTheme="minorEastAsia" w:eastAsiaTheme="minorEastAsia" w:hAnsiTheme="minorEastAsia" w:hint="eastAsia"/>
        </w:rPr>
        <w:t>理财债券型证券投资基金</w:t>
      </w:r>
      <w:r w:rsidR="009237E4" w:rsidRPr="00453203">
        <w:rPr>
          <w:rFonts w:asciiTheme="minorEastAsia" w:eastAsiaTheme="minorEastAsia" w:hAnsiTheme="minorEastAsia" w:hint="eastAsia"/>
        </w:rPr>
        <w:t>）</w:t>
      </w:r>
      <w:r w:rsidRPr="00453203">
        <w:rPr>
          <w:rFonts w:asciiTheme="minorEastAsia" w:eastAsiaTheme="minorEastAsia" w:hAnsiTheme="minorEastAsia" w:hint="eastAsia"/>
        </w:rPr>
        <w:t>；H为转出基金赎回费；J为申购补差费。</w:t>
      </w:r>
    </w:p>
    <w:p w:rsidR="00B82204" w:rsidRPr="00453203" w:rsidRDefault="00B82204" w:rsidP="00643071">
      <w:pPr>
        <w:pStyle w:val="af1"/>
        <w:adjustRightInd w:val="0"/>
        <w:snapToGrid w:val="0"/>
        <w:spacing w:line="360" w:lineRule="auto"/>
        <w:ind w:firstLine="482"/>
        <w:textAlignment w:val="baseline"/>
        <w:rPr>
          <w:rFonts w:asciiTheme="minorEastAsia" w:eastAsiaTheme="minorEastAsia" w:hAnsiTheme="minorEastAsia"/>
        </w:rPr>
      </w:pPr>
      <w:r w:rsidRPr="00453203">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B00483" w:rsidRPr="00453203" w:rsidRDefault="00B00483" w:rsidP="00643071">
      <w:pPr>
        <w:snapToGrid w:val="0"/>
        <w:spacing w:line="360" w:lineRule="auto"/>
        <w:ind w:firstLine="482"/>
        <w:rPr>
          <w:rFonts w:asciiTheme="minorEastAsia" w:eastAsiaTheme="minorEastAsia" w:hAnsiTheme="minorEastAsia"/>
        </w:rPr>
      </w:pPr>
      <w:r w:rsidRPr="00453203">
        <w:rPr>
          <w:rFonts w:asciiTheme="minorEastAsia" w:eastAsiaTheme="minorEastAsia" w:hAnsiTheme="minorEastAsia" w:hint="eastAsia"/>
        </w:rPr>
        <w:t>说明：</w:t>
      </w:r>
    </w:p>
    <w:p w:rsidR="00B00483" w:rsidRPr="00453203" w:rsidRDefault="00B00483" w:rsidP="00643071">
      <w:pPr>
        <w:snapToGrid w:val="0"/>
        <w:spacing w:line="360" w:lineRule="auto"/>
        <w:ind w:firstLine="482"/>
        <w:rPr>
          <w:rFonts w:asciiTheme="minorEastAsia" w:eastAsiaTheme="minorEastAsia" w:hAnsiTheme="minorEastAsia"/>
        </w:rPr>
      </w:pPr>
      <w:r w:rsidRPr="00453203">
        <w:rPr>
          <w:rFonts w:asciiTheme="minorEastAsia" w:eastAsiaTheme="minorEastAsia" w:hAnsiTheme="minorEastAsia"/>
        </w:rPr>
        <w:t>1</w:t>
      </w:r>
      <w:r w:rsidR="00643071" w:rsidRPr="00453203">
        <w:rPr>
          <w:rFonts w:asciiTheme="minorEastAsia" w:eastAsiaTheme="minorEastAsia" w:hAnsiTheme="minorEastAsia" w:hint="eastAsia"/>
        </w:rPr>
        <w:t>、</w:t>
      </w:r>
      <w:r w:rsidRPr="00453203">
        <w:rPr>
          <w:rFonts w:asciiTheme="minorEastAsia" w:eastAsiaTheme="minorEastAsia" w:hAnsiTheme="minorEastAsia" w:hint="eastAsia"/>
        </w:rPr>
        <w:t>基金转换费用由转出基金赎回费用及基金申购补差费用构成。</w:t>
      </w:r>
    </w:p>
    <w:p w:rsidR="00B00483" w:rsidRPr="00453203" w:rsidRDefault="00B00483" w:rsidP="00643071">
      <w:pPr>
        <w:snapToGrid w:val="0"/>
        <w:spacing w:line="360" w:lineRule="auto"/>
        <w:ind w:firstLine="482"/>
        <w:rPr>
          <w:rFonts w:asciiTheme="minorEastAsia" w:eastAsiaTheme="minorEastAsia" w:hAnsiTheme="minorEastAsia"/>
        </w:rPr>
      </w:pPr>
      <w:r w:rsidRPr="00453203">
        <w:rPr>
          <w:rFonts w:asciiTheme="minorEastAsia" w:eastAsiaTheme="minorEastAsia" w:hAnsiTheme="minorEastAsia"/>
        </w:rPr>
        <w:t>2</w:t>
      </w:r>
      <w:r w:rsidR="00643071" w:rsidRPr="00453203">
        <w:rPr>
          <w:rFonts w:asciiTheme="minorEastAsia" w:eastAsiaTheme="minorEastAsia" w:hAnsiTheme="minorEastAsia" w:hint="eastAsia"/>
        </w:rPr>
        <w:t>、</w:t>
      </w:r>
      <w:r w:rsidRPr="00453203">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453203">
        <w:rPr>
          <w:rFonts w:asciiTheme="minorEastAsia" w:eastAsiaTheme="minorEastAsia" w:hAnsiTheme="minorEastAsia"/>
        </w:rPr>
        <w:t>,</w:t>
      </w:r>
      <w:r w:rsidRPr="00453203">
        <w:rPr>
          <w:rFonts w:asciiTheme="minorEastAsia" w:eastAsiaTheme="minorEastAsia" w:hAnsiTheme="minorEastAsia" w:hint="eastAsia"/>
        </w:rPr>
        <w:t>不收取申购补差费用</w:t>
      </w:r>
      <w:r w:rsidR="00E15170" w:rsidRPr="00453203">
        <w:rPr>
          <w:rFonts w:asciiTheme="minorEastAsia" w:eastAsiaTheme="minorEastAsia" w:hAnsiTheme="minorEastAsia" w:hint="eastAsia"/>
          <w:szCs w:val="21"/>
        </w:rPr>
        <w:t>（注：对通过直销中心申购实施差别申购费率的特定投资群体基金份额的申购费，以除通过直销中心申购的特定投资群体之外的其他投资者申购费为比较标准）</w:t>
      </w:r>
      <w:r w:rsidRPr="00453203">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w:t>
      </w:r>
      <w:r w:rsidR="00B3154A" w:rsidRPr="00453203">
        <w:rPr>
          <w:rFonts w:asciiTheme="minorEastAsia" w:eastAsiaTheme="minorEastAsia" w:hAnsiTheme="minorEastAsia" w:hint="eastAsia"/>
        </w:rPr>
        <w:t>并见相关公告</w:t>
      </w:r>
      <w:r w:rsidRPr="00453203">
        <w:rPr>
          <w:rFonts w:asciiTheme="minorEastAsia" w:eastAsiaTheme="minorEastAsia" w:hAnsiTheme="minorEastAsia" w:hint="eastAsia"/>
        </w:rPr>
        <w:t>。</w:t>
      </w:r>
    </w:p>
    <w:p w:rsidR="00B00483" w:rsidRPr="00453203" w:rsidRDefault="00643071" w:rsidP="00643071">
      <w:pPr>
        <w:snapToGrid w:val="0"/>
        <w:spacing w:line="360" w:lineRule="auto"/>
        <w:ind w:firstLine="482"/>
        <w:rPr>
          <w:rFonts w:asciiTheme="minorEastAsia" w:eastAsiaTheme="minorEastAsia" w:hAnsiTheme="minorEastAsia"/>
        </w:rPr>
      </w:pPr>
      <w:r w:rsidRPr="00453203">
        <w:rPr>
          <w:rFonts w:asciiTheme="minorEastAsia" w:eastAsiaTheme="minorEastAsia" w:hAnsiTheme="minorEastAsia" w:hint="eastAsia"/>
        </w:rPr>
        <w:t>3、</w:t>
      </w:r>
      <w:r w:rsidR="00B00483" w:rsidRPr="00453203">
        <w:rPr>
          <w:rFonts w:asciiTheme="minorEastAsia" w:eastAsiaTheme="minorEastAsia" w:hAnsiTheme="minorEastAsia" w:hint="eastAsia"/>
        </w:rPr>
        <w:t>转出基金时，如涉及的转出基金有赎回费用，收取该基金的赎回费用。收取的赎回费</w:t>
      </w:r>
      <w:r w:rsidR="00A070AD" w:rsidRPr="00453203">
        <w:rPr>
          <w:rFonts w:asciiTheme="minorEastAsia" w:eastAsiaTheme="minorEastAsia" w:hAnsiTheme="minorEastAsia" w:hint="eastAsia"/>
        </w:rPr>
        <w:t>按照</w:t>
      </w:r>
      <w:r w:rsidR="00D511A2" w:rsidRPr="00453203">
        <w:rPr>
          <w:rFonts w:asciiTheme="minorEastAsia" w:eastAsiaTheme="minorEastAsia" w:hAnsiTheme="minorEastAsia" w:hint="eastAsia"/>
        </w:rPr>
        <w:t>各基金的</w:t>
      </w:r>
      <w:r w:rsidR="00A070AD" w:rsidRPr="00453203">
        <w:rPr>
          <w:rFonts w:asciiTheme="minorEastAsia" w:eastAsiaTheme="minorEastAsia" w:hAnsiTheme="minorEastAsia" w:hint="eastAsia"/>
        </w:rPr>
        <w:t>基金合同、更新的招募说明书及最新的相关公告约定的比例归入基金财产</w:t>
      </w:r>
      <w:r w:rsidR="00B00483" w:rsidRPr="00453203">
        <w:rPr>
          <w:rFonts w:asciiTheme="minorEastAsia" w:eastAsiaTheme="minorEastAsia" w:hAnsiTheme="minorEastAsia" w:hint="eastAsia"/>
        </w:rPr>
        <w:t>，其余部分用于支付注册登记费等相关手续费。</w:t>
      </w:r>
    </w:p>
    <w:p w:rsidR="00B00483" w:rsidRPr="00453203" w:rsidRDefault="00B00483" w:rsidP="00643071">
      <w:pPr>
        <w:snapToGrid w:val="0"/>
        <w:spacing w:line="360" w:lineRule="auto"/>
        <w:ind w:firstLine="482"/>
        <w:rPr>
          <w:rFonts w:asciiTheme="minorEastAsia" w:eastAsiaTheme="minorEastAsia" w:hAnsiTheme="minorEastAsia"/>
        </w:rPr>
      </w:pPr>
      <w:r w:rsidRPr="00453203">
        <w:rPr>
          <w:rFonts w:asciiTheme="minorEastAsia" w:eastAsiaTheme="minorEastAsia" w:hAnsiTheme="minorEastAsia" w:hint="eastAsia"/>
        </w:rPr>
        <w:t>4</w:t>
      </w:r>
      <w:r w:rsidR="00643071" w:rsidRPr="00453203">
        <w:rPr>
          <w:rFonts w:asciiTheme="minorEastAsia" w:eastAsiaTheme="minorEastAsia" w:hAnsiTheme="minorEastAsia" w:hint="eastAsia"/>
        </w:rPr>
        <w:t>、</w:t>
      </w:r>
      <w:r w:rsidRPr="00453203">
        <w:rPr>
          <w:rFonts w:asciiTheme="minorEastAsia" w:eastAsiaTheme="minorEastAsia" w:hAnsiTheme="minorEastAsia" w:hint="eastAsia"/>
        </w:rPr>
        <w:t>投资者可以发起多次基金转换业务，基金转换费用按每笔申请单独计算。</w:t>
      </w:r>
      <w:r w:rsidRPr="00453203">
        <w:rPr>
          <w:rFonts w:asciiTheme="minorEastAsia" w:eastAsiaTheme="minorEastAsia" w:hAnsiTheme="minorEastAsia" w:hint="eastAsia"/>
          <w:kern w:val="0"/>
          <w:szCs w:val="21"/>
        </w:rPr>
        <w:t>转换费用以人民币元为单位，计算结果按照四舍五入方法，保留小数点后两位。</w:t>
      </w:r>
    </w:p>
    <w:p w:rsidR="00B00483" w:rsidRPr="00453203" w:rsidRDefault="00B0048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举例说明</w:t>
      </w:r>
      <w:r w:rsidRPr="00453203">
        <w:rPr>
          <w:rFonts w:asciiTheme="minorEastAsia" w:eastAsiaTheme="minorEastAsia" w:hAnsiTheme="minorEastAsia"/>
        </w:rPr>
        <w:t>：</w:t>
      </w:r>
      <w:r w:rsidRPr="00453203">
        <w:rPr>
          <w:rFonts w:asciiTheme="minorEastAsia" w:eastAsiaTheme="minorEastAsia" w:hAnsiTheme="minorEastAsia" w:hint="eastAsia"/>
        </w:rPr>
        <w:t>假定某投资者</w:t>
      </w:r>
      <w:r w:rsidR="008F7E6E" w:rsidRPr="00453203">
        <w:rPr>
          <w:rFonts w:asciiTheme="minorEastAsia" w:eastAsiaTheme="minorEastAsia" w:hAnsiTheme="minorEastAsia" w:hint="eastAsia"/>
        </w:rPr>
        <w:t>（</w:t>
      </w:r>
      <w:r w:rsidR="008F7E6E" w:rsidRPr="00453203">
        <w:rPr>
          <w:rFonts w:asciiTheme="minorEastAsia" w:eastAsiaTheme="minorEastAsia" w:hAnsiTheme="minorEastAsia"/>
        </w:rPr>
        <w:t>非特定投资群体）</w:t>
      </w:r>
      <w:r w:rsidRPr="00453203">
        <w:rPr>
          <w:rFonts w:asciiTheme="minorEastAsia" w:eastAsiaTheme="minorEastAsia" w:hAnsiTheme="minorEastAsia" w:hint="eastAsia"/>
        </w:rPr>
        <w:t>在T日转出10,000份易方达</w:t>
      </w:r>
      <w:r w:rsidR="006020B3" w:rsidRPr="00453203">
        <w:rPr>
          <w:rFonts w:asciiTheme="minorEastAsia" w:eastAsiaTheme="minorEastAsia" w:hAnsiTheme="minorEastAsia" w:hint="eastAsia"/>
        </w:rPr>
        <w:t>创业板</w:t>
      </w:r>
      <w:r w:rsidRPr="00453203">
        <w:rPr>
          <w:rFonts w:asciiTheme="minorEastAsia" w:eastAsiaTheme="minorEastAsia" w:hAnsiTheme="minorEastAsia" w:hint="eastAsia"/>
        </w:rPr>
        <w:t>ETF联接基金</w:t>
      </w:r>
      <w:r w:rsidR="008F7E6E" w:rsidRPr="00453203">
        <w:rPr>
          <w:rFonts w:asciiTheme="minorEastAsia" w:eastAsiaTheme="minorEastAsia" w:hAnsiTheme="minorEastAsia" w:hint="eastAsia"/>
        </w:rPr>
        <w:t>A</w:t>
      </w:r>
      <w:r w:rsidR="008F7E6E" w:rsidRPr="00453203">
        <w:rPr>
          <w:rFonts w:asciiTheme="minorEastAsia" w:eastAsiaTheme="minorEastAsia" w:hAnsiTheme="minorEastAsia"/>
        </w:rPr>
        <w:t>类基金份额</w:t>
      </w:r>
      <w:r w:rsidRPr="00453203">
        <w:rPr>
          <w:rFonts w:asciiTheme="minorEastAsia" w:eastAsiaTheme="minorEastAsia" w:hAnsiTheme="minorEastAsia" w:hint="eastAsia"/>
        </w:rPr>
        <w:t>至</w:t>
      </w:r>
      <w:r w:rsidRPr="00453203">
        <w:rPr>
          <w:rFonts w:asciiTheme="minorEastAsia" w:eastAsiaTheme="minorEastAsia" w:hAnsiTheme="minorEastAsia"/>
        </w:rPr>
        <w:t>易方达策略成长二号混合型基金</w:t>
      </w:r>
      <w:r w:rsidRPr="00453203">
        <w:rPr>
          <w:rFonts w:asciiTheme="minorEastAsia" w:eastAsiaTheme="minorEastAsia" w:hAnsiTheme="minorEastAsia" w:hint="eastAsia"/>
        </w:rPr>
        <w:t>份额，转出基金T日的基金份额净值为</w:t>
      </w:r>
      <w:r w:rsidR="005C027F" w:rsidRPr="00453203">
        <w:rPr>
          <w:rFonts w:asciiTheme="minorEastAsia" w:eastAsiaTheme="minorEastAsia" w:hAnsiTheme="minorEastAsia" w:hint="eastAsia"/>
        </w:rPr>
        <w:t>1.1000</w:t>
      </w:r>
      <w:r w:rsidRPr="00453203">
        <w:rPr>
          <w:rFonts w:asciiTheme="minorEastAsia" w:eastAsiaTheme="minorEastAsia" w:hAnsiTheme="minorEastAsia" w:hint="eastAsia"/>
        </w:rPr>
        <w:t>元，转入</w:t>
      </w:r>
      <w:r w:rsidRPr="00453203">
        <w:rPr>
          <w:rFonts w:asciiTheme="minorEastAsia" w:eastAsiaTheme="minorEastAsia" w:hAnsiTheme="minorEastAsia"/>
        </w:rPr>
        <w:t>易方达策略成长二号混合型基金</w:t>
      </w:r>
      <w:r w:rsidRPr="00453203">
        <w:rPr>
          <w:rFonts w:asciiTheme="minorEastAsia" w:eastAsiaTheme="minorEastAsia" w:hAnsiTheme="minorEastAsia" w:hint="eastAsia"/>
        </w:rPr>
        <w:t>T日的基金份额净值为1.020元，假设该转出基金的赎回费率为0.5%，申购补差费率为0.8%，则可获得转入基金的</w:t>
      </w:r>
      <w:r w:rsidRPr="00453203">
        <w:rPr>
          <w:rFonts w:asciiTheme="minorEastAsia" w:eastAsiaTheme="minorEastAsia" w:hAnsiTheme="minorEastAsia"/>
        </w:rPr>
        <w:t>易方达策略成长二号混合型基金</w:t>
      </w:r>
      <w:r w:rsidRPr="00453203">
        <w:rPr>
          <w:rFonts w:asciiTheme="minorEastAsia" w:eastAsiaTheme="minorEastAsia" w:hAnsiTheme="minorEastAsia" w:hint="eastAsia"/>
        </w:rPr>
        <w:t>基金份额计算如下：</w:t>
      </w:r>
    </w:p>
    <w:p w:rsidR="00B00483" w:rsidRPr="00453203" w:rsidRDefault="00B00483" w:rsidP="00643071">
      <w:pPr>
        <w:snapToGrid w:val="0"/>
        <w:spacing w:line="360" w:lineRule="auto"/>
        <w:ind w:firstLine="420"/>
        <w:rPr>
          <w:rFonts w:asciiTheme="minorEastAsia" w:eastAsiaTheme="minorEastAsia" w:hAnsiTheme="minorEastAsia"/>
          <w:szCs w:val="20"/>
        </w:rPr>
      </w:pPr>
      <w:r w:rsidRPr="00453203">
        <w:rPr>
          <w:rFonts w:asciiTheme="minorEastAsia" w:eastAsiaTheme="minorEastAsia" w:hAnsiTheme="minorEastAsia" w:hint="eastAsia"/>
          <w:szCs w:val="20"/>
        </w:rPr>
        <w:t>转换</w:t>
      </w:r>
      <w:r w:rsidRPr="00453203">
        <w:rPr>
          <w:rFonts w:asciiTheme="minorEastAsia" w:eastAsiaTheme="minorEastAsia" w:hAnsiTheme="minorEastAsia"/>
          <w:szCs w:val="20"/>
        </w:rPr>
        <w:t>金额＝转出基金申请份额×转出基金份额净值=10</w:t>
      </w:r>
      <w:r w:rsidRPr="00453203">
        <w:rPr>
          <w:rFonts w:asciiTheme="minorEastAsia" w:eastAsiaTheme="minorEastAsia" w:hAnsiTheme="minorEastAsia" w:hint="eastAsia"/>
          <w:szCs w:val="20"/>
        </w:rPr>
        <w:t>,</w:t>
      </w:r>
      <w:r w:rsidRPr="00453203">
        <w:rPr>
          <w:rFonts w:asciiTheme="minorEastAsia" w:eastAsiaTheme="minorEastAsia" w:hAnsiTheme="minorEastAsia"/>
          <w:szCs w:val="20"/>
        </w:rPr>
        <w:t>000×1</w:t>
      </w:r>
      <w:r w:rsidRPr="00453203">
        <w:rPr>
          <w:rFonts w:asciiTheme="minorEastAsia" w:eastAsiaTheme="minorEastAsia" w:hAnsiTheme="minorEastAsia" w:hint="eastAsia"/>
          <w:szCs w:val="20"/>
        </w:rPr>
        <w:t>.100</w:t>
      </w:r>
      <w:r w:rsidR="005C027F" w:rsidRPr="00453203">
        <w:rPr>
          <w:rFonts w:asciiTheme="minorEastAsia" w:eastAsiaTheme="minorEastAsia" w:hAnsiTheme="minorEastAsia" w:hint="eastAsia"/>
          <w:szCs w:val="20"/>
        </w:rPr>
        <w:t>0</w:t>
      </w:r>
      <w:r w:rsidRPr="00453203">
        <w:rPr>
          <w:rFonts w:asciiTheme="minorEastAsia" w:eastAsiaTheme="minorEastAsia" w:hAnsiTheme="minorEastAsia"/>
          <w:szCs w:val="20"/>
        </w:rPr>
        <w:t>＝1</w:t>
      </w:r>
      <w:r w:rsidRPr="00453203">
        <w:rPr>
          <w:rFonts w:asciiTheme="minorEastAsia" w:eastAsiaTheme="minorEastAsia" w:hAnsiTheme="minorEastAsia" w:hint="eastAsia"/>
          <w:szCs w:val="20"/>
        </w:rPr>
        <w:t>1,</w:t>
      </w:r>
      <w:r w:rsidRPr="00453203">
        <w:rPr>
          <w:rFonts w:asciiTheme="minorEastAsia" w:eastAsiaTheme="minorEastAsia" w:hAnsiTheme="minorEastAsia"/>
          <w:szCs w:val="20"/>
        </w:rPr>
        <w:t>000</w:t>
      </w:r>
      <w:r w:rsidRPr="00453203">
        <w:rPr>
          <w:rFonts w:asciiTheme="minorEastAsia" w:eastAsiaTheme="minorEastAsia" w:hAnsiTheme="minorEastAsia" w:hint="eastAsia"/>
          <w:szCs w:val="20"/>
        </w:rPr>
        <w:t>.00</w:t>
      </w:r>
      <w:r w:rsidRPr="00453203">
        <w:rPr>
          <w:rFonts w:asciiTheme="minorEastAsia" w:eastAsiaTheme="minorEastAsia" w:hAnsiTheme="minorEastAsia"/>
          <w:szCs w:val="20"/>
        </w:rPr>
        <w:t>元</w:t>
      </w:r>
    </w:p>
    <w:p w:rsidR="00B00483" w:rsidRPr="00453203" w:rsidRDefault="00B00483" w:rsidP="00643071">
      <w:pPr>
        <w:snapToGrid w:val="0"/>
        <w:spacing w:line="360" w:lineRule="auto"/>
        <w:ind w:firstLine="420"/>
        <w:rPr>
          <w:rFonts w:asciiTheme="minorEastAsia" w:eastAsiaTheme="minorEastAsia" w:hAnsiTheme="minorEastAsia"/>
          <w:szCs w:val="20"/>
        </w:rPr>
      </w:pPr>
      <w:r w:rsidRPr="00453203">
        <w:rPr>
          <w:rFonts w:asciiTheme="minorEastAsia" w:eastAsiaTheme="minorEastAsia" w:hAnsiTheme="minorEastAsia" w:hint="eastAsia"/>
          <w:szCs w:val="20"/>
        </w:rPr>
        <w:lastRenderedPageBreak/>
        <w:t>转出基金</w:t>
      </w:r>
      <w:r w:rsidRPr="00453203">
        <w:rPr>
          <w:rFonts w:asciiTheme="minorEastAsia" w:eastAsiaTheme="minorEastAsia" w:hAnsiTheme="minorEastAsia"/>
          <w:szCs w:val="20"/>
        </w:rPr>
        <w:t>赎回费＝</w:t>
      </w:r>
      <w:r w:rsidRPr="00453203">
        <w:rPr>
          <w:rFonts w:asciiTheme="minorEastAsia" w:eastAsiaTheme="minorEastAsia" w:hAnsiTheme="minorEastAsia" w:hint="eastAsia"/>
          <w:szCs w:val="20"/>
        </w:rPr>
        <w:t>转换</w:t>
      </w:r>
      <w:r w:rsidRPr="00453203">
        <w:rPr>
          <w:rFonts w:asciiTheme="minorEastAsia" w:eastAsiaTheme="minorEastAsia" w:hAnsiTheme="minorEastAsia"/>
          <w:szCs w:val="20"/>
        </w:rPr>
        <w:t>金额×</w:t>
      </w:r>
      <w:r w:rsidRPr="00453203">
        <w:rPr>
          <w:rFonts w:asciiTheme="minorEastAsia" w:eastAsiaTheme="minorEastAsia" w:hAnsiTheme="minorEastAsia" w:hint="eastAsia"/>
          <w:szCs w:val="20"/>
        </w:rPr>
        <w:t>转出基金</w:t>
      </w:r>
      <w:r w:rsidRPr="00453203">
        <w:rPr>
          <w:rFonts w:asciiTheme="minorEastAsia" w:eastAsiaTheme="minorEastAsia" w:hAnsiTheme="minorEastAsia"/>
          <w:szCs w:val="20"/>
        </w:rPr>
        <w:t>赎回费率</w:t>
      </w:r>
      <w:r w:rsidRPr="00453203">
        <w:rPr>
          <w:rFonts w:asciiTheme="minorEastAsia" w:eastAsiaTheme="minorEastAsia" w:hAnsiTheme="minorEastAsia" w:hint="eastAsia"/>
          <w:szCs w:val="20"/>
        </w:rPr>
        <w:t>=</w:t>
      </w:r>
      <w:r w:rsidRPr="00453203">
        <w:rPr>
          <w:rFonts w:asciiTheme="minorEastAsia" w:eastAsiaTheme="minorEastAsia" w:hAnsiTheme="minorEastAsia"/>
          <w:szCs w:val="20"/>
        </w:rPr>
        <w:t>1</w:t>
      </w:r>
      <w:r w:rsidRPr="00453203">
        <w:rPr>
          <w:rFonts w:asciiTheme="minorEastAsia" w:eastAsiaTheme="minorEastAsia" w:hAnsiTheme="minorEastAsia" w:hint="eastAsia"/>
          <w:szCs w:val="20"/>
        </w:rPr>
        <w:t>1,</w:t>
      </w:r>
      <w:r w:rsidRPr="00453203">
        <w:rPr>
          <w:rFonts w:asciiTheme="minorEastAsia" w:eastAsiaTheme="minorEastAsia" w:hAnsiTheme="minorEastAsia"/>
          <w:szCs w:val="20"/>
        </w:rPr>
        <w:t>000</w:t>
      </w:r>
      <w:r w:rsidRPr="00453203">
        <w:rPr>
          <w:rFonts w:asciiTheme="minorEastAsia" w:eastAsiaTheme="minorEastAsia" w:hAnsiTheme="minorEastAsia" w:hint="eastAsia"/>
          <w:szCs w:val="20"/>
        </w:rPr>
        <w:t>.00</w:t>
      </w:r>
      <w:r w:rsidRPr="00453203">
        <w:rPr>
          <w:rFonts w:asciiTheme="minorEastAsia" w:eastAsiaTheme="minorEastAsia" w:hAnsiTheme="minorEastAsia"/>
          <w:szCs w:val="20"/>
        </w:rPr>
        <w:t>×</w:t>
      </w:r>
      <w:r w:rsidRPr="00453203">
        <w:rPr>
          <w:rFonts w:asciiTheme="minorEastAsia" w:eastAsiaTheme="minorEastAsia" w:hAnsiTheme="minorEastAsia" w:hint="eastAsia"/>
          <w:szCs w:val="20"/>
        </w:rPr>
        <w:t>0.5%=55.00元</w:t>
      </w:r>
    </w:p>
    <w:p w:rsidR="00B00483" w:rsidRPr="00453203" w:rsidRDefault="00B00483" w:rsidP="00643071">
      <w:pPr>
        <w:snapToGrid w:val="0"/>
        <w:spacing w:line="360" w:lineRule="auto"/>
        <w:ind w:firstLine="420"/>
        <w:rPr>
          <w:rFonts w:asciiTheme="minorEastAsia" w:eastAsiaTheme="minorEastAsia" w:hAnsiTheme="minorEastAsia"/>
          <w:szCs w:val="20"/>
        </w:rPr>
      </w:pPr>
      <w:r w:rsidRPr="00453203">
        <w:rPr>
          <w:rFonts w:asciiTheme="minorEastAsia" w:eastAsiaTheme="minorEastAsia" w:hAnsiTheme="minorEastAsia" w:hint="eastAsia"/>
          <w:szCs w:val="20"/>
        </w:rPr>
        <w:t>申购</w:t>
      </w:r>
      <w:r w:rsidRPr="00453203">
        <w:rPr>
          <w:rFonts w:asciiTheme="minorEastAsia" w:eastAsiaTheme="minorEastAsia" w:hAnsiTheme="minorEastAsia"/>
          <w:szCs w:val="20"/>
        </w:rPr>
        <w:t>补差费</w:t>
      </w:r>
      <w:r w:rsidRPr="00453203">
        <w:rPr>
          <w:rFonts w:asciiTheme="minorEastAsia" w:eastAsiaTheme="minorEastAsia" w:hAnsiTheme="minorEastAsia" w:hint="eastAsia"/>
          <w:szCs w:val="20"/>
        </w:rPr>
        <w:t>=（转换</w:t>
      </w:r>
      <w:r w:rsidRPr="00453203">
        <w:rPr>
          <w:rFonts w:asciiTheme="minorEastAsia" w:eastAsiaTheme="minorEastAsia" w:hAnsiTheme="minorEastAsia"/>
          <w:szCs w:val="20"/>
        </w:rPr>
        <w:t>金额</w:t>
      </w:r>
      <w:r w:rsidRPr="00453203">
        <w:rPr>
          <w:rFonts w:asciiTheme="minorEastAsia" w:eastAsiaTheme="minorEastAsia" w:hAnsiTheme="minorEastAsia" w:hint="eastAsia"/>
          <w:szCs w:val="20"/>
        </w:rPr>
        <w:t>—转出基金</w:t>
      </w:r>
      <w:r w:rsidRPr="00453203">
        <w:rPr>
          <w:rFonts w:asciiTheme="minorEastAsia" w:eastAsiaTheme="minorEastAsia" w:hAnsiTheme="minorEastAsia"/>
          <w:szCs w:val="20"/>
        </w:rPr>
        <w:t>赎回费</w:t>
      </w:r>
      <w:r w:rsidRPr="00453203">
        <w:rPr>
          <w:rFonts w:asciiTheme="minorEastAsia" w:eastAsiaTheme="minorEastAsia" w:hAnsiTheme="minorEastAsia" w:hint="eastAsia"/>
          <w:szCs w:val="20"/>
        </w:rPr>
        <w:t>）</w:t>
      </w:r>
      <w:r w:rsidRPr="00453203">
        <w:rPr>
          <w:rFonts w:asciiTheme="minorEastAsia" w:eastAsiaTheme="minorEastAsia" w:hAnsiTheme="minorEastAsia"/>
          <w:szCs w:val="20"/>
        </w:rPr>
        <w:t>×</w:t>
      </w:r>
      <w:r w:rsidRPr="00453203">
        <w:rPr>
          <w:rFonts w:asciiTheme="minorEastAsia" w:eastAsiaTheme="minorEastAsia" w:hAnsiTheme="minorEastAsia" w:hint="eastAsia"/>
          <w:szCs w:val="20"/>
        </w:rPr>
        <w:t>申购</w:t>
      </w:r>
      <w:r w:rsidRPr="00453203">
        <w:rPr>
          <w:rFonts w:asciiTheme="minorEastAsia" w:eastAsiaTheme="minorEastAsia" w:hAnsiTheme="minorEastAsia"/>
          <w:szCs w:val="20"/>
        </w:rPr>
        <w:t>补差费率÷（１＋</w:t>
      </w:r>
      <w:r w:rsidRPr="00453203">
        <w:rPr>
          <w:rFonts w:asciiTheme="minorEastAsia" w:eastAsiaTheme="minorEastAsia" w:hAnsiTheme="minorEastAsia" w:hint="eastAsia"/>
          <w:szCs w:val="20"/>
        </w:rPr>
        <w:t>申购</w:t>
      </w:r>
      <w:r w:rsidRPr="00453203">
        <w:rPr>
          <w:rFonts w:asciiTheme="minorEastAsia" w:eastAsiaTheme="minorEastAsia" w:hAnsiTheme="minorEastAsia"/>
          <w:szCs w:val="20"/>
        </w:rPr>
        <w:t>补差费率）</w:t>
      </w:r>
      <w:r w:rsidRPr="00453203">
        <w:rPr>
          <w:rFonts w:asciiTheme="minorEastAsia" w:eastAsiaTheme="minorEastAsia" w:hAnsiTheme="minorEastAsia" w:hint="eastAsia"/>
          <w:szCs w:val="20"/>
        </w:rPr>
        <w:t>=（</w:t>
      </w:r>
      <w:r w:rsidRPr="00453203">
        <w:rPr>
          <w:rFonts w:asciiTheme="minorEastAsia" w:eastAsiaTheme="minorEastAsia" w:hAnsiTheme="minorEastAsia"/>
          <w:szCs w:val="20"/>
        </w:rPr>
        <w:t>1</w:t>
      </w:r>
      <w:r w:rsidRPr="00453203">
        <w:rPr>
          <w:rFonts w:asciiTheme="minorEastAsia" w:eastAsiaTheme="minorEastAsia" w:hAnsiTheme="minorEastAsia" w:hint="eastAsia"/>
          <w:szCs w:val="20"/>
        </w:rPr>
        <w:t>1,</w:t>
      </w:r>
      <w:r w:rsidRPr="00453203">
        <w:rPr>
          <w:rFonts w:asciiTheme="minorEastAsia" w:eastAsiaTheme="minorEastAsia" w:hAnsiTheme="minorEastAsia"/>
          <w:szCs w:val="20"/>
        </w:rPr>
        <w:t>000</w:t>
      </w:r>
      <w:r w:rsidRPr="00453203">
        <w:rPr>
          <w:rFonts w:asciiTheme="minorEastAsia" w:eastAsiaTheme="minorEastAsia" w:hAnsiTheme="minorEastAsia" w:hint="eastAsia"/>
          <w:szCs w:val="20"/>
        </w:rPr>
        <w:t>.00-55.00）</w:t>
      </w:r>
      <w:r w:rsidRPr="00453203">
        <w:rPr>
          <w:rFonts w:asciiTheme="minorEastAsia" w:eastAsiaTheme="minorEastAsia" w:hAnsiTheme="minorEastAsia"/>
          <w:szCs w:val="20"/>
        </w:rPr>
        <w:t>×</w:t>
      </w:r>
      <w:r w:rsidRPr="00453203">
        <w:rPr>
          <w:rFonts w:asciiTheme="minorEastAsia" w:eastAsiaTheme="minorEastAsia" w:hAnsiTheme="minorEastAsia" w:hint="eastAsia"/>
          <w:szCs w:val="20"/>
        </w:rPr>
        <w:t>0.</w:t>
      </w:r>
      <w:r w:rsidRPr="00453203">
        <w:rPr>
          <w:rFonts w:asciiTheme="minorEastAsia" w:eastAsiaTheme="minorEastAsia" w:hAnsiTheme="minorEastAsia" w:hint="eastAsia"/>
        </w:rPr>
        <w:t>8</w:t>
      </w:r>
      <w:r w:rsidRPr="00453203">
        <w:rPr>
          <w:rFonts w:asciiTheme="minorEastAsia" w:eastAsiaTheme="minorEastAsia" w:hAnsiTheme="minorEastAsia" w:hint="eastAsia"/>
          <w:szCs w:val="20"/>
        </w:rPr>
        <w:t>%</w:t>
      </w:r>
      <w:r w:rsidRPr="00453203">
        <w:rPr>
          <w:rFonts w:asciiTheme="minorEastAsia" w:eastAsiaTheme="minorEastAsia" w:hAnsiTheme="minorEastAsia"/>
          <w:szCs w:val="20"/>
        </w:rPr>
        <w:t>÷</w:t>
      </w:r>
      <w:r w:rsidRPr="00453203">
        <w:rPr>
          <w:rFonts w:asciiTheme="minorEastAsia" w:eastAsiaTheme="minorEastAsia" w:hAnsiTheme="minorEastAsia" w:hint="eastAsia"/>
          <w:szCs w:val="20"/>
        </w:rPr>
        <w:t>(1+0.</w:t>
      </w:r>
      <w:r w:rsidRPr="00453203">
        <w:rPr>
          <w:rFonts w:asciiTheme="minorEastAsia" w:eastAsiaTheme="minorEastAsia" w:hAnsiTheme="minorEastAsia" w:hint="eastAsia"/>
        </w:rPr>
        <w:t>8</w:t>
      </w:r>
      <w:r w:rsidRPr="00453203">
        <w:rPr>
          <w:rFonts w:asciiTheme="minorEastAsia" w:eastAsiaTheme="minorEastAsia" w:hAnsiTheme="minorEastAsia" w:hint="eastAsia"/>
          <w:szCs w:val="20"/>
        </w:rPr>
        <w:t>%)=</w:t>
      </w:r>
      <w:r w:rsidRPr="00453203">
        <w:rPr>
          <w:rFonts w:asciiTheme="minorEastAsia" w:eastAsiaTheme="minorEastAsia" w:hAnsiTheme="minorEastAsia" w:hint="eastAsia"/>
        </w:rPr>
        <w:t>86.87</w:t>
      </w:r>
      <w:r w:rsidRPr="00453203">
        <w:rPr>
          <w:rFonts w:asciiTheme="minorEastAsia" w:eastAsiaTheme="minorEastAsia" w:hAnsiTheme="minorEastAsia" w:hint="eastAsia"/>
          <w:szCs w:val="20"/>
        </w:rPr>
        <w:t>元</w:t>
      </w:r>
    </w:p>
    <w:p w:rsidR="00B00483" w:rsidRPr="00453203" w:rsidRDefault="00B00483" w:rsidP="00643071">
      <w:pPr>
        <w:snapToGrid w:val="0"/>
        <w:spacing w:line="360" w:lineRule="auto"/>
        <w:ind w:firstLine="420"/>
        <w:rPr>
          <w:rFonts w:asciiTheme="minorEastAsia" w:eastAsiaTheme="minorEastAsia" w:hAnsiTheme="minorEastAsia"/>
          <w:szCs w:val="20"/>
        </w:rPr>
      </w:pPr>
      <w:r w:rsidRPr="00453203">
        <w:rPr>
          <w:rFonts w:asciiTheme="minorEastAsia" w:eastAsiaTheme="minorEastAsia" w:hAnsiTheme="minorEastAsia"/>
          <w:szCs w:val="20"/>
        </w:rPr>
        <w:t>转换费＝转出基金赎回费+申购补差费=</w:t>
      </w:r>
      <w:r w:rsidRPr="00453203">
        <w:rPr>
          <w:rFonts w:asciiTheme="minorEastAsia" w:eastAsiaTheme="minorEastAsia" w:hAnsiTheme="minorEastAsia" w:hint="eastAsia"/>
          <w:szCs w:val="20"/>
        </w:rPr>
        <w:t>55.00</w:t>
      </w:r>
      <w:r w:rsidRPr="00453203">
        <w:rPr>
          <w:rFonts w:asciiTheme="minorEastAsia" w:eastAsiaTheme="minorEastAsia" w:hAnsiTheme="minorEastAsia"/>
          <w:szCs w:val="20"/>
        </w:rPr>
        <w:t>+</w:t>
      </w:r>
      <w:r w:rsidRPr="00453203">
        <w:rPr>
          <w:rFonts w:asciiTheme="minorEastAsia" w:eastAsiaTheme="minorEastAsia" w:hAnsiTheme="minorEastAsia" w:hint="eastAsia"/>
        </w:rPr>
        <w:t>86.87</w:t>
      </w:r>
      <w:r w:rsidRPr="00453203">
        <w:rPr>
          <w:rFonts w:asciiTheme="minorEastAsia" w:eastAsiaTheme="minorEastAsia" w:hAnsiTheme="minorEastAsia"/>
          <w:szCs w:val="20"/>
        </w:rPr>
        <w:t>＝</w:t>
      </w:r>
      <w:r w:rsidRPr="00453203">
        <w:rPr>
          <w:rFonts w:asciiTheme="minorEastAsia" w:eastAsiaTheme="minorEastAsia" w:hAnsiTheme="minorEastAsia" w:hint="eastAsia"/>
        </w:rPr>
        <w:t>141.87</w:t>
      </w:r>
      <w:r w:rsidRPr="00453203">
        <w:rPr>
          <w:rFonts w:asciiTheme="minorEastAsia" w:eastAsiaTheme="minorEastAsia" w:hAnsiTheme="minorEastAsia" w:hint="eastAsia"/>
          <w:szCs w:val="20"/>
        </w:rPr>
        <w:t>元</w:t>
      </w:r>
    </w:p>
    <w:p w:rsidR="00B00483" w:rsidRPr="00453203" w:rsidRDefault="00B00483" w:rsidP="00643071">
      <w:pPr>
        <w:snapToGrid w:val="0"/>
        <w:spacing w:line="360" w:lineRule="auto"/>
        <w:ind w:firstLine="420"/>
        <w:rPr>
          <w:rFonts w:asciiTheme="minorEastAsia" w:eastAsiaTheme="minorEastAsia" w:hAnsiTheme="minorEastAsia"/>
          <w:szCs w:val="20"/>
        </w:rPr>
      </w:pPr>
      <w:r w:rsidRPr="00453203">
        <w:rPr>
          <w:rFonts w:asciiTheme="minorEastAsia" w:eastAsiaTheme="minorEastAsia" w:hAnsiTheme="minorEastAsia" w:hint="eastAsia"/>
          <w:szCs w:val="20"/>
        </w:rPr>
        <w:t>转入金额=转换</w:t>
      </w:r>
      <w:r w:rsidRPr="00453203">
        <w:rPr>
          <w:rFonts w:asciiTheme="minorEastAsia" w:eastAsiaTheme="minorEastAsia" w:hAnsiTheme="minorEastAsia"/>
          <w:szCs w:val="20"/>
        </w:rPr>
        <w:t>金额</w:t>
      </w:r>
      <w:r w:rsidRPr="00453203">
        <w:rPr>
          <w:rFonts w:asciiTheme="minorEastAsia" w:eastAsiaTheme="minorEastAsia" w:hAnsiTheme="minorEastAsia" w:hint="eastAsia"/>
          <w:szCs w:val="20"/>
        </w:rPr>
        <w:t>—</w:t>
      </w:r>
      <w:r w:rsidRPr="00453203">
        <w:rPr>
          <w:rFonts w:asciiTheme="minorEastAsia" w:eastAsiaTheme="minorEastAsia" w:hAnsiTheme="minorEastAsia"/>
          <w:szCs w:val="20"/>
        </w:rPr>
        <w:t>转换费</w:t>
      </w:r>
      <w:r w:rsidRPr="00453203">
        <w:rPr>
          <w:rFonts w:asciiTheme="minorEastAsia" w:eastAsiaTheme="minorEastAsia" w:hAnsiTheme="minorEastAsia" w:hint="eastAsia"/>
          <w:szCs w:val="20"/>
        </w:rPr>
        <w:t>=</w:t>
      </w:r>
      <w:r w:rsidRPr="00453203">
        <w:rPr>
          <w:rFonts w:asciiTheme="minorEastAsia" w:eastAsiaTheme="minorEastAsia" w:hAnsiTheme="minorEastAsia"/>
          <w:szCs w:val="20"/>
        </w:rPr>
        <w:t>1</w:t>
      </w:r>
      <w:r w:rsidRPr="00453203">
        <w:rPr>
          <w:rFonts w:asciiTheme="minorEastAsia" w:eastAsiaTheme="minorEastAsia" w:hAnsiTheme="minorEastAsia" w:hint="eastAsia"/>
          <w:szCs w:val="20"/>
        </w:rPr>
        <w:t>1</w:t>
      </w:r>
      <w:r w:rsidRPr="00453203">
        <w:rPr>
          <w:rFonts w:asciiTheme="minorEastAsia" w:eastAsiaTheme="minorEastAsia" w:hAnsiTheme="minorEastAsia" w:hint="eastAsia"/>
        </w:rPr>
        <w:t>,</w:t>
      </w:r>
      <w:r w:rsidRPr="00453203">
        <w:rPr>
          <w:rFonts w:asciiTheme="minorEastAsia" w:eastAsiaTheme="minorEastAsia" w:hAnsiTheme="minorEastAsia"/>
          <w:szCs w:val="20"/>
        </w:rPr>
        <w:t>000</w:t>
      </w:r>
      <w:r w:rsidRPr="00453203">
        <w:rPr>
          <w:rFonts w:asciiTheme="minorEastAsia" w:eastAsiaTheme="minorEastAsia" w:hAnsiTheme="minorEastAsia" w:hint="eastAsia"/>
          <w:szCs w:val="20"/>
        </w:rPr>
        <w:t>.00</w:t>
      </w:r>
      <w:r w:rsidRPr="00453203">
        <w:rPr>
          <w:rFonts w:asciiTheme="minorEastAsia" w:eastAsiaTheme="minorEastAsia" w:hAnsiTheme="minorEastAsia" w:hint="eastAsia"/>
        </w:rPr>
        <w:t>-141.87</w:t>
      </w:r>
      <w:r w:rsidRPr="00453203">
        <w:rPr>
          <w:rFonts w:asciiTheme="minorEastAsia" w:eastAsiaTheme="minorEastAsia" w:hAnsiTheme="minorEastAsia" w:hint="eastAsia"/>
          <w:szCs w:val="20"/>
        </w:rPr>
        <w:t>=10,8</w:t>
      </w:r>
      <w:r w:rsidRPr="00453203">
        <w:rPr>
          <w:rFonts w:asciiTheme="minorEastAsia" w:eastAsiaTheme="minorEastAsia" w:hAnsiTheme="minorEastAsia" w:hint="eastAsia"/>
        </w:rPr>
        <w:t>58</w:t>
      </w:r>
      <w:r w:rsidRPr="00453203">
        <w:rPr>
          <w:rFonts w:asciiTheme="minorEastAsia" w:eastAsiaTheme="minorEastAsia" w:hAnsiTheme="minorEastAsia" w:hint="eastAsia"/>
          <w:szCs w:val="20"/>
        </w:rPr>
        <w:t>.</w:t>
      </w:r>
      <w:r w:rsidRPr="00453203">
        <w:rPr>
          <w:rFonts w:asciiTheme="minorEastAsia" w:eastAsiaTheme="minorEastAsia" w:hAnsiTheme="minorEastAsia" w:hint="eastAsia"/>
        </w:rPr>
        <w:t>13</w:t>
      </w:r>
      <w:r w:rsidRPr="00453203">
        <w:rPr>
          <w:rFonts w:asciiTheme="minorEastAsia" w:eastAsiaTheme="minorEastAsia" w:hAnsiTheme="minorEastAsia" w:hint="eastAsia"/>
          <w:szCs w:val="20"/>
        </w:rPr>
        <w:t>元</w:t>
      </w:r>
    </w:p>
    <w:p w:rsidR="00B00483" w:rsidRPr="00453203" w:rsidRDefault="00B00483" w:rsidP="00643071">
      <w:pPr>
        <w:snapToGrid w:val="0"/>
        <w:spacing w:line="360" w:lineRule="auto"/>
        <w:ind w:firstLine="420"/>
        <w:rPr>
          <w:rFonts w:asciiTheme="minorEastAsia" w:eastAsiaTheme="minorEastAsia" w:hAnsiTheme="minorEastAsia"/>
          <w:szCs w:val="20"/>
        </w:rPr>
      </w:pPr>
      <w:r w:rsidRPr="00453203">
        <w:rPr>
          <w:rFonts w:asciiTheme="minorEastAsia" w:eastAsiaTheme="minorEastAsia" w:hAnsiTheme="minorEastAsia" w:hint="eastAsia"/>
          <w:szCs w:val="20"/>
        </w:rPr>
        <w:t>转入份额=转入金额</w:t>
      </w:r>
      <w:r w:rsidRPr="00453203">
        <w:rPr>
          <w:rFonts w:asciiTheme="minorEastAsia" w:eastAsiaTheme="minorEastAsia" w:hAnsiTheme="minorEastAsia"/>
          <w:szCs w:val="20"/>
        </w:rPr>
        <w:t>÷</w:t>
      </w:r>
      <w:r w:rsidRPr="00453203">
        <w:rPr>
          <w:rFonts w:asciiTheme="minorEastAsia" w:eastAsiaTheme="minorEastAsia" w:hAnsiTheme="minorEastAsia" w:hint="eastAsia"/>
          <w:szCs w:val="20"/>
        </w:rPr>
        <w:t>转入基金份额净值=10,8</w:t>
      </w:r>
      <w:r w:rsidRPr="00453203">
        <w:rPr>
          <w:rFonts w:asciiTheme="minorEastAsia" w:eastAsiaTheme="minorEastAsia" w:hAnsiTheme="minorEastAsia" w:hint="eastAsia"/>
        </w:rPr>
        <w:t>58</w:t>
      </w:r>
      <w:r w:rsidRPr="00453203">
        <w:rPr>
          <w:rFonts w:asciiTheme="minorEastAsia" w:eastAsiaTheme="minorEastAsia" w:hAnsiTheme="minorEastAsia" w:hint="eastAsia"/>
          <w:szCs w:val="20"/>
        </w:rPr>
        <w:t>.</w:t>
      </w:r>
      <w:r w:rsidRPr="00453203">
        <w:rPr>
          <w:rFonts w:asciiTheme="minorEastAsia" w:eastAsiaTheme="minorEastAsia" w:hAnsiTheme="minorEastAsia" w:hint="eastAsia"/>
        </w:rPr>
        <w:t>13</w:t>
      </w:r>
      <w:r w:rsidRPr="00453203">
        <w:rPr>
          <w:rFonts w:asciiTheme="minorEastAsia" w:eastAsiaTheme="minorEastAsia" w:hAnsiTheme="minorEastAsia"/>
          <w:szCs w:val="20"/>
        </w:rPr>
        <w:t>÷</w:t>
      </w:r>
      <w:r w:rsidRPr="00453203">
        <w:rPr>
          <w:rFonts w:asciiTheme="minorEastAsia" w:eastAsiaTheme="minorEastAsia" w:hAnsiTheme="minorEastAsia" w:hint="eastAsia"/>
          <w:szCs w:val="20"/>
        </w:rPr>
        <w:t>1.020=10,6</w:t>
      </w:r>
      <w:r w:rsidRPr="00453203">
        <w:rPr>
          <w:rFonts w:asciiTheme="minorEastAsia" w:eastAsiaTheme="minorEastAsia" w:hAnsiTheme="minorEastAsia" w:hint="eastAsia"/>
        </w:rPr>
        <w:t>45</w:t>
      </w:r>
      <w:r w:rsidRPr="00453203">
        <w:rPr>
          <w:rFonts w:asciiTheme="minorEastAsia" w:eastAsiaTheme="minorEastAsia" w:hAnsiTheme="minorEastAsia" w:hint="eastAsia"/>
          <w:szCs w:val="20"/>
        </w:rPr>
        <w:t>.</w:t>
      </w:r>
      <w:r w:rsidRPr="00453203">
        <w:rPr>
          <w:rFonts w:asciiTheme="minorEastAsia" w:eastAsiaTheme="minorEastAsia" w:hAnsiTheme="minorEastAsia" w:hint="eastAsia"/>
        </w:rPr>
        <w:t>23</w:t>
      </w:r>
      <w:r w:rsidRPr="00453203">
        <w:rPr>
          <w:rFonts w:asciiTheme="minorEastAsia" w:eastAsiaTheme="minorEastAsia" w:hAnsiTheme="minorEastAsia" w:hint="eastAsia"/>
          <w:szCs w:val="20"/>
        </w:rPr>
        <w:t>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640C24" w:rsidRPr="00453203" w:rsidTr="00735E38">
        <w:trPr>
          <w:trHeight w:val="413"/>
        </w:trPr>
        <w:tc>
          <w:tcPr>
            <w:tcW w:w="1080" w:type="dxa"/>
            <w:vMerge w:val="restart"/>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转出</w:t>
            </w:r>
            <w:r w:rsidRPr="00453203">
              <w:rPr>
                <w:rFonts w:asciiTheme="minorEastAsia" w:eastAsiaTheme="minorEastAsia" w:hAnsiTheme="minorEastAsia"/>
                <w:szCs w:val="20"/>
              </w:rPr>
              <w:t>份额</w:t>
            </w:r>
          </w:p>
        </w:tc>
        <w:tc>
          <w:tcPr>
            <w:tcW w:w="900" w:type="dxa"/>
            <w:vMerge w:val="restart"/>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转出</w:t>
            </w:r>
            <w:r w:rsidRPr="00453203">
              <w:rPr>
                <w:rFonts w:asciiTheme="minorEastAsia" w:eastAsiaTheme="minorEastAsia" w:hAnsiTheme="minorEastAsia"/>
                <w:szCs w:val="20"/>
              </w:rPr>
              <w:t>基金</w:t>
            </w:r>
            <w:r w:rsidRPr="00453203">
              <w:rPr>
                <w:rFonts w:asciiTheme="minorEastAsia" w:eastAsiaTheme="minorEastAsia" w:hAnsiTheme="minorEastAsia" w:hint="eastAsia"/>
                <w:szCs w:val="20"/>
              </w:rPr>
              <w:t>份额</w:t>
            </w:r>
            <w:r w:rsidRPr="00453203">
              <w:rPr>
                <w:rFonts w:asciiTheme="minorEastAsia" w:eastAsiaTheme="minorEastAsia" w:hAnsiTheme="minorEastAsia"/>
                <w:szCs w:val="20"/>
              </w:rPr>
              <w:t>净值</w:t>
            </w:r>
          </w:p>
        </w:tc>
        <w:tc>
          <w:tcPr>
            <w:tcW w:w="1440" w:type="dxa"/>
            <w:vMerge w:val="restart"/>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转换金额</w:t>
            </w:r>
          </w:p>
        </w:tc>
        <w:tc>
          <w:tcPr>
            <w:tcW w:w="2340" w:type="dxa"/>
            <w:gridSpan w:val="2"/>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转换费</w:t>
            </w:r>
          </w:p>
        </w:tc>
        <w:tc>
          <w:tcPr>
            <w:tcW w:w="1440" w:type="dxa"/>
            <w:vMerge w:val="restart"/>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转入金额</w:t>
            </w:r>
          </w:p>
        </w:tc>
        <w:tc>
          <w:tcPr>
            <w:tcW w:w="1185" w:type="dxa"/>
            <w:vMerge w:val="restart"/>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转入</w:t>
            </w:r>
            <w:r w:rsidRPr="00453203">
              <w:rPr>
                <w:rFonts w:asciiTheme="minorEastAsia" w:eastAsiaTheme="minorEastAsia" w:hAnsiTheme="minorEastAsia"/>
                <w:szCs w:val="20"/>
              </w:rPr>
              <w:t>基金</w:t>
            </w:r>
            <w:r w:rsidRPr="00453203">
              <w:rPr>
                <w:rFonts w:asciiTheme="minorEastAsia" w:eastAsiaTheme="minorEastAsia" w:hAnsiTheme="minorEastAsia" w:hint="eastAsia"/>
                <w:szCs w:val="20"/>
              </w:rPr>
              <w:t>份额</w:t>
            </w:r>
            <w:r w:rsidRPr="00453203">
              <w:rPr>
                <w:rFonts w:asciiTheme="minorEastAsia" w:eastAsiaTheme="minorEastAsia" w:hAnsiTheme="minorEastAsia"/>
                <w:szCs w:val="20"/>
              </w:rPr>
              <w:t>净值</w:t>
            </w:r>
          </w:p>
        </w:tc>
        <w:tc>
          <w:tcPr>
            <w:tcW w:w="1335" w:type="dxa"/>
            <w:vMerge w:val="restart"/>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转入份额</w:t>
            </w:r>
          </w:p>
        </w:tc>
      </w:tr>
      <w:tr w:rsidR="00640C24" w:rsidRPr="00453203" w:rsidTr="00735E38">
        <w:trPr>
          <w:trHeight w:val="412"/>
        </w:trPr>
        <w:tc>
          <w:tcPr>
            <w:tcW w:w="1080" w:type="dxa"/>
            <w:vMerge/>
          </w:tcPr>
          <w:p w:rsidR="00B00483" w:rsidRPr="00453203" w:rsidRDefault="00B00483" w:rsidP="00643071">
            <w:pPr>
              <w:snapToGrid w:val="0"/>
              <w:spacing w:line="360" w:lineRule="auto"/>
              <w:ind w:firstLine="420"/>
              <w:rPr>
                <w:rFonts w:asciiTheme="minorEastAsia" w:eastAsiaTheme="minorEastAsia" w:hAnsiTheme="minorEastAsia"/>
                <w:szCs w:val="20"/>
              </w:rPr>
            </w:pPr>
          </w:p>
        </w:tc>
        <w:tc>
          <w:tcPr>
            <w:tcW w:w="900" w:type="dxa"/>
            <w:vMerge/>
          </w:tcPr>
          <w:p w:rsidR="00B00483" w:rsidRPr="00453203" w:rsidRDefault="00B00483" w:rsidP="00643071">
            <w:pPr>
              <w:snapToGrid w:val="0"/>
              <w:spacing w:line="360" w:lineRule="auto"/>
              <w:ind w:firstLine="420"/>
              <w:rPr>
                <w:rFonts w:asciiTheme="minorEastAsia" w:eastAsiaTheme="minorEastAsia" w:hAnsiTheme="minorEastAsia"/>
                <w:szCs w:val="20"/>
              </w:rPr>
            </w:pPr>
          </w:p>
        </w:tc>
        <w:tc>
          <w:tcPr>
            <w:tcW w:w="1440" w:type="dxa"/>
            <w:vMerge/>
          </w:tcPr>
          <w:p w:rsidR="00B00483" w:rsidRPr="00453203" w:rsidRDefault="00B00483" w:rsidP="00643071">
            <w:pPr>
              <w:snapToGrid w:val="0"/>
              <w:spacing w:line="360" w:lineRule="auto"/>
              <w:ind w:firstLine="420"/>
              <w:rPr>
                <w:rFonts w:asciiTheme="minorEastAsia" w:eastAsiaTheme="minorEastAsia" w:hAnsiTheme="minorEastAsia"/>
                <w:szCs w:val="20"/>
              </w:rPr>
            </w:pPr>
          </w:p>
        </w:tc>
        <w:tc>
          <w:tcPr>
            <w:tcW w:w="1260"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转出基金</w:t>
            </w:r>
            <w:r w:rsidRPr="00453203">
              <w:rPr>
                <w:rFonts w:asciiTheme="minorEastAsia" w:eastAsiaTheme="minorEastAsia" w:hAnsiTheme="minorEastAsia"/>
                <w:szCs w:val="20"/>
              </w:rPr>
              <w:t>赎回费</w:t>
            </w:r>
          </w:p>
        </w:tc>
        <w:tc>
          <w:tcPr>
            <w:tcW w:w="1080"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申购</w:t>
            </w:r>
            <w:r w:rsidRPr="00453203">
              <w:rPr>
                <w:rFonts w:asciiTheme="minorEastAsia" w:eastAsiaTheme="minorEastAsia" w:hAnsiTheme="minorEastAsia"/>
                <w:szCs w:val="20"/>
              </w:rPr>
              <w:t>补差费</w:t>
            </w:r>
          </w:p>
        </w:tc>
        <w:tc>
          <w:tcPr>
            <w:tcW w:w="1440" w:type="dxa"/>
            <w:vMerge/>
          </w:tcPr>
          <w:p w:rsidR="00B00483" w:rsidRPr="00453203" w:rsidRDefault="00B00483" w:rsidP="00643071">
            <w:pPr>
              <w:snapToGrid w:val="0"/>
              <w:spacing w:line="360" w:lineRule="auto"/>
              <w:ind w:firstLine="420"/>
              <w:rPr>
                <w:rFonts w:asciiTheme="minorEastAsia" w:eastAsiaTheme="minorEastAsia" w:hAnsiTheme="minorEastAsia"/>
                <w:szCs w:val="20"/>
              </w:rPr>
            </w:pPr>
          </w:p>
        </w:tc>
        <w:tc>
          <w:tcPr>
            <w:tcW w:w="1185" w:type="dxa"/>
            <w:vMerge/>
          </w:tcPr>
          <w:p w:rsidR="00B00483" w:rsidRPr="00453203" w:rsidRDefault="00B00483" w:rsidP="00643071">
            <w:pPr>
              <w:snapToGrid w:val="0"/>
              <w:spacing w:line="360" w:lineRule="auto"/>
              <w:ind w:firstLine="420"/>
              <w:rPr>
                <w:rFonts w:asciiTheme="minorEastAsia" w:eastAsiaTheme="minorEastAsia" w:hAnsiTheme="minorEastAsia"/>
                <w:szCs w:val="20"/>
              </w:rPr>
            </w:pPr>
          </w:p>
        </w:tc>
        <w:tc>
          <w:tcPr>
            <w:tcW w:w="1335" w:type="dxa"/>
            <w:vMerge/>
          </w:tcPr>
          <w:p w:rsidR="00B00483" w:rsidRPr="00453203" w:rsidRDefault="00B00483" w:rsidP="00643071">
            <w:pPr>
              <w:snapToGrid w:val="0"/>
              <w:spacing w:line="360" w:lineRule="auto"/>
              <w:ind w:firstLine="420"/>
              <w:rPr>
                <w:rFonts w:asciiTheme="minorEastAsia" w:eastAsiaTheme="minorEastAsia" w:hAnsiTheme="minorEastAsia"/>
                <w:szCs w:val="20"/>
              </w:rPr>
            </w:pPr>
          </w:p>
        </w:tc>
      </w:tr>
      <w:tr w:rsidR="00640C24" w:rsidRPr="00453203" w:rsidTr="00735E38">
        <w:tc>
          <w:tcPr>
            <w:tcW w:w="1080"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szCs w:val="20"/>
              </w:rPr>
              <w:t>10,000</w:t>
            </w:r>
            <w:r w:rsidRPr="00453203">
              <w:rPr>
                <w:rFonts w:asciiTheme="minorEastAsia" w:eastAsiaTheme="minorEastAsia" w:hAnsiTheme="minorEastAsia" w:hint="eastAsia"/>
                <w:szCs w:val="20"/>
              </w:rPr>
              <w:t>份</w:t>
            </w:r>
          </w:p>
        </w:tc>
        <w:tc>
          <w:tcPr>
            <w:tcW w:w="900"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szCs w:val="20"/>
              </w:rPr>
              <w:t>1.</w:t>
            </w:r>
            <w:r w:rsidRPr="00453203">
              <w:rPr>
                <w:rFonts w:asciiTheme="minorEastAsia" w:eastAsiaTheme="minorEastAsia" w:hAnsiTheme="minorEastAsia" w:hint="eastAsia"/>
                <w:szCs w:val="20"/>
              </w:rPr>
              <w:t>1</w:t>
            </w:r>
            <w:r w:rsidRPr="00453203">
              <w:rPr>
                <w:rFonts w:asciiTheme="minorEastAsia" w:eastAsiaTheme="minorEastAsia" w:hAnsiTheme="minorEastAsia"/>
                <w:szCs w:val="20"/>
              </w:rPr>
              <w:t>0</w:t>
            </w:r>
            <w:r w:rsidR="005C027F" w:rsidRPr="00453203">
              <w:rPr>
                <w:rFonts w:asciiTheme="minorEastAsia" w:eastAsiaTheme="minorEastAsia" w:hAnsiTheme="minorEastAsia" w:hint="eastAsia"/>
                <w:szCs w:val="20"/>
              </w:rPr>
              <w:t>0</w:t>
            </w:r>
            <w:r w:rsidRPr="00453203">
              <w:rPr>
                <w:rFonts w:asciiTheme="minorEastAsia" w:eastAsiaTheme="minorEastAsia" w:hAnsiTheme="minorEastAsia" w:hint="eastAsia"/>
                <w:szCs w:val="20"/>
              </w:rPr>
              <w:t>0</w:t>
            </w:r>
            <w:r w:rsidRPr="00453203">
              <w:rPr>
                <w:rFonts w:asciiTheme="minorEastAsia" w:eastAsiaTheme="minorEastAsia" w:hAnsiTheme="minorEastAsia"/>
                <w:szCs w:val="20"/>
              </w:rPr>
              <w:t>元</w:t>
            </w:r>
          </w:p>
        </w:tc>
        <w:tc>
          <w:tcPr>
            <w:tcW w:w="1440"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11,000.00元</w:t>
            </w:r>
          </w:p>
        </w:tc>
        <w:tc>
          <w:tcPr>
            <w:tcW w:w="1260"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55.00元</w:t>
            </w:r>
          </w:p>
        </w:tc>
        <w:tc>
          <w:tcPr>
            <w:tcW w:w="1080"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rPr>
              <w:t>86.87</w:t>
            </w:r>
            <w:r w:rsidRPr="00453203">
              <w:rPr>
                <w:rFonts w:asciiTheme="minorEastAsia" w:eastAsiaTheme="minorEastAsia" w:hAnsiTheme="minorEastAsia" w:hint="eastAsia"/>
                <w:szCs w:val="20"/>
              </w:rPr>
              <w:t>元</w:t>
            </w:r>
          </w:p>
        </w:tc>
        <w:tc>
          <w:tcPr>
            <w:tcW w:w="1440"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10,8</w:t>
            </w:r>
            <w:r w:rsidRPr="00453203">
              <w:rPr>
                <w:rFonts w:asciiTheme="minorEastAsia" w:eastAsiaTheme="minorEastAsia" w:hAnsiTheme="minorEastAsia" w:hint="eastAsia"/>
              </w:rPr>
              <w:t>58</w:t>
            </w:r>
            <w:r w:rsidRPr="00453203">
              <w:rPr>
                <w:rFonts w:asciiTheme="minorEastAsia" w:eastAsiaTheme="minorEastAsia" w:hAnsiTheme="minorEastAsia" w:hint="eastAsia"/>
                <w:szCs w:val="20"/>
              </w:rPr>
              <w:t>.</w:t>
            </w:r>
            <w:r w:rsidRPr="00453203">
              <w:rPr>
                <w:rFonts w:asciiTheme="minorEastAsia" w:eastAsiaTheme="minorEastAsia" w:hAnsiTheme="minorEastAsia" w:hint="eastAsia"/>
              </w:rPr>
              <w:t>13</w:t>
            </w:r>
            <w:r w:rsidRPr="00453203">
              <w:rPr>
                <w:rFonts w:asciiTheme="minorEastAsia" w:eastAsiaTheme="minorEastAsia" w:hAnsiTheme="minorEastAsia" w:hint="eastAsia"/>
                <w:szCs w:val="20"/>
              </w:rPr>
              <w:t>元</w:t>
            </w:r>
          </w:p>
        </w:tc>
        <w:tc>
          <w:tcPr>
            <w:tcW w:w="1185"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1.020元</w:t>
            </w:r>
          </w:p>
        </w:tc>
        <w:tc>
          <w:tcPr>
            <w:tcW w:w="1335" w:type="dxa"/>
          </w:tcPr>
          <w:p w:rsidR="00B00483" w:rsidRPr="00453203" w:rsidRDefault="00B00483" w:rsidP="00643071">
            <w:pPr>
              <w:snapToGrid w:val="0"/>
              <w:spacing w:line="360" w:lineRule="auto"/>
              <w:ind w:leftChars="-45" w:left="-94" w:rightChars="-57" w:right="-120"/>
              <w:jc w:val="center"/>
              <w:rPr>
                <w:rFonts w:asciiTheme="minorEastAsia" w:eastAsiaTheme="minorEastAsia" w:hAnsiTheme="minorEastAsia"/>
                <w:szCs w:val="20"/>
              </w:rPr>
            </w:pPr>
            <w:r w:rsidRPr="00453203">
              <w:rPr>
                <w:rFonts w:asciiTheme="minorEastAsia" w:eastAsiaTheme="minorEastAsia" w:hAnsiTheme="minorEastAsia" w:hint="eastAsia"/>
                <w:szCs w:val="20"/>
              </w:rPr>
              <w:t>10,6</w:t>
            </w:r>
            <w:r w:rsidRPr="00453203">
              <w:rPr>
                <w:rFonts w:asciiTheme="minorEastAsia" w:eastAsiaTheme="minorEastAsia" w:hAnsiTheme="minorEastAsia" w:hint="eastAsia"/>
              </w:rPr>
              <w:t>45</w:t>
            </w:r>
            <w:r w:rsidRPr="00453203">
              <w:rPr>
                <w:rFonts w:asciiTheme="minorEastAsia" w:eastAsiaTheme="minorEastAsia" w:hAnsiTheme="minorEastAsia" w:hint="eastAsia"/>
                <w:szCs w:val="20"/>
              </w:rPr>
              <w:t>.</w:t>
            </w:r>
            <w:r w:rsidRPr="00453203">
              <w:rPr>
                <w:rFonts w:asciiTheme="minorEastAsia" w:eastAsiaTheme="minorEastAsia" w:hAnsiTheme="minorEastAsia" w:hint="eastAsia"/>
              </w:rPr>
              <w:t>23</w:t>
            </w:r>
            <w:r w:rsidRPr="00453203">
              <w:rPr>
                <w:rFonts w:asciiTheme="minorEastAsia" w:eastAsiaTheme="minorEastAsia" w:hAnsiTheme="minorEastAsia" w:hint="eastAsia"/>
                <w:szCs w:val="20"/>
              </w:rPr>
              <w:t>份</w:t>
            </w:r>
          </w:p>
        </w:tc>
      </w:tr>
    </w:tbl>
    <w:p w:rsidR="00480112" w:rsidRPr="00453203" w:rsidRDefault="00480112" w:rsidP="00480112">
      <w:pPr>
        <w:adjustRightInd w:val="0"/>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注：本基金转出至易方达平稳增长混合、易方达策略成长混合、易方达上证</w:t>
      </w:r>
      <w:r w:rsidRPr="00453203">
        <w:rPr>
          <w:rFonts w:asciiTheme="minorEastAsia" w:eastAsiaTheme="minorEastAsia" w:hAnsiTheme="minorEastAsia"/>
        </w:rPr>
        <w:t>50</w:t>
      </w:r>
      <w:r w:rsidRPr="00453203">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453203">
        <w:rPr>
          <w:rFonts w:asciiTheme="minorEastAsia" w:eastAsiaTheme="minorEastAsia" w:hAnsiTheme="minorEastAsia"/>
        </w:rPr>
        <w:t>1</w:t>
      </w:r>
      <w:r w:rsidRPr="00453203">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453203">
        <w:rPr>
          <w:rFonts w:asciiTheme="minorEastAsia" w:eastAsiaTheme="minorEastAsia" w:hAnsiTheme="minorEastAsia"/>
        </w:rPr>
        <w:t>1</w:t>
      </w:r>
      <w:r w:rsidRPr="00453203">
        <w:rPr>
          <w:rFonts w:asciiTheme="minorEastAsia" w:eastAsiaTheme="minorEastAsia" w:hAnsiTheme="minorEastAsia" w:hint="eastAsia"/>
        </w:rPr>
        <w:t>年定期债券、易方达黄金</w:t>
      </w:r>
      <w:r w:rsidRPr="00453203">
        <w:rPr>
          <w:rFonts w:asciiTheme="minorEastAsia" w:eastAsiaTheme="minorEastAsia" w:hAnsiTheme="minorEastAsia"/>
        </w:rPr>
        <w:t>ETF</w:t>
      </w:r>
      <w:r w:rsidRPr="00453203">
        <w:rPr>
          <w:rFonts w:asciiTheme="minorEastAsia" w:eastAsiaTheme="minorEastAsia" w:hAnsiTheme="minorEastAsia" w:hint="eastAsia"/>
        </w:rPr>
        <w:t>联接、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453203">
        <w:rPr>
          <w:rFonts w:asciiTheme="minorEastAsia" w:eastAsiaTheme="minorEastAsia" w:hAnsiTheme="minorEastAsia"/>
        </w:rPr>
        <w:t>300</w:t>
      </w:r>
      <w:r w:rsidRPr="00453203">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453203">
        <w:rPr>
          <w:rFonts w:asciiTheme="minorEastAsia" w:eastAsiaTheme="minorEastAsia" w:hAnsiTheme="minorEastAsia"/>
        </w:rPr>
        <w:t>300</w:t>
      </w:r>
      <w:r w:rsidRPr="00453203">
        <w:rPr>
          <w:rFonts w:asciiTheme="minorEastAsia" w:eastAsiaTheme="minorEastAsia" w:hAnsiTheme="minorEastAsia" w:hint="eastAsia"/>
        </w:rPr>
        <w:t>医药</w:t>
      </w:r>
      <w:r w:rsidRPr="00453203">
        <w:rPr>
          <w:rFonts w:asciiTheme="minorEastAsia" w:eastAsiaTheme="minorEastAsia" w:hAnsiTheme="minorEastAsia"/>
        </w:rPr>
        <w:t>ETF</w:t>
      </w:r>
      <w:r w:rsidRPr="00453203">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453203">
        <w:rPr>
          <w:rFonts w:asciiTheme="minorEastAsia" w:eastAsiaTheme="minorEastAsia" w:hAnsiTheme="minorEastAsia"/>
        </w:rPr>
        <w:t>3-5</w:t>
      </w:r>
      <w:r w:rsidRPr="00453203">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453203">
        <w:rPr>
          <w:rFonts w:asciiTheme="minorEastAsia" w:eastAsiaTheme="minorEastAsia" w:hAnsiTheme="minorEastAsia"/>
        </w:rPr>
        <w:t>6</w:t>
      </w:r>
      <w:r w:rsidRPr="00453203">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453203">
        <w:rPr>
          <w:rFonts w:asciiTheme="minorEastAsia" w:eastAsiaTheme="minorEastAsia" w:hAnsiTheme="minorEastAsia"/>
        </w:rPr>
        <w:t>7-10</w:t>
      </w:r>
      <w:r w:rsidRPr="00453203">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w:t>
      </w:r>
      <w:r w:rsidRPr="00453203">
        <w:rPr>
          <w:rFonts w:asciiTheme="minorEastAsia" w:eastAsiaTheme="minorEastAsia" w:hAnsiTheme="minorEastAsia" w:hint="eastAsia"/>
        </w:rPr>
        <w:lastRenderedPageBreak/>
        <w:t>悦超短债债券、易方达</w:t>
      </w:r>
      <w:r w:rsidRPr="00453203">
        <w:rPr>
          <w:rFonts w:asciiTheme="minorEastAsia" w:eastAsiaTheme="minorEastAsia" w:hAnsiTheme="minorEastAsia"/>
        </w:rPr>
        <w:t>MSCI</w:t>
      </w:r>
      <w:r w:rsidRPr="00453203">
        <w:rPr>
          <w:rFonts w:asciiTheme="minorEastAsia" w:eastAsiaTheme="minorEastAsia" w:hAnsiTheme="minorEastAsia" w:hint="eastAsia"/>
        </w:rPr>
        <w:t>中国</w:t>
      </w:r>
      <w:r w:rsidRPr="00453203">
        <w:rPr>
          <w:rFonts w:asciiTheme="minorEastAsia" w:eastAsiaTheme="minorEastAsia" w:hAnsiTheme="minorEastAsia"/>
        </w:rPr>
        <w:t>A</w:t>
      </w:r>
      <w:r w:rsidRPr="00453203">
        <w:rPr>
          <w:rFonts w:asciiTheme="minorEastAsia" w:eastAsiaTheme="minorEastAsia" w:hAnsiTheme="minorEastAsia" w:hint="eastAsia"/>
        </w:rPr>
        <w:t>股国际通</w:t>
      </w:r>
      <w:r w:rsidRPr="00453203">
        <w:rPr>
          <w:rFonts w:asciiTheme="minorEastAsia" w:eastAsiaTheme="minorEastAsia" w:hAnsiTheme="minorEastAsia"/>
        </w:rPr>
        <w:t>ETF</w:t>
      </w:r>
      <w:r w:rsidRPr="00453203">
        <w:rPr>
          <w:rFonts w:asciiTheme="minorEastAsia" w:eastAsiaTheme="minorEastAsia" w:hAnsiTheme="minorEastAsia" w:hint="eastAsia"/>
        </w:rPr>
        <w:t>联接发起式、易方达中证</w:t>
      </w:r>
      <w:r w:rsidRPr="00453203">
        <w:rPr>
          <w:rFonts w:asciiTheme="minorEastAsia" w:eastAsiaTheme="minorEastAsia" w:hAnsiTheme="minorEastAsia"/>
        </w:rPr>
        <w:t>500ETF</w:t>
      </w:r>
      <w:r w:rsidRPr="00453203">
        <w:rPr>
          <w:rFonts w:asciiTheme="minorEastAsia" w:eastAsiaTheme="minorEastAsia" w:hAnsiTheme="minorEastAsia" w:hint="eastAsia"/>
        </w:rPr>
        <w:t>联接发起式、易方达恒利</w:t>
      </w:r>
      <w:r w:rsidRPr="00453203">
        <w:rPr>
          <w:rFonts w:asciiTheme="minorEastAsia" w:eastAsiaTheme="minorEastAsia" w:hAnsiTheme="minorEastAsia"/>
        </w:rPr>
        <w:t>3</w:t>
      </w:r>
      <w:r w:rsidRPr="00453203">
        <w:rPr>
          <w:rFonts w:asciiTheme="minorEastAsia" w:eastAsiaTheme="minorEastAsia" w:hAnsiTheme="minorEastAsia" w:hint="eastAsia"/>
        </w:rPr>
        <w:t>个月定开债券发起式、易方达中债</w:t>
      </w:r>
      <w:r w:rsidRPr="00453203">
        <w:rPr>
          <w:rFonts w:asciiTheme="minorEastAsia" w:eastAsiaTheme="minorEastAsia" w:hAnsiTheme="minorEastAsia"/>
        </w:rPr>
        <w:t>1-3</w:t>
      </w:r>
      <w:r w:rsidRPr="00453203">
        <w:rPr>
          <w:rFonts w:asciiTheme="minorEastAsia" w:eastAsiaTheme="minorEastAsia" w:hAnsiTheme="minorEastAsia" w:hint="eastAsia"/>
        </w:rPr>
        <w:t>年国开行债券指数、易方达中债</w:t>
      </w:r>
      <w:r w:rsidRPr="00453203">
        <w:rPr>
          <w:rFonts w:asciiTheme="minorEastAsia" w:eastAsiaTheme="minorEastAsia" w:hAnsiTheme="minorEastAsia"/>
        </w:rPr>
        <w:t>3-5</w:t>
      </w:r>
      <w:r w:rsidRPr="00453203">
        <w:rPr>
          <w:rFonts w:asciiTheme="minorEastAsia" w:eastAsiaTheme="minorEastAsia" w:hAnsiTheme="minorEastAsia" w:hint="eastAsia"/>
        </w:rPr>
        <w:t>年国开行债券指数、易方达中债</w:t>
      </w:r>
      <w:r w:rsidRPr="00453203">
        <w:rPr>
          <w:rFonts w:asciiTheme="minorEastAsia" w:eastAsiaTheme="minorEastAsia" w:hAnsiTheme="minorEastAsia"/>
        </w:rPr>
        <w:t>1-3</w:t>
      </w:r>
      <w:r w:rsidRPr="00453203">
        <w:rPr>
          <w:rFonts w:asciiTheme="minorEastAsia" w:eastAsiaTheme="minorEastAsia" w:hAnsiTheme="minorEastAsia" w:hint="eastAsia"/>
        </w:rPr>
        <w:t>年政金债指数、易方达中债</w:t>
      </w:r>
      <w:r w:rsidRPr="00453203">
        <w:rPr>
          <w:rFonts w:asciiTheme="minorEastAsia" w:eastAsiaTheme="minorEastAsia" w:hAnsiTheme="minorEastAsia"/>
        </w:rPr>
        <w:t>3-5</w:t>
      </w:r>
      <w:r w:rsidRPr="00453203">
        <w:rPr>
          <w:rFonts w:asciiTheme="minorEastAsia" w:eastAsiaTheme="minorEastAsia" w:hAnsiTheme="minorEastAsia" w:hint="eastAsia"/>
        </w:rPr>
        <w:t>年政金债指数、易方达上证</w:t>
      </w:r>
      <w:r w:rsidRPr="00453203">
        <w:rPr>
          <w:rFonts w:asciiTheme="minorEastAsia" w:eastAsiaTheme="minorEastAsia" w:hAnsiTheme="minorEastAsia"/>
        </w:rPr>
        <w:t>50ETF</w:t>
      </w:r>
      <w:r w:rsidRPr="00453203">
        <w:rPr>
          <w:rFonts w:asciiTheme="minorEastAsia" w:eastAsiaTheme="minorEastAsia" w:hAnsiTheme="minorEastAsia" w:hint="eastAsia"/>
        </w:rPr>
        <w:t>联接发起式、易方达恒兴</w:t>
      </w:r>
      <w:r w:rsidRPr="00453203">
        <w:rPr>
          <w:rFonts w:asciiTheme="minorEastAsia" w:eastAsiaTheme="minorEastAsia" w:hAnsiTheme="minorEastAsia"/>
        </w:rPr>
        <w:t>3</w:t>
      </w:r>
      <w:r w:rsidRPr="00453203">
        <w:rPr>
          <w:rFonts w:asciiTheme="minorEastAsia" w:eastAsiaTheme="minorEastAsia" w:hAnsiTheme="minorEastAsia" w:hint="eastAsia"/>
        </w:rPr>
        <w:t>个月定开债券发起式、易方达</w:t>
      </w:r>
      <w:r w:rsidRPr="00453203">
        <w:rPr>
          <w:rFonts w:asciiTheme="minorEastAsia" w:eastAsiaTheme="minorEastAsia" w:hAnsiTheme="minorEastAsia"/>
        </w:rPr>
        <w:t>ESG</w:t>
      </w:r>
      <w:r w:rsidRPr="00453203">
        <w:rPr>
          <w:rFonts w:asciiTheme="minorEastAsia" w:eastAsiaTheme="minorEastAsia" w:hAnsiTheme="minorEastAsia" w:hint="eastAsia"/>
        </w:rPr>
        <w:t>责任投资股票发起式、易方达中证</w:t>
      </w:r>
      <w:r w:rsidRPr="00453203">
        <w:rPr>
          <w:rFonts w:asciiTheme="minorEastAsia" w:eastAsiaTheme="minorEastAsia" w:hAnsiTheme="minorEastAsia"/>
        </w:rPr>
        <w:t>800ETF</w:t>
      </w:r>
      <w:r w:rsidRPr="00453203">
        <w:rPr>
          <w:rFonts w:asciiTheme="minorEastAsia" w:eastAsiaTheme="minorEastAsia" w:hAnsiTheme="minorEastAsia" w:hint="eastAsia"/>
        </w:rPr>
        <w:t>联接发起式、易方达恒盛</w:t>
      </w:r>
      <w:r w:rsidRPr="00453203">
        <w:rPr>
          <w:rFonts w:asciiTheme="minorEastAsia" w:eastAsiaTheme="minorEastAsia" w:hAnsiTheme="minorEastAsia"/>
        </w:rPr>
        <w:t>3</w:t>
      </w:r>
      <w:r w:rsidRPr="00453203">
        <w:rPr>
          <w:rFonts w:asciiTheme="minorEastAsia" w:eastAsiaTheme="minorEastAsia" w:hAnsiTheme="minorEastAsia" w:hint="eastAsia"/>
        </w:rPr>
        <w:t>个月定开混合发起式、易方达价值精选混合、易方达价值成长混合、易方达中小盘混合、易方达科汇灵活配置混合、易方达科翔混合、易方达行业领先混合、易方达增强回报债券、易方达深证</w:t>
      </w:r>
      <w:r w:rsidRPr="00453203">
        <w:rPr>
          <w:rFonts w:asciiTheme="minorEastAsia" w:eastAsiaTheme="minorEastAsia" w:hAnsiTheme="minorEastAsia"/>
        </w:rPr>
        <w:t>100ETF</w:t>
      </w:r>
      <w:r w:rsidRPr="00453203">
        <w:rPr>
          <w:rFonts w:asciiTheme="minorEastAsia" w:eastAsiaTheme="minorEastAsia" w:hAnsiTheme="minorEastAsia" w:hint="eastAsia"/>
        </w:rPr>
        <w:t>联接、易方达沪深</w:t>
      </w:r>
      <w:r w:rsidRPr="00453203">
        <w:rPr>
          <w:rFonts w:asciiTheme="minorEastAsia" w:eastAsiaTheme="minorEastAsia" w:hAnsiTheme="minorEastAsia"/>
        </w:rPr>
        <w:t>300ETF</w:t>
      </w:r>
      <w:r w:rsidRPr="00453203">
        <w:rPr>
          <w:rFonts w:asciiTheme="minorEastAsia" w:eastAsiaTheme="minorEastAsia" w:hAnsiTheme="minorEastAsia" w:hint="eastAsia"/>
        </w:rPr>
        <w:t>发起式联接、易方达上证中盘</w:t>
      </w:r>
      <w:r w:rsidRPr="00453203">
        <w:rPr>
          <w:rFonts w:asciiTheme="minorEastAsia" w:eastAsiaTheme="minorEastAsia" w:hAnsiTheme="minorEastAsia"/>
        </w:rPr>
        <w:t>ETF</w:t>
      </w:r>
      <w:r w:rsidRPr="00453203">
        <w:rPr>
          <w:rFonts w:asciiTheme="minorEastAsia" w:eastAsiaTheme="minorEastAsia" w:hAnsiTheme="minorEastAsia" w:hint="eastAsia"/>
        </w:rPr>
        <w:t>联接、易方达消费行业股票、易方达医疗保健行业混合、易方达资源行业混合、易方达安心回报债券、易方达科讯混合、易方达沪深</w:t>
      </w:r>
      <w:r w:rsidRPr="00453203">
        <w:rPr>
          <w:rFonts w:asciiTheme="minorEastAsia" w:eastAsiaTheme="minorEastAsia" w:hAnsiTheme="minorEastAsia"/>
        </w:rPr>
        <w:t>300</w:t>
      </w:r>
      <w:r w:rsidRPr="00453203">
        <w:rPr>
          <w:rFonts w:asciiTheme="minorEastAsia" w:eastAsiaTheme="minorEastAsia" w:hAnsiTheme="minorEastAsia" w:hint="eastAsia"/>
        </w:rPr>
        <w:t>量化增强、易方达双债增强债券、易方达纯债债券、易方达月月利理财债券、易方达安源中短债债券、易方达策略成长二号混合</w:t>
      </w:r>
      <w:r w:rsidR="00A15DB5" w:rsidRPr="00453203">
        <w:rPr>
          <w:rFonts w:asciiTheme="minorEastAsia" w:eastAsiaTheme="minorEastAsia" w:hAnsiTheme="minorEastAsia" w:hint="eastAsia"/>
        </w:rPr>
        <w:t>、易方达易理财货币</w:t>
      </w:r>
      <w:r w:rsidRPr="00453203">
        <w:rPr>
          <w:rFonts w:asciiTheme="minorEastAsia" w:eastAsiaTheme="minorEastAsia" w:hAnsiTheme="minorEastAsia" w:hint="eastAsia"/>
        </w:rPr>
        <w:t>时，转入份额的计算结果保留到小数点后两位，小数点后两位以后的部分四舍五入，由此误差产生的损失由基金财产承担，产生的收益归基金财产所有。</w:t>
      </w:r>
    </w:p>
    <w:p w:rsidR="00B00483" w:rsidRPr="00453203" w:rsidRDefault="00B00483" w:rsidP="00741477">
      <w:pPr>
        <w:pStyle w:val="20"/>
        <w:snapToGrid w:val="0"/>
        <w:spacing w:beforeLines="0" w:afterLines="0" w:line="360" w:lineRule="auto"/>
        <w:ind w:firstLine="422"/>
        <w:rPr>
          <w:rFonts w:asciiTheme="minorEastAsia" w:eastAsiaTheme="minorEastAsia" w:hAnsiTheme="minorEastAsia"/>
          <w:sz w:val="21"/>
          <w:szCs w:val="21"/>
        </w:rPr>
      </w:pPr>
      <w:bookmarkStart w:id="87" w:name="_Toc198959622"/>
      <w:bookmarkStart w:id="88" w:name="_Toc229996713"/>
      <w:bookmarkStart w:id="89" w:name="_Toc245693559"/>
      <w:bookmarkStart w:id="90" w:name="_Toc258398107"/>
      <w:bookmarkStart w:id="91" w:name="_Toc264906014"/>
      <w:bookmarkStart w:id="92" w:name="_Toc34834710"/>
      <w:r w:rsidRPr="00453203">
        <w:rPr>
          <w:rFonts w:asciiTheme="minorEastAsia" w:eastAsiaTheme="minorEastAsia" w:hAnsiTheme="minorEastAsia" w:hint="eastAsia"/>
          <w:sz w:val="21"/>
          <w:szCs w:val="21"/>
        </w:rPr>
        <w:t>（七）基金转换的注册登记</w:t>
      </w:r>
      <w:bookmarkEnd w:id="87"/>
      <w:bookmarkEnd w:id="88"/>
      <w:bookmarkEnd w:id="89"/>
      <w:bookmarkEnd w:id="90"/>
      <w:bookmarkEnd w:id="91"/>
      <w:bookmarkEnd w:id="92"/>
    </w:p>
    <w:p w:rsidR="00B00483" w:rsidRPr="00453203" w:rsidRDefault="00B0048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cs="宋体" w:hint="eastAsia"/>
          <w:snapToGrid w:val="0"/>
          <w:kern w:val="0"/>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B00483" w:rsidRPr="00453203" w:rsidRDefault="00B00483" w:rsidP="00643071">
      <w:pPr>
        <w:pStyle w:val="ac"/>
        <w:snapToGrid w:val="0"/>
        <w:spacing w:after="0" w:line="360" w:lineRule="auto"/>
        <w:ind w:firstLineChars="200"/>
        <w:rPr>
          <w:rFonts w:asciiTheme="minorEastAsia" w:eastAsiaTheme="minorEastAsia" w:hAnsiTheme="minorEastAsia"/>
        </w:rPr>
      </w:pPr>
      <w:r w:rsidRPr="00453203">
        <w:rPr>
          <w:rFonts w:asciiTheme="minorEastAsia" w:eastAsiaTheme="minorEastAsia" w:hAnsiTheme="minorEastAsia" w:hint="eastAsia"/>
        </w:rPr>
        <w:t>基金管理人可在法律法规允许的范围内，对上述注册登记办理时间进行调整，并</w:t>
      </w:r>
      <w:r w:rsidRPr="00453203">
        <w:rPr>
          <w:rFonts w:asciiTheme="minorEastAsia" w:eastAsiaTheme="minorEastAsia" w:hAnsiTheme="minorEastAsia" w:hint="eastAsia"/>
          <w:kern w:val="0"/>
          <w:szCs w:val="21"/>
        </w:rPr>
        <w:t>应在调整生效前在至少一种中国证监会指定的媒体上予以公告。</w:t>
      </w:r>
    </w:p>
    <w:p w:rsidR="00B00483" w:rsidRPr="00453203" w:rsidRDefault="00B00483" w:rsidP="00741477">
      <w:pPr>
        <w:pStyle w:val="20"/>
        <w:snapToGrid w:val="0"/>
        <w:spacing w:beforeLines="0" w:afterLines="0" w:line="360" w:lineRule="auto"/>
        <w:ind w:firstLine="422"/>
        <w:rPr>
          <w:rFonts w:asciiTheme="minorEastAsia" w:eastAsiaTheme="minorEastAsia" w:hAnsiTheme="minorEastAsia"/>
          <w:sz w:val="21"/>
          <w:szCs w:val="21"/>
        </w:rPr>
      </w:pPr>
      <w:bookmarkStart w:id="93" w:name="_Toc198959623"/>
      <w:bookmarkStart w:id="94" w:name="_Toc229996714"/>
      <w:bookmarkStart w:id="95" w:name="_Toc245693560"/>
      <w:bookmarkStart w:id="96" w:name="_Toc258398108"/>
      <w:bookmarkStart w:id="97" w:name="_Toc264906015"/>
      <w:bookmarkStart w:id="98" w:name="_Toc34834711"/>
      <w:r w:rsidRPr="00453203">
        <w:rPr>
          <w:rFonts w:asciiTheme="minorEastAsia" w:eastAsiaTheme="minorEastAsia" w:hAnsiTheme="minorEastAsia" w:hint="eastAsia"/>
          <w:sz w:val="21"/>
          <w:szCs w:val="21"/>
        </w:rPr>
        <w:t>（八）基金转换</w:t>
      </w:r>
      <w:r w:rsidRPr="00453203">
        <w:rPr>
          <w:rFonts w:asciiTheme="minorEastAsia" w:eastAsiaTheme="minorEastAsia" w:hAnsiTheme="minorEastAsia"/>
          <w:sz w:val="21"/>
          <w:szCs w:val="21"/>
        </w:rPr>
        <w:t>与巨额赎回</w:t>
      </w:r>
      <w:bookmarkEnd w:id="93"/>
      <w:bookmarkEnd w:id="94"/>
      <w:bookmarkEnd w:id="95"/>
      <w:bookmarkEnd w:id="96"/>
      <w:bookmarkEnd w:id="97"/>
      <w:bookmarkEnd w:id="98"/>
    </w:p>
    <w:p w:rsidR="00B00483" w:rsidRPr="00453203" w:rsidRDefault="00B00483"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rPr>
        <w:t>当</w:t>
      </w:r>
      <w:r w:rsidRPr="00453203">
        <w:rPr>
          <w:rFonts w:asciiTheme="minorEastAsia" w:eastAsiaTheme="minorEastAsia" w:hAnsiTheme="minorEastAsia" w:cs="宋体" w:hint="eastAsia"/>
          <w:kern w:val="0"/>
          <w:szCs w:val="21"/>
        </w:rPr>
        <w:t>发生巨额赎回时，基金转出与基金赎回具有相同的优先级，基金管理人可根据基金资产组合情况，决定全额转出或部分转出，并且对于基金转出和基金赎回，将采取相同的比例确认（</w:t>
      </w:r>
      <w:r w:rsidR="005C027F" w:rsidRPr="00453203">
        <w:rPr>
          <w:rFonts w:asciiTheme="minorEastAsia" w:eastAsiaTheme="minorEastAsia" w:hAnsiTheme="minorEastAsia" w:cs="宋体" w:hint="eastAsia"/>
          <w:kern w:val="0"/>
          <w:szCs w:val="21"/>
        </w:rPr>
        <w:t>除另有公告外</w:t>
      </w:r>
      <w:r w:rsidRPr="00453203">
        <w:rPr>
          <w:rFonts w:asciiTheme="minorEastAsia" w:eastAsiaTheme="minorEastAsia" w:hAnsiTheme="minorEastAsia" w:cs="宋体" w:hint="eastAsia"/>
          <w:kern w:val="0"/>
          <w:szCs w:val="21"/>
        </w:rPr>
        <w:t>）；在转出申请得到部分确认的情况下，未确认的转出申请将不予以顺延。</w:t>
      </w:r>
    </w:p>
    <w:p w:rsidR="00B00483" w:rsidRPr="00453203" w:rsidRDefault="00B00483" w:rsidP="00741477">
      <w:pPr>
        <w:pStyle w:val="20"/>
        <w:snapToGrid w:val="0"/>
        <w:spacing w:beforeLines="0" w:afterLines="0" w:line="360" w:lineRule="auto"/>
        <w:ind w:firstLine="422"/>
        <w:rPr>
          <w:rFonts w:asciiTheme="minorEastAsia" w:eastAsiaTheme="minorEastAsia" w:hAnsiTheme="minorEastAsia"/>
          <w:sz w:val="21"/>
          <w:szCs w:val="21"/>
        </w:rPr>
      </w:pPr>
      <w:bookmarkStart w:id="99" w:name="_Toc198959624"/>
      <w:bookmarkStart w:id="100" w:name="_Toc229996715"/>
      <w:bookmarkStart w:id="101" w:name="_Toc245693561"/>
      <w:bookmarkStart w:id="102" w:name="_Toc258398109"/>
      <w:bookmarkStart w:id="103" w:name="_Toc264906016"/>
      <w:bookmarkStart w:id="104" w:name="_Toc34834712"/>
      <w:r w:rsidRPr="00453203">
        <w:rPr>
          <w:rFonts w:asciiTheme="minorEastAsia" w:eastAsiaTheme="minorEastAsia" w:hAnsiTheme="minorEastAsia" w:hint="eastAsia"/>
          <w:sz w:val="21"/>
          <w:szCs w:val="21"/>
        </w:rPr>
        <w:t>（九）暂停基金转换的情形</w:t>
      </w:r>
      <w:bookmarkEnd w:id="99"/>
      <w:bookmarkEnd w:id="100"/>
      <w:bookmarkEnd w:id="101"/>
      <w:bookmarkEnd w:id="102"/>
      <w:bookmarkEnd w:id="103"/>
      <w:bookmarkEnd w:id="104"/>
    </w:p>
    <w:p w:rsidR="00B00483" w:rsidRPr="00453203" w:rsidRDefault="00B00483" w:rsidP="00643071">
      <w:pPr>
        <w:snapToGrid w:val="0"/>
        <w:spacing w:line="360" w:lineRule="auto"/>
        <w:ind w:firstLineChars="200" w:firstLine="420"/>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出现下列情况之一时,基金管理人可以暂停接受基金份额持有人的基金转换申请：</w:t>
      </w:r>
    </w:p>
    <w:p w:rsidR="005C027F" w:rsidRPr="00453203" w:rsidRDefault="00643071"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1、</w:t>
      </w:r>
      <w:r w:rsidR="005C027F" w:rsidRPr="00453203">
        <w:rPr>
          <w:rFonts w:asciiTheme="minorEastAsia" w:eastAsiaTheme="minorEastAsia" w:hAnsiTheme="minorEastAsia" w:hint="eastAsia"/>
        </w:rPr>
        <w:t>因不可抗力导致基金管理人无法受理投资者的转换申请。</w:t>
      </w:r>
    </w:p>
    <w:p w:rsidR="005C027F" w:rsidRPr="00453203" w:rsidRDefault="00643071"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2、</w:t>
      </w:r>
      <w:r w:rsidR="005C027F" w:rsidRPr="00453203">
        <w:rPr>
          <w:rFonts w:asciiTheme="minorEastAsia" w:eastAsiaTheme="minorEastAsia" w:hAnsiTheme="minorEastAsia" w:hint="eastAsia"/>
        </w:rPr>
        <w:t>证券交易场所交易时间临时停市，导致基金管理人无法计算当日基金资产净值。</w:t>
      </w:r>
    </w:p>
    <w:p w:rsidR="005C027F" w:rsidRPr="00453203" w:rsidRDefault="00643071"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3、</w:t>
      </w:r>
      <w:r w:rsidR="005C027F" w:rsidRPr="00453203">
        <w:rPr>
          <w:rFonts w:asciiTheme="minorEastAsia" w:eastAsiaTheme="minorEastAsia" w:hAnsiTheme="minorEastAsia" w:hint="eastAsia"/>
        </w:rPr>
        <w:t>发生基金合同规定的暂停基金资产估值情况。</w:t>
      </w:r>
    </w:p>
    <w:p w:rsidR="005C027F" w:rsidRPr="00453203" w:rsidRDefault="00643071"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4、</w:t>
      </w:r>
      <w:r w:rsidR="005C027F" w:rsidRPr="00453203">
        <w:rPr>
          <w:rFonts w:asciiTheme="minorEastAsia" w:eastAsiaTheme="minorEastAsia" w:hAnsiTheme="minorEastAsia" w:hint="eastAsia"/>
        </w:rPr>
        <w:t>基金财产规模过大，使基金管理人无法找到合适的投资品种，或其他可能对基金业绩产生负面影响，从而损害现有基金份额持有人的利益的情形。</w:t>
      </w:r>
    </w:p>
    <w:p w:rsidR="005C027F" w:rsidRPr="00453203" w:rsidRDefault="00643071"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5、</w:t>
      </w:r>
      <w:r w:rsidR="005C027F" w:rsidRPr="00453203">
        <w:rPr>
          <w:rFonts w:asciiTheme="minorEastAsia" w:eastAsiaTheme="minorEastAsia" w:hAnsiTheme="minorEastAsia" w:hint="eastAsia"/>
        </w:rPr>
        <w:t>基金连续发生巨额赎回，根据本基金合同规定，可以暂停接受转换申请的情况。</w:t>
      </w:r>
    </w:p>
    <w:p w:rsidR="0005633F" w:rsidRPr="00453203" w:rsidRDefault="0005633F" w:rsidP="0005633F">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6、当一笔新的转换转入申请被确认成功，使本基金总规模超过基金管理人规定的本基</w:t>
      </w:r>
      <w:r w:rsidRPr="00453203">
        <w:rPr>
          <w:rFonts w:asciiTheme="minorEastAsia" w:eastAsiaTheme="minorEastAsia" w:hAnsiTheme="minorEastAsia" w:hint="eastAsia"/>
        </w:rPr>
        <w:lastRenderedPageBreak/>
        <w:t>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5633F" w:rsidRPr="00453203" w:rsidRDefault="0005633F" w:rsidP="0005633F">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7、当前一估值日基金资产净值50%以上的资产出现无可参考的活跃市场价格且采用估值技术仍导致公允价值存在重大不确定性时，经与基金托管人协商确认后，基金管理人应当采取暂停接受基金转换申请的措施。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B00483" w:rsidRPr="00453203" w:rsidRDefault="0005633F"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rPr>
        <w:t>8</w:t>
      </w:r>
      <w:r w:rsidR="00643071" w:rsidRPr="00453203">
        <w:rPr>
          <w:rFonts w:asciiTheme="minorEastAsia" w:eastAsiaTheme="minorEastAsia" w:hAnsiTheme="minorEastAsia" w:hint="eastAsia"/>
        </w:rPr>
        <w:t>、</w:t>
      </w:r>
      <w:r w:rsidR="005C027F" w:rsidRPr="00453203">
        <w:rPr>
          <w:rFonts w:asciiTheme="minorEastAsia" w:eastAsiaTheme="minorEastAsia" w:hAnsiTheme="minorEastAsia" w:hint="eastAsia"/>
        </w:rPr>
        <w:t>法律法规规定或经中国证监会认定的其他情形。</w:t>
      </w:r>
    </w:p>
    <w:p w:rsidR="00B00483" w:rsidRPr="00453203" w:rsidRDefault="00B0048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发生上述1到</w:t>
      </w:r>
      <w:r w:rsidR="0005633F" w:rsidRPr="00453203">
        <w:rPr>
          <w:rFonts w:asciiTheme="minorEastAsia" w:eastAsiaTheme="minorEastAsia" w:hAnsiTheme="minorEastAsia"/>
          <w:szCs w:val="21"/>
        </w:rPr>
        <w:t>8</w:t>
      </w:r>
      <w:r w:rsidRPr="00453203">
        <w:rPr>
          <w:rFonts w:asciiTheme="minorEastAsia" w:eastAsiaTheme="minorEastAsia" w:hAnsiTheme="minorEastAsia" w:hint="eastAsia"/>
          <w:szCs w:val="21"/>
        </w:rPr>
        <w:t>项暂停</w:t>
      </w:r>
      <w:r w:rsidRPr="00453203">
        <w:rPr>
          <w:rFonts w:asciiTheme="minorEastAsia" w:eastAsiaTheme="minorEastAsia" w:hAnsiTheme="minorEastAsia" w:cs="宋体"/>
          <w:kern w:val="0"/>
          <w:szCs w:val="21"/>
        </w:rPr>
        <w:t>基金</w:t>
      </w:r>
      <w:r w:rsidRPr="00453203">
        <w:rPr>
          <w:rFonts w:asciiTheme="minorEastAsia" w:eastAsiaTheme="minorEastAsia" w:hAnsiTheme="minorEastAsia" w:hint="eastAsia"/>
        </w:rPr>
        <w:t>转换</w:t>
      </w:r>
      <w:r w:rsidRPr="00453203">
        <w:rPr>
          <w:rFonts w:asciiTheme="minorEastAsia" w:eastAsiaTheme="minorEastAsia" w:hAnsiTheme="minorEastAsia" w:hint="eastAsia"/>
          <w:szCs w:val="21"/>
        </w:rPr>
        <w:t>时，基金管理人应当在至少一家</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及基金管理人网站刊登相关公告。</w:t>
      </w:r>
    </w:p>
    <w:p w:rsidR="00266A27" w:rsidRPr="00453203" w:rsidRDefault="00495ABE" w:rsidP="00741477">
      <w:pPr>
        <w:pStyle w:val="1"/>
        <w:pageBreakBefore/>
        <w:widowControl/>
        <w:snapToGrid w:val="0"/>
        <w:spacing w:beforeLines="0" w:afterLines="0" w:line="360" w:lineRule="auto"/>
        <w:ind w:firstLineChars="0" w:firstLine="0"/>
        <w:rPr>
          <w:rFonts w:asciiTheme="minorEastAsia" w:eastAsiaTheme="minorEastAsia" w:hAnsiTheme="minorEastAsia"/>
        </w:rPr>
      </w:pPr>
      <w:bookmarkStart w:id="105" w:name="_Toc86560070"/>
      <w:bookmarkStart w:id="106" w:name="_Toc86635162"/>
      <w:bookmarkStart w:id="107" w:name="_Toc91335002"/>
      <w:bookmarkStart w:id="108" w:name="_Toc34834713"/>
      <w:r w:rsidRPr="00453203">
        <w:rPr>
          <w:rFonts w:asciiTheme="minorEastAsia" w:eastAsiaTheme="minorEastAsia" w:hAnsiTheme="minorEastAsia" w:hint="eastAsia"/>
        </w:rPr>
        <w:lastRenderedPageBreak/>
        <w:t>十、</w:t>
      </w:r>
      <w:r w:rsidR="00266A27" w:rsidRPr="00453203">
        <w:rPr>
          <w:rFonts w:asciiTheme="minorEastAsia" w:eastAsiaTheme="minorEastAsia" w:hAnsiTheme="minorEastAsia" w:hint="eastAsia"/>
        </w:rPr>
        <w:t>基金的非交易过户、转托管</w:t>
      </w:r>
      <w:r w:rsidR="00E46530" w:rsidRPr="00453203">
        <w:rPr>
          <w:rFonts w:asciiTheme="minorEastAsia" w:eastAsiaTheme="minorEastAsia" w:hAnsiTheme="minorEastAsia" w:hint="eastAsia"/>
        </w:rPr>
        <w:t>及</w:t>
      </w:r>
      <w:r w:rsidR="00ED3D63" w:rsidRPr="00453203">
        <w:rPr>
          <w:rFonts w:asciiTheme="minorEastAsia" w:eastAsiaTheme="minorEastAsia" w:hAnsiTheme="minorEastAsia" w:hint="eastAsia"/>
          <w:bCs/>
          <w:szCs w:val="21"/>
        </w:rPr>
        <w:t>冻结与解冻</w:t>
      </w:r>
      <w:bookmarkEnd w:id="105"/>
      <w:bookmarkEnd w:id="106"/>
      <w:bookmarkEnd w:id="107"/>
      <w:bookmarkEnd w:id="108"/>
    </w:p>
    <w:p w:rsidR="009F1AF0"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09" w:name="_Toc34834714"/>
      <w:r w:rsidRPr="00453203">
        <w:rPr>
          <w:rFonts w:asciiTheme="minorEastAsia" w:eastAsiaTheme="minorEastAsia" w:hAnsiTheme="minorEastAsia" w:hint="eastAsia"/>
          <w:sz w:val="21"/>
          <w:szCs w:val="21"/>
        </w:rPr>
        <w:t>（一）</w:t>
      </w:r>
      <w:r w:rsidR="009F1AF0" w:rsidRPr="00453203">
        <w:rPr>
          <w:rFonts w:asciiTheme="minorEastAsia" w:eastAsiaTheme="minorEastAsia" w:hAnsiTheme="minorEastAsia" w:hint="eastAsia"/>
          <w:sz w:val="21"/>
          <w:szCs w:val="21"/>
        </w:rPr>
        <w:t>基金的非交易过户</w:t>
      </w:r>
      <w:bookmarkEnd w:id="109"/>
    </w:p>
    <w:p w:rsidR="00B37EA1" w:rsidRPr="00453203" w:rsidRDefault="00B37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非交易过户是指不采用申购、赎回等基金交易方式，将一定数量的基金份额按照一定规则从某一投资者基金账户转移到另一投资者基金账户的行为。</w:t>
      </w:r>
    </w:p>
    <w:p w:rsidR="00B37EA1" w:rsidRPr="00453203" w:rsidRDefault="00B37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注册登记机构只受理继承、捐赠、司法强制执行和经注册登记机构认可的、符合法律法规及国家有权机关要求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B37EA1" w:rsidRPr="00453203" w:rsidRDefault="00B37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基金注册登记机构受理上述情况下</w:t>
      </w:r>
      <w:r w:rsidRPr="00453203">
        <w:rPr>
          <w:rFonts w:asciiTheme="minorEastAsia" w:eastAsiaTheme="minorEastAsia" w:hAnsiTheme="minorEastAsia"/>
          <w:szCs w:val="21"/>
        </w:rPr>
        <w:t>的非交易过户</w:t>
      </w:r>
      <w:r w:rsidRPr="00453203">
        <w:rPr>
          <w:rFonts w:asciiTheme="minorEastAsia" w:eastAsiaTheme="minorEastAsia" w:hAnsiTheme="minorEastAsia" w:hint="eastAsia"/>
          <w:szCs w:val="21"/>
        </w:rPr>
        <w:t>，其他销售机构不得办理该项业务。对于符合条件的非交易过户申请按《业务规则》的有关规定办理并有权收取一定的费用。</w:t>
      </w:r>
    </w:p>
    <w:p w:rsidR="009F1AF0"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10" w:name="_Toc34834715"/>
      <w:r w:rsidRPr="00453203">
        <w:rPr>
          <w:rFonts w:asciiTheme="minorEastAsia" w:eastAsiaTheme="minorEastAsia" w:hAnsiTheme="minorEastAsia" w:hint="eastAsia"/>
          <w:sz w:val="21"/>
          <w:szCs w:val="21"/>
        </w:rPr>
        <w:t>（二）</w:t>
      </w:r>
      <w:r w:rsidR="009F1AF0" w:rsidRPr="00453203">
        <w:rPr>
          <w:rFonts w:asciiTheme="minorEastAsia" w:eastAsiaTheme="minorEastAsia" w:hAnsiTheme="minorEastAsia" w:hint="eastAsia"/>
          <w:sz w:val="21"/>
          <w:szCs w:val="21"/>
        </w:rPr>
        <w:t>转托管</w:t>
      </w:r>
      <w:bookmarkEnd w:id="110"/>
    </w:p>
    <w:p w:rsidR="00A9465F" w:rsidRPr="00453203" w:rsidRDefault="00A9465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本基金目前实行份额托管的交易制度。投资者可将所持有的基金份额从一个交易账户转入另一个交易账户进行交易，</w:t>
      </w:r>
      <w:r w:rsidRPr="00453203">
        <w:rPr>
          <w:rFonts w:asciiTheme="minorEastAsia" w:eastAsiaTheme="minorEastAsia" w:hAnsiTheme="minorEastAsia"/>
          <w:szCs w:val="21"/>
        </w:rPr>
        <w:t>销售机构可以按照规定的标准收取转托管费</w:t>
      </w:r>
      <w:r w:rsidRPr="00453203">
        <w:rPr>
          <w:rFonts w:asciiTheme="minorEastAsia" w:eastAsiaTheme="minorEastAsia" w:hAnsiTheme="minorEastAsia" w:hint="eastAsia"/>
          <w:szCs w:val="21"/>
        </w:rPr>
        <w:t>。具体办理方法参照《业务规则》的有关规定以及基金</w:t>
      </w:r>
      <w:r w:rsidR="00472648"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机构的业务规则。</w:t>
      </w:r>
    </w:p>
    <w:p w:rsidR="00A9465F" w:rsidRPr="00453203" w:rsidRDefault="00A9465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如果基金管理人、注册登记机构、办理转托管的销售机构出现技术系统性能限制或出于其它合理原因，可以暂停转托管业务或者拒绝基金份额持有人的转托管申请。</w:t>
      </w:r>
    </w:p>
    <w:p w:rsidR="009F1AF0" w:rsidRPr="00453203" w:rsidRDefault="009F1AF0"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11" w:name="_Toc34834716"/>
      <w:r w:rsidRPr="00453203">
        <w:rPr>
          <w:rFonts w:asciiTheme="minorEastAsia" w:eastAsiaTheme="minorEastAsia" w:hAnsiTheme="minorEastAsia" w:hint="eastAsia"/>
          <w:sz w:val="21"/>
          <w:szCs w:val="21"/>
        </w:rPr>
        <w:t>（三）基金的冻结与解冻</w:t>
      </w:r>
      <w:bookmarkEnd w:id="111"/>
    </w:p>
    <w:p w:rsidR="00A9465F" w:rsidRPr="00453203" w:rsidRDefault="00A9465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注册登记机构只受理国家有权机关依法要求的基金份额的冻结与解冻以及基金注册登记机构认可的、符合法律法规的其他情况下的冻结与解冻。基金份额被冻结部分产生的权益先行一并冻结。被冻结部分份额仍然参与收益分配与支付。</w:t>
      </w:r>
    </w:p>
    <w:p w:rsidR="00643071" w:rsidRPr="00453203" w:rsidRDefault="00643071" w:rsidP="00643071">
      <w:pPr>
        <w:snapToGrid w:val="0"/>
        <w:spacing w:line="360" w:lineRule="auto"/>
        <w:ind w:firstLineChars="200" w:firstLine="420"/>
        <w:rPr>
          <w:rFonts w:asciiTheme="minorEastAsia" w:eastAsiaTheme="minorEastAsia" w:hAnsiTheme="minorEastAsia"/>
          <w:szCs w:val="21"/>
        </w:rPr>
      </w:pPr>
    </w:p>
    <w:p w:rsidR="00643071" w:rsidRPr="00453203" w:rsidRDefault="00643071" w:rsidP="00643071">
      <w:pPr>
        <w:snapToGrid w:val="0"/>
        <w:spacing w:line="360" w:lineRule="auto"/>
        <w:ind w:firstLineChars="200" w:firstLine="420"/>
        <w:rPr>
          <w:rFonts w:asciiTheme="minorEastAsia" w:eastAsiaTheme="minorEastAsia" w:hAnsiTheme="minorEastAsia"/>
          <w:szCs w:val="21"/>
        </w:rPr>
      </w:pPr>
    </w:p>
    <w:p w:rsidR="00643071" w:rsidRPr="00453203" w:rsidRDefault="00643071" w:rsidP="00643071">
      <w:pPr>
        <w:snapToGrid w:val="0"/>
        <w:spacing w:line="360" w:lineRule="auto"/>
        <w:ind w:firstLineChars="200" w:firstLine="420"/>
        <w:rPr>
          <w:rFonts w:asciiTheme="minorEastAsia" w:eastAsiaTheme="minorEastAsia" w:hAnsiTheme="minorEastAsia"/>
          <w:szCs w:val="21"/>
        </w:rPr>
      </w:pPr>
    </w:p>
    <w:p w:rsidR="00643071" w:rsidRPr="00453203" w:rsidRDefault="00643071" w:rsidP="00643071">
      <w:pPr>
        <w:snapToGrid w:val="0"/>
        <w:spacing w:line="360" w:lineRule="auto"/>
        <w:ind w:firstLineChars="200" w:firstLine="420"/>
        <w:rPr>
          <w:rFonts w:asciiTheme="minorEastAsia" w:eastAsiaTheme="minorEastAsia" w:hAnsiTheme="minorEastAsia"/>
          <w:szCs w:val="21"/>
        </w:rPr>
      </w:pPr>
    </w:p>
    <w:p w:rsidR="00643071" w:rsidRPr="00453203" w:rsidRDefault="00643071" w:rsidP="00643071">
      <w:pPr>
        <w:snapToGrid w:val="0"/>
        <w:spacing w:line="360" w:lineRule="auto"/>
        <w:ind w:firstLineChars="200" w:firstLine="420"/>
        <w:rPr>
          <w:rFonts w:asciiTheme="minorEastAsia" w:eastAsiaTheme="minorEastAsia" w:hAnsiTheme="minorEastAsia"/>
          <w:szCs w:val="21"/>
        </w:rPr>
      </w:pPr>
    </w:p>
    <w:p w:rsidR="00643071" w:rsidRPr="00453203" w:rsidRDefault="00643071" w:rsidP="00643071">
      <w:pPr>
        <w:snapToGrid w:val="0"/>
        <w:spacing w:line="360" w:lineRule="auto"/>
        <w:ind w:firstLineChars="200" w:firstLine="420"/>
        <w:rPr>
          <w:rFonts w:asciiTheme="minorEastAsia" w:eastAsiaTheme="minorEastAsia" w:hAnsiTheme="minorEastAsia"/>
          <w:szCs w:val="21"/>
        </w:rPr>
      </w:pP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rPr>
      </w:pPr>
      <w:bookmarkStart w:id="112" w:name="_Toc52310853"/>
      <w:bookmarkStart w:id="113" w:name="_Toc34834717"/>
      <w:r w:rsidRPr="00453203">
        <w:rPr>
          <w:rFonts w:asciiTheme="minorEastAsia" w:eastAsiaTheme="minorEastAsia" w:hAnsiTheme="minorEastAsia" w:hint="eastAsia"/>
          <w:bCs/>
        </w:rPr>
        <w:lastRenderedPageBreak/>
        <w:t>十一、基金的投资</w:t>
      </w:r>
      <w:bookmarkEnd w:id="113"/>
    </w:p>
    <w:p w:rsidR="004A3EA1" w:rsidRPr="00453203" w:rsidRDefault="00873E1F" w:rsidP="00741477">
      <w:pPr>
        <w:pStyle w:val="20"/>
        <w:snapToGrid w:val="0"/>
        <w:spacing w:beforeLines="0" w:afterLines="0" w:line="360" w:lineRule="auto"/>
        <w:ind w:firstLine="422"/>
        <w:rPr>
          <w:rFonts w:asciiTheme="minorEastAsia" w:eastAsiaTheme="minorEastAsia" w:hAnsiTheme="minorEastAsia"/>
          <w:sz w:val="21"/>
          <w:szCs w:val="21"/>
        </w:rPr>
      </w:pPr>
      <w:bookmarkStart w:id="114" w:name="_Toc52310848"/>
      <w:bookmarkStart w:id="115" w:name="_Toc64861723"/>
      <w:bookmarkStart w:id="116" w:name="_Toc34834718"/>
      <w:r w:rsidRPr="00453203">
        <w:rPr>
          <w:rFonts w:asciiTheme="minorEastAsia" w:eastAsiaTheme="minorEastAsia" w:hAnsiTheme="minorEastAsia" w:hint="eastAsia"/>
          <w:sz w:val="21"/>
          <w:szCs w:val="21"/>
        </w:rPr>
        <w:t>（一）</w:t>
      </w:r>
      <w:r w:rsidR="004A3EA1" w:rsidRPr="00453203">
        <w:rPr>
          <w:rFonts w:asciiTheme="minorEastAsia" w:eastAsiaTheme="minorEastAsia" w:hAnsiTheme="minorEastAsia"/>
          <w:sz w:val="21"/>
          <w:szCs w:val="21"/>
        </w:rPr>
        <w:t>投资目标</w:t>
      </w:r>
      <w:bookmarkEnd w:id="116"/>
    </w:p>
    <w:p w:rsidR="004A3EA1" w:rsidRPr="00453203" w:rsidRDefault="004A3EA1" w:rsidP="00643071">
      <w:pPr>
        <w:snapToGrid w:val="0"/>
        <w:spacing w:line="360" w:lineRule="auto"/>
        <w:ind w:firstLineChars="200" w:firstLine="420"/>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紧密跟踪业绩比较基准，追求</w:t>
      </w:r>
      <w:r w:rsidRPr="00453203">
        <w:rPr>
          <w:rFonts w:asciiTheme="minorEastAsia" w:eastAsiaTheme="minorEastAsia" w:hAnsiTheme="minorEastAsia"/>
          <w:kern w:val="0"/>
          <w:szCs w:val="21"/>
        </w:rPr>
        <w:t>跟踪偏离度及跟踪误差的最小化</w:t>
      </w:r>
      <w:r w:rsidRPr="00453203">
        <w:rPr>
          <w:rFonts w:asciiTheme="minorEastAsia" w:eastAsiaTheme="minorEastAsia" w:hAnsiTheme="minorEastAsia" w:hint="eastAsia"/>
          <w:kern w:val="0"/>
          <w:szCs w:val="21"/>
        </w:rPr>
        <w:t>。</w:t>
      </w:r>
    </w:p>
    <w:p w:rsidR="004A3EA1" w:rsidRPr="00453203" w:rsidRDefault="00873E1F" w:rsidP="00741477">
      <w:pPr>
        <w:pStyle w:val="20"/>
        <w:snapToGrid w:val="0"/>
        <w:spacing w:beforeLines="0" w:afterLines="0" w:line="360" w:lineRule="auto"/>
        <w:ind w:firstLine="422"/>
        <w:rPr>
          <w:rFonts w:asciiTheme="minorEastAsia" w:eastAsiaTheme="minorEastAsia" w:hAnsiTheme="minorEastAsia"/>
          <w:sz w:val="21"/>
          <w:szCs w:val="21"/>
        </w:rPr>
      </w:pPr>
      <w:bookmarkStart w:id="117" w:name="_Toc34834719"/>
      <w:r w:rsidRPr="00453203">
        <w:rPr>
          <w:rFonts w:asciiTheme="minorEastAsia" w:eastAsiaTheme="minorEastAsia" w:hAnsiTheme="minorEastAsia" w:hint="eastAsia"/>
          <w:sz w:val="21"/>
          <w:szCs w:val="21"/>
        </w:rPr>
        <w:t>（二）</w:t>
      </w:r>
      <w:r w:rsidR="004A3EA1" w:rsidRPr="00453203">
        <w:rPr>
          <w:rFonts w:asciiTheme="minorEastAsia" w:eastAsiaTheme="minorEastAsia" w:hAnsiTheme="minorEastAsia" w:hint="eastAsia"/>
          <w:sz w:val="21"/>
          <w:szCs w:val="21"/>
        </w:rPr>
        <w:t>投资范围</w:t>
      </w:r>
      <w:bookmarkEnd w:id="117"/>
    </w:p>
    <w:p w:rsidR="004A3EA1" w:rsidRPr="00453203" w:rsidRDefault="004A3EA1" w:rsidP="00643071">
      <w:pPr>
        <w:snapToGrid w:val="0"/>
        <w:spacing w:line="360" w:lineRule="auto"/>
        <w:ind w:firstLineChars="200" w:firstLine="420"/>
        <w:rPr>
          <w:rFonts w:asciiTheme="minorEastAsia" w:eastAsiaTheme="minorEastAsia" w:hAnsiTheme="minorEastAsia"/>
          <w:bCs/>
          <w:szCs w:val="21"/>
        </w:rPr>
      </w:pPr>
      <w:r w:rsidRPr="00453203">
        <w:rPr>
          <w:rFonts w:asciiTheme="minorEastAsia" w:eastAsiaTheme="minorEastAsia" w:hAnsiTheme="minorEastAsia" w:hint="eastAsia"/>
          <w:szCs w:val="21"/>
        </w:rPr>
        <w:t>本基金资产投资于具有良好流动性的金融工具，包括创业板ETF、创业板指数成份股及备选成份股、</w:t>
      </w:r>
      <w:r w:rsidRPr="00453203">
        <w:rPr>
          <w:rFonts w:asciiTheme="minorEastAsia" w:eastAsiaTheme="minorEastAsia" w:hAnsiTheme="minorEastAsia"/>
          <w:szCs w:val="21"/>
        </w:rPr>
        <w:t>新股(一级市场初次发行</w:t>
      </w:r>
      <w:r w:rsidRPr="00453203">
        <w:rPr>
          <w:rFonts w:asciiTheme="minorEastAsia" w:eastAsiaTheme="minorEastAsia" w:hAnsiTheme="minorEastAsia" w:hint="eastAsia"/>
          <w:szCs w:val="21"/>
        </w:rPr>
        <w:t>或</w:t>
      </w:r>
      <w:r w:rsidRPr="00453203">
        <w:rPr>
          <w:rFonts w:asciiTheme="minorEastAsia" w:eastAsiaTheme="minorEastAsia" w:hAnsiTheme="minorEastAsia"/>
          <w:szCs w:val="21"/>
        </w:rPr>
        <w:t>增发)</w:t>
      </w:r>
      <w:r w:rsidRPr="00453203">
        <w:rPr>
          <w:rFonts w:asciiTheme="minorEastAsia" w:eastAsiaTheme="minorEastAsia" w:hAnsiTheme="minorEastAsia" w:hint="eastAsia"/>
          <w:szCs w:val="21"/>
        </w:rPr>
        <w:t>、货币市场工具、</w:t>
      </w:r>
      <w:r w:rsidR="00892A80" w:rsidRPr="00453203">
        <w:rPr>
          <w:rFonts w:asciiTheme="minorEastAsia" w:eastAsiaTheme="minorEastAsia" w:hAnsiTheme="minorEastAsia" w:hint="eastAsia"/>
          <w:szCs w:val="21"/>
        </w:rPr>
        <w:t>权证、</w:t>
      </w:r>
      <w:r w:rsidRPr="00453203">
        <w:rPr>
          <w:rFonts w:asciiTheme="minorEastAsia" w:eastAsiaTheme="minorEastAsia" w:hAnsiTheme="minorEastAsia" w:hint="eastAsia"/>
          <w:szCs w:val="21"/>
        </w:rPr>
        <w:t>股指期货以及法律法规或中国证监会允许基金投资的其他金融工具。本基金根据相关法律法规或中</w:t>
      </w:r>
      <w:r w:rsidRPr="00453203">
        <w:rPr>
          <w:rFonts w:asciiTheme="minorEastAsia" w:eastAsiaTheme="minorEastAsia" w:hAnsiTheme="minorEastAsia" w:hint="eastAsia"/>
          <w:bCs/>
          <w:szCs w:val="21"/>
        </w:rPr>
        <w:t>国证监会要求履行相关手续后，还可以投资于法律法规或中国证监会未来允许基金投资的其它金融工具。</w:t>
      </w:r>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本基金</w:t>
      </w:r>
      <w:r w:rsidRPr="00453203">
        <w:rPr>
          <w:rFonts w:asciiTheme="minorEastAsia" w:eastAsiaTheme="minorEastAsia" w:hAnsiTheme="minorEastAsia" w:hint="eastAsia"/>
          <w:szCs w:val="21"/>
        </w:rPr>
        <w:t>资产中投资于创业板ETF的</w:t>
      </w:r>
      <w:r w:rsidRPr="00453203">
        <w:rPr>
          <w:rFonts w:asciiTheme="minorEastAsia" w:eastAsiaTheme="minorEastAsia" w:hAnsiTheme="minorEastAsia"/>
          <w:szCs w:val="21"/>
        </w:rPr>
        <w:t>比例不低于基金资产</w:t>
      </w:r>
      <w:r w:rsidRPr="00453203">
        <w:rPr>
          <w:rFonts w:asciiTheme="minorEastAsia" w:eastAsiaTheme="minorEastAsia" w:hAnsiTheme="minorEastAsia" w:hint="eastAsia"/>
          <w:szCs w:val="21"/>
        </w:rPr>
        <w:t>净值</w:t>
      </w:r>
      <w:r w:rsidRPr="00453203">
        <w:rPr>
          <w:rFonts w:asciiTheme="minorEastAsia" w:eastAsiaTheme="minorEastAsia" w:hAnsiTheme="minorEastAsia"/>
          <w:szCs w:val="21"/>
        </w:rPr>
        <w:t>的9</w:t>
      </w:r>
      <w:r w:rsidRPr="00453203">
        <w:rPr>
          <w:rFonts w:asciiTheme="minorEastAsia" w:eastAsiaTheme="minorEastAsia" w:hAnsiTheme="minorEastAsia" w:hint="eastAsia"/>
          <w:szCs w:val="21"/>
        </w:rPr>
        <w:t>0</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现金或者到期日在一年以内的政府债券不低于基金资产净值</w:t>
      </w:r>
      <w:r w:rsidRPr="00453203">
        <w:rPr>
          <w:rFonts w:asciiTheme="minorEastAsia" w:eastAsiaTheme="minorEastAsia" w:hAnsiTheme="minorEastAsia" w:hint="eastAsia"/>
          <w:szCs w:val="21"/>
        </w:rPr>
        <w:t>的</w:t>
      </w:r>
      <w:r w:rsidRPr="00453203">
        <w:rPr>
          <w:rFonts w:asciiTheme="minorEastAsia" w:eastAsiaTheme="minorEastAsia" w:hAnsiTheme="minorEastAsia"/>
          <w:szCs w:val="21"/>
        </w:rPr>
        <w:t>5%</w:t>
      </w:r>
      <w:r w:rsidR="003B2D76" w:rsidRPr="00453203">
        <w:rPr>
          <w:rFonts w:asciiTheme="minorEastAsia" w:eastAsiaTheme="minorEastAsia" w:hAnsiTheme="minorEastAsia" w:hint="eastAsia"/>
          <w:szCs w:val="21"/>
        </w:rPr>
        <w:t>，现金不包括结算备付金、存出保证金、应收申购款等</w:t>
      </w:r>
      <w:r w:rsidRPr="00453203">
        <w:rPr>
          <w:rFonts w:asciiTheme="minorEastAsia" w:eastAsiaTheme="minorEastAsia" w:hAnsiTheme="minorEastAsia" w:hint="eastAsia"/>
          <w:szCs w:val="21"/>
        </w:rPr>
        <w:t>。</w:t>
      </w:r>
    </w:p>
    <w:p w:rsidR="004A3EA1" w:rsidRPr="00453203" w:rsidRDefault="00873E1F" w:rsidP="00741477">
      <w:pPr>
        <w:pStyle w:val="20"/>
        <w:snapToGrid w:val="0"/>
        <w:spacing w:beforeLines="0" w:afterLines="0" w:line="360" w:lineRule="auto"/>
        <w:ind w:firstLine="422"/>
        <w:rPr>
          <w:rFonts w:asciiTheme="minorEastAsia" w:eastAsiaTheme="minorEastAsia" w:hAnsiTheme="minorEastAsia"/>
          <w:sz w:val="21"/>
          <w:szCs w:val="21"/>
        </w:rPr>
      </w:pPr>
      <w:bookmarkStart w:id="118" w:name="_Toc34834720"/>
      <w:r w:rsidRPr="00453203">
        <w:rPr>
          <w:rFonts w:asciiTheme="minorEastAsia" w:eastAsiaTheme="minorEastAsia" w:hAnsiTheme="minorEastAsia" w:hint="eastAsia"/>
          <w:sz w:val="21"/>
          <w:szCs w:val="21"/>
        </w:rPr>
        <w:t>（三）</w:t>
      </w:r>
      <w:r w:rsidR="004A3EA1" w:rsidRPr="00453203">
        <w:rPr>
          <w:rFonts w:asciiTheme="minorEastAsia" w:eastAsiaTheme="minorEastAsia" w:hAnsiTheme="minorEastAsia"/>
          <w:sz w:val="21"/>
          <w:szCs w:val="21"/>
        </w:rPr>
        <w:t>投资理念</w:t>
      </w:r>
      <w:bookmarkEnd w:id="118"/>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指数化投资具有低成本、管理透明及分散化程度高等优点，能稳定地获得</w:t>
      </w:r>
      <w:r w:rsidRPr="00453203">
        <w:rPr>
          <w:rFonts w:asciiTheme="minorEastAsia" w:eastAsiaTheme="minorEastAsia" w:hAnsiTheme="minorEastAsia" w:hint="eastAsia"/>
          <w:szCs w:val="21"/>
        </w:rPr>
        <w:t>与标的指数相近的回报。</w:t>
      </w:r>
    </w:p>
    <w:p w:rsidR="004A3EA1" w:rsidRPr="00453203" w:rsidRDefault="00873E1F" w:rsidP="00741477">
      <w:pPr>
        <w:pStyle w:val="20"/>
        <w:snapToGrid w:val="0"/>
        <w:spacing w:beforeLines="0" w:afterLines="0" w:line="360" w:lineRule="auto"/>
        <w:ind w:firstLine="422"/>
        <w:rPr>
          <w:rFonts w:asciiTheme="minorEastAsia" w:eastAsiaTheme="minorEastAsia" w:hAnsiTheme="minorEastAsia"/>
          <w:sz w:val="21"/>
          <w:szCs w:val="21"/>
        </w:rPr>
      </w:pPr>
      <w:bookmarkStart w:id="119" w:name="投资策略"/>
      <w:bookmarkStart w:id="120" w:name="_Toc34834721"/>
      <w:r w:rsidRPr="00453203">
        <w:rPr>
          <w:rFonts w:asciiTheme="minorEastAsia" w:eastAsiaTheme="minorEastAsia" w:hAnsiTheme="minorEastAsia" w:hint="eastAsia"/>
          <w:sz w:val="21"/>
          <w:szCs w:val="21"/>
        </w:rPr>
        <w:t>（四）</w:t>
      </w:r>
      <w:r w:rsidR="004A3EA1" w:rsidRPr="00453203">
        <w:rPr>
          <w:rFonts w:asciiTheme="minorEastAsia" w:eastAsiaTheme="minorEastAsia" w:hAnsiTheme="minorEastAsia"/>
          <w:sz w:val="21"/>
          <w:szCs w:val="21"/>
        </w:rPr>
        <w:t>投资策略</w:t>
      </w:r>
      <w:bookmarkEnd w:id="119"/>
      <w:bookmarkEnd w:id="120"/>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本基金为创业板ETF的联接基金。创业板ETF是采用完全复制法实现对创业板指数紧密跟踪的全被动指数基金，本基金主要通过投资于创业板ETF实现对业绩比较基准的紧密跟踪，力争将</w:t>
      </w:r>
      <w:r w:rsidR="00227AA1" w:rsidRPr="00453203">
        <w:rPr>
          <w:rFonts w:asciiTheme="minorEastAsia" w:eastAsiaTheme="minorEastAsia" w:hAnsiTheme="minorEastAsia" w:hint="eastAsia"/>
          <w:szCs w:val="21"/>
        </w:rPr>
        <w:t>日均跟踪偏离度控制在0.35%以内，</w:t>
      </w:r>
      <w:r w:rsidRPr="00453203">
        <w:rPr>
          <w:rFonts w:asciiTheme="minorEastAsia" w:eastAsiaTheme="minorEastAsia" w:hAnsiTheme="minorEastAsia" w:hint="eastAsia"/>
          <w:szCs w:val="21"/>
        </w:rPr>
        <w:t>年化跟踪误差控制在4%以内。在投资运作过程中，本基金将在综合考虑合规、风险、效率、成本等因素的基础上，决定采用实物申赎的方式或证券二级市场交易的方式进行创业板ETF的买卖。</w:t>
      </w:r>
    </w:p>
    <w:p w:rsidR="00BD5A25"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本基金可以</w:t>
      </w:r>
      <w:r w:rsidRPr="00453203">
        <w:rPr>
          <w:rFonts w:asciiTheme="minorEastAsia" w:eastAsiaTheme="minorEastAsia" w:hAnsiTheme="minorEastAsia"/>
          <w:szCs w:val="21"/>
        </w:rPr>
        <w:t>参与股指期货交易，</w:t>
      </w:r>
      <w:r w:rsidRPr="00453203">
        <w:rPr>
          <w:rFonts w:asciiTheme="minorEastAsia" w:eastAsiaTheme="minorEastAsia" w:hAnsiTheme="minorEastAsia" w:hint="eastAsia"/>
          <w:szCs w:val="21"/>
        </w:rPr>
        <w:t>但必须</w:t>
      </w:r>
      <w:r w:rsidRPr="00453203">
        <w:rPr>
          <w:rFonts w:asciiTheme="minorEastAsia" w:eastAsiaTheme="minorEastAsia" w:hAnsiTheme="minorEastAsia"/>
          <w:szCs w:val="21"/>
        </w:rPr>
        <w:t>根据风险管理的原则，以套期保值为目的</w:t>
      </w:r>
      <w:r w:rsidRPr="00453203">
        <w:rPr>
          <w:rFonts w:asciiTheme="minorEastAsia" w:eastAsiaTheme="minorEastAsia" w:hAnsiTheme="minorEastAsia" w:hint="eastAsia"/>
          <w:szCs w:val="21"/>
        </w:rPr>
        <w:t>。</w:t>
      </w:r>
    </w:p>
    <w:p w:rsidR="004A3EA1" w:rsidRPr="00453203" w:rsidRDefault="00873E1F" w:rsidP="00741477">
      <w:pPr>
        <w:pStyle w:val="20"/>
        <w:snapToGrid w:val="0"/>
        <w:spacing w:beforeLines="0" w:afterLines="0" w:line="360" w:lineRule="auto"/>
        <w:ind w:firstLine="422"/>
        <w:rPr>
          <w:rFonts w:asciiTheme="minorEastAsia" w:eastAsiaTheme="minorEastAsia" w:hAnsiTheme="minorEastAsia"/>
          <w:sz w:val="21"/>
          <w:szCs w:val="21"/>
        </w:rPr>
      </w:pPr>
      <w:bookmarkStart w:id="121" w:name="_Toc34834722"/>
      <w:r w:rsidRPr="00453203">
        <w:rPr>
          <w:rFonts w:asciiTheme="minorEastAsia" w:eastAsiaTheme="minorEastAsia" w:hAnsiTheme="minorEastAsia" w:hint="eastAsia"/>
          <w:sz w:val="21"/>
          <w:szCs w:val="21"/>
        </w:rPr>
        <w:t>（五）</w:t>
      </w:r>
      <w:r w:rsidR="004A3EA1" w:rsidRPr="00453203">
        <w:rPr>
          <w:rFonts w:asciiTheme="minorEastAsia" w:eastAsiaTheme="minorEastAsia" w:hAnsiTheme="minorEastAsia" w:hint="eastAsia"/>
          <w:sz w:val="21"/>
          <w:szCs w:val="21"/>
        </w:rPr>
        <w:t>投资决策</w:t>
      </w:r>
      <w:bookmarkEnd w:id="121"/>
    </w:p>
    <w:p w:rsidR="004A3EA1" w:rsidRPr="00453203" w:rsidRDefault="0022274B" w:rsidP="00643071">
      <w:pPr>
        <w:snapToGrid w:val="0"/>
        <w:spacing w:line="360" w:lineRule="auto"/>
        <w:ind w:firstLineChars="200" w:firstLine="420"/>
        <w:rPr>
          <w:rFonts w:asciiTheme="minorEastAsia" w:eastAsiaTheme="minorEastAsia" w:hAnsiTheme="minorEastAsia"/>
          <w:bCs/>
          <w:szCs w:val="21"/>
        </w:rPr>
      </w:pPr>
      <w:r w:rsidRPr="00453203">
        <w:rPr>
          <w:rFonts w:asciiTheme="minorEastAsia" w:eastAsiaTheme="minorEastAsia" w:hAnsiTheme="minorEastAsia" w:hint="eastAsia"/>
          <w:bCs/>
          <w:szCs w:val="21"/>
        </w:rPr>
        <w:t>1、</w:t>
      </w:r>
      <w:r w:rsidR="004A3EA1" w:rsidRPr="00453203">
        <w:rPr>
          <w:rFonts w:asciiTheme="minorEastAsia" w:eastAsiaTheme="minorEastAsia" w:hAnsiTheme="minorEastAsia" w:hint="eastAsia"/>
          <w:bCs/>
          <w:szCs w:val="21"/>
        </w:rPr>
        <w:t>投资决策依据</w:t>
      </w:r>
    </w:p>
    <w:p w:rsidR="004A3EA1" w:rsidRPr="00453203" w:rsidRDefault="009A062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法律、法规和《基金合同》的规定；</w:t>
      </w:r>
    </w:p>
    <w:p w:rsidR="004A3EA1" w:rsidRPr="00453203" w:rsidRDefault="009A062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对证券市场发展趋势的研究与判断。</w:t>
      </w:r>
    </w:p>
    <w:p w:rsidR="004A3EA1" w:rsidRPr="00453203" w:rsidRDefault="0022274B" w:rsidP="00643071">
      <w:pPr>
        <w:snapToGrid w:val="0"/>
        <w:spacing w:line="360" w:lineRule="auto"/>
        <w:ind w:firstLineChars="200" w:firstLine="420"/>
        <w:rPr>
          <w:rFonts w:asciiTheme="minorEastAsia" w:eastAsiaTheme="minorEastAsia" w:hAnsiTheme="minorEastAsia"/>
          <w:bCs/>
          <w:szCs w:val="21"/>
        </w:rPr>
      </w:pPr>
      <w:r w:rsidRPr="00453203">
        <w:rPr>
          <w:rFonts w:asciiTheme="minorEastAsia" w:eastAsiaTheme="minorEastAsia" w:hAnsiTheme="minorEastAsia" w:hint="eastAsia"/>
          <w:bCs/>
          <w:szCs w:val="21"/>
        </w:rPr>
        <w:t>2、</w:t>
      </w:r>
      <w:r w:rsidR="004A3EA1" w:rsidRPr="00453203">
        <w:rPr>
          <w:rFonts w:asciiTheme="minorEastAsia" w:eastAsiaTheme="minorEastAsia" w:hAnsiTheme="minorEastAsia" w:hint="eastAsia"/>
          <w:bCs/>
          <w:szCs w:val="21"/>
        </w:rPr>
        <w:t>投资决策流程</w:t>
      </w:r>
    </w:p>
    <w:p w:rsidR="004A3EA1" w:rsidRPr="00453203" w:rsidRDefault="009A062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w:t>
      </w:r>
      <w:r w:rsidR="00DB1847" w:rsidRPr="00453203">
        <w:rPr>
          <w:rFonts w:asciiTheme="minorEastAsia" w:eastAsiaTheme="minorEastAsia" w:hAnsiTheme="minorEastAsia" w:hint="eastAsia"/>
          <w:szCs w:val="21"/>
        </w:rPr>
        <w:t>基金经理拟定资产配置计划，按照公司制度提交审议并实施</w:t>
      </w:r>
      <w:r w:rsidR="004A3EA1" w:rsidRPr="00453203">
        <w:rPr>
          <w:rFonts w:asciiTheme="minorEastAsia" w:eastAsiaTheme="minorEastAsia" w:hAnsiTheme="minorEastAsia" w:hint="eastAsia"/>
          <w:szCs w:val="21"/>
        </w:rPr>
        <w:t>；</w:t>
      </w:r>
    </w:p>
    <w:p w:rsidR="004A3EA1" w:rsidRPr="00453203" w:rsidRDefault="009A062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szCs w:val="21"/>
        </w:rPr>
        <w:t>基金经理</w:t>
      </w:r>
      <w:r w:rsidR="004A3EA1" w:rsidRPr="00453203">
        <w:rPr>
          <w:rFonts w:asciiTheme="minorEastAsia" w:eastAsiaTheme="minorEastAsia" w:hAnsiTheme="minorEastAsia" w:hint="eastAsia"/>
          <w:szCs w:val="21"/>
        </w:rPr>
        <w:t>采取实物申赎的方式或证券二级市场交易的方式进行创业板ETF的买卖；</w:t>
      </w:r>
    </w:p>
    <w:p w:rsidR="004A3EA1" w:rsidRPr="00453203" w:rsidRDefault="009A062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9B4A36" w:rsidRPr="00453203">
        <w:rPr>
          <w:rFonts w:asciiTheme="minorEastAsia" w:eastAsiaTheme="minorEastAsia" w:hAnsiTheme="minorEastAsia" w:hint="eastAsia"/>
          <w:szCs w:val="21"/>
        </w:rPr>
        <w:t>3</w:t>
      </w:r>
      <w:r w:rsidRPr="00453203">
        <w:rPr>
          <w:rFonts w:asciiTheme="minorEastAsia" w:eastAsiaTheme="minorEastAsia" w:hAnsiTheme="minorEastAsia" w:hint="eastAsia"/>
          <w:szCs w:val="21"/>
        </w:rPr>
        <w:t>)</w:t>
      </w:r>
      <w:r w:rsidR="00174F08" w:rsidRPr="00453203">
        <w:rPr>
          <w:rFonts w:asciiTheme="minorEastAsia" w:eastAsiaTheme="minorEastAsia" w:hAnsiTheme="minorEastAsia" w:hint="eastAsia"/>
          <w:szCs w:val="21"/>
        </w:rPr>
        <w:t>投资风险管理部</w:t>
      </w:r>
      <w:r w:rsidR="004A3EA1" w:rsidRPr="00453203">
        <w:rPr>
          <w:rFonts w:asciiTheme="minorEastAsia" w:eastAsiaTheme="minorEastAsia" w:hAnsiTheme="minorEastAsia" w:hint="eastAsia"/>
          <w:szCs w:val="21"/>
        </w:rPr>
        <w:t>定期</w:t>
      </w:r>
      <w:r w:rsidR="004A3EA1" w:rsidRPr="00453203">
        <w:rPr>
          <w:rFonts w:asciiTheme="minorEastAsia" w:eastAsiaTheme="minorEastAsia" w:hAnsiTheme="minorEastAsia"/>
          <w:szCs w:val="21"/>
        </w:rPr>
        <w:t>对投资组合</w:t>
      </w:r>
      <w:r w:rsidR="00B7217E" w:rsidRPr="00453203">
        <w:rPr>
          <w:rFonts w:asciiTheme="minorEastAsia" w:eastAsiaTheme="minorEastAsia" w:hAnsiTheme="minorEastAsia" w:hint="eastAsia"/>
          <w:szCs w:val="21"/>
        </w:rPr>
        <w:t>与业绩比较基准</w:t>
      </w:r>
      <w:r w:rsidR="004A3EA1" w:rsidRPr="00453203">
        <w:rPr>
          <w:rFonts w:asciiTheme="minorEastAsia" w:eastAsiaTheme="minorEastAsia" w:hAnsiTheme="minorEastAsia"/>
          <w:szCs w:val="21"/>
        </w:rPr>
        <w:t>的偏离度</w:t>
      </w:r>
      <w:r w:rsidR="004A3EA1" w:rsidRPr="00453203">
        <w:rPr>
          <w:rFonts w:asciiTheme="minorEastAsia" w:eastAsiaTheme="minorEastAsia" w:hAnsiTheme="minorEastAsia" w:hint="eastAsia"/>
          <w:szCs w:val="21"/>
        </w:rPr>
        <w:t>和跟踪误差</w:t>
      </w:r>
      <w:r w:rsidR="004A3EA1" w:rsidRPr="00453203">
        <w:rPr>
          <w:rFonts w:asciiTheme="minorEastAsia" w:eastAsiaTheme="minorEastAsia" w:hAnsiTheme="minorEastAsia"/>
          <w:szCs w:val="21"/>
        </w:rPr>
        <w:t>进行跟踪和评估</w:t>
      </w:r>
      <w:r w:rsidR="004A3EA1" w:rsidRPr="00453203">
        <w:rPr>
          <w:rFonts w:asciiTheme="minorEastAsia" w:eastAsiaTheme="minorEastAsia" w:hAnsiTheme="minorEastAsia" w:hint="eastAsia"/>
          <w:szCs w:val="21"/>
        </w:rPr>
        <w:t>。</w:t>
      </w:r>
    </w:p>
    <w:p w:rsidR="004A3EA1" w:rsidRPr="00453203" w:rsidRDefault="00873E1F" w:rsidP="00741477">
      <w:pPr>
        <w:pStyle w:val="20"/>
        <w:snapToGrid w:val="0"/>
        <w:spacing w:beforeLines="0" w:afterLines="0" w:line="360" w:lineRule="auto"/>
        <w:ind w:firstLine="422"/>
        <w:rPr>
          <w:rFonts w:asciiTheme="minorEastAsia" w:eastAsiaTheme="minorEastAsia" w:hAnsiTheme="minorEastAsia"/>
          <w:sz w:val="21"/>
          <w:szCs w:val="21"/>
        </w:rPr>
      </w:pPr>
      <w:bookmarkStart w:id="122" w:name="_Toc34834723"/>
      <w:r w:rsidRPr="00453203">
        <w:rPr>
          <w:rFonts w:asciiTheme="minorEastAsia" w:eastAsiaTheme="minorEastAsia" w:hAnsiTheme="minorEastAsia" w:hint="eastAsia"/>
          <w:sz w:val="21"/>
          <w:szCs w:val="21"/>
        </w:rPr>
        <w:lastRenderedPageBreak/>
        <w:t>（六）</w:t>
      </w:r>
      <w:r w:rsidR="004A3EA1" w:rsidRPr="00453203">
        <w:rPr>
          <w:rFonts w:asciiTheme="minorEastAsia" w:eastAsiaTheme="minorEastAsia" w:hAnsiTheme="minorEastAsia" w:hint="eastAsia"/>
          <w:sz w:val="21"/>
          <w:szCs w:val="21"/>
        </w:rPr>
        <w:t>投资限制</w:t>
      </w:r>
      <w:bookmarkEnd w:id="122"/>
    </w:p>
    <w:p w:rsidR="004A3EA1" w:rsidRPr="00453203" w:rsidRDefault="0022274B" w:rsidP="00643071">
      <w:pPr>
        <w:snapToGrid w:val="0"/>
        <w:spacing w:line="360" w:lineRule="auto"/>
        <w:ind w:firstLineChars="200" w:firstLine="420"/>
        <w:rPr>
          <w:rFonts w:asciiTheme="minorEastAsia" w:eastAsiaTheme="minorEastAsia" w:hAnsiTheme="minorEastAsia"/>
          <w:bCs/>
          <w:szCs w:val="21"/>
        </w:rPr>
      </w:pPr>
      <w:r w:rsidRPr="00453203">
        <w:rPr>
          <w:rFonts w:asciiTheme="minorEastAsia" w:eastAsiaTheme="minorEastAsia" w:hAnsiTheme="minorEastAsia" w:hint="eastAsia"/>
          <w:bCs/>
          <w:szCs w:val="21"/>
        </w:rPr>
        <w:t>1、</w:t>
      </w:r>
      <w:r w:rsidR="004A3EA1" w:rsidRPr="00453203">
        <w:rPr>
          <w:rFonts w:asciiTheme="minorEastAsia" w:eastAsiaTheme="minorEastAsia" w:hAnsiTheme="minorEastAsia" w:hint="eastAsia"/>
          <w:bCs/>
          <w:szCs w:val="21"/>
        </w:rPr>
        <w:t>禁止行为</w:t>
      </w:r>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为维护基金份额持有人的合法权益，本基金禁止从事下列行为：</w:t>
      </w:r>
    </w:p>
    <w:p w:rsidR="004A3EA1" w:rsidRPr="00453203" w:rsidRDefault="006872D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承销证券；</w:t>
      </w:r>
    </w:p>
    <w:p w:rsidR="004A3EA1" w:rsidRPr="00453203" w:rsidRDefault="006872D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向他人贷款或提供担保；</w:t>
      </w:r>
    </w:p>
    <w:p w:rsidR="004A3EA1" w:rsidRPr="00453203" w:rsidRDefault="006872D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3</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szCs w:val="21"/>
        </w:rPr>
        <w:t>从事承担无限责任的投资；</w:t>
      </w:r>
    </w:p>
    <w:p w:rsidR="004A3EA1" w:rsidRPr="00453203" w:rsidRDefault="006872D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szCs w:val="21"/>
        </w:rPr>
        <w:t>4</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买卖其他基金份额，但本基金投资目标</w:t>
      </w:r>
      <w:r w:rsidR="004A3EA1" w:rsidRPr="00453203">
        <w:rPr>
          <w:rFonts w:asciiTheme="minorEastAsia" w:eastAsiaTheme="minorEastAsia" w:hAnsiTheme="minorEastAsia"/>
          <w:szCs w:val="21"/>
        </w:rPr>
        <w:t>ETF</w:t>
      </w:r>
      <w:r w:rsidR="004A3EA1" w:rsidRPr="00453203">
        <w:rPr>
          <w:rFonts w:asciiTheme="minorEastAsia" w:eastAsiaTheme="minorEastAsia" w:hAnsiTheme="minorEastAsia" w:hint="eastAsia"/>
          <w:szCs w:val="21"/>
        </w:rPr>
        <w:t>或者法律法规或中国证监会另有规定的除外；</w:t>
      </w:r>
    </w:p>
    <w:p w:rsidR="004A3EA1" w:rsidRPr="00453203" w:rsidRDefault="006872D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5</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向基金管理人、基金托管人出资或者买卖其基金管理人、基金托管人发行的股票或债券；</w:t>
      </w:r>
    </w:p>
    <w:p w:rsidR="004A3EA1" w:rsidRPr="00453203" w:rsidRDefault="006872D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6</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买卖与基金管理人、基金托管人有控股关系的股东或者与基金管理人、基金托管人有其他重大利害关系的公司发行的证券或者承销期内承销的证券，但本基金投资目标</w:t>
      </w:r>
      <w:r w:rsidR="004A3EA1" w:rsidRPr="00453203">
        <w:rPr>
          <w:rFonts w:asciiTheme="minorEastAsia" w:eastAsiaTheme="minorEastAsia" w:hAnsiTheme="minorEastAsia"/>
          <w:szCs w:val="21"/>
        </w:rPr>
        <w:t>ETF除外</w:t>
      </w:r>
      <w:r w:rsidR="004A3EA1" w:rsidRPr="00453203">
        <w:rPr>
          <w:rFonts w:asciiTheme="minorEastAsia" w:eastAsiaTheme="minorEastAsia" w:hAnsiTheme="minorEastAsia" w:hint="eastAsia"/>
          <w:szCs w:val="21"/>
        </w:rPr>
        <w:t>；</w:t>
      </w:r>
    </w:p>
    <w:p w:rsidR="004A3EA1" w:rsidRPr="00453203" w:rsidRDefault="006872D6" w:rsidP="00643071">
      <w:pPr>
        <w:pStyle w:val="af1"/>
        <w:adjustRightInd w:val="0"/>
        <w:snapToGrid w:val="0"/>
        <w:spacing w:line="360" w:lineRule="auto"/>
        <w:ind w:firstLine="482"/>
        <w:textAlignment w:val="baseline"/>
        <w:rPr>
          <w:rFonts w:asciiTheme="minorEastAsia" w:eastAsiaTheme="minorEastAsia" w:hAnsiTheme="minorEastAsia" w:cs="仿宋_GB2312"/>
          <w:bCs/>
          <w:kern w:val="0"/>
          <w:szCs w:val="24"/>
        </w:rPr>
      </w:pPr>
      <w:r w:rsidRPr="00453203">
        <w:rPr>
          <w:rFonts w:asciiTheme="minorEastAsia" w:eastAsiaTheme="minorEastAsia" w:hAnsiTheme="minorEastAsia" w:cs="仿宋_GB2312" w:hint="eastAsia"/>
          <w:bCs/>
          <w:kern w:val="0"/>
          <w:szCs w:val="24"/>
        </w:rPr>
        <w:t>（</w:t>
      </w:r>
      <w:r w:rsidR="004A3EA1" w:rsidRPr="00453203">
        <w:rPr>
          <w:rFonts w:asciiTheme="minorEastAsia" w:eastAsiaTheme="minorEastAsia" w:hAnsiTheme="minorEastAsia" w:cs="仿宋_GB2312" w:hint="eastAsia"/>
          <w:bCs/>
          <w:kern w:val="0"/>
          <w:szCs w:val="24"/>
        </w:rPr>
        <w:t>7</w:t>
      </w:r>
      <w:r w:rsidRPr="00453203">
        <w:rPr>
          <w:rFonts w:asciiTheme="minorEastAsia" w:eastAsiaTheme="minorEastAsia" w:hAnsiTheme="minorEastAsia" w:cs="仿宋_GB2312" w:hint="eastAsia"/>
          <w:bCs/>
          <w:kern w:val="0"/>
          <w:szCs w:val="24"/>
        </w:rPr>
        <w:t>）</w:t>
      </w:r>
      <w:r w:rsidR="004A3EA1" w:rsidRPr="00453203">
        <w:rPr>
          <w:rFonts w:asciiTheme="minorEastAsia" w:eastAsiaTheme="minorEastAsia" w:hAnsiTheme="minorEastAsia" w:cs="仿宋_GB2312" w:hint="eastAsia"/>
          <w:bCs/>
          <w:kern w:val="0"/>
          <w:szCs w:val="24"/>
        </w:rPr>
        <w:t>从事内幕交易、操纵证券价格及其他不正当的证券交易活动；</w:t>
      </w:r>
    </w:p>
    <w:p w:rsidR="004A3EA1" w:rsidRPr="00453203" w:rsidRDefault="006872D6" w:rsidP="00643071">
      <w:pPr>
        <w:pStyle w:val="af1"/>
        <w:adjustRightInd w:val="0"/>
        <w:snapToGrid w:val="0"/>
        <w:spacing w:line="360" w:lineRule="auto"/>
        <w:ind w:firstLine="482"/>
        <w:textAlignment w:val="baseline"/>
        <w:rPr>
          <w:rFonts w:asciiTheme="minorEastAsia" w:eastAsiaTheme="minorEastAsia" w:hAnsiTheme="minorEastAsia"/>
        </w:rPr>
      </w:pPr>
      <w:r w:rsidRPr="00453203">
        <w:rPr>
          <w:rFonts w:asciiTheme="minorEastAsia" w:eastAsiaTheme="minorEastAsia" w:hAnsiTheme="minorEastAsia" w:cs="仿宋_GB2312" w:hint="eastAsia"/>
          <w:bCs/>
          <w:kern w:val="0"/>
          <w:szCs w:val="24"/>
        </w:rPr>
        <w:t>（</w:t>
      </w:r>
      <w:r w:rsidR="004A3EA1" w:rsidRPr="00453203">
        <w:rPr>
          <w:rFonts w:asciiTheme="minorEastAsia" w:eastAsiaTheme="minorEastAsia" w:hAnsiTheme="minorEastAsia" w:hint="eastAsia"/>
        </w:rPr>
        <w:t>8</w:t>
      </w:r>
      <w:r w:rsidRPr="00453203">
        <w:rPr>
          <w:rFonts w:asciiTheme="minorEastAsia" w:eastAsiaTheme="minorEastAsia" w:hAnsiTheme="minorEastAsia" w:hint="eastAsia"/>
        </w:rPr>
        <w:t>）</w:t>
      </w:r>
      <w:r w:rsidR="004A3EA1" w:rsidRPr="00453203">
        <w:rPr>
          <w:rFonts w:asciiTheme="minorEastAsia" w:eastAsiaTheme="minorEastAsia" w:hAnsiTheme="minorEastAsia" w:hint="eastAsia"/>
        </w:rPr>
        <w:t>当时有效的法律法规、中国证监会及《基金合同》规定禁止从事的其他行为。</w:t>
      </w:r>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如</w:t>
      </w:r>
      <w:r w:rsidRPr="00453203">
        <w:rPr>
          <w:rFonts w:asciiTheme="minorEastAsia" w:eastAsiaTheme="minorEastAsia" w:hAnsiTheme="minorEastAsia"/>
          <w:szCs w:val="21"/>
        </w:rPr>
        <w:t>法律法规或监管部门</w:t>
      </w:r>
      <w:r w:rsidRPr="00453203">
        <w:rPr>
          <w:rFonts w:asciiTheme="minorEastAsia" w:eastAsiaTheme="minorEastAsia" w:hAnsiTheme="minorEastAsia" w:hint="eastAsia"/>
          <w:szCs w:val="21"/>
        </w:rPr>
        <w:t>取消上述禁止性规定，本基金管理人在履行适当程序后可不受上述规定的限制</w:t>
      </w:r>
      <w:r w:rsidRPr="00453203">
        <w:rPr>
          <w:rFonts w:asciiTheme="minorEastAsia" w:eastAsiaTheme="minorEastAsia" w:hAnsiTheme="minorEastAsia"/>
          <w:szCs w:val="21"/>
        </w:rPr>
        <w:t>。</w:t>
      </w:r>
    </w:p>
    <w:p w:rsidR="004A3EA1" w:rsidRPr="00453203" w:rsidRDefault="0022274B" w:rsidP="00643071">
      <w:pPr>
        <w:snapToGrid w:val="0"/>
        <w:spacing w:line="360" w:lineRule="auto"/>
        <w:ind w:firstLine="630"/>
        <w:rPr>
          <w:rFonts w:asciiTheme="minorEastAsia" w:eastAsiaTheme="minorEastAsia" w:hAnsiTheme="minorEastAsia"/>
          <w:szCs w:val="21"/>
        </w:rPr>
      </w:pPr>
      <w:r w:rsidRPr="00453203">
        <w:rPr>
          <w:rFonts w:asciiTheme="minorEastAsia" w:eastAsiaTheme="minorEastAsia" w:hAnsiTheme="minorEastAsia" w:hint="eastAsia"/>
          <w:szCs w:val="21"/>
        </w:rPr>
        <w:t>2、</w:t>
      </w:r>
      <w:r w:rsidR="004A3EA1" w:rsidRPr="00453203">
        <w:rPr>
          <w:rFonts w:asciiTheme="minorEastAsia" w:eastAsiaTheme="minorEastAsia" w:hAnsiTheme="minorEastAsia" w:hint="eastAsia"/>
          <w:szCs w:val="21"/>
        </w:rPr>
        <w:t>投资组合限制</w:t>
      </w:r>
    </w:p>
    <w:p w:rsidR="004A3EA1" w:rsidRPr="00453203" w:rsidRDefault="004A3EA1"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本基金的投资组合将遵循以下限制：</w:t>
      </w:r>
    </w:p>
    <w:p w:rsidR="004A3EA1" w:rsidRPr="00453203" w:rsidRDefault="006872D6"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szCs w:val="21"/>
        </w:rPr>
        <w:t>基金</w:t>
      </w:r>
      <w:r w:rsidR="004A3EA1" w:rsidRPr="00453203">
        <w:rPr>
          <w:rFonts w:asciiTheme="minorEastAsia" w:eastAsiaTheme="minorEastAsia" w:hAnsiTheme="minorEastAsia" w:hint="eastAsia"/>
          <w:szCs w:val="21"/>
        </w:rPr>
        <w:t>资产中投资于目标ETF的</w:t>
      </w:r>
      <w:r w:rsidR="004A3EA1" w:rsidRPr="00453203">
        <w:rPr>
          <w:rFonts w:asciiTheme="minorEastAsia" w:eastAsiaTheme="minorEastAsia" w:hAnsiTheme="minorEastAsia"/>
          <w:szCs w:val="21"/>
        </w:rPr>
        <w:t>比例不低于基金资产</w:t>
      </w:r>
      <w:r w:rsidR="004A3EA1" w:rsidRPr="00453203">
        <w:rPr>
          <w:rFonts w:asciiTheme="minorEastAsia" w:eastAsiaTheme="minorEastAsia" w:hAnsiTheme="minorEastAsia" w:hint="eastAsia"/>
          <w:szCs w:val="21"/>
        </w:rPr>
        <w:t>净值</w:t>
      </w:r>
      <w:r w:rsidR="004A3EA1" w:rsidRPr="00453203">
        <w:rPr>
          <w:rFonts w:asciiTheme="minorEastAsia" w:eastAsiaTheme="minorEastAsia" w:hAnsiTheme="minorEastAsia"/>
          <w:szCs w:val="21"/>
        </w:rPr>
        <w:t>的9</w:t>
      </w:r>
      <w:r w:rsidR="004A3EA1" w:rsidRPr="00453203">
        <w:rPr>
          <w:rFonts w:asciiTheme="minorEastAsia" w:eastAsiaTheme="minorEastAsia" w:hAnsiTheme="minorEastAsia" w:hint="eastAsia"/>
          <w:szCs w:val="21"/>
        </w:rPr>
        <w:t>0</w:t>
      </w:r>
      <w:r w:rsidR="004A3EA1" w:rsidRPr="00453203">
        <w:rPr>
          <w:rFonts w:asciiTheme="minorEastAsia" w:eastAsiaTheme="minorEastAsia" w:hAnsiTheme="minorEastAsia"/>
          <w:szCs w:val="21"/>
        </w:rPr>
        <w:t>%</w:t>
      </w:r>
      <w:r w:rsidR="004A3EA1" w:rsidRPr="00453203">
        <w:rPr>
          <w:rFonts w:asciiTheme="minorEastAsia" w:eastAsiaTheme="minorEastAsia" w:hAnsiTheme="minorEastAsia" w:hint="eastAsia"/>
          <w:szCs w:val="21"/>
        </w:rPr>
        <w:t>；</w:t>
      </w:r>
    </w:p>
    <w:p w:rsidR="00F734BE" w:rsidRPr="00453203" w:rsidRDefault="006872D6"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本基金进入全国银行间同业市场进行债券回购的资金余额不得超过基金资产净值的40%</w:t>
      </w:r>
      <w:r w:rsidR="00F734BE" w:rsidRPr="00453203">
        <w:rPr>
          <w:rFonts w:asciiTheme="minorEastAsia" w:eastAsiaTheme="minorEastAsia" w:hAnsiTheme="minorEastAsia" w:hint="eastAsia"/>
          <w:szCs w:val="21"/>
        </w:rPr>
        <w:t>，在全国银行间同业市场中的债券回购最长期限为1年，债券回购到期后不展期；</w:t>
      </w:r>
    </w:p>
    <w:p w:rsidR="004A3EA1" w:rsidRPr="00453203" w:rsidRDefault="006872D6"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3</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本基金财产参与股票发行申购，所申报的金额不得超过本基金的总资产，所申报的股票数量不得超过拟发行股票公司本次发行股票的总量；</w:t>
      </w:r>
    </w:p>
    <w:p w:rsidR="004A3EA1" w:rsidRPr="00453203" w:rsidRDefault="006872D6"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4</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本基金不得违反《基金合同》关于投资范围和投资比例的约定；</w:t>
      </w:r>
    </w:p>
    <w:p w:rsidR="003B2D76" w:rsidRPr="00453203" w:rsidRDefault="006872D6"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5</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本基金投资于股指期货的，</w:t>
      </w:r>
      <w:r w:rsidR="004A3EA1" w:rsidRPr="00453203">
        <w:rPr>
          <w:rFonts w:asciiTheme="minorEastAsia" w:eastAsiaTheme="minorEastAsia" w:hAnsiTheme="minorEastAsia"/>
          <w:szCs w:val="21"/>
        </w:rPr>
        <w:t>在任何交易日日终，持有的买入股指期货合约价值，不得超过基金资产净值的10%</w:t>
      </w:r>
      <w:r w:rsidR="004A3EA1" w:rsidRPr="00453203">
        <w:rPr>
          <w:rFonts w:asciiTheme="minorEastAsia" w:eastAsiaTheme="minorEastAsia" w:hAnsiTheme="minorEastAsia" w:hint="eastAsia"/>
          <w:szCs w:val="21"/>
        </w:rPr>
        <w:t>；在任何交易日日终，持有的买入期货合约价值与有价证券市值之和,不得超过基金资产净值的100%，</w:t>
      </w:r>
      <w:r w:rsidR="004A3EA1" w:rsidRPr="00453203">
        <w:rPr>
          <w:rFonts w:asciiTheme="minorEastAsia" w:eastAsiaTheme="minorEastAsia" w:hAnsiTheme="minorEastAsia"/>
          <w:szCs w:val="21"/>
        </w:rPr>
        <w:t>其中，有价证券指股票、债券（不含到期日在一年以内的政府债券）、权证、资产支持证券、买入返售金融资产（不含质押式回购）等</w:t>
      </w:r>
      <w:r w:rsidR="004A3EA1" w:rsidRPr="00453203">
        <w:rPr>
          <w:rFonts w:asciiTheme="minorEastAsia" w:eastAsiaTheme="minorEastAsia" w:hAnsiTheme="minorEastAsia" w:hint="eastAsia"/>
          <w:szCs w:val="21"/>
        </w:rPr>
        <w:t>；基金在任何交易日日终，持有的卖出期货合约价值不得超过基金持有的股票总市值的20%；</w:t>
      </w:r>
      <w:r w:rsidR="004A3EA1" w:rsidRPr="00453203">
        <w:rPr>
          <w:rFonts w:asciiTheme="minorEastAsia" w:eastAsiaTheme="minorEastAsia" w:hAnsiTheme="minorEastAsia"/>
          <w:szCs w:val="21"/>
        </w:rPr>
        <w:t>在任何交易日内交易（不包括平仓）的股指期货合约的成交金额不得超过上一交易日基金资产净值的20%</w:t>
      </w:r>
      <w:r w:rsidR="004A3EA1" w:rsidRPr="00453203">
        <w:rPr>
          <w:rFonts w:asciiTheme="minorEastAsia" w:eastAsiaTheme="minorEastAsia" w:hAnsiTheme="minorEastAsia" w:hint="eastAsia"/>
          <w:szCs w:val="21"/>
        </w:rPr>
        <w:t>；</w:t>
      </w:r>
    </w:p>
    <w:p w:rsidR="004A3EA1" w:rsidRPr="00453203" w:rsidRDefault="003B2D76"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（6）</w:t>
      </w:r>
      <w:r w:rsidR="004A3EA1" w:rsidRPr="00453203">
        <w:rPr>
          <w:rFonts w:asciiTheme="minorEastAsia" w:eastAsiaTheme="minorEastAsia" w:hAnsiTheme="minorEastAsia" w:hint="eastAsia"/>
          <w:szCs w:val="21"/>
        </w:rPr>
        <w:t>每个交易日日终在扣除股指期货合约需缴纳的交易保证金后，</w:t>
      </w:r>
      <w:r w:rsidR="004A3EA1" w:rsidRPr="00453203">
        <w:rPr>
          <w:rFonts w:asciiTheme="minorEastAsia" w:eastAsiaTheme="minorEastAsia" w:hAnsiTheme="minorEastAsia"/>
          <w:szCs w:val="21"/>
        </w:rPr>
        <w:t>应当保持不低于</w:t>
      </w:r>
      <w:r w:rsidR="004A3EA1" w:rsidRPr="00453203">
        <w:rPr>
          <w:rFonts w:asciiTheme="minorEastAsia" w:eastAsiaTheme="minorEastAsia" w:hAnsiTheme="minorEastAsia"/>
          <w:szCs w:val="21"/>
        </w:rPr>
        <w:lastRenderedPageBreak/>
        <w:t>基金资产净值5%的现金或到期日在一年以内的政府债券</w:t>
      </w:r>
      <w:r w:rsidRPr="00453203">
        <w:rPr>
          <w:rFonts w:asciiTheme="minorEastAsia" w:eastAsiaTheme="minorEastAsia" w:hAnsiTheme="minorEastAsia" w:hint="eastAsia"/>
          <w:szCs w:val="21"/>
        </w:rPr>
        <w:t>，现金不包括结算备付金、存出保证金、应收申购款等</w:t>
      </w:r>
      <w:r w:rsidRPr="00453203">
        <w:rPr>
          <w:rFonts w:asciiTheme="minorEastAsia" w:eastAsiaTheme="minorEastAsia" w:hAnsiTheme="minorEastAsia"/>
          <w:szCs w:val="21"/>
        </w:rPr>
        <w:t>；</w:t>
      </w:r>
    </w:p>
    <w:p w:rsidR="00F734BE" w:rsidRPr="00453203" w:rsidRDefault="00752333"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w:t>
      </w:r>
      <w:r w:rsidR="003B2D76" w:rsidRPr="00453203">
        <w:rPr>
          <w:rFonts w:asciiTheme="minorEastAsia" w:eastAsiaTheme="minorEastAsia" w:hAnsiTheme="minorEastAsia" w:hint="eastAsia"/>
          <w:szCs w:val="21"/>
        </w:rPr>
        <w:t>7</w:t>
      </w:r>
      <w:r w:rsidRPr="00453203">
        <w:rPr>
          <w:rFonts w:asciiTheme="minorEastAsia" w:eastAsiaTheme="minorEastAsia" w:hAnsiTheme="minorEastAsia" w:hint="eastAsia"/>
          <w:szCs w:val="21"/>
        </w:rPr>
        <w:t>）</w:t>
      </w:r>
      <w:r w:rsidR="00F734BE" w:rsidRPr="00453203">
        <w:rPr>
          <w:rFonts w:asciiTheme="minorEastAsia" w:eastAsiaTheme="minorEastAsia" w:hAnsiTheme="minorEastAsia" w:hint="eastAsia"/>
          <w:szCs w:val="21"/>
        </w:rPr>
        <w:t>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3B2D76" w:rsidRPr="00453203" w:rsidRDefault="003B2D76" w:rsidP="003B2D76">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（8）本基金主动投资于流动性受限资产的市值合计不得超过本基金资产净值的15%。</w:t>
      </w:r>
    </w:p>
    <w:p w:rsidR="003B2D76" w:rsidRPr="00453203" w:rsidRDefault="003B2D76" w:rsidP="003B2D76">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3B2D76" w:rsidRPr="00453203" w:rsidRDefault="003B2D76" w:rsidP="003B2D76">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（9）本基金与私募类证券资管产品及中国证监会认定的其他主体为交易对手开展逆回购交易的，可接受质押品的资质要求应当与基金合同约定的投资范围保持一致；</w:t>
      </w:r>
    </w:p>
    <w:p w:rsidR="004A3EA1" w:rsidRPr="00453203" w:rsidRDefault="00752333"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w:t>
      </w:r>
      <w:r w:rsidR="006D2F19" w:rsidRPr="00453203">
        <w:rPr>
          <w:rFonts w:asciiTheme="minorEastAsia" w:eastAsiaTheme="minorEastAsia" w:hAnsiTheme="minorEastAsia"/>
          <w:szCs w:val="21"/>
        </w:rPr>
        <w:t>10</w:t>
      </w:r>
      <w:r w:rsidRPr="00453203">
        <w:rPr>
          <w:rFonts w:asciiTheme="minorEastAsia" w:eastAsiaTheme="minorEastAsia" w:hAnsiTheme="minorEastAsia" w:hint="eastAsia"/>
          <w:szCs w:val="21"/>
        </w:rPr>
        <w:t>）</w:t>
      </w:r>
      <w:r w:rsidR="004A3EA1" w:rsidRPr="00453203">
        <w:rPr>
          <w:rFonts w:asciiTheme="minorEastAsia" w:eastAsiaTheme="minorEastAsia" w:hAnsiTheme="minorEastAsia" w:hint="eastAsia"/>
          <w:szCs w:val="21"/>
        </w:rPr>
        <w:t>相关法律法规以及监管部门规定的其它投资限制。</w:t>
      </w:r>
    </w:p>
    <w:p w:rsidR="004A3EA1" w:rsidRPr="00453203" w:rsidRDefault="004A3EA1"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如</w:t>
      </w:r>
      <w:r w:rsidRPr="00453203">
        <w:rPr>
          <w:rFonts w:asciiTheme="minorEastAsia" w:eastAsiaTheme="minorEastAsia" w:hAnsiTheme="minorEastAsia"/>
          <w:szCs w:val="21"/>
        </w:rPr>
        <w:t>法律法规或监管部门</w:t>
      </w:r>
      <w:r w:rsidRPr="00453203">
        <w:rPr>
          <w:rFonts w:asciiTheme="minorEastAsia" w:eastAsiaTheme="minorEastAsia" w:hAnsiTheme="minorEastAsia" w:hint="eastAsia"/>
          <w:szCs w:val="21"/>
        </w:rPr>
        <w:t>取消上述限制性规定，履行适当程序后，本基金不受上述规定的限制</w:t>
      </w:r>
      <w:r w:rsidRPr="00453203">
        <w:rPr>
          <w:rFonts w:asciiTheme="minorEastAsia" w:eastAsiaTheme="minorEastAsia" w:hAnsiTheme="minorEastAsia"/>
          <w:szCs w:val="21"/>
        </w:rPr>
        <w:t>。</w:t>
      </w:r>
    </w:p>
    <w:p w:rsidR="004A3EA1" w:rsidRPr="00453203" w:rsidRDefault="004A3EA1"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如有法律法规或监管机构允许本基金投资的其他品种，投资比例将遵从法律法规或监管部门的规定。</w:t>
      </w:r>
    </w:p>
    <w:p w:rsidR="004A3EA1" w:rsidRPr="00453203" w:rsidRDefault="003B2D76"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hint="eastAsia"/>
          <w:szCs w:val="21"/>
        </w:rPr>
        <w:t>除上述（3）、（6）、（8）、（9）项以外，</w:t>
      </w:r>
      <w:r w:rsidR="004A3EA1" w:rsidRPr="00453203">
        <w:rPr>
          <w:rFonts w:asciiTheme="minorEastAsia" w:eastAsiaTheme="minorEastAsia" w:hAnsiTheme="minorEastAsia"/>
          <w:szCs w:val="21"/>
        </w:rPr>
        <w:t>由于</w:t>
      </w:r>
      <w:r w:rsidR="004A3EA1" w:rsidRPr="00453203">
        <w:rPr>
          <w:rFonts w:asciiTheme="minorEastAsia" w:eastAsiaTheme="minorEastAsia" w:hAnsiTheme="minorEastAsia" w:hint="eastAsia"/>
          <w:szCs w:val="21"/>
        </w:rPr>
        <w:t>证券市场波动、上市公司合并</w:t>
      </w:r>
      <w:r w:rsidR="004A3EA1" w:rsidRPr="00453203">
        <w:rPr>
          <w:rFonts w:asciiTheme="minorEastAsia" w:eastAsiaTheme="minorEastAsia" w:hAnsiTheme="minorEastAsia"/>
          <w:szCs w:val="21"/>
        </w:rPr>
        <w:t>或</w:t>
      </w:r>
      <w:r w:rsidR="004A3EA1" w:rsidRPr="00453203">
        <w:rPr>
          <w:rFonts w:asciiTheme="minorEastAsia" w:eastAsiaTheme="minorEastAsia" w:hAnsiTheme="minorEastAsia" w:hint="eastAsia"/>
          <w:szCs w:val="21"/>
        </w:rPr>
        <w:t>基金规模变动等基金管理人之外的原因</w:t>
      </w:r>
      <w:r w:rsidR="004A3EA1" w:rsidRPr="00453203">
        <w:rPr>
          <w:rFonts w:asciiTheme="minorEastAsia" w:eastAsiaTheme="minorEastAsia" w:hAnsiTheme="minorEastAsia"/>
          <w:szCs w:val="21"/>
        </w:rPr>
        <w:t>导致的投资组合</w:t>
      </w:r>
      <w:r w:rsidR="004A3EA1" w:rsidRPr="00453203">
        <w:rPr>
          <w:rFonts w:asciiTheme="minorEastAsia" w:eastAsiaTheme="minorEastAsia" w:hAnsiTheme="minorEastAsia" w:hint="eastAsia"/>
          <w:szCs w:val="21"/>
        </w:rPr>
        <w:t>不符合</w:t>
      </w:r>
      <w:r w:rsidR="004A3EA1" w:rsidRPr="00453203">
        <w:rPr>
          <w:rFonts w:asciiTheme="minorEastAsia" w:eastAsiaTheme="minorEastAsia" w:hAnsiTheme="minorEastAsia"/>
          <w:szCs w:val="21"/>
        </w:rPr>
        <w:t>上述约定的比例</w:t>
      </w:r>
      <w:r w:rsidR="00D1064A" w:rsidRPr="00453203">
        <w:rPr>
          <w:rFonts w:asciiTheme="minorEastAsia" w:eastAsiaTheme="minorEastAsia" w:hAnsiTheme="minorEastAsia" w:hint="eastAsia"/>
          <w:szCs w:val="21"/>
        </w:rPr>
        <w:t>，</w:t>
      </w:r>
      <w:r w:rsidR="004A3EA1" w:rsidRPr="00453203">
        <w:rPr>
          <w:rFonts w:asciiTheme="minorEastAsia" w:eastAsiaTheme="minorEastAsia" w:hAnsiTheme="minorEastAsia"/>
          <w:szCs w:val="21"/>
        </w:rPr>
        <w:t>不在限制之内，但基金管理人应在</w:t>
      </w:r>
      <w:r w:rsidR="004A3EA1" w:rsidRPr="00453203">
        <w:rPr>
          <w:rFonts w:asciiTheme="minorEastAsia" w:eastAsiaTheme="minorEastAsia" w:hAnsiTheme="minorEastAsia" w:hint="eastAsia"/>
          <w:szCs w:val="21"/>
        </w:rPr>
        <w:t>10个交易日</w:t>
      </w:r>
      <w:r w:rsidR="004A3EA1" w:rsidRPr="00453203">
        <w:rPr>
          <w:rFonts w:asciiTheme="minorEastAsia" w:eastAsiaTheme="minorEastAsia" w:hAnsiTheme="minorEastAsia"/>
          <w:szCs w:val="21"/>
        </w:rPr>
        <w:t>内进行调整，以达到标准</w:t>
      </w:r>
      <w:r w:rsidR="004A3EA1" w:rsidRPr="00453203">
        <w:rPr>
          <w:rFonts w:asciiTheme="minorEastAsia" w:eastAsiaTheme="minorEastAsia" w:hAnsiTheme="minorEastAsia" w:hint="eastAsia"/>
          <w:szCs w:val="21"/>
        </w:rPr>
        <w:t>。法律法规另有规定的从其规定。</w:t>
      </w:r>
    </w:p>
    <w:p w:rsidR="004A3EA1" w:rsidRPr="00453203" w:rsidRDefault="004A3EA1" w:rsidP="00643071">
      <w:pPr>
        <w:snapToGrid w:val="0"/>
        <w:spacing w:line="360" w:lineRule="auto"/>
        <w:ind w:firstLineChars="300" w:firstLine="630"/>
        <w:rPr>
          <w:rFonts w:asciiTheme="minorEastAsia" w:eastAsiaTheme="minorEastAsia" w:hAnsiTheme="minorEastAsia"/>
          <w:szCs w:val="21"/>
        </w:rPr>
      </w:pPr>
      <w:r w:rsidRPr="00453203">
        <w:rPr>
          <w:rFonts w:asciiTheme="minorEastAsia" w:eastAsiaTheme="minorEastAsia" w:hAnsiTheme="minorEastAsia"/>
          <w:szCs w:val="21"/>
        </w:rPr>
        <w:t>基金管理人应当自基金合同生效之日起</w:t>
      </w:r>
      <w:r w:rsidRPr="00453203">
        <w:rPr>
          <w:rFonts w:asciiTheme="minorEastAsia" w:eastAsiaTheme="minorEastAsia" w:hAnsiTheme="minorEastAsia" w:hint="eastAsia"/>
          <w:szCs w:val="21"/>
        </w:rPr>
        <w:t>6</w:t>
      </w:r>
      <w:r w:rsidRPr="00453203">
        <w:rPr>
          <w:rFonts w:asciiTheme="minorEastAsia" w:eastAsiaTheme="minorEastAsia" w:hAnsiTheme="minorEastAsia"/>
          <w:szCs w:val="21"/>
        </w:rPr>
        <w:t>个月内使基金的投资组合比例符合基金合同的有关约定。</w:t>
      </w:r>
      <w:r w:rsidRPr="00453203">
        <w:rPr>
          <w:rFonts w:asciiTheme="minorEastAsia" w:eastAsiaTheme="minorEastAsia" w:hAnsiTheme="minorEastAsia" w:hint="eastAsia"/>
          <w:szCs w:val="21"/>
        </w:rPr>
        <w:t>基金托管人对基金的投资的监督与检查自</w:t>
      </w:r>
      <w:r w:rsidR="00BC5337" w:rsidRPr="00453203">
        <w:rPr>
          <w:rFonts w:asciiTheme="minorEastAsia" w:eastAsiaTheme="minorEastAsia" w:hAnsiTheme="minorEastAsia" w:hint="eastAsia"/>
          <w:szCs w:val="21"/>
        </w:rPr>
        <w:t>基金合同</w:t>
      </w:r>
      <w:r w:rsidRPr="00453203">
        <w:rPr>
          <w:rFonts w:asciiTheme="minorEastAsia" w:eastAsiaTheme="minorEastAsia" w:hAnsiTheme="minorEastAsia" w:hint="eastAsia"/>
          <w:szCs w:val="21"/>
        </w:rPr>
        <w:t>生效之日起开始。</w:t>
      </w:r>
    </w:p>
    <w:p w:rsidR="004A3EA1" w:rsidRPr="00453203" w:rsidRDefault="00873E1F" w:rsidP="00741477">
      <w:pPr>
        <w:pStyle w:val="20"/>
        <w:snapToGrid w:val="0"/>
        <w:spacing w:beforeLines="0" w:afterLines="0" w:line="360" w:lineRule="auto"/>
        <w:ind w:firstLine="422"/>
        <w:rPr>
          <w:rFonts w:asciiTheme="minorEastAsia" w:eastAsiaTheme="minorEastAsia" w:hAnsiTheme="minorEastAsia"/>
          <w:sz w:val="21"/>
          <w:szCs w:val="21"/>
        </w:rPr>
      </w:pPr>
      <w:bookmarkStart w:id="123" w:name="_Toc34834724"/>
      <w:r w:rsidRPr="00453203">
        <w:rPr>
          <w:rFonts w:asciiTheme="minorEastAsia" w:eastAsiaTheme="minorEastAsia" w:hAnsiTheme="minorEastAsia" w:hint="eastAsia"/>
          <w:sz w:val="21"/>
          <w:szCs w:val="21"/>
        </w:rPr>
        <w:t>（七）</w:t>
      </w:r>
      <w:r w:rsidR="004A3EA1" w:rsidRPr="00453203">
        <w:rPr>
          <w:rFonts w:asciiTheme="minorEastAsia" w:eastAsiaTheme="minorEastAsia" w:hAnsiTheme="minorEastAsia" w:hint="eastAsia"/>
          <w:sz w:val="21"/>
          <w:szCs w:val="21"/>
        </w:rPr>
        <w:t>业绩比较基准</w:t>
      </w:r>
      <w:bookmarkEnd w:id="123"/>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创业板</w:t>
      </w:r>
      <w:r w:rsidRPr="00453203">
        <w:rPr>
          <w:rFonts w:asciiTheme="minorEastAsia" w:eastAsiaTheme="minorEastAsia" w:hAnsiTheme="minorEastAsia"/>
          <w:szCs w:val="21"/>
        </w:rPr>
        <w:t>指数</w:t>
      </w:r>
      <w:r w:rsidRPr="00453203">
        <w:rPr>
          <w:rFonts w:asciiTheme="minorEastAsia" w:eastAsiaTheme="minorEastAsia" w:hAnsiTheme="minorEastAsia" w:hint="eastAsia"/>
          <w:szCs w:val="21"/>
        </w:rPr>
        <w:t>收益率X95%+活期存款利率(税后)X5%</w:t>
      </w:r>
      <w:r w:rsidRPr="00453203">
        <w:rPr>
          <w:rFonts w:asciiTheme="minorEastAsia" w:eastAsiaTheme="minorEastAsia" w:hAnsiTheme="minorEastAsia"/>
          <w:szCs w:val="21"/>
        </w:rPr>
        <w:t>。</w:t>
      </w:r>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如果</w:t>
      </w:r>
      <w:r w:rsidRPr="00453203">
        <w:rPr>
          <w:rFonts w:asciiTheme="minorEastAsia" w:eastAsiaTheme="minorEastAsia" w:hAnsiTheme="minorEastAsia" w:hint="eastAsia"/>
          <w:szCs w:val="21"/>
        </w:rPr>
        <w:t>创业板ETF变更业绩比较基准、或创业板</w:t>
      </w:r>
      <w:r w:rsidRPr="00453203">
        <w:rPr>
          <w:rFonts w:asciiTheme="minorEastAsia" w:eastAsiaTheme="minorEastAsia" w:hAnsiTheme="minorEastAsia"/>
          <w:szCs w:val="21"/>
        </w:rPr>
        <w:t>指数编制单位变更或停止</w:t>
      </w:r>
      <w:r w:rsidRPr="00453203">
        <w:rPr>
          <w:rFonts w:asciiTheme="minorEastAsia" w:eastAsiaTheme="minorEastAsia" w:hAnsiTheme="minorEastAsia" w:hint="eastAsia"/>
          <w:szCs w:val="21"/>
        </w:rPr>
        <w:t>创业板</w:t>
      </w:r>
      <w:r w:rsidRPr="00453203">
        <w:rPr>
          <w:rFonts w:asciiTheme="minorEastAsia" w:eastAsiaTheme="minorEastAsia" w:hAnsiTheme="minorEastAsia"/>
          <w:szCs w:val="21"/>
        </w:rPr>
        <w:t>指数的编制及发布</w:t>
      </w:r>
      <w:r w:rsidRPr="00453203">
        <w:rPr>
          <w:rFonts w:asciiTheme="minorEastAsia" w:eastAsiaTheme="minorEastAsia" w:hAnsiTheme="minorEastAsia" w:hint="eastAsia"/>
          <w:szCs w:val="21"/>
        </w:rPr>
        <w:t>或授权</w:t>
      </w:r>
      <w:r w:rsidRPr="00453203">
        <w:rPr>
          <w:rFonts w:asciiTheme="minorEastAsia" w:eastAsiaTheme="minorEastAsia" w:hAnsiTheme="minorEastAsia"/>
          <w:szCs w:val="21"/>
        </w:rPr>
        <w:t>、或</w:t>
      </w:r>
      <w:r w:rsidRPr="00453203">
        <w:rPr>
          <w:rFonts w:asciiTheme="minorEastAsia" w:eastAsiaTheme="minorEastAsia" w:hAnsiTheme="minorEastAsia" w:hint="eastAsia"/>
          <w:szCs w:val="21"/>
        </w:rPr>
        <w:t>创业板</w:t>
      </w:r>
      <w:r w:rsidRPr="00453203">
        <w:rPr>
          <w:rFonts w:asciiTheme="minorEastAsia" w:eastAsiaTheme="minorEastAsia" w:hAnsiTheme="minorEastAsia"/>
          <w:szCs w:val="21"/>
        </w:rPr>
        <w:t>指数由其他指数替代、或</w:t>
      </w:r>
      <w:r w:rsidRPr="00453203">
        <w:rPr>
          <w:rFonts w:asciiTheme="minorEastAsia" w:eastAsiaTheme="minorEastAsia" w:hAnsiTheme="minorEastAsia" w:hint="eastAsia"/>
          <w:szCs w:val="21"/>
        </w:rPr>
        <w:t>创业板</w:t>
      </w:r>
      <w:r w:rsidRPr="00453203">
        <w:rPr>
          <w:rFonts w:asciiTheme="minorEastAsia" w:eastAsiaTheme="minorEastAsia" w:hAnsiTheme="minorEastAsia"/>
          <w:szCs w:val="21"/>
        </w:rPr>
        <w:t>指数编制方法</w:t>
      </w:r>
      <w:r w:rsidRPr="00453203">
        <w:rPr>
          <w:rFonts w:asciiTheme="minorEastAsia" w:eastAsiaTheme="minorEastAsia" w:hAnsiTheme="minorEastAsia" w:hint="eastAsia"/>
          <w:szCs w:val="21"/>
        </w:rPr>
        <w:t>发生</w:t>
      </w:r>
      <w:r w:rsidRPr="00453203">
        <w:rPr>
          <w:rFonts w:asciiTheme="minorEastAsia" w:eastAsiaTheme="minorEastAsia" w:hAnsiTheme="minorEastAsia"/>
          <w:szCs w:val="21"/>
        </w:rPr>
        <w:t>重大变更导致</w:t>
      </w:r>
      <w:r w:rsidRPr="00453203">
        <w:rPr>
          <w:rFonts w:asciiTheme="minorEastAsia" w:eastAsiaTheme="minorEastAsia" w:hAnsiTheme="minorEastAsia" w:hint="eastAsia"/>
          <w:szCs w:val="21"/>
        </w:rPr>
        <w:t>基金管理人认为该</w:t>
      </w:r>
      <w:r w:rsidRPr="00453203">
        <w:rPr>
          <w:rFonts w:asciiTheme="minorEastAsia" w:eastAsiaTheme="minorEastAsia" w:hAnsiTheme="minorEastAsia"/>
          <w:szCs w:val="21"/>
        </w:rPr>
        <w:t>指数不宜继续作为</w:t>
      </w:r>
      <w:r w:rsidRPr="00453203">
        <w:rPr>
          <w:rFonts w:asciiTheme="minorEastAsia" w:eastAsiaTheme="minorEastAsia" w:hAnsiTheme="minorEastAsia" w:hint="eastAsia"/>
          <w:szCs w:val="21"/>
        </w:rPr>
        <w:t>业绩比较基准的组成部分，</w:t>
      </w:r>
      <w:r w:rsidRPr="00453203">
        <w:rPr>
          <w:rFonts w:asciiTheme="minorEastAsia" w:eastAsiaTheme="minorEastAsia" w:hAnsiTheme="minorEastAsia"/>
          <w:szCs w:val="21"/>
        </w:rPr>
        <w:t>本基金管理人可以依据维护投资者合法权益的原则，</w:t>
      </w:r>
      <w:r w:rsidRPr="00453203">
        <w:rPr>
          <w:rFonts w:asciiTheme="minorEastAsia" w:eastAsiaTheme="minorEastAsia" w:hAnsiTheme="minorEastAsia" w:hint="eastAsia"/>
          <w:szCs w:val="21"/>
        </w:rPr>
        <w:t>变更本基金基金名称、调整</w:t>
      </w:r>
      <w:r w:rsidRPr="00453203">
        <w:rPr>
          <w:rFonts w:asciiTheme="minorEastAsia" w:eastAsiaTheme="minorEastAsia" w:hAnsiTheme="minorEastAsia"/>
          <w:szCs w:val="21"/>
        </w:rPr>
        <w:t>业绩比较基准并及时公告。</w:t>
      </w:r>
    </w:p>
    <w:p w:rsidR="004A3EA1" w:rsidRPr="00453203" w:rsidRDefault="00873E1F" w:rsidP="00741477">
      <w:pPr>
        <w:pStyle w:val="20"/>
        <w:snapToGrid w:val="0"/>
        <w:spacing w:beforeLines="0" w:afterLines="0" w:line="360" w:lineRule="auto"/>
        <w:ind w:firstLine="422"/>
        <w:rPr>
          <w:rFonts w:asciiTheme="minorEastAsia" w:eastAsiaTheme="minorEastAsia" w:hAnsiTheme="minorEastAsia"/>
          <w:sz w:val="21"/>
          <w:szCs w:val="21"/>
        </w:rPr>
      </w:pPr>
      <w:bookmarkStart w:id="124" w:name="_Toc34834725"/>
      <w:r w:rsidRPr="00453203">
        <w:rPr>
          <w:rFonts w:asciiTheme="minorEastAsia" w:eastAsiaTheme="minorEastAsia" w:hAnsiTheme="minorEastAsia" w:hint="eastAsia"/>
          <w:sz w:val="21"/>
          <w:szCs w:val="21"/>
        </w:rPr>
        <w:t>（八）</w:t>
      </w:r>
      <w:r w:rsidR="004A3EA1" w:rsidRPr="00453203">
        <w:rPr>
          <w:rFonts w:asciiTheme="minorEastAsia" w:eastAsiaTheme="minorEastAsia" w:hAnsiTheme="minorEastAsia" w:hint="eastAsia"/>
          <w:sz w:val="21"/>
          <w:szCs w:val="21"/>
        </w:rPr>
        <w:t>风险收益特征</w:t>
      </w:r>
      <w:bookmarkEnd w:id="124"/>
    </w:p>
    <w:p w:rsidR="004A3EA1" w:rsidRPr="00453203" w:rsidRDefault="00E26A3C"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本基金为创业板ETF的联接基金，其预期风险收益水平高于混合型基金、债券基金和货币市场基金；</w:t>
      </w:r>
      <w:r w:rsidR="000E7A48" w:rsidRPr="00453203">
        <w:rPr>
          <w:rFonts w:asciiTheme="minorEastAsia" w:eastAsiaTheme="minorEastAsia" w:hAnsiTheme="minorEastAsia" w:hint="eastAsia"/>
          <w:szCs w:val="21"/>
        </w:rPr>
        <w:t>本基金</w:t>
      </w:r>
      <w:r w:rsidR="004A3EA1" w:rsidRPr="00453203">
        <w:rPr>
          <w:rFonts w:asciiTheme="minorEastAsia" w:eastAsiaTheme="minorEastAsia" w:hAnsiTheme="minorEastAsia" w:hint="eastAsia"/>
          <w:szCs w:val="21"/>
        </w:rPr>
        <w:t>主要通过投资创业板ETF</w:t>
      </w:r>
      <w:r w:rsidR="000E7A48" w:rsidRPr="00453203">
        <w:rPr>
          <w:rFonts w:asciiTheme="minorEastAsia" w:eastAsiaTheme="minorEastAsia" w:hAnsiTheme="minorEastAsia" w:hint="eastAsia"/>
          <w:szCs w:val="21"/>
        </w:rPr>
        <w:t>追踪</w:t>
      </w:r>
      <w:r w:rsidR="004A3EA1" w:rsidRPr="00453203">
        <w:rPr>
          <w:rFonts w:asciiTheme="minorEastAsia" w:eastAsiaTheme="minorEastAsia" w:hAnsiTheme="minorEastAsia" w:hint="eastAsia"/>
          <w:szCs w:val="21"/>
        </w:rPr>
        <w:t>业绩比较基准</w:t>
      </w:r>
      <w:r w:rsidR="00C678A0" w:rsidRPr="00453203">
        <w:rPr>
          <w:rFonts w:asciiTheme="minorEastAsia" w:eastAsiaTheme="minorEastAsia" w:hAnsiTheme="minorEastAsia" w:hint="eastAsia"/>
          <w:szCs w:val="21"/>
        </w:rPr>
        <w:t>，具有与业绩比较基准相似的风险收益特征</w:t>
      </w:r>
      <w:r w:rsidR="004A3EA1" w:rsidRPr="00453203">
        <w:rPr>
          <w:rFonts w:asciiTheme="minorEastAsia" w:eastAsiaTheme="minorEastAsia" w:hAnsiTheme="minorEastAsia" w:hint="eastAsia"/>
          <w:szCs w:val="21"/>
        </w:rPr>
        <w:t>。</w:t>
      </w:r>
    </w:p>
    <w:p w:rsidR="004A3EA1" w:rsidRPr="00453203" w:rsidRDefault="00873E1F" w:rsidP="00741477">
      <w:pPr>
        <w:pStyle w:val="20"/>
        <w:snapToGrid w:val="0"/>
        <w:spacing w:beforeLines="0" w:afterLines="0" w:line="360" w:lineRule="auto"/>
        <w:ind w:firstLine="422"/>
        <w:rPr>
          <w:rFonts w:asciiTheme="minorEastAsia" w:eastAsiaTheme="minorEastAsia" w:hAnsiTheme="minorEastAsia"/>
          <w:sz w:val="21"/>
          <w:szCs w:val="21"/>
        </w:rPr>
      </w:pPr>
      <w:bookmarkStart w:id="125" w:name="_Toc34834726"/>
      <w:r w:rsidRPr="00453203">
        <w:rPr>
          <w:rFonts w:asciiTheme="minorEastAsia" w:eastAsiaTheme="minorEastAsia" w:hAnsiTheme="minorEastAsia" w:hint="eastAsia"/>
          <w:sz w:val="21"/>
          <w:szCs w:val="21"/>
        </w:rPr>
        <w:t>（九）</w:t>
      </w:r>
      <w:r w:rsidR="004A3EA1" w:rsidRPr="00453203">
        <w:rPr>
          <w:rFonts w:asciiTheme="minorEastAsia" w:eastAsiaTheme="minorEastAsia" w:hAnsiTheme="minorEastAsia" w:hint="eastAsia"/>
          <w:sz w:val="21"/>
          <w:szCs w:val="21"/>
        </w:rPr>
        <w:t>基金管理人代表基金行</w:t>
      </w:r>
      <w:r w:rsidR="009571D7" w:rsidRPr="00453203">
        <w:rPr>
          <w:rFonts w:asciiTheme="minorEastAsia" w:eastAsiaTheme="minorEastAsia" w:hAnsiTheme="minorEastAsia" w:hint="eastAsia"/>
          <w:sz w:val="21"/>
          <w:szCs w:val="21"/>
        </w:rPr>
        <w:t>使所投资证券产生权利</w:t>
      </w:r>
      <w:r w:rsidR="004A3EA1" w:rsidRPr="00453203">
        <w:rPr>
          <w:rFonts w:asciiTheme="minorEastAsia" w:eastAsiaTheme="minorEastAsia" w:hAnsiTheme="minorEastAsia" w:hint="eastAsia"/>
          <w:sz w:val="21"/>
          <w:szCs w:val="21"/>
        </w:rPr>
        <w:t>的处理原则及方法</w:t>
      </w:r>
      <w:bookmarkEnd w:id="125"/>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1、不谋求对上市公司的控股，不参与所投资上市公司的经营管理；</w:t>
      </w:r>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2、有利于基金资产的安全与增值；</w:t>
      </w:r>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3、基金管理人按照国家有关规定代表基金独立行使股东权利，保护基金份额持有人的利益。</w:t>
      </w:r>
    </w:p>
    <w:p w:rsidR="004A3EA1" w:rsidRPr="00453203" w:rsidRDefault="004A3EA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4、基金管理人按照国家有关规定代表基金独立行使债权人权利，保护基金份额持有人的利益。</w:t>
      </w:r>
    </w:p>
    <w:p w:rsidR="004A3EA1" w:rsidRPr="00453203" w:rsidRDefault="0051786F" w:rsidP="00741477">
      <w:pPr>
        <w:pStyle w:val="20"/>
        <w:snapToGrid w:val="0"/>
        <w:spacing w:beforeLines="0" w:afterLines="0" w:line="360" w:lineRule="auto"/>
        <w:ind w:firstLine="422"/>
        <w:rPr>
          <w:rFonts w:asciiTheme="minorEastAsia" w:eastAsiaTheme="minorEastAsia" w:hAnsiTheme="minorEastAsia"/>
          <w:sz w:val="21"/>
          <w:szCs w:val="21"/>
        </w:rPr>
      </w:pPr>
      <w:bookmarkStart w:id="126" w:name="_Toc34834727"/>
      <w:r w:rsidRPr="00453203">
        <w:rPr>
          <w:rFonts w:asciiTheme="minorEastAsia" w:eastAsiaTheme="minorEastAsia" w:hAnsiTheme="minorEastAsia" w:hint="eastAsia"/>
          <w:sz w:val="21"/>
          <w:szCs w:val="21"/>
        </w:rPr>
        <w:t>（</w:t>
      </w:r>
      <w:r w:rsidR="00873E1F" w:rsidRPr="00453203">
        <w:rPr>
          <w:rFonts w:asciiTheme="minorEastAsia" w:eastAsiaTheme="minorEastAsia" w:hAnsiTheme="minorEastAsia" w:hint="eastAsia"/>
          <w:sz w:val="21"/>
          <w:szCs w:val="21"/>
        </w:rPr>
        <w:t>十</w:t>
      </w:r>
      <w:r w:rsidRPr="00453203">
        <w:rPr>
          <w:rFonts w:asciiTheme="minorEastAsia" w:eastAsiaTheme="minorEastAsia" w:hAnsiTheme="minorEastAsia" w:hint="eastAsia"/>
          <w:sz w:val="21"/>
          <w:szCs w:val="21"/>
        </w:rPr>
        <w:t>）</w:t>
      </w:r>
      <w:r w:rsidR="004A3EA1" w:rsidRPr="00453203">
        <w:rPr>
          <w:rFonts w:asciiTheme="minorEastAsia" w:eastAsiaTheme="minorEastAsia" w:hAnsiTheme="minorEastAsia" w:hint="eastAsia"/>
          <w:sz w:val="21"/>
          <w:szCs w:val="21"/>
        </w:rPr>
        <w:t>基金的融资</w:t>
      </w:r>
      <w:r w:rsidR="001F788B" w:rsidRPr="00453203">
        <w:rPr>
          <w:rFonts w:asciiTheme="minorEastAsia" w:eastAsiaTheme="minorEastAsia" w:hAnsiTheme="minorEastAsia" w:hint="eastAsia"/>
          <w:sz w:val="21"/>
          <w:szCs w:val="21"/>
        </w:rPr>
        <w:t>、转融通</w:t>
      </w:r>
      <w:bookmarkEnd w:id="126"/>
    </w:p>
    <w:bookmarkEnd w:id="112"/>
    <w:bookmarkEnd w:id="114"/>
    <w:bookmarkEnd w:id="115"/>
    <w:p w:rsidR="006D2F19" w:rsidRPr="00453203" w:rsidRDefault="006D2F19" w:rsidP="006D2F19">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在条件许可的情况下，基金管理人可在不改变本基金既有投资目标、策略和风险收益特征并在控制风险的前提下，根据相关法律法规，参与融资及转融通证券出借业务，以提高投资效率及进行风险管理。届时基金参与融资及转融通证券出借业务的风险控制原则、具体参与比例限制、费用收支、信息披露、估值方法及其他相关事项按照中国证监会的规定及其他相关法律法规的要求执行，无需召开基金份额持有人大会审议。</w:t>
      </w:r>
    </w:p>
    <w:p w:rsidR="006D2F19" w:rsidRPr="00453203" w:rsidRDefault="006D2F19" w:rsidP="006D2F19">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（1）融资策略</w:t>
      </w:r>
    </w:p>
    <w:p w:rsidR="006D2F19" w:rsidRPr="00453203" w:rsidRDefault="006D2F19" w:rsidP="006D2F19">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本基金可在综合考虑预期收益、风险、流动性等因素的基础上，参与融资业务。基金参与融资业务后，在任何交易日日终，持有的融资买入股票与其他有价证券市值之和，不得超过基金资产净值的95%。</w:t>
      </w:r>
    </w:p>
    <w:p w:rsidR="006D2F19" w:rsidRPr="00453203" w:rsidRDefault="006D2F19" w:rsidP="006D2F19">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（2）转融通证券出借策略</w:t>
      </w:r>
    </w:p>
    <w:p w:rsidR="006D2F19" w:rsidRPr="00453203" w:rsidRDefault="006D2F19" w:rsidP="006D2F19">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可根据风险管理的原则，参与转融通证券出借交易。转融通证券出借策略按照分散化投资原则，分批、分期进行转融通证券出借交易，以分散风险。本基金在任何交易日日终，参与转融通证券出借交易的资产不得超过基金资产净值的50%，证券出借的平均剩余期限不得超过30天，平均剩余期限按照市值加权平均计算。</w:t>
      </w:r>
    </w:p>
    <w:p w:rsidR="003D37DC" w:rsidRPr="00453203" w:rsidRDefault="006D2F19" w:rsidP="006D2F19">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法律法规或监管部门取消上述组合限制，本基金可不受相关限制。法律法规或监管部门对上述组合限制进行变更的，本基金可以变更后的规定为准。经与基金托管人协商一致，基金管理人可依据法律法规或监管部门规定直接对基金合同进行变更，该变更无须召开基金份额持有人大会审议。</w:t>
      </w:r>
    </w:p>
    <w:p w:rsidR="00645ACA" w:rsidRPr="00453203" w:rsidRDefault="00645ACA" w:rsidP="00741477">
      <w:pPr>
        <w:pStyle w:val="20"/>
        <w:snapToGrid w:val="0"/>
        <w:spacing w:beforeLines="0" w:afterLines="0" w:line="360" w:lineRule="auto"/>
        <w:ind w:firstLine="422"/>
        <w:rPr>
          <w:rFonts w:asciiTheme="minorEastAsia" w:eastAsiaTheme="minorEastAsia" w:hAnsiTheme="minorEastAsia"/>
          <w:sz w:val="21"/>
          <w:szCs w:val="21"/>
        </w:rPr>
      </w:pPr>
      <w:bookmarkStart w:id="127" w:name="_Toc34834728"/>
      <w:r w:rsidRPr="00453203">
        <w:rPr>
          <w:rFonts w:asciiTheme="minorEastAsia" w:eastAsiaTheme="minorEastAsia" w:hAnsiTheme="minorEastAsia" w:hint="eastAsia"/>
          <w:sz w:val="21"/>
          <w:szCs w:val="21"/>
        </w:rPr>
        <w:t>（十一）</w:t>
      </w:r>
      <w:r w:rsidR="00182ACD" w:rsidRPr="00453203">
        <w:rPr>
          <w:rFonts w:asciiTheme="minorEastAsia" w:eastAsiaTheme="minorEastAsia" w:hAnsiTheme="minorEastAsia" w:hint="eastAsia"/>
          <w:bCs/>
          <w:sz w:val="21"/>
          <w:szCs w:val="21"/>
        </w:rPr>
        <w:t>基金投资组合报告(未经审计)</w:t>
      </w:r>
      <w:bookmarkEnd w:id="127"/>
    </w:p>
    <w:p w:rsidR="00182ACD" w:rsidRPr="00453203" w:rsidRDefault="00182ACD"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本基金管理人的董事会及董事保证本报告所载资料不存在虚假记载、误导性陈述或重大遗漏，并对其内容的真实性、</w:t>
      </w:r>
      <w:bookmarkStart w:id="128" w:name="_GoBack"/>
      <w:bookmarkEnd w:id="128"/>
      <w:r w:rsidRPr="00453203">
        <w:rPr>
          <w:rFonts w:asciiTheme="minorEastAsia" w:eastAsiaTheme="minorEastAsia" w:hAnsiTheme="minorEastAsia" w:hint="eastAsia"/>
          <w:szCs w:val="21"/>
        </w:rPr>
        <w:t>准确性和完整性承担个别及连带责任。</w:t>
      </w:r>
    </w:p>
    <w:p w:rsidR="00182ACD" w:rsidRPr="00453203" w:rsidRDefault="00182ACD"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本基金的托管人中国工商银行股份有限公司根据本基金合同的规定，复核了本报告的内容，保证复核内容不存在虚假记载、误导性陈述或者重大遗漏。</w:t>
      </w:r>
    </w:p>
    <w:p w:rsidR="00917D10" w:rsidRPr="00453203" w:rsidRDefault="0048011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本投资组合报告有关数据的期间为2019年10月1日至2019年12月31日</w:t>
      </w:r>
      <w:r w:rsidR="00182ACD" w:rsidRPr="00453203">
        <w:rPr>
          <w:rFonts w:asciiTheme="minorEastAsia" w:eastAsiaTheme="minorEastAsia" w:hAnsiTheme="minorEastAsia" w:hint="eastAsia"/>
          <w:szCs w:val="21"/>
        </w:rPr>
        <w:t>。</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1、报告期末基金资产组合情况</w:t>
      </w:r>
    </w:p>
    <w:tbl>
      <w:tblPr>
        <w:tblStyle w:val="aff0"/>
        <w:tblW w:w="7995" w:type="dxa"/>
        <w:tblInd w:w="108" w:type="dxa"/>
        <w:tblLayout w:type="fixed"/>
        <w:tblLook w:val="04A0" w:firstRow="1" w:lastRow="0" w:firstColumn="1" w:lastColumn="0" w:noHBand="0" w:noVBand="1"/>
      </w:tblPr>
      <w:tblGrid>
        <w:gridCol w:w="686"/>
        <w:gridCol w:w="3138"/>
        <w:gridCol w:w="2521"/>
        <w:gridCol w:w="1650"/>
      </w:tblGrid>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项目</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金额(元)</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占基金总资产的比例(%)</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权益投资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21,093,855.96</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0.40</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tcPr>
          <w:p w:rsidR="00480112" w:rsidRPr="00453203" w:rsidRDefault="00480112" w:rsidP="00453203">
            <w:pPr>
              <w:adjustRightInd w:val="0"/>
              <w:snapToGrid w:val="0"/>
              <w:spacing w:line="300" w:lineRule="auto"/>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其中：股票</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21,093,855.96</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0.40</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基金投资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4,869,892,660.77</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92.96</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固定收益投资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950,783.52</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0.02</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tcPr>
          <w:p w:rsidR="00480112" w:rsidRPr="00453203" w:rsidRDefault="00480112" w:rsidP="00453203">
            <w:pPr>
              <w:adjustRightInd w:val="0"/>
              <w:snapToGrid w:val="0"/>
              <w:spacing w:line="300" w:lineRule="auto"/>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其中：债券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950,783.52</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0.02</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tcPr>
          <w:p w:rsidR="00480112" w:rsidRPr="00453203" w:rsidRDefault="00480112" w:rsidP="00453203">
            <w:pPr>
              <w:adjustRightInd w:val="0"/>
              <w:snapToGrid w:val="0"/>
              <w:spacing w:line="300" w:lineRule="auto"/>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utoSpaceDE w:val="0"/>
              <w:autoSpaceDN w:val="0"/>
              <w:adjustRightInd w:val="0"/>
              <w:snapToGrid w:val="0"/>
              <w:spacing w:line="300" w:lineRule="auto"/>
              <w:ind w:firstLineChars="300" w:firstLine="630"/>
              <w:jc w:val="left"/>
              <w:rPr>
                <w:rFonts w:asciiTheme="minorEastAsia" w:eastAsiaTheme="minorEastAsia" w:hAnsiTheme="minorEastAsia"/>
              </w:rPr>
            </w:pPr>
            <w:r w:rsidRPr="00453203">
              <w:rPr>
                <w:rFonts w:asciiTheme="minorEastAsia" w:eastAsiaTheme="minorEastAsia" w:hAnsiTheme="minorEastAsia" w:hint="eastAsia"/>
              </w:rPr>
              <w:t>资产支持证券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4</w:t>
            </w:r>
          </w:p>
        </w:tc>
        <w:tc>
          <w:tcPr>
            <w:tcW w:w="3357" w:type="dxa"/>
            <w:tcBorders>
              <w:top w:val="single" w:sz="4" w:space="0" w:color="auto"/>
              <w:left w:val="single" w:sz="4" w:space="0" w:color="auto"/>
              <w:bottom w:val="single" w:sz="4" w:space="0" w:color="auto"/>
              <w:right w:val="single" w:sz="4" w:space="0" w:color="auto"/>
            </w:tcBorders>
            <w:hideMark/>
          </w:tcPr>
          <w:p w:rsidR="00480112" w:rsidRPr="00453203" w:rsidRDefault="00480112" w:rsidP="00453203">
            <w:pPr>
              <w:adjustRightInd w:val="0"/>
              <w:snapToGrid w:val="0"/>
              <w:spacing w:line="300" w:lineRule="auto"/>
              <w:ind w:leftChars="50" w:left="105"/>
              <w:rPr>
                <w:rFonts w:asciiTheme="minorEastAsia" w:eastAsiaTheme="minorEastAsia" w:hAnsiTheme="minorEastAsia"/>
              </w:rPr>
            </w:pPr>
            <w:r w:rsidRPr="00453203">
              <w:rPr>
                <w:rFonts w:asciiTheme="minorEastAsia" w:eastAsiaTheme="minorEastAsia" w:hAnsiTheme="minorEastAsia" w:hint="eastAsia"/>
              </w:rPr>
              <w:t>贵金属投资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金融衍生品投资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买入返售金融资产</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tcPr>
          <w:p w:rsidR="00480112" w:rsidRPr="00453203" w:rsidRDefault="00480112" w:rsidP="00453203">
            <w:pPr>
              <w:adjustRightInd w:val="0"/>
              <w:snapToGrid w:val="0"/>
              <w:spacing w:line="300" w:lineRule="auto"/>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其中：买断式回购的买入返售金融资产</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银行存款和结算备付金合计</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324,426,034.14</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6.19</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其他资产</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22,204,541.22</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0.42</w:t>
            </w:r>
          </w:p>
        </w:tc>
      </w:tr>
      <w:tr w:rsidR="00453203" w:rsidRPr="00453203" w:rsidTr="00480112">
        <w:tc>
          <w:tcPr>
            <w:tcW w:w="720"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9</w:t>
            </w:r>
          </w:p>
        </w:tc>
        <w:tc>
          <w:tcPr>
            <w:tcW w:w="33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left"/>
              <w:rPr>
                <w:rFonts w:asciiTheme="minorEastAsia" w:eastAsiaTheme="minorEastAsia" w:hAnsiTheme="minorEastAsia"/>
              </w:rPr>
            </w:pPr>
            <w:r w:rsidRPr="00453203">
              <w:rPr>
                <w:rFonts w:asciiTheme="minorEastAsia" w:eastAsiaTheme="minorEastAsia" w:hAnsiTheme="minorEastAsia" w:hint="eastAsia"/>
              </w:rPr>
              <w:t>合计</w:t>
            </w:r>
          </w:p>
        </w:tc>
        <w:tc>
          <w:tcPr>
            <w:tcW w:w="269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5,238,567,875.61</w:t>
            </w:r>
          </w:p>
        </w:tc>
        <w:tc>
          <w:tcPr>
            <w:tcW w:w="175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100.00</w:t>
            </w:r>
          </w:p>
        </w:tc>
      </w:tr>
    </w:tbl>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2、期末投资目标基金明细</w:t>
      </w:r>
    </w:p>
    <w:tbl>
      <w:tblPr>
        <w:tblStyle w:val="aff0"/>
        <w:tblW w:w="8000" w:type="dxa"/>
        <w:tblInd w:w="108" w:type="dxa"/>
        <w:tblLook w:val="04A0" w:firstRow="1" w:lastRow="0" w:firstColumn="1" w:lastColumn="0" w:noHBand="0" w:noVBand="1"/>
      </w:tblPr>
      <w:tblGrid>
        <w:gridCol w:w="653"/>
        <w:gridCol w:w="1575"/>
        <w:gridCol w:w="653"/>
        <w:gridCol w:w="1314"/>
        <w:gridCol w:w="1031"/>
        <w:gridCol w:w="1896"/>
        <w:gridCol w:w="878"/>
      </w:tblGrid>
      <w:tr w:rsidR="00453203" w:rsidRPr="00453203" w:rsidTr="00480112">
        <w:tc>
          <w:tcPr>
            <w:tcW w:w="1215"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序号</w:t>
            </w:r>
          </w:p>
        </w:tc>
        <w:tc>
          <w:tcPr>
            <w:tcW w:w="1216"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基金名称</w:t>
            </w:r>
          </w:p>
        </w:tc>
        <w:tc>
          <w:tcPr>
            <w:tcW w:w="1216"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基金类型</w:t>
            </w:r>
          </w:p>
        </w:tc>
        <w:tc>
          <w:tcPr>
            <w:tcW w:w="1216"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运作方式</w:t>
            </w:r>
          </w:p>
        </w:tc>
        <w:tc>
          <w:tcPr>
            <w:tcW w:w="1216"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管理人</w:t>
            </w:r>
          </w:p>
        </w:tc>
        <w:tc>
          <w:tcPr>
            <w:tcW w:w="121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公允价值（元）</w:t>
            </w:r>
          </w:p>
        </w:tc>
        <w:tc>
          <w:tcPr>
            <w:tcW w:w="121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占基金资产净值比例（%）</w:t>
            </w:r>
          </w:p>
        </w:tc>
      </w:tr>
      <w:tr w:rsidR="00453203" w:rsidRPr="00453203" w:rsidTr="00480112">
        <w:tc>
          <w:tcPr>
            <w:tcW w:w="0" w:type="auto"/>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易方达创业板交易型开放式指数证券投资基金</w:t>
            </w:r>
          </w:p>
        </w:tc>
        <w:tc>
          <w:tcPr>
            <w:tcW w:w="0" w:type="auto"/>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股票型</w:t>
            </w:r>
          </w:p>
        </w:tc>
        <w:tc>
          <w:tcPr>
            <w:tcW w:w="0" w:type="auto"/>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交易型开放式（ETF）</w:t>
            </w:r>
          </w:p>
        </w:tc>
        <w:tc>
          <w:tcPr>
            <w:tcW w:w="0" w:type="auto"/>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易方达基金管理有限公司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4,869,892,660.77</w:t>
            </w:r>
          </w:p>
        </w:tc>
        <w:tc>
          <w:tcPr>
            <w:tcW w:w="0" w:type="auto"/>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adjustRightInd w:val="0"/>
              <w:snapToGrid w:val="0"/>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94.05</w:t>
            </w:r>
          </w:p>
        </w:tc>
      </w:tr>
    </w:tbl>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3、报告期末按行业分类的股票投资组合</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（1）报告期末按行业分类的境内股票投资组合</w:t>
      </w:r>
    </w:p>
    <w:tbl>
      <w:tblPr>
        <w:tblW w:w="8000" w:type="dxa"/>
        <w:tblCellMar>
          <w:left w:w="0" w:type="dxa"/>
          <w:right w:w="0" w:type="dxa"/>
        </w:tblCellMar>
        <w:tblLook w:val="04A0" w:firstRow="1" w:lastRow="0" w:firstColumn="1" w:lastColumn="0" w:noHBand="0" w:noVBand="1"/>
      </w:tblPr>
      <w:tblGrid>
        <w:gridCol w:w="432"/>
        <w:gridCol w:w="3446"/>
        <w:gridCol w:w="3384"/>
        <w:gridCol w:w="738"/>
      </w:tblGrid>
      <w:tr w:rsidR="00480112" w:rsidRPr="00453203" w:rsidTr="00480112">
        <w:trPr>
          <w:trHeight w:val="390"/>
        </w:trPr>
        <w:tc>
          <w:tcPr>
            <w:tcW w:w="467" w:type="dxa"/>
            <w:tcBorders>
              <w:top w:val="single" w:sz="4" w:space="0" w:color="000000"/>
              <w:left w:val="single" w:sz="4" w:space="0" w:color="000000"/>
              <w:bottom w:val="single" w:sz="4" w:space="0" w:color="000000"/>
              <w:right w:val="single" w:sz="4" w:space="0" w:color="000000"/>
            </w:tcBorders>
            <w:vAlign w:val="cente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代码</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行业类别</w:t>
            </w:r>
          </w:p>
        </w:tc>
        <w:tc>
          <w:tcPr>
            <w:tcW w:w="3707" w:type="dxa"/>
            <w:tcBorders>
              <w:top w:val="single" w:sz="4" w:space="0" w:color="000000"/>
              <w:left w:val="single" w:sz="4" w:space="0" w:color="auto"/>
              <w:bottom w:val="single" w:sz="4" w:space="0" w:color="000000"/>
              <w:right w:val="single" w:sz="4" w:space="0" w:color="000000"/>
            </w:tcBorders>
            <w:vAlign w:val="cente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公允价值（元）</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占基金资产净值比例（％）</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A</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农、林、牧、渔业</w:t>
            </w:r>
          </w:p>
        </w:tc>
        <w:tc>
          <w:tcPr>
            <w:tcW w:w="3707" w:type="dxa"/>
            <w:tcBorders>
              <w:top w:val="single" w:sz="4" w:space="0" w:color="000000"/>
              <w:left w:val="single" w:sz="4" w:space="0" w:color="auto"/>
              <w:bottom w:val="single" w:sz="4" w:space="0" w:color="000000"/>
              <w:right w:val="single" w:sz="4" w:space="0" w:color="000000"/>
            </w:tcBorders>
            <w:vAlign w:val="center"/>
            <w:hideMark/>
          </w:tcPr>
          <w:p w:rsidR="00480112" w:rsidRPr="00453203" w:rsidRDefault="00480112">
            <w:pPr>
              <w:autoSpaceDE w:val="0"/>
              <w:autoSpaceDN w:val="0"/>
              <w:adjustRightInd w:val="0"/>
              <w:spacing w:before="29" w:line="300" w:lineRule="auto"/>
              <w:ind w:left="15"/>
              <w:jc w:val="right"/>
              <w:rPr>
                <w:rFonts w:asciiTheme="minorEastAsia" w:eastAsiaTheme="minorEastAsia" w:hAnsiTheme="minorEastAsia"/>
              </w:rPr>
            </w:pPr>
            <w:r w:rsidRPr="00453203">
              <w:rPr>
                <w:rFonts w:asciiTheme="minorEastAsia" w:eastAsiaTheme="minorEastAsia" w:hAnsiTheme="minorEastAsia" w:hint="eastAsia"/>
              </w:rPr>
              <w:t>1,766,580.00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80112" w:rsidRPr="00453203" w:rsidRDefault="00480112">
            <w:pPr>
              <w:autoSpaceDE w:val="0"/>
              <w:autoSpaceDN w:val="0"/>
              <w:adjustRightInd w:val="0"/>
              <w:spacing w:before="29" w:line="300" w:lineRule="auto"/>
              <w:ind w:left="15"/>
              <w:jc w:val="right"/>
              <w:rPr>
                <w:rFonts w:asciiTheme="minorEastAsia" w:eastAsiaTheme="minorEastAsia" w:hAnsiTheme="minorEastAsia"/>
              </w:rPr>
            </w:pPr>
            <w:r w:rsidRPr="00453203">
              <w:rPr>
                <w:rFonts w:asciiTheme="minorEastAsia" w:eastAsiaTheme="minorEastAsia" w:hAnsiTheme="minorEastAsia" w:hint="eastAsia"/>
              </w:rPr>
              <w:t>0.03</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B</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采矿业</w:t>
            </w:r>
          </w:p>
        </w:tc>
        <w:tc>
          <w:tcPr>
            <w:tcW w:w="3707" w:type="dxa"/>
            <w:tcBorders>
              <w:top w:val="single" w:sz="4" w:space="0" w:color="000000"/>
              <w:left w:val="single" w:sz="4" w:space="0" w:color="auto"/>
              <w:bottom w:val="single" w:sz="4" w:space="0" w:color="000000"/>
              <w:right w:val="single" w:sz="4" w:space="0" w:color="000000"/>
            </w:tcBorders>
            <w:vAlign w:val="bottom"/>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p w:rsidR="00480112" w:rsidRPr="00453203" w:rsidRDefault="00480112">
            <w:pPr>
              <w:spacing w:line="300" w:lineRule="auto"/>
              <w:jc w:val="right"/>
              <w:rPr>
                <w:rFonts w:asciiTheme="minorEastAsia" w:eastAsiaTheme="minorEastAsia" w:hAnsiTheme="minorEastAsia"/>
              </w:rPr>
            </w:pP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p w:rsidR="00480112" w:rsidRPr="00453203" w:rsidRDefault="00480112">
            <w:pPr>
              <w:spacing w:line="300" w:lineRule="auto"/>
              <w:jc w:val="right"/>
              <w:rPr>
                <w:rFonts w:asciiTheme="minorEastAsia" w:eastAsiaTheme="minorEastAsia" w:hAnsiTheme="minorEastAsia"/>
              </w:rPr>
            </w:pP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C</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制造业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10,255,990.58</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0.20</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D</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电力、热力、燃气及水生产和供应业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1,987,241.74</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0.04</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E</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建筑业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F</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批发和零售业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G</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交通运输、仓储和邮政业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lastRenderedPageBreak/>
              <w:t>H</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住宿和餐饮业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I</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信息传输、软件和信息技术服务业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3,288,000.60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0.06</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J</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金融业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1,020,319.00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0.02</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K</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房地产业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L</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租赁和商务服务业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132,775.00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0.00</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M</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科学研究和技术服务业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422,373.00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0.01</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N</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水利、环境和公共设施管理业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176,058.04</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0.00</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O</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居民服务、修理和其他服务业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P</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教育</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Q</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卫生和社会工作</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1,180,736.20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0.02</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R</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文化、体育和娱乐业</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863,781.80</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0.02</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80112" w:rsidRPr="00453203" w:rsidRDefault="00480112">
            <w:pPr>
              <w:adjustRightInd w:val="0"/>
              <w:snapToGrid w:val="0"/>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S</w:t>
            </w: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综合</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rPr>
          <w:trHeight w:val="285"/>
        </w:trPr>
        <w:tc>
          <w:tcPr>
            <w:tcW w:w="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80112" w:rsidRPr="00453203" w:rsidRDefault="00480112">
            <w:pPr>
              <w:adjustRightInd w:val="0"/>
              <w:snapToGrid w:val="0"/>
              <w:spacing w:line="300" w:lineRule="auto"/>
              <w:jc w:val="center"/>
              <w:rPr>
                <w:rFonts w:asciiTheme="minorEastAsia" w:eastAsiaTheme="minorEastAsia" w:hAnsiTheme="minorEastAsia"/>
              </w:rPr>
            </w:pPr>
          </w:p>
        </w:tc>
        <w:tc>
          <w:tcPr>
            <w:tcW w:w="3928"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480112" w:rsidRPr="00453203" w:rsidRDefault="00480112">
            <w:pPr>
              <w:adjustRightInd w:val="0"/>
              <w:snapToGrid w:val="0"/>
              <w:spacing w:line="300" w:lineRule="auto"/>
              <w:rPr>
                <w:rFonts w:asciiTheme="minorEastAsia" w:eastAsiaTheme="minorEastAsia" w:hAnsiTheme="minorEastAsia"/>
              </w:rPr>
            </w:pPr>
            <w:r w:rsidRPr="00453203">
              <w:rPr>
                <w:rFonts w:asciiTheme="minorEastAsia" w:eastAsiaTheme="minorEastAsia" w:hAnsiTheme="minorEastAsia" w:hint="eastAsia"/>
              </w:rPr>
              <w:t>合计</w:t>
            </w:r>
          </w:p>
        </w:tc>
        <w:tc>
          <w:tcPr>
            <w:tcW w:w="3707" w:type="dxa"/>
            <w:tcBorders>
              <w:top w:val="single" w:sz="4" w:space="0" w:color="000000"/>
              <w:left w:val="single" w:sz="4" w:space="0" w:color="auto"/>
              <w:bottom w:val="single" w:sz="4" w:space="0" w:color="000000"/>
              <w:right w:val="single" w:sz="4" w:space="0" w:color="000000"/>
            </w:tcBorders>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21,093,855.96</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0.41</w:t>
            </w:r>
          </w:p>
        </w:tc>
      </w:tr>
    </w:tbl>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4、报告期末按公允价值占基金资产净值比例大小排序的前十名股票投资明细</w:t>
      </w:r>
    </w:p>
    <w:tbl>
      <w:tblPr>
        <w:tblW w:w="8000" w:type="dxa"/>
        <w:tblCellMar>
          <w:left w:w="0" w:type="dxa"/>
          <w:right w:w="0" w:type="dxa"/>
        </w:tblCellMar>
        <w:tblLook w:val="04A0" w:firstRow="1" w:lastRow="0" w:firstColumn="1" w:lastColumn="0" w:noHBand="0" w:noVBand="1"/>
      </w:tblPr>
      <w:tblGrid>
        <w:gridCol w:w="570"/>
        <w:gridCol w:w="1441"/>
        <w:gridCol w:w="1697"/>
        <w:gridCol w:w="996"/>
        <w:gridCol w:w="2198"/>
        <w:gridCol w:w="1098"/>
      </w:tblGrid>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序号</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股票代码</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股票名称</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数量(股)</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autoSpaceDE w:val="0"/>
              <w:autoSpaceDN w:val="0"/>
              <w:adjustRightInd w:val="0"/>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公允价值(元)</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占基金资产净值比例(％)</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1</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003816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中国广核</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562,958</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1,987,241.74</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0.04</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2</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300498</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温氏股份</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52,400</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1,760,640.00</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0.03</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300750</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宁德时代</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10,500</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1,117,200.00</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0.02</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4</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300059</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东方财富</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64,700</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1,020,319.00</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0.02</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5</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300015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爱尔眼科</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16,570</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655,509.20</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0.01</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6</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300142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沃森生物</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16,100</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522,284.00</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0.01</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7</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300760</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迈瑞医疗</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2,700</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491,130.00</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0.01</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8</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300003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乐普医疗</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14,600</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482,968.00</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0.01</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9</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300136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信维通信</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10,500</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476,490.00</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0.01</w:t>
            </w:r>
          </w:p>
        </w:tc>
      </w:tr>
      <w:tr w:rsidR="00480112" w:rsidRPr="00453203" w:rsidTr="00480112">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10</w:t>
            </w:r>
          </w:p>
        </w:tc>
        <w:tc>
          <w:tcPr>
            <w:tcW w:w="1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300124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center"/>
              <w:rPr>
                <w:rFonts w:asciiTheme="minorEastAsia" w:eastAsiaTheme="minorEastAsia" w:hAnsiTheme="minorEastAsia"/>
              </w:rPr>
            </w:pPr>
            <w:r w:rsidRPr="00453203">
              <w:rPr>
                <w:rFonts w:asciiTheme="minorEastAsia" w:eastAsiaTheme="minorEastAsia" w:hAnsiTheme="minorEastAsia" w:hint="eastAsia"/>
              </w:rPr>
              <w:t>汇川技术</w:t>
            </w:r>
          </w:p>
        </w:tc>
        <w:tc>
          <w:tcPr>
            <w:tcW w:w="1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14,100</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432,024.00</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line="300" w:lineRule="auto"/>
              <w:jc w:val="right"/>
              <w:rPr>
                <w:rFonts w:asciiTheme="minorEastAsia" w:eastAsiaTheme="minorEastAsia" w:hAnsiTheme="minorEastAsia"/>
              </w:rPr>
            </w:pPr>
            <w:r w:rsidRPr="00453203">
              <w:rPr>
                <w:rFonts w:asciiTheme="minorEastAsia" w:eastAsiaTheme="minorEastAsia" w:hAnsiTheme="minorEastAsia" w:hint="eastAsia"/>
              </w:rPr>
              <w:t>0.01</w:t>
            </w:r>
          </w:p>
        </w:tc>
      </w:tr>
    </w:tbl>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5、报告期末按债券品种分类的债券投资组合</w:t>
      </w:r>
    </w:p>
    <w:tbl>
      <w:tblPr>
        <w:tblW w:w="8000" w:type="dxa"/>
        <w:tblCellMar>
          <w:left w:w="0" w:type="dxa"/>
          <w:right w:w="0" w:type="dxa"/>
        </w:tblCellMar>
        <w:tblLook w:val="04A0" w:firstRow="1" w:lastRow="0" w:firstColumn="1" w:lastColumn="0" w:noHBand="0" w:noVBand="1"/>
      </w:tblPr>
      <w:tblGrid>
        <w:gridCol w:w="747"/>
        <w:gridCol w:w="3223"/>
        <w:gridCol w:w="2211"/>
        <w:gridCol w:w="1819"/>
      </w:tblGrid>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序号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债券品种</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公允价值(元)</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占基金资产净值比例(％)</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国家债券</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2</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央行票据</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lastRenderedPageBreak/>
              <w:t>3</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金融债券</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80112" w:rsidRPr="00453203" w:rsidRDefault="00480112">
            <w:pPr>
              <w:spacing w:before="29" w:line="300" w:lineRule="auto"/>
              <w:ind w:left="17"/>
              <w:jc w:val="center"/>
              <w:rPr>
                <w:rFonts w:asciiTheme="minorEastAsia" w:eastAsiaTheme="minorEastAsia" w:hAnsiTheme="minorEastAsia"/>
              </w:rPr>
            </w:pP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其中：政策性金融债</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4</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企业债券</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5</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企业短期融资券</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6</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中期票据</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7</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可转债（可交换债）</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950,783.52</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0.02</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8</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同业存单</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9</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其他</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10</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合计</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950,783.52</w:t>
            </w:r>
          </w:p>
        </w:tc>
        <w:tc>
          <w:tcPr>
            <w:tcW w:w="1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80112" w:rsidRPr="00453203" w:rsidRDefault="00480112">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0.02</w:t>
            </w:r>
          </w:p>
        </w:tc>
      </w:tr>
    </w:tbl>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6、报告期末按公允价值占基金资产净值比例大小排序的前五名债券投资明细</w:t>
      </w:r>
    </w:p>
    <w:tbl>
      <w:tblPr>
        <w:tblStyle w:val="aff0"/>
        <w:tblW w:w="7995" w:type="dxa"/>
        <w:tblInd w:w="108" w:type="dxa"/>
        <w:tblLayout w:type="fixed"/>
        <w:tblLook w:val="04A0" w:firstRow="1" w:lastRow="0" w:firstColumn="1" w:lastColumn="0" w:noHBand="0" w:noVBand="1"/>
      </w:tblPr>
      <w:tblGrid>
        <w:gridCol w:w="1333"/>
        <w:gridCol w:w="1333"/>
        <w:gridCol w:w="1333"/>
        <w:gridCol w:w="1332"/>
        <w:gridCol w:w="1332"/>
        <w:gridCol w:w="1332"/>
      </w:tblGrid>
      <w:tr w:rsidR="00480112" w:rsidRPr="00453203" w:rsidTr="00480112">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序号</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债券代码</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债券名称</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数量（张）</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公允价值(元)</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占基金资产净值比例（％）</w:t>
            </w:r>
          </w:p>
        </w:tc>
      </w:tr>
      <w:tr w:rsidR="00480112" w:rsidRPr="00453203" w:rsidTr="00480112">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128085</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鸿达转债</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3,040</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303,994.67</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0.01</w:t>
            </w:r>
          </w:p>
        </w:tc>
      </w:tr>
      <w:tr w:rsidR="00480112" w:rsidRPr="00453203" w:rsidTr="00480112">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2</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128084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木森转债</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2,360</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235,995.86</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0.00</w:t>
            </w:r>
          </w:p>
        </w:tc>
      </w:tr>
      <w:tr w:rsidR="00480112" w:rsidRPr="00453203" w:rsidTr="00480112">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3</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113029</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明阳转债</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1,890</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188,996.69</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0.00</w:t>
            </w:r>
          </w:p>
        </w:tc>
      </w:tr>
      <w:tr w:rsidR="00480112" w:rsidRPr="00453203" w:rsidTr="00480112">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4</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128086</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国轩转债</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1,830</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182,996.79</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0.00</w:t>
            </w:r>
          </w:p>
        </w:tc>
      </w:tr>
      <w:tr w:rsidR="00453203" w:rsidRPr="00453203" w:rsidTr="00480112">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5</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113030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东风转债</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280</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27,999.51</w:t>
            </w:r>
          </w:p>
        </w:tc>
        <w:tc>
          <w:tcPr>
            <w:tcW w:w="150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0.00</w:t>
            </w:r>
          </w:p>
        </w:tc>
      </w:tr>
    </w:tbl>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7、报告期末按公允价值占基金资产净值比例大小排序的前十名资产支持证券投资明细</w:t>
      </w:r>
    </w:p>
    <w:p w:rsidR="00480112" w:rsidRPr="00453203" w:rsidRDefault="00480112"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本基金本报告期末未持有资产支持证券。</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8、报告期末按公允价值占基金资产净值比例大小排序的前五名贵金属投资明细</w:t>
      </w:r>
    </w:p>
    <w:p w:rsidR="00480112" w:rsidRPr="00453203" w:rsidRDefault="00480112"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本基金本报告期末未持有贵金属。</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9、报告期末按公允价值占基金资产净值比例大小排序的前五名权证投资明细</w:t>
      </w:r>
    </w:p>
    <w:p w:rsidR="00480112" w:rsidRPr="00453203" w:rsidRDefault="00480112"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本基金本报告期末未持有权证。</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10、报告期末本基金投资的股指期货交易情况说明</w:t>
      </w:r>
    </w:p>
    <w:p w:rsidR="00480112" w:rsidRPr="00453203" w:rsidRDefault="00480112"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本基金本报告期末未投资股指期货。</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11、报告期末本基金投资的国债期货交易情况说明</w:t>
      </w:r>
    </w:p>
    <w:p w:rsidR="00480112" w:rsidRPr="00453203" w:rsidRDefault="00480112"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本基金本报告期末未投资国债期货。</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12、投资组合报告附注</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（1）本基金投资的前十名证券的发行主体本期没有出现被监管部门立案调查，或在报告编制日前一年内受到公开谴责、处罚的情形。</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（2）本基金投资的前十名股票没有超出基金合同规定的备选股票库。</w:t>
      </w:r>
    </w:p>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（3）其他各项资产构成</w:t>
      </w:r>
    </w:p>
    <w:tbl>
      <w:tblPr>
        <w:tblStyle w:val="aff0"/>
        <w:tblW w:w="8000" w:type="dxa"/>
        <w:tblInd w:w="108" w:type="dxa"/>
        <w:tblLook w:val="04A0" w:firstRow="1" w:lastRow="0" w:firstColumn="1" w:lastColumn="0" w:noHBand="0" w:noVBand="1"/>
      </w:tblPr>
      <w:tblGrid>
        <w:gridCol w:w="901"/>
        <w:gridCol w:w="2564"/>
        <w:gridCol w:w="4535"/>
      </w:tblGrid>
      <w:tr w:rsidR="00480112"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金额(元)</w:t>
            </w:r>
          </w:p>
        </w:tc>
      </w:tr>
      <w:tr w:rsidR="00480112"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781,131.89</w:t>
            </w:r>
          </w:p>
        </w:tc>
      </w:tr>
      <w:tr w:rsidR="00480112"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56,557.54</w:t>
            </w:r>
          </w:p>
        </w:tc>
      </w:tr>
      <w:tr w:rsidR="00480112"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21,348,401.89</w:t>
            </w:r>
          </w:p>
        </w:tc>
      </w:tr>
      <w:tr w:rsidR="00480112"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18,449.90</w:t>
            </w:r>
          </w:p>
        </w:tc>
      </w:tr>
      <w:tr w:rsidR="00480112"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80112"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w:t>
            </w:r>
          </w:p>
        </w:tc>
      </w:tr>
      <w:tr w:rsidR="00453203" w:rsidRPr="00453203" w:rsidTr="00480112">
        <w:tc>
          <w:tcPr>
            <w:tcW w:w="944"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left"/>
              <w:rPr>
                <w:rFonts w:asciiTheme="minorEastAsia" w:eastAsiaTheme="minorEastAsia" w:hAnsiTheme="minorEastAsia"/>
              </w:rPr>
            </w:pPr>
            <w:r w:rsidRPr="00453203">
              <w:rPr>
                <w:rFonts w:asciiTheme="minorEastAsia" w:eastAsiaTheme="minorEastAsia" w:hAnsiTheme="minorEastAsia" w:hint="eastAsia"/>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453203">
            <w:pPr>
              <w:spacing w:before="29" w:line="300" w:lineRule="auto"/>
              <w:ind w:left="17"/>
              <w:jc w:val="right"/>
              <w:rPr>
                <w:rFonts w:asciiTheme="minorEastAsia" w:eastAsiaTheme="minorEastAsia" w:hAnsiTheme="minorEastAsia"/>
              </w:rPr>
            </w:pPr>
            <w:r w:rsidRPr="00453203">
              <w:rPr>
                <w:rFonts w:asciiTheme="minorEastAsia" w:eastAsiaTheme="minorEastAsia" w:hAnsiTheme="minorEastAsia" w:hint="eastAsia"/>
              </w:rPr>
              <w:t>22,204,541.22</w:t>
            </w:r>
          </w:p>
        </w:tc>
      </w:tr>
    </w:tbl>
    <w:p w:rsidR="00EC3A3A"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（4）报告期末持有的处于转股期的可转换债券明细</w:t>
      </w:r>
    </w:p>
    <w:p w:rsidR="00480112" w:rsidRPr="00453203" w:rsidRDefault="00480112"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本基金本报告期末未持有处于转股期的可转换债券。</w:t>
      </w:r>
    </w:p>
    <w:p w:rsidR="00480112" w:rsidRPr="00453203" w:rsidRDefault="00EC3A3A" w:rsidP="00453203">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w:t>
      </w:r>
      <w:r w:rsidR="00480112" w:rsidRPr="00453203">
        <w:rPr>
          <w:rFonts w:asciiTheme="minorEastAsia" w:eastAsiaTheme="minorEastAsia" w:hAnsiTheme="minorEastAsia" w:hint="eastAsia"/>
          <w:szCs w:val="21"/>
        </w:rPr>
        <w:t>报告期末前十名股票中存在流通受限情况的说明</w:t>
      </w:r>
    </w:p>
    <w:tbl>
      <w:tblPr>
        <w:tblStyle w:val="aff0"/>
        <w:tblW w:w="7995" w:type="dxa"/>
        <w:tblInd w:w="108" w:type="dxa"/>
        <w:tblLayout w:type="fixed"/>
        <w:tblLook w:val="04A0" w:firstRow="1" w:lastRow="0" w:firstColumn="1" w:lastColumn="0" w:noHBand="0" w:noVBand="1"/>
      </w:tblPr>
      <w:tblGrid>
        <w:gridCol w:w="1022"/>
        <w:gridCol w:w="1225"/>
        <w:gridCol w:w="1223"/>
        <w:gridCol w:w="1690"/>
        <w:gridCol w:w="1551"/>
        <w:gridCol w:w="1284"/>
      </w:tblGrid>
      <w:tr w:rsidR="00480112" w:rsidRPr="00453203" w:rsidTr="00480112">
        <w:tc>
          <w:tcPr>
            <w:tcW w:w="108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流通受限部分的公允价值(元)</w:t>
            </w:r>
          </w:p>
        </w:tc>
        <w:tc>
          <w:tcPr>
            <w:tcW w:w="1655"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占基金资产净值比例(%)</w:t>
            </w:r>
          </w:p>
        </w:tc>
        <w:tc>
          <w:tcPr>
            <w:tcW w:w="136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流通受限情况说明</w:t>
            </w:r>
          </w:p>
        </w:tc>
      </w:tr>
      <w:tr w:rsidR="00480112" w:rsidRPr="00453203" w:rsidTr="00480112">
        <w:tc>
          <w:tcPr>
            <w:tcW w:w="1083"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003816</w:t>
            </w:r>
          </w:p>
        </w:tc>
        <w:tc>
          <w:tcPr>
            <w:tcW w:w="1301"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中国广核</w:t>
            </w:r>
          </w:p>
        </w:tc>
        <w:tc>
          <w:tcPr>
            <w:tcW w:w="1805"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1,987,241.74</w:t>
            </w:r>
          </w:p>
        </w:tc>
        <w:tc>
          <w:tcPr>
            <w:tcW w:w="1655"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0.04</w:t>
            </w:r>
          </w:p>
        </w:tc>
        <w:tc>
          <w:tcPr>
            <w:tcW w:w="1367" w:type="dxa"/>
            <w:tcBorders>
              <w:top w:val="single" w:sz="4" w:space="0" w:color="auto"/>
              <w:left w:val="single" w:sz="4" w:space="0" w:color="auto"/>
              <w:bottom w:val="single" w:sz="4" w:space="0" w:color="auto"/>
              <w:right w:val="single" w:sz="4" w:space="0" w:color="auto"/>
            </w:tcBorders>
            <w:vAlign w:val="center"/>
            <w:hideMark/>
          </w:tcPr>
          <w:p w:rsidR="00480112" w:rsidRPr="00453203" w:rsidRDefault="00480112" w:rsidP="00EC3A3A">
            <w:pPr>
              <w:spacing w:before="29" w:line="300" w:lineRule="auto"/>
              <w:ind w:left="17"/>
              <w:jc w:val="center"/>
              <w:rPr>
                <w:rFonts w:asciiTheme="minorEastAsia" w:eastAsiaTheme="minorEastAsia" w:hAnsiTheme="minorEastAsia"/>
              </w:rPr>
            </w:pPr>
            <w:r w:rsidRPr="00453203">
              <w:rPr>
                <w:rFonts w:asciiTheme="minorEastAsia" w:eastAsiaTheme="minorEastAsia" w:hAnsiTheme="minorEastAsia" w:hint="eastAsia"/>
              </w:rPr>
              <w:t>新股流通受限</w:t>
            </w:r>
          </w:p>
        </w:tc>
      </w:tr>
    </w:tbl>
    <w:p w:rsidR="00480112" w:rsidRPr="00453203" w:rsidRDefault="00480112" w:rsidP="00480112">
      <w:pPr>
        <w:spacing w:line="300" w:lineRule="auto"/>
        <w:rPr>
          <w:rFonts w:asciiTheme="minorEastAsia" w:eastAsiaTheme="minorEastAsia" w:hAnsiTheme="minorEastAsia" w:cstheme="minorBidi"/>
          <w:szCs w:val="22"/>
        </w:rPr>
      </w:pPr>
    </w:p>
    <w:p w:rsidR="00EC3A3A" w:rsidRPr="00453203" w:rsidRDefault="00EC3A3A">
      <w:pPr>
        <w:widowControl/>
        <w:jc w:val="left"/>
        <w:rPr>
          <w:rFonts w:asciiTheme="minorEastAsia" w:eastAsiaTheme="minorEastAsia" w:hAnsiTheme="minorEastAsia" w:cstheme="minorBidi"/>
          <w:szCs w:val="22"/>
        </w:rPr>
      </w:pPr>
      <w:r w:rsidRPr="00453203">
        <w:rPr>
          <w:rFonts w:asciiTheme="minorEastAsia" w:eastAsiaTheme="minorEastAsia" w:hAnsiTheme="minorEastAsia" w:cstheme="minorBidi"/>
          <w:szCs w:val="22"/>
        </w:rPr>
        <w:br w:type="page"/>
      </w:r>
    </w:p>
    <w:p w:rsidR="00EC3A3A" w:rsidRPr="00453203" w:rsidRDefault="00EC3A3A" w:rsidP="00480112">
      <w:pPr>
        <w:spacing w:line="300" w:lineRule="auto"/>
        <w:rPr>
          <w:rFonts w:asciiTheme="minorEastAsia" w:eastAsiaTheme="minorEastAsia" w:hAnsiTheme="minorEastAsia" w:cstheme="minorBidi"/>
          <w:szCs w:val="22"/>
        </w:rPr>
      </w:pPr>
    </w:p>
    <w:p w:rsidR="00EC3A3A" w:rsidRPr="00453203" w:rsidRDefault="00EC3A3A" w:rsidP="00480112">
      <w:pPr>
        <w:spacing w:line="300" w:lineRule="auto"/>
        <w:rPr>
          <w:rFonts w:asciiTheme="minorEastAsia" w:eastAsiaTheme="minorEastAsia" w:hAnsiTheme="minorEastAsia" w:cstheme="minorBidi"/>
          <w:szCs w:val="22"/>
        </w:rPr>
      </w:pPr>
    </w:p>
    <w:p w:rsidR="00073464" w:rsidRPr="00453203" w:rsidRDefault="00073464" w:rsidP="00741477">
      <w:pPr>
        <w:pStyle w:val="1"/>
        <w:snapToGrid w:val="0"/>
        <w:spacing w:beforeLines="0" w:afterLines="0" w:line="360" w:lineRule="auto"/>
        <w:ind w:firstLineChars="0" w:firstLine="0"/>
        <w:rPr>
          <w:rFonts w:asciiTheme="minorEastAsia" w:eastAsiaTheme="minorEastAsia" w:hAnsiTheme="minorEastAsia"/>
          <w:bCs/>
        </w:rPr>
      </w:pPr>
      <w:bookmarkStart w:id="129" w:name="_Toc34834729"/>
      <w:r w:rsidRPr="00453203">
        <w:rPr>
          <w:rFonts w:asciiTheme="minorEastAsia" w:eastAsiaTheme="minorEastAsia" w:hAnsiTheme="minorEastAsia" w:hint="eastAsia"/>
          <w:bCs/>
        </w:rPr>
        <w:t>十二、基金的业绩</w:t>
      </w:r>
      <w:bookmarkEnd w:id="129"/>
    </w:p>
    <w:p w:rsidR="00073464" w:rsidRPr="00453203" w:rsidRDefault="000734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453203">
        <w:rPr>
          <w:rFonts w:asciiTheme="minorEastAsia" w:eastAsiaTheme="minorEastAsia" w:hAnsiTheme="minorEastAsia" w:hint="eastAsia"/>
          <w:szCs w:val="21"/>
        </w:rPr>
        <w:t>作出</w:t>
      </w:r>
      <w:r w:rsidRPr="00453203">
        <w:rPr>
          <w:rFonts w:asciiTheme="minorEastAsia" w:eastAsiaTheme="minorEastAsia" w:hAnsiTheme="minorEastAsia"/>
          <w:szCs w:val="21"/>
        </w:rPr>
        <w:t>投资决策前应仔细阅读本基金的招募说明书。</w:t>
      </w:r>
    </w:p>
    <w:p w:rsidR="00073464" w:rsidRPr="00453203" w:rsidRDefault="000734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本基金合同生效日为2011年9月20日，</w:t>
      </w:r>
      <w:r w:rsidR="00480112" w:rsidRPr="00453203">
        <w:rPr>
          <w:rFonts w:asciiTheme="minorEastAsia" w:eastAsiaTheme="minorEastAsia" w:hAnsiTheme="minorEastAsia" w:hint="eastAsia"/>
          <w:szCs w:val="21"/>
        </w:rPr>
        <w:t>基金合同生效以来（截至2019年12月31日）的投资业绩及与同期基准的比较如下表所示</w:t>
      </w:r>
      <w:r w:rsidRPr="00453203">
        <w:rPr>
          <w:rFonts w:asciiTheme="minorEastAsia" w:eastAsiaTheme="minorEastAsia" w:hAnsiTheme="minorEastAsia" w:hint="eastAsia"/>
          <w:szCs w:val="21"/>
        </w:rPr>
        <w:t>：</w:t>
      </w:r>
    </w:p>
    <w:p w:rsidR="00DB129C" w:rsidRPr="00453203" w:rsidRDefault="009F7E86" w:rsidP="00FE4929">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rPr>
        <w:t>1</w:t>
      </w:r>
      <w:r w:rsidRPr="00453203">
        <w:rPr>
          <w:rFonts w:asciiTheme="minorEastAsia" w:eastAsiaTheme="minorEastAsia" w:hAnsiTheme="minorEastAsia" w:hint="eastAsia"/>
        </w:rPr>
        <w:t>、</w:t>
      </w:r>
      <w:r w:rsidRPr="00453203">
        <w:rPr>
          <w:rFonts w:asciiTheme="minorEastAsia" w:eastAsiaTheme="minorEastAsia" w:hAnsiTheme="minorEastAsia" w:hint="eastAsia"/>
          <w:szCs w:val="21"/>
        </w:rPr>
        <w:t>易方达创业板ETF联接A</w:t>
      </w:r>
      <w:r w:rsidRPr="00453203">
        <w:rPr>
          <w:rFonts w:asciiTheme="minorEastAsia" w:eastAsiaTheme="minorEastAsia" w:hAnsiTheme="minorEastAsia" w:hint="eastAsia"/>
        </w:rPr>
        <w:t>类基金份额净值增长率与同期业绩比较基准收益率比较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080"/>
        <w:gridCol w:w="1440"/>
        <w:gridCol w:w="1440"/>
        <w:gridCol w:w="900"/>
        <w:gridCol w:w="900"/>
      </w:tblGrid>
      <w:tr w:rsidR="00640C24" w:rsidRPr="00453203" w:rsidTr="00735E38">
        <w:trPr>
          <w:trHeight w:val="315"/>
        </w:trPr>
        <w:tc>
          <w:tcPr>
            <w:tcW w:w="1440" w:type="dxa"/>
            <w:vAlign w:val="center"/>
          </w:tcPr>
          <w:p w:rsidR="00073464" w:rsidRPr="00453203" w:rsidRDefault="00073464" w:rsidP="006430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阶段</w:t>
            </w:r>
          </w:p>
        </w:tc>
        <w:tc>
          <w:tcPr>
            <w:tcW w:w="1080" w:type="dxa"/>
            <w:vAlign w:val="center"/>
          </w:tcPr>
          <w:p w:rsidR="00073464" w:rsidRPr="00453203" w:rsidRDefault="00073464" w:rsidP="006430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净值增长率（</w:t>
            </w:r>
            <w:r w:rsidRPr="00453203">
              <w:rPr>
                <w:rFonts w:asciiTheme="minorEastAsia" w:eastAsiaTheme="minorEastAsia" w:hAnsiTheme="minorEastAsia"/>
                <w:szCs w:val="21"/>
              </w:rPr>
              <w:t>1）</w:t>
            </w:r>
          </w:p>
        </w:tc>
        <w:tc>
          <w:tcPr>
            <w:tcW w:w="1080" w:type="dxa"/>
            <w:vAlign w:val="center"/>
          </w:tcPr>
          <w:p w:rsidR="00073464" w:rsidRPr="00453203" w:rsidRDefault="00073464" w:rsidP="006430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净值增长率标准差（</w:t>
            </w:r>
            <w:r w:rsidRPr="00453203">
              <w:rPr>
                <w:rFonts w:asciiTheme="minorEastAsia" w:eastAsiaTheme="minorEastAsia" w:hAnsiTheme="minorEastAsia"/>
                <w:szCs w:val="21"/>
              </w:rPr>
              <w:t>2）</w:t>
            </w:r>
          </w:p>
        </w:tc>
        <w:tc>
          <w:tcPr>
            <w:tcW w:w="1440" w:type="dxa"/>
            <w:vAlign w:val="center"/>
          </w:tcPr>
          <w:p w:rsidR="00073464" w:rsidRPr="00453203" w:rsidRDefault="00073464" w:rsidP="006430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业绩比较基准收益率（</w:t>
            </w:r>
            <w:r w:rsidRPr="00453203">
              <w:rPr>
                <w:rFonts w:asciiTheme="minorEastAsia" w:eastAsiaTheme="minorEastAsia" w:hAnsiTheme="minorEastAsia"/>
                <w:szCs w:val="21"/>
              </w:rPr>
              <w:t>3）</w:t>
            </w:r>
          </w:p>
        </w:tc>
        <w:tc>
          <w:tcPr>
            <w:tcW w:w="1440" w:type="dxa"/>
            <w:vAlign w:val="center"/>
          </w:tcPr>
          <w:p w:rsidR="00073464" w:rsidRPr="00453203" w:rsidRDefault="00073464" w:rsidP="006430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业绩比较基准收益率标准差（</w:t>
            </w:r>
            <w:r w:rsidRPr="00453203">
              <w:rPr>
                <w:rFonts w:asciiTheme="minorEastAsia" w:eastAsiaTheme="minorEastAsia" w:hAnsiTheme="minorEastAsia"/>
                <w:szCs w:val="21"/>
              </w:rPr>
              <w:t>4）</w:t>
            </w:r>
          </w:p>
        </w:tc>
        <w:tc>
          <w:tcPr>
            <w:tcW w:w="900" w:type="dxa"/>
            <w:vAlign w:val="center"/>
          </w:tcPr>
          <w:p w:rsidR="00073464" w:rsidRPr="00453203" w:rsidRDefault="00073464" w:rsidP="00643071">
            <w:pPr>
              <w:snapToGrid w:val="0"/>
              <w:spacing w:line="360" w:lineRule="auto"/>
              <w:ind w:leftChars="-51" w:left="-107" w:rightChars="-51" w:right="-107"/>
              <w:jc w:val="center"/>
              <w:rPr>
                <w:rFonts w:asciiTheme="minorEastAsia" w:eastAsiaTheme="minorEastAsia" w:hAnsiTheme="minorEastAsia"/>
                <w:szCs w:val="21"/>
              </w:rPr>
            </w:pP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(3)</w:t>
            </w:r>
          </w:p>
        </w:tc>
        <w:tc>
          <w:tcPr>
            <w:tcW w:w="900" w:type="dxa"/>
            <w:vAlign w:val="center"/>
          </w:tcPr>
          <w:p w:rsidR="00073464" w:rsidRPr="00453203" w:rsidRDefault="00073464" w:rsidP="00643071">
            <w:pPr>
              <w:snapToGrid w:val="0"/>
              <w:spacing w:line="360" w:lineRule="auto"/>
              <w:ind w:leftChars="-51" w:left="-107"/>
              <w:jc w:val="center"/>
              <w:rPr>
                <w:rFonts w:asciiTheme="minorEastAsia" w:eastAsiaTheme="minorEastAsia" w:hAnsiTheme="minorEastAsia"/>
                <w:szCs w:val="21"/>
              </w:rPr>
            </w:pP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(4)</w:t>
            </w:r>
          </w:p>
        </w:tc>
      </w:tr>
      <w:tr w:rsidR="00640C24" w:rsidRPr="00453203" w:rsidTr="00735E38">
        <w:trPr>
          <w:trHeight w:val="300"/>
        </w:trPr>
        <w:tc>
          <w:tcPr>
            <w:tcW w:w="1440" w:type="dxa"/>
            <w:vAlign w:val="center"/>
          </w:tcPr>
          <w:p w:rsidR="00D944A0" w:rsidRPr="00453203" w:rsidRDefault="00F42070" w:rsidP="00643071">
            <w:pPr>
              <w:snapToGrid w:val="0"/>
              <w:spacing w:line="360" w:lineRule="auto"/>
              <w:ind w:leftChars="-51" w:left="-107" w:rightChars="-51" w:right="-107"/>
              <w:rPr>
                <w:rFonts w:asciiTheme="minorEastAsia" w:eastAsiaTheme="minorEastAsia" w:hAnsiTheme="minorEastAsia" w:cs="Arial Unicode MS"/>
                <w:szCs w:val="21"/>
              </w:rPr>
            </w:pPr>
            <w:r w:rsidRPr="00453203">
              <w:rPr>
                <w:rFonts w:asciiTheme="minorEastAsia" w:eastAsiaTheme="minorEastAsia" w:hAnsiTheme="minorEastAsia" w:hint="eastAsia"/>
                <w:kern w:val="0"/>
                <w:szCs w:val="21"/>
              </w:rPr>
              <w:t>自基金合同生效日至</w:t>
            </w:r>
            <w:r w:rsidR="00D944A0" w:rsidRPr="00453203">
              <w:rPr>
                <w:rFonts w:asciiTheme="minorEastAsia" w:eastAsiaTheme="minorEastAsia" w:hAnsiTheme="minorEastAsia" w:hint="eastAsia"/>
                <w:kern w:val="0"/>
                <w:szCs w:val="21"/>
              </w:rPr>
              <w:t>2011年12月31日</w:t>
            </w:r>
          </w:p>
        </w:tc>
        <w:tc>
          <w:tcPr>
            <w:tcW w:w="1080" w:type="dxa"/>
            <w:vAlign w:val="center"/>
          </w:tcPr>
          <w:p w:rsidR="00D944A0" w:rsidRPr="00453203" w:rsidRDefault="00D944A0" w:rsidP="00643071">
            <w:pPr>
              <w:snapToGrid w:val="0"/>
              <w:spacing w:line="360" w:lineRule="auto"/>
              <w:ind w:leftChars="-51" w:left="-107"/>
              <w:jc w:val="right"/>
              <w:rPr>
                <w:rFonts w:asciiTheme="minorEastAsia" w:eastAsiaTheme="minorEastAsia" w:hAnsiTheme="minorEastAsia" w:cs="Arial Unicode MS"/>
                <w:szCs w:val="21"/>
              </w:rPr>
            </w:pPr>
            <w:r w:rsidRPr="00453203">
              <w:rPr>
                <w:rFonts w:asciiTheme="minorEastAsia" w:eastAsiaTheme="minorEastAsia" w:hAnsiTheme="minorEastAsia"/>
                <w:szCs w:val="21"/>
              </w:rPr>
              <w:t>-7.09%</w:t>
            </w:r>
          </w:p>
        </w:tc>
        <w:tc>
          <w:tcPr>
            <w:tcW w:w="1080" w:type="dxa"/>
            <w:vAlign w:val="center"/>
          </w:tcPr>
          <w:p w:rsidR="00D944A0" w:rsidRPr="00453203" w:rsidRDefault="00D944A0" w:rsidP="00643071">
            <w:pPr>
              <w:snapToGrid w:val="0"/>
              <w:spacing w:line="360" w:lineRule="auto"/>
              <w:ind w:leftChars="-51" w:left="-107" w:rightChars="-51" w:right="-107"/>
              <w:jc w:val="right"/>
              <w:rPr>
                <w:rFonts w:asciiTheme="minorEastAsia" w:eastAsiaTheme="minorEastAsia" w:hAnsiTheme="minorEastAsia" w:cs="Arial Unicode MS"/>
                <w:szCs w:val="21"/>
              </w:rPr>
            </w:pPr>
            <w:r w:rsidRPr="00453203">
              <w:rPr>
                <w:rFonts w:asciiTheme="minorEastAsia" w:eastAsiaTheme="minorEastAsia" w:hAnsiTheme="minorEastAsia"/>
                <w:szCs w:val="21"/>
              </w:rPr>
              <w:t>0.54%</w:t>
            </w:r>
          </w:p>
        </w:tc>
        <w:tc>
          <w:tcPr>
            <w:tcW w:w="1440" w:type="dxa"/>
            <w:vAlign w:val="center"/>
          </w:tcPr>
          <w:p w:rsidR="00D944A0" w:rsidRPr="00453203" w:rsidRDefault="00D944A0" w:rsidP="00643071">
            <w:pPr>
              <w:snapToGrid w:val="0"/>
              <w:spacing w:line="360" w:lineRule="auto"/>
              <w:ind w:leftChars="-51" w:left="-107" w:rightChars="-51" w:right="-107"/>
              <w:jc w:val="right"/>
              <w:rPr>
                <w:rFonts w:asciiTheme="minorEastAsia" w:eastAsiaTheme="minorEastAsia" w:hAnsiTheme="minorEastAsia" w:cs="Arial Unicode MS"/>
                <w:szCs w:val="21"/>
              </w:rPr>
            </w:pPr>
            <w:r w:rsidRPr="00453203">
              <w:rPr>
                <w:rFonts w:asciiTheme="minorEastAsia" w:eastAsiaTheme="minorEastAsia" w:hAnsiTheme="minorEastAsia"/>
                <w:szCs w:val="21"/>
              </w:rPr>
              <w:t>-13.91%</w:t>
            </w:r>
          </w:p>
        </w:tc>
        <w:tc>
          <w:tcPr>
            <w:tcW w:w="1440" w:type="dxa"/>
            <w:vAlign w:val="center"/>
          </w:tcPr>
          <w:p w:rsidR="00D944A0" w:rsidRPr="00453203" w:rsidRDefault="00D944A0" w:rsidP="00643071">
            <w:pPr>
              <w:snapToGrid w:val="0"/>
              <w:spacing w:line="360" w:lineRule="auto"/>
              <w:ind w:leftChars="-51" w:left="-107" w:rightChars="-51" w:right="-107"/>
              <w:jc w:val="right"/>
              <w:rPr>
                <w:rFonts w:asciiTheme="minorEastAsia" w:eastAsiaTheme="minorEastAsia" w:hAnsiTheme="minorEastAsia" w:cs="Arial Unicode MS"/>
                <w:szCs w:val="21"/>
              </w:rPr>
            </w:pPr>
            <w:r w:rsidRPr="00453203">
              <w:rPr>
                <w:rFonts w:asciiTheme="minorEastAsia" w:eastAsiaTheme="minorEastAsia" w:hAnsiTheme="minorEastAsia"/>
                <w:szCs w:val="21"/>
              </w:rPr>
              <w:t>1.91%</w:t>
            </w:r>
          </w:p>
        </w:tc>
        <w:tc>
          <w:tcPr>
            <w:tcW w:w="900" w:type="dxa"/>
            <w:vAlign w:val="center"/>
          </w:tcPr>
          <w:p w:rsidR="00D944A0" w:rsidRPr="00453203" w:rsidRDefault="00D944A0" w:rsidP="00643071">
            <w:pPr>
              <w:snapToGrid w:val="0"/>
              <w:spacing w:line="360" w:lineRule="auto"/>
              <w:ind w:leftChars="-51" w:left="-107" w:rightChars="-51" w:right="-107"/>
              <w:jc w:val="right"/>
              <w:rPr>
                <w:rFonts w:asciiTheme="minorEastAsia" w:eastAsiaTheme="minorEastAsia" w:hAnsiTheme="minorEastAsia" w:cs="Arial Unicode MS"/>
                <w:szCs w:val="21"/>
              </w:rPr>
            </w:pPr>
            <w:r w:rsidRPr="00453203">
              <w:rPr>
                <w:rFonts w:asciiTheme="minorEastAsia" w:eastAsiaTheme="minorEastAsia" w:hAnsiTheme="minorEastAsia"/>
                <w:szCs w:val="21"/>
              </w:rPr>
              <w:t>6.82%</w:t>
            </w:r>
          </w:p>
        </w:tc>
        <w:tc>
          <w:tcPr>
            <w:tcW w:w="900" w:type="dxa"/>
            <w:vAlign w:val="center"/>
          </w:tcPr>
          <w:p w:rsidR="00D944A0" w:rsidRPr="00453203" w:rsidRDefault="00D944A0"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-1.37%</w:t>
            </w:r>
          </w:p>
        </w:tc>
      </w:tr>
      <w:tr w:rsidR="00640C24" w:rsidRPr="00453203" w:rsidTr="00735E38">
        <w:trPr>
          <w:trHeight w:val="300"/>
        </w:trPr>
        <w:tc>
          <w:tcPr>
            <w:tcW w:w="1440" w:type="dxa"/>
            <w:vAlign w:val="center"/>
          </w:tcPr>
          <w:p w:rsidR="00551BB7" w:rsidRPr="00453203" w:rsidRDefault="00551BB7" w:rsidP="00643071">
            <w:pPr>
              <w:snapToGrid w:val="0"/>
              <w:spacing w:line="360" w:lineRule="auto"/>
              <w:ind w:leftChars="-51" w:left="-107" w:rightChars="-51" w:right="-107"/>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2012年1月1日至2012年12月31日</w:t>
            </w:r>
          </w:p>
        </w:tc>
        <w:tc>
          <w:tcPr>
            <w:tcW w:w="1080" w:type="dxa"/>
            <w:vAlign w:val="center"/>
          </w:tcPr>
          <w:p w:rsidR="00551BB7" w:rsidRPr="00453203" w:rsidRDefault="00551BB7" w:rsidP="00643071">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-1.21%</w:t>
            </w:r>
          </w:p>
        </w:tc>
        <w:tc>
          <w:tcPr>
            <w:tcW w:w="1080" w:type="dxa"/>
            <w:vAlign w:val="center"/>
          </w:tcPr>
          <w:p w:rsidR="00551BB7" w:rsidRPr="00453203" w:rsidRDefault="00551BB7"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1.47%</w:t>
            </w:r>
          </w:p>
        </w:tc>
        <w:tc>
          <w:tcPr>
            <w:tcW w:w="1440" w:type="dxa"/>
            <w:vAlign w:val="center"/>
          </w:tcPr>
          <w:p w:rsidR="00551BB7" w:rsidRPr="00453203" w:rsidRDefault="00551BB7"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-1.84%</w:t>
            </w:r>
          </w:p>
        </w:tc>
        <w:tc>
          <w:tcPr>
            <w:tcW w:w="1440" w:type="dxa"/>
            <w:vAlign w:val="center"/>
          </w:tcPr>
          <w:p w:rsidR="00551BB7" w:rsidRPr="00453203" w:rsidRDefault="00551BB7"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1.67%</w:t>
            </w:r>
          </w:p>
        </w:tc>
        <w:tc>
          <w:tcPr>
            <w:tcW w:w="900" w:type="dxa"/>
            <w:vAlign w:val="center"/>
          </w:tcPr>
          <w:p w:rsidR="00551BB7" w:rsidRPr="00453203" w:rsidRDefault="00551BB7"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0.63%</w:t>
            </w:r>
          </w:p>
        </w:tc>
        <w:tc>
          <w:tcPr>
            <w:tcW w:w="900" w:type="dxa"/>
            <w:vAlign w:val="center"/>
          </w:tcPr>
          <w:p w:rsidR="00551BB7" w:rsidRPr="00453203" w:rsidRDefault="00551BB7"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-0.20%</w:t>
            </w:r>
          </w:p>
        </w:tc>
      </w:tr>
      <w:tr w:rsidR="00640C24" w:rsidRPr="00453203" w:rsidTr="00735E38">
        <w:trPr>
          <w:trHeight w:val="300"/>
        </w:trPr>
        <w:tc>
          <w:tcPr>
            <w:tcW w:w="1440" w:type="dxa"/>
            <w:vAlign w:val="center"/>
          </w:tcPr>
          <w:p w:rsidR="00A107BD" w:rsidRPr="00453203" w:rsidRDefault="00A107BD" w:rsidP="00643071">
            <w:pPr>
              <w:snapToGrid w:val="0"/>
              <w:spacing w:line="360" w:lineRule="auto"/>
              <w:ind w:leftChars="-51" w:left="-107" w:rightChars="-51" w:right="-107"/>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2013年1月1日至</w:t>
            </w:r>
            <w:r w:rsidRPr="00453203">
              <w:rPr>
                <w:rFonts w:asciiTheme="minorEastAsia" w:eastAsiaTheme="minorEastAsia" w:hAnsiTheme="minorEastAsia" w:hint="eastAsia"/>
                <w:szCs w:val="21"/>
              </w:rPr>
              <w:t>2013年12月31日</w:t>
            </w:r>
          </w:p>
        </w:tc>
        <w:tc>
          <w:tcPr>
            <w:tcW w:w="1080" w:type="dxa"/>
            <w:vAlign w:val="center"/>
          </w:tcPr>
          <w:p w:rsidR="00A107BD" w:rsidRPr="00453203" w:rsidRDefault="00A107BD" w:rsidP="00643071">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hint="eastAsia"/>
                <w:szCs w:val="21"/>
              </w:rPr>
              <w:t>71.42%</w:t>
            </w:r>
          </w:p>
        </w:tc>
        <w:tc>
          <w:tcPr>
            <w:tcW w:w="1080" w:type="dxa"/>
            <w:vAlign w:val="center"/>
          </w:tcPr>
          <w:p w:rsidR="00A107BD" w:rsidRPr="00453203" w:rsidRDefault="00A107BD"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1.85%</w:t>
            </w:r>
          </w:p>
        </w:tc>
        <w:tc>
          <w:tcPr>
            <w:tcW w:w="1440" w:type="dxa"/>
            <w:vAlign w:val="center"/>
          </w:tcPr>
          <w:p w:rsidR="00A107BD" w:rsidRPr="00453203" w:rsidRDefault="00A107BD"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77.74%</w:t>
            </w:r>
          </w:p>
        </w:tc>
        <w:tc>
          <w:tcPr>
            <w:tcW w:w="1440" w:type="dxa"/>
            <w:vAlign w:val="center"/>
          </w:tcPr>
          <w:p w:rsidR="00A107BD" w:rsidRPr="00453203" w:rsidRDefault="00A107BD"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1.89%</w:t>
            </w:r>
          </w:p>
        </w:tc>
        <w:tc>
          <w:tcPr>
            <w:tcW w:w="900" w:type="dxa"/>
            <w:vAlign w:val="center"/>
          </w:tcPr>
          <w:p w:rsidR="00A107BD" w:rsidRPr="00453203" w:rsidRDefault="00A107BD"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-6.32%</w:t>
            </w:r>
          </w:p>
        </w:tc>
        <w:tc>
          <w:tcPr>
            <w:tcW w:w="900" w:type="dxa"/>
            <w:vAlign w:val="center"/>
          </w:tcPr>
          <w:p w:rsidR="00A107BD" w:rsidRPr="00453203" w:rsidRDefault="00A107BD"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-0.04%</w:t>
            </w:r>
          </w:p>
        </w:tc>
      </w:tr>
      <w:tr w:rsidR="00640C24" w:rsidRPr="00453203" w:rsidTr="00735E38">
        <w:trPr>
          <w:trHeight w:val="300"/>
        </w:trPr>
        <w:tc>
          <w:tcPr>
            <w:tcW w:w="1440" w:type="dxa"/>
            <w:vAlign w:val="center"/>
          </w:tcPr>
          <w:p w:rsidR="00101478" w:rsidRPr="00453203" w:rsidRDefault="00101478" w:rsidP="00643071">
            <w:pPr>
              <w:snapToGrid w:val="0"/>
              <w:spacing w:line="360" w:lineRule="auto"/>
              <w:ind w:leftChars="-51" w:left="-107" w:rightChars="-51" w:right="-107"/>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2014年1月1日至</w:t>
            </w:r>
            <w:r w:rsidR="00F81E34" w:rsidRPr="00453203">
              <w:rPr>
                <w:rFonts w:asciiTheme="minorEastAsia" w:eastAsiaTheme="minorEastAsia" w:hAnsiTheme="minorEastAsia" w:hint="eastAsia"/>
                <w:szCs w:val="21"/>
              </w:rPr>
              <w:t>2014年12</w:t>
            </w:r>
            <w:r w:rsidRPr="00453203">
              <w:rPr>
                <w:rFonts w:asciiTheme="minorEastAsia" w:eastAsiaTheme="minorEastAsia" w:hAnsiTheme="minorEastAsia" w:hint="eastAsia"/>
                <w:szCs w:val="21"/>
              </w:rPr>
              <w:t>月</w:t>
            </w:r>
            <w:r w:rsidR="00F81E34" w:rsidRPr="00453203">
              <w:rPr>
                <w:rFonts w:asciiTheme="minorEastAsia" w:eastAsiaTheme="minorEastAsia" w:hAnsiTheme="minorEastAsia" w:hint="eastAsia"/>
                <w:szCs w:val="21"/>
              </w:rPr>
              <w:t>31</w:t>
            </w:r>
            <w:r w:rsidRPr="00453203">
              <w:rPr>
                <w:rFonts w:asciiTheme="minorEastAsia" w:eastAsiaTheme="minorEastAsia" w:hAnsiTheme="minorEastAsia" w:hint="eastAsia"/>
                <w:szCs w:val="21"/>
              </w:rPr>
              <w:t>日</w:t>
            </w:r>
          </w:p>
        </w:tc>
        <w:tc>
          <w:tcPr>
            <w:tcW w:w="1080" w:type="dxa"/>
            <w:vAlign w:val="center"/>
          </w:tcPr>
          <w:p w:rsidR="00101478" w:rsidRPr="00453203" w:rsidRDefault="00101478" w:rsidP="00643071">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hint="eastAsia"/>
                <w:szCs w:val="21"/>
              </w:rPr>
              <w:t>10.98%</w:t>
            </w:r>
          </w:p>
        </w:tc>
        <w:tc>
          <w:tcPr>
            <w:tcW w:w="1080" w:type="dxa"/>
            <w:vAlign w:val="center"/>
          </w:tcPr>
          <w:p w:rsidR="00101478" w:rsidRPr="00453203" w:rsidRDefault="00101478"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1.47%</w:t>
            </w:r>
          </w:p>
        </w:tc>
        <w:tc>
          <w:tcPr>
            <w:tcW w:w="1440" w:type="dxa"/>
            <w:vAlign w:val="center"/>
          </w:tcPr>
          <w:p w:rsidR="00101478" w:rsidRPr="00453203" w:rsidRDefault="00101478"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12.33%</w:t>
            </w:r>
          </w:p>
        </w:tc>
        <w:tc>
          <w:tcPr>
            <w:tcW w:w="1440" w:type="dxa"/>
            <w:vAlign w:val="center"/>
          </w:tcPr>
          <w:p w:rsidR="00101478" w:rsidRPr="00453203" w:rsidRDefault="00101478"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1.50%</w:t>
            </w:r>
          </w:p>
        </w:tc>
        <w:tc>
          <w:tcPr>
            <w:tcW w:w="900" w:type="dxa"/>
            <w:vAlign w:val="center"/>
          </w:tcPr>
          <w:p w:rsidR="00101478" w:rsidRPr="00453203" w:rsidRDefault="00101478"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-1.35%</w:t>
            </w:r>
          </w:p>
        </w:tc>
        <w:tc>
          <w:tcPr>
            <w:tcW w:w="900" w:type="dxa"/>
            <w:vAlign w:val="center"/>
          </w:tcPr>
          <w:p w:rsidR="00101478" w:rsidRPr="00453203" w:rsidRDefault="00101478"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hint="eastAsia"/>
                <w:szCs w:val="21"/>
              </w:rPr>
              <w:t>-0.03%</w:t>
            </w:r>
          </w:p>
        </w:tc>
      </w:tr>
      <w:tr w:rsidR="00640C24" w:rsidRPr="00453203" w:rsidTr="002767C6">
        <w:trPr>
          <w:trHeight w:val="300"/>
        </w:trPr>
        <w:tc>
          <w:tcPr>
            <w:tcW w:w="1440" w:type="dxa"/>
            <w:vAlign w:val="center"/>
          </w:tcPr>
          <w:p w:rsidR="007126A6" w:rsidRPr="00453203" w:rsidRDefault="007126A6" w:rsidP="00643071">
            <w:pPr>
              <w:snapToGrid w:val="0"/>
              <w:spacing w:line="360" w:lineRule="auto"/>
              <w:ind w:leftChars="-51" w:left="-107" w:rightChars="-51" w:right="-107"/>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2015年1月1日至</w:t>
            </w:r>
            <w:r w:rsidRPr="00453203">
              <w:rPr>
                <w:rFonts w:asciiTheme="minorEastAsia" w:eastAsiaTheme="minorEastAsia" w:hAnsiTheme="minorEastAsia" w:hint="eastAsia"/>
                <w:szCs w:val="21"/>
              </w:rPr>
              <w:t>2015年12月31日</w:t>
            </w:r>
          </w:p>
        </w:tc>
        <w:tc>
          <w:tcPr>
            <w:tcW w:w="1080" w:type="dxa"/>
            <w:vAlign w:val="center"/>
          </w:tcPr>
          <w:p w:rsidR="007126A6" w:rsidRPr="00453203" w:rsidRDefault="00641A31" w:rsidP="00643071">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51.62%</w:t>
            </w:r>
          </w:p>
        </w:tc>
        <w:tc>
          <w:tcPr>
            <w:tcW w:w="1080" w:type="dxa"/>
            <w:vAlign w:val="center"/>
          </w:tcPr>
          <w:p w:rsidR="007126A6" w:rsidRPr="00453203" w:rsidRDefault="00641A31"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3.21%</w:t>
            </w:r>
          </w:p>
        </w:tc>
        <w:tc>
          <w:tcPr>
            <w:tcW w:w="1440" w:type="dxa"/>
            <w:vAlign w:val="center"/>
          </w:tcPr>
          <w:p w:rsidR="007126A6" w:rsidRPr="00453203" w:rsidRDefault="00641A31"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79.96%</w:t>
            </w:r>
          </w:p>
        </w:tc>
        <w:tc>
          <w:tcPr>
            <w:tcW w:w="1440" w:type="dxa"/>
            <w:vAlign w:val="center"/>
          </w:tcPr>
          <w:p w:rsidR="007126A6" w:rsidRPr="00453203" w:rsidRDefault="00641A31"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3.03%</w:t>
            </w:r>
          </w:p>
        </w:tc>
        <w:tc>
          <w:tcPr>
            <w:tcW w:w="900" w:type="dxa"/>
            <w:vAlign w:val="center"/>
          </w:tcPr>
          <w:p w:rsidR="007126A6" w:rsidRPr="00453203" w:rsidRDefault="00641A31"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-28.34%</w:t>
            </w:r>
          </w:p>
        </w:tc>
        <w:tc>
          <w:tcPr>
            <w:tcW w:w="900" w:type="dxa"/>
            <w:vAlign w:val="center"/>
          </w:tcPr>
          <w:p w:rsidR="007126A6" w:rsidRPr="00453203" w:rsidRDefault="00641A31"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0.18%</w:t>
            </w:r>
          </w:p>
        </w:tc>
      </w:tr>
      <w:tr w:rsidR="00640C24" w:rsidRPr="00453203" w:rsidTr="002767C6">
        <w:trPr>
          <w:trHeight w:val="300"/>
        </w:trPr>
        <w:tc>
          <w:tcPr>
            <w:tcW w:w="1440" w:type="dxa"/>
            <w:vAlign w:val="center"/>
          </w:tcPr>
          <w:p w:rsidR="00F25740" w:rsidRPr="00453203" w:rsidRDefault="00F25740" w:rsidP="004C3AFC">
            <w:pPr>
              <w:snapToGrid w:val="0"/>
              <w:spacing w:line="360" w:lineRule="auto"/>
              <w:ind w:leftChars="-51" w:left="-107" w:rightChars="-51" w:right="-107"/>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2016年1月1日至</w:t>
            </w:r>
            <w:r w:rsidRPr="00453203">
              <w:rPr>
                <w:rFonts w:asciiTheme="minorEastAsia" w:eastAsiaTheme="minorEastAsia" w:hAnsiTheme="minorEastAsia" w:hint="eastAsia"/>
                <w:szCs w:val="21"/>
              </w:rPr>
              <w:t>2016年12月31日</w:t>
            </w:r>
          </w:p>
        </w:tc>
        <w:tc>
          <w:tcPr>
            <w:tcW w:w="1080" w:type="dxa"/>
            <w:vAlign w:val="center"/>
          </w:tcPr>
          <w:p w:rsidR="00F25740" w:rsidRPr="00453203" w:rsidRDefault="0035636F" w:rsidP="00643071">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-24.29%</w:t>
            </w:r>
          </w:p>
        </w:tc>
        <w:tc>
          <w:tcPr>
            <w:tcW w:w="1080" w:type="dxa"/>
            <w:vAlign w:val="center"/>
          </w:tcPr>
          <w:p w:rsidR="00F25740" w:rsidRPr="00453203" w:rsidRDefault="0035636F"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2.11%</w:t>
            </w:r>
          </w:p>
        </w:tc>
        <w:tc>
          <w:tcPr>
            <w:tcW w:w="1440" w:type="dxa"/>
            <w:vAlign w:val="center"/>
          </w:tcPr>
          <w:p w:rsidR="00F25740" w:rsidRPr="00453203" w:rsidRDefault="0035636F"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-26.31%</w:t>
            </w:r>
          </w:p>
        </w:tc>
        <w:tc>
          <w:tcPr>
            <w:tcW w:w="1440" w:type="dxa"/>
            <w:vAlign w:val="center"/>
          </w:tcPr>
          <w:p w:rsidR="00F25740" w:rsidRPr="00453203" w:rsidRDefault="0035636F"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2.03%</w:t>
            </w:r>
          </w:p>
        </w:tc>
        <w:tc>
          <w:tcPr>
            <w:tcW w:w="900" w:type="dxa"/>
            <w:vAlign w:val="center"/>
          </w:tcPr>
          <w:p w:rsidR="00F25740" w:rsidRPr="00453203" w:rsidRDefault="0035636F"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2.02%</w:t>
            </w:r>
          </w:p>
        </w:tc>
        <w:tc>
          <w:tcPr>
            <w:tcW w:w="900" w:type="dxa"/>
            <w:vAlign w:val="center"/>
          </w:tcPr>
          <w:p w:rsidR="00F25740" w:rsidRPr="00453203" w:rsidRDefault="0035636F" w:rsidP="00643071">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0.08%</w:t>
            </w:r>
          </w:p>
        </w:tc>
      </w:tr>
      <w:tr w:rsidR="00640C24" w:rsidRPr="00453203" w:rsidTr="002767C6">
        <w:trPr>
          <w:trHeight w:val="300"/>
        </w:trPr>
        <w:tc>
          <w:tcPr>
            <w:tcW w:w="1440" w:type="dxa"/>
            <w:vAlign w:val="center"/>
          </w:tcPr>
          <w:p w:rsidR="00BD648F" w:rsidRPr="00453203" w:rsidRDefault="00BD648F" w:rsidP="00BD648F">
            <w:pPr>
              <w:snapToGrid w:val="0"/>
              <w:spacing w:line="360" w:lineRule="auto"/>
              <w:ind w:leftChars="-51" w:left="-107" w:rightChars="-51" w:right="-107"/>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2017年1月1日至</w:t>
            </w:r>
            <w:r w:rsidRPr="00453203">
              <w:rPr>
                <w:rFonts w:asciiTheme="minorEastAsia" w:eastAsiaTheme="minorEastAsia" w:hAnsiTheme="minorEastAsia" w:hint="eastAsia"/>
                <w:szCs w:val="21"/>
              </w:rPr>
              <w:t>2017年</w:t>
            </w:r>
            <w:r w:rsidRPr="00453203">
              <w:rPr>
                <w:rFonts w:asciiTheme="minorEastAsia" w:eastAsiaTheme="minorEastAsia" w:hAnsiTheme="minorEastAsia"/>
                <w:szCs w:val="21"/>
              </w:rPr>
              <w:t>12</w:t>
            </w:r>
            <w:r w:rsidRPr="00453203">
              <w:rPr>
                <w:rFonts w:asciiTheme="minorEastAsia" w:eastAsiaTheme="minorEastAsia" w:hAnsiTheme="minorEastAsia" w:hint="eastAsia"/>
                <w:szCs w:val="21"/>
              </w:rPr>
              <w:lastRenderedPageBreak/>
              <w:t>月31日</w:t>
            </w:r>
          </w:p>
        </w:tc>
        <w:tc>
          <w:tcPr>
            <w:tcW w:w="1080" w:type="dxa"/>
            <w:vAlign w:val="center"/>
          </w:tcPr>
          <w:p w:rsidR="00BD648F" w:rsidRPr="00453203" w:rsidRDefault="00BD648F" w:rsidP="00BD648F">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lastRenderedPageBreak/>
              <w:t>-10.82%</w:t>
            </w:r>
          </w:p>
        </w:tc>
        <w:tc>
          <w:tcPr>
            <w:tcW w:w="1080" w:type="dxa"/>
            <w:vAlign w:val="center"/>
          </w:tcPr>
          <w:p w:rsidR="00BD648F" w:rsidRPr="00453203" w:rsidRDefault="00BD648F" w:rsidP="00BD648F">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0.99%</w:t>
            </w:r>
          </w:p>
        </w:tc>
        <w:tc>
          <w:tcPr>
            <w:tcW w:w="1440" w:type="dxa"/>
            <w:vAlign w:val="center"/>
          </w:tcPr>
          <w:p w:rsidR="00BD648F" w:rsidRPr="00453203" w:rsidRDefault="00BD648F" w:rsidP="00BD648F">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-10.09%</w:t>
            </w:r>
          </w:p>
        </w:tc>
        <w:tc>
          <w:tcPr>
            <w:tcW w:w="1440" w:type="dxa"/>
            <w:vAlign w:val="center"/>
          </w:tcPr>
          <w:p w:rsidR="00BD648F" w:rsidRPr="00453203" w:rsidRDefault="00BD648F" w:rsidP="00BD648F">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0.99%</w:t>
            </w:r>
          </w:p>
        </w:tc>
        <w:tc>
          <w:tcPr>
            <w:tcW w:w="900" w:type="dxa"/>
            <w:vAlign w:val="center"/>
          </w:tcPr>
          <w:p w:rsidR="00BD648F" w:rsidRPr="00453203" w:rsidRDefault="00BD648F" w:rsidP="00BD648F">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-0.73%</w:t>
            </w:r>
          </w:p>
        </w:tc>
        <w:tc>
          <w:tcPr>
            <w:tcW w:w="900" w:type="dxa"/>
            <w:vAlign w:val="center"/>
          </w:tcPr>
          <w:p w:rsidR="00BD648F" w:rsidRPr="00453203" w:rsidRDefault="00BD648F" w:rsidP="00BD648F">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0.00%</w:t>
            </w:r>
          </w:p>
        </w:tc>
      </w:tr>
      <w:tr w:rsidR="00971718" w:rsidRPr="00453203" w:rsidTr="00C70934">
        <w:trPr>
          <w:trHeight w:val="300"/>
        </w:trPr>
        <w:tc>
          <w:tcPr>
            <w:tcW w:w="1440" w:type="dxa"/>
            <w:vAlign w:val="center"/>
          </w:tcPr>
          <w:p w:rsidR="00971718" w:rsidRPr="00453203" w:rsidRDefault="00971718" w:rsidP="00971718">
            <w:pPr>
              <w:snapToGrid w:val="0"/>
              <w:spacing w:line="360" w:lineRule="auto"/>
              <w:ind w:leftChars="-51" w:left="-107" w:rightChars="-51" w:right="-107"/>
              <w:rPr>
                <w:rFonts w:asciiTheme="minorEastAsia" w:eastAsiaTheme="minorEastAsia" w:hAnsiTheme="minorEastAsia"/>
                <w:kern w:val="0"/>
                <w:szCs w:val="21"/>
              </w:rPr>
            </w:pPr>
            <w:r w:rsidRPr="00453203">
              <w:rPr>
                <w:rFonts w:asciiTheme="minorEastAsia" w:eastAsiaTheme="minorEastAsia" w:hAnsiTheme="minorEastAsia"/>
                <w:kern w:val="0"/>
                <w:szCs w:val="21"/>
              </w:rPr>
              <w:t>2018年1月1日至2018年12月31日</w:t>
            </w:r>
          </w:p>
        </w:tc>
        <w:tc>
          <w:tcPr>
            <w:tcW w:w="1080" w:type="dxa"/>
            <w:vAlign w:val="center"/>
          </w:tcPr>
          <w:p w:rsidR="00971718" w:rsidRPr="00453203" w:rsidRDefault="00971718" w:rsidP="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-26.10%</w:t>
            </w:r>
          </w:p>
        </w:tc>
        <w:tc>
          <w:tcPr>
            <w:tcW w:w="1080" w:type="dxa"/>
            <w:vAlign w:val="center"/>
          </w:tcPr>
          <w:p w:rsidR="00971718" w:rsidRPr="00453203" w:rsidRDefault="00971718" w:rsidP="00480112">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1.64%</w:t>
            </w:r>
          </w:p>
        </w:tc>
        <w:tc>
          <w:tcPr>
            <w:tcW w:w="1440" w:type="dxa"/>
            <w:vAlign w:val="center"/>
          </w:tcPr>
          <w:p w:rsidR="00971718" w:rsidRPr="00453203" w:rsidRDefault="00971718" w:rsidP="00480112">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-27.29%</w:t>
            </w:r>
          </w:p>
        </w:tc>
        <w:tc>
          <w:tcPr>
            <w:tcW w:w="1440" w:type="dxa"/>
            <w:vAlign w:val="center"/>
          </w:tcPr>
          <w:p w:rsidR="00971718" w:rsidRPr="00453203" w:rsidRDefault="00971718" w:rsidP="00480112">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1.66%</w:t>
            </w:r>
          </w:p>
        </w:tc>
        <w:tc>
          <w:tcPr>
            <w:tcW w:w="900" w:type="dxa"/>
            <w:vAlign w:val="center"/>
          </w:tcPr>
          <w:p w:rsidR="00971718" w:rsidRPr="00453203" w:rsidRDefault="00971718">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1.19%</w:t>
            </w:r>
          </w:p>
        </w:tc>
        <w:tc>
          <w:tcPr>
            <w:tcW w:w="900" w:type="dxa"/>
            <w:vAlign w:val="center"/>
          </w:tcPr>
          <w:p w:rsidR="00971718" w:rsidRPr="00453203" w:rsidRDefault="00971718">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-0.02%</w:t>
            </w:r>
          </w:p>
        </w:tc>
      </w:tr>
      <w:tr w:rsidR="00EC3A3A" w:rsidRPr="00453203" w:rsidTr="00C70934">
        <w:trPr>
          <w:trHeight w:val="300"/>
        </w:trPr>
        <w:tc>
          <w:tcPr>
            <w:tcW w:w="1440" w:type="dxa"/>
            <w:vAlign w:val="center"/>
          </w:tcPr>
          <w:p w:rsidR="00EC3A3A" w:rsidRPr="00453203" w:rsidRDefault="00EC3A3A" w:rsidP="00EC3A3A">
            <w:pPr>
              <w:snapToGrid w:val="0"/>
              <w:spacing w:line="360" w:lineRule="auto"/>
              <w:ind w:leftChars="-51" w:left="-107" w:rightChars="-51" w:right="-107"/>
              <w:rPr>
                <w:rFonts w:asciiTheme="minorEastAsia" w:eastAsiaTheme="minorEastAsia" w:hAnsiTheme="minorEastAsia"/>
                <w:kern w:val="0"/>
                <w:szCs w:val="21"/>
              </w:rPr>
            </w:pPr>
            <w:r w:rsidRPr="00453203">
              <w:rPr>
                <w:rFonts w:asciiTheme="minorEastAsia" w:eastAsiaTheme="minorEastAsia" w:hAnsiTheme="minorEastAsia"/>
                <w:kern w:val="0"/>
                <w:szCs w:val="21"/>
              </w:rPr>
              <w:t>2019年1月1日至2019年12月31日</w:t>
            </w:r>
          </w:p>
        </w:tc>
        <w:tc>
          <w:tcPr>
            <w:tcW w:w="1080" w:type="dxa"/>
            <w:vAlign w:val="center"/>
          </w:tcPr>
          <w:p w:rsidR="00EC3A3A" w:rsidRPr="00453203" w:rsidRDefault="00EC3A3A" w:rsidP="00EC3A3A">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40.36%</w:t>
            </w:r>
          </w:p>
        </w:tc>
        <w:tc>
          <w:tcPr>
            <w:tcW w:w="1080" w:type="dxa"/>
            <w:vAlign w:val="center"/>
          </w:tcPr>
          <w:p w:rsidR="00EC3A3A" w:rsidRPr="00453203" w:rsidRDefault="00EC3A3A" w:rsidP="00EC3A3A">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1.53%</w:t>
            </w:r>
          </w:p>
        </w:tc>
        <w:tc>
          <w:tcPr>
            <w:tcW w:w="1440" w:type="dxa"/>
            <w:vAlign w:val="center"/>
          </w:tcPr>
          <w:p w:rsidR="00EC3A3A" w:rsidRPr="00453203" w:rsidRDefault="00EC3A3A" w:rsidP="00EC3A3A">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41.45%</w:t>
            </w:r>
          </w:p>
        </w:tc>
        <w:tc>
          <w:tcPr>
            <w:tcW w:w="1440" w:type="dxa"/>
            <w:vAlign w:val="center"/>
          </w:tcPr>
          <w:p w:rsidR="00EC3A3A" w:rsidRPr="00453203" w:rsidRDefault="00EC3A3A" w:rsidP="00EC3A3A">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1.56%</w:t>
            </w:r>
          </w:p>
        </w:tc>
        <w:tc>
          <w:tcPr>
            <w:tcW w:w="900" w:type="dxa"/>
            <w:vAlign w:val="center"/>
          </w:tcPr>
          <w:p w:rsidR="00EC3A3A" w:rsidRPr="00453203" w:rsidRDefault="00EC3A3A" w:rsidP="00EC3A3A">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-1.09%</w:t>
            </w:r>
          </w:p>
        </w:tc>
        <w:tc>
          <w:tcPr>
            <w:tcW w:w="900" w:type="dxa"/>
            <w:vAlign w:val="center"/>
          </w:tcPr>
          <w:p w:rsidR="00EC3A3A" w:rsidRPr="00453203" w:rsidRDefault="00EC3A3A" w:rsidP="00EC3A3A">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-0.03%</w:t>
            </w:r>
          </w:p>
        </w:tc>
      </w:tr>
      <w:tr w:rsidR="00971718" w:rsidRPr="00453203" w:rsidTr="002767C6">
        <w:trPr>
          <w:trHeight w:val="300"/>
        </w:trPr>
        <w:tc>
          <w:tcPr>
            <w:tcW w:w="1440" w:type="dxa"/>
            <w:vAlign w:val="center"/>
          </w:tcPr>
          <w:p w:rsidR="00971718" w:rsidRPr="00453203" w:rsidRDefault="00480112" w:rsidP="00971718">
            <w:pPr>
              <w:snapToGrid w:val="0"/>
              <w:spacing w:line="360" w:lineRule="auto"/>
              <w:ind w:leftChars="-51" w:left="-107" w:rightChars="-51" w:right="-107"/>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自基金合同生效日至</w:t>
            </w:r>
            <w:r w:rsidRPr="00453203">
              <w:rPr>
                <w:rFonts w:asciiTheme="minorEastAsia" w:eastAsiaTheme="minorEastAsia" w:hAnsiTheme="minorEastAsia"/>
                <w:kern w:val="0"/>
                <w:szCs w:val="21"/>
              </w:rPr>
              <w:t>2019年12月31日</w:t>
            </w:r>
          </w:p>
        </w:tc>
        <w:tc>
          <w:tcPr>
            <w:tcW w:w="1080" w:type="dxa"/>
            <w:vAlign w:val="center"/>
          </w:tcPr>
          <w:p w:rsidR="00971718" w:rsidRPr="00453203" w:rsidRDefault="00480112" w:rsidP="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85.43%</w:t>
            </w:r>
          </w:p>
        </w:tc>
        <w:tc>
          <w:tcPr>
            <w:tcW w:w="1080" w:type="dxa"/>
            <w:vAlign w:val="center"/>
          </w:tcPr>
          <w:p w:rsidR="00971718" w:rsidRPr="00453203" w:rsidRDefault="00480112" w:rsidP="00480112">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1.86%</w:t>
            </w:r>
          </w:p>
        </w:tc>
        <w:tc>
          <w:tcPr>
            <w:tcW w:w="1440" w:type="dxa"/>
            <w:vAlign w:val="center"/>
          </w:tcPr>
          <w:p w:rsidR="00971718" w:rsidRPr="00453203" w:rsidRDefault="00480112" w:rsidP="00480112">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106.90%</w:t>
            </w:r>
          </w:p>
        </w:tc>
        <w:tc>
          <w:tcPr>
            <w:tcW w:w="1440" w:type="dxa"/>
            <w:vAlign w:val="center"/>
          </w:tcPr>
          <w:p w:rsidR="00971718" w:rsidRPr="00453203" w:rsidRDefault="00480112" w:rsidP="00480112">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1.87%</w:t>
            </w:r>
          </w:p>
        </w:tc>
        <w:tc>
          <w:tcPr>
            <w:tcW w:w="900" w:type="dxa"/>
            <w:vAlign w:val="center"/>
          </w:tcPr>
          <w:p w:rsidR="00971718" w:rsidRPr="00453203" w:rsidRDefault="00480112">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-21.47%</w:t>
            </w:r>
          </w:p>
        </w:tc>
        <w:tc>
          <w:tcPr>
            <w:tcW w:w="900" w:type="dxa"/>
            <w:vAlign w:val="center"/>
          </w:tcPr>
          <w:p w:rsidR="00971718" w:rsidRPr="00453203" w:rsidRDefault="00480112">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-0.01%</w:t>
            </w:r>
          </w:p>
        </w:tc>
      </w:tr>
    </w:tbl>
    <w:p w:rsidR="00DB129C" w:rsidRPr="00453203" w:rsidRDefault="009F7E86" w:rsidP="003C3BD7">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2、易方达创业板</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联接</w:t>
      </w:r>
      <w:r w:rsidRPr="00453203">
        <w:rPr>
          <w:rFonts w:asciiTheme="minorEastAsia" w:eastAsiaTheme="minorEastAsia" w:hAnsiTheme="minorEastAsia"/>
          <w:szCs w:val="21"/>
        </w:rPr>
        <w:t>C</w:t>
      </w:r>
      <w:r w:rsidRPr="00453203">
        <w:rPr>
          <w:rFonts w:asciiTheme="minorEastAsia" w:eastAsiaTheme="minorEastAsia" w:hAnsiTheme="minorEastAsia" w:hint="eastAsia"/>
          <w:szCs w:val="21"/>
        </w:rPr>
        <w:t>类基金份额净值增长率与同期业绩比较基准收益率比较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1080"/>
        <w:gridCol w:w="1440"/>
        <w:gridCol w:w="1440"/>
        <w:gridCol w:w="900"/>
        <w:gridCol w:w="900"/>
      </w:tblGrid>
      <w:tr w:rsidR="00640C24" w:rsidRPr="00453203" w:rsidTr="00F91471">
        <w:trPr>
          <w:trHeight w:val="315"/>
        </w:trPr>
        <w:tc>
          <w:tcPr>
            <w:tcW w:w="1440" w:type="dxa"/>
            <w:vAlign w:val="center"/>
          </w:tcPr>
          <w:p w:rsidR="009F7E86" w:rsidRPr="00453203" w:rsidRDefault="009F7E86" w:rsidP="00F914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阶段</w:t>
            </w:r>
          </w:p>
        </w:tc>
        <w:tc>
          <w:tcPr>
            <w:tcW w:w="1080" w:type="dxa"/>
            <w:vAlign w:val="center"/>
          </w:tcPr>
          <w:p w:rsidR="009F7E86" w:rsidRPr="00453203" w:rsidRDefault="009F7E86" w:rsidP="00F914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净值增长率（</w:t>
            </w:r>
            <w:r w:rsidRPr="00453203">
              <w:rPr>
                <w:rFonts w:asciiTheme="minorEastAsia" w:eastAsiaTheme="minorEastAsia" w:hAnsiTheme="minorEastAsia"/>
                <w:szCs w:val="21"/>
              </w:rPr>
              <w:t>1）</w:t>
            </w:r>
          </w:p>
        </w:tc>
        <w:tc>
          <w:tcPr>
            <w:tcW w:w="1080" w:type="dxa"/>
            <w:vAlign w:val="center"/>
          </w:tcPr>
          <w:p w:rsidR="009F7E86" w:rsidRPr="00453203" w:rsidRDefault="009F7E86" w:rsidP="00F914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净值增长率标准差（</w:t>
            </w:r>
            <w:r w:rsidRPr="00453203">
              <w:rPr>
                <w:rFonts w:asciiTheme="minorEastAsia" w:eastAsiaTheme="minorEastAsia" w:hAnsiTheme="minorEastAsia"/>
                <w:szCs w:val="21"/>
              </w:rPr>
              <w:t>2）</w:t>
            </w:r>
          </w:p>
        </w:tc>
        <w:tc>
          <w:tcPr>
            <w:tcW w:w="1440" w:type="dxa"/>
            <w:vAlign w:val="center"/>
          </w:tcPr>
          <w:p w:rsidR="009F7E86" w:rsidRPr="00453203" w:rsidRDefault="009F7E86" w:rsidP="00F914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业绩比较基准收益率（</w:t>
            </w:r>
            <w:r w:rsidRPr="00453203">
              <w:rPr>
                <w:rFonts w:asciiTheme="minorEastAsia" w:eastAsiaTheme="minorEastAsia" w:hAnsiTheme="minorEastAsia"/>
                <w:szCs w:val="21"/>
              </w:rPr>
              <w:t>3）</w:t>
            </w:r>
          </w:p>
        </w:tc>
        <w:tc>
          <w:tcPr>
            <w:tcW w:w="1440" w:type="dxa"/>
            <w:vAlign w:val="center"/>
          </w:tcPr>
          <w:p w:rsidR="009F7E86" w:rsidRPr="00453203" w:rsidRDefault="009F7E86" w:rsidP="00F91471">
            <w:pPr>
              <w:snapToGrid w:val="0"/>
              <w:spacing w:line="360" w:lineRule="auto"/>
              <w:jc w:val="center"/>
              <w:rPr>
                <w:rFonts w:asciiTheme="minorEastAsia" w:eastAsiaTheme="minorEastAsia" w:hAnsiTheme="minorEastAsia" w:cs="Arial Unicode MS"/>
                <w:szCs w:val="21"/>
              </w:rPr>
            </w:pPr>
            <w:r w:rsidRPr="00453203">
              <w:rPr>
                <w:rFonts w:asciiTheme="minorEastAsia" w:eastAsiaTheme="minorEastAsia" w:hAnsiTheme="minorEastAsia" w:hint="eastAsia"/>
                <w:szCs w:val="21"/>
              </w:rPr>
              <w:t>业绩比较基准收益率标准差（</w:t>
            </w:r>
            <w:r w:rsidRPr="00453203">
              <w:rPr>
                <w:rFonts w:asciiTheme="minorEastAsia" w:eastAsiaTheme="minorEastAsia" w:hAnsiTheme="minorEastAsia"/>
                <w:szCs w:val="21"/>
              </w:rPr>
              <w:t>4）</w:t>
            </w:r>
          </w:p>
        </w:tc>
        <w:tc>
          <w:tcPr>
            <w:tcW w:w="900" w:type="dxa"/>
            <w:vAlign w:val="center"/>
          </w:tcPr>
          <w:p w:rsidR="009F7E86" w:rsidRPr="00453203" w:rsidRDefault="009F7E86" w:rsidP="00F91471">
            <w:pPr>
              <w:snapToGrid w:val="0"/>
              <w:spacing w:line="360" w:lineRule="auto"/>
              <w:ind w:leftChars="-51" w:left="-107" w:rightChars="-51" w:right="-107"/>
              <w:jc w:val="center"/>
              <w:rPr>
                <w:rFonts w:asciiTheme="minorEastAsia" w:eastAsiaTheme="minorEastAsia" w:hAnsiTheme="minorEastAsia"/>
                <w:szCs w:val="21"/>
              </w:rPr>
            </w:pP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(3)</w:t>
            </w:r>
          </w:p>
        </w:tc>
        <w:tc>
          <w:tcPr>
            <w:tcW w:w="900" w:type="dxa"/>
            <w:vAlign w:val="center"/>
          </w:tcPr>
          <w:p w:rsidR="009F7E86" w:rsidRPr="00453203" w:rsidRDefault="009F7E86" w:rsidP="00F91471">
            <w:pPr>
              <w:snapToGrid w:val="0"/>
              <w:spacing w:line="360" w:lineRule="auto"/>
              <w:ind w:leftChars="-51" w:left="-107"/>
              <w:jc w:val="center"/>
              <w:rPr>
                <w:rFonts w:asciiTheme="minorEastAsia" w:eastAsiaTheme="minorEastAsia" w:hAnsiTheme="minorEastAsia"/>
                <w:szCs w:val="21"/>
              </w:rPr>
            </w:pP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(4)</w:t>
            </w:r>
          </w:p>
        </w:tc>
      </w:tr>
      <w:tr w:rsidR="00C70934" w:rsidRPr="00453203" w:rsidTr="00F91471">
        <w:trPr>
          <w:trHeight w:val="315"/>
        </w:trPr>
        <w:tc>
          <w:tcPr>
            <w:tcW w:w="1440" w:type="dxa"/>
            <w:vAlign w:val="center"/>
          </w:tcPr>
          <w:p w:rsidR="00C70934" w:rsidRPr="00453203" w:rsidRDefault="00C70934" w:rsidP="00C70934">
            <w:pPr>
              <w:snapToGrid w:val="0"/>
              <w:spacing w:line="360" w:lineRule="auto"/>
              <w:jc w:val="left"/>
              <w:rPr>
                <w:rFonts w:asciiTheme="minorEastAsia" w:eastAsiaTheme="minorEastAsia" w:hAnsiTheme="minorEastAsia"/>
                <w:szCs w:val="21"/>
              </w:rPr>
            </w:pPr>
            <w:r w:rsidRPr="00453203">
              <w:rPr>
                <w:rFonts w:asciiTheme="minorEastAsia" w:eastAsiaTheme="minorEastAsia" w:hAnsiTheme="minorEastAsia" w:hint="eastAsia"/>
                <w:szCs w:val="21"/>
              </w:rPr>
              <w:t>2017年6月5日至2017年12月31日</w:t>
            </w:r>
          </w:p>
        </w:tc>
        <w:tc>
          <w:tcPr>
            <w:tcW w:w="1080" w:type="dxa"/>
            <w:vAlign w:val="center"/>
          </w:tcPr>
          <w:p w:rsidR="00C70934" w:rsidRPr="00453203" w:rsidRDefault="00C70934" w:rsidP="00C70934">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-1.18%</w:t>
            </w:r>
          </w:p>
        </w:tc>
        <w:tc>
          <w:tcPr>
            <w:tcW w:w="1080" w:type="dxa"/>
            <w:vAlign w:val="center"/>
          </w:tcPr>
          <w:p w:rsidR="00C70934" w:rsidRPr="00453203" w:rsidRDefault="00C70934" w:rsidP="00C70934">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1.04%</w:t>
            </w:r>
          </w:p>
        </w:tc>
        <w:tc>
          <w:tcPr>
            <w:tcW w:w="1440" w:type="dxa"/>
            <w:vAlign w:val="center"/>
          </w:tcPr>
          <w:p w:rsidR="00C70934" w:rsidRPr="00453203" w:rsidRDefault="00C70934" w:rsidP="00C70934">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0.42%</w:t>
            </w:r>
          </w:p>
        </w:tc>
        <w:tc>
          <w:tcPr>
            <w:tcW w:w="1440" w:type="dxa"/>
            <w:vAlign w:val="center"/>
          </w:tcPr>
          <w:p w:rsidR="00C70934" w:rsidRPr="00453203" w:rsidRDefault="00C70934" w:rsidP="00C70934">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1.02%</w:t>
            </w:r>
          </w:p>
        </w:tc>
        <w:tc>
          <w:tcPr>
            <w:tcW w:w="900" w:type="dxa"/>
            <w:vAlign w:val="center"/>
          </w:tcPr>
          <w:p w:rsidR="00C70934" w:rsidRPr="00453203" w:rsidRDefault="00C70934" w:rsidP="00C70934">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-1.60%</w:t>
            </w:r>
          </w:p>
        </w:tc>
        <w:tc>
          <w:tcPr>
            <w:tcW w:w="900" w:type="dxa"/>
            <w:vAlign w:val="center"/>
          </w:tcPr>
          <w:p w:rsidR="00C70934" w:rsidRPr="00453203" w:rsidRDefault="00C70934" w:rsidP="00C70934">
            <w:pPr>
              <w:snapToGrid w:val="0"/>
              <w:spacing w:line="360" w:lineRule="auto"/>
              <w:ind w:leftChars="-51" w:left="-107"/>
              <w:jc w:val="center"/>
              <w:rPr>
                <w:rFonts w:asciiTheme="minorEastAsia" w:eastAsiaTheme="minorEastAsia" w:hAnsiTheme="minorEastAsia"/>
                <w:szCs w:val="21"/>
              </w:rPr>
            </w:pPr>
            <w:r w:rsidRPr="00453203">
              <w:rPr>
                <w:rFonts w:asciiTheme="minorEastAsia" w:eastAsiaTheme="minorEastAsia" w:hAnsiTheme="minorEastAsia"/>
                <w:szCs w:val="21"/>
              </w:rPr>
              <w:t>0.02%</w:t>
            </w:r>
          </w:p>
        </w:tc>
      </w:tr>
      <w:tr w:rsidR="00971718" w:rsidRPr="00453203" w:rsidTr="009F7E86">
        <w:trPr>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971718" w:rsidRPr="00453203" w:rsidRDefault="00971718" w:rsidP="00971718">
            <w:pPr>
              <w:snapToGrid w:val="0"/>
              <w:spacing w:line="360" w:lineRule="auto"/>
              <w:jc w:val="left"/>
              <w:rPr>
                <w:rFonts w:asciiTheme="minorEastAsia" w:eastAsiaTheme="minorEastAsia" w:hAnsiTheme="minorEastAsia"/>
                <w:szCs w:val="21"/>
              </w:rPr>
            </w:pPr>
            <w:r w:rsidRPr="00453203">
              <w:rPr>
                <w:rFonts w:asciiTheme="minorEastAsia" w:eastAsiaTheme="minorEastAsia" w:hAnsiTheme="minorEastAsia"/>
                <w:szCs w:val="21"/>
              </w:rPr>
              <w:t>2018年1月1日至2018年12月31日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971718" w:rsidRPr="00453203" w:rsidRDefault="00971718" w:rsidP="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-26.25%</w:t>
            </w:r>
          </w:p>
        </w:tc>
        <w:tc>
          <w:tcPr>
            <w:tcW w:w="1080" w:type="dxa"/>
            <w:tcBorders>
              <w:top w:val="single" w:sz="4" w:space="0" w:color="auto"/>
              <w:left w:val="single" w:sz="4" w:space="0" w:color="auto"/>
              <w:bottom w:val="single" w:sz="4" w:space="0" w:color="auto"/>
              <w:right w:val="single" w:sz="4" w:space="0" w:color="auto"/>
            </w:tcBorders>
            <w:vAlign w:val="center"/>
          </w:tcPr>
          <w:p w:rsidR="00971718" w:rsidRPr="00453203" w:rsidRDefault="00971718" w:rsidP="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1.64%</w:t>
            </w:r>
          </w:p>
        </w:tc>
        <w:tc>
          <w:tcPr>
            <w:tcW w:w="1440" w:type="dxa"/>
            <w:tcBorders>
              <w:top w:val="single" w:sz="4" w:space="0" w:color="auto"/>
              <w:left w:val="single" w:sz="4" w:space="0" w:color="auto"/>
              <w:bottom w:val="single" w:sz="4" w:space="0" w:color="auto"/>
              <w:right w:val="single" w:sz="4" w:space="0" w:color="auto"/>
            </w:tcBorders>
            <w:vAlign w:val="center"/>
          </w:tcPr>
          <w:p w:rsidR="00971718" w:rsidRPr="00453203" w:rsidRDefault="00971718" w:rsidP="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-27.29%</w:t>
            </w:r>
          </w:p>
        </w:tc>
        <w:tc>
          <w:tcPr>
            <w:tcW w:w="1440" w:type="dxa"/>
            <w:tcBorders>
              <w:top w:val="single" w:sz="4" w:space="0" w:color="auto"/>
              <w:left w:val="single" w:sz="4" w:space="0" w:color="auto"/>
              <w:bottom w:val="single" w:sz="4" w:space="0" w:color="auto"/>
              <w:right w:val="single" w:sz="4" w:space="0" w:color="auto"/>
            </w:tcBorders>
            <w:vAlign w:val="center"/>
          </w:tcPr>
          <w:p w:rsidR="00971718" w:rsidRPr="00453203" w:rsidRDefault="00971718">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1.66%</w:t>
            </w:r>
          </w:p>
        </w:tc>
        <w:tc>
          <w:tcPr>
            <w:tcW w:w="900" w:type="dxa"/>
            <w:tcBorders>
              <w:top w:val="single" w:sz="4" w:space="0" w:color="auto"/>
              <w:left w:val="single" w:sz="4" w:space="0" w:color="auto"/>
              <w:bottom w:val="single" w:sz="4" w:space="0" w:color="auto"/>
              <w:right w:val="single" w:sz="4" w:space="0" w:color="auto"/>
            </w:tcBorders>
            <w:vAlign w:val="center"/>
          </w:tcPr>
          <w:p w:rsidR="00971718" w:rsidRPr="00453203" w:rsidRDefault="00971718">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1.04%</w:t>
            </w:r>
          </w:p>
        </w:tc>
        <w:tc>
          <w:tcPr>
            <w:tcW w:w="900" w:type="dxa"/>
            <w:tcBorders>
              <w:top w:val="single" w:sz="4" w:space="0" w:color="auto"/>
              <w:left w:val="single" w:sz="4" w:space="0" w:color="auto"/>
              <w:bottom w:val="single" w:sz="4" w:space="0" w:color="auto"/>
              <w:right w:val="single" w:sz="4" w:space="0" w:color="auto"/>
            </w:tcBorders>
            <w:vAlign w:val="center"/>
          </w:tcPr>
          <w:p w:rsidR="00971718" w:rsidRPr="00453203" w:rsidRDefault="00971718">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-0.02%</w:t>
            </w:r>
          </w:p>
        </w:tc>
      </w:tr>
      <w:tr w:rsidR="00EC3A3A" w:rsidRPr="00453203" w:rsidTr="009F7E86">
        <w:trPr>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EC3A3A" w:rsidRPr="00453203" w:rsidRDefault="00EC3A3A" w:rsidP="00EC3A3A">
            <w:pPr>
              <w:snapToGrid w:val="0"/>
              <w:spacing w:line="360" w:lineRule="auto"/>
              <w:jc w:val="left"/>
              <w:rPr>
                <w:rFonts w:asciiTheme="minorEastAsia" w:eastAsiaTheme="minorEastAsia" w:hAnsiTheme="minorEastAsia"/>
                <w:szCs w:val="21"/>
              </w:rPr>
            </w:pPr>
            <w:r w:rsidRPr="00453203">
              <w:rPr>
                <w:rFonts w:asciiTheme="minorEastAsia" w:eastAsiaTheme="minorEastAsia" w:hAnsiTheme="minorEastAsia"/>
                <w:szCs w:val="21"/>
              </w:rPr>
              <w:t>2019年1月1日至2019年12月31日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EC3A3A" w:rsidRPr="00453203" w:rsidRDefault="00EC3A3A" w:rsidP="00EC3A3A">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39.79%</w:t>
            </w:r>
          </w:p>
        </w:tc>
        <w:tc>
          <w:tcPr>
            <w:tcW w:w="1080" w:type="dxa"/>
            <w:tcBorders>
              <w:top w:val="single" w:sz="4" w:space="0" w:color="auto"/>
              <w:left w:val="single" w:sz="4" w:space="0" w:color="auto"/>
              <w:bottom w:val="single" w:sz="4" w:space="0" w:color="auto"/>
              <w:right w:val="single" w:sz="4" w:space="0" w:color="auto"/>
            </w:tcBorders>
            <w:vAlign w:val="center"/>
          </w:tcPr>
          <w:p w:rsidR="00EC3A3A" w:rsidRPr="00453203" w:rsidRDefault="00EC3A3A" w:rsidP="00EC3A3A">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1.53%</w:t>
            </w:r>
          </w:p>
        </w:tc>
        <w:tc>
          <w:tcPr>
            <w:tcW w:w="1440" w:type="dxa"/>
            <w:tcBorders>
              <w:top w:val="single" w:sz="4" w:space="0" w:color="auto"/>
              <w:left w:val="single" w:sz="4" w:space="0" w:color="auto"/>
              <w:bottom w:val="single" w:sz="4" w:space="0" w:color="auto"/>
              <w:right w:val="single" w:sz="4" w:space="0" w:color="auto"/>
            </w:tcBorders>
            <w:vAlign w:val="center"/>
          </w:tcPr>
          <w:p w:rsidR="00EC3A3A" w:rsidRPr="00453203" w:rsidRDefault="00EC3A3A" w:rsidP="00EC3A3A">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41.45%</w:t>
            </w:r>
          </w:p>
        </w:tc>
        <w:tc>
          <w:tcPr>
            <w:tcW w:w="1440" w:type="dxa"/>
            <w:tcBorders>
              <w:top w:val="single" w:sz="4" w:space="0" w:color="auto"/>
              <w:left w:val="single" w:sz="4" w:space="0" w:color="auto"/>
              <w:bottom w:val="single" w:sz="4" w:space="0" w:color="auto"/>
              <w:right w:val="single" w:sz="4" w:space="0" w:color="auto"/>
            </w:tcBorders>
            <w:vAlign w:val="center"/>
          </w:tcPr>
          <w:p w:rsidR="00EC3A3A" w:rsidRPr="00453203" w:rsidRDefault="00EC3A3A" w:rsidP="00EC3A3A">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1.56%</w:t>
            </w:r>
          </w:p>
        </w:tc>
        <w:tc>
          <w:tcPr>
            <w:tcW w:w="900" w:type="dxa"/>
            <w:tcBorders>
              <w:top w:val="single" w:sz="4" w:space="0" w:color="auto"/>
              <w:left w:val="single" w:sz="4" w:space="0" w:color="auto"/>
              <w:bottom w:val="single" w:sz="4" w:space="0" w:color="auto"/>
              <w:right w:val="single" w:sz="4" w:space="0" w:color="auto"/>
            </w:tcBorders>
            <w:vAlign w:val="center"/>
          </w:tcPr>
          <w:p w:rsidR="00EC3A3A" w:rsidRPr="00453203" w:rsidRDefault="00EC3A3A" w:rsidP="00EC3A3A">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-1.66%</w:t>
            </w:r>
          </w:p>
        </w:tc>
        <w:tc>
          <w:tcPr>
            <w:tcW w:w="900" w:type="dxa"/>
            <w:tcBorders>
              <w:top w:val="single" w:sz="4" w:space="0" w:color="auto"/>
              <w:left w:val="single" w:sz="4" w:space="0" w:color="auto"/>
              <w:bottom w:val="single" w:sz="4" w:space="0" w:color="auto"/>
              <w:right w:val="single" w:sz="4" w:space="0" w:color="auto"/>
            </w:tcBorders>
            <w:vAlign w:val="center"/>
          </w:tcPr>
          <w:p w:rsidR="00EC3A3A" w:rsidRPr="00453203" w:rsidRDefault="00EC3A3A" w:rsidP="00EC3A3A">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-0.03%</w:t>
            </w:r>
          </w:p>
        </w:tc>
      </w:tr>
      <w:tr w:rsidR="00971718" w:rsidRPr="00453203" w:rsidTr="009F7E86">
        <w:trPr>
          <w:trHeight w:val="315"/>
        </w:trPr>
        <w:tc>
          <w:tcPr>
            <w:tcW w:w="1440" w:type="dxa"/>
            <w:tcBorders>
              <w:top w:val="single" w:sz="4" w:space="0" w:color="auto"/>
              <w:left w:val="single" w:sz="4" w:space="0" w:color="auto"/>
              <w:bottom w:val="single" w:sz="4" w:space="0" w:color="auto"/>
              <w:right w:val="single" w:sz="4" w:space="0" w:color="auto"/>
            </w:tcBorders>
            <w:vAlign w:val="center"/>
          </w:tcPr>
          <w:p w:rsidR="00971718" w:rsidRPr="00453203" w:rsidRDefault="00EC3A3A" w:rsidP="00971718">
            <w:pPr>
              <w:snapToGrid w:val="0"/>
              <w:spacing w:line="360" w:lineRule="auto"/>
              <w:jc w:val="left"/>
              <w:rPr>
                <w:rFonts w:asciiTheme="minorEastAsia" w:eastAsiaTheme="minorEastAsia" w:hAnsiTheme="minorEastAsia"/>
                <w:szCs w:val="21"/>
              </w:rPr>
            </w:pPr>
            <w:r w:rsidRPr="00453203">
              <w:rPr>
                <w:rFonts w:asciiTheme="minorEastAsia" w:eastAsiaTheme="minorEastAsia" w:hAnsiTheme="minorEastAsia" w:hint="eastAsia"/>
                <w:szCs w:val="21"/>
              </w:rPr>
              <w:t>2017年6月5日</w:t>
            </w:r>
            <w:r w:rsidR="00480112" w:rsidRPr="00453203">
              <w:rPr>
                <w:rFonts w:asciiTheme="minorEastAsia" w:eastAsiaTheme="minorEastAsia" w:hAnsiTheme="minorEastAsia" w:hint="eastAsia"/>
                <w:szCs w:val="21"/>
              </w:rPr>
              <w:t>至</w:t>
            </w:r>
            <w:r w:rsidR="00480112" w:rsidRPr="00453203">
              <w:rPr>
                <w:rFonts w:asciiTheme="minorEastAsia" w:eastAsiaTheme="minorEastAsia" w:hAnsiTheme="minorEastAsia"/>
                <w:szCs w:val="21"/>
              </w:rPr>
              <w:t>2019年12月31日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971718" w:rsidRPr="00453203" w:rsidRDefault="00480112" w:rsidP="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1.88%</w:t>
            </w:r>
          </w:p>
        </w:tc>
        <w:tc>
          <w:tcPr>
            <w:tcW w:w="1080" w:type="dxa"/>
            <w:tcBorders>
              <w:top w:val="single" w:sz="4" w:space="0" w:color="auto"/>
              <w:left w:val="single" w:sz="4" w:space="0" w:color="auto"/>
              <w:bottom w:val="single" w:sz="4" w:space="0" w:color="auto"/>
              <w:right w:val="single" w:sz="4" w:space="0" w:color="auto"/>
            </w:tcBorders>
            <w:vAlign w:val="center"/>
          </w:tcPr>
          <w:p w:rsidR="00971718" w:rsidRPr="00453203" w:rsidRDefault="00480112" w:rsidP="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1.48%</w:t>
            </w:r>
          </w:p>
        </w:tc>
        <w:tc>
          <w:tcPr>
            <w:tcW w:w="1440" w:type="dxa"/>
            <w:tcBorders>
              <w:top w:val="single" w:sz="4" w:space="0" w:color="auto"/>
              <w:left w:val="single" w:sz="4" w:space="0" w:color="auto"/>
              <w:bottom w:val="single" w:sz="4" w:space="0" w:color="auto"/>
              <w:right w:val="single" w:sz="4" w:space="0" w:color="auto"/>
            </w:tcBorders>
            <w:vAlign w:val="center"/>
          </w:tcPr>
          <w:p w:rsidR="00971718" w:rsidRPr="00453203" w:rsidRDefault="00480112" w:rsidP="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3.27%</w:t>
            </w:r>
          </w:p>
        </w:tc>
        <w:tc>
          <w:tcPr>
            <w:tcW w:w="1440" w:type="dxa"/>
            <w:tcBorders>
              <w:top w:val="single" w:sz="4" w:space="0" w:color="auto"/>
              <w:left w:val="single" w:sz="4" w:space="0" w:color="auto"/>
              <w:bottom w:val="single" w:sz="4" w:space="0" w:color="auto"/>
              <w:right w:val="single" w:sz="4" w:space="0" w:color="auto"/>
            </w:tcBorders>
            <w:vAlign w:val="center"/>
          </w:tcPr>
          <w:p w:rsidR="00971718" w:rsidRPr="00453203" w:rsidRDefault="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1.50%</w:t>
            </w:r>
          </w:p>
        </w:tc>
        <w:tc>
          <w:tcPr>
            <w:tcW w:w="900" w:type="dxa"/>
            <w:tcBorders>
              <w:top w:val="single" w:sz="4" w:space="0" w:color="auto"/>
              <w:left w:val="single" w:sz="4" w:space="0" w:color="auto"/>
              <w:bottom w:val="single" w:sz="4" w:space="0" w:color="auto"/>
              <w:right w:val="single" w:sz="4" w:space="0" w:color="auto"/>
            </w:tcBorders>
            <w:vAlign w:val="center"/>
          </w:tcPr>
          <w:p w:rsidR="00971718" w:rsidRPr="00453203" w:rsidRDefault="00480112">
            <w:pPr>
              <w:snapToGrid w:val="0"/>
              <w:spacing w:line="360" w:lineRule="auto"/>
              <w:ind w:leftChars="-51" w:left="-107" w:rightChars="-51" w:right="-107"/>
              <w:jc w:val="right"/>
              <w:rPr>
                <w:rFonts w:asciiTheme="minorEastAsia" w:eastAsiaTheme="minorEastAsia" w:hAnsiTheme="minorEastAsia"/>
                <w:szCs w:val="21"/>
              </w:rPr>
            </w:pPr>
            <w:r w:rsidRPr="00453203">
              <w:rPr>
                <w:rFonts w:asciiTheme="minorEastAsia" w:eastAsiaTheme="minorEastAsia" w:hAnsiTheme="minorEastAsia"/>
                <w:szCs w:val="21"/>
              </w:rPr>
              <w:t>-1.39%</w:t>
            </w:r>
          </w:p>
        </w:tc>
        <w:tc>
          <w:tcPr>
            <w:tcW w:w="900" w:type="dxa"/>
            <w:tcBorders>
              <w:top w:val="single" w:sz="4" w:space="0" w:color="auto"/>
              <w:left w:val="single" w:sz="4" w:space="0" w:color="auto"/>
              <w:bottom w:val="single" w:sz="4" w:space="0" w:color="auto"/>
              <w:right w:val="single" w:sz="4" w:space="0" w:color="auto"/>
            </w:tcBorders>
            <w:vAlign w:val="center"/>
          </w:tcPr>
          <w:p w:rsidR="00971718" w:rsidRPr="00453203" w:rsidRDefault="00480112">
            <w:pPr>
              <w:snapToGrid w:val="0"/>
              <w:spacing w:line="360" w:lineRule="auto"/>
              <w:ind w:leftChars="-51" w:left="-107"/>
              <w:jc w:val="right"/>
              <w:rPr>
                <w:rFonts w:asciiTheme="minorEastAsia" w:eastAsiaTheme="minorEastAsia" w:hAnsiTheme="minorEastAsia"/>
                <w:szCs w:val="21"/>
              </w:rPr>
            </w:pPr>
            <w:r w:rsidRPr="00453203">
              <w:rPr>
                <w:rFonts w:asciiTheme="minorEastAsia" w:eastAsiaTheme="minorEastAsia" w:hAnsiTheme="minorEastAsia"/>
                <w:szCs w:val="21"/>
              </w:rPr>
              <w:t>-0.02%</w:t>
            </w:r>
          </w:p>
        </w:tc>
      </w:tr>
    </w:tbl>
    <w:p w:rsidR="009F7E86" w:rsidRPr="00453203" w:rsidRDefault="009F7E86" w:rsidP="009F7E86">
      <w:pPr>
        <w:tabs>
          <w:tab w:val="left" w:pos="426"/>
        </w:tabs>
        <w:spacing w:line="360" w:lineRule="auto"/>
        <w:ind w:firstLineChars="200" w:firstLine="420"/>
        <w:jc w:val="left"/>
        <w:rPr>
          <w:rFonts w:asciiTheme="minorEastAsia" w:eastAsiaTheme="minorEastAsia" w:hAnsiTheme="minorEastAsia"/>
          <w:kern w:val="0"/>
          <w:szCs w:val="21"/>
        </w:rPr>
      </w:pPr>
      <w:r w:rsidRPr="00453203">
        <w:rPr>
          <w:rFonts w:asciiTheme="minorEastAsia" w:eastAsiaTheme="minorEastAsia" w:hAnsiTheme="minorEastAsia" w:hint="eastAsia"/>
          <w:kern w:val="0"/>
          <w:szCs w:val="21"/>
        </w:rPr>
        <w:t>注：自</w:t>
      </w:r>
      <w:r w:rsidRPr="00453203">
        <w:rPr>
          <w:rFonts w:asciiTheme="minorEastAsia" w:eastAsiaTheme="minorEastAsia" w:hAnsiTheme="minorEastAsia"/>
          <w:kern w:val="0"/>
          <w:szCs w:val="21"/>
        </w:rPr>
        <w:t>2017</w:t>
      </w:r>
      <w:r w:rsidRPr="00453203">
        <w:rPr>
          <w:rFonts w:asciiTheme="minorEastAsia" w:eastAsiaTheme="minorEastAsia" w:hAnsiTheme="minorEastAsia" w:hint="eastAsia"/>
          <w:kern w:val="0"/>
          <w:szCs w:val="21"/>
        </w:rPr>
        <w:t>年</w:t>
      </w:r>
      <w:r w:rsidRPr="00453203">
        <w:rPr>
          <w:rFonts w:asciiTheme="minorEastAsia" w:eastAsiaTheme="minorEastAsia" w:hAnsiTheme="minorEastAsia"/>
          <w:kern w:val="0"/>
          <w:szCs w:val="21"/>
        </w:rPr>
        <w:t>6</w:t>
      </w:r>
      <w:r w:rsidRPr="00453203">
        <w:rPr>
          <w:rFonts w:asciiTheme="minorEastAsia" w:eastAsiaTheme="minorEastAsia" w:hAnsiTheme="minorEastAsia" w:hint="eastAsia"/>
          <w:kern w:val="0"/>
          <w:szCs w:val="21"/>
        </w:rPr>
        <w:t>月</w:t>
      </w:r>
      <w:r w:rsidRPr="00453203">
        <w:rPr>
          <w:rFonts w:asciiTheme="minorEastAsia" w:eastAsiaTheme="minorEastAsia" w:hAnsiTheme="minorEastAsia"/>
          <w:kern w:val="0"/>
          <w:szCs w:val="21"/>
        </w:rPr>
        <w:t>2</w:t>
      </w:r>
      <w:r w:rsidRPr="00453203">
        <w:rPr>
          <w:rFonts w:asciiTheme="minorEastAsia" w:eastAsiaTheme="minorEastAsia" w:hAnsiTheme="minorEastAsia" w:hint="eastAsia"/>
          <w:kern w:val="0"/>
          <w:szCs w:val="21"/>
        </w:rPr>
        <w:t>日起，本基金增设</w:t>
      </w:r>
      <w:r w:rsidRPr="00453203">
        <w:rPr>
          <w:rFonts w:asciiTheme="minorEastAsia" w:eastAsiaTheme="minorEastAsia" w:hAnsiTheme="minorEastAsia"/>
          <w:kern w:val="0"/>
          <w:szCs w:val="21"/>
        </w:rPr>
        <w:t>C</w:t>
      </w:r>
      <w:r w:rsidRPr="00453203">
        <w:rPr>
          <w:rFonts w:asciiTheme="minorEastAsia" w:eastAsiaTheme="minorEastAsia" w:hAnsiTheme="minorEastAsia" w:hint="eastAsia"/>
          <w:kern w:val="0"/>
          <w:szCs w:val="21"/>
        </w:rPr>
        <w:t>类份额类别，份额首次确认日为</w:t>
      </w:r>
      <w:r w:rsidRPr="00453203">
        <w:rPr>
          <w:rFonts w:asciiTheme="minorEastAsia" w:eastAsiaTheme="minorEastAsia" w:hAnsiTheme="minorEastAsia"/>
          <w:kern w:val="0"/>
          <w:szCs w:val="21"/>
        </w:rPr>
        <w:t>2017</w:t>
      </w:r>
      <w:r w:rsidRPr="00453203">
        <w:rPr>
          <w:rFonts w:asciiTheme="minorEastAsia" w:eastAsiaTheme="minorEastAsia" w:hAnsiTheme="minorEastAsia" w:hint="eastAsia"/>
          <w:kern w:val="0"/>
          <w:szCs w:val="21"/>
        </w:rPr>
        <w:t>年</w:t>
      </w:r>
      <w:r w:rsidRPr="00453203">
        <w:rPr>
          <w:rFonts w:asciiTheme="minorEastAsia" w:eastAsiaTheme="minorEastAsia" w:hAnsiTheme="minorEastAsia"/>
          <w:kern w:val="0"/>
          <w:szCs w:val="21"/>
        </w:rPr>
        <w:t>6</w:t>
      </w:r>
      <w:r w:rsidRPr="00453203">
        <w:rPr>
          <w:rFonts w:asciiTheme="minorEastAsia" w:eastAsiaTheme="minorEastAsia" w:hAnsiTheme="minorEastAsia" w:hint="eastAsia"/>
          <w:kern w:val="0"/>
          <w:szCs w:val="21"/>
        </w:rPr>
        <w:t>月</w:t>
      </w:r>
      <w:r w:rsidRPr="00453203">
        <w:rPr>
          <w:rFonts w:asciiTheme="minorEastAsia" w:eastAsiaTheme="minorEastAsia" w:hAnsiTheme="minorEastAsia"/>
          <w:kern w:val="0"/>
          <w:szCs w:val="21"/>
        </w:rPr>
        <w:t>5</w:t>
      </w:r>
      <w:r w:rsidRPr="00453203">
        <w:rPr>
          <w:rFonts w:asciiTheme="minorEastAsia" w:eastAsiaTheme="minorEastAsia" w:hAnsiTheme="minorEastAsia" w:hint="eastAsia"/>
          <w:kern w:val="0"/>
          <w:szCs w:val="21"/>
        </w:rPr>
        <w:t>日。</w:t>
      </w:r>
    </w:p>
    <w:p w:rsidR="00073464" w:rsidRPr="00453203" w:rsidRDefault="00073464" w:rsidP="00643071">
      <w:pPr>
        <w:snapToGrid w:val="0"/>
        <w:spacing w:line="360" w:lineRule="auto"/>
        <w:rPr>
          <w:rFonts w:asciiTheme="minorEastAsia" w:eastAsiaTheme="minorEastAsia" w:hAnsiTheme="minorEastAsia"/>
        </w:rPr>
        <w:sectPr w:rsidR="00073464" w:rsidRPr="00453203" w:rsidSect="00F67DBE">
          <w:pgSz w:w="11907" w:h="16840" w:code="9"/>
          <w:pgMar w:top="1701" w:right="1814" w:bottom="1701" w:left="1814" w:header="1134" w:footer="1247" w:gutter="0"/>
          <w:cols w:space="425"/>
          <w:docGrid w:type="lines" w:linePitch="312"/>
        </w:sectPr>
      </w:pPr>
    </w:p>
    <w:p w:rsidR="00266A27" w:rsidRPr="00453203" w:rsidRDefault="00EE173D" w:rsidP="00741477">
      <w:pPr>
        <w:pStyle w:val="1"/>
        <w:snapToGrid w:val="0"/>
        <w:spacing w:beforeLines="0" w:afterLines="0" w:line="360" w:lineRule="auto"/>
        <w:ind w:firstLineChars="0" w:firstLine="0"/>
        <w:rPr>
          <w:rFonts w:asciiTheme="minorEastAsia" w:eastAsiaTheme="minorEastAsia" w:hAnsiTheme="minorEastAsia"/>
          <w:bCs/>
        </w:rPr>
      </w:pPr>
      <w:bookmarkStart w:id="130" w:name="_Toc34834730"/>
      <w:r w:rsidRPr="00453203">
        <w:rPr>
          <w:rFonts w:asciiTheme="minorEastAsia" w:eastAsiaTheme="minorEastAsia" w:hAnsiTheme="minorEastAsia" w:hint="eastAsia"/>
          <w:bCs/>
        </w:rPr>
        <w:lastRenderedPageBreak/>
        <w:t>十三</w:t>
      </w:r>
      <w:r w:rsidR="00266A27" w:rsidRPr="00453203">
        <w:rPr>
          <w:rFonts w:asciiTheme="minorEastAsia" w:eastAsiaTheme="minorEastAsia" w:hAnsiTheme="minorEastAsia" w:hint="eastAsia"/>
          <w:bCs/>
        </w:rPr>
        <w:t>、基金的财产</w:t>
      </w:r>
      <w:bookmarkEnd w:id="130"/>
    </w:p>
    <w:p w:rsidR="00593144"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31" w:name="_Toc34834731"/>
      <w:r w:rsidRPr="00453203">
        <w:rPr>
          <w:rFonts w:asciiTheme="minorEastAsia" w:eastAsiaTheme="minorEastAsia" w:hAnsiTheme="minorEastAsia" w:hint="eastAsia"/>
          <w:sz w:val="21"/>
          <w:szCs w:val="21"/>
        </w:rPr>
        <w:t>（一）</w:t>
      </w:r>
      <w:r w:rsidR="00593144" w:rsidRPr="00453203">
        <w:rPr>
          <w:rFonts w:asciiTheme="minorEastAsia" w:eastAsiaTheme="minorEastAsia" w:hAnsiTheme="minorEastAsia" w:hint="eastAsia"/>
          <w:sz w:val="21"/>
          <w:szCs w:val="21"/>
        </w:rPr>
        <w:t>基金资产总值</w:t>
      </w:r>
      <w:bookmarkEnd w:id="131"/>
    </w:p>
    <w:p w:rsidR="00593144" w:rsidRPr="00453203" w:rsidRDefault="0059314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基金资产总值是指购买的各类有价证券、银行存款本息和基金应收的款项以及其他投资所形成的价值总和。</w:t>
      </w:r>
    </w:p>
    <w:p w:rsidR="00593144"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32" w:name="_Toc34834732"/>
      <w:r w:rsidRPr="00453203">
        <w:rPr>
          <w:rFonts w:asciiTheme="minorEastAsia" w:eastAsiaTheme="minorEastAsia" w:hAnsiTheme="minorEastAsia" w:hint="eastAsia"/>
          <w:sz w:val="21"/>
          <w:szCs w:val="21"/>
        </w:rPr>
        <w:t>（二）</w:t>
      </w:r>
      <w:r w:rsidR="00593144" w:rsidRPr="00453203">
        <w:rPr>
          <w:rFonts w:asciiTheme="minorEastAsia" w:eastAsiaTheme="minorEastAsia" w:hAnsiTheme="minorEastAsia" w:hint="eastAsia"/>
          <w:sz w:val="21"/>
          <w:szCs w:val="21"/>
        </w:rPr>
        <w:t>基金资产净值</w:t>
      </w:r>
      <w:bookmarkEnd w:id="132"/>
    </w:p>
    <w:p w:rsidR="00593144" w:rsidRPr="00453203" w:rsidRDefault="0059314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基金资产净值是指基金资产总值减去基金负债后的价值。</w:t>
      </w:r>
    </w:p>
    <w:p w:rsidR="00593144"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33" w:name="_Toc34834733"/>
      <w:r w:rsidRPr="00453203">
        <w:rPr>
          <w:rFonts w:asciiTheme="minorEastAsia" w:eastAsiaTheme="minorEastAsia" w:hAnsiTheme="minorEastAsia" w:hint="eastAsia"/>
          <w:sz w:val="21"/>
          <w:szCs w:val="21"/>
        </w:rPr>
        <w:t>（三）</w:t>
      </w:r>
      <w:r w:rsidR="00593144" w:rsidRPr="00453203">
        <w:rPr>
          <w:rFonts w:asciiTheme="minorEastAsia" w:eastAsiaTheme="minorEastAsia" w:hAnsiTheme="minorEastAsia" w:hint="eastAsia"/>
          <w:sz w:val="21"/>
          <w:szCs w:val="21"/>
        </w:rPr>
        <w:t>基金财产的账户</w:t>
      </w:r>
      <w:bookmarkEnd w:id="133"/>
    </w:p>
    <w:p w:rsidR="00593144" w:rsidRPr="00453203" w:rsidRDefault="0059314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w:t>
      </w:r>
      <w:r w:rsidR="005657CA"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机构和基金注册登记机构自有的财产账户以及其他基金财产账户相独立。</w:t>
      </w:r>
    </w:p>
    <w:p w:rsidR="00593144"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34" w:name="_Toc34834734"/>
      <w:r w:rsidRPr="00453203">
        <w:rPr>
          <w:rFonts w:asciiTheme="minorEastAsia" w:eastAsiaTheme="minorEastAsia" w:hAnsiTheme="minorEastAsia" w:hint="eastAsia"/>
          <w:sz w:val="21"/>
          <w:szCs w:val="21"/>
        </w:rPr>
        <w:t>（四）</w:t>
      </w:r>
      <w:r w:rsidR="00593144" w:rsidRPr="00453203">
        <w:rPr>
          <w:rFonts w:asciiTheme="minorEastAsia" w:eastAsiaTheme="minorEastAsia" w:hAnsiTheme="minorEastAsia" w:hint="eastAsia"/>
          <w:sz w:val="21"/>
          <w:szCs w:val="21"/>
        </w:rPr>
        <w:t>基金财产的保管和处分</w:t>
      </w:r>
      <w:bookmarkEnd w:id="134"/>
    </w:p>
    <w:p w:rsidR="00593144" w:rsidRPr="00453203" w:rsidRDefault="0059314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本基金财产独立于基金管理人、基金托管人和基金</w:t>
      </w:r>
      <w:r w:rsidR="005657CA"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w:t>
      </w:r>
      <w:r w:rsidR="005657CA"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机构以其自有的财产承担其自身的法律责任，其债权人不得对本基金财产行使请求冻结、扣押或其他权利。除依法律法规和《基金合同》的规定处分外，基金财产不得被处分。</w:t>
      </w:r>
    </w:p>
    <w:p w:rsidR="00593144" w:rsidRPr="00453203" w:rsidRDefault="0059314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基金管理人管理运作基金财产所产生的债权，不得与其固有资产产生的债务相互抵销；基金管理人管理运作不同基金的基金财产所产生的债权债务不得相互抵销。</w:t>
      </w:r>
    </w:p>
    <w:p w:rsidR="00266A27" w:rsidRPr="00453203" w:rsidRDefault="00266A27" w:rsidP="00643071">
      <w:pPr>
        <w:snapToGrid w:val="0"/>
        <w:spacing w:line="360" w:lineRule="auto"/>
        <w:rPr>
          <w:rFonts w:asciiTheme="minorEastAsia" w:eastAsiaTheme="minorEastAsia" w:hAnsiTheme="minorEastAsia"/>
        </w:rPr>
      </w:pPr>
    </w:p>
    <w:p w:rsidR="00266A27" w:rsidRPr="00453203" w:rsidRDefault="00006B1D" w:rsidP="00741477">
      <w:pPr>
        <w:pStyle w:val="1"/>
        <w:snapToGrid w:val="0"/>
        <w:spacing w:beforeLines="0" w:afterLines="0" w:line="360" w:lineRule="auto"/>
        <w:ind w:firstLineChars="0" w:firstLine="0"/>
        <w:rPr>
          <w:rFonts w:asciiTheme="minorEastAsia" w:eastAsiaTheme="minorEastAsia" w:hAnsiTheme="minorEastAsia"/>
          <w:bCs/>
        </w:rPr>
      </w:pPr>
      <w:r w:rsidRPr="00453203">
        <w:rPr>
          <w:rFonts w:asciiTheme="minorEastAsia" w:eastAsiaTheme="minorEastAsia" w:hAnsiTheme="minorEastAsia"/>
          <w:b/>
          <w:bCs/>
        </w:rPr>
        <w:br w:type="page"/>
      </w:r>
      <w:bookmarkStart w:id="135" w:name="_Toc34834735"/>
      <w:r w:rsidR="00EE173D" w:rsidRPr="00453203">
        <w:rPr>
          <w:rFonts w:asciiTheme="minorEastAsia" w:eastAsiaTheme="minorEastAsia" w:hAnsiTheme="minorEastAsia" w:hint="eastAsia"/>
          <w:bCs/>
        </w:rPr>
        <w:lastRenderedPageBreak/>
        <w:t>十四</w:t>
      </w:r>
      <w:r w:rsidR="00266A27" w:rsidRPr="00453203">
        <w:rPr>
          <w:rFonts w:asciiTheme="minorEastAsia" w:eastAsiaTheme="minorEastAsia" w:hAnsiTheme="minorEastAsia" w:hint="eastAsia"/>
          <w:bCs/>
        </w:rPr>
        <w:t>、基金资产估值</w:t>
      </w:r>
      <w:bookmarkEnd w:id="135"/>
    </w:p>
    <w:p w:rsidR="007E30C0"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36" w:name="_Toc44229106"/>
      <w:bookmarkStart w:id="137" w:name="_Toc44229201"/>
      <w:bookmarkStart w:id="138" w:name="_Toc44229107"/>
      <w:bookmarkStart w:id="139" w:name="_Toc44229202"/>
      <w:bookmarkStart w:id="140" w:name="_Toc44229108"/>
      <w:bookmarkStart w:id="141" w:name="_Toc44229203"/>
      <w:bookmarkStart w:id="142" w:name="_Toc44229109"/>
      <w:bookmarkStart w:id="143" w:name="_Toc44229204"/>
      <w:bookmarkStart w:id="144" w:name="_Toc44229110"/>
      <w:bookmarkStart w:id="145" w:name="_Toc44229205"/>
      <w:bookmarkStart w:id="146" w:name="_Toc44229111"/>
      <w:bookmarkStart w:id="147" w:name="_Toc44229206"/>
      <w:bookmarkStart w:id="148" w:name="_Toc44229112"/>
      <w:bookmarkStart w:id="149" w:name="_Toc44229207"/>
      <w:bookmarkStart w:id="150" w:name="_Toc44229113"/>
      <w:bookmarkStart w:id="151" w:name="_Toc44229208"/>
      <w:bookmarkStart w:id="152" w:name="_Toc97031289"/>
      <w:bookmarkStart w:id="153" w:name="_Toc97107249"/>
      <w:bookmarkStart w:id="154" w:name="_Toc3483473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453203">
        <w:rPr>
          <w:rFonts w:asciiTheme="minorEastAsia" w:eastAsiaTheme="minorEastAsia" w:hAnsiTheme="minorEastAsia" w:hint="eastAsia"/>
          <w:sz w:val="21"/>
          <w:szCs w:val="21"/>
        </w:rPr>
        <w:t>（一）</w:t>
      </w:r>
      <w:r w:rsidR="007E30C0" w:rsidRPr="00453203">
        <w:rPr>
          <w:rFonts w:asciiTheme="minorEastAsia" w:eastAsiaTheme="minorEastAsia" w:hAnsiTheme="minorEastAsia" w:hint="eastAsia"/>
          <w:sz w:val="21"/>
          <w:szCs w:val="21"/>
        </w:rPr>
        <w:t>估值目的</w:t>
      </w:r>
      <w:bookmarkEnd w:id="154"/>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基金资产估值的目的是客观、准确地反映基金资产是否保值、增值，依据经基金资产估值后确定的基金资产净值而计算出的基金份额净值，是计算基金申购与赎回价格的基础。</w:t>
      </w:r>
    </w:p>
    <w:p w:rsidR="007E30C0"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55" w:name="_Toc34834737"/>
      <w:r w:rsidRPr="00453203">
        <w:rPr>
          <w:rFonts w:asciiTheme="minorEastAsia" w:eastAsiaTheme="minorEastAsia" w:hAnsiTheme="minorEastAsia" w:hint="eastAsia"/>
          <w:sz w:val="21"/>
          <w:szCs w:val="21"/>
        </w:rPr>
        <w:t>（二）</w:t>
      </w:r>
      <w:r w:rsidR="007E30C0" w:rsidRPr="00453203">
        <w:rPr>
          <w:rFonts w:asciiTheme="minorEastAsia" w:eastAsiaTheme="minorEastAsia" w:hAnsiTheme="minorEastAsia" w:hint="eastAsia"/>
          <w:sz w:val="21"/>
          <w:szCs w:val="21"/>
        </w:rPr>
        <w:t>估值日</w:t>
      </w:r>
      <w:bookmarkEnd w:id="155"/>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本基金的估值日为相关的证券交易场所的正常营业日以及国家法律法规规定需要对外披露基金净值的非营业日。</w:t>
      </w:r>
    </w:p>
    <w:p w:rsidR="007E30C0"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56" w:name="_Toc34834738"/>
      <w:r w:rsidRPr="00453203">
        <w:rPr>
          <w:rFonts w:asciiTheme="minorEastAsia" w:eastAsiaTheme="minorEastAsia" w:hAnsiTheme="minorEastAsia" w:hint="eastAsia"/>
          <w:sz w:val="21"/>
          <w:szCs w:val="21"/>
        </w:rPr>
        <w:t>（三）</w:t>
      </w:r>
      <w:r w:rsidR="007E30C0" w:rsidRPr="00453203">
        <w:rPr>
          <w:rFonts w:asciiTheme="minorEastAsia" w:eastAsiaTheme="minorEastAsia" w:hAnsiTheme="minorEastAsia" w:hint="eastAsia"/>
          <w:sz w:val="21"/>
          <w:szCs w:val="21"/>
        </w:rPr>
        <w:t>估值对象</w:t>
      </w:r>
      <w:bookmarkEnd w:id="156"/>
    </w:p>
    <w:p w:rsidR="007E30C0" w:rsidRPr="00453203" w:rsidRDefault="007E30C0" w:rsidP="00643071">
      <w:pPr>
        <w:snapToGrid w:val="0"/>
        <w:spacing w:line="360" w:lineRule="auto"/>
        <w:ind w:firstLineChars="200" w:firstLine="420"/>
        <w:rPr>
          <w:rFonts w:asciiTheme="minorEastAsia" w:eastAsiaTheme="minorEastAsia" w:hAnsiTheme="minorEastAsia"/>
          <w:b/>
          <w:bCs/>
          <w:szCs w:val="21"/>
        </w:rPr>
      </w:pPr>
      <w:r w:rsidRPr="00453203">
        <w:rPr>
          <w:rFonts w:asciiTheme="minorEastAsia" w:eastAsiaTheme="minorEastAsia" w:hAnsiTheme="minorEastAsia" w:hint="eastAsia"/>
          <w:szCs w:val="21"/>
        </w:rPr>
        <w:t>基金所拥有的股票、基金、债券、权证和银行存款本息等资产和负债。</w:t>
      </w:r>
    </w:p>
    <w:p w:rsidR="007E30C0"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57" w:name="_Toc34834739"/>
      <w:r w:rsidRPr="00453203">
        <w:rPr>
          <w:rFonts w:asciiTheme="minorEastAsia" w:eastAsiaTheme="minorEastAsia" w:hAnsiTheme="minorEastAsia" w:hint="eastAsia"/>
          <w:sz w:val="21"/>
          <w:szCs w:val="21"/>
        </w:rPr>
        <w:t>（四）</w:t>
      </w:r>
      <w:r w:rsidR="007E30C0" w:rsidRPr="00453203">
        <w:rPr>
          <w:rFonts w:asciiTheme="minorEastAsia" w:eastAsiaTheme="minorEastAsia" w:hAnsiTheme="minorEastAsia" w:hint="eastAsia"/>
          <w:sz w:val="21"/>
          <w:szCs w:val="21"/>
        </w:rPr>
        <w:t>估值程序</w:t>
      </w:r>
      <w:bookmarkEnd w:id="157"/>
    </w:p>
    <w:p w:rsidR="007E30C0" w:rsidRPr="00453203" w:rsidRDefault="007E30C0" w:rsidP="00643071">
      <w:pPr>
        <w:snapToGrid w:val="0"/>
        <w:spacing w:line="360" w:lineRule="auto"/>
        <w:ind w:firstLineChars="200" w:firstLine="420"/>
        <w:rPr>
          <w:rFonts w:asciiTheme="minorEastAsia" w:eastAsiaTheme="minorEastAsia" w:hAnsiTheme="minorEastAsia" w:cs="宋体"/>
          <w:kern w:val="0"/>
          <w:szCs w:val="21"/>
        </w:rPr>
      </w:pPr>
      <w:r w:rsidRPr="00453203">
        <w:rPr>
          <w:rFonts w:asciiTheme="minorEastAsia" w:eastAsiaTheme="minorEastAsia" w:hAnsiTheme="minorEastAsia" w:cs="宋体" w:hint="eastAsia"/>
          <w:kern w:val="0"/>
          <w:szCs w:val="21"/>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3E2A1B" w:rsidRPr="00453203" w:rsidRDefault="003E2A1B" w:rsidP="00643071">
      <w:pPr>
        <w:snapToGrid w:val="0"/>
        <w:spacing w:line="360" w:lineRule="auto"/>
        <w:ind w:firstLineChars="200" w:firstLine="420"/>
        <w:rPr>
          <w:rFonts w:asciiTheme="minorEastAsia" w:eastAsiaTheme="minorEastAsia" w:hAnsiTheme="minorEastAsia"/>
          <w:b/>
          <w:bCs/>
          <w:szCs w:val="21"/>
        </w:rPr>
      </w:pPr>
      <w:r w:rsidRPr="00453203">
        <w:rPr>
          <w:rFonts w:asciiTheme="minorEastAsia" w:eastAsiaTheme="minorEastAsia" w:hAnsiTheme="minorEastAsia" w:cs="宋体"/>
          <w:kern w:val="0"/>
          <w:szCs w:val="21"/>
        </w:rPr>
        <w:t>本基金各类基金份额将分别计算基金份额净值。</w:t>
      </w:r>
    </w:p>
    <w:p w:rsidR="007E30C0"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58" w:name="_Toc34834740"/>
      <w:r w:rsidRPr="00453203">
        <w:rPr>
          <w:rFonts w:asciiTheme="minorEastAsia" w:eastAsiaTheme="minorEastAsia" w:hAnsiTheme="minorEastAsia" w:hint="eastAsia"/>
          <w:sz w:val="21"/>
          <w:szCs w:val="21"/>
        </w:rPr>
        <w:t>（五）</w:t>
      </w:r>
      <w:r w:rsidR="007E30C0" w:rsidRPr="00453203">
        <w:rPr>
          <w:rFonts w:asciiTheme="minorEastAsia" w:eastAsiaTheme="minorEastAsia" w:hAnsiTheme="minorEastAsia" w:hint="eastAsia"/>
          <w:sz w:val="21"/>
          <w:szCs w:val="21"/>
        </w:rPr>
        <w:t>估值方法</w:t>
      </w:r>
      <w:bookmarkEnd w:id="158"/>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本基金按以下方式进行估值：</w:t>
      </w:r>
    </w:p>
    <w:p w:rsidR="007E30C0" w:rsidRPr="00453203" w:rsidRDefault="007E30C0"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1、证券交易所上市的有价证券的估值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交易所上市的股票、权证，以其估值日在证券交易所挂牌的收盘价估值；估值日无交易的，且最近交易日后经济环境未发生重大变化，以最近交易日的收盘价估值；如最近交易日后经济环境发生了重大变化的，可参考类似投资品种的现行市价及重大变化因素，调整最近交易日的收盘价，确定公允价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日的收盘价，确定公允价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日所采用的净价，确定公允价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（4）交易所上市不存在活跃市场的有价证券，采用估值技术确定公允价值。交易所上</w:t>
      </w:r>
      <w:r w:rsidRPr="00453203">
        <w:rPr>
          <w:rFonts w:asciiTheme="minorEastAsia" w:eastAsiaTheme="minorEastAsia" w:hAnsiTheme="minorEastAsia" w:hint="eastAsia"/>
          <w:szCs w:val="21"/>
        </w:rPr>
        <w:lastRenderedPageBreak/>
        <w:t>市的资产支持证券，采用估值技术确定公允价值，在估值技术难以可靠计量公允价值的情况下，按成本估值。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2、处于未上市期间的有价证券应区分如下情况处理：</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（1）送股、转增股、配股和公开增发的新股，按估值日在证券交易所挂牌的同一股票的估值价格估值。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（3）首次公开发行有明确锁定期的股票，同一股票在交易所上市后，按交易所上市的同一股票的估值价格估值；非公开发行有明确锁定期的股票，按监管机构或行业协会有关规定确定公允价值。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3、创业板ETF按估值日该基金份额净值估值，如该基金未公布基金份额净值，则按其最近公布的基金份额净值估值。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w:t>
      </w:r>
      <w:r w:rsidRPr="00453203">
        <w:rPr>
          <w:rFonts w:asciiTheme="minorEastAsia" w:eastAsiaTheme="minorEastAsia" w:hAnsiTheme="minorEastAsia" w:cs="宋体" w:hint="eastAsia"/>
          <w:kern w:val="0"/>
          <w:szCs w:val="21"/>
        </w:rPr>
        <w:t>因持有股票而享有的配股权，</w:t>
      </w:r>
      <w:r w:rsidRPr="00453203">
        <w:rPr>
          <w:rFonts w:asciiTheme="minorEastAsia" w:eastAsiaTheme="minorEastAsia" w:hAnsiTheme="minorEastAsia" w:hint="eastAsia"/>
          <w:szCs w:val="21"/>
        </w:rPr>
        <w:t>以及停止交易、但未行权的权证，采用估值技术确定公允价值。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5、全国银行间债券市场交易的债券、资产支持证券等固定收益品种，采用估值技术确定公允价值。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6、同一债券同时在两个或两个以上市场交易的，按债券所处的市场分别估值。</w:t>
      </w:r>
    </w:p>
    <w:p w:rsidR="001F788B"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w:t>
      </w:r>
      <w:r w:rsidR="00CD595D" w:rsidRPr="00453203">
        <w:rPr>
          <w:rFonts w:asciiTheme="minorEastAsia" w:eastAsiaTheme="minorEastAsia" w:hAnsiTheme="minorEastAsia" w:hint="eastAsia"/>
          <w:szCs w:val="21"/>
        </w:rPr>
        <w:t>期货合约以结算价格估值。</w:t>
      </w:r>
    </w:p>
    <w:p w:rsidR="007E30C0" w:rsidRPr="00453203" w:rsidRDefault="00CD595D"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8、</w:t>
      </w:r>
      <w:r w:rsidR="007E30C0" w:rsidRPr="00453203">
        <w:rPr>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如有确凿证据表明按上述方法进行估值不能客观反映其公允价值的，基金管理人可根据具体情况与基金托管人商定后，按最能反映公允价值的价格估值。</w:t>
      </w:r>
    </w:p>
    <w:p w:rsidR="007E30C0" w:rsidRPr="00453203" w:rsidRDefault="00CD595D"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9</w:t>
      </w:r>
      <w:r w:rsidR="007E30C0" w:rsidRPr="00453203">
        <w:rPr>
          <w:rFonts w:asciiTheme="minorEastAsia" w:eastAsiaTheme="minorEastAsia" w:hAnsiTheme="minorEastAsia" w:hint="eastAsia"/>
          <w:szCs w:val="21"/>
        </w:rPr>
        <w:t>、相关法律法规以及监管部门有强制规定的，从其规定。如有新增事项，按国家最新规定估值。</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7E30C0"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59" w:name="_Toc34834741"/>
      <w:r w:rsidRPr="00453203">
        <w:rPr>
          <w:rFonts w:asciiTheme="minorEastAsia" w:eastAsiaTheme="minorEastAsia" w:hAnsiTheme="minorEastAsia" w:hint="eastAsia"/>
          <w:sz w:val="21"/>
          <w:szCs w:val="21"/>
        </w:rPr>
        <w:t>（六）</w:t>
      </w:r>
      <w:r w:rsidR="007E30C0" w:rsidRPr="00453203">
        <w:rPr>
          <w:rFonts w:asciiTheme="minorEastAsia" w:eastAsiaTheme="minorEastAsia" w:hAnsiTheme="minorEastAsia" w:hint="eastAsia"/>
          <w:sz w:val="21"/>
          <w:szCs w:val="21"/>
        </w:rPr>
        <w:t>基金份额净值的确认和估值错误的处理</w:t>
      </w:r>
      <w:bookmarkEnd w:id="159"/>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基金份额净值的计算保留到小数点后4位，小数点后第5位四舍五入。当估值或份额净值计价错误实际发生时，基金管理人应当立即纠正，并采取合理的措施防止损失进一步扩大。当错误达到或超过基金</w:t>
      </w:r>
      <w:r w:rsidR="005C1815" w:rsidRPr="00453203">
        <w:rPr>
          <w:rFonts w:asciiTheme="minorEastAsia" w:eastAsiaTheme="minorEastAsia" w:hAnsiTheme="minorEastAsia" w:hint="eastAsia"/>
          <w:szCs w:val="21"/>
        </w:rPr>
        <w:t>资产</w:t>
      </w:r>
      <w:r w:rsidRPr="00453203">
        <w:rPr>
          <w:rFonts w:asciiTheme="minorEastAsia" w:eastAsiaTheme="minorEastAsia" w:hAnsiTheme="minorEastAsia" w:hint="eastAsia"/>
          <w:szCs w:val="21"/>
        </w:rPr>
        <w:t>净值的0.25%时，基金管理人应</w:t>
      </w:r>
      <w:r w:rsidRPr="00453203">
        <w:rPr>
          <w:rFonts w:asciiTheme="minorEastAsia" w:eastAsiaTheme="minorEastAsia" w:hAnsiTheme="minorEastAsia"/>
          <w:szCs w:val="21"/>
        </w:rPr>
        <w:t>报</w:t>
      </w:r>
      <w:r w:rsidRPr="00453203">
        <w:rPr>
          <w:rFonts w:asciiTheme="minorEastAsia" w:eastAsiaTheme="minorEastAsia" w:hAnsiTheme="minorEastAsia" w:hint="eastAsia"/>
          <w:szCs w:val="21"/>
        </w:rPr>
        <w:t>中国证监会</w:t>
      </w:r>
      <w:r w:rsidRPr="00453203">
        <w:rPr>
          <w:rFonts w:asciiTheme="minorEastAsia" w:eastAsiaTheme="minorEastAsia" w:hAnsiTheme="minorEastAsia"/>
          <w:szCs w:val="21"/>
        </w:rPr>
        <w:t>备案</w:t>
      </w:r>
      <w:r w:rsidRPr="00453203">
        <w:rPr>
          <w:rFonts w:asciiTheme="minorEastAsia" w:eastAsiaTheme="minorEastAsia" w:hAnsiTheme="minorEastAsia" w:hint="eastAsia"/>
          <w:szCs w:val="21"/>
        </w:rPr>
        <w:t>；当估值错误偏差达到</w:t>
      </w:r>
      <w:r w:rsidRPr="00453203">
        <w:rPr>
          <w:rFonts w:asciiTheme="minorEastAsia" w:eastAsiaTheme="minorEastAsia" w:hAnsiTheme="minorEastAsia"/>
          <w:szCs w:val="21"/>
        </w:rPr>
        <w:t>基金份额净值</w:t>
      </w:r>
      <w:r w:rsidRPr="00453203">
        <w:rPr>
          <w:rFonts w:asciiTheme="minorEastAsia" w:eastAsiaTheme="minorEastAsia" w:hAnsiTheme="minorEastAsia" w:hint="eastAsia"/>
          <w:szCs w:val="21"/>
        </w:rPr>
        <w:t>的</w:t>
      </w:r>
      <w:r w:rsidRPr="00453203">
        <w:rPr>
          <w:rFonts w:asciiTheme="minorEastAsia" w:eastAsiaTheme="minorEastAsia" w:hAnsiTheme="minorEastAsia"/>
          <w:szCs w:val="21"/>
        </w:rPr>
        <w:t>0.5%</w:t>
      </w:r>
      <w:r w:rsidRPr="00453203">
        <w:rPr>
          <w:rFonts w:asciiTheme="minorEastAsia" w:eastAsiaTheme="minorEastAsia" w:hAnsiTheme="minorEastAsia" w:hint="eastAsia"/>
          <w:szCs w:val="21"/>
        </w:rPr>
        <w:t>时，基金管理人</w:t>
      </w:r>
      <w:r w:rsidRPr="00453203">
        <w:rPr>
          <w:rFonts w:asciiTheme="minorEastAsia" w:eastAsiaTheme="minorEastAsia" w:hAnsiTheme="minorEastAsia"/>
          <w:szCs w:val="21"/>
        </w:rPr>
        <w:t>应当公告，并报</w:t>
      </w:r>
      <w:r w:rsidRPr="00453203">
        <w:rPr>
          <w:rFonts w:asciiTheme="minorEastAsia" w:eastAsiaTheme="minorEastAsia" w:hAnsiTheme="minorEastAsia" w:hint="eastAsia"/>
          <w:szCs w:val="21"/>
        </w:rPr>
        <w:t>中国证监会</w:t>
      </w:r>
      <w:r w:rsidRPr="00453203">
        <w:rPr>
          <w:rFonts w:asciiTheme="minorEastAsia" w:eastAsiaTheme="minorEastAsia" w:hAnsiTheme="minorEastAsia"/>
          <w:szCs w:val="21"/>
        </w:rPr>
        <w:t>备案。</w:t>
      </w:r>
      <w:r w:rsidRPr="00453203">
        <w:rPr>
          <w:rFonts w:asciiTheme="minorEastAsia" w:eastAsiaTheme="minorEastAsia" w:hAnsiTheme="minorEastAsia" w:hint="eastAsia"/>
          <w:szCs w:val="21"/>
        </w:rPr>
        <w:t>因基金估值错误给投资者造成损失的，应先由基金管理人承担，基金管理人对不应由其承担的责任，有权向过错人追偿。</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关于差错处理，</w:t>
      </w:r>
      <w:r w:rsidR="00BC5337" w:rsidRPr="00453203">
        <w:rPr>
          <w:rFonts w:asciiTheme="minorEastAsia" w:eastAsiaTheme="minorEastAsia" w:hAnsiTheme="minorEastAsia" w:hint="eastAsia"/>
          <w:szCs w:val="21"/>
        </w:rPr>
        <w:t>基金合同</w:t>
      </w:r>
      <w:r w:rsidRPr="00453203">
        <w:rPr>
          <w:rFonts w:asciiTheme="minorEastAsia" w:eastAsiaTheme="minorEastAsia" w:hAnsiTheme="minorEastAsia" w:hint="eastAsia"/>
          <w:szCs w:val="21"/>
        </w:rPr>
        <w:t>的当事人按照以下约定处理：</w:t>
      </w:r>
    </w:p>
    <w:p w:rsidR="007E30C0" w:rsidRPr="00453203" w:rsidRDefault="007E30C0"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、差错类型</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本基金运作过程中，如果由于基金管理人或基金托管人、或基金注册登记机构、或基金</w:t>
      </w:r>
      <w:r w:rsidR="005657CA"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机构、或投资者自身的过错造成差错，导致其他当事人遭受损失的，过错的责任人应当对由于该差错遭受损失的当事人（“受损方”）按下述“差错处理原则”给予赔偿承担赔偿责任。</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7E30C0" w:rsidRPr="00453203" w:rsidRDefault="007E30C0"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、差错处理原则</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7E30C0" w:rsidRPr="00453203" w:rsidRDefault="007E30C0"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）差错的责任方对可能导致有关当事人的直接损失负责，不对间接损失负责，并且仅对差错的有关直接当事人负责，不对第三方负责。</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3</w:t>
      </w:r>
      <w:r w:rsidRPr="00453203">
        <w:rPr>
          <w:rFonts w:asciiTheme="minorEastAsia" w:eastAsiaTheme="minorEastAsia" w:hAnsiTheme="minorEastAsia" w:hint="eastAsia"/>
          <w:szCs w:val="21"/>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4</w:t>
      </w:r>
      <w:r w:rsidRPr="00453203">
        <w:rPr>
          <w:rFonts w:asciiTheme="minorEastAsia" w:eastAsiaTheme="minorEastAsia" w:hAnsiTheme="minorEastAsia" w:hint="eastAsia"/>
          <w:szCs w:val="21"/>
        </w:rPr>
        <w:t>）差错调整采用尽量恢复至假设未发生差错的正确情形的方式。</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5</w:t>
      </w:r>
      <w:r w:rsidRPr="00453203">
        <w:rPr>
          <w:rFonts w:asciiTheme="minorEastAsia" w:eastAsiaTheme="minorEastAsia" w:hAnsiTheme="minorEastAsia" w:hint="eastAsia"/>
          <w:szCs w:val="21"/>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追偿过程中产生的有关费用，由责任方承担，不列入基金费用项目。</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6</w:t>
      </w:r>
      <w:r w:rsidRPr="00453203">
        <w:rPr>
          <w:rFonts w:asciiTheme="minorEastAsia" w:eastAsiaTheme="minorEastAsia" w:hAnsiTheme="minorEastAsia" w:hint="eastAsia"/>
          <w:szCs w:val="21"/>
        </w:rPr>
        <w:t>）如果出现差错的当事人未按规定对受损方进行赔偿，并且依据法律、行政法规、</w:t>
      </w:r>
      <w:r w:rsidRPr="00453203">
        <w:rPr>
          <w:rFonts w:asciiTheme="minorEastAsia" w:eastAsiaTheme="minorEastAsia" w:hAnsiTheme="minorEastAsia" w:hint="eastAsia"/>
          <w:szCs w:val="21"/>
        </w:rPr>
        <w:lastRenderedPageBreak/>
        <w:t>《基金合同》或其他规定，基金管理人自行或依据法院判决、仲裁裁决对受损方承担了赔偿责任，则基金管理人有权向出现过错的当事人进行追索，并有权要求其赔偿或补偿由此发生的费用和遭受的损失。</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7</w:t>
      </w:r>
      <w:r w:rsidRPr="00453203">
        <w:rPr>
          <w:rFonts w:asciiTheme="minorEastAsia" w:eastAsiaTheme="minorEastAsia" w:hAnsiTheme="minorEastAsia" w:hint="eastAsia"/>
          <w:szCs w:val="21"/>
        </w:rPr>
        <w:t>）按法律法规规定的其他原则处理差错。</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3</w:t>
      </w:r>
      <w:r w:rsidRPr="00453203">
        <w:rPr>
          <w:rFonts w:asciiTheme="minorEastAsia" w:eastAsiaTheme="minorEastAsia" w:hAnsiTheme="minorEastAsia" w:hint="eastAsia"/>
          <w:szCs w:val="21"/>
        </w:rPr>
        <w:t>、差错处理程序</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差错被发现后，有关的当事人应当及时进行处理，处理的程序如下：</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）查明差错发生的原因，列明所有的当事人，并根据差错发生的原因确定差错的责任方；</w:t>
      </w:r>
    </w:p>
    <w:p w:rsidR="007E30C0" w:rsidRPr="00453203" w:rsidRDefault="007E30C0"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）根据差错处理原则或当事人协商的方法对因差错造成的损失进行评估；</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3</w:t>
      </w:r>
      <w:r w:rsidRPr="00453203">
        <w:rPr>
          <w:rFonts w:asciiTheme="minorEastAsia" w:eastAsiaTheme="minorEastAsia" w:hAnsiTheme="minorEastAsia" w:hint="eastAsia"/>
          <w:szCs w:val="21"/>
        </w:rPr>
        <w:t>）根据差错处理原则或当事人协商的方法由差错的责任方进行更正和赔偿损失；</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4</w:t>
      </w:r>
      <w:r w:rsidRPr="00453203">
        <w:rPr>
          <w:rFonts w:asciiTheme="minorEastAsia" w:eastAsiaTheme="minorEastAsia" w:hAnsiTheme="minorEastAsia" w:hint="eastAsia"/>
          <w:szCs w:val="21"/>
        </w:rPr>
        <w:t>）根据差错处理的方法，需要修改基金注册登记机构的交易数据的，由基金注册登记机构进行更正，并就差错的更正向有关当事人进行确认；</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5</w:t>
      </w:r>
      <w:r w:rsidRPr="00453203">
        <w:rPr>
          <w:rFonts w:asciiTheme="minorEastAsia" w:eastAsiaTheme="minorEastAsia" w:hAnsiTheme="minorEastAsia" w:hint="eastAsia"/>
          <w:szCs w:val="21"/>
        </w:rPr>
        <w:t>）基金管理人及基金托管人基金份额净值计算错误偏差达到基金</w:t>
      </w:r>
      <w:r w:rsidR="005C1815" w:rsidRPr="00453203">
        <w:rPr>
          <w:rFonts w:asciiTheme="minorEastAsia" w:eastAsiaTheme="minorEastAsia" w:hAnsiTheme="minorEastAsia" w:hint="eastAsia"/>
          <w:szCs w:val="21"/>
        </w:rPr>
        <w:t>资产</w:t>
      </w:r>
      <w:r w:rsidRPr="00453203">
        <w:rPr>
          <w:rFonts w:asciiTheme="minorEastAsia" w:eastAsiaTheme="minorEastAsia" w:hAnsiTheme="minorEastAsia" w:hint="eastAsia"/>
          <w:szCs w:val="21"/>
        </w:rPr>
        <w:t>净值的</w:t>
      </w:r>
      <w:r w:rsidRPr="00453203">
        <w:rPr>
          <w:rFonts w:asciiTheme="minorEastAsia" w:eastAsiaTheme="minorEastAsia" w:hAnsiTheme="minorEastAsia"/>
          <w:szCs w:val="21"/>
        </w:rPr>
        <w:t>0.</w:t>
      </w:r>
      <w:r w:rsidRPr="00453203">
        <w:rPr>
          <w:rFonts w:asciiTheme="minorEastAsia" w:eastAsiaTheme="minorEastAsia" w:hAnsiTheme="minorEastAsia" w:hint="eastAsia"/>
          <w:szCs w:val="21"/>
        </w:rPr>
        <w:t>2</w:t>
      </w:r>
      <w:r w:rsidRPr="00453203">
        <w:rPr>
          <w:rFonts w:asciiTheme="minorEastAsia" w:eastAsiaTheme="minorEastAsia" w:hAnsiTheme="minorEastAsia"/>
          <w:szCs w:val="21"/>
        </w:rPr>
        <w:t>5%</w:t>
      </w:r>
      <w:r w:rsidRPr="00453203">
        <w:rPr>
          <w:rFonts w:asciiTheme="minorEastAsia" w:eastAsiaTheme="minorEastAsia" w:hAnsiTheme="minorEastAsia" w:hint="eastAsia"/>
          <w:szCs w:val="21"/>
        </w:rPr>
        <w:t>时，基金管理人应当报告中国证监会；基金管理人及基金托管人基金份额净值计算错误偏差达到基金份额净值的</w:t>
      </w:r>
      <w:r w:rsidRPr="00453203">
        <w:rPr>
          <w:rFonts w:asciiTheme="minorEastAsia" w:eastAsiaTheme="minorEastAsia" w:hAnsiTheme="minorEastAsia"/>
          <w:szCs w:val="21"/>
        </w:rPr>
        <w:t>0.5%</w:t>
      </w:r>
      <w:r w:rsidRPr="00453203">
        <w:rPr>
          <w:rFonts w:asciiTheme="minorEastAsia" w:eastAsiaTheme="minorEastAsia" w:hAnsiTheme="minorEastAsia" w:hint="eastAsia"/>
          <w:szCs w:val="21"/>
        </w:rPr>
        <w:t>时，基金管理人应当公告并报中国证监会备案。</w:t>
      </w:r>
    </w:p>
    <w:p w:rsidR="007E30C0"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60" w:name="_Toc34834742"/>
      <w:r w:rsidRPr="00453203">
        <w:rPr>
          <w:rFonts w:asciiTheme="minorEastAsia" w:eastAsiaTheme="minorEastAsia" w:hAnsiTheme="minorEastAsia" w:hint="eastAsia"/>
          <w:sz w:val="21"/>
          <w:szCs w:val="21"/>
        </w:rPr>
        <w:t>（七）</w:t>
      </w:r>
      <w:r w:rsidR="007E30C0" w:rsidRPr="00453203">
        <w:rPr>
          <w:rFonts w:asciiTheme="minorEastAsia" w:eastAsiaTheme="minorEastAsia" w:hAnsiTheme="minorEastAsia" w:hint="eastAsia"/>
          <w:sz w:val="21"/>
          <w:szCs w:val="21"/>
        </w:rPr>
        <w:t>暂停估值的情形</w:t>
      </w:r>
      <w:bookmarkEnd w:id="160"/>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1、与本基金投资有关的证券交易场所遇法定节假日或因其他原因停市时；</w:t>
      </w:r>
    </w:p>
    <w:p w:rsidR="007E30C0" w:rsidRPr="00453203" w:rsidRDefault="007E30C0"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2、因不可抗力或其他情形致使基金管理人</w:t>
      </w:r>
      <w:r w:rsidR="00ED7493" w:rsidRPr="00453203">
        <w:rPr>
          <w:rFonts w:asciiTheme="minorEastAsia" w:eastAsiaTheme="minorEastAsia" w:hAnsiTheme="minorEastAsia" w:hint="eastAsia"/>
          <w:szCs w:val="21"/>
        </w:rPr>
        <w:t>、基金托管人</w:t>
      </w:r>
      <w:r w:rsidRPr="00453203">
        <w:rPr>
          <w:rFonts w:asciiTheme="minorEastAsia" w:eastAsiaTheme="minorEastAsia" w:hAnsiTheme="minorEastAsia" w:hint="eastAsia"/>
          <w:szCs w:val="21"/>
        </w:rPr>
        <w:t>无法准确评估基金资产价值时；</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3、本基金所投资的目标ETF发生暂停估值与暂停公告基金份额净值的情形；</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4、占基金相当比例的投资品种的估值出现重大转变，而基金管理人为保障投资者的利益，已决定延迟估值；</w:t>
      </w:r>
    </w:p>
    <w:p w:rsidR="003B2D76" w:rsidRPr="00453203" w:rsidRDefault="003B2D7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5、当前一估值日基金资产净值50%以上的资产出现无可参考的活跃市场价格且采用估值技术仍导致公允价值存在重大不确定性时，经与基金托管人协商一致的；</w:t>
      </w:r>
    </w:p>
    <w:p w:rsidR="007E30C0" w:rsidRPr="00453203" w:rsidRDefault="003B2D7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w:t>
      </w:r>
      <w:r w:rsidR="00A9150F" w:rsidRPr="00453203">
        <w:rPr>
          <w:rFonts w:asciiTheme="minorEastAsia" w:eastAsiaTheme="minorEastAsia" w:hAnsiTheme="minorEastAsia" w:hint="eastAsia"/>
          <w:szCs w:val="21"/>
        </w:rPr>
        <w:t>、</w:t>
      </w:r>
      <w:r w:rsidR="00180319" w:rsidRPr="00453203">
        <w:rPr>
          <w:rFonts w:asciiTheme="minorEastAsia" w:eastAsiaTheme="minorEastAsia" w:hAnsiTheme="minorEastAsia" w:hint="eastAsia"/>
          <w:szCs w:val="21"/>
        </w:rPr>
        <w:t>法律法规</w:t>
      </w:r>
      <w:r w:rsidR="004718A1" w:rsidRPr="00453203">
        <w:rPr>
          <w:rFonts w:asciiTheme="minorEastAsia" w:eastAsiaTheme="minorEastAsia" w:hAnsiTheme="minorEastAsia" w:hint="eastAsia"/>
          <w:szCs w:val="21"/>
        </w:rPr>
        <w:t>规定</w:t>
      </w:r>
      <w:r w:rsidR="00180319" w:rsidRPr="00453203">
        <w:rPr>
          <w:rFonts w:asciiTheme="minorEastAsia" w:eastAsiaTheme="minorEastAsia" w:hAnsiTheme="minorEastAsia" w:hint="eastAsia"/>
          <w:szCs w:val="21"/>
        </w:rPr>
        <w:t>、</w:t>
      </w:r>
      <w:r w:rsidR="007E30C0" w:rsidRPr="00453203">
        <w:rPr>
          <w:rFonts w:asciiTheme="minorEastAsia" w:eastAsiaTheme="minorEastAsia" w:hAnsiTheme="minorEastAsia" w:hint="eastAsia"/>
          <w:szCs w:val="21"/>
        </w:rPr>
        <w:t>中国证监会认定的其他情形。</w:t>
      </w:r>
    </w:p>
    <w:p w:rsidR="007E30C0"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61" w:name="_Toc34834743"/>
      <w:r w:rsidRPr="00453203">
        <w:rPr>
          <w:rFonts w:asciiTheme="minorEastAsia" w:eastAsiaTheme="minorEastAsia" w:hAnsiTheme="minorEastAsia" w:hint="eastAsia"/>
          <w:sz w:val="21"/>
          <w:szCs w:val="21"/>
        </w:rPr>
        <w:t>（八）</w:t>
      </w:r>
      <w:r w:rsidR="007E30C0" w:rsidRPr="00453203">
        <w:rPr>
          <w:rFonts w:asciiTheme="minorEastAsia" w:eastAsiaTheme="minorEastAsia" w:hAnsiTheme="minorEastAsia" w:hint="eastAsia"/>
          <w:sz w:val="21"/>
          <w:szCs w:val="21"/>
        </w:rPr>
        <w:t>特殊情形的处理</w:t>
      </w:r>
      <w:bookmarkEnd w:id="161"/>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1、基金管理人按估值方法的</w:t>
      </w:r>
      <w:r w:rsidR="00D72F66" w:rsidRPr="00453203">
        <w:rPr>
          <w:rFonts w:asciiTheme="minorEastAsia" w:eastAsiaTheme="minorEastAsia" w:hAnsiTheme="minorEastAsia" w:hint="eastAsia"/>
          <w:szCs w:val="21"/>
        </w:rPr>
        <w:t>第8</w:t>
      </w:r>
      <w:r w:rsidRPr="00453203">
        <w:rPr>
          <w:rFonts w:asciiTheme="minorEastAsia" w:eastAsiaTheme="minorEastAsia" w:hAnsiTheme="minorEastAsia" w:hint="eastAsia"/>
          <w:szCs w:val="21"/>
        </w:rPr>
        <w:t>项进行估值时，所造成的误差不作为基金资产估值错误处理；</w:t>
      </w:r>
    </w:p>
    <w:p w:rsidR="007E30C0" w:rsidRPr="00453203" w:rsidRDefault="007E30C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ED20BB" w:rsidRPr="00453203" w:rsidRDefault="00ED20BB" w:rsidP="00643071">
      <w:pPr>
        <w:snapToGrid w:val="0"/>
        <w:spacing w:line="360" w:lineRule="auto"/>
        <w:ind w:firstLineChars="200" w:firstLine="420"/>
        <w:rPr>
          <w:rFonts w:asciiTheme="minorEastAsia" w:eastAsiaTheme="minorEastAsia" w:hAnsiTheme="minorEastAsia"/>
          <w:szCs w:val="21"/>
        </w:rPr>
      </w:pPr>
    </w:p>
    <w:p w:rsidR="00266A27" w:rsidRPr="00453203" w:rsidRDefault="00006B1D" w:rsidP="00741477">
      <w:pPr>
        <w:pStyle w:val="1"/>
        <w:snapToGrid w:val="0"/>
        <w:spacing w:beforeLines="0" w:afterLines="0" w:line="360" w:lineRule="auto"/>
        <w:ind w:firstLineChars="0" w:firstLine="0"/>
        <w:rPr>
          <w:rFonts w:asciiTheme="minorEastAsia" w:eastAsiaTheme="minorEastAsia" w:hAnsiTheme="minorEastAsia"/>
          <w:bCs/>
        </w:rPr>
      </w:pPr>
      <w:r w:rsidRPr="00453203">
        <w:rPr>
          <w:rFonts w:asciiTheme="minorEastAsia" w:eastAsiaTheme="minorEastAsia" w:hAnsiTheme="minorEastAsia"/>
          <w:b/>
          <w:bCs/>
        </w:rPr>
        <w:br w:type="page"/>
      </w:r>
      <w:bookmarkStart w:id="162" w:name="_Toc34834744"/>
      <w:r w:rsidR="00EE173D" w:rsidRPr="00453203">
        <w:rPr>
          <w:rFonts w:asciiTheme="minorEastAsia" w:eastAsiaTheme="minorEastAsia" w:hAnsiTheme="minorEastAsia" w:hint="eastAsia"/>
          <w:bCs/>
        </w:rPr>
        <w:lastRenderedPageBreak/>
        <w:t>十五</w:t>
      </w:r>
      <w:r w:rsidR="00266A27" w:rsidRPr="00453203">
        <w:rPr>
          <w:rFonts w:asciiTheme="minorEastAsia" w:eastAsiaTheme="minorEastAsia" w:hAnsiTheme="minorEastAsia" w:hint="eastAsia"/>
          <w:bCs/>
        </w:rPr>
        <w:t>、基金的收益与分配</w:t>
      </w:r>
      <w:bookmarkEnd w:id="162"/>
    </w:p>
    <w:p w:rsidR="00F06EAE"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63" w:name="_Toc84149664"/>
      <w:bookmarkStart w:id="164" w:name="_Toc86584639"/>
      <w:bookmarkStart w:id="165" w:name="_Toc34834745"/>
      <w:r w:rsidRPr="00453203">
        <w:rPr>
          <w:rFonts w:asciiTheme="minorEastAsia" w:eastAsiaTheme="minorEastAsia" w:hAnsiTheme="minorEastAsia" w:hint="eastAsia"/>
          <w:sz w:val="21"/>
          <w:szCs w:val="21"/>
        </w:rPr>
        <w:t>（一）</w:t>
      </w:r>
      <w:r w:rsidR="00F06EAE" w:rsidRPr="00453203">
        <w:rPr>
          <w:rFonts w:asciiTheme="minorEastAsia" w:eastAsiaTheme="minorEastAsia" w:hAnsiTheme="minorEastAsia" w:hint="eastAsia"/>
          <w:sz w:val="21"/>
          <w:szCs w:val="21"/>
        </w:rPr>
        <w:t>基金利润的构成</w:t>
      </w:r>
      <w:bookmarkEnd w:id="165"/>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F06EAE"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66" w:name="_Toc34834746"/>
      <w:r w:rsidRPr="00453203">
        <w:rPr>
          <w:rFonts w:asciiTheme="minorEastAsia" w:eastAsiaTheme="minorEastAsia" w:hAnsiTheme="minorEastAsia" w:hint="eastAsia"/>
          <w:sz w:val="21"/>
          <w:szCs w:val="21"/>
        </w:rPr>
        <w:t>（二）</w:t>
      </w:r>
      <w:r w:rsidR="00F06EAE" w:rsidRPr="00453203">
        <w:rPr>
          <w:rFonts w:asciiTheme="minorEastAsia" w:eastAsiaTheme="minorEastAsia" w:hAnsiTheme="minorEastAsia" w:hint="eastAsia"/>
          <w:sz w:val="21"/>
          <w:szCs w:val="21"/>
        </w:rPr>
        <w:t>基金可供分配利润</w:t>
      </w:r>
      <w:bookmarkEnd w:id="166"/>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基金可供分配利润指截至收益分配基准日资产负债表中基金未分配利润与未分配利润中已实现收益的孰低数。</w:t>
      </w:r>
    </w:p>
    <w:p w:rsidR="00F06EAE"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67" w:name="_Toc34834747"/>
      <w:r w:rsidRPr="00453203">
        <w:rPr>
          <w:rFonts w:asciiTheme="minorEastAsia" w:eastAsiaTheme="minorEastAsia" w:hAnsiTheme="minorEastAsia" w:hint="eastAsia"/>
          <w:sz w:val="21"/>
          <w:szCs w:val="21"/>
        </w:rPr>
        <w:t>（三）</w:t>
      </w:r>
      <w:r w:rsidR="00F06EAE" w:rsidRPr="00453203">
        <w:rPr>
          <w:rFonts w:asciiTheme="minorEastAsia" w:eastAsiaTheme="minorEastAsia" w:hAnsiTheme="minorEastAsia" w:hint="eastAsia"/>
          <w:sz w:val="21"/>
          <w:szCs w:val="21"/>
        </w:rPr>
        <w:t>基金收益分配原则</w:t>
      </w:r>
      <w:bookmarkEnd w:id="167"/>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1、</w:t>
      </w:r>
      <w:r w:rsidR="00321F24" w:rsidRPr="00453203">
        <w:rPr>
          <w:rFonts w:asciiTheme="minorEastAsia" w:eastAsiaTheme="minorEastAsia" w:hAnsiTheme="minorEastAsia" w:hint="eastAsia"/>
          <w:szCs w:val="21"/>
        </w:rPr>
        <w:t>本基金各基金份额类别在费用收取上不同，其对应的可分配收益可能有所不同。同一类别的</w:t>
      </w:r>
      <w:r w:rsidRPr="00453203">
        <w:rPr>
          <w:rFonts w:asciiTheme="minorEastAsia" w:eastAsiaTheme="minorEastAsia" w:hAnsiTheme="minorEastAsia" w:hint="eastAsia"/>
          <w:szCs w:val="21"/>
        </w:rPr>
        <w:t>每一基金份额享有同等分配权；</w:t>
      </w:r>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2、本基金收益分配方式分两种：现金分红与红利再投资，投资者可选择现金红利或将现金红利自动转为</w:t>
      </w:r>
      <w:r w:rsidR="00321F24" w:rsidRPr="00453203">
        <w:rPr>
          <w:rFonts w:asciiTheme="minorEastAsia" w:eastAsiaTheme="minorEastAsia" w:hAnsiTheme="minorEastAsia" w:hint="eastAsia"/>
          <w:szCs w:val="21"/>
        </w:rPr>
        <w:t>对应类别的</w:t>
      </w:r>
      <w:r w:rsidRPr="00453203">
        <w:rPr>
          <w:rFonts w:asciiTheme="minorEastAsia" w:eastAsiaTheme="minorEastAsia" w:hAnsiTheme="minorEastAsia" w:hint="eastAsia"/>
          <w:szCs w:val="21"/>
        </w:rPr>
        <w:t>基金份额进行再投资；若投资者不选择，本基金默认的收益分配方式是现金分红；</w:t>
      </w:r>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3、在符合有关基金分红条件的前提下，本基金每年收益分配次数最多为12次，每份基金份额每次分配比例不得低于收益分配基准日每份基金份额可供分配利润的10%；若基金合同生效不满3个月，可不进行收益分配；</w:t>
      </w:r>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4、基金收益分配基准日的基金份额净值减去每单位基金份额收益分配金额后不能低于面值；</w:t>
      </w:r>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5、基金收益分配的发放日距离收益分配基准日的时间不得超过15个工作日。</w:t>
      </w:r>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6、法律法规或监管机关另有规定的，从其规定。</w:t>
      </w:r>
    </w:p>
    <w:p w:rsidR="00F06EAE"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68" w:name="_Toc34834748"/>
      <w:r w:rsidRPr="00453203">
        <w:rPr>
          <w:rFonts w:asciiTheme="minorEastAsia" w:eastAsiaTheme="minorEastAsia" w:hAnsiTheme="minorEastAsia" w:hint="eastAsia"/>
          <w:sz w:val="21"/>
          <w:szCs w:val="21"/>
        </w:rPr>
        <w:t>（四）</w:t>
      </w:r>
      <w:r w:rsidR="00F06EAE" w:rsidRPr="00453203">
        <w:rPr>
          <w:rFonts w:asciiTheme="minorEastAsia" w:eastAsiaTheme="minorEastAsia" w:hAnsiTheme="minorEastAsia" w:hint="eastAsia"/>
          <w:sz w:val="21"/>
          <w:szCs w:val="21"/>
        </w:rPr>
        <w:t>收益分配方案</w:t>
      </w:r>
      <w:bookmarkEnd w:id="168"/>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szCs w:val="21"/>
        </w:rPr>
        <w:t>基金收益分配方案中应载明</w:t>
      </w:r>
      <w:r w:rsidRPr="00453203">
        <w:rPr>
          <w:rFonts w:asciiTheme="minorEastAsia" w:eastAsiaTheme="minorEastAsia" w:hAnsiTheme="minorEastAsia" w:hint="eastAsia"/>
          <w:szCs w:val="21"/>
        </w:rPr>
        <w:t>截至收益分配基准日的份额可供分配利润</w:t>
      </w:r>
      <w:r w:rsidRPr="00453203">
        <w:rPr>
          <w:rFonts w:asciiTheme="minorEastAsia" w:eastAsiaTheme="minorEastAsia" w:hAnsiTheme="minorEastAsia"/>
          <w:szCs w:val="21"/>
        </w:rPr>
        <w:t>、基金收益分配对象、分配时间、分配数额及比例、分配方式等内容。</w:t>
      </w:r>
    </w:p>
    <w:p w:rsidR="00F06EAE"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69" w:name="_Toc34834749"/>
      <w:r w:rsidRPr="00453203">
        <w:rPr>
          <w:rFonts w:asciiTheme="minorEastAsia" w:eastAsiaTheme="minorEastAsia" w:hAnsiTheme="minorEastAsia" w:hint="eastAsia"/>
          <w:sz w:val="21"/>
          <w:szCs w:val="21"/>
        </w:rPr>
        <w:t>（五）</w:t>
      </w:r>
      <w:r w:rsidR="00F06EAE" w:rsidRPr="00453203">
        <w:rPr>
          <w:rFonts w:asciiTheme="minorEastAsia" w:eastAsiaTheme="minorEastAsia" w:hAnsiTheme="minorEastAsia" w:hint="eastAsia"/>
          <w:sz w:val="21"/>
          <w:szCs w:val="21"/>
        </w:rPr>
        <w:t>收益分配方案的确定、公告与实施</w:t>
      </w:r>
      <w:bookmarkEnd w:id="169"/>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本基金收益分配方案由基金管理人拟定，并由基金托管人复核，依照《信息披露办法》的有关规定在</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公告。</w:t>
      </w:r>
    </w:p>
    <w:p w:rsidR="00F06EAE" w:rsidRPr="00453203" w:rsidRDefault="00F06EAE" w:rsidP="00643071">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法律法规或监管机关另有规定的，从其规定。</w:t>
      </w:r>
    </w:p>
    <w:p w:rsidR="00F06EAE" w:rsidRPr="00453203" w:rsidRDefault="00EE173D" w:rsidP="00741477">
      <w:pPr>
        <w:pStyle w:val="20"/>
        <w:snapToGrid w:val="0"/>
        <w:spacing w:beforeLines="0" w:afterLines="0" w:line="360" w:lineRule="auto"/>
        <w:ind w:firstLine="422"/>
        <w:rPr>
          <w:rFonts w:asciiTheme="minorEastAsia" w:eastAsiaTheme="minorEastAsia" w:hAnsiTheme="minorEastAsia"/>
          <w:sz w:val="21"/>
          <w:szCs w:val="21"/>
        </w:rPr>
      </w:pPr>
      <w:bookmarkStart w:id="170" w:name="_Toc34834750"/>
      <w:r w:rsidRPr="00453203">
        <w:rPr>
          <w:rFonts w:asciiTheme="minorEastAsia" w:eastAsiaTheme="minorEastAsia" w:hAnsiTheme="minorEastAsia" w:hint="eastAsia"/>
          <w:sz w:val="21"/>
          <w:szCs w:val="21"/>
        </w:rPr>
        <w:t>（六）</w:t>
      </w:r>
      <w:r w:rsidR="00F06EAE" w:rsidRPr="00453203">
        <w:rPr>
          <w:rFonts w:asciiTheme="minorEastAsia" w:eastAsiaTheme="minorEastAsia" w:hAnsiTheme="minorEastAsia" w:hint="eastAsia"/>
          <w:sz w:val="21"/>
          <w:szCs w:val="21"/>
        </w:rPr>
        <w:t>基金收益分配中发生的费用</w:t>
      </w:r>
      <w:bookmarkEnd w:id="170"/>
    </w:p>
    <w:p w:rsidR="00266A27" w:rsidRPr="00453203" w:rsidRDefault="00F06EAE" w:rsidP="00FE4929">
      <w:pPr>
        <w:snapToGrid w:val="0"/>
        <w:spacing w:line="360" w:lineRule="auto"/>
        <w:ind w:firstLineChars="225" w:firstLine="473"/>
        <w:rPr>
          <w:rFonts w:asciiTheme="minorEastAsia" w:eastAsiaTheme="minorEastAsia" w:hAnsiTheme="minorEastAsia"/>
          <w:szCs w:val="21"/>
        </w:rPr>
      </w:pPr>
      <w:r w:rsidRPr="00453203">
        <w:rPr>
          <w:rFonts w:asciiTheme="minorEastAsia" w:eastAsiaTheme="minorEastAsia" w:hAnsiTheme="minorEastAsia" w:hint="eastAsia"/>
          <w:szCs w:val="21"/>
        </w:rPr>
        <w:t>基金收益分配时所发生的银行转账或其他手续费用由投资者自行承担。当投资者的现金红利小于一定金额，不足于支付银行转账或其他手续费用时，基金注册登记机构可将基金份额持有人的现金红利自动转为</w:t>
      </w:r>
      <w:r w:rsidR="00321F24" w:rsidRPr="00453203">
        <w:rPr>
          <w:rFonts w:asciiTheme="minorEastAsia" w:eastAsiaTheme="minorEastAsia" w:hAnsiTheme="minorEastAsia" w:hint="eastAsia"/>
          <w:szCs w:val="21"/>
        </w:rPr>
        <w:t>对应类别的</w:t>
      </w:r>
      <w:r w:rsidRPr="00453203">
        <w:rPr>
          <w:rFonts w:asciiTheme="minorEastAsia" w:eastAsiaTheme="minorEastAsia" w:hAnsiTheme="minorEastAsia" w:hint="eastAsia"/>
          <w:szCs w:val="21"/>
        </w:rPr>
        <w:t>基金份额。红利再投资的计算方法，依照相关业务规则执行。</w:t>
      </w:r>
      <w:bookmarkEnd w:id="163"/>
      <w:bookmarkEnd w:id="164"/>
    </w:p>
    <w:p w:rsidR="00266A27" w:rsidRPr="00453203" w:rsidRDefault="00560A6A" w:rsidP="00741477">
      <w:pPr>
        <w:pStyle w:val="1"/>
        <w:snapToGrid w:val="0"/>
        <w:spacing w:beforeLines="0" w:afterLines="0" w:line="360" w:lineRule="auto"/>
        <w:ind w:firstLineChars="0" w:firstLine="0"/>
        <w:rPr>
          <w:rFonts w:asciiTheme="minorEastAsia" w:eastAsiaTheme="minorEastAsia" w:hAnsiTheme="minorEastAsia"/>
          <w:bCs/>
        </w:rPr>
      </w:pPr>
      <w:r w:rsidRPr="00453203">
        <w:rPr>
          <w:rFonts w:asciiTheme="minorEastAsia" w:eastAsiaTheme="minorEastAsia" w:hAnsiTheme="minorEastAsia"/>
          <w:b/>
          <w:bCs/>
        </w:rPr>
        <w:br w:type="page"/>
      </w:r>
      <w:bookmarkStart w:id="171" w:name="_Toc34834751"/>
      <w:r w:rsidR="00DC681B" w:rsidRPr="00453203">
        <w:rPr>
          <w:rFonts w:asciiTheme="minorEastAsia" w:eastAsiaTheme="minorEastAsia" w:hAnsiTheme="minorEastAsia" w:hint="eastAsia"/>
          <w:bCs/>
        </w:rPr>
        <w:lastRenderedPageBreak/>
        <w:t>十六</w:t>
      </w:r>
      <w:r w:rsidR="00266A27" w:rsidRPr="00453203">
        <w:rPr>
          <w:rFonts w:asciiTheme="minorEastAsia" w:eastAsiaTheme="minorEastAsia" w:hAnsiTheme="minorEastAsia" w:hint="eastAsia"/>
          <w:bCs/>
        </w:rPr>
        <w:t>、基金的费用与税收</w:t>
      </w:r>
      <w:bookmarkEnd w:id="171"/>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72" w:name="_Toc84149669"/>
      <w:bookmarkStart w:id="173" w:name="_Toc86584633"/>
      <w:bookmarkStart w:id="174" w:name="_Toc34834752"/>
      <w:r w:rsidRPr="00453203">
        <w:rPr>
          <w:rFonts w:asciiTheme="minorEastAsia" w:eastAsiaTheme="minorEastAsia" w:hAnsiTheme="minorEastAsia" w:hint="eastAsia"/>
          <w:sz w:val="21"/>
          <w:szCs w:val="21"/>
        </w:rPr>
        <w:t>（一）与基金运作相关的费用</w:t>
      </w:r>
      <w:bookmarkEnd w:id="172"/>
      <w:bookmarkEnd w:id="173"/>
      <w:bookmarkEnd w:id="174"/>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22274B"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基金费用的种类</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基金管理人的管理费；</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基金托管人的托管费；</w:t>
      </w:r>
    </w:p>
    <w:p w:rsidR="00321F24" w:rsidRPr="00453203" w:rsidRDefault="00321F2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(3)销售服务费；</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21F24" w:rsidRPr="00453203">
        <w:rPr>
          <w:rFonts w:asciiTheme="minorEastAsia" w:eastAsiaTheme="minorEastAsia" w:hAnsiTheme="minorEastAsia" w:hint="eastAsia"/>
          <w:szCs w:val="21"/>
        </w:rPr>
        <w:t>4</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《基金合同》生效后与基金相关的信息披露费用；</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21F24" w:rsidRPr="00453203">
        <w:rPr>
          <w:rFonts w:asciiTheme="minorEastAsia" w:eastAsiaTheme="minorEastAsia" w:hAnsiTheme="minorEastAsia" w:hint="eastAsia"/>
          <w:szCs w:val="21"/>
        </w:rPr>
        <w:t>5</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《基金合同》生效后与基金相关的会计师费、律师费和诉讼费；</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21F24" w:rsidRPr="00453203">
        <w:rPr>
          <w:rFonts w:asciiTheme="minorEastAsia" w:eastAsiaTheme="minorEastAsia" w:hAnsiTheme="minorEastAsia" w:hint="eastAsia"/>
          <w:szCs w:val="21"/>
        </w:rPr>
        <w:t>6</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基金份额持有人大会费用；</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21F24" w:rsidRPr="00453203">
        <w:rPr>
          <w:rFonts w:asciiTheme="minorEastAsia" w:eastAsiaTheme="minorEastAsia" w:hAnsiTheme="minorEastAsia" w:hint="eastAsia"/>
          <w:szCs w:val="21"/>
        </w:rPr>
        <w:t>7</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基金的证券交易费用；</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21F24" w:rsidRPr="00453203">
        <w:rPr>
          <w:rFonts w:asciiTheme="minorEastAsia" w:eastAsiaTheme="minorEastAsia" w:hAnsiTheme="minorEastAsia" w:hint="eastAsia"/>
          <w:szCs w:val="21"/>
        </w:rPr>
        <w:t>8</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基金的银行汇划费用；</w:t>
      </w:r>
    </w:p>
    <w:p w:rsidR="002045D2" w:rsidRPr="00453203" w:rsidRDefault="00CA09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21F24" w:rsidRPr="00453203">
        <w:rPr>
          <w:rFonts w:asciiTheme="minorEastAsia" w:eastAsiaTheme="minorEastAsia" w:hAnsiTheme="minorEastAsia" w:hint="eastAsia"/>
          <w:szCs w:val="21"/>
        </w:rPr>
        <w:t>9</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按照国家有关规定和《基金合同》约定，可以在基金财产中列支的其他费用。</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本基金终止清算时所发生费用，按实际支出额从基金财产总值中扣除。</w:t>
      </w:r>
    </w:p>
    <w:p w:rsidR="002045D2" w:rsidRPr="00453203" w:rsidRDefault="00DF476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22274B"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基金费用计提方法、计提标准和支付方式</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由于本基金管理人和基金托管人同时为创业板ETF的基金管理人与基金托管人，为避免重复收费，本基金管理人、基金托管人不对本基金财产中的ETF部分计提管理费、托管费。本基金制定了以下的收费标准。</w:t>
      </w:r>
    </w:p>
    <w:p w:rsidR="002045D2" w:rsidRPr="00453203" w:rsidRDefault="00DF476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szCs w:val="21"/>
        </w:rPr>
        <w:t>基金管理人的管理费</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w:t>
      </w:r>
      <w:r w:rsidRPr="00453203">
        <w:rPr>
          <w:rFonts w:asciiTheme="minorEastAsia" w:eastAsiaTheme="minorEastAsia" w:hAnsiTheme="minorEastAsia"/>
          <w:szCs w:val="21"/>
        </w:rPr>
        <w:t>的管理费</w:t>
      </w:r>
      <w:r w:rsidRPr="00453203">
        <w:rPr>
          <w:rFonts w:asciiTheme="minorEastAsia" w:eastAsiaTheme="minorEastAsia" w:hAnsiTheme="minorEastAsia" w:hint="eastAsia"/>
          <w:szCs w:val="21"/>
        </w:rPr>
        <w:t>按调整后的前一日</w:t>
      </w:r>
      <w:r w:rsidRPr="00453203">
        <w:rPr>
          <w:rFonts w:asciiTheme="minorEastAsia" w:eastAsiaTheme="minorEastAsia" w:hAnsiTheme="minorEastAsia"/>
          <w:szCs w:val="21"/>
        </w:rPr>
        <w:t>基金资产净值的</w:t>
      </w:r>
      <w:r w:rsidRPr="00453203">
        <w:rPr>
          <w:rFonts w:asciiTheme="minorEastAsia" w:eastAsiaTheme="minorEastAsia" w:hAnsiTheme="minorEastAsia" w:hint="eastAsia"/>
          <w:szCs w:val="21"/>
        </w:rPr>
        <w:t>0.5</w:t>
      </w:r>
      <w:r w:rsidRPr="00453203">
        <w:rPr>
          <w:rFonts w:asciiTheme="minorEastAsia" w:eastAsiaTheme="minorEastAsia" w:hAnsiTheme="minorEastAsia"/>
          <w:szCs w:val="21"/>
        </w:rPr>
        <w:t>%年费率计提。</w:t>
      </w:r>
      <w:r w:rsidRPr="00453203">
        <w:rPr>
          <w:rFonts w:asciiTheme="minorEastAsia" w:eastAsiaTheme="minorEastAsia" w:hAnsiTheme="minorEastAsia" w:hint="eastAsia"/>
          <w:szCs w:val="21"/>
        </w:rPr>
        <w:t>管理费的</w:t>
      </w:r>
      <w:r w:rsidRPr="00453203">
        <w:rPr>
          <w:rFonts w:asciiTheme="minorEastAsia" w:eastAsiaTheme="minorEastAsia" w:hAnsiTheme="minorEastAsia"/>
          <w:szCs w:val="21"/>
        </w:rPr>
        <w:t>计算方法如下：</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H＝E×</w:t>
      </w:r>
      <w:r w:rsidRPr="00453203">
        <w:rPr>
          <w:rFonts w:asciiTheme="minorEastAsia" w:eastAsiaTheme="minorEastAsia" w:hAnsiTheme="minorEastAsia" w:hint="eastAsia"/>
          <w:szCs w:val="21"/>
        </w:rPr>
        <w:t>0.5</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当年天数</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H为每日应</w:t>
      </w:r>
      <w:r w:rsidRPr="00453203">
        <w:rPr>
          <w:rFonts w:asciiTheme="minorEastAsia" w:eastAsiaTheme="minorEastAsia" w:hAnsiTheme="minorEastAsia" w:hint="eastAsia"/>
          <w:szCs w:val="21"/>
        </w:rPr>
        <w:t>计提</w:t>
      </w:r>
      <w:r w:rsidRPr="00453203">
        <w:rPr>
          <w:rFonts w:asciiTheme="minorEastAsia" w:eastAsiaTheme="minorEastAsia" w:hAnsiTheme="minorEastAsia"/>
          <w:szCs w:val="21"/>
        </w:rPr>
        <w:t>的基金管理费</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E</w:t>
      </w:r>
      <w:r w:rsidRPr="00453203">
        <w:rPr>
          <w:rFonts w:asciiTheme="minorEastAsia" w:eastAsiaTheme="minorEastAsia" w:hAnsiTheme="minorEastAsia" w:hint="eastAsia"/>
          <w:szCs w:val="21"/>
        </w:rPr>
        <w:t>为调整后的前一日基金资产净值。调整后的前一日基金资产净值＝前一日基金资产净值－前一日本基金持有的创业板ETF公允价值，金额为负时以零计</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基金管理费每日计算</w:t>
      </w:r>
      <w:r w:rsidRPr="00453203">
        <w:rPr>
          <w:rFonts w:asciiTheme="minorEastAsia" w:eastAsiaTheme="minorEastAsia" w:hAnsiTheme="minorEastAsia" w:hint="eastAsia"/>
          <w:szCs w:val="21"/>
        </w:rPr>
        <w:t>，逐日累计至每月月末，</w:t>
      </w:r>
      <w:r w:rsidRPr="00453203">
        <w:rPr>
          <w:rFonts w:asciiTheme="minorEastAsia" w:eastAsiaTheme="minorEastAsia" w:hAnsiTheme="minorEastAsia"/>
          <w:szCs w:val="21"/>
        </w:rPr>
        <w:t>按月支付</w:t>
      </w:r>
      <w:r w:rsidRPr="00453203">
        <w:rPr>
          <w:rFonts w:asciiTheme="minorEastAsia" w:eastAsiaTheme="minorEastAsia" w:hAnsiTheme="minorEastAsia" w:hint="eastAsia"/>
          <w:szCs w:val="21"/>
        </w:rPr>
        <w:t>，由基金管理人向基金托管人发送基金管理费划款指令，</w:t>
      </w:r>
      <w:r w:rsidRPr="00453203">
        <w:rPr>
          <w:rFonts w:asciiTheme="minorEastAsia" w:eastAsiaTheme="minorEastAsia" w:hAnsiTheme="minorEastAsia"/>
          <w:szCs w:val="21"/>
        </w:rPr>
        <w:t>基金托管人</w:t>
      </w:r>
      <w:r w:rsidRPr="00453203">
        <w:rPr>
          <w:rFonts w:asciiTheme="minorEastAsia" w:eastAsiaTheme="minorEastAsia" w:hAnsiTheme="minorEastAsia" w:hint="eastAsia"/>
          <w:szCs w:val="21"/>
        </w:rPr>
        <w:t>复核后</w:t>
      </w:r>
      <w:r w:rsidRPr="00453203">
        <w:rPr>
          <w:rFonts w:asciiTheme="minorEastAsia" w:eastAsiaTheme="minorEastAsia" w:hAnsiTheme="minorEastAsia"/>
          <w:szCs w:val="21"/>
        </w:rPr>
        <w:t>于次</w:t>
      </w:r>
      <w:r w:rsidRPr="00453203">
        <w:rPr>
          <w:rFonts w:asciiTheme="minorEastAsia" w:eastAsiaTheme="minorEastAsia" w:hAnsiTheme="minorEastAsia" w:hint="eastAsia"/>
          <w:szCs w:val="21"/>
        </w:rPr>
        <w:t>月首日起3</w:t>
      </w:r>
      <w:r w:rsidRPr="00453203">
        <w:rPr>
          <w:rFonts w:asciiTheme="minorEastAsia" w:eastAsiaTheme="minorEastAsia" w:hAnsiTheme="minorEastAsia"/>
          <w:szCs w:val="21"/>
        </w:rPr>
        <w:t>个工作日内从基金</w:t>
      </w:r>
      <w:r w:rsidRPr="00453203">
        <w:rPr>
          <w:rFonts w:asciiTheme="minorEastAsia" w:eastAsiaTheme="minorEastAsia" w:hAnsiTheme="minorEastAsia" w:hint="eastAsia"/>
          <w:szCs w:val="21"/>
        </w:rPr>
        <w:t>财产</w:t>
      </w:r>
      <w:r w:rsidRPr="00453203">
        <w:rPr>
          <w:rFonts w:asciiTheme="minorEastAsia" w:eastAsiaTheme="minorEastAsia" w:hAnsiTheme="minorEastAsia"/>
          <w:szCs w:val="21"/>
        </w:rPr>
        <w:t>中一次性支付给基金管理人</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若遇法定节假日、</w:t>
      </w:r>
      <w:r w:rsidRPr="00453203">
        <w:rPr>
          <w:rFonts w:asciiTheme="minorEastAsia" w:eastAsiaTheme="minorEastAsia" w:hAnsiTheme="minorEastAsia" w:hint="eastAsia"/>
          <w:szCs w:val="21"/>
        </w:rPr>
        <w:t>公休日</w:t>
      </w:r>
      <w:r w:rsidRPr="00453203">
        <w:rPr>
          <w:rFonts w:asciiTheme="minorEastAsia" w:eastAsiaTheme="minorEastAsia" w:hAnsiTheme="minorEastAsia"/>
          <w:szCs w:val="21"/>
        </w:rPr>
        <w:t>等,支付日期顺延。</w:t>
      </w:r>
    </w:p>
    <w:p w:rsidR="002045D2" w:rsidRPr="00453203" w:rsidRDefault="00DF476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szCs w:val="21"/>
        </w:rPr>
        <w:t>基金托管人的托管费</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w:t>
      </w:r>
      <w:r w:rsidRPr="00453203">
        <w:rPr>
          <w:rFonts w:asciiTheme="minorEastAsia" w:eastAsiaTheme="minorEastAsia" w:hAnsiTheme="minorEastAsia"/>
          <w:szCs w:val="21"/>
        </w:rPr>
        <w:t>基金的托管费按</w:t>
      </w:r>
      <w:r w:rsidRPr="00453203">
        <w:rPr>
          <w:rFonts w:asciiTheme="minorEastAsia" w:eastAsiaTheme="minorEastAsia" w:hAnsiTheme="minorEastAsia" w:hint="eastAsia"/>
          <w:szCs w:val="21"/>
        </w:rPr>
        <w:t>调整后的前一日</w:t>
      </w:r>
      <w:r w:rsidRPr="00453203">
        <w:rPr>
          <w:rFonts w:asciiTheme="minorEastAsia" w:eastAsiaTheme="minorEastAsia" w:hAnsiTheme="minorEastAsia"/>
          <w:szCs w:val="21"/>
        </w:rPr>
        <w:t>基金资产净值的</w:t>
      </w:r>
      <w:r w:rsidRPr="00453203">
        <w:rPr>
          <w:rFonts w:asciiTheme="minorEastAsia" w:eastAsiaTheme="minorEastAsia" w:hAnsiTheme="minorEastAsia" w:hint="eastAsia"/>
          <w:szCs w:val="21"/>
        </w:rPr>
        <w:t>0.1%</w:t>
      </w:r>
      <w:r w:rsidRPr="00453203">
        <w:rPr>
          <w:rFonts w:asciiTheme="minorEastAsia" w:eastAsiaTheme="minorEastAsia" w:hAnsiTheme="minorEastAsia"/>
          <w:szCs w:val="21"/>
        </w:rPr>
        <w:t>的年费率计提。</w:t>
      </w:r>
      <w:r w:rsidRPr="00453203">
        <w:rPr>
          <w:rFonts w:asciiTheme="minorEastAsia" w:eastAsiaTheme="minorEastAsia" w:hAnsiTheme="minorEastAsia" w:hint="eastAsia"/>
          <w:szCs w:val="21"/>
        </w:rPr>
        <w:t>托管费的</w:t>
      </w:r>
      <w:r w:rsidRPr="00453203">
        <w:rPr>
          <w:rFonts w:asciiTheme="minorEastAsia" w:eastAsiaTheme="minorEastAsia" w:hAnsiTheme="minorEastAsia"/>
          <w:szCs w:val="21"/>
        </w:rPr>
        <w:t>计算方法如下：</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H＝E×</w:t>
      </w:r>
      <w:r w:rsidRPr="00453203">
        <w:rPr>
          <w:rFonts w:asciiTheme="minorEastAsia" w:eastAsiaTheme="minorEastAsia" w:hAnsiTheme="minorEastAsia" w:hint="eastAsia"/>
          <w:szCs w:val="21"/>
        </w:rPr>
        <w:t>0.1%÷</w:t>
      </w:r>
      <w:r w:rsidRPr="00453203">
        <w:rPr>
          <w:rFonts w:asciiTheme="minorEastAsia" w:eastAsiaTheme="minorEastAsia" w:hAnsiTheme="minorEastAsia"/>
          <w:szCs w:val="21"/>
        </w:rPr>
        <w:t>当年天数</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H为每日应</w:t>
      </w:r>
      <w:r w:rsidRPr="00453203">
        <w:rPr>
          <w:rFonts w:asciiTheme="minorEastAsia" w:eastAsiaTheme="minorEastAsia" w:hAnsiTheme="minorEastAsia" w:hint="eastAsia"/>
          <w:szCs w:val="21"/>
        </w:rPr>
        <w:t>计提</w:t>
      </w:r>
      <w:r w:rsidRPr="00453203">
        <w:rPr>
          <w:rFonts w:asciiTheme="minorEastAsia" w:eastAsiaTheme="minorEastAsia" w:hAnsiTheme="minorEastAsia"/>
          <w:szCs w:val="21"/>
        </w:rPr>
        <w:t>的基金托管费</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lastRenderedPageBreak/>
        <w:t>E</w:t>
      </w:r>
      <w:r w:rsidRPr="00453203">
        <w:rPr>
          <w:rFonts w:asciiTheme="minorEastAsia" w:eastAsiaTheme="minorEastAsia" w:hAnsiTheme="minorEastAsia" w:hint="eastAsia"/>
          <w:szCs w:val="21"/>
        </w:rPr>
        <w:t>为调整后的前一日基金资产净值。调整后的前一日基金资产净值＝前一日基金资产净值－前一日本基金持有的创业板ETF公允价值，金额为负时以零计。</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基金托管费每日计算</w:t>
      </w:r>
      <w:r w:rsidRPr="00453203">
        <w:rPr>
          <w:rFonts w:asciiTheme="minorEastAsia" w:eastAsiaTheme="minorEastAsia" w:hAnsiTheme="minorEastAsia" w:hint="eastAsia"/>
          <w:szCs w:val="21"/>
        </w:rPr>
        <w:t>，逐日累计至每月月末，</w:t>
      </w:r>
      <w:r w:rsidRPr="00453203">
        <w:rPr>
          <w:rFonts w:asciiTheme="minorEastAsia" w:eastAsiaTheme="minorEastAsia" w:hAnsiTheme="minorEastAsia"/>
          <w:szCs w:val="21"/>
        </w:rPr>
        <w:t>按月支付</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由</w:t>
      </w:r>
      <w:r w:rsidRPr="00453203">
        <w:rPr>
          <w:rFonts w:asciiTheme="minorEastAsia" w:eastAsiaTheme="minorEastAsia" w:hAnsiTheme="minorEastAsia" w:hint="eastAsia"/>
          <w:szCs w:val="21"/>
        </w:rPr>
        <w:t>基金管理人向基金托管人发送基金托管费划款指令，</w:t>
      </w:r>
      <w:r w:rsidRPr="00453203">
        <w:rPr>
          <w:rFonts w:asciiTheme="minorEastAsia" w:eastAsiaTheme="minorEastAsia" w:hAnsiTheme="minorEastAsia"/>
          <w:szCs w:val="21"/>
        </w:rPr>
        <w:t>基金托管人</w:t>
      </w:r>
      <w:r w:rsidRPr="00453203">
        <w:rPr>
          <w:rFonts w:asciiTheme="minorEastAsia" w:eastAsiaTheme="minorEastAsia" w:hAnsiTheme="minorEastAsia" w:hint="eastAsia"/>
          <w:szCs w:val="21"/>
        </w:rPr>
        <w:t>复核后</w:t>
      </w:r>
      <w:r w:rsidRPr="00453203">
        <w:rPr>
          <w:rFonts w:asciiTheme="minorEastAsia" w:eastAsiaTheme="minorEastAsia" w:hAnsiTheme="minorEastAsia"/>
          <w:szCs w:val="21"/>
        </w:rPr>
        <w:t>于次月</w:t>
      </w:r>
      <w:r w:rsidRPr="00453203">
        <w:rPr>
          <w:rFonts w:asciiTheme="minorEastAsia" w:eastAsiaTheme="minorEastAsia" w:hAnsiTheme="minorEastAsia" w:hint="eastAsia"/>
          <w:szCs w:val="21"/>
        </w:rPr>
        <w:t>首日起3</w:t>
      </w:r>
      <w:r w:rsidRPr="00453203">
        <w:rPr>
          <w:rFonts w:asciiTheme="minorEastAsia" w:eastAsiaTheme="minorEastAsia" w:hAnsiTheme="minorEastAsia"/>
          <w:szCs w:val="21"/>
        </w:rPr>
        <w:t>个工作日内从基金财产中一次性支取</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若遇法定节假日、</w:t>
      </w:r>
      <w:r w:rsidRPr="00453203">
        <w:rPr>
          <w:rFonts w:asciiTheme="minorEastAsia" w:eastAsiaTheme="minorEastAsia" w:hAnsiTheme="minorEastAsia" w:hint="eastAsia"/>
          <w:szCs w:val="21"/>
        </w:rPr>
        <w:t>公休日</w:t>
      </w:r>
      <w:r w:rsidRPr="00453203">
        <w:rPr>
          <w:rFonts w:asciiTheme="minorEastAsia" w:eastAsiaTheme="minorEastAsia" w:hAnsiTheme="minorEastAsia"/>
          <w:szCs w:val="21"/>
        </w:rPr>
        <w:t>等,支付日期顺延。</w:t>
      </w:r>
    </w:p>
    <w:p w:rsidR="00321F24" w:rsidRPr="00453203" w:rsidRDefault="00321F2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（3）销售服务费</w:t>
      </w:r>
    </w:p>
    <w:p w:rsidR="00321F24" w:rsidRPr="00453203" w:rsidRDefault="00321F24" w:rsidP="00321F24">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本基金A类基金份额不收取销售服务费，C类基金份额的销售服务费年费率为0.25%，按C类基金份额前一日基金资产净值的0.25%年费率计提。</w:t>
      </w:r>
    </w:p>
    <w:p w:rsidR="00321F24" w:rsidRPr="00453203" w:rsidRDefault="00321F24" w:rsidP="00321F24">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销售服务费的计算方法如下：</w:t>
      </w:r>
    </w:p>
    <w:p w:rsidR="00321F24" w:rsidRPr="00453203" w:rsidRDefault="00321F24" w:rsidP="00321F24">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H＝E×0.25%÷当年天数</w:t>
      </w:r>
    </w:p>
    <w:p w:rsidR="00321F24" w:rsidRPr="00453203" w:rsidRDefault="00321F24" w:rsidP="00321F24">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H为C类基金份额每日应计提的销售服务费</w:t>
      </w:r>
    </w:p>
    <w:p w:rsidR="00321F24" w:rsidRPr="00453203" w:rsidRDefault="00321F24" w:rsidP="00321F24">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E为C类基金份额前一日基金资产净值</w:t>
      </w:r>
    </w:p>
    <w:p w:rsidR="00321F24" w:rsidRPr="00453203" w:rsidRDefault="00321F24" w:rsidP="00321F24">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销售服务费每日计算，逐日累计至每月月末，按月支付，由基金管理人向基金托管人发送基金销售服务费划款指令，基金托管人复核后于次月首日起3个工作日内从基金财产中一次性支付。若遇法定节假日、公休日等，支付日期顺延。</w:t>
      </w:r>
    </w:p>
    <w:p w:rsidR="002045D2" w:rsidRPr="00453203" w:rsidRDefault="00185B3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（4）</w:t>
      </w:r>
      <w:r w:rsidR="002045D2" w:rsidRPr="00453203">
        <w:rPr>
          <w:rFonts w:asciiTheme="minorEastAsia" w:eastAsiaTheme="minorEastAsia" w:hAnsiTheme="minorEastAsia"/>
          <w:szCs w:val="21"/>
        </w:rPr>
        <w:t>上述</w:t>
      </w:r>
      <w:r w:rsidR="002045D2" w:rsidRPr="00453203">
        <w:rPr>
          <w:rFonts w:asciiTheme="minorEastAsia" w:eastAsiaTheme="minorEastAsia" w:hAnsiTheme="minorEastAsia" w:hint="eastAsia"/>
          <w:szCs w:val="21"/>
        </w:rPr>
        <w:t>“</w:t>
      </w:r>
      <w:r w:rsidR="00DF4761" w:rsidRPr="00453203">
        <w:rPr>
          <w:rFonts w:asciiTheme="minorEastAsia" w:eastAsiaTheme="minorEastAsia" w:hAnsiTheme="minorEastAsia" w:hint="eastAsia"/>
          <w:szCs w:val="21"/>
        </w:rPr>
        <w:t>1.</w:t>
      </w:r>
      <w:r w:rsidR="002045D2" w:rsidRPr="00453203">
        <w:rPr>
          <w:rFonts w:asciiTheme="minorEastAsia" w:eastAsiaTheme="minorEastAsia" w:hAnsiTheme="minorEastAsia"/>
          <w:szCs w:val="21"/>
        </w:rPr>
        <w:t>基金费用</w:t>
      </w:r>
      <w:r w:rsidR="002045D2" w:rsidRPr="00453203">
        <w:rPr>
          <w:rFonts w:asciiTheme="minorEastAsia" w:eastAsiaTheme="minorEastAsia" w:hAnsiTheme="minorEastAsia" w:hint="eastAsia"/>
          <w:szCs w:val="21"/>
        </w:rPr>
        <w:t>的种类”</w:t>
      </w:r>
      <w:r w:rsidR="002045D2" w:rsidRPr="00453203">
        <w:rPr>
          <w:rFonts w:asciiTheme="minorEastAsia" w:eastAsiaTheme="minorEastAsia" w:hAnsiTheme="minorEastAsia"/>
          <w:szCs w:val="21"/>
        </w:rPr>
        <w:t>中</w:t>
      </w:r>
      <w:r w:rsidR="002045D2" w:rsidRPr="00453203">
        <w:rPr>
          <w:rFonts w:asciiTheme="minorEastAsia" w:eastAsiaTheme="minorEastAsia" w:hAnsiTheme="minorEastAsia" w:hint="eastAsia"/>
          <w:szCs w:val="21"/>
        </w:rPr>
        <w:t>其他各</w:t>
      </w:r>
      <w:r w:rsidR="002045D2" w:rsidRPr="00453203">
        <w:rPr>
          <w:rFonts w:asciiTheme="minorEastAsia" w:eastAsiaTheme="minorEastAsia" w:hAnsiTheme="minorEastAsia"/>
          <w:szCs w:val="21"/>
        </w:rPr>
        <w:t>项费用</w:t>
      </w:r>
      <w:r w:rsidR="002045D2" w:rsidRPr="00453203">
        <w:rPr>
          <w:rFonts w:asciiTheme="minorEastAsia" w:eastAsiaTheme="minorEastAsia" w:hAnsiTheme="minorEastAsia" w:hint="eastAsia"/>
          <w:szCs w:val="21"/>
        </w:rPr>
        <w:t>，</w:t>
      </w:r>
      <w:r w:rsidR="002045D2" w:rsidRPr="00453203">
        <w:rPr>
          <w:rFonts w:asciiTheme="minorEastAsia" w:eastAsiaTheme="minorEastAsia" w:hAnsiTheme="minorEastAsia"/>
          <w:szCs w:val="21"/>
        </w:rPr>
        <w:t>根据有关法规及相应协议规定</w:t>
      </w:r>
      <w:r w:rsidR="002045D2" w:rsidRPr="00453203">
        <w:rPr>
          <w:rFonts w:asciiTheme="minorEastAsia" w:eastAsiaTheme="minorEastAsia" w:hAnsiTheme="minorEastAsia" w:hint="eastAsia"/>
          <w:szCs w:val="21"/>
        </w:rPr>
        <w:t>，</w:t>
      </w:r>
      <w:r w:rsidR="002045D2" w:rsidRPr="00453203">
        <w:rPr>
          <w:rFonts w:asciiTheme="minorEastAsia" w:eastAsiaTheme="minorEastAsia" w:hAnsiTheme="minorEastAsia"/>
          <w:szCs w:val="21"/>
        </w:rPr>
        <w:t>按费用实际支出金额列入</w:t>
      </w:r>
      <w:r w:rsidR="002045D2" w:rsidRPr="00453203">
        <w:rPr>
          <w:rFonts w:asciiTheme="minorEastAsia" w:eastAsiaTheme="minorEastAsia" w:hAnsiTheme="minorEastAsia" w:hint="eastAsia"/>
          <w:szCs w:val="21"/>
        </w:rPr>
        <w:t>基金</w:t>
      </w:r>
      <w:r w:rsidR="002045D2" w:rsidRPr="00453203">
        <w:rPr>
          <w:rFonts w:asciiTheme="minorEastAsia" w:eastAsiaTheme="minorEastAsia" w:hAnsiTheme="minorEastAsia"/>
          <w:szCs w:val="21"/>
        </w:rPr>
        <w:t>费用</w:t>
      </w:r>
      <w:r w:rsidR="002045D2" w:rsidRPr="00453203">
        <w:rPr>
          <w:rFonts w:asciiTheme="minorEastAsia" w:eastAsiaTheme="minorEastAsia" w:hAnsiTheme="minorEastAsia" w:hint="eastAsia"/>
          <w:szCs w:val="21"/>
        </w:rPr>
        <w:t>，</w:t>
      </w:r>
      <w:r w:rsidR="002045D2" w:rsidRPr="00453203">
        <w:rPr>
          <w:rFonts w:asciiTheme="minorEastAsia" w:eastAsiaTheme="minorEastAsia" w:hAnsiTheme="minorEastAsia"/>
          <w:szCs w:val="21"/>
        </w:rPr>
        <w:t>由基金托管人从基金财产中支付。</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w:t>
      </w:r>
      <w:r w:rsidR="0022274B"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不列入基金费用的项目</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下列费用不列入基金费用：</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基金管理人和基金托管人因未履行或未完全履行义务导致的费用支出或基金财产的损失；</w:t>
      </w:r>
    </w:p>
    <w:p w:rsidR="002045D2" w:rsidRPr="00453203" w:rsidRDefault="00DF476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基金管理人和基金托管人处理与基金运作无关的事项发生的费用；</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3</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《基金合同》生效前的相关费用，包括但不限于验资费、会计师和律师费、信息披露费用等费用；</w:t>
      </w:r>
    </w:p>
    <w:p w:rsidR="002045D2" w:rsidRPr="00453203" w:rsidRDefault="00DF47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4</w:t>
      </w:r>
      <w:r w:rsidRPr="00453203">
        <w:rPr>
          <w:rFonts w:asciiTheme="minorEastAsia" w:eastAsiaTheme="minorEastAsia" w:hAnsiTheme="minorEastAsia" w:hint="eastAsia"/>
          <w:szCs w:val="21"/>
        </w:rPr>
        <w:t>)</w:t>
      </w:r>
      <w:r w:rsidR="002045D2" w:rsidRPr="00453203">
        <w:rPr>
          <w:rFonts w:asciiTheme="minorEastAsia" w:eastAsiaTheme="minorEastAsia" w:hAnsiTheme="minorEastAsia" w:hint="eastAsia"/>
          <w:szCs w:val="21"/>
        </w:rPr>
        <w:t>其他根据相关法律法规及中国证监会的有关规定不得列入基金费用的项目。</w:t>
      </w:r>
    </w:p>
    <w:p w:rsidR="002045D2" w:rsidRPr="00453203" w:rsidRDefault="00DF4761" w:rsidP="00173B3E">
      <w:pPr>
        <w:snapToGrid w:val="0"/>
        <w:spacing w:line="360" w:lineRule="auto"/>
        <w:ind w:firstLineChars="200" w:firstLine="420"/>
        <w:rPr>
          <w:rFonts w:asciiTheme="minorEastAsia" w:eastAsiaTheme="minorEastAsia" w:hAnsiTheme="minorEastAsia"/>
          <w:szCs w:val="21"/>
        </w:rPr>
      </w:pPr>
      <w:bookmarkStart w:id="175" w:name="书签1"/>
      <w:r w:rsidRPr="00453203">
        <w:rPr>
          <w:rFonts w:asciiTheme="minorEastAsia" w:eastAsiaTheme="minorEastAsia" w:hAnsiTheme="minorEastAsia" w:hint="eastAsia"/>
          <w:szCs w:val="21"/>
        </w:rPr>
        <w:t>4</w:t>
      </w:r>
      <w:r w:rsidR="0022274B" w:rsidRPr="00453203">
        <w:rPr>
          <w:rFonts w:asciiTheme="minorEastAsia" w:eastAsiaTheme="minorEastAsia" w:hAnsiTheme="minorEastAsia" w:hint="eastAsia"/>
          <w:szCs w:val="21"/>
        </w:rPr>
        <w:t>、</w:t>
      </w:r>
      <w:r w:rsidR="002045D2" w:rsidRPr="00453203">
        <w:rPr>
          <w:rFonts w:asciiTheme="minorEastAsia" w:eastAsiaTheme="minorEastAsia" w:hAnsiTheme="minorEastAsia"/>
          <w:szCs w:val="21"/>
        </w:rPr>
        <w:t>费</w:t>
      </w:r>
      <w:r w:rsidR="002045D2" w:rsidRPr="00453203">
        <w:rPr>
          <w:rFonts w:asciiTheme="minorEastAsia" w:eastAsiaTheme="minorEastAsia" w:hAnsiTheme="minorEastAsia" w:hint="eastAsia"/>
          <w:szCs w:val="21"/>
        </w:rPr>
        <w:t>用</w:t>
      </w:r>
      <w:r w:rsidR="002045D2" w:rsidRPr="00453203">
        <w:rPr>
          <w:rFonts w:asciiTheme="minorEastAsia" w:eastAsiaTheme="minorEastAsia" w:hAnsiTheme="minorEastAsia"/>
          <w:szCs w:val="21"/>
        </w:rPr>
        <w:t>调整</w:t>
      </w:r>
    </w:p>
    <w:bookmarkEnd w:id="175"/>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基金管理人和基金托管人协商一致后，可根据基金发展情况调整基金管理费率和基金托管费率</w:t>
      </w:r>
      <w:r w:rsidR="00185B36" w:rsidRPr="00453203">
        <w:rPr>
          <w:rFonts w:asciiTheme="minorEastAsia" w:eastAsiaTheme="minorEastAsia" w:hAnsiTheme="minorEastAsia" w:hint="eastAsia"/>
          <w:szCs w:val="21"/>
        </w:rPr>
        <w:t>或销售服务费率</w:t>
      </w:r>
      <w:r w:rsidRPr="00453203">
        <w:rPr>
          <w:rFonts w:asciiTheme="minorEastAsia" w:eastAsiaTheme="minorEastAsia" w:hAnsiTheme="minorEastAsia" w:hint="eastAsia"/>
          <w:szCs w:val="21"/>
        </w:rPr>
        <w:t>。</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调高基金管理费率和基金托管费率，须召开基金份额持有人大会审议；调低基金管理费率和基金托管费率</w:t>
      </w:r>
      <w:r w:rsidR="00185B36" w:rsidRPr="00453203">
        <w:rPr>
          <w:rFonts w:asciiTheme="minorEastAsia" w:eastAsiaTheme="minorEastAsia" w:hAnsiTheme="minorEastAsia" w:hint="eastAsia"/>
          <w:szCs w:val="21"/>
        </w:rPr>
        <w:t>或销售服务费率</w:t>
      </w:r>
      <w:r w:rsidRPr="00453203">
        <w:rPr>
          <w:rFonts w:asciiTheme="minorEastAsia" w:eastAsiaTheme="minorEastAsia" w:hAnsiTheme="minorEastAsia" w:hint="eastAsia"/>
          <w:szCs w:val="21"/>
        </w:rPr>
        <w:t>，无须召开基金份额持有人大会。</w:t>
      </w:r>
    </w:p>
    <w:p w:rsidR="002045D2" w:rsidRPr="00453203" w:rsidRDefault="002045D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基金管理人必须按照《信息披露办法》或其他相关规定在新的费率实施日前在至少一种</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公告。</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76" w:name="_Toc34834753"/>
      <w:r w:rsidRPr="00453203">
        <w:rPr>
          <w:rFonts w:asciiTheme="minorEastAsia" w:eastAsiaTheme="minorEastAsia" w:hAnsiTheme="minorEastAsia" w:hint="eastAsia"/>
          <w:sz w:val="21"/>
          <w:szCs w:val="21"/>
        </w:rPr>
        <w:lastRenderedPageBreak/>
        <w:t>（二）与基金销售有关的费用</w:t>
      </w:r>
      <w:bookmarkEnd w:id="176"/>
    </w:p>
    <w:p w:rsidR="00D304B8" w:rsidRPr="00453203" w:rsidRDefault="0032033A" w:rsidP="00643071">
      <w:pPr>
        <w:snapToGrid w:val="0"/>
        <w:spacing w:line="360" w:lineRule="auto"/>
        <w:ind w:firstLineChars="200" w:firstLine="420"/>
        <w:jc w:val="left"/>
        <w:rPr>
          <w:rFonts w:asciiTheme="minorEastAsia" w:eastAsiaTheme="minorEastAsia" w:hAnsiTheme="minorEastAsia"/>
          <w:szCs w:val="21"/>
        </w:rPr>
      </w:pPr>
      <w:r w:rsidRPr="00453203">
        <w:rPr>
          <w:rFonts w:asciiTheme="minorEastAsia" w:eastAsiaTheme="minorEastAsia" w:hAnsiTheme="minorEastAsia" w:hint="eastAsia"/>
          <w:szCs w:val="21"/>
        </w:rPr>
        <w:t>1、</w:t>
      </w:r>
      <w:r w:rsidR="00656976" w:rsidRPr="00453203">
        <w:rPr>
          <w:rFonts w:asciiTheme="minorEastAsia" w:eastAsiaTheme="minorEastAsia" w:hAnsiTheme="minorEastAsia"/>
          <w:szCs w:val="21"/>
        </w:rPr>
        <w:t>申购费</w:t>
      </w:r>
      <w:r w:rsidR="00C079BF" w:rsidRPr="00453203">
        <w:rPr>
          <w:rFonts w:asciiTheme="minorEastAsia" w:eastAsiaTheme="minorEastAsia" w:hAnsiTheme="minorEastAsia" w:hint="eastAsia"/>
          <w:szCs w:val="21"/>
        </w:rPr>
        <w:t>、赎回费的费率水平、收取方式及计算公式详见“八、基金份额的申购、赎回”中的“（七）申购、赎回的费率”、“（八）申购份额、赎回金额的计算方式”的相关规定。</w:t>
      </w:r>
      <w:bookmarkStart w:id="177" w:name="_Toc84149673"/>
      <w:bookmarkStart w:id="178" w:name="_Toc86584637"/>
    </w:p>
    <w:p w:rsidR="00266A27" w:rsidRPr="00453203" w:rsidRDefault="0032033A"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266A27" w:rsidRPr="00453203">
        <w:rPr>
          <w:rFonts w:asciiTheme="minorEastAsia" w:eastAsiaTheme="minorEastAsia" w:hAnsiTheme="minorEastAsia"/>
          <w:szCs w:val="21"/>
        </w:rPr>
        <w:t>转换费率</w:t>
      </w:r>
    </w:p>
    <w:p w:rsidR="007301AE" w:rsidRPr="00453203" w:rsidRDefault="00A070AD"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目前，基金管理人已开通了本基金与旗下部分开放式基金之间的转换业务，具体实施办法和转换费率详见相关公告</w:t>
      </w:r>
      <w:r w:rsidR="007301AE" w:rsidRPr="00453203">
        <w:rPr>
          <w:rFonts w:asciiTheme="minorEastAsia" w:eastAsiaTheme="minorEastAsia" w:hAnsiTheme="minorEastAsia" w:hint="eastAsia"/>
          <w:szCs w:val="21"/>
        </w:rPr>
        <w:t>。基金转换费由基金份额持有人承担，由转出基金赎回费用及基金申购补差费用构成，其中赎回费</w:t>
      </w:r>
      <w:r w:rsidRPr="00453203">
        <w:rPr>
          <w:rFonts w:asciiTheme="minorEastAsia" w:eastAsiaTheme="minorEastAsia" w:hAnsiTheme="minorEastAsia" w:hint="eastAsia"/>
          <w:szCs w:val="21"/>
        </w:rPr>
        <w:t>按照</w:t>
      </w:r>
      <w:r w:rsidR="00672AAF" w:rsidRPr="00453203">
        <w:rPr>
          <w:rFonts w:asciiTheme="minorEastAsia" w:eastAsiaTheme="minorEastAsia" w:hAnsiTheme="minorEastAsia" w:hint="eastAsia"/>
          <w:szCs w:val="21"/>
        </w:rPr>
        <w:t>各基金</w:t>
      </w:r>
      <w:r w:rsidR="00672AAF" w:rsidRPr="00453203">
        <w:rPr>
          <w:rFonts w:asciiTheme="minorEastAsia" w:eastAsiaTheme="minorEastAsia" w:hAnsiTheme="minorEastAsia"/>
          <w:szCs w:val="21"/>
        </w:rPr>
        <w:t>的</w:t>
      </w:r>
      <w:r w:rsidRPr="00453203">
        <w:rPr>
          <w:rFonts w:asciiTheme="minorEastAsia" w:eastAsiaTheme="minorEastAsia" w:hAnsiTheme="minorEastAsia" w:hint="eastAsia"/>
          <w:szCs w:val="21"/>
        </w:rPr>
        <w:t>基金合同、更新的招募说明书及最新的相关公告约定的比例归入基金财产</w:t>
      </w:r>
      <w:r w:rsidR="007301AE" w:rsidRPr="00453203">
        <w:rPr>
          <w:rFonts w:asciiTheme="minorEastAsia" w:eastAsiaTheme="minorEastAsia" w:hAnsiTheme="minorEastAsia" w:hint="eastAsia"/>
          <w:szCs w:val="21"/>
        </w:rPr>
        <w:t>，其余部分用于支付注册登记费等相关手续费。</w:t>
      </w:r>
      <w:r w:rsidR="007301AE" w:rsidRPr="00453203">
        <w:rPr>
          <w:rFonts w:asciiTheme="minorEastAsia" w:eastAsiaTheme="minorEastAsia" w:hAnsiTheme="minorEastAsia"/>
          <w:szCs w:val="21"/>
        </w:rPr>
        <w:t>转换费用以人民币元为单位，计算结果按照四舍五入方法，保留小数点后两位。</w:t>
      </w:r>
    </w:p>
    <w:p w:rsidR="007301AE" w:rsidRPr="00453203" w:rsidRDefault="00C079B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w:t>
      </w:r>
      <w:r w:rsidR="0032033A" w:rsidRPr="00453203">
        <w:rPr>
          <w:rFonts w:asciiTheme="minorEastAsia" w:eastAsiaTheme="minorEastAsia" w:hAnsiTheme="minorEastAsia" w:hint="eastAsia"/>
          <w:szCs w:val="21"/>
        </w:rPr>
        <w:t>、</w:t>
      </w:r>
      <w:r w:rsidR="007301AE" w:rsidRPr="00453203">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5D08B4"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w:t>
      </w:r>
      <w:r w:rsidR="005D08B4" w:rsidRPr="00453203">
        <w:rPr>
          <w:rFonts w:asciiTheme="minorEastAsia" w:eastAsiaTheme="minorEastAsia" w:hAnsiTheme="minorEastAsia"/>
          <w:szCs w:val="21"/>
        </w:rPr>
        <w:t>基金管理人可以根据《基金合同》的相关约定调整</w:t>
      </w:r>
      <w:r w:rsidR="005D08B4" w:rsidRPr="00453203">
        <w:rPr>
          <w:rFonts w:asciiTheme="minorEastAsia" w:eastAsiaTheme="minorEastAsia" w:hAnsiTheme="minorEastAsia" w:hint="eastAsia"/>
          <w:szCs w:val="21"/>
        </w:rPr>
        <w:t>上述</w:t>
      </w:r>
      <w:r w:rsidR="005D08B4" w:rsidRPr="00453203">
        <w:rPr>
          <w:rFonts w:asciiTheme="minorEastAsia" w:eastAsiaTheme="minorEastAsia" w:hAnsiTheme="minorEastAsia"/>
          <w:szCs w:val="21"/>
        </w:rPr>
        <w:t>费率或收费方式</w:t>
      </w:r>
      <w:r w:rsidR="005D08B4" w:rsidRPr="00453203">
        <w:rPr>
          <w:rFonts w:asciiTheme="minorEastAsia" w:eastAsiaTheme="minorEastAsia" w:hAnsiTheme="minorEastAsia" w:hint="eastAsia"/>
          <w:szCs w:val="21"/>
        </w:rPr>
        <w:t>。</w:t>
      </w:r>
      <w:r w:rsidR="005D08B4" w:rsidRPr="00453203">
        <w:rPr>
          <w:rFonts w:asciiTheme="minorEastAsia" w:eastAsiaTheme="minorEastAsia" w:hAnsiTheme="minorEastAsia"/>
          <w:szCs w:val="21"/>
        </w:rPr>
        <w:t>上述费率如发生变更，基金管理人应</w:t>
      </w:r>
      <w:r w:rsidR="005D08B4" w:rsidRPr="00453203">
        <w:rPr>
          <w:rFonts w:asciiTheme="minorEastAsia" w:eastAsiaTheme="minorEastAsia" w:hAnsiTheme="minorEastAsia" w:hint="eastAsia"/>
          <w:szCs w:val="21"/>
        </w:rPr>
        <w:t>按照《信息披露办法》或其他相关规定</w:t>
      </w:r>
      <w:r w:rsidR="005D08B4" w:rsidRPr="00453203">
        <w:rPr>
          <w:rFonts w:asciiTheme="minorEastAsia" w:eastAsiaTheme="minorEastAsia" w:hAnsiTheme="minorEastAsia"/>
          <w:szCs w:val="21"/>
        </w:rPr>
        <w:t>于新的费率或收费方式实施前在至少一</w:t>
      </w:r>
      <w:r w:rsidR="005D08B4" w:rsidRPr="00453203">
        <w:rPr>
          <w:rFonts w:asciiTheme="minorEastAsia" w:eastAsiaTheme="minorEastAsia" w:hAnsiTheme="minorEastAsia" w:hint="eastAsia"/>
          <w:szCs w:val="21"/>
        </w:rPr>
        <w:t>家</w:t>
      </w:r>
      <w:r w:rsidR="0009600D" w:rsidRPr="00453203">
        <w:rPr>
          <w:rFonts w:asciiTheme="minorEastAsia" w:eastAsiaTheme="minorEastAsia" w:hAnsiTheme="minorEastAsia"/>
          <w:szCs w:val="21"/>
        </w:rPr>
        <w:t>指定媒介</w:t>
      </w:r>
      <w:r w:rsidR="005D08B4" w:rsidRPr="00453203">
        <w:rPr>
          <w:rFonts w:asciiTheme="minorEastAsia" w:eastAsiaTheme="minorEastAsia" w:hAnsiTheme="minorEastAsia"/>
          <w:szCs w:val="21"/>
        </w:rPr>
        <w:t>及</w:t>
      </w:r>
      <w:r w:rsidR="005D08B4" w:rsidRPr="00453203">
        <w:rPr>
          <w:rFonts w:asciiTheme="minorEastAsia" w:eastAsiaTheme="minorEastAsia" w:hAnsiTheme="minorEastAsia" w:hint="eastAsia"/>
          <w:szCs w:val="21"/>
        </w:rPr>
        <w:t>基金管理人</w:t>
      </w:r>
      <w:r w:rsidR="005D08B4" w:rsidRPr="00453203">
        <w:rPr>
          <w:rFonts w:asciiTheme="minorEastAsia" w:eastAsiaTheme="minorEastAsia" w:hAnsiTheme="minorEastAsia"/>
          <w:szCs w:val="21"/>
        </w:rPr>
        <w:t>网站公告。</w:t>
      </w:r>
    </w:p>
    <w:p w:rsidR="005D08B4" w:rsidRPr="00453203" w:rsidRDefault="00A16C6C"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79" w:name="_Toc34834754"/>
      <w:r w:rsidRPr="00453203">
        <w:rPr>
          <w:rFonts w:asciiTheme="minorEastAsia" w:eastAsiaTheme="minorEastAsia" w:hAnsiTheme="minorEastAsia" w:hint="eastAsia"/>
          <w:sz w:val="21"/>
          <w:szCs w:val="21"/>
        </w:rPr>
        <w:t>（三）基金税收</w:t>
      </w:r>
      <w:bookmarkEnd w:id="177"/>
      <w:bookmarkEnd w:id="178"/>
      <w:bookmarkEnd w:id="179"/>
    </w:p>
    <w:p w:rsidR="00227A88" w:rsidRPr="00453203" w:rsidRDefault="00227A8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本基金运作过程中涉及的各纳税主体，其纳税义务按国家税收法律、法规执行。</w:t>
      </w:r>
    </w:p>
    <w:p w:rsidR="00266A27" w:rsidRPr="00453203" w:rsidRDefault="00266A27" w:rsidP="00643071">
      <w:pPr>
        <w:snapToGrid w:val="0"/>
        <w:spacing w:line="360" w:lineRule="auto"/>
        <w:ind w:firstLine="480"/>
        <w:rPr>
          <w:rFonts w:asciiTheme="minorEastAsia" w:eastAsiaTheme="minorEastAsia" w:hAnsiTheme="minorEastAsia"/>
          <w:szCs w:val="21"/>
        </w:rPr>
      </w:pPr>
    </w:p>
    <w:p w:rsidR="00266A27" w:rsidRPr="00453203" w:rsidRDefault="00266A27" w:rsidP="00643071">
      <w:pPr>
        <w:snapToGrid w:val="0"/>
        <w:spacing w:line="360" w:lineRule="auto"/>
        <w:ind w:firstLine="480"/>
        <w:rPr>
          <w:rFonts w:asciiTheme="minorEastAsia" w:eastAsiaTheme="minorEastAsia" w:hAnsiTheme="minorEastAsia"/>
          <w:szCs w:val="21"/>
        </w:rPr>
      </w:pPr>
    </w:p>
    <w:p w:rsidR="00266A27" w:rsidRPr="00453203" w:rsidRDefault="003A6E96" w:rsidP="00741477">
      <w:pPr>
        <w:pStyle w:val="1"/>
        <w:snapToGrid w:val="0"/>
        <w:spacing w:beforeLines="0" w:afterLines="0" w:line="360" w:lineRule="auto"/>
        <w:ind w:firstLineChars="0" w:firstLine="0"/>
        <w:rPr>
          <w:rFonts w:asciiTheme="minorEastAsia" w:eastAsiaTheme="minorEastAsia" w:hAnsiTheme="minorEastAsia"/>
          <w:bCs/>
        </w:rPr>
      </w:pPr>
      <w:r w:rsidRPr="00453203">
        <w:rPr>
          <w:rFonts w:asciiTheme="minorEastAsia" w:eastAsiaTheme="minorEastAsia" w:hAnsiTheme="minorEastAsia"/>
          <w:b/>
          <w:bCs/>
        </w:rPr>
        <w:br w:type="page"/>
      </w:r>
      <w:bookmarkStart w:id="180" w:name="_Toc34834755"/>
      <w:r w:rsidR="007301AE" w:rsidRPr="00453203">
        <w:rPr>
          <w:rFonts w:asciiTheme="minorEastAsia" w:eastAsiaTheme="minorEastAsia" w:hAnsiTheme="minorEastAsia" w:hint="eastAsia"/>
          <w:bCs/>
        </w:rPr>
        <w:lastRenderedPageBreak/>
        <w:t>十七</w:t>
      </w:r>
      <w:r w:rsidR="00266A27" w:rsidRPr="00453203">
        <w:rPr>
          <w:rFonts w:asciiTheme="minorEastAsia" w:eastAsiaTheme="minorEastAsia" w:hAnsiTheme="minorEastAsia" w:hint="eastAsia"/>
          <w:bCs/>
        </w:rPr>
        <w:t>、基金的会计与审计</w:t>
      </w:r>
      <w:bookmarkEnd w:id="180"/>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81" w:name="_Toc34834756"/>
      <w:r w:rsidRPr="00453203">
        <w:rPr>
          <w:rFonts w:asciiTheme="minorEastAsia" w:eastAsiaTheme="minorEastAsia" w:hAnsiTheme="minorEastAsia" w:hint="eastAsia"/>
          <w:sz w:val="21"/>
          <w:szCs w:val="21"/>
        </w:rPr>
        <w:t>（一）基金会计政策</w:t>
      </w:r>
      <w:bookmarkEnd w:id="181"/>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、基金管理人为本基金的基金会计责任方；</w:t>
      </w:r>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、基金的会计年度为公历年度的</w:t>
      </w: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月</w:t>
      </w: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日至</w:t>
      </w:r>
      <w:r w:rsidRPr="00453203">
        <w:rPr>
          <w:rFonts w:asciiTheme="minorEastAsia" w:eastAsiaTheme="minorEastAsia" w:hAnsiTheme="minorEastAsia"/>
          <w:szCs w:val="21"/>
        </w:rPr>
        <w:t>12</w:t>
      </w:r>
      <w:r w:rsidRPr="00453203">
        <w:rPr>
          <w:rFonts w:asciiTheme="minorEastAsia" w:eastAsiaTheme="minorEastAsia" w:hAnsiTheme="minorEastAsia" w:hint="eastAsia"/>
          <w:szCs w:val="21"/>
        </w:rPr>
        <w:t>月</w:t>
      </w:r>
      <w:r w:rsidRPr="00453203">
        <w:rPr>
          <w:rFonts w:asciiTheme="minorEastAsia" w:eastAsiaTheme="minorEastAsia" w:hAnsiTheme="minorEastAsia"/>
          <w:szCs w:val="21"/>
        </w:rPr>
        <w:t>31</w:t>
      </w:r>
      <w:r w:rsidRPr="00453203">
        <w:rPr>
          <w:rFonts w:asciiTheme="minorEastAsia" w:eastAsiaTheme="minorEastAsia" w:hAnsiTheme="minorEastAsia" w:hint="eastAsia"/>
          <w:szCs w:val="21"/>
        </w:rPr>
        <w:t>日；</w:t>
      </w:r>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3</w:t>
      </w:r>
      <w:r w:rsidRPr="00453203">
        <w:rPr>
          <w:rFonts w:asciiTheme="minorEastAsia" w:eastAsiaTheme="minorEastAsia" w:hAnsiTheme="minorEastAsia" w:hint="eastAsia"/>
          <w:szCs w:val="21"/>
        </w:rPr>
        <w:t>、基金核算以人民币为记账本位币，以人民币元为记账单位；</w:t>
      </w:r>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4</w:t>
      </w:r>
      <w:r w:rsidRPr="00453203">
        <w:rPr>
          <w:rFonts w:asciiTheme="minorEastAsia" w:eastAsiaTheme="minorEastAsia" w:hAnsiTheme="minorEastAsia" w:hint="eastAsia"/>
          <w:szCs w:val="21"/>
        </w:rPr>
        <w:t>、会计制度执行国家有关会计制度；</w:t>
      </w:r>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5</w:t>
      </w:r>
      <w:r w:rsidRPr="00453203">
        <w:rPr>
          <w:rFonts w:asciiTheme="minorEastAsia" w:eastAsiaTheme="minorEastAsia" w:hAnsiTheme="minorEastAsia" w:hint="eastAsia"/>
          <w:szCs w:val="21"/>
        </w:rPr>
        <w:t>、本基金独立建账、独立核算；</w:t>
      </w:r>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6</w:t>
      </w:r>
      <w:r w:rsidRPr="00453203">
        <w:rPr>
          <w:rFonts w:asciiTheme="minorEastAsia" w:eastAsiaTheme="minorEastAsia" w:hAnsiTheme="minorEastAsia" w:hint="eastAsia"/>
          <w:szCs w:val="21"/>
        </w:rPr>
        <w:t>、基金管理人及基金托管人各自保留完整的会计账目、凭证并进行日常的会计核算，按照有关规定编制基金会计报表；</w:t>
      </w:r>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7</w:t>
      </w:r>
      <w:r w:rsidRPr="00453203">
        <w:rPr>
          <w:rFonts w:asciiTheme="minorEastAsia" w:eastAsiaTheme="minorEastAsia" w:hAnsiTheme="minorEastAsia" w:hint="eastAsia"/>
          <w:szCs w:val="21"/>
        </w:rPr>
        <w:t>、基金托管人每月与基金管理人就基金的会计核算、报表编制等进行核对并以书面方式确认。</w:t>
      </w:r>
    </w:p>
    <w:p w:rsidR="00266A27" w:rsidRPr="00453203" w:rsidRDefault="00266A27"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82" w:name="_Toc34834757"/>
      <w:r w:rsidRPr="00453203">
        <w:rPr>
          <w:rFonts w:asciiTheme="minorEastAsia" w:eastAsiaTheme="minorEastAsia" w:hAnsiTheme="minorEastAsia" w:hint="eastAsia"/>
          <w:sz w:val="21"/>
          <w:szCs w:val="21"/>
        </w:rPr>
        <w:t>（二）基金年度审计</w:t>
      </w:r>
      <w:bookmarkEnd w:id="182"/>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、基金管理人聘请与基金管理人、基金托管人相互独立的具有证券</w:t>
      </w:r>
      <w:r w:rsidR="00621B67" w:rsidRPr="00453203">
        <w:rPr>
          <w:rFonts w:asciiTheme="minorEastAsia" w:eastAsiaTheme="minorEastAsia" w:hAnsiTheme="minorEastAsia" w:hint="eastAsia"/>
          <w:szCs w:val="21"/>
        </w:rPr>
        <w:t>、期货相关业务</w:t>
      </w:r>
      <w:r w:rsidRPr="00453203">
        <w:rPr>
          <w:rFonts w:asciiTheme="minorEastAsia" w:eastAsiaTheme="minorEastAsia" w:hAnsiTheme="minorEastAsia" w:hint="eastAsia"/>
          <w:szCs w:val="21"/>
        </w:rPr>
        <w:t>资格的会计师事务所及其注册会计师对本基金的年度财务报表</w:t>
      </w:r>
      <w:r w:rsidRPr="00453203">
        <w:rPr>
          <w:rFonts w:asciiTheme="minorEastAsia" w:eastAsiaTheme="minorEastAsia" w:hAnsiTheme="minorEastAsia"/>
          <w:szCs w:val="21"/>
        </w:rPr>
        <w:t>及其他规定事项</w:t>
      </w:r>
      <w:r w:rsidRPr="00453203">
        <w:rPr>
          <w:rFonts w:asciiTheme="minorEastAsia" w:eastAsiaTheme="minorEastAsia" w:hAnsiTheme="minorEastAsia" w:hint="eastAsia"/>
          <w:szCs w:val="21"/>
        </w:rPr>
        <w:t>进行审计。</w:t>
      </w:r>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、会计师事务所更换经办注册会计师，应事先征得基金管理人同意。</w:t>
      </w:r>
    </w:p>
    <w:p w:rsidR="00DE2323" w:rsidRPr="00453203" w:rsidRDefault="00DE2323"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3</w:t>
      </w:r>
      <w:r w:rsidRPr="00453203">
        <w:rPr>
          <w:rFonts w:asciiTheme="minorEastAsia" w:eastAsiaTheme="minorEastAsia" w:hAnsiTheme="minorEastAsia" w:hint="eastAsia"/>
          <w:szCs w:val="21"/>
        </w:rPr>
        <w:t>、基金管理人认为有充足理由更换会计师事务所，须通报基金托管人。更换会计师事务所需在2日内在至少一家</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公告。</w:t>
      </w:r>
    </w:p>
    <w:p w:rsidR="00266A27" w:rsidRPr="00453203" w:rsidRDefault="003A6E96" w:rsidP="00741477">
      <w:pPr>
        <w:pStyle w:val="1"/>
        <w:snapToGrid w:val="0"/>
        <w:spacing w:beforeLines="0" w:afterLines="0" w:line="360" w:lineRule="auto"/>
        <w:ind w:firstLineChars="0" w:firstLine="0"/>
        <w:rPr>
          <w:rFonts w:asciiTheme="minorEastAsia" w:eastAsiaTheme="minorEastAsia" w:hAnsiTheme="minorEastAsia"/>
          <w:bCs/>
        </w:rPr>
      </w:pPr>
      <w:r w:rsidRPr="00453203">
        <w:rPr>
          <w:rFonts w:asciiTheme="minorEastAsia" w:eastAsiaTheme="minorEastAsia" w:hAnsiTheme="minorEastAsia"/>
          <w:b/>
          <w:bCs/>
        </w:rPr>
        <w:br w:type="page"/>
      </w:r>
      <w:bookmarkStart w:id="183" w:name="_Toc34834758"/>
      <w:r w:rsidR="007301AE" w:rsidRPr="00453203">
        <w:rPr>
          <w:rFonts w:asciiTheme="minorEastAsia" w:eastAsiaTheme="minorEastAsia" w:hAnsiTheme="minorEastAsia" w:hint="eastAsia"/>
          <w:bCs/>
        </w:rPr>
        <w:lastRenderedPageBreak/>
        <w:t>十八</w:t>
      </w:r>
      <w:r w:rsidR="00266A27" w:rsidRPr="00453203">
        <w:rPr>
          <w:rFonts w:asciiTheme="minorEastAsia" w:eastAsiaTheme="minorEastAsia" w:hAnsiTheme="minorEastAsia" w:hint="eastAsia"/>
          <w:bCs/>
        </w:rPr>
        <w:t>、基金的信息披露</w:t>
      </w:r>
      <w:bookmarkEnd w:id="183"/>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（一）</w:t>
      </w:r>
      <w:r w:rsidR="003F2A00" w:rsidRPr="00453203">
        <w:rPr>
          <w:rFonts w:asciiTheme="minorEastAsia" w:eastAsiaTheme="minorEastAsia" w:hAnsiTheme="minorEastAsia" w:hint="eastAsia"/>
          <w:szCs w:val="21"/>
        </w:rPr>
        <w:t>本基金的信息披露应符合《基金法》、《运作办法》、《信息披露办法》、《基金合同》及其他有关规定。</w:t>
      </w:r>
    </w:p>
    <w:p w:rsidR="003F2A00" w:rsidRPr="00453203" w:rsidRDefault="00253578"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（二）</w:t>
      </w:r>
      <w:r w:rsidR="003F2A00" w:rsidRPr="00453203">
        <w:rPr>
          <w:rFonts w:asciiTheme="minorEastAsia" w:eastAsiaTheme="minorEastAsia" w:hAnsiTheme="minorEastAsia" w:hint="eastAsia"/>
          <w:szCs w:val="21"/>
        </w:rPr>
        <w:t>信息披露义务人</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本基金信息披露义务人包括基金管理人、基金托管人、召集基金份额持有人大会的基金份额持有人等法律</w:t>
      </w:r>
      <w:r w:rsidR="00621B67" w:rsidRPr="00453203">
        <w:rPr>
          <w:rFonts w:asciiTheme="minorEastAsia" w:eastAsiaTheme="minorEastAsia" w:hAnsiTheme="minorEastAsia" w:hint="eastAsia"/>
          <w:szCs w:val="21"/>
        </w:rPr>
        <w:t>、行政</w:t>
      </w:r>
      <w:r w:rsidRPr="00453203">
        <w:rPr>
          <w:rFonts w:asciiTheme="minorEastAsia" w:eastAsiaTheme="minorEastAsia" w:hAnsiTheme="minorEastAsia" w:hint="eastAsia"/>
          <w:szCs w:val="21"/>
        </w:rPr>
        <w:t>法规和中国证监会规定的自然人、法人和</w:t>
      </w:r>
      <w:r w:rsidR="00621B67" w:rsidRPr="00453203">
        <w:rPr>
          <w:rFonts w:asciiTheme="minorEastAsia" w:eastAsiaTheme="minorEastAsia" w:hAnsiTheme="minorEastAsia" w:hint="eastAsia"/>
          <w:szCs w:val="21"/>
        </w:rPr>
        <w:t>非法人</w:t>
      </w:r>
      <w:r w:rsidRPr="00453203">
        <w:rPr>
          <w:rFonts w:asciiTheme="minorEastAsia" w:eastAsiaTheme="minorEastAsia" w:hAnsiTheme="minorEastAsia" w:hint="eastAsia"/>
          <w:szCs w:val="21"/>
        </w:rPr>
        <w:t>组织。</w:t>
      </w:r>
    </w:p>
    <w:p w:rsidR="003F2A00" w:rsidRPr="00453203" w:rsidRDefault="00621B6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r w:rsidR="003F2A00" w:rsidRPr="00453203">
        <w:rPr>
          <w:rFonts w:asciiTheme="minorEastAsia" w:eastAsiaTheme="minorEastAsia" w:hAnsiTheme="minorEastAsia" w:hint="eastAsia"/>
          <w:szCs w:val="21"/>
        </w:rPr>
        <w:t>。</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本基金信息披露义务人应当在中国证监会规定时间内，将应予披露的基金信息通过</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披露，并保证基金投资者能够按照《基金合同》约定的时间和方式查阅或者复制公开披露的信息资料。</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（三）</w:t>
      </w:r>
      <w:r w:rsidR="003F2A00" w:rsidRPr="00453203">
        <w:rPr>
          <w:rFonts w:asciiTheme="minorEastAsia" w:eastAsiaTheme="minorEastAsia" w:hAnsiTheme="minorEastAsia" w:hint="eastAsia"/>
          <w:szCs w:val="21"/>
        </w:rPr>
        <w:t>本基金信息披露义务人承诺公开披露的基金信息，不得有下列行为：</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、虚假记载、误导性陈述或者重大遗漏；</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、对证券投资业绩进行预测；</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3</w:t>
      </w:r>
      <w:r w:rsidRPr="00453203">
        <w:rPr>
          <w:rFonts w:asciiTheme="minorEastAsia" w:eastAsiaTheme="minorEastAsia" w:hAnsiTheme="minorEastAsia" w:hint="eastAsia"/>
          <w:szCs w:val="21"/>
        </w:rPr>
        <w:t>、违规承诺收益或者承担损失；</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4</w:t>
      </w:r>
      <w:r w:rsidRPr="00453203">
        <w:rPr>
          <w:rFonts w:asciiTheme="minorEastAsia" w:eastAsiaTheme="minorEastAsia" w:hAnsiTheme="minorEastAsia" w:hint="eastAsia"/>
          <w:szCs w:val="21"/>
        </w:rPr>
        <w:t>、诋毁其他基金管理人、基金托管人或者基金</w:t>
      </w:r>
      <w:r w:rsidR="005657CA"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5</w:t>
      </w:r>
      <w:r w:rsidRPr="00453203">
        <w:rPr>
          <w:rFonts w:asciiTheme="minorEastAsia" w:eastAsiaTheme="minorEastAsia" w:hAnsiTheme="minorEastAsia" w:hint="eastAsia"/>
          <w:szCs w:val="21"/>
        </w:rPr>
        <w:t>、登载任何自然人、法人</w:t>
      </w:r>
      <w:r w:rsidR="00621B67" w:rsidRPr="00453203">
        <w:rPr>
          <w:rFonts w:asciiTheme="minorEastAsia" w:eastAsiaTheme="minorEastAsia" w:hAnsiTheme="minorEastAsia" w:hint="eastAsia"/>
          <w:szCs w:val="21"/>
        </w:rPr>
        <w:t>和非法人</w:t>
      </w:r>
      <w:r w:rsidRPr="00453203">
        <w:rPr>
          <w:rFonts w:asciiTheme="minorEastAsia" w:eastAsiaTheme="minorEastAsia" w:hAnsiTheme="minorEastAsia" w:hint="eastAsia"/>
          <w:szCs w:val="21"/>
        </w:rPr>
        <w:t>组织的祝贺性、恭维性或推荐性的文字；</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6</w:t>
      </w:r>
      <w:r w:rsidRPr="00453203">
        <w:rPr>
          <w:rFonts w:asciiTheme="minorEastAsia" w:eastAsiaTheme="minorEastAsia" w:hAnsiTheme="minorEastAsia" w:hint="eastAsia"/>
          <w:szCs w:val="21"/>
        </w:rPr>
        <w:t>、中国证监会禁止的其他行为。</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（四）</w:t>
      </w:r>
      <w:r w:rsidR="00621B67" w:rsidRPr="00453203">
        <w:rPr>
          <w:rFonts w:asciiTheme="minorEastAsia" w:eastAsiaTheme="minorEastAsia" w:hAnsiTheme="minorEastAsia" w:hint="eastAsia"/>
          <w:szCs w:val="21"/>
        </w:rPr>
        <w:t>本基金公开披露的信息应采用中文文本。如同时采用外文文本的，基金信息披露义务人应保证不同文本的内容一致。不同文本之间发生歧义的，以中文文本为准</w:t>
      </w:r>
      <w:r w:rsidR="003F2A00" w:rsidRPr="00453203">
        <w:rPr>
          <w:rFonts w:asciiTheme="minorEastAsia" w:eastAsiaTheme="minorEastAsia" w:hAnsiTheme="minorEastAsia" w:hint="eastAsia"/>
          <w:szCs w:val="21"/>
        </w:rPr>
        <w:t>。</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本基金公开披露的信息采用阿拉伯数字；除特别说明外，货币单位为人民币元。</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（五）</w:t>
      </w:r>
      <w:r w:rsidR="003F2A00" w:rsidRPr="00453203">
        <w:rPr>
          <w:rFonts w:asciiTheme="minorEastAsia" w:eastAsiaTheme="minorEastAsia" w:hAnsiTheme="minorEastAsia" w:hint="eastAsia"/>
          <w:szCs w:val="21"/>
        </w:rPr>
        <w:t>公开披露的基金信息</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公开披露的基金信息包括：</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3F2A00" w:rsidRPr="00453203">
        <w:rPr>
          <w:rFonts w:asciiTheme="minorEastAsia" w:eastAsiaTheme="minorEastAsia" w:hAnsiTheme="minorEastAsia" w:hint="eastAsia"/>
          <w:szCs w:val="21"/>
        </w:rPr>
        <w:t>基金招募说明书、《基金合同》、托管协议</w:t>
      </w:r>
      <w:r w:rsidR="00621B67" w:rsidRPr="00453203">
        <w:rPr>
          <w:rFonts w:asciiTheme="minorEastAsia" w:eastAsiaTheme="minorEastAsia" w:hAnsiTheme="minorEastAsia" w:hint="eastAsia"/>
          <w:szCs w:val="21"/>
        </w:rPr>
        <w:t>、基金产品资料概要</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基金募集申请经中国证监会核准后，基金管理人在基金份额发售的</w:t>
      </w:r>
      <w:r w:rsidRPr="00453203">
        <w:rPr>
          <w:rFonts w:asciiTheme="minorEastAsia" w:eastAsiaTheme="minorEastAsia" w:hAnsiTheme="minorEastAsia"/>
          <w:szCs w:val="21"/>
        </w:rPr>
        <w:t>3</w:t>
      </w:r>
      <w:r w:rsidRPr="00453203">
        <w:rPr>
          <w:rFonts w:asciiTheme="minorEastAsia" w:eastAsiaTheme="minorEastAsia" w:hAnsiTheme="minorEastAsia" w:hint="eastAsia"/>
          <w:szCs w:val="21"/>
        </w:rPr>
        <w:t>日前，将基金招募说明书、《基金合同》摘要登载在</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上；基金管理人、基金托管人应当将《基金合同》、托管协议登载在网站上。</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F2A00"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w:t>
      </w:r>
      <w:r w:rsidR="003F2A00" w:rsidRPr="00453203">
        <w:rPr>
          <w:rFonts w:asciiTheme="minorEastAsia" w:eastAsiaTheme="minorEastAsia" w:hAnsiTheme="minorEastAsia" w:hint="eastAsia"/>
          <w:szCs w:val="21"/>
        </w:rPr>
        <w:t>招募说明书应当最大限度地披露影响基金投资者决策的全部事项，说明基金认购、申购和赎回安排、基金投资、基金产品特性、风险揭示、信息披露及基金份额持有人服务等内容。</w:t>
      </w:r>
      <w:r w:rsidR="00621B67" w:rsidRPr="00453203">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w:t>
      </w:r>
      <w:r w:rsidR="00621B67" w:rsidRPr="00453203">
        <w:rPr>
          <w:rFonts w:asciiTheme="minorEastAsia" w:eastAsiaTheme="minorEastAsia" w:hAnsiTheme="minorEastAsia" w:hint="eastAsia"/>
          <w:szCs w:val="21"/>
        </w:rPr>
        <w:lastRenderedPageBreak/>
        <w:t>更的，基金管理人至少每年更新一次。基金终止运作的，基金管理人不再更新基金招募说明书。</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F2A00"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w:t>
      </w:r>
      <w:r w:rsidR="003F2A00" w:rsidRPr="00453203">
        <w:rPr>
          <w:rFonts w:asciiTheme="minorEastAsia" w:eastAsiaTheme="minorEastAsia" w:hAnsiTheme="minorEastAsia" w:hint="eastAsia"/>
          <w:szCs w:val="21"/>
        </w:rPr>
        <w:t>《基金合同》是界定《基金合同》当事人的各项权利、义务关系，明确基金份额持有人大会召开的规则及具体程序，说明基金产品的特性等涉及基金投资者重大利益的事项的法律文件。</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F2A00" w:rsidRPr="00453203">
        <w:rPr>
          <w:rFonts w:asciiTheme="minorEastAsia" w:eastAsiaTheme="minorEastAsia" w:hAnsiTheme="minorEastAsia" w:hint="eastAsia"/>
          <w:szCs w:val="21"/>
        </w:rPr>
        <w:t>3</w:t>
      </w:r>
      <w:r w:rsidRPr="00453203">
        <w:rPr>
          <w:rFonts w:asciiTheme="minorEastAsia" w:eastAsiaTheme="minorEastAsia" w:hAnsiTheme="minorEastAsia" w:hint="eastAsia"/>
          <w:szCs w:val="21"/>
        </w:rPr>
        <w:t>）</w:t>
      </w:r>
      <w:r w:rsidR="003F2A00" w:rsidRPr="00453203">
        <w:rPr>
          <w:rFonts w:asciiTheme="minorEastAsia" w:eastAsiaTheme="minorEastAsia" w:hAnsiTheme="minorEastAsia" w:hint="eastAsia"/>
          <w:szCs w:val="21"/>
        </w:rPr>
        <w:t>托管协议是界定基金托管人和基金管理人在基金财产保管及基金运作监督等活动中的权利、义务关系的法律文件。</w:t>
      </w:r>
    </w:p>
    <w:p w:rsidR="00621B67" w:rsidRPr="00453203" w:rsidRDefault="00621B67">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3F2A00" w:rsidRPr="00453203" w:rsidRDefault="00253578"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3F2A00" w:rsidRPr="00453203">
        <w:rPr>
          <w:rFonts w:asciiTheme="minorEastAsia" w:eastAsiaTheme="minorEastAsia" w:hAnsiTheme="minorEastAsia" w:hint="eastAsia"/>
          <w:szCs w:val="21"/>
        </w:rPr>
        <w:t>基金份额发售公告</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基金管理人应当就基金份额发售的具体事宜编制基金份额发售公告，并在披露招募说明书的当日登载于</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上。</w:t>
      </w:r>
    </w:p>
    <w:p w:rsidR="003F2A00" w:rsidRPr="00453203" w:rsidRDefault="00253578"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w:t>
      </w:r>
      <w:r w:rsidR="003F2A00" w:rsidRPr="00453203">
        <w:rPr>
          <w:rFonts w:asciiTheme="minorEastAsia" w:eastAsiaTheme="minorEastAsia" w:hAnsiTheme="minorEastAsia" w:hint="eastAsia"/>
          <w:szCs w:val="21"/>
        </w:rPr>
        <w:t>《基金合同》生效公告</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基金管理人应当在《基金合同》生效的次日在</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上登载《基金合同》生效公告。</w:t>
      </w:r>
    </w:p>
    <w:p w:rsidR="003F2A00" w:rsidRPr="00453203" w:rsidRDefault="00253578"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w:t>
      </w:r>
      <w:r w:rsidR="003F2A00" w:rsidRPr="00453203">
        <w:rPr>
          <w:rFonts w:asciiTheme="minorEastAsia" w:eastAsiaTheme="minorEastAsia" w:hAnsiTheme="minorEastAsia" w:hint="eastAsia"/>
          <w:szCs w:val="21"/>
        </w:rPr>
        <w:t>基金净值</w:t>
      </w:r>
      <w:r w:rsidR="00621B67" w:rsidRPr="00453203">
        <w:rPr>
          <w:rFonts w:asciiTheme="minorEastAsia" w:eastAsiaTheme="minorEastAsia" w:hAnsiTheme="minorEastAsia" w:hint="eastAsia"/>
          <w:szCs w:val="21"/>
        </w:rPr>
        <w:t>信息</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在开始办理基金份额申购或者赎回后，基金管理人应当在不晚于每个开放日的次日，通过指定网站、基金销售机构网站或者营业网点披露开放日的基金份额净值和基金份额累计净值。</w:t>
      </w:r>
    </w:p>
    <w:p w:rsidR="003F2A00" w:rsidRPr="00453203" w:rsidRDefault="000F320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p>
    <w:p w:rsidR="003F2A00" w:rsidRPr="00453203" w:rsidRDefault="00253578"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w:t>
      </w:r>
      <w:r w:rsidR="003F2A00" w:rsidRPr="00453203">
        <w:rPr>
          <w:rFonts w:asciiTheme="minorEastAsia" w:eastAsiaTheme="minorEastAsia" w:hAnsiTheme="minorEastAsia" w:hint="eastAsia"/>
          <w:szCs w:val="21"/>
        </w:rPr>
        <w:t>基金份额申购、赎回价格</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基金管理人应当在《基金合同》、招募说明书等信息披露文件上载明基金份额申购、赎回价格的计算方式及有关申购、赎回费率，并保证投资者能够在基金</w:t>
      </w:r>
      <w:r w:rsidR="000F3201" w:rsidRPr="00453203">
        <w:rPr>
          <w:rFonts w:asciiTheme="minorEastAsia" w:eastAsiaTheme="minorEastAsia" w:hAnsiTheme="minorEastAsia" w:hint="eastAsia"/>
          <w:szCs w:val="21"/>
        </w:rPr>
        <w:t>销售机构网站或营业</w:t>
      </w:r>
      <w:r w:rsidRPr="00453203">
        <w:rPr>
          <w:rFonts w:asciiTheme="minorEastAsia" w:eastAsiaTheme="minorEastAsia" w:hAnsiTheme="minorEastAsia" w:hint="eastAsia"/>
          <w:szCs w:val="21"/>
        </w:rPr>
        <w:t>网点查阅或者复制前述信息资料。</w:t>
      </w:r>
    </w:p>
    <w:p w:rsidR="003F2A00" w:rsidRPr="00453203" w:rsidRDefault="00253578"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w:t>
      </w:r>
      <w:r w:rsidR="003F2A00" w:rsidRPr="00453203">
        <w:rPr>
          <w:rFonts w:asciiTheme="minorEastAsia" w:eastAsiaTheme="minorEastAsia" w:hAnsiTheme="minorEastAsia" w:hint="eastAsia"/>
          <w:szCs w:val="21"/>
        </w:rPr>
        <w:t>基金定期报告，包括基金年度报告、基金</w:t>
      </w:r>
      <w:r w:rsidR="000F3201" w:rsidRPr="00453203">
        <w:rPr>
          <w:rFonts w:asciiTheme="minorEastAsia" w:eastAsiaTheme="minorEastAsia" w:hAnsiTheme="minorEastAsia" w:hint="eastAsia"/>
          <w:szCs w:val="21"/>
        </w:rPr>
        <w:t>中期</w:t>
      </w:r>
      <w:r w:rsidR="003F2A00" w:rsidRPr="00453203">
        <w:rPr>
          <w:rFonts w:asciiTheme="minorEastAsia" w:eastAsiaTheme="minorEastAsia" w:hAnsiTheme="minorEastAsia" w:hint="eastAsia"/>
          <w:szCs w:val="21"/>
        </w:rPr>
        <w:t>报告和基金季度报告</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基金管理人应当在上半年结束之日起两个月内，编制完成基金中期报告，将中期报告登载在指定网站上，并将中期报告提示性公告登载在指定报刊上。</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基金管理人应当在季度结束之日起15个工作日内，编制完成基金季度报告，将季度报告登载在指定网站上，并将季度报告提示性公告登载在指定报刊上。</w:t>
      </w:r>
    </w:p>
    <w:p w:rsidR="003F2A00" w:rsidRPr="00453203" w:rsidRDefault="000F320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《基金合同》生效不足2个月的，基金管理人可以不编制当期季度报告、中期报告或者年度报告。</w:t>
      </w:r>
    </w:p>
    <w:p w:rsidR="00254BE6" w:rsidRPr="00453203" w:rsidRDefault="00254BE6" w:rsidP="00254BE6">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报告期内出现单一投资者持有基金份额比例达到或超过20%的情形，基金管理人应当在季度报告、</w:t>
      </w:r>
      <w:r w:rsidR="000F3201" w:rsidRPr="00453203">
        <w:rPr>
          <w:rFonts w:asciiTheme="minorEastAsia" w:eastAsiaTheme="minorEastAsia" w:hAnsiTheme="minorEastAsia" w:hint="eastAsia"/>
          <w:szCs w:val="21"/>
        </w:rPr>
        <w:t>中期</w:t>
      </w:r>
      <w:r w:rsidRPr="00453203">
        <w:rPr>
          <w:rFonts w:asciiTheme="minorEastAsia" w:eastAsiaTheme="minorEastAsia" w:hAnsiTheme="minorEastAsia" w:hint="eastAsia"/>
          <w:szCs w:val="21"/>
        </w:rPr>
        <w:t>报告、年度报告等定期报告文件中披露该投资者的类别、报告期末持有份额及占比、报告期内持有份额变化情况及产品的特有风险，中国证监会认定的特殊情形除外。</w:t>
      </w:r>
    </w:p>
    <w:p w:rsidR="00254BE6" w:rsidRPr="00453203" w:rsidRDefault="00254BE6" w:rsidP="00254BE6">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基金持续运作过程中，基金管理人应当在基金年度报告和</w:t>
      </w:r>
      <w:r w:rsidR="000F3201" w:rsidRPr="00453203">
        <w:rPr>
          <w:rFonts w:asciiTheme="minorEastAsia" w:eastAsiaTheme="minorEastAsia" w:hAnsiTheme="minorEastAsia" w:hint="eastAsia"/>
          <w:szCs w:val="21"/>
        </w:rPr>
        <w:t>中期</w:t>
      </w:r>
      <w:r w:rsidRPr="00453203">
        <w:rPr>
          <w:rFonts w:asciiTheme="minorEastAsia" w:eastAsiaTheme="minorEastAsia" w:hAnsiTheme="minorEastAsia" w:hint="eastAsia"/>
          <w:szCs w:val="21"/>
        </w:rPr>
        <w:t>报告中披露基金组合资产情况及其流动性风险分析等。</w:t>
      </w:r>
    </w:p>
    <w:p w:rsidR="003F2A00" w:rsidRPr="00453203" w:rsidRDefault="00253578"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w:t>
      </w:r>
      <w:r w:rsidR="003F2A00" w:rsidRPr="00453203">
        <w:rPr>
          <w:rFonts w:asciiTheme="minorEastAsia" w:eastAsiaTheme="minorEastAsia" w:hAnsiTheme="minorEastAsia" w:hint="eastAsia"/>
          <w:szCs w:val="21"/>
        </w:rPr>
        <w:t>临时报告</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本基金发生重大事件，有关信息披露义务人应当在2日内编制临时报告书，</w:t>
      </w:r>
      <w:r w:rsidR="000F3201" w:rsidRPr="00453203">
        <w:rPr>
          <w:rFonts w:asciiTheme="minorEastAsia" w:eastAsiaTheme="minorEastAsia" w:hAnsiTheme="minorEastAsia" w:hint="eastAsia"/>
          <w:szCs w:val="21"/>
        </w:rPr>
        <w:t>并登载在指定报刊和指定网站上</w:t>
      </w:r>
      <w:r w:rsidRPr="00453203">
        <w:rPr>
          <w:rFonts w:asciiTheme="minorEastAsia" w:eastAsiaTheme="minorEastAsia" w:hAnsiTheme="minorEastAsia" w:hint="eastAsia"/>
          <w:szCs w:val="21"/>
        </w:rPr>
        <w:t>。</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前款所称重大事件，是指可能对基金份额持有人权益或者基金份额的价格产生重大影响的下列事件：</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（1）基金份额持有人大会的召开及决定的事项；</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（2）基金合同终止、基金清算；</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（3）转换基金运作方式、基金合并；</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（4）更换基金管理人、基金托管人、基金份额登记机构，基金改聘会计师事务所；</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（5）基金管理人委托基金服务机构代为办理基金的份额登记、核算、估值等事项，基金托管人委托基金服务机构代为办理基金的核算、估值、复核等事项；</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（6）基金管理人、基金托管人的法定名称、住所发生变更；</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（7）基金管理公司变更持有百分之五以上股权的股东、基金管理人的实际控制人变更；</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（8）基金募集期延长或提前结束募集；</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（9）基金管理人的高级管理人员、基金经理和基金托管人专门基金托管部门负责人发生变动；</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（10）基金管理人的董事在最近12个月内变更超过百分之五十，基金管理人、基金托管人专门基金托管部门的主要业务人员在最近12个月内变动超过百分之三十；</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（11）涉及基金财产、基金管理业务、基金托管业务的诉讼或仲裁；</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（12）基金管理人或其高级管理人员、基金经理因基金管理业务相关行为受到重大行政处罚、刑事处罚，基金托管人或其专门基金托管部门负责人因基金托管业务相关行为受</w:t>
      </w:r>
      <w:r w:rsidRPr="00453203">
        <w:rPr>
          <w:rFonts w:asciiTheme="minorEastAsia" w:eastAsiaTheme="minorEastAsia" w:hAnsiTheme="minorEastAsia" w:hint="eastAsia"/>
          <w:szCs w:val="21"/>
        </w:rPr>
        <w:lastRenderedPageBreak/>
        <w:t>到重大行政处罚、刑事处罚；</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（14）基金收益分配事项；</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（15）管理费、托管费、销售服务费、申购费、赎回费等费用计提标准、计提方式和费率发生变更；</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（16）基金份额净值计价错误达基金份额净值百分之零点五；</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（17）本基金开始办理申购、赎回；</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（18）本基金暂停接受申购、赎回申请或重新接受申购、赎回申请；</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（19）调整基金份额类别的设置；</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（20）基金推出新业务或服务；</w:t>
      </w:r>
    </w:p>
    <w:p w:rsidR="003F2A00" w:rsidRPr="00453203" w:rsidRDefault="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（21）基金信息披露义务人认为可能对基金份额持有人权益或者基金份额的价格产生重大影响的其他事项或中国证监会规定的其他事项。</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8、</w:t>
      </w:r>
      <w:r w:rsidR="003F2A00" w:rsidRPr="00453203">
        <w:rPr>
          <w:rFonts w:asciiTheme="minorEastAsia" w:eastAsiaTheme="minorEastAsia" w:hAnsiTheme="minorEastAsia" w:hint="eastAsia"/>
          <w:szCs w:val="21"/>
        </w:rPr>
        <w:t>澄清公告</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w:t>
      </w:r>
      <w:r w:rsidR="000F3201" w:rsidRPr="00453203">
        <w:rPr>
          <w:rFonts w:asciiTheme="minorEastAsia" w:eastAsiaTheme="minorEastAsia" w:hAnsiTheme="minorEastAsia" w:hint="eastAsia"/>
          <w:szCs w:val="21"/>
        </w:rPr>
        <w:t>，以及可能损害基金份额持有人权益</w:t>
      </w:r>
      <w:r w:rsidRPr="00453203">
        <w:rPr>
          <w:rFonts w:asciiTheme="minorEastAsia" w:eastAsiaTheme="minorEastAsia" w:hAnsiTheme="minorEastAsia" w:hint="eastAsia"/>
          <w:szCs w:val="21"/>
        </w:rPr>
        <w:t>的，相关信息披露义务人知悉后应当立即对该消息进行公开澄清，并将有关情况立即报告中国证监会。</w:t>
      </w:r>
    </w:p>
    <w:p w:rsidR="000F3201" w:rsidRPr="00453203" w:rsidRDefault="00253578"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9、</w:t>
      </w:r>
      <w:r w:rsidR="000F3201" w:rsidRPr="00453203">
        <w:rPr>
          <w:rFonts w:asciiTheme="minorEastAsia" w:eastAsiaTheme="minorEastAsia" w:hAnsiTheme="minorEastAsia" w:hint="eastAsia"/>
          <w:szCs w:val="21"/>
        </w:rPr>
        <w:t>清算报告</w:t>
      </w:r>
    </w:p>
    <w:p w:rsidR="000F3201" w:rsidRPr="00453203" w:rsidRDefault="000F3201" w:rsidP="000F320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3F2A00" w:rsidRPr="00453203" w:rsidRDefault="000F320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10、</w:t>
      </w:r>
      <w:r w:rsidR="003F2A00" w:rsidRPr="00453203">
        <w:rPr>
          <w:rFonts w:asciiTheme="minorEastAsia" w:eastAsiaTheme="minorEastAsia" w:hAnsiTheme="minorEastAsia" w:hint="eastAsia"/>
          <w:szCs w:val="21"/>
        </w:rPr>
        <w:t>基金份额持有人大会决议</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基金份额持有人大会决定的事项，应当依法报中国证监会核准或者备案，并予以公告。召开基金份额持有人大会的，召集人应当至少提前4</w:t>
      </w:r>
      <w:r w:rsidRPr="00453203">
        <w:rPr>
          <w:rFonts w:asciiTheme="minorEastAsia" w:eastAsiaTheme="minorEastAsia" w:hAnsiTheme="minorEastAsia"/>
          <w:szCs w:val="21"/>
        </w:rPr>
        <w:t>0</w:t>
      </w:r>
      <w:r w:rsidRPr="00453203">
        <w:rPr>
          <w:rFonts w:asciiTheme="minorEastAsia" w:eastAsiaTheme="minorEastAsia" w:hAnsiTheme="minorEastAsia" w:hint="eastAsia"/>
          <w:szCs w:val="21"/>
        </w:rPr>
        <w:t>日公告基金份额持有人大会的召开时间、会议形式、审议事项、议事程序和表决方式等事项。</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基金份额持有人依法自行召集基金份额持有人大会，基金管理人、基金托管人对基金份额持有人大会决定的事项不依法履行信息披露义务的，召集人应当履行相关信息披露义务。</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0F3201"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w:t>
      </w:r>
      <w:r w:rsidR="003F2A00" w:rsidRPr="00453203">
        <w:rPr>
          <w:rFonts w:asciiTheme="minorEastAsia" w:eastAsiaTheme="minorEastAsia" w:hAnsiTheme="minorEastAsia" w:hint="eastAsia"/>
          <w:szCs w:val="21"/>
        </w:rPr>
        <w:t>中国证监会规定的其他信息。</w:t>
      </w:r>
    </w:p>
    <w:p w:rsidR="001F788B" w:rsidRPr="00453203" w:rsidRDefault="001F788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若本基金参与融资及转融通证券出借业务，基金管理人将按相关法律法规要求进行披露。</w:t>
      </w:r>
    </w:p>
    <w:p w:rsidR="003F2A00" w:rsidRPr="00453203" w:rsidRDefault="00253578"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（六）</w:t>
      </w:r>
      <w:r w:rsidR="003F2A00" w:rsidRPr="00453203">
        <w:rPr>
          <w:rFonts w:asciiTheme="minorEastAsia" w:eastAsiaTheme="minorEastAsia" w:hAnsiTheme="minorEastAsia" w:hint="eastAsia"/>
          <w:szCs w:val="21"/>
        </w:rPr>
        <w:t>信息披露事务管理</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基金管理人、基金托管人应当建立健全信息披露管理制度，指定</w:t>
      </w:r>
      <w:r w:rsidR="000F3201" w:rsidRPr="00453203">
        <w:rPr>
          <w:rFonts w:asciiTheme="minorEastAsia" w:eastAsiaTheme="minorEastAsia" w:hAnsiTheme="minorEastAsia" w:hint="eastAsia"/>
          <w:szCs w:val="21"/>
        </w:rPr>
        <w:t>专门部门及高级管理人员</w:t>
      </w:r>
      <w:r w:rsidRPr="00453203">
        <w:rPr>
          <w:rFonts w:asciiTheme="minorEastAsia" w:eastAsiaTheme="minorEastAsia" w:hAnsiTheme="minorEastAsia" w:hint="eastAsia"/>
          <w:szCs w:val="21"/>
        </w:rPr>
        <w:t>负责管理信息披露事务。</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基金信息披露义务人公开披露基金信息，应当符合中国证监会相关基金信息披露内容与格式准则</w:t>
      </w:r>
      <w:r w:rsidR="000F3201" w:rsidRPr="00453203">
        <w:rPr>
          <w:rFonts w:asciiTheme="minorEastAsia" w:eastAsiaTheme="minorEastAsia" w:hAnsiTheme="minorEastAsia" w:hint="eastAsia"/>
          <w:szCs w:val="21"/>
        </w:rPr>
        <w:t>等法规</w:t>
      </w:r>
      <w:r w:rsidRPr="00453203">
        <w:rPr>
          <w:rFonts w:asciiTheme="minorEastAsia" w:eastAsiaTheme="minorEastAsia" w:hAnsiTheme="minorEastAsia" w:hint="eastAsia"/>
          <w:szCs w:val="21"/>
        </w:rPr>
        <w:t>的规定。</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w:t>
      </w:r>
      <w:r w:rsidR="000F3201" w:rsidRPr="00453203">
        <w:rPr>
          <w:rFonts w:asciiTheme="minorEastAsia" w:eastAsiaTheme="minorEastAsia" w:hAnsiTheme="minorEastAsia" w:hint="eastAsia"/>
          <w:szCs w:val="21"/>
        </w:rPr>
        <w:t>、更新的招募说明书、基金产品资料概要、基金清算报告</w:t>
      </w:r>
      <w:r w:rsidRPr="00453203">
        <w:rPr>
          <w:rFonts w:asciiTheme="minorEastAsia" w:eastAsiaTheme="minorEastAsia" w:hAnsiTheme="minorEastAsia" w:hint="eastAsia"/>
          <w:szCs w:val="21"/>
        </w:rPr>
        <w:t>等公开披露的相关基金信息进行复核、审查，并向基金管理人</w:t>
      </w:r>
      <w:r w:rsidR="000F3201" w:rsidRPr="00453203">
        <w:rPr>
          <w:rFonts w:asciiTheme="minorEastAsia" w:eastAsiaTheme="minorEastAsia" w:hAnsiTheme="minorEastAsia" w:hint="eastAsia"/>
          <w:szCs w:val="21"/>
        </w:rPr>
        <w:t>进行书面或电子确认</w:t>
      </w:r>
      <w:r w:rsidRPr="00453203">
        <w:rPr>
          <w:rFonts w:asciiTheme="minorEastAsia" w:eastAsiaTheme="minorEastAsia" w:hAnsiTheme="minorEastAsia" w:hint="eastAsia"/>
          <w:szCs w:val="21"/>
        </w:rPr>
        <w:t>。</w:t>
      </w:r>
    </w:p>
    <w:p w:rsidR="000F3201" w:rsidRPr="00453203" w:rsidRDefault="000F320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3F2A00" w:rsidRPr="00453203" w:rsidRDefault="003F2A0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基金管理人、基金托管人除依法在</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上披露信息外，还可以根据需要在其他公共媒体披露信息，但是其他公共媒体不得早于</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披露信息，并且在不同媒介上披露同一信息的内容应当一致。</w:t>
      </w:r>
    </w:p>
    <w:p w:rsidR="003F2A00" w:rsidRPr="00453203" w:rsidRDefault="000F320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3F2A00" w:rsidRPr="00453203" w:rsidRDefault="00253578"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3F2A00" w:rsidRPr="00453203">
        <w:rPr>
          <w:rFonts w:asciiTheme="minorEastAsia" w:eastAsiaTheme="minorEastAsia" w:hAnsiTheme="minorEastAsia" w:hint="eastAsia"/>
          <w:szCs w:val="21"/>
        </w:rPr>
        <w:t>七</w:t>
      </w:r>
      <w:r w:rsidRPr="00453203">
        <w:rPr>
          <w:rFonts w:asciiTheme="minorEastAsia" w:eastAsiaTheme="minorEastAsia" w:hAnsiTheme="minorEastAsia" w:hint="eastAsia"/>
          <w:szCs w:val="21"/>
        </w:rPr>
        <w:t>）</w:t>
      </w:r>
      <w:r w:rsidR="003F2A00" w:rsidRPr="00453203">
        <w:rPr>
          <w:rFonts w:asciiTheme="minorEastAsia" w:eastAsiaTheme="minorEastAsia" w:hAnsiTheme="minorEastAsia" w:hint="eastAsia"/>
          <w:szCs w:val="21"/>
        </w:rPr>
        <w:t>信息披露文件的存放与查阅</w:t>
      </w:r>
    </w:p>
    <w:p w:rsidR="003F2A00" w:rsidRPr="00453203" w:rsidRDefault="000F320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bookmarkStart w:id="184" w:name="_Toc279572906"/>
      <w:r w:rsidR="003F2A00" w:rsidRPr="00453203">
        <w:rPr>
          <w:rFonts w:asciiTheme="minorEastAsia" w:eastAsiaTheme="minorEastAsia" w:hAnsiTheme="minorEastAsia" w:hint="eastAsia"/>
          <w:szCs w:val="21"/>
        </w:rPr>
        <w:t>。</w:t>
      </w:r>
      <w:bookmarkEnd w:id="184"/>
    </w:p>
    <w:p w:rsidR="00260ACC" w:rsidRPr="00453203" w:rsidRDefault="00260ACC" w:rsidP="00643071">
      <w:pPr>
        <w:snapToGrid w:val="0"/>
        <w:spacing w:line="360" w:lineRule="auto"/>
        <w:ind w:firstLineChars="200" w:firstLine="420"/>
        <w:rPr>
          <w:rFonts w:asciiTheme="minorEastAsia" w:eastAsiaTheme="minorEastAsia" w:hAnsiTheme="minorEastAsia"/>
          <w:szCs w:val="21"/>
        </w:rPr>
      </w:pPr>
    </w:p>
    <w:p w:rsidR="00266A27" w:rsidRPr="00453203" w:rsidRDefault="003A6E96" w:rsidP="00741477">
      <w:pPr>
        <w:pStyle w:val="1"/>
        <w:snapToGrid w:val="0"/>
        <w:spacing w:beforeLines="0" w:afterLines="0" w:line="360" w:lineRule="auto"/>
        <w:ind w:firstLineChars="0" w:firstLine="0"/>
        <w:rPr>
          <w:rFonts w:asciiTheme="minorEastAsia" w:eastAsiaTheme="minorEastAsia" w:hAnsiTheme="minorEastAsia"/>
        </w:rPr>
      </w:pPr>
      <w:r w:rsidRPr="00453203">
        <w:rPr>
          <w:rFonts w:asciiTheme="minorEastAsia" w:eastAsiaTheme="minorEastAsia" w:hAnsiTheme="minorEastAsia"/>
          <w:b/>
          <w:bCs/>
        </w:rPr>
        <w:br w:type="page"/>
      </w:r>
      <w:bookmarkStart w:id="185" w:name="_Toc34834759"/>
      <w:r w:rsidR="007301AE" w:rsidRPr="00453203">
        <w:rPr>
          <w:rFonts w:asciiTheme="minorEastAsia" w:eastAsiaTheme="minorEastAsia" w:hAnsiTheme="minorEastAsia" w:hint="eastAsia"/>
          <w:bCs/>
        </w:rPr>
        <w:lastRenderedPageBreak/>
        <w:t>十九</w:t>
      </w:r>
      <w:r w:rsidR="00266A27" w:rsidRPr="00453203">
        <w:rPr>
          <w:rFonts w:asciiTheme="minorEastAsia" w:eastAsiaTheme="minorEastAsia" w:hAnsiTheme="minorEastAsia" w:hint="eastAsia"/>
          <w:bCs/>
        </w:rPr>
        <w:t>、风险揭示</w:t>
      </w:r>
      <w:bookmarkEnd w:id="185"/>
    </w:p>
    <w:p w:rsidR="002B698B" w:rsidRPr="00453203" w:rsidRDefault="002B698B" w:rsidP="00741477">
      <w:pPr>
        <w:pStyle w:val="20"/>
        <w:snapToGrid w:val="0"/>
        <w:spacing w:beforeLines="0" w:afterLines="0" w:line="360" w:lineRule="auto"/>
        <w:ind w:firstLineChars="0" w:firstLine="0"/>
        <w:rPr>
          <w:rFonts w:asciiTheme="minorEastAsia" w:eastAsiaTheme="minorEastAsia" w:hAnsiTheme="minorEastAsia"/>
          <w:bCs/>
          <w:sz w:val="21"/>
          <w:szCs w:val="21"/>
        </w:rPr>
      </w:pPr>
      <w:bookmarkStart w:id="186" w:name="_Toc76367385"/>
      <w:bookmarkStart w:id="187" w:name="_Toc92074917"/>
      <w:bookmarkStart w:id="188" w:name="_Toc231784428"/>
      <w:bookmarkStart w:id="189" w:name="_Toc238870123"/>
      <w:bookmarkStart w:id="190" w:name="_Toc34834760"/>
      <w:r w:rsidRPr="00453203">
        <w:rPr>
          <w:rFonts w:asciiTheme="minorEastAsia" w:eastAsiaTheme="minorEastAsia" w:hAnsiTheme="minorEastAsia" w:hint="eastAsia"/>
          <w:sz w:val="21"/>
          <w:szCs w:val="21"/>
        </w:rPr>
        <w:t>（一）市场风险</w:t>
      </w:r>
      <w:bookmarkEnd w:id="186"/>
      <w:bookmarkEnd w:id="187"/>
      <w:bookmarkEnd w:id="188"/>
      <w:bookmarkEnd w:id="189"/>
      <w:bookmarkEnd w:id="190"/>
    </w:p>
    <w:p w:rsidR="002B698B" w:rsidRPr="00453203" w:rsidRDefault="002B698B" w:rsidP="00643071">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基金主要投资于证券市场，而证券市场价格因受到经济因素、政治因素、投资者心理和交易制度等各种因素的影响而产生波动，从而导致基金收益水平发生变化，产生风险。主要的风险因素包括：</w:t>
      </w:r>
    </w:p>
    <w:p w:rsidR="002B698B" w:rsidRPr="00453203" w:rsidRDefault="0032033A" w:rsidP="0032033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1、</w:t>
      </w:r>
      <w:r w:rsidR="002B698B" w:rsidRPr="00453203">
        <w:rPr>
          <w:rFonts w:asciiTheme="minorEastAsia" w:eastAsiaTheme="minorEastAsia" w:hAnsiTheme="minorEastAsia" w:hint="eastAsia"/>
        </w:rPr>
        <w:t>政策风险。因财政政策、货币政策、产业政策、地区发展政策等国家宏观政策发生变化，导致市场价格波动，影响基金收益而产生风险。</w:t>
      </w:r>
    </w:p>
    <w:p w:rsidR="002B698B" w:rsidRPr="00453203" w:rsidRDefault="0032033A" w:rsidP="0032033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2、</w:t>
      </w:r>
      <w:r w:rsidR="002B698B" w:rsidRPr="00453203">
        <w:rPr>
          <w:rFonts w:asciiTheme="minorEastAsia" w:eastAsiaTheme="minorEastAsia" w:hAnsiTheme="minorEastAsia" w:hint="eastAsia"/>
        </w:rPr>
        <w:t>经济周期风险。随着经济运行的周期性变化，证券市场的收益水平也呈周期性变化，基金投资的收益水平也会随之变化，从而产生风险。</w:t>
      </w:r>
    </w:p>
    <w:p w:rsidR="002B698B" w:rsidRPr="00453203" w:rsidRDefault="0032033A" w:rsidP="0032033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3、</w:t>
      </w:r>
      <w:r w:rsidR="002B698B" w:rsidRPr="00453203">
        <w:rPr>
          <w:rFonts w:asciiTheme="minorEastAsia" w:eastAsiaTheme="minorEastAsia" w:hAnsiTheme="minorEastAsia" w:hint="eastAsia"/>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2B698B" w:rsidRPr="00453203" w:rsidRDefault="0032033A" w:rsidP="0032033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4、</w:t>
      </w:r>
      <w:r w:rsidR="002B698B" w:rsidRPr="00453203">
        <w:rPr>
          <w:rFonts w:asciiTheme="minorEastAsia" w:eastAsiaTheme="minorEastAsia" w:hAnsiTheme="minorEastAsia" w:hint="eastAsia"/>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2B698B" w:rsidRPr="00453203" w:rsidRDefault="0032033A" w:rsidP="0032033A">
      <w:pPr>
        <w:snapToGrid w:val="0"/>
        <w:spacing w:line="360" w:lineRule="auto"/>
        <w:ind w:firstLine="420"/>
        <w:rPr>
          <w:rFonts w:asciiTheme="minorEastAsia" w:eastAsiaTheme="minorEastAsia" w:hAnsiTheme="minorEastAsia"/>
        </w:rPr>
      </w:pPr>
      <w:r w:rsidRPr="00453203">
        <w:rPr>
          <w:rFonts w:asciiTheme="minorEastAsia" w:eastAsiaTheme="minorEastAsia" w:hAnsiTheme="minorEastAsia" w:hint="eastAsia"/>
        </w:rPr>
        <w:t>5、</w:t>
      </w:r>
      <w:r w:rsidR="002B698B" w:rsidRPr="00453203">
        <w:rPr>
          <w:rFonts w:asciiTheme="minorEastAsia" w:eastAsiaTheme="minorEastAsia" w:hAnsiTheme="minorEastAsia" w:hint="eastAsia"/>
        </w:rPr>
        <w:t>购买力风险。基金份额持有人收益将主要通过现金形式来分配，而现金可能因为通货膨胀因素而使其购买力下降,从而使基金的实际收益下降。</w:t>
      </w:r>
    </w:p>
    <w:p w:rsidR="002B698B" w:rsidRPr="00453203" w:rsidRDefault="002B698B"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91" w:name="_Toc76367386"/>
      <w:bookmarkStart w:id="192" w:name="_Toc92074918"/>
      <w:bookmarkStart w:id="193" w:name="_Toc231784429"/>
      <w:bookmarkStart w:id="194" w:name="_Toc238870124"/>
      <w:bookmarkStart w:id="195" w:name="_Toc34834761"/>
      <w:r w:rsidRPr="00453203">
        <w:rPr>
          <w:rFonts w:asciiTheme="minorEastAsia" w:eastAsiaTheme="minorEastAsia" w:hAnsiTheme="minorEastAsia" w:hint="eastAsia"/>
          <w:sz w:val="21"/>
          <w:szCs w:val="21"/>
        </w:rPr>
        <w:t>（二）本基金特有的风险</w:t>
      </w:r>
      <w:bookmarkEnd w:id="191"/>
      <w:bookmarkEnd w:id="192"/>
      <w:bookmarkEnd w:id="193"/>
      <w:bookmarkEnd w:id="194"/>
      <w:bookmarkEnd w:id="195"/>
    </w:p>
    <w:p w:rsidR="00B1570D" w:rsidRPr="00453203" w:rsidRDefault="002B698B"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1</w:t>
      </w:r>
      <w:r w:rsidR="005051AF" w:rsidRPr="00453203">
        <w:rPr>
          <w:rFonts w:asciiTheme="minorEastAsia" w:eastAsiaTheme="minorEastAsia" w:hAnsiTheme="minorEastAsia" w:hint="eastAsia"/>
        </w:rPr>
        <w:t>、</w:t>
      </w:r>
      <w:r w:rsidR="00B1570D" w:rsidRPr="00453203">
        <w:rPr>
          <w:rFonts w:asciiTheme="minorEastAsia" w:eastAsiaTheme="minorEastAsia" w:hAnsiTheme="minorEastAsia" w:hint="eastAsia"/>
        </w:rPr>
        <w:t>创业板指数波动的风险</w:t>
      </w:r>
    </w:p>
    <w:p w:rsidR="00B1570D" w:rsidRPr="00453203" w:rsidRDefault="00B1570D"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rPr>
        <w:t>创业板指数成份股的价格可能受到政治因素、经济因素、上市公司经营状况、投资者心理和交易制度等各种因素的影响而波动,导致指数波动</w:t>
      </w:r>
      <w:r w:rsidR="00F71397" w:rsidRPr="00453203">
        <w:rPr>
          <w:rFonts w:asciiTheme="minorEastAsia" w:eastAsiaTheme="minorEastAsia" w:hAnsiTheme="minorEastAsia" w:hint="eastAsia"/>
        </w:rPr>
        <w:t>。</w:t>
      </w:r>
      <w:r w:rsidR="00837121" w:rsidRPr="00453203">
        <w:rPr>
          <w:rFonts w:asciiTheme="minorEastAsia" w:eastAsiaTheme="minorEastAsia" w:hAnsiTheme="minorEastAsia" w:hint="eastAsia"/>
        </w:rPr>
        <w:t>由于</w:t>
      </w:r>
      <w:r w:rsidR="00F71397" w:rsidRPr="00453203">
        <w:rPr>
          <w:rFonts w:asciiTheme="minorEastAsia" w:eastAsiaTheme="minorEastAsia" w:hAnsiTheme="minorEastAsia" w:hint="eastAsia"/>
        </w:rPr>
        <w:t>本基金主要投资于创业板ETF，</w:t>
      </w:r>
      <w:r w:rsidRPr="00453203">
        <w:rPr>
          <w:rFonts w:asciiTheme="minorEastAsia" w:eastAsiaTheme="minorEastAsia" w:hAnsiTheme="minorEastAsia" w:hint="eastAsia"/>
        </w:rPr>
        <w:t>基金收益水平</w:t>
      </w:r>
      <w:r w:rsidR="00F71397" w:rsidRPr="00453203">
        <w:rPr>
          <w:rFonts w:asciiTheme="minorEastAsia" w:eastAsiaTheme="minorEastAsia" w:hAnsiTheme="minorEastAsia" w:hint="eastAsia"/>
        </w:rPr>
        <w:t>会</w:t>
      </w:r>
      <w:r w:rsidRPr="00453203">
        <w:rPr>
          <w:rFonts w:asciiTheme="minorEastAsia" w:eastAsiaTheme="minorEastAsia" w:hAnsiTheme="minorEastAsia" w:hint="eastAsia"/>
        </w:rPr>
        <w:t>发生变化，产生风险。</w:t>
      </w:r>
    </w:p>
    <w:p w:rsidR="006833EE" w:rsidRPr="00453203" w:rsidRDefault="006833EE"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5051AF" w:rsidRPr="00453203">
        <w:rPr>
          <w:rFonts w:asciiTheme="minorEastAsia" w:eastAsiaTheme="minorEastAsia" w:hAnsiTheme="minorEastAsia" w:hint="eastAsia"/>
          <w:szCs w:val="21"/>
        </w:rPr>
        <w:t>、</w:t>
      </w:r>
      <w:r w:rsidR="00C95461" w:rsidRPr="00453203">
        <w:rPr>
          <w:rFonts w:asciiTheme="minorEastAsia" w:eastAsiaTheme="minorEastAsia" w:hAnsiTheme="minorEastAsia" w:hint="eastAsia"/>
          <w:szCs w:val="21"/>
        </w:rPr>
        <w:t>创业板市场的特殊风险</w:t>
      </w:r>
    </w:p>
    <w:p w:rsidR="00C95461" w:rsidRPr="00453203" w:rsidRDefault="00C954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本基金的主要投资标的是</w:t>
      </w:r>
      <w:r w:rsidR="00521459" w:rsidRPr="00453203">
        <w:rPr>
          <w:rFonts w:asciiTheme="minorEastAsia" w:eastAsiaTheme="minorEastAsia" w:hAnsiTheme="minorEastAsia" w:hint="eastAsia"/>
          <w:szCs w:val="21"/>
        </w:rPr>
        <w:t>创业板ETF、创业板指数成份股及备选成份股</w:t>
      </w:r>
      <w:r w:rsidRPr="00453203">
        <w:rPr>
          <w:rFonts w:asciiTheme="minorEastAsia" w:eastAsiaTheme="minorEastAsia" w:hAnsiTheme="minorEastAsia" w:hint="eastAsia"/>
          <w:szCs w:val="21"/>
        </w:rPr>
        <w:t>，面临创业板市场的特殊风险，包括但不限于：</w:t>
      </w:r>
    </w:p>
    <w:p w:rsidR="00C95461" w:rsidRPr="00453203" w:rsidRDefault="00C9546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（1）规则差异风险</w:t>
      </w:r>
    </w:p>
    <w:p w:rsidR="00C95461" w:rsidRPr="00453203" w:rsidRDefault="00C954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创业板市场发行、上市等业务规则与现有的主板、中小企业板市场的相关业务规则存在一定差别。</w:t>
      </w:r>
    </w:p>
    <w:p w:rsidR="00C95461" w:rsidRPr="00453203" w:rsidRDefault="00C9546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（2）上市公司退市风险</w:t>
      </w:r>
    </w:p>
    <w:p w:rsidR="00C95461" w:rsidRPr="00453203" w:rsidRDefault="00C954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创业板市场上市公司退市制度设计较主板市场更为严格，与主板市场相比，可能导致创业板市场上市公司退市的情形更多，退市速度可能更快，退市以后可能面临股票无法交</w:t>
      </w:r>
      <w:r w:rsidRPr="00453203">
        <w:rPr>
          <w:rFonts w:asciiTheme="minorEastAsia" w:eastAsiaTheme="minorEastAsia" w:hAnsiTheme="minorEastAsia"/>
          <w:szCs w:val="21"/>
        </w:rPr>
        <w:lastRenderedPageBreak/>
        <w:t>易的情况，购买该公司股票的投资者将可能面临本金全部损失的风险。</w:t>
      </w:r>
    </w:p>
    <w:p w:rsidR="00C95461" w:rsidRPr="00453203" w:rsidRDefault="00C9546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（3）上市公司经营风险</w:t>
      </w:r>
    </w:p>
    <w:p w:rsidR="00C95461" w:rsidRPr="00453203" w:rsidRDefault="00C954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与主板市场上市公司相比，创业板市场上市公司一般处于发展初期，经营历史较短，规模较小，经营稳定性相对较低，抵抗市场风险和行业风险的能力相对较弱。此外，创业板市场上市公司发展潜力虽然可能巨大，但新技术的先进性与可靠性、新模式的适用面与成熟度、新行业的市场容量与成长空间等都具有较大不确定性，投资者对创业板市场上市公司高成长的预期并不一定会实现，风险较主板大。</w:t>
      </w:r>
    </w:p>
    <w:p w:rsidR="00C95461" w:rsidRPr="00453203" w:rsidRDefault="00C954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w:t>
      </w:r>
      <w:r w:rsidRPr="00453203">
        <w:rPr>
          <w:rFonts w:asciiTheme="minorEastAsia" w:eastAsiaTheme="minorEastAsia" w:hAnsiTheme="minorEastAsia"/>
          <w:szCs w:val="21"/>
        </w:rPr>
        <w:t>股价大幅波动风险</w:t>
      </w:r>
    </w:p>
    <w:p w:rsidR="00C95461" w:rsidRPr="00453203" w:rsidRDefault="00C954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以下原因可能导致创业板市场上市公司股价发生大幅波动：</w:t>
      </w:r>
    </w:p>
    <w:p w:rsidR="00C95461" w:rsidRPr="00453203" w:rsidRDefault="00C954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Pr="00453203">
        <w:rPr>
          <w:rFonts w:asciiTheme="minorEastAsia" w:eastAsiaTheme="minorEastAsia" w:hAnsiTheme="minorEastAsia"/>
          <w:szCs w:val="21"/>
        </w:rPr>
        <w:t>公司经营历史较短，规模较小，抵抗市场风险和行业风险的能力相对较弱，股价可能会由于公司业绩的变动而大幅波动；</w:t>
      </w:r>
    </w:p>
    <w:p w:rsidR="00C95461" w:rsidRPr="00453203" w:rsidRDefault="00C9546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Pr="00453203">
        <w:rPr>
          <w:rFonts w:asciiTheme="minorEastAsia" w:eastAsiaTheme="minorEastAsia" w:hAnsiTheme="minorEastAsia"/>
          <w:szCs w:val="21"/>
        </w:rPr>
        <w:t>公司流通股本较少，盲目炒作会加大股价波动，也相对容易被操纵；</w:t>
      </w:r>
    </w:p>
    <w:p w:rsidR="00C95461" w:rsidRPr="00453203" w:rsidRDefault="00C954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w:t>
      </w:r>
      <w:r w:rsidRPr="00453203">
        <w:rPr>
          <w:rFonts w:asciiTheme="minorEastAsia" w:eastAsiaTheme="minorEastAsia" w:hAnsiTheme="minorEastAsia"/>
          <w:szCs w:val="21"/>
        </w:rPr>
        <w:t>公司业绩可能不稳定，传统的估值判断方法可能不尽适用，投资者的价值判断可能存在较大差异。</w:t>
      </w:r>
    </w:p>
    <w:p w:rsidR="00C95461" w:rsidRPr="00453203" w:rsidRDefault="00C95461"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（5）技术失败风险</w:t>
      </w:r>
    </w:p>
    <w:p w:rsidR="00C95461" w:rsidRPr="00453203" w:rsidRDefault="00C95461"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创业板市场上市公司高科技转化为现实的产品或劳务具有不确定性,相关产品和技术更新换代较快，存在出现技术失败而造成损失的风险。</w:t>
      </w:r>
    </w:p>
    <w:p w:rsidR="00843D3B" w:rsidRPr="00453203" w:rsidRDefault="006833EE"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w:t>
      </w:r>
      <w:r w:rsidR="005051AF" w:rsidRPr="00453203">
        <w:rPr>
          <w:rFonts w:asciiTheme="minorEastAsia" w:eastAsiaTheme="minorEastAsia" w:hAnsiTheme="minorEastAsia" w:hint="eastAsia"/>
          <w:szCs w:val="21"/>
        </w:rPr>
        <w:t>、</w:t>
      </w:r>
      <w:r w:rsidR="00843D3B" w:rsidRPr="00453203">
        <w:rPr>
          <w:rFonts w:asciiTheme="minorEastAsia" w:eastAsiaTheme="minorEastAsia" w:hAnsiTheme="minorEastAsia" w:hint="eastAsia"/>
          <w:szCs w:val="21"/>
        </w:rPr>
        <w:t>指数编制机构发布数据错误的风险</w:t>
      </w:r>
    </w:p>
    <w:p w:rsidR="00843D3B" w:rsidRPr="00453203" w:rsidRDefault="00843D3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如果指数编制机构发布的成份股数据出现错误，创业板ETF的资产净值可能受到不利影响。由于本基金主要投资于创业板ETF，本基金资产净值也将受到不利影响。</w:t>
      </w:r>
    </w:p>
    <w:p w:rsidR="002B698B" w:rsidRPr="00453203" w:rsidRDefault="006833E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w:t>
      </w:r>
      <w:r w:rsidR="005051AF" w:rsidRPr="00453203">
        <w:rPr>
          <w:rFonts w:asciiTheme="minorEastAsia" w:eastAsiaTheme="minorEastAsia" w:hAnsiTheme="minorEastAsia" w:hint="eastAsia"/>
          <w:szCs w:val="21"/>
        </w:rPr>
        <w:t>、</w:t>
      </w:r>
      <w:r w:rsidR="002B698B" w:rsidRPr="00453203">
        <w:rPr>
          <w:rFonts w:asciiTheme="minorEastAsia" w:eastAsiaTheme="minorEastAsia" w:hAnsiTheme="minorEastAsia" w:hint="eastAsia"/>
          <w:szCs w:val="21"/>
        </w:rPr>
        <w:t>基金收益率与业绩基准收益率偏离的风险，主要影响因素包括：</w:t>
      </w:r>
    </w:p>
    <w:p w:rsidR="002B698B" w:rsidRPr="00453203" w:rsidRDefault="002B698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A741AA" w:rsidRPr="00453203">
        <w:rPr>
          <w:rFonts w:asciiTheme="minorEastAsia" w:eastAsiaTheme="minorEastAsia" w:hAnsiTheme="minorEastAsia" w:hint="eastAsia"/>
          <w:szCs w:val="21"/>
        </w:rPr>
        <w:t>创业板</w:t>
      </w:r>
      <w:r w:rsidRPr="00453203">
        <w:rPr>
          <w:rFonts w:asciiTheme="minorEastAsia" w:eastAsiaTheme="minorEastAsia" w:hAnsiTheme="minorEastAsia" w:hint="eastAsia"/>
          <w:szCs w:val="21"/>
        </w:rPr>
        <w:t>ETF对</w:t>
      </w:r>
      <w:r w:rsidR="00A741AA" w:rsidRPr="00453203">
        <w:rPr>
          <w:rFonts w:asciiTheme="minorEastAsia" w:eastAsiaTheme="minorEastAsia" w:hAnsiTheme="minorEastAsia" w:hint="eastAsia"/>
          <w:szCs w:val="21"/>
        </w:rPr>
        <w:t>创业板</w:t>
      </w:r>
      <w:r w:rsidRPr="00453203">
        <w:rPr>
          <w:rFonts w:asciiTheme="minorEastAsia" w:eastAsiaTheme="minorEastAsia" w:hAnsiTheme="minorEastAsia"/>
          <w:szCs w:val="21"/>
        </w:rPr>
        <w:t>指数</w:t>
      </w:r>
      <w:r w:rsidRPr="00453203">
        <w:rPr>
          <w:rFonts w:asciiTheme="minorEastAsia" w:eastAsiaTheme="minorEastAsia" w:hAnsiTheme="minorEastAsia" w:hint="eastAsia"/>
          <w:szCs w:val="21"/>
        </w:rPr>
        <w:t>的跟踪误差：本基金主要通过投资于</w:t>
      </w:r>
      <w:r w:rsidR="00A741AA" w:rsidRPr="00453203">
        <w:rPr>
          <w:rFonts w:asciiTheme="minorEastAsia" w:eastAsiaTheme="minorEastAsia" w:hAnsiTheme="minorEastAsia" w:hint="eastAsia"/>
          <w:szCs w:val="21"/>
        </w:rPr>
        <w:t>创业板</w:t>
      </w:r>
      <w:r w:rsidRPr="00453203">
        <w:rPr>
          <w:rFonts w:asciiTheme="minorEastAsia" w:eastAsiaTheme="minorEastAsia" w:hAnsiTheme="minorEastAsia" w:hint="eastAsia"/>
          <w:szCs w:val="21"/>
        </w:rPr>
        <w:t>ETF实现对业绩比较基准的紧密跟踪，</w:t>
      </w:r>
      <w:r w:rsidR="00A741AA" w:rsidRPr="00453203">
        <w:rPr>
          <w:rFonts w:asciiTheme="minorEastAsia" w:eastAsiaTheme="minorEastAsia" w:hAnsiTheme="minorEastAsia" w:hint="eastAsia"/>
          <w:szCs w:val="21"/>
        </w:rPr>
        <w:t>创业板</w:t>
      </w:r>
      <w:r w:rsidRPr="00453203">
        <w:rPr>
          <w:rFonts w:asciiTheme="minorEastAsia" w:eastAsiaTheme="minorEastAsia" w:hAnsiTheme="minorEastAsia" w:hint="eastAsia"/>
          <w:szCs w:val="21"/>
        </w:rPr>
        <w:t>ETF对</w:t>
      </w:r>
      <w:r w:rsidR="00A741AA" w:rsidRPr="00453203">
        <w:rPr>
          <w:rFonts w:asciiTheme="minorEastAsia" w:eastAsiaTheme="minorEastAsia" w:hAnsiTheme="minorEastAsia" w:hint="eastAsia"/>
          <w:szCs w:val="21"/>
        </w:rPr>
        <w:t>创业板</w:t>
      </w:r>
      <w:r w:rsidRPr="00453203">
        <w:rPr>
          <w:rFonts w:asciiTheme="minorEastAsia" w:eastAsiaTheme="minorEastAsia" w:hAnsiTheme="minorEastAsia"/>
          <w:szCs w:val="21"/>
        </w:rPr>
        <w:t>指数</w:t>
      </w:r>
      <w:r w:rsidRPr="00453203">
        <w:rPr>
          <w:rFonts w:asciiTheme="minorEastAsia" w:eastAsiaTheme="minorEastAsia" w:hAnsiTheme="minorEastAsia" w:hint="eastAsia"/>
          <w:szCs w:val="21"/>
        </w:rPr>
        <w:t>的跟踪误差会影响本基金对业绩</w:t>
      </w:r>
      <w:r w:rsidR="00434DE0" w:rsidRPr="00453203">
        <w:rPr>
          <w:rFonts w:asciiTheme="minorEastAsia" w:eastAsiaTheme="minorEastAsia" w:hAnsiTheme="minorEastAsia" w:hint="eastAsia"/>
          <w:szCs w:val="21"/>
        </w:rPr>
        <w:t>比较</w:t>
      </w:r>
      <w:r w:rsidRPr="00453203">
        <w:rPr>
          <w:rFonts w:asciiTheme="minorEastAsia" w:eastAsiaTheme="minorEastAsia" w:hAnsiTheme="minorEastAsia" w:hint="eastAsia"/>
          <w:szCs w:val="21"/>
        </w:rPr>
        <w:t>基准的跟踪误差；</w:t>
      </w:r>
    </w:p>
    <w:p w:rsidR="002B698B" w:rsidRPr="00453203" w:rsidRDefault="002B698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（2）本基金发生申购赎回、管理费和托管费收取等其他导致基金跟踪误差的情形。</w:t>
      </w:r>
    </w:p>
    <w:p w:rsidR="002B698B" w:rsidRPr="00453203" w:rsidRDefault="006833EE" w:rsidP="00643071">
      <w:pPr>
        <w:autoSpaceDE w:val="0"/>
        <w:autoSpaceDN w:val="0"/>
        <w:snapToGrid w:val="0"/>
        <w:spacing w:line="360" w:lineRule="auto"/>
        <w:ind w:firstLineChars="250" w:firstLine="525"/>
        <w:rPr>
          <w:rFonts w:asciiTheme="minorEastAsia" w:eastAsiaTheme="minorEastAsia" w:hAnsiTheme="minorEastAsia"/>
        </w:rPr>
      </w:pPr>
      <w:r w:rsidRPr="00453203">
        <w:rPr>
          <w:rFonts w:asciiTheme="minorEastAsia" w:eastAsiaTheme="minorEastAsia" w:hAnsiTheme="minorEastAsia" w:hint="eastAsia"/>
        </w:rPr>
        <w:t>5</w:t>
      </w:r>
      <w:r w:rsidR="005051AF" w:rsidRPr="00453203">
        <w:rPr>
          <w:rFonts w:asciiTheme="minorEastAsia" w:eastAsiaTheme="minorEastAsia" w:hAnsiTheme="minorEastAsia" w:hint="eastAsia"/>
        </w:rPr>
        <w:t>、</w:t>
      </w:r>
      <w:r w:rsidR="002B698B" w:rsidRPr="00453203">
        <w:rPr>
          <w:rFonts w:asciiTheme="minorEastAsia" w:eastAsiaTheme="minorEastAsia" w:hAnsiTheme="minorEastAsia" w:hint="eastAsia"/>
        </w:rPr>
        <w:t>由于本基金在投资限制、运作机制和投资策略等方面与</w:t>
      </w:r>
      <w:r w:rsidR="00A741AA" w:rsidRPr="00453203">
        <w:rPr>
          <w:rFonts w:asciiTheme="minorEastAsia" w:eastAsiaTheme="minorEastAsia" w:hAnsiTheme="minorEastAsia" w:hint="eastAsia"/>
        </w:rPr>
        <w:t>创业板</w:t>
      </w:r>
      <w:r w:rsidR="002B698B" w:rsidRPr="00453203">
        <w:rPr>
          <w:rFonts w:asciiTheme="minorEastAsia" w:eastAsiaTheme="minorEastAsia" w:hAnsiTheme="minorEastAsia" w:hint="eastAsia"/>
        </w:rPr>
        <w:t>ETF不同，因此本基金具有与</w:t>
      </w:r>
      <w:r w:rsidR="00A741AA" w:rsidRPr="00453203">
        <w:rPr>
          <w:rFonts w:asciiTheme="minorEastAsia" w:eastAsiaTheme="minorEastAsia" w:hAnsiTheme="minorEastAsia" w:hint="eastAsia"/>
        </w:rPr>
        <w:t>创业板</w:t>
      </w:r>
      <w:r w:rsidR="002B698B" w:rsidRPr="00453203">
        <w:rPr>
          <w:rFonts w:asciiTheme="minorEastAsia" w:eastAsiaTheme="minorEastAsia" w:hAnsiTheme="minorEastAsia" w:hint="eastAsia"/>
        </w:rPr>
        <w:t>ETF不同的风险收益特征及净值增长率。</w:t>
      </w:r>
    </w:p>
    <w:p w:rsidR="0078769D" w:rsidRPr="00453203" w:rsidRDefault="0078769D" w:rsidP="00643071">
      <w:pPr>
        <w:autoSpaceDE w:val="0"/>
        <w:autoSpaceDN w:val="0"/>
        <w:snapToGrid w:val="0"/>
        <w:spacing w:line="360" w:lineRule="auto"/>
        <w:ind w:firstLineChars="250" w:firstLine="525"/>
        <w:rPr>
          <w:rFonts w:asciiTheme="minorEastAsia" w:eastAsiaTheme="minorEastAsia" w:hAnsiTheme="minorEastAsia"/>
        </w:rPr>
      </w:pPr>
      <w:r w:rsidRPr="00453203">
        <w:rPr>
          <w:rFonts w:asciiTheme="minorEastAsia" w:eastAsiaTheme="minorEastAsia" w:hAnsiTheme="minorEastAsia" w:hint="eastAsia"/>
        </w:rPr>
        <w:t>6</w:t>
      </w:r>
      <w:r w:rsidR="005051AF" w:rsidRPr="00453203">
        <w:rPr>
          <w:rFonts w:asciiTheme="minorEastAsia" w:eastAsiaTheme="minorEastAsia" w:hAnsiTheme="minorEastAsia" w:hint="eastAsia"/>
        </w:rPr>
        <w:t>、</w:t>
      </w:r>
      <w:r w:rsidRPr="00453203">
        <w:rPr>
          <w:rFonts w:asciiTheme="minorEastAsia" w:eastAsiaTheme="minorEastAsia" w:hAnsiTheme="minorEastAsia" w:hint="eastAsia"/>
        </w:rPr>
        <w:t>本基金属于联接基金，主要投资于目标ETF，因此目标</w:t>
      </w:r>
      <w:r w:rsidRPr="00453203">
        <w:rPr>
          <w:rFonts w:asciiTheme="minorEastAsia" w:eastAsiaTheme="minorEastAsia" w:hAnsiTheme="minorEastAsia"/>
        </w:rPr>
        <w:t>ETF</w:t>
      </w:r>
      <w:r w:rsidRPr="00453203">
        <w:rPr>
          <w:rFonts w:asciiTheme="minorEastAsia" w:eastAsiaTheme="minorEastAsia" w:hAnsiTheme="minorEastAsia" w:hint="eastAsia"/>
        </w:rPr>
        <w:t>面临的风险可能直接或间接成为本</w:t>
      </w:r>
      <w:r w:rsidRPr="00453203">
        <w:rPr>
          <w:rFonts w:asciiTheme="minorEastAsia" w:eastAsiaTheme="minorEastAsia" w:hAnsiTheme="minorEastAsia" w:cs="宋体" w:hint="eastAsia"/>
          <w:kern w:val="0"/>
          <w:szCs w:val="21"/>
        </w:rPr>
        <w:t>基金的风险。</w:t>
      </w:r>
    </w:p>
    <w:p w:rsidR="00843D3B" w:rsidRPr="00453203" w:rsidRDefault="0078769D" w:rsidP="00643071">
      <w:pPr>
        <w:autoSpaceDE w:val="0"/>
        <w:autoSpaceDN w:val="0"/>
        <w:snapToGrid w:val="0"/>
        <w:spacing w:line="360" w:lineRule="auto"/>
        <w:ind w:firstLineChars="250" w:firstLine="525"/>
        <w:rPr>
          <w:rFonts w:asciiTheme="minorEastAsia" w:eastAsiaTheme="minorEastAsia" w:hAnsiTheme="minorEastAsia"/>
        </w:rPr>
      </w:pPr>
      <w:r w:rsidRPr="00453203">
        <w:rPr>
          <w:rFonts w:asciiTheme="minorEastAsia" w:eastAsiaTheme="minorEastAsia" w:hAnsiTheme="minorEastAsia" w:hint="eastAsia"/>
        </w:rPr>
        <w:t>7</w:t>
      </w:r>
      <w:r w:rsidR="005051AF" w:rsidRPr="00453203">
        <w:rPr>
          <w:rFonts w:asciiTheme="minorEastAsia" w:eastAsiaTheme="minorEastAsia" w:hAnsiTheme="minorEastAsia" w:hint="eastAsia"/>
        </w:rPr>
        <w:t>、</w:t>
      </w:r>
      <w:r w:rsidR="007E0818" w:rsidRPr="00453203">
        <w:rPr>
          <w:rFonts w:asciiTheme="minorEastAsia" w:eastAsiaTheme="minorEastAsia" w:hAnsiTheme="minorEastAsia"/>
        </w:rPr>
        <w:t>在</w:t>
      </w:r>
      <w:r w:rsidR="007E0818" w:rsidRPr="00453203">
        <w:rPr>
          <w:rFonts w:asciiTheme="minorEastAsia" w:eastAsiaTheme="minorEastAsia" w:hAnsiTheme="minorEastAsia" w:hint="eastAsia"/>
        </w:rPr>
        <w:t>本基金目标ETF</w:t>
      </w:r>
      <w:r w:rsidR="00A741AA" w:rsidRPr="00453203">
        <w:rPr>
          <w:rFonts w:asciiTheme="minorEastAsia" w:eastAsiaTheme="minorEastAsia" w:hAnsiTheme="minorEastAsia" w:hint="eastAsia"/>
        </w:rPr>
        <w:t>创业板</w:t>
      </w:r>
      <w:r w:rsidR="007E0818" w:rsidRPr="00453203">
        <w:rPr>
          <w:rFonts w:asciiTheme="minorEastAsia" w:eastAsiaTheme="minorEastAsia" w:hAnsiTheme="minorEastAsia" w:hint="eastAsia"/>
        </w:rPr>
        <w:t>交易型开放式指数证券投资基金未能符合基金备案条件时，本基金将不能设立，面临募集失败的风险。</w:t>
      </w:r>
    </w:p>
    <w:p w:rsidR="002B698B" w:rsidRPr="00453203" w:rsidRDefault="002B698B"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196" w:name="_Toc76367387"/>
      <w:bookmarkStart w:id="197" w:name="_Toc92074919"/>
      <w:bookmarkStart w:id="198" w:name="_Toc238870125"/>
      <w:bookmarkStart w:id="199" w:name="_Toc34834762"/>
      <w:r w:rsidRPr="00453203">
        <w:rPr>
          <w:rFonts w:asciiTheme="minorEastAsia" w:eastAsiaTheme="minorEastAsia" w:hAnsiTheme="minorEastAsia" w:hint="eastAsia"/>
          <w:sz w:val="21"/>
          <w:szCs w:val="21"/>
        </w:rPr>
        <w:t>（三）流动性风险</w:t>
      </w:r>
      <w:bookmarkEnd w:id="196"/>
      <w:bookmarkEnd w:id="197"/>
      <w:bookmarkEnd w:id="198"/>
      <w:bookmarkEnd w:id="199"/>
    </w:p>
    <w:p w:rsidR="006E1892" w:rsidRPr="00453203" w:rsidRDefault="006E1892"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（1）拟投资市场、行业及资产的流动性风险评估</w:t>
      </w:r>
    </w:p>
    <w:p w:rsidR="006E1892" w:rsidRPr="00453203" w:rsidRDefault="006E1892"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本基金为创业板ETF的联接基金，主要创业板ETF、创业板指数成份股及备选成份股，一般情况下，上述投资标的流动性较好，但不排除在特定阶段、特定市场环境下特定投资标的出现流动性较差的情况</w:t>
      </w:r>
      <w:r w:rsidR="00B275EE" w:rsidRPr="00453203">
        <w:rPr>
          <w:rFonts w:asciiTheme="minorEastAsia" w:eastAsiaTheme="minorEastAsia" w:hAnsiTheme="minorEastAsia" w:hint="eastAsia"/>
          <w:szCs w:val="21"/>
        </w:rPr>
        <w:t>。因此，本基金投资于上述资产时，可能存在以下流动性风险：一是基金管理人建仓或进行组合调整时，可能由于市场流动性相对不足而无法按预期的价格将创业板ETF、股票或债券买进或卖出；二是为应付投资者的赎回，基金管理人的现金支付出现困难，被迫在不适当的价格大量抛售创业板ETF、股票或债券；三是创业板ETF暂停赎回或暂停在二级市场交易，导致基金管理人出现现金支付困难，基金管理人因此暂停接受投资者的赎回申请。以上情形均可能给本基金带来不利影响。</w:t>
      </w:r>
    </w:p>
    <w:p w:rsidR="006E1892" w:rsidRPr="00453203" w:rsidRDefault="006E1892"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（2）巨额赎回情形下的流动性风险管理措施</w:t>
      </w:r>
    </w:p>
    <w:p w:rsidR="006E1892" w:rsidRPr="00453203" w:rsidRDefault="006E1892"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当本基金发生巨额赎回时，基金管理人可以根据基金当时的资产组合状况决定全额赎回或部分延期赎回；此外，如出现</w:t>
      </w:r>
      <w:r w:rsidR="003A692B" w:rsidRPr="00453203">
        <w:rPr>
          <w:rFonts w:asciiTheme="minorEastAsia" w:eastAsiaTheme="minorEastAsia" w:hAnsiTheme="minorEastAsia" w:hint="eastAsia"/>
          <w:szCs w:val="21"/>
        </w:rPr>
        <w:t>连续2个开放日以上</w:t>
      </w:r>
      <w:r w:rsidRPr="00453203">
        <w:rPr>
          <w:rFonts w:asciiTheme="minorEastAsia" w:eastAsiaTheme="minorEastAsia" w:hAnsiTheme="minorEastAsia" w:hint="eastAsia"/>
          <w:szCs w:val="21"/>
        </w:rPr>
        <w:t>发生巨额赎回时，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000719F3" w:rsidRPr="00453203">
        <w:rPr>
          <w:rFonts w:asciiTheme="minorEastAsia" w:eastAsiaTheme="minorEastAsia" w:hAnsiTheme="minorEastAsia" w:hint="eastAsia"/>
          <w:szCs w:val="21"/>
        </w:rPr>
        <w:t>之</w:t>
      </w:r>
      <w:r w:rsidRPr="00453203">
        <w:rPr>
          <w:rFonts w:asciiTheme="minorEastAsia" w:eastAsiaTheme="minorEastAsia" w:hAnsiTheme="minorEastAsia" w:hint="eastAsia"/>
          <w:szCs w:val="21"/>
        </w:rPr>
        <w:t>“（十）巨额赎回的认定及处理方式”。</w:t>
      </w:r>
    </w:p>
    <w:p w:rsidR="006E1892" w:rsidRPr="00453203" w:rsidRDefault="006E1892"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发生上述情形时，投资人面临无法全部赎回或无法及时获得赎回资金的风险。在本基金暂停或延期办理投资者赎回申请的情况下，投资者未能赎回的基金份额还将面临净值波动的风险。</w:t>
      </w:r>
    </w:p>
    <w:p w:rsidR="006E1892" w:rsidRPr="00453203" w:rsidRDefault="006E1892"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（3）除场外份额巨额赎回情形外实施备用的流动性风险管理工具的情形、程序及对投资者的潜在影响</w:t>
      </w:r>
    </w:p>
    <w:p w:rsidR="006E1892" w:rsidRPr="00453203" w:rsidRDefault="006E1892"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除场外份额巨额赎回情形外，本基金备用流动性风险管理工具包括但不限于暂停接受赎回申请、延缓支付赎回款项、暂停基金估值以及证监会认定的其他措施。</w:t>
      </w:r>
    </w:p>
    <w:p w:rsidR="006E1892" w:rsidRPr="00453203" w:rsidRDefault="006E1892"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暂停接受赎回申请、延缓支付赎回款项等工具的情形、程序见招募说明书“八、基金份额的申购、赎回”之“（十一）拒绝或暂停申购、赎回的情形及处理方式”的相关规定。若本基金暂停赎回申请，投资者在暂停赎回期间将无法赎回其持有的基金份额。若本基金延缓支付赎回款项，赎回款支付时间将后延，可能对投资者的资金安排带来不利影响。</w:t>
      </w:r>
    </w:p>
    <w:p w:rsidR="00B275EE" w:rsidRPr="00453203" w:rsidRDefault="00B275EE"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6E1892" w:rsidRPr="00453203" w:rsidRDefault="006E1892" w:rsidP="006E1892">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暂停基金估值的情形、程序见招募说明书“十四、基金资产估值”之“（七）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09600D" w:rsidRPr="00453203" w:rsidRDefault="002B698B"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00" w:name="_Toc76367388"/>
      <w:bookmarkStart w:id="201" w:name="_Toc92074920"/>
      <w:bookmarkStart w:id="202" w:name="_Toc238870126"/>
      <w:bookmarkStart w:id="203" w:name="_Toc34834763"/>
      <w:r w:rsidRPr="00453203">
        <w:rPr>
          <w:rFonts w:asciiTheme="minorEastAsia" w:eastAsiaTheme="minorEastAsia" w:hAnsiTheme="minorEastAsia" w:hint="eastAsia"/>
          <w:sz w:val="21"/>
          <w:szCs w:val="21"/>
        </w:rPr>
        <w:lastRenderedPageBreak/>
        <w:t>（四）</w:t>
      </w:r>
      <w:r w:rsidR="0009600D" w:rsidRPr="00453203">
        <w:rPr>
          <w:rFonts w:asciiTheme="minorEastAsia" w:eastAsiaTheme="minorEastAsia" w:hAnsiTheme="minorEastAsia" w:hint="eastAsia"/>
          <w:sz w:val="21"/>
          <w:szCs w:val="21"/>
        </w:rPr>
        <w:t>本基金法律文件中涉及基金风险特征的表述与销售机构对基金的风险评级可能不一致的风险</w:t>
      </w:r>
      <w:bookmarkEnd w:id="203"/>
    </w:p>
    <w:p w:rsidR="0009600D" w:rsidRPr="00453203" w:rsidRDefault="0009600D" w:rsidP="0051718B">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2B698B" w:rsidRPr="00453203" w:rsidRDefault="0009600D"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04" w:name="_Toc34834764"/>
      <w:r w:rsidRPr="00453203">
        <w:rPr>
          <w:rFonts w:asciiTheme="minorEastAsia" w:eastAsiaTheme="minorEastAsia" w:hAnsiTheme="minorEastAsia" w:hint="eastAsia"/>
          <w:sz w:val="21"/>
          <w:szCs w:val="21"/>
        </w:rPr>
        <w:t>（五）</w:t>
      </w:r>
      <w:r w:rsidR="002B698B" w:rsidRPr="00453203">
        <w:rPr>
          <w:rFonts w:asciiTheme="minorEastAsia" w:eastAsiaTheme="minorEastAsia" w:hAnsiTheme="minorEastAsia" w:hint="eastAsia"/>
          <w:sz w:val="21"/>
          <w:szCs w:val="21"/>
        </w:rPr>
        <w:t>管理风险</w:t>
      </w:r>
      <w:bookmarkEnd w:id="200"/>
      <w:bookmarkEnd w:id="201"/>
      <w:bookmarkEnd w:id="202"/>
      <w:bookmarkEnd w:id="204"/>
    </w:p>
    <w:p w:rsidR="002B698B" w:rsidRPr="00453203" w:rsidRDefault="005051AF" w:rsidP="00643071">
      <w:pPr>
        <w:autoSpaceDE w:val="0"/>
        <w:autoSpaceDN w:val="0"/>
        <w:snapToGrid w:val="0"/>
        <w:spacing w:line="360" w:lineRule="auto"/>
        <w:ind w:firstLineChars="250" w:firstLine="525"/>
        <w:rPr>
          <w:rFonts w:asciiTheme="minorEastAsia" w:eastAsiaTheme="minorEastAsia" w:hAnsiTheme="minorEastAsia"/>
        </w:rPr>
      </w:pPr>
      <w:r w:rsidRPr="00453203">
        <w:rPr>
          <w:rFonts w:asciiTheme="minorEastAsia" w:eastAsiaTheme="minorEastAsia" w:hAnsiTheme="minorEastAsia" w:hint="eastAsia"/>
        </w:rPr>
        <w:t>1、</w:t>
      </w:r>
      <w:r w:rsidR="002B698B" w:rsidRPr="00453203">
        <w:rPr>
          <w:rFonts w:asciiTheme="minorEastAsia" w:eastAsiaTheme="minorEastAsia" w:hAnsiTheme="minorEastAsia" w:hint="eastAsia"/>
        </w:rPr>
        <w:t>在基金管理运作过程中，基金管理人的知识、经验、判断、决策、技能等，会影响其对信息的占有以及对经济形势、证券价格走势的判断，从而影响基金收益水平；</w:t>
      </w:r>
    </w:p>
    <w:p w:rsidR="002B698B" w:rsidRPr="00453203" w:rsidRDefault="005051AF" w:rsidP="00643071">
      <w:pPr>
        <w:autoSpaceDE w:val="0"/>
        <w:autoSpaceDN w:val="0"/>
        <w:snapToGrid w:val="0"/>
        <w:spacing w:line="360" w:lineRule="auto"/>
        <w:ind w:firstLineChars="250" w:firstLine="525"/>
        <w:rPr>
          <w:rFonts w:asciiTheme="minorEastAsia" w:eastAsiaTheme="minorEastAsia" w:hAnsiTheme="minorEastAsia"/>
        </w:rPr>
      </w:pPr>
      <w:r w:rsidRPr="00453203">
        <w:rPr>
          <w:rFonts w:asciiTheme="minorEastAsia" w:eastAsiaTheme="minorEastAsia" w:hAnsiTheme="minorEastAsia" w:hint="eastAsia"/>
        </w:rPr>
        <w:t>2、</w:t>
      </w:r>
      <w:r w:rsidR="002B698B" w:rsidRPr="00453203">
        <w:rPr>
          <w:rFonts w:asciiTheme="minorEastAsia" w:eastAsiaTheme="minorEastAsia" w:hAnsiTheme="minorEastAsia" w:hint="eastAsia"/>
        </w:rPr>
        <w:t>基金管理人和基金托管人的管理手段和管理技术等因素的变化也会影响基金收益水平。</w:t>
      </w:r>
    </w:p>
    <w:p w:rsidR="002B698B" w:rsidRPr="00453203" w:rsidRDefault="002B698B"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05" w:name="_Toc76367389"/>
      <w:bookmarkStart w:id="206" w:name="_Toc92074921"/>
      <w:bookmarkStart w:id="207" w:name="_Toc231784430"/>
      <w:bookmarkStart w:id="208" w:name="_Toc238870127"/>
      <w:bookmarkStart w:id="209" w:name="_Toc34834765"/>
      <w:r w:rsidRPr="00453203">
        <w:rPr>
          <w:rFonts w:asciiTheme="minorEastAsia" w:eastAsiaTheme="minorEastAsia" w:hAnsiTheme="minorEastAsia" w:hint="eastAsia"/>
          <w:sz w:val="21"/>
          <w:szCs w:val="21"/>
        </w:rPr>
        <w:t>（</w:t>
      </w:r>
      <w:r w:rsidR="0009600D" w:rsidRPr="00453203">
        <w:rPr>
          <w:rFonts w:asciiTheme="minorEastAsia" w:eastAsiaTheme="minorEastAsia" w:hAnsiTheme="minorEastAsia" w:hint="eastAsia"/>
          <w:sz w:val="21"/>
          <w:szCs w:val="21"/>
        </w:rPr>
        <w:t>六</w:t>
      </w:r>
      <w:r w:rsidRPr="00453203">
        <w:rPr>
          <w:rFonts w:asciiTheme="minorEastAsia" w:eastAsiaTheme="minorEastAsia" w:hAnsiTheme="minorEastAsia" w:hint="eastAsia"/>
          <w:sz w:val="21"/>
          <w:szCs w:val="21"/>
        </w:rPr>
        <w:t>）其他风险</w:t>
      </w:r>
      <w:bookmarkEnd w:id="205"/>
      <w:bookmarkEnd w:id="206"/>
      <w:bookmarkEnd w:id="207"/>
      <w:bookmarkEnd w:id="208"/>
      <w:bookmarkEnd w:id="209"/>
    </w:p>
    <w:p w:rsidR="002B698B" w:rsidRPr="00453203" w:rsidRDefault="005051AF" w:rsidP="00643071">
      <w:pPr>
        <w:autoSpaceDE w:val="0"/>
        <w:autoSpaceDN w:val="0"/>
        <w:snapToGrid w:val="0"/>
        <w:spacing w:line="360" w:lineRule="auto"/>
        <w:ind w:firstLineChars="250" w:firstLine="525"/>
        <w:rPr>
          <w:rFonts w:asciiTheme="minorEastAsia" w:eastAsiaTheme="minorEastAsia" w:hAnsiTheme="minorEastAsia"/>
        </w:rPr>
      </w:pPr>
      <w:r w:rsidRPr="00453203">
        <w:rPr>
          <w:rFonts w:asciiTheme="minorEastAsia" w:eastAsiaTheme="minorEastAsia" w:hAnsiTheme="minorEastAsia" w:hint="eastAsia"/>
        </w:rPr>
        <w:t>1、</w:t>
      </w:r>
      <w:r w:rsidR="002B698B" w:rsidRPr="00453203">
        <w:rPr>
          <w:rFonts w:asciiTheme="minorEastAsia" w:eastAsiaTheme="minorEastAsia" w:hAnsiTheme="minorEastAsia" w:hint="eastAsia"/>
        </w:rPr>
        <w:t>因技术因素而产生的风险，如电脑系统不可靠产生的风险；</w:t>
      </w:r>
    </w:p>
    <w:p w:rsidR="002B698B" w:rsidRPr="00453203" w:rsidRDefault="00490A21" w:rsidP="00643071">
      <w:pPr>
        <w:autoSpaceDE w:val="0"/>
        <w:autoSpaceDN w:val="0"/>
        <w:snapToGrid w:val="0"/>
        <w:spacing w:line="360" w:lineRule="auto"/>
        <w:ind w:firstLineChars="250" w:firstLine="525"/>
        <w:rPr>
          <w:rFonts w:asciiTheme="minorEastAsia" w:eastAsiaTheme="minorEastAsia" w:hAnsiTheme="minorEastAsia"/>
        </w:rPr>
      </w:pPr>
      <w:r w:rsidRPr="00453203">
        <w:rPr>
          <w:rFonts w:asciiTheme="minorEastAsia" w:eastAsiaTheme="minorEastAsia" w:hAnsiTheme="minorEastAsia" w:hint="eastAsia"/>
        </w:rPr>
        <w:t>2</w:t>
      </w:r>
      <w:r w:rsidR="005051AF" w:rsidRPr="00453203">
        <w:rPr>
          <w:rFonts w:asciiTheme="minorEastAsia" w:eastAsiaTheme="minorEastAsia" w:hAnsiTheme="minorEastAsia" w:hint="eastAsia"/>
        </w:rPr>
        <w:t>、</w:t>
      </w:r>
      <w:r w:rsidR="002B698B" w:rsidRPr="00453203">
        <w:rPr>
          <w:rFonts w:asciiTheme="minorEastAsia" w:eastAsiaTheme="minorEastAsia" w:hAnsiTheme="minorEastAsia" w:hint="eastAsia"/>
        </w:rPr>
        <w:t>因战争、自然灾害等不可抗力导致的基金管理人、基金</w:t>
      </w:r>
      <w:r w:rsidR="005657CA" w:rsidRPr="00453203">
        <w:rPr>
          <w:rFonts w:asciiTheme="minorEastAsia" w:eastAsiaTheme="minorEastAsia" w:hAnsiTheme="minorEastAsia" w:hint="eastAsia"/>
        </w:rPr>
        <w:t>销售</w:t>
      </w:r>
      <w:r w:rsidR="002B698B" w:rsidRPr="00453203">
        <w:rPr>
          <w:rFonts w:asciiTheme="minorEastAsia" w:eastAsiaTheme="minorEastAsia" w:hAnsiTheme="minorEastAsia" w:hint="eastAsia"/>
        </w:rPr>
        <w:t>机构等机构无法正常工作，从而影响基金的申购、赎回按正常时限完成的风险。</w:t>
      </w:r>
    </w:p>
    <w:p w:rsidR="00B72F9D" w:rsidRPr="00453203" w:rsidRDefault="00B72F9D" w:rsidP="00643071">
      <w:pPr>
        <w:autoSpaceDE w:val="0"/>
        <w:autoSpaceDN w:val="0"/>
        <w:snapToGrid w:val="0"/>
        <w:spacing w:line="360" w:lineRule="auto"/>
        <w:ind w:firstLineChars="250" w:firstLine="525"/>
        <w:rPr>
          <w:rFonts w:asciiTheme="minorEastAsia" w:eastAsiaTheme="minorEastAsia" w:hAnsiTheme="minorEastAsia"/>
        </w:rPr>
      </w:pPr>
      <w:r w:rsidRPr="00453203">
        <w:rPr>
          <w:rFonts w:asciiTheme="minorEastAsia" w:eastAsiaTheme="minorEastAsia" w:hAnsiTheme="minorEastAsia" w:hint="eastAsia"/>
        </w:rPr>
        <w:t>3、因金融市场危机、代理商违约、基金托管人违约等超出基金管理人自身控制能力的因素出现，可能导致基金或者基金份额持有人利益受损的风险。</w:t>
      </w:r>
    </w:p>
    <w:p w:rsidR="00E603F5" w:rsidRPr="00453203" w:rsidRDefault="00E603F5" w:rsidP="00643071">
      <w:pPr>
        <w:snapToGrid w:val="0"/>
        <w:spacing w:line="360" w:lineRule="auto"/>
        <w:rPr>
          <w:rFonts w:asciiTheme="minorEastAsia" w:eastAsiaTheme="minorEastAsia" w:hAnsiTheme="minorEastAsia"/>
        </w:rPr>
      </w:pPr>
    </w:p>
    <w:p w:rsidR="00266A27" w:rsidRPr="00453203" w:rsidRDefault="001663E6" w:rsidP="00741477">
      <w:pPr>
        <w:pStyle w:val="1"/>
        <w:snapToGrid w:val="0"/>
        <w:spacing w:beforeLines="0" w:afterLines="0" w:line="360" w:lineRule="auto"/>
        <w:ind w:firstLineChars="0" w:firstLine="0"/>
        <w:rPr>
          <w:rFonts w:asciiTheme="minorEastAsia" w:eastAsiaTheme="minorEastAsia" w:hAnsiTheme="minorEastAsia"/>
          <w:bCs/>
        </w:rPr>
      </w:pPr>
      <w:r w:rsidRPr="00453203">
        <w:rPr>
          <w:rFonts w:asciiTheme="minorEastAsia" w:eastAsiaTheme="minorEastAsia" w:hAnsiTheme="minorEastAsia"/>
          <w:b/>
          <w:bCs/>
        </w:rPr>
        <w:br w:type="column"/>
      </w:r>
      <w:bookmarkStart w:id="210" w:name="_Toc34834766"/>
      <w:r w:rsidR="007301AE" w:rsidRPr="00453203">
        <w:rPr>
          <w:rFonts w:asciiTheme="minorEastAsia" w:eastAsiaTheme="minorEastAsia" w:hAnsiTheme="minorEastAsia" w:hint="eastAsia"/>
          <w:bCs/>
        </w:rPr>
        <w:lastRenderedPageBreak/>
        <w:t>二十</w:t>
      </w:r>
      <w:r w:rsidR="00266A27" w:rsidRPr="00453203">
        <w:rPr>
          <w:rFonts w:asciiTheme="minorEastAsia" w:eastAsiaTheme="minorEastAsia" w:hAnsiTheme="minorEastAsia" w:hint="eastAsia"/>
          <w:bCs/>
        </w:rPr>
        <w:t>、基金合同的</w:t>
      </w:r>
      <w:r w:rsidR="002B698B" w:rsidRPr="00453203">
        <w:rPr>
          <w:rFonts w:asciiTheme="minorEastAsia" w:eastAsiaTheme="minorEastAsia" w:hAnsiTheme="minorEastAsia" w:hint="eastAsia"/>
          <w:bCs/>
        </w:rPr>
        <w:t>变更、</w:t>
      </w:r>
      <w:r w:rsidR="00266A27" w:rsidRPr="00453203">
        <w:rPr>
          <w:rFonts w:asciiTheme="minorEastAsia" w:eastAsiaTheme="minorEastAsia" w:hAnsiTheme="minorEastAsia" w:hint="eastAsia"/>
          <w:bCs/>
        </w:rPr>
        <w:t>终止与基金财产的清算</w:t>
      </w:r>
      <w:bookmarkEnd w:id="210"/>
    </w:p>
    <w:p w:rsidR="0099161E" w:rsidRPr="00453203" w:rsidRDefault="00E67234"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11" w:name="_Toc97031319"/>
      <w:bookmarkStart w:id="212" w:name="_Toc97107279"/>
      <w:bookmarkStart w:id="213" w:name="_Toc79392639"/>
      <w:bookmarkStart w:id="214" w:name="_Toc86584659"/>
      <w:bookmarkStart w:id="215" w:name="_Toc238870129"/>
      <w:bookmarkStart w:id="216" w:name="_Toc34834767"/>
      <w:bookmarkEnd w:id="211"/>
      <w:bookmarkEnd w:id="212"/>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一</w:t>
      </w:r>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《基金合同》的变更</w:t>
      </w:r>
      <w:bookmarkEnd w:id="213"/>
      <w:bookmarkEnd w:id="216"/>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1、按照法律法规或《基金合同》的规定，对《基金合同》的变更应当召开基金份额持有人大会的，《基金合同》变更的内容应经基金份额持有人大会决议通过，并依法报中国证监会核准。</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2、上述对《基金合同》的变更事项自中国证监会核准之日起生效,自《基金合同》生效之日起在至少一家</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公告。</w:t>
      </w:r>
    </w:p>
    <w:p w:rsidR="0099161E" w:rsidRPr="00453203" w:rsidRDefault="0099161E" w:rsidP="00643071">
      <w:pPr>
        <w:autoSpaceDE w:val="0"/>
        <w:autoSpaceDN w:val="0"/>
        <w:snapToGrid w:val="0"/>
        <w:spacing w:line="360" w:lineRule="auto"/>
        <w:ind w:firstLineChars="200" w:firstLine="420"/>
        <w:jc w:val="left"/>
        <w:rPr>
          <w:rFonts w:asciiTheme="minorEastAsia" w:eastAsiaTheme="minorEastAsia" w:hAnsiTheme="minorEastAsia"/>
          <w:szCs w:val="21"/>
        </w:rPr>
      </w:pPr>
      <w:r w:rsidRPr="00453203">
        <w:rPr>
          <w:rFonts w:asciiTheme="minorEastAsia" w:eastAsiaTheme="minorEastAsia" w:hAnsiTheme="minorEastAsia" w:hint="eastAsia"/>
          <w:szCs w:val="21"/>
        </w:rPr>
        <w:t>3、但出现下列情况时，可不经基金份额持有人大会决议，由基金管理人和基金托管人同意后变更并公告，并报中国证监会备案：</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（1）调低基金管理费、基金托管费</w:t>
      </w:r>
      <w:r w:rsidR="00423D0A" w:rsidRPr="00453203">
        <w:rPr>
          <w:rFonts w:asciiTheme="minorEastAsia" w:eastAsiaTheme="minorEastAsia" w:hAnsiTheme="minorEastAsia" w:hint="eastAsia"/>
          <w:szCs w:val="21"/>
        </w:rPr>
        <w:t>或销售服务费</w:t>
      </w:r>
      <w:r w:rsidRPr="00453203">
        <w:rPr>
          <w:rFonts w:asciiTheme="minorEastAsia" w:eastAsiaTheme="minorEastAsia" w:hAnsiTheme="minorEastAsia" w:hint="eastAsia"/>
          <w:szCs w:val="21"/>
        </w:rPr>
        <w:t>；</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（2）法律法规要求增加的基金费用的收取；</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w:t>
      </w:r>
      <w:r w:rsidRPr="00453203">
        <w:rPr>
          <w:rFonts w:asciiTheme="minorEastAsia" w:eastAsiaTheme="minorEastAsia" w:hAnsiTheme="minorEastAsia"/>
          <w:szCs w:val="21"/>
        </w:rPr>
        <w:t>在</w:t>
      </w:r>
      <w:r w:rsidRPr="00453203">
        <w:rPr>
          <w:rFonts w:asciiTheme="minorEastAsia" w:eastAsiaTheme="minorEastAsia" w:hAnsiTheme="minorEastAsia" w:hint="eastAsia"/>
          <w:szCs w:val="21"/>
        </w:rPr>
        <w:t>法律法规和</w:t>
      </w:r>
      <w:r w:rsidRPr="00453203">
        <w:rPr>
          <w:rFonts w:asciiTheme="minorEastAsia" w:eastAsiaTheme="minorEastAsia" w:hAnsiTheme="minorEastAsia"/>
          <w:szCs w:val="21"/>
        </w:rPr>
        <w:t>《基金合同》规定的范围内</w:t>
      </w:r>
      <w:r w:rsidRPr="00453203">
        <w:rPr>
          <w:rFonts w:asciiTheme="minorEastAsia" w:eastAsiaTheme="minorEastAsia" w:hAnsiTheme="minorEastAsia" w:hint="eastAsia"/>
          <w:szCs w:val="21"/>
        </w:rPr>
        <w:t>变更收费方式，或调整</w:t>
      </w:r>
      <w:r w:rsidRPr="00453203">
        <w:rPr>
          <w:rFonts w:asciiTheme="minorEastAsia" w:eastAsiaTheme="minorEastAsia" w:hAnsiTheme="minorEastAsia"/>
          <w:szCs w:val="21"/>
        </w:rPr>
        <w:t>本基金的申购费率、调低赎回费率</w:t>
      </w:r>
      <w:r w:rsidR="00423D0A" w:rsidRPr="00453203">
        <w:rPr>
          <w:rFonts w:asciiTheme="minorEastAsia" w:eastAsiaTheme="minorEastAsia" w:hAnsiTheme="minorEastAsia"/>
          <w:szCs w:val="21"/>
        </w:rPr>
        <w:t>、调整基金份额类别</w:t>
      </w:r>
      <w:r w:rsidRPr="00453203">
        <w:rPr>
          <w:rFonts w:asciiTheme="minorEastAsia" w:eastAsiaTheme="minorEastAsia" w:hAnsiTheme="minorEastAsia" w:hint="eastAsia"/>
          <w:szCs w:val="21"/>
        </w:rPr>
        <w:t>；</w:t>
      </w:r>
    </w:p>
    <w:p w:rsidR="0099161E" w:rsidRPr="00453203" w:rsidRDefault="0099161E"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（4）因相应的法律法规发生变动而应当对《基金合同》进行修改；</w:t>
      </w:r>
    </w:p>
    <w:p w:rsidR="00497536"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（5）对《基金合同》的修改对基金份额持有人利益无实质性不利影响或修改不涉及《基金合同》当事人权利义务关系发生变化；</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（6）除按照法律法规和《基金合同》规定应当召开基金份额持有人大会的以外的其他情形。</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4、法律法规对《基金合同》变更另有规定的，从其规定。</w:t>
      </w:r>
    </w:p>
    <w:p w:rsidR="0099161E" w:rsidRPr="00453203" w:rsidRDefault="00E67234"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17" w:name="_Toc34834768"/>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二</w:t>
      </w:r>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《基金合同》的终止</w:t>
      </w:r>
      <w:bookmarkEnd w:id="217"/>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有下列情形之一的，《基金合同》应当终止：</w:t>
      </w:r>
    </w:p>
    <w:p w:rsidR="0099161E" w:rsidRPr="00453203" w:rsidRDefault="0099161E"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1、基金份额持有人大会决定终止的；</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2、基金管理人、基金托管人职责终止，在6个月内没有新基金管理人、新基金托管人承接的；</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3、《基金合同》约定的其他情形；</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4、相关法律法规和中国证监会规定的其他情况。</w:t>
      </w:r>
    </w:p>
    <w:p w:rsidR="0099161E" w:rsidRPr="00453203" w:rsidRDefault="00E67234"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18" w:name="_Toc34834769"/>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三</w:t>
      </w:r>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基金财产的清算</w:t>
      </w:r>
      <w:bookmarkEnd w:id="218"/>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1、基金财产清算小组：自出现《基金合同》终止情形之日起</w:t>
      </w:r>
      <w:r w:rsidRPr="00453203">
        <w:rPr>
          <w:rFonts w:asciiTheme="minorEastAsia" w:eastAsiaTheme="minorEastAsia" w:hAnsiTheme="minorEastAsia"/>
          <w:szCs w:val="21"/>
        </w:rPr>
        <w:t>30</w:t>
      </w:r>
      <w:r w:rsidRPr="00453203">
        <w:rPr>
          <w:rFonts w:asciiTheme="minorEastAsia" w:eastAsiaTheme="minorEastAsia" w:hAnsiTheme="minorEastAsia" w:hint="eastAsia"/>
          <w:szCs w:val="21"/>
        </w:rPr>
        <w:t>个工作日内成立清算小组，基金管理人组织基金财产清算小组并在中国证监会的监督下进行基金清算。</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3、基金财产清算小组职责：基金财产清算小组负责基金财产的保管、清理、估价、变现和分配。基金财产清算小组可以依法进行必要的民事活动。</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4、基金财产清算程序：</w:t>
      </w:r>
    </w:p>
    <w:p w:rsidR="0099161E" w:rsidRPr="00453203" w:rsidRDefault="0099161E"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（1）出现《基金合同》终止情形后，由基金财产清算小组统一接管基金；</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（2）对基金财产和债权债务进行清理和确认；</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（3）对基金财产进行估值和变现；</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（4）制作清算报告；</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（5）聘请会计师事务所对清算报告进行外部审计，聘请律师事务所对清算报告出具法律意见书；</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（6）将清算报告报中国证监会备案并公告；</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（7）对基金财产进行分配。</w:t>
      </w:r>
    </w:p>
    <w:p w:rsidR="0099161E" w:rsidRPr="00453203" w:rsidRDefault="00E67234"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19" w:name="_Toc34834770"/>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四</w:t>
      </w:r>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清算费用</w:t>
      </w:r>
      <w:bookmarkEnd w:id="219"/>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清算费用是指基金财产清算小组在进行基金清算过程中发生的所有合理费用，清算费用由基金财产清算小组优先从基金财产中支付。</w:t>
      </w:r>
    </w:p>
    <w:p w:rsidR="0099161E" w:rsidRPr="00453203" w:rsidRDefault="00E67234"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20" w:name="_Toc34834771"/>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五</w:t>
      </w:r>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基金财产清算剩余资产的分配</w:t>
      </w:r>
      <w:bookmarkEnd w:id="220"/>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基金财产按下列顺序清偿：</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(1)支付清算费用；</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(2)交纳所欠税款；</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(3)清偿基金债务；</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(4)按基金份额持有人持有的基金份额比例进行分配。</w:t>
      </w:r>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基金财产未按前款(1)－(</w:t>
      </w:r>
      <w:r w:rsidRPr="00453203">
        <w:rPr>
          <w:rFonts w:asciiTheme="minorEastAsia" w:eastAsiaTheme="minorEastAsia" w:hAnsiTheme="minorEastAsia"/>
          <w:szCs w:val="21"/>
        </w:rPr>
        <w:t>3</w:t>
      </w:r>
      <w:r w:rsidRPr="00453203">
        <w:rPr>
          <w:rFonts w:asciiTheme="minorEastAsia" w:eastAsiaTheme="minorEastAsia" w:hAnsiTheme="minorEastAsia" w:hint="eastAsia"/>
          <w:szCs w:val="21"/>
        </w:rPr>
        <w:t>)项规定清偿前，不分配给基金份额持有人。</w:t>
      </w:r>
    </w:p>
    <w:p w:rsidR="0099161E" w:rsidRPr="00453203" w:rsidRDefault="00E67234"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21" w:name="_Toc34834772"/>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六</w:t>
      </w:r>
      <w:r w:rsidRPr="00453203">
        <w:rPr>
          <w:rFonts w:asciiTheme="minorEastAsia" w:eastAsiaTheme="minorEastAsia" w:hAnsiTheme="minorEastAsia" w:hint="eastAsia"/>
          <w:sz w:val="21"/>
          <w:szCs w:val="21"/>
        </w:rPr>
        <w:t>）</w:t>
      </w:r>
      <w:r w:rsidR="0099161E" w:rsidRPr="00453203">
        <w:rPr>
          <w:rFonts w:asciiTheme="minorEastAsia" w:eastAsiaTheme="minorEastAsia" w:hAnsiTheme="minorEastAsia" w:hint="eastAsia"/>
          <w:sz w:val="21"/>
          <w:szCs w:val="21"/>
        </w:rPr>
        <w:t>基金财产清算的公告</w:t>
      </w:r>
      <w:bookmarkEnd w:id="221"/>
    </w:p>
    <w:p w:rsidR="0099161E" w:rsidRPr="00453203" w:rsidRDefault="0099161E"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w:t>
      </w:r>
      <w:r w:rsidRPr="00453203">
        <w:rPr>
          <w:rFonts w:asciiTheme="minorEastAsia" w:eastAsiaTheme="minorEastAsia" w:hAnsiTheme="minorEastAsia"/>
          <w:szCs w:val="21"/>
        </w:rPr>
        <w:t>基金财产清算公告于</w:t>
      </w:r>
      <w:r w:rsidRPr="00453203">
        <w:rPr>
          <w:rFonts w:asciiTheme="minorEastAsia" w:eastAsiaTheme="minorEastAsia" w:hAnsiTheme="minorEastAsia" w:hint="eastAsia"/>
          <w:szCs w:val="21"/>
        </w:rPr>
        <w:t>《基金合同》终止情形发生并报中国证监会备案后</w:t>
      </w:r>
      <w:r w:rsidRPr="00453203">
        <w:rPr>
          <w:rFonts w:asciiTheme="minorEastAsia" w:eastAsiaTheme="minorEastAsia" w:hAnsiTheme="minorEastAsia"/>
          <w:szCs w:val="21"/>
        </w:rPr>
        <w:t>5</w:t>
      </w:r>
      <w:r w:rsidRPr="00453203">
        <w:rPr>
          <w:rFonts w:asciiTheme="minorEastAsia" w:eastAsiaTheme="minorEastAsia" w:hAnsiTheme="minorEastAsia" w:hint="eastAsia"/>
          <w:szCs w:val="21"/>
        </w:rPr>
        <w:t>个工作日内由基金财产清算小组进行公告。</w:t>
      </w:r>
    </w:p>
    <w:p w:rsidR="0099161E" w:rsidRPr="00453203" w:rsidRDefault="00E67234" w:rsidP="00741477">
      <w:pPr>
        <w:pStyle w:val="20"/>
        <w:snapToGrid w:val="0"/>
        <w:spacing w:beforeLines="0" w:afterLines="0" w:line="360" w:lineRule="auto"/>
        <w:ind w:firstLineChars="0" w:firstLine="0"/>
        <w:rPr>
          <w:rFonts w:asciiTheme="minorEastAsia" w:eastAsiaTheme="minorEastAsia" w:hAnsiTheme="minorEastAsia"/>
          <w:sz w:val="21"/>
          <w:szCs w:val="21"/>
        </w:rPr>
      </w:pPr>
      <w:bookmarkStart w:id="222" w:name="_Toc34834773"/>
      <w:r w:rsidRPr="00453203">
        <w:rPr>
          <w:rFonts w:asciiTheme="minorEastAsia" w:eastAsiaTheme="minorEastAsia" w:hAnsiTheme="minorEastAsia" w:hint="eastAsia"/>
          <w:sz w:val="21"/>
          <w:szCs w:val="21"/>
        </w:rPr>
        <w:t>（七）</w:t>
      </w:r>
      <w:r w:rsidR="0099161E" w:rsidRPr="00453203">
        <w:rPr>
          <w:rFonts w:asciiTheme="minorEastAsia" w:eastAsiaTheme="minorEastAsia" w:hAnsiTheme="minorEastAsia" w:hint="eastAsia"/>
          <w:sz w:val="21"/>
          <w:szCs w:val="21"/>
        </w:rPr>
        <w:t>基金财产清算账册及文件的保存</w:t>
      </w:r>
      <w:bookmarkEnd w:id="222"/>
    </w:p>
    <w:p w:rsidR="00B924A2" w:rsidRPr="00453203" w:rsidRDefault="00B924A2" w:rsidP="00643071">
      <w:pPr>
        <w:snapToGrid w:val="0"/>
        <w:spacing w:line="360" w:lineRule="auto"/>
        <w:ind w:firstLineChars="200" w:firstLine="420"/>
        <w:rPr>
          <w:rFonts w:asciiTheme="minorEastAsia" w:eastAsiaTheme="minorEastAsia" w:hAnsiTheme="minorEastAsia"/>
          <w:szCs w:val="21"/>
        </w:rPr>
        <w:sectPr w:rsidR="00B924A2" w:rsidRPr="00453203" w:rsidSect="00F67DBE">
          <w:pgSz w:w="11907" w:h="16840" w:code="9"/>
          <w:pgMar w:top="1701" w:right="1814" w:bottom="1701" w:left="1814" w:header="1134" w:footer="1247" w:gutter="0"/>
          <w:cols w:space="425"/>
          <w:docGrid w:type="lines" w:linePitch="312"/>
        </w:sectPr>
      </w:pPr>
      <w:r w:rsidRPr="00453203">
        <w:rPr>
          <w:rFonts w:asciiTheme="minorEastAsia" w:eastAsiaTheme="minorEastAsia" w:hAnsiTheme="minorEastAsia" w:hint="eastAsia"/>
          <w:szCs w:val="21"/>
        </w:rPr>
        <w:t>基金财产清算账册及有关文件由基金托管人保存</w:t>
      </w:r>
      <w:r w:rsidRPr="00453203">
        <w:rPr>
          <w:rFonts w:asciiTheme="minorEastAsia" w:eastAsiaTheme="minorEastAsia" w:hAnsiTheme="minorEastAsia"/>
          <w:szCs w:val="21"/>
        </w:rPr>
        <w:t>15</w:t>
      </w:r>
      <w:r w:rsidRPr="00453203">
        <w:rPr>
          <w:rFonts w:asciiTheme="minorEastAsia" w:eastAsiaTheme="minorEastAsia" w:hAnsiTheme="minorEastAsia" w:hint="eastAsia"/>
          <w:szCs w:val="21"/>
        </w:rPr>
        <w:t>年以上。</w:t>
      </w: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bCs/>
        </w:rPr>
      </w:pPr>
      <w:bookmarkStart w:id="223" w:name="_Toc200522988"/>
      <w:bookmarkStart w:id="224" w:name="_Toc34834774"/>
      <w:bookmarkEnd w:id="214"/>
      <w:bookmarkEnd w:id="215"/>
      <w:r w:rsidRPr="00453203">
        <w:rPr>
          <w:rFonts w:asciiTheme="minorEastAsia" w:eastAsiaTheme="minorEastAsia" w:hAnsiTheme="minorEastAsia" w:hint="eastAsia"/>
          <w:bCs/>
        </w:rPr>
        <w:lastRenderedPageBreak/>
        <w:t>二十</w:t>
      </w:r>
      <w:r w:rsidR="00B924A2" w:rsidRPr="00453203">
        <w:rPr>
          <w:rFonts w:asciiTheme="minorEastAsia" w:eastAsiaTheme="minorEastAsia" w:hAnsiTheme="minorEastAsia" w:hint="eastAsia"/>
          <w:bCs/>
        </w:rPr>
        <w:t>一</w:t>
      </w:r>
      <w:r w:rsidRPr="00453203">
        <w:rPr>
          <w:rFonts w:asciiTheme="minorEastAsia" w:eastAsiaTheme="minorEastAsia" w:hAnsiTheme="minorEastAsia" w:hint="eastAsia"/>
          <w:bCs/>
        </w:rPr>
        <w:t>、基金合同内容摘要</w:t>
      </w:r>
      <w:bookmarkEnd w:id="223"/>
      <w:bookmarkEnd w:id="224"/>
    </w:p>
    <w:p w:rsidR="00D8340F"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225" w:name="_Toc238870137"/>
      <w:r w:rsidRPr="00453203">
        <w:rPr>
          <w:rFonts w:asciiTheme="minorEastAsia" w:eastAsiaTheme="minorEastAsia" w:hAnsiTheme="minorEastAsia" w:hint="eastAsia"/>
          <w:szCs w:val="21"/>
        </w:rPr>
        <w:t>（</w:t>
      </w:r>
      <w:r w:rsidR="00BC376A" w:rsidRPr="00453203">
        <w:rPr>
          <w:rFonts w:asciiTheme="minorEastAsia" w:eastAsiaTheme="minorEastAsia" w:hAnsiTheme="minorEastAsia" w:hint="eastAsia"/>
          <w:szCs w:val="21"/>
        </w:rPr>
        <w:t>一</w:t>
      </w:r>
      <w:r w:rsidRPr="00453203">
        <w:rPr>
          <w:rFonts w:asciiTheme="minorEastAsia" w:eastAsiaTheme="minorEastAsia" w:hAnsiTheme="minorEastAsia" w:hint="eastAsia"/>
          <w:szCs w:val="21"/>
        </w:rPr>
        <w:t>）基金管理人的权利与义务</w:t>
      </w:r>
      <w:bookmarkEnd w:id="225"/>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1、根据《基金法》、《运作办法》及其他有关规定，基金管理人的权利包括但不限于：</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ab/>
        <w:t>依法募集基金；</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ab/>
        <w:t>自《基金合同》生效之日起，根据法律法规和《基金合同》独立运用并管理基金财产；</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w:t>
      </w:r>
      <w:r w:rsidRPr="00453203">
        <w:rPr>
          <w:rFonts w:asciiTheme="minorEastAsia" w:eastAsiaTheme="minorEastAsia" w:hAnsiTheme="minorEastAsia" w:hint="eastAsia"/>
          <w:szCs w:val="21"/>
        </w:rPr>
        <w:tab/>
        <w:t>依照《基金合同》收取基金管理费以及法律法规规定或中国证监会批准的其他费用；</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w:t>
      </w:r>
      <w:r w:rsidRPr="00453203">
        <w:rPr>
          <w:rFonts w:asciiTheme="minorEastAsia" w:eastAsiaTheme="minorEastAsia" w:hAnsiTheme="minorEastAsia" w:hint="eastAsia"/>
          <w:szCs w:val="21"/>
        </w:rPr>
        <w:tab/>
        <w:t>销售基金份额；</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w:t>
      </w:r>
      <w:r w:rsidRPr="00453203">
        <w:rPr>
          <w:rFonts w:asciiTheme="minorEastAsia" w:eastAsiaTheme="minorEastAsia" w:hAnsiTheme="minorEastAsia" w:hint="eastAsia"/>
          <w:szCs w:val="21"/>
        </w:rPr>
        <w:tab/>
        <w:t>召集基金份额持有人大会；</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（6）</w:t>
      </w:r>
      <w:r w:rsidRPr="00453203">
        <w:rPr>
          <w:rFonts w:asciiTheme="minorEastAsia" w:eastAsiaTheme="minorEastAsia" w:hAnsiTheme="minorEastAsia" w:hint="eastAsia"/>
          <w:szCs w:val="21"/>
        </w:rPr>
        <w:tab/>
        <w:t>依据《基金合同》及有关法律规定监督基金托管人，如认为基金托管人违反了《基金合同》及国家有关法律规定，应呈报中国证监会和其他监管部门，并采取必要措施保护基金投资者的利益；</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（7）</w:t>
      </w:r>
      <w:r w:rsidRPr="00453203">
        <w:rPr>
          <w:rFonts w:asciiTheme="minorEastAsia" w:eastAsiaTheme="minorEastAsia" w:hAnsiTheme="minorEastAsia" w:hint="eastAsia"/>
          <w:szCs w:val="21"/>
        </w:rPr>
        <w:tab/>
        <w:t>在基金托管人更换时，提名新的基金托管人；</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（8）</w:t>
      </w:r>
      <w:r w:rsidRPr="00453203">
        <w:rPr>
          <w:rFonts w:asciiTheme="minorEastAsia" w:eastAsiaTheme="minorEastAsia" w:hAnsiTheme="minorEastAsia" w:hint="eastAsia"/>
          <w:szCs w:val="21"/>
        </w:rPr>
        <w:tab/>
        <w:t>选择、委托、更换基金代销机构，对基金代销机构的相关行为进行监督和处理；</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（9）</w:t>
      </w:r>
      <w:r w:rsidRPr="00453203">
        <w:rPr>
          <w:rFonts w:asciiTheme="minorEastAsia" w:eastAsiaTheme="minorEastAsia" w:hAnsiTheme="minorEastAsia" w:hint="eastAsia"/>
          <w:szCs w:val="21"/>
        </w:rPr>
        <w:tab/>
        <w:t>担任或委托其他符合条件的机构担任基金注册登记机构办理基金注册登记业务并获得《基金合同》规定的费用；</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（10）依据《基金合同》及有关法律规定决定基金收益的分配方案；</w:t>
      </w:r>
      <w:r w:rsidRPr="00453203">
        <w:rPr>
          <w:rFonts w:asciiTheme="minorEastAsia" w:eastAsiaTheme="minorEastAsia" w:hAnsiTheme="minorEastAsia" w:hint="eastAsia"/>
          <w:szCs w:val="21"/>
        </w:rPr>
        <w:tab/>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（11）</w:t>
      </w:r>
      <w:r w:rsidRPr="00453203">
        <w:rPr>
          <w:rFonts w:asciiTheme="minorEastAsia" w:eastAsiaTheme="minorEastAsia" w:hAnsiTheme="minorEastAsia" w:hint="eastAsia"/>
          <w:szCs w:val="21"/>
        </w:rPr>
        <w:tab/>
        <w:t>在《基金合同》约定的范围内，拒绝或暂停受理申购与赎回申请；</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（12）在符合有关法律法规和《基金合同》的前提下，制订和调整《业务规则》，决定和调整除调高管理费率和托管费率之外的基金相关费率结构和收费方式；</w:t>
      </w:r>
      <w:r w:rsidRPr="00453203">
        <w:rPr>
          <w:rFonts w:asciiTheme="minorEastAsia" w:eastAsiaTheme="minorEastAsia" w:hAnsiTheme="minorEastAsia" w:hint="eastAsia"/>
          <w:szCs w:val="21"/>
        </w:rPr>
        <w:tab/>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（13）依照法律法规为基金的利益对被投资公司行使股东权利，为基金的利益行使因基金财产投资于证券所产生的权利；</w:t>
      </w:r>
      <w:r w:rsidRPr="00453203">
        <w:rPr>
          <w:rFonts w:asciiTheme="minorEastAsia" w:eastAsiaTheme="minorEastAsia" w:hAnsiTheme="minorEastAsia" w:hint="eastAsia"/>
          <w:szCs w:val="21"/>
        </w:rPr>
        <w:tab/>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（14）</w:t>
      </w:r>
      <w:r w:rsidRPr="00453203">
        <w:rPr>
          <w:rFonts w:asciiTheme="minorEastAsia" w:eastAsiaTheme="minorEastAsia" w:hAnsiTheme="minorEastAsia" w:hint="eastAsia"/>
          <w:szCs w:val="21"/>
        </w:rPr>
        <w:tab/>
        <w:t>在法律法规允许的前提下，为基金的利益依法为基金进行融资融券；</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（15）以基金管理人的名义，代表基金份额持有人的利益行使诉讼权利或者实施其他法律行为；</w:t>
      </w:r>
      <w:r w:rsidRPr="00453203">
        <w:rPr>
          <w:rFonts w:asciiTheme="minorEastAsia" w:eastAsiaTheme="minorEastAsia" w:hAnsiTheme="minorEastAsia" w:hint="eastAsia"/>
          <w:szCs w:val="21"/>
        </w:rPr>
        <w:tab/>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（16）选择、更换律师事务所、会计师事务所、证券经纪商或其他为基金提供服务的外部机构；</w:t>
      </w:r>
      <w:r w:rsidRPr="00453203">
        <w:rPr>
          <w:rFonts w:asciiTheme="minorEastAsia" w:eastAsiaTheme="minorEastAsia" w:hAnsiTheme="minorEastAsia" w:hint="eastAsia"/>
          <w:szCs w:val="21"/>
        </w:rPr>
        <w:tab/>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（17）法律法规和《基金合同》规定的其他权利。</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2、根据《基金法》、《运作办法》及其他有关规定，基金管理人的义务包括但不限于：</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ab/>
        <w:t>依法募集基金，办理或者委托经中国证监会认定的其他机构代为办理基金份</w:t>
      </w:r>
      <w:r w:rsidRPr="00453203">
        <w:rPr>
          <w:rFonts w:asciiTheme="minorEastAsia" w:eastAsiaTheme="minorEastAsia" w:hAnsiTheme="minorEastAsia" w:hint="eastAsia"/>
          <w:szCs w:val="21"/>
        </w:rPr>
        <w:lastRenderedPageBreak/>
        <w:t>额的发售、申购、赎回和登记事宜；如认为基金代销机构违反《基金合同》、基金销售与服务代理协议及国家有关法律规定，应呈报中国证监会和其他监管部门，并采取必要措施保护基金投资者的利益；</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办理基金备案手续；</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ab/>
        <w:t>自《基金合同》生效之日起</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以诚实信用、谨慎勤勉的原则管理和运用基金财产；</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w:t>
      </w:r>
      <w:r w:rsidRPr="00453203">
        <w:rPr>
          <w:rFonts w:asciiTheme="minorEastAsia" w:eastAsiaTheme="minorEastAsia" w:hAnsiTheme="minorEastAsia" w:hint="eastAsia"/>
          <w:szCs w:val="21"/>
        </w:rPr>
        <w:tab/>
        <w:t>配备足够的具有专业资格的人员进行基金投资分析、决策，以专业化的经营方式管理和运作基金财产；</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w:t>
      </w:r>
      <w:r w:rsidRPr="00453203">
        <w:rPr>
          <w:rFonts w:asciiTheme="minorEastAsia" w:eastAsiaTheme="minorEastAsia" w:hAnsiTheme="minorEastAsia" w:hint="eastAsia"/>
          <w:szCs w:val="21"/>
        </w:rPr>
        <w:tab/>
        <w:t>建立健全内部风险控制、监察与稽核、财务管理及人事管理等制度，保证所管理的基金财产和基金管理人的财产相互独立</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对所管理的不同基金分别管理，分别记账，进行证券投资；</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（6）</w:t>
      </w:r>
      <w:r w:rsidRPr="00453203">
        <w:rPr>
          <w:rFonts w:asciiTheme="minorEastAsia" w:eastAsiaTheme="minorEastAsia" w:hAnsiTheme="minorEastAsia" w:hint="eastAsia"/>
          <w:szCs w:val="21"/>
        </w:rPr>
        <w:tab/>
        <w:t>除依据《基金法》、《基金合同》及其他有关规定外</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不得利用基金财产为自己及任何第三人谋取利益，不得委托第三人运作基金财产；</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（7）</w:t>
      </w:r>
      <w:r w:rsidRPr="00453203">
        <w:rPr>
          <w:rFonts w:asciiTheme="minorEastAsia" w:eastAsiaTheme="minorEastAsia" w:hAnsiTheme="minorEastAsia" w:hint="eastAsia"/>
          <w:szCs w:val="21"/>
        </w:rPr>
        <w:tab/>
        <w:t>依法接受基金托管人的监督；</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（8）</w:t>
      </w:r>
      <w:r w:rsidRPr="00453203">
        <w:rPr>
          <w:rFonts w:asciiTheme="minorEastAsia" w:eastAsiaTheme="minorEastAsia" w:hAnsiTheme="minorEastAsia" w:hint="eastAsia"/>
          <w:szCs w:val="21"/>
        </w:rPr>
        <w:tab/>
        <w:t>采取适当合理的措施使计算基金份额认购、申购、赎回和注销价格的方法符合《基金合同》等法律文件的规定，按有关规定计算并公告基金净值</w:t>
      </w:r>
      <w:r w:rsidR="000F3201" w:rsidRPr="00453203">
        <w:rPr>
          <w:rFonts w:asciiTheme="minorEastAsia" w:eastAsiaTheme="minorEastAsia" w:hAnsiTheme="minorEastAsia" w:hint="eastAsia"/>
          <w:szCs w:val="21"/>
        </w:rPr>
        <w:t>信息</w:t>
      </w:r>
      <w:r w:rsidRPr="00453203">
        <w:rPr>
          <w:rFonts w:asciiTheme="minorEastAsia" w:eastAsiaTheme="minorEastAsia" w:hAnsiTheme="minorEastAsia" w:hint="eastAsia"/>
          <w:szCs w:val="21"/>
        </w:rPr>
        <w:t>，确定基金份额申购、赎回的价格；</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（9）</w:t>
      </w:r>
      <w:r w:rsidRPr="00453203">
        <w:rPr>
          <w:rFonts w:asciiTheme="minorEastAsia" w:eastAsiaTheme="minorEastAsia" w:hAnsiTheme="minorEastAsia" w:hint="eastAsia"/>
          <w:szCs w:val="21"/>
        </w:rPr>
        <w:tab/>
        <w:t>进行基金会计核算并编制基金财务会计报告；</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（10）</w:t>
      </w:r>
      <w:r w:rsidRPr="00453203">
        <w:rPr>
          <w:rFonts w:asciiTheme="minorEastAsia" w:eastAsiaTheme="minorEastAsia" w:hAnsiTheme="minorEastAsia" w:hint="eastAsia"/>
          <w:szCs w:val="21"/>
        </w:rPr>
        <w:tab/>
        <w:t>编制季度</w:t>
      </w:r>
      <w:r w:rsidR="000F3201" w:rsidRPr="00453203">
        <w:rPr>
          <w:rFonts w:asciiTheme="minorEastAsia" w:eastAsiaTheme="minorEastAsia" w:hAnsiTheme="minorEastAsia" w:hint="eastAsia"/>
          <w:szCs w:val="21"/>
        </w:rPr>
        <w:t>报告</w:t>
      </w:r>
      <w:r w:rsidRPr="00453203">
        <w:rPr>
          <w:rFonts w:asciiTheme="minorEastAsia" w:eastAsiaTheme="minorEastAsia" w:hAnsiTheme="minorEastAsia" w:hint="eastAsia"/>
          <w:szCs w:val="21"/>
        </w:rPr>
        <w:t>、</w:t>
      </w:r>
      <w:r w:rsidR="000F3201" w:rsidRPr="00453203">
        <w:rPr>
          <w:rFonts w:asciiTheme="minorEastAsia" w:eastAsiaTheme="minorEastAsia" w:hAnsiTheme="minorEastAsia" w:hint="eastAsia"/>
          <w:szCs w:val="21"/>
        </w:rPr>
        <w:t>中期报告</w:t>
      </w:r>
      <w:r w:rsidRPr="00453203">
        <w:rPr>
          <w:rFonts w:asciiTheme="minorEastAsia" w:eastAsiaTheme="minorEastAsia" w:hAnsiTheme="minorEastAsia" w:hint="eastAsia"/>
          <w:szCs w:val="21"/>
        </w:rPr>
        <w:t>和年度报告；</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（11）</w:t>
      </w:r>
      <w:r w:rsidRPr="00453203">
        <w:rPr>
          <w:rFonts w:asciiTheme="minorEastAsia" w:eastAsiaTheme="minorEastAsia" w:hAnsiTheme="minorEastAsia" w:hint="eastAsia"/>
          <w:szCs w:val="21"/>
        </w:rPr>
        <w:tab/>
        <w:t>严格按照《基金法》、《基金合同》及其他有关规定，履行信息披露及报告义务；</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（12）</w:t>
      </w:r>
      <w:r w:rsidRPr="00453203">
        <w:rPr>
          <w:rFonts w:asciiTheme="minorEastAsia" w:eastAsiaTheme="minorEastAsia" w:hAnsiTheme="minorEastAsia" w:hint="eastAsia"/>
          <w:szCs w:val="21"/>
        </w:rPr>
        <w:tab/>
        <w:t>保守基金商业秘密，不泄露基金投资计划、投资意向等。除《基金法》、《基金合同》及其他有关规定另有规定外，在基金信息公开披露前应予保密，不向他人泄露；</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（13）</w:t>
      </w:r>
      <w:r w:rsidRPr="00453203">
        <w:rPr>
          <w:rFonts w:asciiTheme="minorEastAsia" w:eastAsiaTheme="minorEastAsia" w:hAnsiTheme="minorEastAsia" w:hint="eastAsia"/>
          <w:szCs w:val="21"/>
        </w:rPr>
        <w:tab/>
        <w:t>按《基金合同》的约定确定基金收益分配方案，及时向基金份额持有人分配基金收益；</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（14）</w:t>
      </w:r>
      <w:r w:rsidRPr="00453203">
        <w:rPr>
          <w:rFonts w:asciiTheme="minorEastAsia" w:eastAsiaTheme="minorEastAsia" w:hAnsiTheme="minorEastAsia" w:hint="eastAsia"/>
          <w:szCs w:val="21"/>
        </w:rPr>
        <w:tab/>
        <w:t>按规定受理申购与赎回申请，及时、足额支付赎回款项；</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（15）</w:t>
      </w:r>
      <w:r w:rsidRPr="00453203">
        <w:rPr>
          <w:rFonts w:asciiTheme="minorEastAsia" w:eastAsiaTheme="minorEastAsia" w:hAnsiTheme="minorEastAsia" w:hint="eastAsia"/>
          <w:szCs w:val="21"/>
        </w:rPr>
        <w:tab/>
        <w:t>依据《基金法》、《基金合同》及其他有关规定召集基金份额持有人大会</w:t>
      </w:r>
      <w:r w:rsidRPr="00453203">
        <w:rPr>
          <w:rFonts w:asciiTheme="minorEastAsia" w:eastAsiaTheme="minorEastAsia" w:hAnsiTheme="minorEastAsia"/>
          <w:szCs w:val="21"/>
        </w:rPr>
        <w:t>或配合基金托管人、基金份额持有人依法召集基金份额持有人大会</w:t>
      </w:r>
      <w:r w:rsidRPr="00453203">
        <w:rPr>
          <w:rFonts w:asciiTheme="minorEastAsia" w:eastAsiaTheme="minorEastAsia" w:hAnsiTheme="minorEastAsia" w:hint="eastAsia"/>
          <w:szCs w:val="21"/>
        </w:rPr>
        <w:t>；</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（16）</w:t>
      </w:r>
      <w:r w:rsidRPr="00453203">
        <w:rPr>
          <w:rFonts w:asciiTheme="minorEastAsia" w:eastAsiaTheme="minorEastAsia" w:hAnsiTheme="minorEastAsia" w:hint="eastAsia"/>
          <w:szCs w:val="21"/>
        </w:rPr>
        <w:tab/>
        <w:t>按规定保存基金财产管理业务活动的会计账册、报表、记录和其他相关资料15年以上；</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（17）</w:t>
      </w:r>
      <w:r w:rsidRPr="00453203">
        <w:rPr>
          <w:rFonts w:asciiTheme="minorEastAsia" w:eastAsiaTheme="minorEastAsia" w:hAnsiTheme="minorEastAsia" w:hint="eastAsia"/>
          <w:szCs w:val="21"/>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（18）</w:t>
      </w:r>
      <w:r w:rsidRPr="00453203">
        <w:rPr>
          <w:rFonts w:asciiTheme="minorEastAsia" w:eastAsiaTheme="minorEastAsia" w:hAnsiTheme="minorEastAsia" w:hint="eastAsia"/>
          <w:szCs w:val="21"/>
        </w:rPr>
        <w:tab/>
        <w:t>组织并参加基金财产清算小组</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参与基金财产的保管、清理、估价、变现和分配；</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（19）</w:t>
      </w:r>
      <w:r w:rsidRPr="00453203">
        <w:rPr>
          <w:rFonts w:asciiTheme="minorEastAsia" w:eastAsiaTheme="minorEastAsia" w:hAnsiTheme="minorEastAsia" w:hint="eastAsia"/>
          <w:szCs w:val="21"/>
        </w:rPr>
        <w:tab/>
        <w:t>面临解散、依法被撤销或者被依法宣告破产时，及时报告中国证监会并通知基金托管人；</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（20）</w:t>
      </w:r>
      <w:r w:rsidRPr="00453203">
        <w:rPr>
          <w:rFonts w:asciiTheme="minorEastAsia" w:eastAsiaTheme="minorEastAsia" w:hAnsiTheme="minorEastAsia" w:hint="eastAsia"/>
          <w:szCs w:val="21"/>
        </w:rPr>
        <w:tab/>
        <w:t>因违反《基金合同》导致基金财产的损失</w:t>
      </w:r>
      <w:r w:rsidRPr="00453203">
        <w:rPr>
          <w:rFonts w:asciiTheme="minorEastAsia" w:eastAsiaTheme="minorEastAsia" w:hAnsiTheme="minorEastAsia"/>
          <w:szCs w:val="21"/>
        </w:rPr>
        <w:t>或损害基金份额持有人合法权益</w:t>
      </w:r>
      <w:r w:rsidRPr="00453203">
        <w:rPr>
          <w:rFonts w:asciiTheme="minorEastAsia" w:eastAsiaTheme="minorEastAsia" w:hAnsiTheme="minorEastAsia" w:hint="eastAsia"/>
          <w:szCs w:val="21"/>
        </w:rPr>
        <w:t>时，应当承担赔偿责任，其赔偿责任不因其退任而免除；</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（21）监督基金托管人按法律法规和《基金合同》规定履行自己的义务，基金托管人违反《基金合同》造成基金财产损失时，基金管理人应为基金份额持有人利益向基金托管人追偿；</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（22）</w:t>
      </w:r>
      <w:r w:rsidRPr="00453203">
        <w:rPr>
          <w:rFonts w:asciiTheme="minorEastAsia" w:eastAsiaTheme="minorEastAsia" w:hAnsiTheme="minorEastAsia" w:hint="eastAsia"/>
          <w:szCs w:val="21"/>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（23）以基金管理人名义，代表基金份额持有人利益行使诉讼权利或实施其他法律行为；</w:t>
      </w:r>
      <w:r w:rsidRPr="00453203">
        <w:rPr>
          <w:rFonts w:asciiTheme="minorEastAsia" w:eastAsiaTheme="minorEastAsia" w:hAnsiTheme="minorEastAsia" w:hint="eastAsia"/>
          <w:szCs w:val="21"/>
        </w:rPr>
        <w:tab/>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24）基金管理人在募集期间未能达到基金的备案条件，《基金合同》不能生效，基金管理人承担因募集行为而产生的债务和全部费用，将已募集资金并加计银行同期存款利息在基金募集期结束后30日内退还基金投资者；</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（25</w:t>
      </w:r>
      <w:r w:rsidRPr="00453203">
        <w:rPr>
          <w:rFonts w:asciiTheme="minorEastAsia" w:eastAsiaTheme="minorEastAsia" w:hAnsiTheme="minorEastAsia"/>
          <w:szCs w:val="21"/>
        </w:rPr>
        <w:t>）执行生效的基金份额持有人大会的</w:t>
      </w:r>
      <w:r w:rsidRPr="00453203">
        <w:rPr>
          <w:rFonts w:asciiTheme="minorEastAsia" w:eastAsiaTheme="minorEastAsia" w:hAnsiTheme="minorEastAsia" w:hint="eastAsia"/>
          <w:szCs w:val="21"/>
        </w:rPr>
        <w:t>决议；</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（26）</w:t>
      </w:r>
      <w:r w:rsidRPr="00453203">
        <w:rPr>
          <w:rFonts w:asciiTheme="minorEastAsia" w:eastAsiaTheme="minorEastAsia" w:hAnsiTheme="minorEastAsia"/>
          <w:szCs w:val="21"/>
        </w:rPr>
        <w:t>建立并保存基金份额持有人名册</w:t>
      </w:r>
      <w:r w:rsidRPr="00453203">
        <w:rPr>
          <w:rFonts w:asciiTheme="minorEastAsia" w:eastAsiaTheme="minorEastAsia" w:hAnsiTheme="minorEastAsia" w:hint="eastAsia"/>
          <w:szCs w:val="21"/>
        </w:rPr>
        <w:t>，定期或不定期向基金托管人提供基金份额持有人名册</w:t>
      </w:r>
      <w:r w:rsidRPr="00453203">
        <w:rPr>
          <w:rFonts w:asciiTheme="minorEastAsia" w:eastAsiaTheme="minorEastAsia" w:hAnsiTheme="minorEastAsia"/>
          <w:szCs w:val="21"/>
        </w:rPr>
        <w:t>；</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（27）</w:t>
      </w:r>
      <w:r w:rsidRPr="00453203">
        <w:rPr>
          <w:rFonts w:asciiTheme="minorEastAsia" w:eastAsiaTheme="minorEastAsia" w:hAnsiTheme="minorEastAsia"/>
          <w:szCs w:val="21"/>
        </w:rPr>
        <w:t>法律法规</w:t>
      </w:r>
      <w:r w:rsidRPr="00453203">
        <w:rPr>
          <w:rFonts w:asciiTheme="minorEastAsia" w:eastAsiaTheme="minorEastAsia" w:hAnsiTheme="minorEastAsia" w:hint="eastAsia"/>
          <w:szCs w:val="21"/>
        </w:rPr>
        <w:t>及中国证监会规定的</w:t>
      </w:r>
      <w:r w:rsidRPr="00453203">
        <w:rPr>
          <w:rFonts w:asciiTheme="minorEastAsia" w:eastAsiaTheme="minorEastAsia" w:hAnsiTheme="minorEastAsia"/>
          <w:szCs w:val="21"/>
        </w:rPr>
        <w:t>和《基金合同》</w:t>
      </w:r>
      <w:r w:rsidRPr="00453203">
        <w:rPr>
          <w:rFonts w:asciiTheme="minorEastAsia" w:eastAsiaTheme="minorEastAsia" w:hAnsiTheme="minorEastAsia" w:hint="eastAsia"/>
          <w:szCs w:val="21"/>
        </w:rPr>
        <w:t>约</w:t>
      </w:r>
      <w:r w:rsidRPr="00453203">
        <w:rPr>
          <w:rFonts w:asciiTheme="minorEastAsia" w:eastAsiaTheme="minorEastAsia" w:hAnsiTheme="minorEastAsia"/>
          <w:szCs w:val="21"/>
        </w:rPr>
        <w:t>定的其他义务。</w:t>
      </w:r>
    </w:p>
    <w:p w:rsidR="00D8340F"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226" w:name="_Toc238870138"/>
      <w:r w:rsidRPr="00453203">
        <w:rPr>
          <w:rFonts w:asciiTheme="minorEastAsia" w:eastAsiaTheme="minorEastAsia" w:hAnsiTheme="minorEastAsia" w:hint="eastAsia"/>
          <w:szCs w:val="21"/>
        </w:rPr>
        <w:t>（</w:t>
      </w:r>
      <w:r w:rsidR="00A7526E" w:rsidRPr="00453203">
        <w:rPr>
          <w:rFonts w:asciiTheme="minorEastAsia" w:eastAsiaTheme="minorEastAsia" w:hAnsiTheme="minorEastAsia" w:hint="eastAsia"/>
          <w:szCs w:val="21"/>
        </w:rPr>
        <w:t>二</w:t>
      </w:r>
      <w:r w:rsidRPr="00453203">
        <w:rPr>
          <w:rFonts w:asciiTheme="minorEastAsia" w:eastAsiaTheme="minorEastAsia" w:hAnsiTheme="minorEastAsia" w:hint="eastAsia"/>
          <w:szCs w:val="21"/>
        </w:rPr>
        <w:t>）基金托管人的权利与义务</w:t>
      </w:r>
      <w:bookmarkEnd w:id="226"/>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1、根据《基金法》、《运作办法》及其他有关规定，基金托管人的权利包括但不限于：</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ab/>
        <w:t>自《基金合同》生效之日起，依法律法规和《基金合同》的规定安全保管基金财产；</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ab/>
        <w:t>依《基金合同》约定获得基金托管费以及法律法规规定或监管部门批准的其他收入；</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ab/>
        <w:t>监督基金管理人对本基金的投资运作，如发现基金管理人有违反《基金合同》及国家法律法规行为，</w:t>
      </w:r>
      <w:r w:rsidRPr="00453203">
        <w:rPr>
          <w:rFonts w:asciiTheme="minorEastAsia" w:eastAsiaTheme="minorEastAsia" w:hAnsiTheme="minorEastAsia"/>
          <w:szCs w:val="21"/>
        </w:rPr>
        <w:t>对基金</w:t>
      </w:r>
      <w:r w:rsidRPr="00453203">
        <w:rPr>
          <w:rFonts w:asciiTheme="minorEastAsia" w:eastAsiaTheme="minorEastAsia" w:hAnsiTheme="minorEastAsia" w:hint="eastAsia"/>
          <w:szCs w:val="21"/>
        </w:rPr>
        <w:t>财</w:t>
      </w:r>
      <w:r w:rsidRPr="00453203">
        <w:rPr>
          <w:rFonts w:asciiTheme="minorEastAsia" w:eastAsiaTheme="minorEastAsia" w:hAnsiTheme="minorEastAsia"/>
          <w:szCs w:val="21"/>
        </w:rPr>
        <w:t>产、其他当事人的利益造成重大损失的</w:t>
      </w:r>
      <w:r w:rsidRPr="00453203">
        <w:rPr>
          <w:rFonts w:asciiTheme="minorEastAsia" w:eastAsiaTheme="minorEastAsia" w:hAnsiTheme="minorEastAsia" w:hint="eastAsia"/>
          <w:szCs w:val="21"/>
        </w:rPr>
        <w:t>情形</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应呈报中国证监会，并采取必要措施保护基金投资者的利益；</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以基金托管人和基金联名的方式在中国证券登记结算有限</w:t>
      </w:r>
      <w:r w:rsidRPr="00453203">
        <w:rPr>
          <w:rFonts w:asciiTheme="minorEastAsia" w:eastAsiaTheme="minorEastAsia" w:hAnsiTheme="minorEastAsia" w:hint="eastAsia"/>
          <w:szCs w:val="21"/>
        </w:rPr>
        <w:t>责任</w:t>
      </w:r>
      <w:r w:rsidRPr="00453203">
        <w:rPr>
          <w:rFonts w:asciiTheme="minorEastAsia" w:eastAsiaTheme="minorEastAsia" w:hAnsiTheme="minorEastAsia"/>
          <w:szCs w:val="21"/>
        </w:rPr>
        <w:t>公司上海分公司和深圳分公司开设证券账户；</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以基金托管人名义开立证券交易资金账户，用于证券交易资金清算；</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（6）</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以基金的名义在中央国债登记结算有限公司开设</w:t>
      </w:r>
      <w:r w:rsidRPr="00453203">
        <w:rPr>
          <w:rFonts w:asciiTheme="minorEastAsia" w:eastAsiaTheme="minorEastAsia" w:hAnsiTheme="minorEastAsia" w:hint="eastAsia"/>
          <w:szCs w:val="21"/>
        </w:rPr>
        <w:t>银行间</w:t>
      </w:r>
      <w:r w:rsidRPr="00453203">
        <w:rPr>
          <w:rFonts w:asciiTheme="minorEastAsia" w:eastAsiaTheme="minorEastAsia" w:hAnsiTheme="minorEastAsia"/>
          <w:szCs w:val="21"/>
        </w:rPr>
        <w:t>债券托管账户</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负责基金</w:t>
      </w:r>
      <w:r w:rsidRPr="00453203">
        <w:rPr>
          <w:rFonts w:asciiTheme="minorEastAsia" w:eastAsiaTheme="minorEastAsia" w:hAnsiTheme="minorEastAsia" w:hint="eastAsia"/>
          <w:szCs w:val="21"/>
        </w:rPr>
        <w:t>投资</w:t>
      </w:r>
      <w:r w:rsidRPr="00453203">
        <w:rPr>
          <w:rFonts w:asciiTheme="minorEastAsia" w:eastAsiaTheme="minorEastAsia" w:hAnsiTheme="minorEastAsia"/>
          <w:szCs w:val="21"/>
        </w:rPr>
        <w:t>债券</w:t>
      </w:r>
      <w:r w:rsidRPr="00453203">
        <w:rPr>
          <w:rFonts w:asciiTheme="minorEastAsia" w:eastAsiaTheme="minorEastAsia" w:hAnsiTheme="minorEastAsia" w:hint="eastAsia"/>
          <w:szCs w:val="21"/>
        </w:rPr>
        <w:t>的后台匹配</w:t>
      </w:r>
      <w:r w:rsidRPr="00453203">
        <w:rPr>
          <w:rFonts w:asciiTheme="minorEastAsia" w:eastAsiaTheme="minorEastAsia" w:hAnsiTheme="minorEastAsia"/>
          <w:szCs w:val="21"/>
        </w:rPr>
        <w:t>及资金的清算；</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（7）</w:t>
      </w:r>
      <w:r w:rsidRPr="00453203">
        <w:rPr>
          <w:rFonts w:asciiTheme="minorEastAsia" w:eastAsiaTheme="minorEastAsia" w:hAnsiTheme="minorEastAsia" w:hint="eastAsia"/>
          <w:szCs w:val="21"/>
        </w:rPr>
        <w:tab/>
        <w:t>提议召开或召集基金份额持有人大会；</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（8）</w:t>
      </w:r>
      <w:r w:rsidRPr="00453203">
        <w:rPr>
          <w:rFonts w:asciiTheme="minorEastAsia" w:eastAsiaTheme="minorEastAsia" w:hAnsiTheme="minorEastAsia" w:hint="eastAsia"/>
          <w:szCs w:val="21"/>
        </w:rPr>
        <w:tab/>
        <w:t>在基金管理人更换时，提名新的基金管理人；</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（9）</w:t>
      </w:r>
      <w:r w:rsidRPr="00453203">
        <w:rPr>
          <w:rFonts w:asciiTheme="minorEastAsia" w:eastAsiaTheme="minorEastAsia" w:hAnsiTheme="minorEastAsia" w:hint="eastAsia"/>
          <w:szCs w:val="21"/>
        </w:rPr>
        <w:tab/>
        <w:t>法律法规和《基金合同》规定的其他权利。</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2、根据《基金法》、《运作办法》及其他有关规定，基金托管人的义务包括但不限于：</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ab/>
        <w:t>以诚实信用、勤勉尽责的原则持有并安全保管基金财产；</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ab/>
        <w:t>设立专门的基金托管部门，具有符合要求的营业场所，配备足够的、合格的熟悉基金托管业务的专职人员，负责基金财产托管事宜；</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w:t>
      </w:r>
      <w:r w:rsidRPr="00453203">
        <w:rPr>
          <w:rFonts w:asciiTheme="minorEastAsia" w:eastAsiaTheme="minorEastAsia" w:hAnsiTheme="minorEastAsia" w:hint="eastAsia"/>
          <w:szCs w:val="21"/>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w:t>
      </w:r>
      <w:r w:rsidRPr="00453203">
        <w:rPr>
          <w:rFonts w:asciiTheme="minorEastAsia" w:eastAsiaTheme="minorEastAsia" w:hAnsiTheme="minorEastAsia" w:hint="eastAsia"/>
          <w:szCs w:val="21"/>
        </w:rPr>
        <w:tab/>
        <w:t>除依据《基金法》、《基金合同》及其他有关规定外，不得利用基金财产为自己及任何第三人谋取利益，不得委托第三人托管基金财产；</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w:t>
      </w:r>
      <w:r w:rsidRPr="00453203">
        <w:rPr>
          <w:rFonts w:asciiTheme="minorEastAsia" w:eastAsiaTheme="minorEastAsia" w:hAnsiTheme="minorEastAsia" w:hint="eastAsia"/>
          <w:szCs w:val="21"/>
        </w:rPr>
        <w:tab/>
        <w:t>保管由基金管理人代表基金签订的与基金有关的重大合同及有关凭证；</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（6）</w:t>
      </w:r>
      <w:r w:rsidRPr="00453203">
        <w:rPr>
          <w:rFonts w:asciiTheme="minorEastAsia" w:eastAsiaTheme="minorEastAsia" w:hAnsiTheme="minorEastAsia" w:hint="eastAsia"/>
          <w:szCs w:val="21"/>
        </w:rPr>
        <w:tab/>
        <w:t>按规定开设基金财产的资金账户和证券账户</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按照《基金合同》的约定，根据基金管理人的投资指令，及时办理清算、交割事宜；</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（7）</w:t>
      </w:r>
      <w:r w:rsidRPr="00453203">
        <w:rPr>
          <w:rFonts w:asciiTheme="minorEastAsia" w:eastAsiaTheme="minorEastAsia" w:hAnsiTheme="minorEastAsia" w:hint="eastAsia"/>
          <w:szCs w:val="21"/>
        </w:rPr>
        <w:tab/>
        <w:t>保守基金商业秘密，除《基金法》、《基金合同》及其他有关规定另有规定外，在基金信息公开披露前予以保密，不得向他人泄露；</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（8）</w:t>
      </w:r>
      <w:r w:rsidRPr="00453203">
        <w:rPr>
          <w:rFonts w:asciiTheme="minorEastAsia" w:eastAsiaTheme="minorEastAsia" w:hAnsiTheme="minorEastAsia" w:hint="eastAsia"/>
          <w:szCs w:val="21"/>
        </w:rPr>
        <w:tab/>
        <w:t>复核、审查基金管理人计算的基金资产净值、</w:t>
      </w:r>
      <w:r w:rsidR="000F3201" w:rsidRPr="00453203">
        <w:rPr>
          <w:rFonts w:asciiTheme="minorEastAsia" w:eastAsiaTheme="minorEastAsia" w:hAnsiTheme="minorEastAsia" w:hint="eastAsia"/>
          <w:szCs w:val="21"/>
        </w:rPr>
        <w:t>基金份额净值、</w:t>
      </w:r>
      <w:r w:rsidRPr="00453203">
        <w:rPr>
          <w:rFonts w:asciiTheme="minorEastAsia" w:eastAsiaTheme="minorEastAsia" w:hAnsiTheme="minorEastAsia" w:hint="eastAsia"/>
          <w:szCs w:val="21"/>
        </w:rPr>
        <w:t>基金份额申购、赎回价格；</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（9）</w:t>
      </w:r>
      <w:r w:rsidRPr="00453203">
        <w:rPr>
          <w:rFonts w:asciiTheme="minorEastAsia" w:eastAsiaTheme="minorEastAsia" w:hAnsiTheme="minorEastAsia" w:hint="eastAsia"/>
          <w:szCs w:val="21"/>
        </w:rPr>
        <w:tab/>
        <w:t>办理与基金托管业务活动有关的信息披露事项；</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（10）</w:t>
      </w:r>
      <w:r w:rsidRPr="00453203">
        <w:rPr>
          <w:rFonts w:asciiTheme="minorEastAsia" w:eastAsiaTheme="minorEastAsia" w:hAnsiTheme="minorEastAsia" w:hint="eastAsia"/>
          <w:szCs w:val="21"/>
        </w:rPr>
        <w:tab/>
        <w:t>对基金财务会计报告、季度</w:t>
      </w:r>
      <w:r w:rsidR="000F3201" w:rsidRPr="00453203">
        <w:rPr>
          <w:rFonts w:asciiTheme="minorEastAsia" w:eastAsiaTheme="minorEastAsia" w:hAnsiTheme="minorEastAsia" w:hint="eastAsia"/>
          <w:szCs w:val="21"/>
        </w:rPr>
        <w:t>报告</w:t>
      </w:r>
      <w:r w:rsidRPr="00453203">
        <w:rPr>
          <w:rFonts w:asciiTheme="minorEastAsia" w:eastAsiaTheme="minorEastAsia" w:hAnsiTheme="minorEastAsia" w:hint="eastAsia"/>
          <w:szCs w:val="21"/>
        </w:rPr>
        <w:t>、</w:t>
      </w:r>
      <w:r w:rsidR="000F3201" w:rsidRPr="00453203">
        <w:rPr>
          <w:rFonts w:asciiTheme="minorEastAsia" w:eastAsiaTheme="minorEastAsia" w:hAnsiTheme="minorEastAsia" w:hint="eastAsia"/>
          <w:szCs w:val="21"/>
        </w:rPr>
        <w:t>中期报告</w:t>
      </w:r>
      <w:r w:rsidRPr="00453203">
        <w:rPr>
          <w:rFonts w:asciiTheme="minorEastAsia" w:eastAsiaTheme="minorEastAsia" w:hAnsiTheme="minorEastAsia" w:hint="eastAsia"/>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（11）</w:t>
      </w:r>
      <w:r w:rsidRPr="00453203">
        <w:rPr>
          <w:rFonts w:asciiTheme="minorEastAsia" w:eastAsiaTheme="minorEastAsia" w:hAnsiTheme="minorEastAsia" w:hint="eastAsia"/>
          <w:szCs w:val="21"/>
        </w:rPr>
        <w:tab/>
        <w:t>保存基金托管业务活动的记录、账册、报表和其他相关资料15年以上；</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（12）</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建立并保存基金份额持有人名册</w:t>
      </w:r>
      <w:r w:rsidRPr="00453203">
        <w:rPr>
          <w:rFonts w:asciiTheme="minorEastAsia" w:eastAsiaTheme="minorEastAsia" w:hAnsiTheme="minorEastAsia" w:hint="eastAsia"/>
          <w:szCs w:val="21"/>
        </w:rPr>
        <w:t>；</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（13）</w:t>
      </w:r>
      <w:r w:rsidRPr="00453203">
        <w:rPr>
          <w:rFonts w:asciiTheme="minorEastAsia" w:eastAsiaTheme="minorEastAsia" w:hAnsiTheme="minorEastAsia" w:hint="eastAsia"/>
          <w:szCs w:val="21"/>
        </w:rPr>
        <w:tab/>
        <w:t>按规定制作相关账册并与基金管理人核对；</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（14）</w:t>
      </w:r>
      <w:r w:rsidRPr="00453203">
        <w:rPr>
          <w:rFonts w:asciiTheme="minorEastAsia" w:eastAsiaTheme="minorEastAsia" w:hAnsiTheme="minorEastAsia" w:hint="eastAsia"/>
          <w:szCs w:val="21"/>
        </w:rPr>
        <w:tab/>
        <w:t>依据基金管理人的指令或有关规定向基金份额持有人支付基金收益和赎回款项；</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（15）</w:t>
      </w:r>
      <w:r w:rsidRPr="00453203">
        <w:rPr>
          <w:rFonts w:asciiTheme="minorEastAsia" w:eastAsiaTheme="minorEastAsia" w:hAnsiTheme="minorEastAsia" w:hint="eastAsia"/>
          <w:szCs w:val="21"/>
        </w:rPr>
        <w:tab/>
        <w:t>按照规定召集基金份额持有人大会或配合基金管理人或基金份额持有人依法召集基金份额持有人大会；</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（16）</w:t>
      </w:r>
      <w:r w:rsidRPr="00453203">
        <w:rPr>
          <w:rFonts w:asciiTheme="minorEastAsia" w:eastAsiaTheme="minorEastAsia" w:hAnsiTheme="minorEastAsia" w:hint="eastAsia"/>
          <w:szCs w:val="21"/>
        </w:rPr>
        <w:tab/>
        <w:t>按照法律法规和《基金合同》的规定监督基金管理人的投资运作；</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（17）</w:t>
      </w:r>
      <w:r w:rsidRPr="00453203">
        <w:rPr>
          <w:rFonts w:asciiTheme="minorEastAsia" w:eastAsiaTheme="minorEastAsia" w:hAnsiTheme="minorEastAsia" w:hint="eastAsia"/>
          <w:szCs w:val="21"/>
        </w:rPr>
        <w:tab/>
        <w:t>参加基金财产清算小组，参与基金财产的保管、清理、估价、变现和分配；</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（18）</w:t>
      </w:r>
      <w:r w:rsidRPr="00453203">
        <w:rPr>
          <w:rFonts w:asciiTheme="minorEastAsia" w:eastAsiaTheme="minorEastAsia" w:hAnsiTheme="minorEastAsia" w:hint="eastAsia"/>
          <w:szCs w:val="21"/>
        </w:rPr>
        <w:tab/>
        <w:t>面临解散、依法被撤销或者被依法宣告破产时，及时报告中国证监会和银行监管机构，并通知基金管理人；</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（19）</w:t>
      </w:r>
      <w:r w:rsidRPr="00453203">
        <w:rPr>
          <w:rFonts w:asciiTheme="minorEastAsia" w:eastAsiaTheme="minorEastAsia" w:hAnsiTheme="minorEastAsia" w:hint="eastAsia"/>
          <w:szCs w:val="21"/>
        </w:rPr>
        <w:tab/>
        <w:t>因违反《基金合同》导致基金财产损失时，应承担赔偿责任，其赔偿责任不因其退任而免除；</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（20）</w:t>
      </w:r>
      <w:r w:rsidRPr="00453203">
        <w:rPr>
          <w:rFonts w:asciiTheme="minorEastAsia" w:eastAsiaTheme="minorEastAsia" w:hAnsiTheme="minorEastAsia" w:hint="eastAsia"/>
          <w:szCs w:val="21"/>
        </w:rPr>
        <w:tab/>
        <w:t>按规定监督基金管理人按法律法规和《基金合同》规定履行自己的义务，基金管理人因违反《基金合同》造成基金财产损失时，应为基金利益向基金管理人追偿；</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（21）</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执行生效的基金份额持有人大会的</w:t>
      </w:r>
      <w:r w:rsidRPr="00453203">
        <w:rPr>
          <w:rFonts w:asciiTheme="minorEastAsia" w:eastAsiaTheme="minorEastAsia" w:hAnsiTheme="minorEastAsia" w:hint="eastAsia"/>
          <w:szCs w:val="21"/>
        </w:rPr>
        <w:t>决议；</w:t>
      </w:r>
    </w:p>
    <w:p w:rsidR="004D7B65" w:rsidRPr="00453203" w:rsidRDefault="004D7B65"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（22）</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法律法规</w:t>
      </w:r>
      <w:r w:rsidRPr="00453203">
        <w:rPr>
          <w:rFonts w:asciiTheme="minorEastAsia" w:eastAsiaTheme="minorEastAsia" w:hAnsiTheme="minorEastAsia" w:hint="eastAsia"/>
          <w:szCs w:val="21"/>
        </w:rPr>
        <w:t>及中国证监会规定的</w:t>
      </w:r>
      <w:r w:rsidRPr="00453203">
        <w:rPr>
          <w:rFonts w:asciiTheme="minorEastAsia" w:eastAsiaTheme="minorEastAsia" w:hAnsiTheme="minorEastAsia"/>
          <w:szCs w:val="21"/>
        </w:rPr>
        <w:t>和《基金合同》</w:t>
      </w:r>
      <w:r w:rsidRPr="00453203">
        <w:rPr>
          <w:rFonts w:asciiTheme="minorEastAsia" w:eastAsiaTheme="minorEastAsia" w:hAnsiTheme="minorEastAsia" w:hint="eastAsia"/>
          <w:szCs w:val="21"/>
        </w:rPr>
        <w:t>约</w:t>
      </w:r>
      <w:r w:rsidRPr="00453203">
        <w:rPr>
          <w:rFonts w:asciiTheme="minorEastAsia" w:eastAsiaTheme="minorEastAsia" w:hAnsiTheme="minorEastAsia"/>
          <w:szCs w:val="21"/>
        </w:rPr>
        <w:t>定的其他义务。</w:t>
      </w:r>
    </w:p>
    <w:p w:rsidR="00D8340F"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227" w:name="_Toc238870139"/>
      <w:r w:rsidRPr="00453203">
        <w:rPr>
          <w:rFonts w:asciiTheme="minorEastAsia" w:eastAsiaTheme="minorEastAsia" w:hAnsiTheme="minorEastAsia" w:hint="eastAsia"/>
          <w:szCs w:val="21"/>
        </w:rPr>
        <w:t>（</w:t>
      </w:r>
      <w:r w:rsidR="005433FC" w:rsidRPr="00453203">
        <w:rPr>
          <w:rFonts w:asciiTheme="minorEastAsia" w:eastAsiaTheme="minorEastAsia" w:hAnsiTheme="minorEastAsia" w:hint="eastAsia"/>
          <w:szCs w:val="21"/>
        </w:rPr>
        <w:t>三</w:t>
      </w:r>
      <w:r w:rsidRPr="00453203">
        <w:rPr>
          <w:rFonts w:asciiTheme="minorEastAsia" w:eastAsiaTheme="minorEastAsia" w:hAnsiTheme="minorEastAsia" w:hint="eastAsia"/>
          <w:szCs w:val="21"/>
        </w:rPr>
        <w:t>）基金份额持有人的权利与义务</w:t>
      </w:r>
      <w:bookmarkEnd w:id="227"/>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1、根据《基金法》、《运作办法》及其他有关规定，基金份额持有人的权利包括但不限于：</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ab/>
        <w:t>分享基金财产收益；</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参与分配清算后的剩余基金财产</w:t>
      </w:r>
      <w:r w:rsidRPr="00453203">
        <w:rPr>
          <w:rFonts w:asciiTheme="minorEastAsia" w:eastAsiaTheme="minorEastAsia" w:hAnsiTheme="minorEastAsia" w:hint="eastAsia"/>
          <w:szCs w:val="21"/>
        </w:rPr>
        <w:t>；</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w:t>
      </w:r>
      <w:r w:rsidRPr="00453203">
        <w:rPr>
          <w:rFonts w:asciiTheme="minorEastAsia" w:eastAsiaTheme="minorEastAsia" w:hAnsiTheme="minorEastAsia" w:hint="eastAsia"/>
          <w:szCs w:val="21"/>
        </w:rPr>
        <w:tab/>
        <w:t>依法申请赎回其持有的基金份额</w:t>
      </w:r>
      <w:r w:rsidRPr="00453203">
        <w:rPr>
          <w:rFonts w:asciiTheme="minorEastAsia" w:eastAsiaTheme="minorEastAsia" w:hAnsiTheme="minorEastAsia"/>
          <w:szCs w:val="21"/>
        </w:rPr>
        <w:t>；</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按照规定要求召开基金份额持有人大会</w:t>
      </w:r>
      <w:r w:rsidRPr="00453203">
        <w:rPr>
          <w:rFonts w:asciiTheme="minorEastAsia" w:eastAsiaTheme="minorEastAsia" w:hAnsiTheme="minorEastAsia" w:hint="eastAsia"/>
          <w:szCs w:val="21"/>
        </w:rPr>
        <w:t>；</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（5）出席或者委派代表出席本基金基金</w:t>
      </w:r>
      <w:r w:rsidRPr="00453203">
        <w:rPr>
          <w:rFonts w:asciiTheme="minorEastAsia" w:eastAsiaTheme="minorEastAsia" w:hAnsiTheme="minorEastAsia"/>
          <w:szCs w:val="21"/>
        </w:rPr>
        <w:t>份额</w:t>
      </w:r>
      <w:r w:rsidRPr="00453203">
        <w:rPr>
          <w:rFonts w:asciiTheme="minorEastAsia" w:eastAsiaTheme="minorEastAsia" w:hAnsiTheme="minorEastAsia" w:hint="eastAsia"/>
          <w:szCs w:val="21"/>
        </w:rPr>
        <w:t>持有人大会，</w:t>
      </w:r>
      <w:r w:rsidRPr="00453203">
        <w:rPr>
          <w:rFonts w:asciiTheme="minorEastAsia" w:eastAsiaTheme="minorEastAsia" w:hAnsiTheme="minorEastAsia"/>
          <w:szCs w:val="21"/>
        </w:rPr>
        <w:t>对</w:t>
      </w:r>
      <w:r w:rsidRPr="00453203">
        <w:rPr>
          <w:rFonts w:asciiTheme="minorEastAsia" w:eastAsiaTheme="minorEastAsia" w:hAnsiTheme="minorEastAsia" w:hint="eastAsia"/>
          <w:szCs w:val="21"/>
        </w:rPr>
        <w:t>本基金</w:t>
      </w:r>
      <w:r w:rsidRPr="00453203">
        <w:rPr>
          <w:rFonts w:asciiTheme="minorEastAsia" w:eastAsiaTheme="minorEastAsia" w:hAnsiTheme="minorEastAsia"/>
          <w:szCs w:val="21"/>
        </w:rPr>
        <w:t>基金份额持有人大会审议事项行使表决权</w:t>
      </w:r>
      <w:r w:rsidRPr="00453203">
        <w:rPr>
          <w:rFonts w:asciiTheme="minorEastAsia" w:eastAsiaTheme="minorEastAsia" w:hAnsiTheme="minorEastAsia" w:hint="eastAsia"/>
          <w:szCs w:val="21"/>
        </w:rPr>
        <w:t>；</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（6）按照目标ETF基金合同的约定出席或者委派代表出席目标ETF基金</w:t>
      </w:r>
      <w:r w:rsidRPr="00453203">
        <w:rPr>
          <w:rFonts w:asciiTheme="minorEastAsia" w:eastAsiaTheme="minorEastAsia" w:hAnsiTheme="minorEastAsia"/>
          <w:szCs w:val="21"/>
        </w:rPr>
        <w:t>份额</w:t>
      </w:r>
      <w:r w:rsidRPr="00453203">
        <w:rPr>
          <w:rFonts w:asciiTheme="minorEastAsia" w:eastAsiaTheme="minorEastAsia" w:hAnsiTheme="minorEastAsia" w:hint="eastAsia"/>
          <w:szCs w:val="21"/>
        </w:rPr>
        <w:t>持有人大会并对目标ETF基金份额持有人大会审议事项行使表决权；</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（7）</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查阅或者复制公开披露的基金信息资料；</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（8）</w:t>
      </w:r>
      <w:r w:rsidRPr="00453203">
        <w:rPr>
          <w:rFonts w:asciiTheme="minorEastAsia" w:eastAsiaTheme="minorEastAsia" w:hAnsiTheme="minorEastAsia" w:hint="eastAsia"/>
          <w:szCs w:val="21"/>
        </w:rPr>
        <w:tab/>
      </w:r>
      <w:r w:rsidRPr="00453203">
        <w:rPr>
          <w:rFonts w:asciiTheme="minorEastAsia" w:eastAsiaTheme="minorEastAsia" w:hAnsiTheme="minorEastAsia"/>
          <w:szCs w:val="21"/>
        </w:rPr>
        <w:t>监督基金管理人的投资运作</w:t>
      </w:r>
      <w:r w:rsidRPr="00453203">
        <w:rPr>
          <w:rFonts w:asciiTheme="minorEastAsia" w:eastAsiaTheme="minorEastAsia" w:hAnsiTheme="minorEastAsia" w:hint="eastAsia"/>
          <w:szCs w:val="21"/>
        </w:rPr>
        <w:t>；</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（9）</w:t>
      </w:r>
      <w:r w:rsidRPr="00453203">
        <w:rPr>
          <w:rFonts w:asciiTheme="minorEastAsia" w:eastAsiaTheme="minorEastAsia" w:hAnsiTheme="minorEastAsia" w:hint="eastAsia"/>
          <w:szCs w:val="21"/>
        </w:rPr>
        <w:tab/>
        <w:t>对基金管理人、基金托管人、基金代销机构损害其合法权益的行为依法提起诉讼；</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（10）</w:t>
      </w:r>
      <w:r w:rsidRPr="00453203">
        <w:rPr>
          <w:rFonts w:asciiTheme="minorEastAsia" w:eastAsiaTheme="minorEastAsia" w:hAnsiTheme="minorEastAsia" w:hint="eastAsia"/>
          <w:szCs w:val="21"/>
        </w:rPr>
        <w:tab/>
        <w:t>法律法规和《基金合同》规定的其他权利。</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2、根据《基金法》、《运作办法》及其他有关规定，基金份额持有人的义务包括但不限于：</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w:t>
      </w:r>
      <w:r w:rsidRPr="00453203">
        <w:rPr>
          <w:rFonts w:asciiTheme="minorEastAsia" w:eastAsiaTheme="minorEastAsia" w:hAnsiTheme="minorEastAsia" w:hint="eastAsia"/>
          <w:szCs w:val="21"/>
        </w:rPr>
        <w:tab/>
        <w:t>遵守《基金合同》；</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w:t>
      </w:r>
      <w:r w:rsidRPr="00453203">
        <w:rPr>
          <w:rFonts w:asciiTheme="minorEastAsia" w:eastAsiaTheme="minorEastAsia" w:hAnsiTheme="minorEastAsia" w:hint="eastAsia"/>
          <w:szCs w:val="21"/>
        </w:rPr>
        <w:tab/>
        <w:t>缴纳基金认购、申购、赎回款项及法律法规和《基金合同》所规定的费用；</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w:t>
      </w:r>
      <w:r w:rsidRPr="00453203">
        <w:rPr>
          <w:rFonts w:asciiTheme="minorEastAsia" w:eastAsiaTheme="minorEastAsia" w:hAnsiTheme="minorEastAsia" w:hint="eastAsia"/>
          <w:szCs w:val="21"/>
        </w:rPr>
        <w:tab/>
        <w:t>在其持有的基金份额范围内，承担基金亏损或者《基金合同》终止的有限责任；</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w:t>
      </w:r>
      <w:r w:rsidRPr="00453203">
        <w:rPr>
          <w:rFonts w:asciiTheme="minorEastAsia" w:eastAsiaTheme="minorEastAsia" w:hAnsiTheme="minorEastAsia" w:hint="eastAsia"/>
          <w:szCs w:val="21"/>
        </w:rPr>
        <w:tab/>
        <w:t>不从事任何有损基金及其他《基金合同》当事人</w:t>
      </w:r>
      <w:r w:rsidRPr="00453203">
        <w:rPr>
          <w:rFonts w:asciiTheme="minorEastAsia" w:eastAsiaTheme="minorEastAsia" w:hAnsiTheme="minorEastAsia"/>
          <w:szCs w:val="21"/>
        </w:rPr>
        <w:t>合法权益</w:t>
      </w:r>
      <w:r w:rsidRPr="00453203">
        <w:rPr>
          <w:rFonts w:asciiTheme="minorEastAsia" w:eastAsiaTheme="minorEastAsia" w:hAnsiTheme="minorEastAsia" w:hint="eastAsia"/>
          <w:szCs w:val="21"/>
        </w:rPr>
        <w:t>的活动；</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（5）</w:t>
      </w:r>
      <w:r w:rsidRPr="00453203">
        <w:rPr>
          <w:rFonts w:asciiTheme="minorEastAsia" w:eastAsiaTheme="minorEastAsia" w:hAnsiTheme="minorEastAsia" w:hint="eastAsia"/>
          <w:szCs w:val="21"/>
        </w:rPr>
        <w:tab/>
        <w:t>返还在基金交易过程中因任何原因，自基金管理人、基金托管人及代销机构处获得的不当得利；</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（6）执行生效的基金份额持有人大会的决议；</w:t>
      </w:r>
    </w:p>
    <w:p w:rsidR="00B76A8F" w:rsidRPr="00453203" w:rsidRDefault="00B76A8F"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（7）</w:t>
      </w:r>
      <w:r w:rsidRPr="00453203">
        <w:rPr>
          <w:rFonts w:asciiTheme="minorEastAsia" w:eastAsiaTheme="minorEastAsia" w:hAnsiTheme="minorEastAsia"/>
          <w:szCs w:val="21"/>
        </w:rPr>
        <w:tab/>
        <w:t>法律法规</w:t>
      </w:r>
      <w:r w:rsidRPr="00453203">
        <w:rPr>
          <w:rFonts w:asciiTheme="minorEastAsia" w:eastAsiaTheme="minorEastAsia" w:hAnsiTheme="minorEastAsia" w:hint="eastAsia"/>
          <w:szCs w:val="21"/>
        </w:rPr>
        <w:t>及中国证监会规定的</w:t>
      </w:r>
      <w:r w:rsidRPr="00453203">
        <w:rPr>
          <w:rFonts w:asciiTheme="minorEastAsia" w:eastAsiaTheme="minorEastAsia" w:hAnsiTheme="minorEastAsia"/>
          <w:szCs w:val="21"/>
        </w:rPr>
        <w:t>和《基金合同》</w:t>
      </w:r>
      <w:r w:rsidRPr="00453203">
        <w:rPr>
          <w:rFonts w:asciiTheme="minorEastAsia" w:eastAsiaTheme="minorEastAsia" w:hAnsiTheme="minorEastAsia" w:hint="eastAsia"/>
          <w:szCs w:val="21"/>
        </w:rPr>
        <w:t>约</w:t>
      </w:r>
      <w:r w:rsidRPr="00453203">
        <w:rPr>
          <w:rFonts w:asciiTheme="minorEastAsia" w:eastAsiaTheme="minorEastAsia" w:hAnsiTheme="minorEastAsia"/>
          <w:szCs w:val="21"/>
        </w:rPr>
        <w:t>定的其他义务。</w:t>
      </w:r>
    </w:p>
    <w:p w:rsidR="00264AE6"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228" w:name="_Toc238870140"/>
      <w:r w:rsidRPr="00453203">
        <w:rPr>
          <w:rFonts w:asciiTheme="minorEastAsia" w:eastAsiaTheme="minorEastAsia" w:hAnsiTheme="minorEastAsia" w:hint="eastAsia"/>
          <w:szCs w:val="21"/>
        </w:rPr>
        <w:t>（</w:t>
      </w:r>
      <w:r w:rsidR="005433FC" w:rsidRPr="00453203">
        <w:rPr>
          <w:rFonts w:asciiTheme="minorEastAsia" w:eastAsiaTheme="minorEastAsia" w:hAnsiTheme="minorEastAsia" w:hint="eastAsia"/>
          <w:szCs w:val="21"/>
        </w:rPr>
        <w:t>四</w:t>
      </w:r>
      <w:r w:rsidRPr="00453203">
        <w:rPr>
          <w:rFonts w:asciiTheme="minorEastAsia" w:eastAsiaTheme="minorEastAsia" w:hAnsiTheme="minorEastAsia" w:hint="eastAsia"/>
          <w:szCs w:val="21"/>
        </w:rPr>
        <w:t>）基金份额持有人大会</w:t>
      </w:r>
      <w:bookmarkEnd w:id="228"/>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1、基金份额持有人大会由基金份额持有人组成，基金份额持有人或其合法授权代表有权在授权范围内代表基金份额持有人行使权利。基金份额持有人持有的每一基金份额拥有平等的投票权。</w:t>
      </w:r>
    </w:p>
    <w:p w:rsidR="00D779B2" w:rsidRPr="00453203" w:rsidRDefault="00D779B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鉴于本基金是目标</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的联接基金，本基金的基金份额持有人可以凭所持有的本基金份额出席或者委派代表出席目标</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的基金份额持有人大会并参与表决，其持有的享有表决权的基金份额数和表决票数为：在目标</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基金份额持有人大会的权益登记日，本基金持有目标</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份额的总数乘以该基金份额持有人所持有的本基金份额占本基金总份额的比例。计算结果按照四舍五入的方法，保留到整数位。</w:t>
      </w:r>
    </w:p>
    <w:p w:rsidR="00D779B2" w:rsidRPr="00453203" w:rsidRDefault="00D779B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本基金的基金管理人不应以本基金的名义代表本基金的全体基金份额持有人以目标</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的基金份额持有人的身份行使表决权，但可接受本基金的特定基金份额持有人的委托以本基金的基金份额持有人代理人的身份出席目标</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的基金份额持有人大会并参与表决。</w:t>
      </w:r>
    </w:p>
    <w:p w:rsidR="00D779B2" w:rsidRPr="00453203" w:rsidRDefault="00D779B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本基金的基金管理人代表本基金的基金份额持有人提议召开或召集目标</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基金份额持有人大会的，须先遵照本基金《基金合同》的约定召开本基金的基金份额持有人大会。本基金的基金份额持有人大会决定提议召开或召集目标</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基金份额持有人大会的，由本基金基金管理人代表本基金的基金份额持有人提议召开或召集目标</w:t>
      </w:r>
      <w:r w:rsidRPr="00453203">
        <w:rPr>
          <w:rFonts w:asciiTheme="minorEastAsia" w:eastAsiaTheme="minorEastAsia" w:hAnsiTheme="minorEastAsia"/>
          <w:szCs w:val="21"/>
        </w:rPr>
        <w:t>ETF</w:t>
      </w:r>
      <w:r w:rsidRPr="00453203">
        <w:rPr>
          <w:rFonts w:asciiTheme="minorEastAsia" w:eastAsiaTheme="minorEastAsia" w:hAnsiTheme="minorEastAsia" w:hint="eastAsia"/>
          <w:szCs w:val="21"/>
        </w:rPr>
        <w:t>基金份额持有人大会。</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2、当出现或需要决定下列事由之一的，应当召开基金份额持有人大会：</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（1）终止《基金合同》；</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（2）更换基金管理人；</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（3）更换基金托管人；</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（4）转换基金运作方式；</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（5）提高基金管理人、基金托管人的报酬标准，但根据法律法规的要求提高该等报酬标准的除外；</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（6）变更基金类别；</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（7）本基金与其他基金的合并；</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（8）变更基金投资目标、范围或策略（法律法规和中国证监会另有规定的除外）；</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（9）变更基金份额持有人大会程序；</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（10）基金管理人或基金托管人要求召开基金份额持有人大会；</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（11）基金管理人代表本基金的基金份额持有人提议召开或召集目标ETF基金份额持有人大会；</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（12）单独或合计持有本基金总份额10％以上（含10％）基金份额的基金份额持有人（以基金管理人收到提议当日的基金份额计算，下同）就同一事项书面要求召开基金份额持有人大会；</w:t>
      </w:r>
    </w:p>
    <w:p w:rsidR="00B76A8F" w:rsidRPr="00453203" w:rsidRDefault="00B76A8F"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（13）对基金当事人权利和义务产生重大影响的其他事项；</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（14）法律法规、《基金合同》或中国证监会规定的其他应当召开基金份额持有人大会的事项。</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3、以下情况可由基金管理人和基金托管人协商后修改，不需召开基金份额持有人大会：</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（1）调低基金管理费、基金托管费</w:t>
      </w:r>
      <w:r w:rsidR="006E3154" w:rsidRPr="00453203">
        <w:rPr>
          <w:rFonts w:asciiTheme="minorEastAsia" w:eastAsiaTheme="minorEastAsia" w:hAnsiTheme="minorEastAsia" w:hint="eastAsia"/>
          <w:szCs w:val="21"/>
        </w:rPr>
        <w:t>或销售服务费率</w:t>
      </w:r>
      <w:r w:rsidRPr="00453203">
        <w:rPr>
          <w:rFonts w:asciiTheme="minorEastAsia" w:eastAsiaTheme="minorEastAsia" w:hAnsiTheme="minorEastAsia" w:hint="eastAsia"/>
          <w:szCs w:val="21"/>
        </w:rPr>
        <w:t>；</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（2）法律法规要求增加的基金费用的收取；</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（3）在法律法规和《基金合同》规定的范围内变更收费方式，或调整本基金的申购费率、调低赎回费率</w:t>
      </w:r>
      <w:r w:rsidR="006E3154" w:rsidRPr="00453203">
        <w:rPr>
          <w:rFonts w:asciiTheme="minorEastAsia" w:eastAsiaTheme="minorEastAsia" w:hAnsiTheme="minorEastAsia" w:hint="eastAsia"/>
          <w:szCs w:val="21"/>
        </w:rPr>
        <w:t>、调整基金份额类别</w:t>
      </w:r>
      <w:r w:rsidRPr="00453203">
        <w:rPr>
          <w:rFonts w:asciiTheme="minorEastAsia" w:eastAsiaTheme="minorEastAsia" w:hAnsiTheme="minorEastAsia" w:hint="eastAsia"/>
          <w:szCs w:val="21"/>
        </w:rPr>
        <w:t>；</w:t>
      </w:r>
    </w:p>
    <w:p w:rsidR="00B76A8F" w:rsidRPr="00453203" w:rsidRDefault="00B76A8F"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（4）因相应的法律法规发生变动而应当对《基金合同》进行修改；</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（5）对《基金合同》的修改对基金份额持有人利益无实质性不利影响或修改不涉及《基金合同》当事人权利义务关系发生变化；</w:t>
      </w:r>
    </w:p>
    <w:p w:rsidR="00B76A8F" w:rsidRPr="00453203" w:rsidRDefault="00B76A8F"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（6）经中国证监会允许，基金推出新业务或服务；</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（7）经中国证监会允许，基金管理人、基金注册登记机构、基金代销机构在法律法规规定的范围内调整有关基金交易、非交易过户、转托管等业务规则；</w:t>
      </w:r>
    </w:p>
    <w:p w:rsidR="00B76A8F" w:rsidRPr="00453203" w:rsidRDefault="00B76A8F"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（8）除按照法律法规和《基金合同》规定应当召开基金份额持有人大会的以外的其他情形。</w:t>
      </w:r>
    </w:p>
    <w:p w:rsidR="00B76A8F" w:rsidRPr="00453203" w:rsidRDefault="00650F50"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4、会议召集人及召集方式</w:t>
      </w:r>
    </w:p>
    <w:p w:rsidR="00650F50" w:rsidRPr="00453203" w:rsidRDefault="00650F5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（1）除法律法规规定或《基金合同》另有约定外，基金份额持有人大会由基金管理人召集；</w:t>
      </w:r>
    </w:p>
    <w:p w:rsidR="00650F50" w:rsidRPr="00453203" w:rsidRDefault="00650F50"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（2）基金管理人未按规定召集或不能召集时，由基金托管人召集；</w:t>
      </w:r>
    </w:p>
    <w:p w:rsidR="00650F50" w:rsidRPr="00453203" w:rsidRDefault="00650F5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650F50" w:rsidRPr="00453203" w:rsidRDefault="00650F5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w:t>
      </w:r>
      <w:r w:rsidRPr="00453203">
        <w:rPr>
          <w:rFonts w:asciiTheme="minorEastAsia" w:eastAsiaTheme="minorEastAsia" w:hAnsiTheme="minorEastAsia" w:hint="eastAsia"/>
          <w:szCs w:val="21"/>
        </w:rPr>
        <w:lastRenderedPageBreak/>
        <w:t>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650F50" w:rsidRPr="00453203" w:rsidRDefault="00650F5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50F50" w:rsidRPr="00453203" w:rsidRDefault="00650F50"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（6）基金份额持有人会议的召集人负责选择确定开会时间、地点、方式和权益登记日。</w:t>
      </w:r>
    </w:p>
    <w:p w:rsidR="000F289B" w:rsidRPr="00453203" w:rsidRDefault="000F289B"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5、会议通知</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（1）召开基金份额持有人大会，召集人应于会议召开前40天，在至少一家</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公告。基金份额持有人大会通知应至少载明以下内容：</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0F289B" w:rsidRPr="00453203">
        <w:rPr>
          <w:rFonts w:asciiTheme="minorEastAsia" w:eastAsiaTheme="minorEastAsia" w:hAnsiTheme="minorEastAsia" w:hint="eastAsia"/>
          <w:szCs w:val="21"/>
        </w:rPr>
        <w:t>会议召开的时间、地点、方式和会议形式；</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0F289B" w:rsidRPr="00453203">
        <w:rPr>
          <w:rFonts w:asciiTheme="minorEastAsia" w:eastAsiaTheme="minorEastAsia" w:hAnsiTheme="minorEastAsia" w:hint="eastAsia"/>
          <w:szCs w:val="21"/>
        </w:rPr>
        <w:t>会议拟审议的事项、议事程序和表决形式；</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w:t>
      </w:r>
      <w:r w:rsidR="000F289B" w:rsidRPr="00453203">
        <w:rPr>
          <w:rFonts w:asciiTheme="minorEastAsia" w:eastAsiaTheme="minorEastAsia" w:hAnsiTheme="minorEastAsia" w:hint="eastAsia"/>
          <w:szCs w:val="21"/>
        </w:rPr>
        <w:t>有权出席基金份额持有人大会的基金份额持有人的权益登记日；</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w:t>
      </w:r>
      <w:r w:rsidR="000F289B" w:rsidRPr="00453203">
        <w:rPr>
          <w:rFonts w:asciiTheme="minorEastAsia" w:eastAsiaTheme="minorEastAsia" w:hAnsiTheme="minorEastAsia" w:hint="eastAsia"/>
          <w:szCs w:val="21"/>
        </w:rPr>
        <w:t>授权委托书的内容要求（包括但不限于代理人身份，代理权限和代理有效期限等）、送达时间和地点；</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w:t>
      </w:r>
      <w:r w:rsidR="000F289B" w:rsidRPr="00453203">
        <w:rPr>
          <w:rFonts w:asciiTheme="minorEastAsia" w:eastAsiaTheme="minorEastAsia" w:hAnsiTheme="minorEastAsia" w:hint="eastAsia"/>
          <w:szCs w:val="21"/>
        </w:rPr>
        <w:t>会务常设联系人姓名及联系电话；</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w:t>
      </w:r>
      <w:r w:rsidR="000F289B" w:rsidRPr="00453203">
        <w:rPr>
          <w:rFonts w:asciiTheme="minorEastAsia" w:eastAsiaTheme="minorEastAsia" w:hAnsiTheme="minorEastAsia" w:hint="eastAsia"/>
          <w:szCs w:val="21"/>
        </w:rPr>
        <w:t>出席会议者必须准备的文件和必须履行的手续；</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w:t>
      </w:r>
      <w:r w:rsidR="000F289B" w:rsidRPr="00453203">
        <w:rPr>
          <w:rFonts w:asciiTheme="minorEastAsia" w:eastAsiaTheme="minorEastAsia" w:hAnsiTheme="minorEastAsia" w:hint="eastAsia"/>
          <w:szCs w:val="21"/>
        </w:rPr>
        <w:t>召集人需要通知的其他事项。</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采取通讯开会方式并进行表决的情况下，由会议召集人决定通讯方式和书面表决方式，并在会议通知中说明本次基金份额持有人大会所采取的具体通讯方式、委托的公证机关及其联系方式和联系人、书面表决意见提交的截止时间和收取方式。</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效力。</w:t>
      </w:r>
    </w:p>
    <w:p w:rsidR="000F289B" w:rsidRPr="00453203" w:rsidRDefault="000F289B"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6、基金份额持有人出席</w:t>
      </w:r>
      <w:r w:rsidRPr="00453203">
        <w:rPr>
          <w:rFonts w:asciiTheme="minorEastAsia" w:eastAsiaTheme="minorEastAsia" w:hAnsiTheme="minorEastAsia"/>
          <w:szCs w:val="21"/>
        </w:rPr>
        <w:t>会议</w:t>
      </w:r>
      <w:r w:rsidRPr="00453203">
        <w:rPr>
          <w:rFonts w:asciiTheme="minorEastAsia" w:eastAsiaTheme="minorEastAsia" w:hAnsiTheme="minorEastAsia" w:hint="eastAsia"/>
          <w:szCs w:val="21"/>
        </w:rPr>
        <w:t>的</w:t>
      </w:r>
      <w:r w:rsidRPr="00453203">
        <w:rPr>
          <w:rFonts w:asciiTheme="minorEastAsia" w:eastAsiaTheme="minorEastAsia" w:hAnsiTheme="minorEastAsia"/>
          <w:szCs w:val="21"/>
        </w:rPr>
        <w:t>方式</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基金份额持有人大会可通过现场开会方式、通讯开会方式或法律法规和监管机关允许的其他方式召开。</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会议的召开方式由会议召集人确定，但更换基金管理人和基金托管人必须以现场开会</w:t>
      </w:r>
      <w:r w:rsidRPr="00453203">
        <w:rPr>
          <w:rFonts w:asciiTheme="minorEastAsia" w:eastAsiaTheme="minorEastAsia" w:hAnsiTheme="minorEastAsia" w:hint="eastAsia"/>
          <w:szCs w:val="21"/>
        </w:rPr>
        <w:lastRenderedPageBreak/>
        <w:t>方式召开。</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0F289B" w:rsidRPr="00453203">
        <w:rPr>
          <w:rFonts w:asciiTheme="minorEastAsia" w:eastAsiaTheme="minorEastAsia" w:hAnsiTheme="minorEastAsia" w:hint="eastAsia"/>
          <w:szCs w:val="21"/>
        </w:rPr>
        <w:t>亲自出席会议者出具的身份证明及持有基金份额的凭证、受托出席会议者出具的身份证明、委托人持有基金份额的凭证及委托人的代理投票授权委托书符合法律法规、《基金合同》和会议通知的规定，并且持有基金份额的凭证与基金注册登记机构提供的的登记资料相符；</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0F289B" w:rsidRPr="00453203">
        <w:rPr>
          <w:rFonts w:asciiTheme="minorEastAsia" w:eastAsiaTheme="minorEastAsia" w:hAnsiTheme="minorEastAsia" w:hint="eastAsia"/>
          <w:szCs w:val="21"/>
        </w:rPr>
        <w:t>经核对，汇总到会者出示的在权益登记日持有基金份额的凭证显示，有效的基金份额不少于本基金在权益登记日基金总份额的50%（含50%）。</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（2）通讯开会。通讯开会系指基金份额持有人将其对表决事项的投票以书面形式在表决截至日以前送达至召集人指定的地址。通讯开会应以书面方式或基金管理人规定的其他方式进行表决。</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在同时符合以下条件时，通讯开会的方式视为有效：</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0F289B" w:rsidRPr="00453203">
        <w:rPr>
          <w:rFonts w:asciiTheme="minorEastAsia" w:eastAsiaTheme="minorEastAsia" w:hAnsiTheme="minorEastAsia" w:hint="eastAsia"/>
          <w:szCs w:val="21"/>
        </w:rPr>
        <w:t>会议召集人按《基金合同》规定公布会议通知后，在2个工作日内连续公布相关提示性公告；</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0F289B" w:rsidRPr="00453203">
        <w:rPr>
          <w:rFonts w:asciiTheme="minorEastAsia" w:eastAsiaTheme="minorEastAsia" w:hAnsiTheme="minorEastAsia" w:hint="eastAsia"/>
          <w:szCs w:val="21"/>
        </w:rPr>
        <w:t>召集人按基金合同规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w:t>
      </w:r>
      <w:r w:rsidR="000F289B" w:rsidRPr="00453203">
        <w:rPr>
          <w:rFonts w:asciiTheme="minorEastAsia" w:eastAsiaTheme="minorEastAsia" w:hAnsiTheme="minorEastAsia" w:hint="eastAsia"/>
          <w:szCs w:val="21"/>
        </w:rPr>
        <w:t>本人直接出具书面表决意见或授权他人代表出具书面表决意见的，基金份额持有人所持有的基金份额不小于在权益登记日基金总份额的50%（含50%）；</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w:t>
      </w:r>
      <w:r w:rsidR="000F289B" w:rsidRPr="00453203">
        <w:rPr>
          <w:rFonts w:asciiTheme="minorEastAsia" w:eastAsiaTheme="minorEastAsia" w:hAnsiTheme="minorEastAsia" w:hint="eastAsia"/>
          <w:szCs w:val="21"/>
        </w:rPr>
        <w:t>上述第</w:t>
      </w:r>
      <w:r w:rsidRPr="00453203">
        <w:rPr>
          <w:rFonts w:asciiTheme="minorEastAsia" w:eastAsiaTheme="minorEastAsia" w:hAnsiTheme="minorEastAsia" w:hint="eastAsia"/>
          <w:szCs w:val="21"/>
        </w:rPr>
        <w:t>3）</w:t>
      </w:r>
      <w:r w:rsidR="000F289B" w:rsidRPr="00453203">
        <w:rPr>
          <w:rFonts w:asciiTheme="minorEastAsia" w:eastAsiaTheme="minorEastAsia" w:hAnsiTheme="minorEastAsia" w:hint="eastAsia"/>
          <w:szCs w:val="21"/>
        </w:rPr>
        <w:t>项中直接出具书面表决意见的基金份额持有人或受托代表他人出具书面表决意见的代理人，同时提交的身份证明、持有基金份额的凭证、受托出具书面表决意见的代理人出具的身份证明、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w:t>
      </w:r>
      <w:r w:rsidR="000F289B" w:rsidRPr="00453203">
        <w:rPr>
          <w:rFonts w:asciiTheme="minorEastAsia" w:eastAsiaTheme="minorEastAsia" w:hAnsiTheme="minorEastAsia" w:hint="eastAsia"/>
          <w:szCs w:val="21"/>
        </w:rPr>
        <w:t>会议通知公布前报中国证监会备案。</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w:t>
      </w:r>
      <w:r w:rsidRPr="00453203">
        <w:rPr>
          <w:rFonts w:asciiTheme="minorEastAsia" w:eastAsiaTheme="minorEastAsia" w:hAnsiTheme="minorEastAsia" w:hint="eastAsia"/>
          <w:szCs w:val="21"/>
        </w:rPr>
        <w:lastRenderedPageBreak/>
        <w:t>表决，但应当计入出具书面表决意见的基金份额持有人所代表的基金份额总数。</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（3）在法律法规和监管机关允许的情况下，本基金亦可采用网络、电话等其他非现场方式由基金份额持有人对其代表进行授权或召开基金份额持有人大会，会议程序比照现场开会或通讯开会。</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7、议事内容与程序</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（1）议事内容及提案权</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基金份额持有人大会的召集人发出召集会议的通知后，对原有提案的修改应当在基金份额持有人大会召开日30天前公告。</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基金份额持有人大会不得对未事先公告的议事内容进行表决。</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召集人对于基金管理人、基金托管人和基金份额持有人提交的临时提案进行审核，符合条件的应当在大会召开日30天前公告。大会召集人应当按照以下原则对提案进行审核：</w:t>
      </w:r>
    </w:p>
    <w:p w:rsidR="000F289B" w:rsidRPr="00453203" w:rsidRDefault="0032033A"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0F289B" w:rsidRPr="00453203">
        <w:rPr>
          <w:rFonts w:asciiTheme="minorEastAsia" w:eastAsiaTheme="minorEastAsia" w:hAnsiTheme="minorEastAsia" w:hint="eastAsia"/>
          <w:szCs w:val="21"/>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0F289B" w:rsidRPr="00453203" w:rsidRDefault="00304A3C"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0F289B" w:rsidRPr="00453203">
        <w:rPr>
          <w:rFonts w:asciiTheme="minorEastAsia" w:eastAsiaTheme="minorEastAsia" w:hAnsiTheme="minorEastAsia" w:hint="eastAsia"/>
          <w:szCs w:val="21"/>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（2）议事程序</w:t>
      </w:r>
    </w:p>
    <w:p w:rsidR="000F289B" w:rsidRPr="00453203" w:rsidRDefault="00304A3C"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1）</w:t>
      </w:r>
      <w:r w:rsidR="000F289B" w:rsidRPr="00453203">
        <w:rPr>
          <w:rFonts w:asciiTheme="minorEastAsia" w:eastAsiaTheme="minorEastAsia" w:hAnsiTheme="minorEastAsia" w:hint="eastAsia"/>
          <w:szCs w:val="21"/>
        </w:rPr>
        <w:t>现场开会</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会议召集人应当制作出席会议人员的签名册。签名册载明参加会议人员姓名（或单位名称）、身份证号码、住所地址、持有或代表有表决权的基金份额、委托人姓名（或单位名称）等事项。</w:t>
      </w:r>
    </w:p>
    <w:p w:rsidR="000F289B" w:rsidRPr="00453203" w:rsidRDefault="00304A3C"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0F289B" w:rsidRPr="00453203">
        <w:rPr>
          <w:rFonts w:asciiTheme="minorEastAsia" w:eastAsiaTheme="minorEastAsia" w:hAnsiTheme="minorEastAsia" w:hint="eastAsia"/>
          <w:szCs w:val="21"/>
        </w:rPr>
        <w:t>通讯开会</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在通讯开会的情况下，首先由召集人提前30日公布提案，在所通知的表决截止日期后2个工作日内在公证机关监督下由召集人统计全部有效表决，在公证机关监督下形成决议。</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8、表决</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基金份额持有人所持每份基金份额有一票表决权。</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基金份额持有人大会决议分为一般决议和特别决议：</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（1）一般决议，一般决议须经参加大会的基金份额持有人或其代理人所持表决权的50%以上（含50%）通过方为有效；除下列第2项所规定的须以特别决议通过事项以外的其他事项均以一般决议的方式通过。</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基金份额持有人大会采取记名方式进行投票表决。</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表决意见的基金份额持有人所代表的基金份额总数。</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基金份额持有人大会的各项提案或同一项提案内并列的各项议题应当分开审议、逐项表决。</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9、计票</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（1）现场开会</w:t>
      </w:r>
    </w:p>
    <w:p w:rsidR="000F289B" w:rsidRPr="00453203" w:rsidRDefault="00304A3C"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0F289B" w:rsidRPr="00453203">
        <w:rPr>
          <w:rFonts w:asciiTheme="minorEastAsia" w:eastAsiaTheme="minorEastAsia" w:hAnsiTheme="minorEastAsia" w:hint="eastAsia"/>
          <w:szCs w:val="21"/>
        </w:rPr>
        <w:t>如大会由基金管理人或基金托管人召集，基金份额持有人大会的主持人应当在会议</w:t>
      </w:r>
      <w:r w:rsidR="000F289B" w:rsidRPr="00453203">
        <w:rPr>
          <w:rFonts w:asciiTheme="minorEastAsia" w:eastAsiaTheme="minorEastAsia" w:hAnsiTheme="minorEastAsia" w:hint="eastAsia"/>
          <w:szCs w:val="21"/>
        </w:rPr>
        <w:lastRenderedPageBreak/>
        <w:t>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F289B" w:rsidRPr="00453203" w:rsidRDefault="00304A3C"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0F289B" w:rsidRPr="00453203">
        <w:rPr>
          <w:rFonts w:asciiTheme="minorEastAsia" w:eastAsiaTheme="minorEastAsia" w:hAnsiTheme="minorEastAsia" w:hint="eastAsia"/>
          <w:szCs w:val="21"/>
        </w:rPr>
        <w:t>监票人应当在基金份额持有人表决后立即进行清点并由大会主持人当场公布计票结果。</w:t>
      </w:r>
    </w:p>
    <w:p w:rsidR="000F289B" w:rsidRPr="00453203" w:rsidRDefault="00304A3C"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w:t>
      </w:r>
      <w:r w:rsidR="000F289B" w:rsidRPr="00453203">
        <w:rPr>
          <w:rFonts w:asciiTheme="minorEastAsia" w:eastAsiaTheme="minorEastAsia" w:hAnsiTheme="minorEastAsia" w:hint="eastAsia"/>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F289B" w:rsidRPr="00453203" w:rsidRDefault="00304A3C"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w:t>
      </w:r>
      <w:r w:rsidR="000F289B" w:rsidRPr="00453203">
        <w:rPr>
          <w:rFonts w:asciiTheme="minorEastAsia" w:eastAsiaTheme="minorEastAsia" w:hAnsiTheme="minorEastAsia" w:hint="eastAsia"/>
          <w:szCs w:val="21"/>
        </w:rPr>
        <w:t>计票过程应由公证机关予以公证，基金管理人或基金托管人拒不出席大会的，不影响计票的效力。</w:t>
      </w:r>
    </w:p>
    <w:p w:rsidR="000F289B" w:rsidRPr="00453203" w:rsidRDefault="000F289B"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（2）通讯开会</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0F289B" w:rsidRPr="00453203" w:rsidRDefault="000F289B"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10、生效与公告</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基金份额持有人大会的决议，召集人应当自通过之日起5日内报中国证监会核准或者备案。</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基金份额持有人大会的决议自中国证监会依法核准或者出具无异议意见之日起生效。</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基金份额持有人大会决议自生效之日起2日内在至少一家</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上公告。如果采用通讯方式进行表决，在公告基金份额持有人大会决议时，必须将公证书全文、公证机构、公证员姓名等一同公告。</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基金管理人、基金托管人和基金份额持有人应当执行生效的基金份额持有人大会的决议。</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生效的基金份额持有人大会决议对全体基金份额持有人、基金管理人、基金托管人均有约束力。</w:t>
      </w:r>
    </w:p>
    <w:p w:rsidR="00384DAC" w:rsidRPr="00453203" w:rsidRDefault="00266A27" w:rsidP="00173B3E">
      <w:pPr>
        <w:snapToGrid w:val="0"/>
        <w:spacing w:line="360" w:lineRule="auto"/>
        <w:ind w:firstLineChars="200" w:firstLine="420"/>
        <w:rPr>
          <w:rFonts w:asciiTheme="minorEastAsia" w:eastAsiaTheme="minorEastAsia" w:hAnsiTheme="minorEastAsia"/>
          <w:szCs w:val="21"/>
        </w:rPr>
      </w:pPr>
      <w:bookmarkStart w:id="229" w:name="_Toc238870141"/>
      <w:r w:rsidRPr="00453203">
        <w:rPr>
          <w:rFonts w:asciiTheme="minorEastAsia" w:eastAsiaTheme="minorEastAsia" w:hAnsiTheme="minorEastAsia" w:hint="eastAsia"/>
          <w:szCs w:val="21"/>
        </w:rPr>
        <w:t>（</w:t>
      </w:r>
      <w:r w:rsidR="005433FC" w:rsidRPr="00453203">
        <w:rPr>
          <w:rFonts w:asciiTheme="minorEastAsia" w:eastAsiaTheme="minorEastAsia" w:hAnsiTheme="minorEastAsia" w:hint="eastAsia"/>
          <w:szCs w:val="21"/>
        </w:rPr>
        <w:t>五</w:t>
      </w:r>
      <w:r w:rsidRPr="00453203">
        <w:rPr>
          <w:rFonts w:asciiTheme="minorEastAsia" w:eastAsiaTheme="minorEastAsia" w:hAnsiTheme="minorEastAsia" w:hint="eastAsia"/>
          <w:szCs w:val="21"/>
        </w:rPr>
        <w:t>）基金合同的变更</w:t>
      </w:r>
      <w:bookmarkEnd w:id="229"/>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1、按照法律法规或《基金合同》的规定，对《基金合同》的变更应当召开基金份额持有人大会的，《基金合同》变更的内容应经基金份额持有人大会决议通过，并依法报中国证监会核准。</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2、上述对《基金合同》的变更事项自中国证监会核准之日起生效,自《基金合同》生</w:t>
      </w:r>
      <w:r w:rsidRPr="00453203">
        <w:rPr>
          <w:rFonts w:asciiTheme="minorEastAsia" w:eastAsiaTheme="minorEastAsia" w:hAnsiTheme="minorEastAsia" w:hint="eastAsia"/>
          <w:szCs w:val="21"/>
        </w:rPr>
        <w:lastRenderedPageBreak/>
        <w:t>效之日起在至少一家</w:t>
      </w:r>
      <w:r w:rsidR="0009600D" w:rsidRPr="00453203">
        <w:rPr>
          <w:rFonts w:asciiTheme="minorEastAsia" w:eastAsiaTheme="minorEastAsia" w:hAnsiTheme="minorEastAsia" w:hint="eastAsia"/>
          <w:szCs w:val="21"/>
        </w:rPr>
        <w:t>指定媒介</w:t>
      </w:r>
      <w:r w:rsidRPr="00453203">
        <w:rPr>
          <w:rFonts w:asciiTheme="minorEastAsia" w:eastAsiaTheme="minorEastAsia" w:hAnsiTheme="minorEastAsia" w:hint="eastAsia"/>
          <w:szCs w:val="21"/>
        </w:rPr>
        <w:t>公告。</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3、但出现下列情况时，可不经基金份额持有人大会决议，由基金管理人和基金托管人同意后变更并公告，并报中国证监会备案：</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（1）调低基金管理费、基金托管费；</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（2）法律法规要求增加的基金费用的收取；</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（3）在法律法规和《基金合同》规定的范围内变更收费方式，或调整本基金的申购费率、调低赎回费率；</w:t>
      </w:r>
    </w:p>
    <w:p w:rsidR="000F289B" w:rsidRPr="00453203" w:rsidRDefault="000F289B"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（4）因相应的法律法规发生变动而应当对《基金合同》进行修改；</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（5）对《基金合同》的修改对基金份额持有人利益无实质性不利影响或修改不涉及《基金合同》当事人权利义务关系发生变化；</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（6）除按照法律法规和《基金合同》规定应当召开基金份额持有人大会的以外的其他情形。</w:t>
      </w:r>
    </w:p>
    <w:p w:rsidR="000F289B" w:rsidRPr="00453203" w:rsidRDefault="000F289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4、法律法规对《基金合同》变更另有规定的，从其规定。</w:t>
      </w:r>
    </w:p>
    <w:p w:rsidR="007E7F54" w:rsidRPr="00453203" w:rsidRDefault="009427A8" w:rsidP="00173B3E">
      <w:pPr>
        <w:snapToGrid w:val="0"/>
        <w:spacing w:line="360" w:lineRule="auto"/>
        <w:ind w:firstLineChars="200" w:firstLine="420"/>
        <w:rPr>
          <w:rFonts w:asciiTheme="minorEastAsia" w:eastAsiaTheme="minorEastAsia" w:hAnsiTheme="minorEastAsia"/>
          <w:szCs w:val="21"/>
        </w:rPr>
      </w:pPr>
      <w:bookmarkStart w:id="230" w:name="_Toc238870142"/>
      <w:r w:rsidRPr="00453203">
        <w:rPr>
          <w:rFonts w:asciiTheme="minorEastAsia" w:eastAsiaTheme="minorEastAsia" w:hAnsiTheme="minorEastAsia" w:hint="eastAsia"/>
          <w:szCs w:val="21"/>
        </w:rPr>
        <w:t>（六）</w:t>
      </w:r>
      <w:r w:rsidRPr="00453203">
        <w:rPr>
          <w:rFonts w:asciiTheme="minorEastAsia" w:eastAsiaTheme="minorEastAsia" w:hAnsiTheme="minorEastAsia" w:hint="eastAsia"/>
          <w:bCs/>
          <w:szCs w:val="21"/>
        </w:rPr>
        <w:t>基金合同的终止</w:t>
      </w:r>
      <w:bookmarkEnd w:id="230"/>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有下列情形之一的，《基金合同》应当终止：</w:t>
      </w:r>
    </w:p>
    <w:p w:rsidR="00604164" w:rsidRPr="00453203" w:rsidRDefault="00604164"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1、基金份额持有人大会决定终止的；</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2、基金管理人、基金托管人职责终止，在6个月内没有新基金管理人、新基金托管人承接的；</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3、《基金合同》约定的其他情形；</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4、相关法律法规和中国证监会规定的其他情况。</w:t>
      </w:r>
    </w:p>
    <w:p w:rsidR="00604164" w:rsidRPr="00453203" w:rsidRDefault="00266A27" w:rsidP="00173B3E">
      <w:pPr>
        <w:snapToGrid w:val="0"/>
        <w:spacing w:line="360" w:lineRule="auto"/>
        <w:ind w:firstLineChars="200" w:firstLine="420"/>
        <w:rPr>
          <w:rFonts w:asciiTheme="minorEastAsia" w:eastAsiaTheme="minorEastAsia" w:hAnsiTheme="minorEastAsia"/>
          <w:szCs w:val="21"/>
        </w:rPr>
      </w:pPr>
      <w:bookmarkStart w:id="231" w:name="_Toc38437218"/>
      <w:bookmarkStart w:id="232" w:name="_Toc38437354"/>
      <w:bookmarkStart w:id="233" w:name="_Toc38437490"/>
      <w:bookmarkStart w:id="234" w:name="_Toc38437626"/>
      <w:bookmarkStart w:id="235" w:name="_Toc38437772"/>
      <w:bookmarkStart w:id="236" w:name="_Toc38437918"/>
      <w:bookmarkStart w:id="237" w:name="_Toc38438064"/>
      <w:bookmarkStart w:id="238" w:name="_Toc38438210"/>
      <w:bookmarkStart w:id="239" w:name="_Toc38438547"/>
      <w:bookmarkStart w:id="240" w:name="_Toc38438884"/>
      <w:bookmarkStart w:id="241" w:name="_Toc38439221"/>
      <w:bookmarkStart w:id="242" w:name="_Toc38439558"/>
      <w:bookmarkStart w:id="243" w:name="_Toc38439895"/>
      <w:bookmarkStart w:id="244" w:name="_Toc38440232"/>
      <w:bookmarkStart w:id="245" w:name="_Toc38440569"/>
      <w:bookmarkStart w:id="246" w:name="_Toc38440768"/>
      <w:bookmarkStart w:id="247" w:name="_Toc38441101"/>
      <w:bookmarkStart w:id="248" w:name="_Toc38441433"/>
      <w:bookmarkStart w:id="249" w:name="_Toc38441765"/>
      <w:bookmarkStart w:id="250" w:name="_Toc38442093"/>
      <w:bookmarkStart w:id="251" w:name="_Toc38442425"/>
      <w:bookmarkStart w:id="252" w:name="_Toc38442757"/>
      <w:bookmarkStart w:id="253" w:name="_Toc38443088"/>
      <w:bookmarkStart w:id="254" w:name="_Toc38443419"/>
      <w:bookmarkStart w:id="255" w:name="_Toc38443750"/>
      <w:bookmarkStart w:id="256" w:name="_Toc38433500"/>
      <w:bookmarkStart w:id="257" w:name="_Toc38433635"/>
      <w:bookmarkStart w:id="258" w:name="_Toc38433769"/>
      <w:bookmarkStart w:id="259" w:name="_Toc38433919"/>
      <w:bookmarkStart w:id="260" w:name="_Toc38434067"/>
      <w:bookmarkStart w:id="261" w:name="_Toc38434215"/>
      <w:bookmarkStart w:id="262" w:name="_Toc38434361"/>
      <w:bookmarkStart w:id="263" w:name="_Toc38434504"/>
      <w:bookmarkStart w:id="264" w:name="_Toc38434647"/>
      <w:bookmarkStart w:id="265" w:name="_Toc38434790"/>
      <w:bookmarkStart w:id="266" w:name="_Toc38434934"/>
      <w:bookmarkStart w:id="267" w:name="_Toc38437630"/>
      <w:bookmarkStart w:id="268" w:name="_Toc38437776"/>
      <w:bookmarkStart w:id="269" w:name="_Toc38437922"/>
      <w:bookmarkStart w:id="270" w:name="_Toc38438068"/>
      <w:bookmarkStart w:id="271" w:name="_Toc38438214"/>
      <w:bookmarkStart w:id="272" w:name="_Toc38438551"/>
      <w:bookmarkStart w:id="273" w:name="_Toc38438888"/>
      <w:bookmarkStart w:id="274" w:name="_Toc38439225"/>
      <w:bookmarkStart w:id="275" w:name="_Toc38439562"/>
      <w:bookmarkStart w:id="276" w:name="_Toc38439899"/>
      <w:bookmarkStart w:id="277" w:name="_Toc38440236"/>
      <w:bookmarkStart w:id="278" w:name="_Toc38440573"/>
      <w:bookmarkStart w:id="279" w:name="_Toc38440772"/>
      <w:bookmarkStart w:id="280" w:name="_Toc38441105"/>
      <w:bookmarkStart w:id="281" w:name="_Toc38441437"/>
      <w:bookmarkStart w:id="282" w:name="_Toc38441769"/>
      <w:bookmarkStart w:id="283" w:name="_Toc38442097"/>
      <w:bookmarkStart w:id="284" w:name="_Toc38442429"/>
      <w:bookmarkStart w:id="285" w:name="_Toc38442761"/>
      <w:bookmarkStart w:id="286" w:name="_Toc38443092"/>
      <w:bookmarkStart w:id="287" w:name="_Toc38443423"/>
      <w:bookmarkStart w:id="288" w:name="_Toc38443754"/>
      <w:bookmarkStart w:id="289" w:name="_Toc38433501"/>
      <w:bookmarkStart w:id="290" w:name="_Toc38433636"/>
      <w:bookmarkStart w:id="291" w:name="_Toc38433770"/>
      <w:bookmarkStart w:id="292" w:name="_Toc38433920"/>
      <w:bookmarkStart w:id="293" w:name="_Toc38434068"/>
      <w:bookmarkStart w:id="294" w:name="_Toc38434216"/>
      <w:bookmarkStart w:id="295" w:name="_Toc38434362"/>
      <w:bookmarkStart w:id="296" w:name="_Toc38434505"/>
      <w:bookmarkStart w:id="297" w:name="_Toc38434648"/>
      <w:bookmarkStart w:id="298" w:name="_Toc38434791"/>
      <w:bookmarkStart w:id="299" w:name="_Toc38434935"/>
      <w:bookmarkStart w:id="300" w:name="_Toc38437631"/>
      <w:bookmarkStart w:id="301" w:name="_Toc38437777"/>
      <w:bookmarkStart w:id="302" w:name="_Toc38437923"/>
      <w:bookmarkStart w:id="303" w:name="_Toc38438069"/>
      <w:bookmarkStart w:id="304" w:name="_Toc38438215"/>
      <w:bookmarkStart w:id="305" w:name="_Toc38438552"/>
      <w:bookmarkStart w:id="306" w:name="_Toc38438889"/>
      <w:bookmarkStart w:id="307" w:name="_Toc38439226"/>
      <w:bookmarkStart w:id="308" w:name="_Toc38439563"/>
      <w:bookmarkStart w:id="309" w:name="_Toc38439900"/>
      <w:bookmarkStart w:id="310" w:name="_Toc38440237"/>
      <w:bookmarkStart w:id="311" w:name="_Toc38440574"/>
      <w:bookmarkStart w:id="312" w:name="_Toc38440773"/>
      <w:bookmarkStart w:id="313" w:name="_Toc38441106"/>
      <w:bookmarkStart w:id="314" w:name="_Toc38441438"/>
      <w:bookmarkStart w:id="315" w:name="_Toc38441770"/>
      <w:bookmarkStart w:id="316" w:name="_Toc38442098"/>
      <w:bookmarkStart w:id="317" w:name="_Toc38442430"/>
      <w:bookmarkStart w:id="318" w:name="_Toc38442762"/>
      <w:bookmarkStart w:id="319" w:name="_Toc38443093"/>
      <w:bookmarkStart w:id="320" w:name="_Toc38443424"/>
      <w:bookmarkStart w:id="321" w:name="_Toc38443755"/>
      <w:bookmarkStart w:id="322" w:name="_Toc38433502"/>
      <w:bookmarkStart w:id="323" w:name="_Toc38433637"/>
      <w:bookmarkStart w:id="324" w:name="_Toc38433771"/>
      <w:bookmarkStart w:id="325" w:name="_Toc38433921"/>
      <w:bookmarkStart w:id="326" w:name="_Toc38434069"/>
      <w:bookmarkStart w:id="327" w:name="_Toc38434217"/>
      <w:bookmarkStart w:id="328" w:name="_Toc38434363"/>
      <w:bookmarkStart w:id="329" w:name="_Toc38434506"/>
      <w:bookmarkStart w:id="330" w:name="_Toc38434649"/>
      <w:bookmarkStart w:id="331" w:name="_Toc38434792"/>
      <w:bookmarkStart w:id="332" w:name="_Toc38434936"/>
      <w:bookmarkStart w:id="333" w:name="_Toc38437632"/>
      <w:bookmarkStart w:id="334" w:name="_Toc38437778"/>
      <w:bookmarkStart w:id="335" w:name="_Toc38437924"/>
      <w:bookmarkStart w:id="336" w:name="_Toc38438070"/>
      <w:bookmarkStart w:id="337" w:name="_Toc38438216"/>
      <w:bookmarkStart w:id="338" w:name="_Toc38438553"/>
      <w:bookmarkStart w:id="339" w:name="_Toc38438890"/>
      <w:bookmarkStart w:id="340" w:name="_Toc38439227"/>
      <w:bookmarkStart w:id="341" w:name="_Toc38439564"/>
      <w:bookmarkStart w:id="342" w:name="_Toc38439901"/>
      <w:bookmarkStart w:id="343" w:name="_Toc38440238"/>
      <w:bookmarkStart w:id="344" w:name="_Toc38440575"/>
      <w:bookmarkStart w:id="345" w:name="_Toc38440774"/>
      <w:bookmarkStart w:id="346" w:name="_Toc38441107"/>
      <w:bookmarkStart w:id="347" w:name="_Toc38441439"/>
      <w:bookmarkStart w:id="348" w:name="_Toc38441771"/>
      <w:bookmarkStart w:id="349" w:name="_Toc38442099"/>
      <w:bookmarkStart w:id="350" w:name="_Toc38442431"/>
      <w:bookmarkStart w:id="351" w:name="_Toc38442763"/>
      <w:bookmarkStart w:id="352" w:name="_Toc38443094"/>
      <w:bookmarkStart w:id="353" w:name="_Toc38443425"/>
      <w:bookmarkStart w:id="354" w:name="_Toc38443756"/>
      <w:bookmarkStart w:id="355" w:name="_Toc38433503"/>
      <w:bookmarkStart w:id="356" w:name="_Toc38433638"/>
      <w:bookmarkStart w:id="357" w:name="_Toc38433772"/>
      <w:bookmarkStart w:id="358" w:name="_Toc38433922"/>
      <w:bookmarkStart w:id="359" w:name="_Toc38434070"/>
      <w:bookmarkStart w:id="360" w:name="_Toc38434218"/>
      <w:bookmarkStart w:id="361" w:name="_Toc38434364"/>
      <w:bookmarkStart w:id="362" w:name="_Toc38434507"/>
      <w:bookmarkStart w:id="363" w:name="_Toc38434650"/>
      <w:bookmarkStart w:id="364" w:name="_Toc38434793"/>
      <w:bookmarkStart w:id="365" w:name="_Toc38434937"/>
      <w:bookmarkStart w:id="366" w:name="_Toc38437633"/>
      <w:bookmarkStart w:id="367" w:name="_Toc38437779"/>
      <w:bookmarkStart w:id="368" w:name="_Toc38437925"/>
      <w:bookmarkStart w:id="369" w:name="_Toc38438071"/>
      <w:bookmarkStart w:id="370" w:name="_Toc38438217"/>
      <w:bookmarkStart w:id="371" w:name="_Toc38438554"/>
      <w:bookmarkStart w:id="372" w:name="_Toc38438891"/>
      <w:bookmarkStart w:id="373" w:name="_Toc38439228"/>
      <w:bookmarkStart w:id="374" w:name="_Toc38439565"/>
      <w:bookmarkStart w:id="375" w:name="_Toc38439902"/>
      <w:bookmarkStart w:id="376" w:name="_Toc38440239"/>
      <w:bookmarkStart w:id="377" w:name="_Toc38440576"/>
      <w:bookmarkStart w:id="378" w:name="_Toc38440775"/>
      <w:bookmarkStart w:id="379" w:name="_Toc38441108"/>
      <w:bookmarkStart w:id="380" w:name="_Toc38441440"/>
      <w:bookmarkStart w:id="381" w:name="_Toc38441772"/>
      <w:bookmarkStart w:id="382" w:name="_Toc38442100"/>
      <w:bookmarkStart w:id="383" w:name="_Toc38442432"/>
      <w:bookmarkStart w:id="384" w:name="_Toc38442764"/>
      <w:bookmarkStart w:id="385" w:name="_Toc38443095"/>
      <w:bookmarkStart w:id="386" w:name="_Toc38443426"/>
      <w:bookmarkStart w:id="387" w:name="_Toc38443757"/>
      <w:bookmarkStart w:id="388" w:name="_Toc38433504"/>
      <w:bookmarkStart w:id="389" w:name="_Toc38433639"/>
      <w:bookmarkStart w:id="390" w:name="_Toc38433773"/>
      <w:bookmarkStart w:id="391" w:name="_Toc38433923"/>
      <w:bookmarkStart w:id="392" w:name="_Toc38434071"/>
      <w:bookmarkStart w:id="393" w:name="_Toc38434219"/>
      <w:bookmarkStart w:id="394" w:name="_Toc38434365"/>
      <w:bookmarkStart w:id="395" w:name="_Toc38434508"/>
      <w:bookmarkStart w:id="396" w:name="_Toc38434651"/>
      <w:bookmarkStart w:id="397" w:name="_Toc38434794"/>
      <w:bookmarkStart w:id="398" w:name="_Toc38434938"/>
      <w:bookmarkStart w:id="399" w:name="_Toc38437634"/>
      <w:bookmarkStart w:id="400" w:name="_Toc38437780"/>
      <w:bookmarkStart w:id="401" w:name="_Toc38437926"/>
      <w:bookmarkStart w:id="402" w:name="_Toc38438072"/>
      <w:bookmarkStart w:id="403" w:name="_Toc38438218"/>
      <w:bookmarkStart w:id="404" w:name="_Toc38438555"/>
      <w:bookmarkStart w:id="405" w:name="_Toc38438892"/>
      <w:bookmarkStart w:id="406" w:name="_Toc38439229"/>
      <w:bookmarkStart w:id="407" w:name="_Toc38439566"/>
      <w:bookmarkStart w:id="408" w:name="_Toc38439903"/>
      <w:bookmarkStart w:id="409" w:name="_Toc38440240"/>
      <w:bookmarkStart w:id="410" w:name="_Toc38440577"/>
      <w:bookmarkStart w:id="411" w:name="_Toc38440776"/>
      <w:bookmarkStart w:id="412" w:name="_Toc38441109"/>
      <w:bookmarkStart w:id="413" w:name="_Toc38441441"/>
      <w:bookmarkStart w:id="414" w:name="_Toc38441773"/>
      <w:bookmarkStart w:id="415" w:name="_Toc38442101"/>
      <w:bookmarkStart w:id="416" w:name="_Toc38442433"/>
      <w:bookmarkStart w:id="417" w:name="_Toc38442765"/>
      <w:bookmarkStart w:id="418" w:name="_Toc38443096"/>
      <w:bookmarkStart w:id="419" w:name="_Toc38443427"/>
      <w:bookmarkStart w:id="420" w:name="_Toc38443758"/>
      <w:bookmarkStart w:id="421" w:name="_Toc38433505"/>
      <w:bookmarkStart w:id="422" w:name="_Toc38433640"/>
      <w:bookmarkStart w:id="423" w:name="_Toc38433774"/>
      <w:bookmarkStart w:id="424" w:name="_Toc38433924"/>
      <w:bookmarkStart w:id="425" w:name="_Toc38434072"/>
      <w:bookmarkStart w:id="426" w:name="_Toc38434220"/>
      <w:bookmarkStart w:id="427" w:name="_Toc38434366"/>
      <w:bookmarkStart w:id="428" w:name="_Toc38434509"/>
      <w:bookmarkStart w:id="429" w:name="_Toc38434652"/>
      <w:bookmarkStart w:id="430" w:name="_Toc38434795"/>
      <w:bookmarkStart w:id="431" w:name="_Toc38434939"/>
      <w:bookmarkStart w:id="432" w:name="_Toc38437635"/>
      <w:bookmarkStart w:id="433" w:name="_Toc38437781"/>
      <w:bookmarkStart w:id="434" w:name="_Toc38437927"/>
      <w:bookmarkStart w:id="435" w:name="_Toc38438073"/>
      <w:bookmarkStart w:id="436" w:name="_Toc38438219"/>
      <w:bookmarkStart w:id="437" w:name="_Toc38438556"/>
      <w:bookmarkStart w:id="438" w:name="_Toc38438893"/>
      <w:bookmarkStart w:id="439" w:name="_Toc38439230"/>
      <w:bookmarkStart w:id="440" w:name="_Toc38439567"/>
      <w:bookmarkStart w:id="441" w:name="_Toc38439904"/>
      <w:bookmarkStart w:id="442" w:name="_Toc38440241"/>
      <w:bookmarkStart w:id="443" w:name="_Toc38440578"/>
      <w:bookmarkStart w:id="444" w:name="_Toc38440777"/>
      <w:bookmarkStart w:id="445" w:name="_Toc38441110"/>
      <w:bookmarkStart w:id="446" w:name="_Toc38441442"/>
      <w:bookmarkStart w:id="447" w:name="_Toc38441774"/>
      <w:bookmarkStart w:id="448" w:name="_Toc38442102"/>
      <w:bookmarkStart w:id="449" w:name="_Toc38442434"/>
      <w:bookmarkStart w:id="450" w:name="_Toc38442766"/>
      <w:bookmarkStart w:id="451" w:name="_Toc38443097"/>
      <w:bookmarkStart w:id="452" w:name="_Toc38443428"/>
      <w:bookmarkStart w:id="453" w:name="_Toc38443759"/>
      <w:bookmarkStart w:id="454" w:name="_Toc38433506"/>
      <w:bookmarkStart w:id="455" w:name="_Toc38433641"/>
      <w:bookmarkStart w:id="456" w:name="_Toc38433775"/>
      <w:bookmarkStart w:id="457" w:name="_Toc38433925"/>
      <w:bookmarkStart w:id="458" w:name="_Toc38434073"/>
      <w:bookmarkStart w:id="459" w:name="_Toc38434221"/>
      <w:bookmarkStart w:id="460" w:name="_Toc38434367"/>
      <w:bookmarkStart w:id="461" w:name="_Toc38434510"/>
      <w:bookmarkStart w:id="462" w:name="_Toc38434653"/>
      <w:bookmarkStart w:id="463" w:name="_Toc38434796"/>
      <w:bookmarkStart w:id="464" w:name="_Toc38434940"/>
      <w:bookmarkStart w:id="465" w:name="_Toc38437636"/>
      <w:bookmarkStart w:id="466" w:name="_Toc38437782"/>
      <w:bookmarkStart w:id="467" w:name="_Toc38437928"/>
      <w:bookmarkStart w:id="468" w:name="_Toc38438074"/>
      <w:bookmarkStart w:id="469" w:name="_Toc38438220"/>
      <w:bookmarkStart w:id="470" w:name="_Toc38438557"/>
      <w:bookmarkStart w:id="471" w:name="_Toc38438894"/>
      <w:bookmarkStart w:id="472" w:name="_Toc38439231"/>
      <w:bookmarkStart w:id="473" w:name="_Toc38439568"/>
      <w:bookmarkStart w:id="474" w:name="_Toc38439905"/>
      <w:bookmarkStart w:id="475" w:name="_Toc38440242"/>
      <w:bookmarkStart w:id="476" w:name="_Toc38440579"/>
      <w:bookmarkStart w:id="477" w:name="_Toc38440778"/>
      <w:bookmarkStart w:id="478" w:name="_Toc38441111"/>
      <w:bookmarkStart w:id="479" w:name="_Toc38441443"/>
      <w:bookmarkStart w:id="480" w:name="_Toc38441775"/>
      <w:bookmarkStart w:id="481" w:name="_Toc38442103"/>
      <w:bookmarkStart w:id="482" w:name="_Toc38442435"/>
      <w:bookmarkStart w:id="483" w:name="_Toc38442767"/>
      <w:bookmarkStart w:id="484" w:name="_Toc38443098"/>
      <w:bookmarkStart w:id="485" w:name="_Toc38443429"/>
      <w:bookmarkStart w:id="486" w:name="_Toc38443760"/>
      <w:bookmarkStart w:id="487" w:name="_Toc38433507"/>
      <w:bookmarkStart w:id="488" w:name="_Toc38433642"/>
      <w:bookmarkStart w:id="489" w:name="_Toc38433776"/>
      <w:bookmarkStart w:id="490" w:name="_Toc38433926"/>
      <w:bookmarkStart w:id="491" w:name="_Toc38434074"/>
      <w:bookmarkStart w:id="492" w:name="_Toc38434222"/>
      <w:bookmarkStart w:id="493" w:name="_Toc38434368"/>
      <w:bookmarkStart w:id="494" w:name="_Toc38434511"/>
      <w:bookmarkStart w:id="495" w:name="_Toc38434654"/>
      <w:bookmarkStart w:id="496" w:name="_Toc38434797"/>
      <w:bookmarkStart w:id="497" w:name="_Toc38434941"/>
      <w:bookmarkStart w:id="498" w:name="_Toc38437637"/>
      <w:bookmarkStart w:id="499" w:name="_Toc38437783"/>
      <w:bookmarkStart w:id="500" w:name="_Toc38437929"/>
      <w:bookmarkStart w:id="501" w:name="_Toc38438075"/>
      <w:bookmarkStart w:id="502" w:name="_Toc38438221"/>
      <w:bookmarkStart w:id="503" w:name="_Toc38438558"/>
      <w:bookmarkStart w:id="504" w:name="_Toc38438895"/>
      <w:bookmarkStart w:id="505" w:name="_Toc38439232"/>
      <w:bookmarkStart w:id="506" w:name="_Toc38439569"/>
      <w:bookmarkStart w:id="507" w:name="_Toc38439906"/>
      <w:bookmarkStart w:id="508" w:name="_Toc38440243"/>
      <w:bookmarkStart w:id="509" w:name="_Toc38440580"/>
      <w:bookmarkStart w:id="510" w:name="_Toc38440779"/>
      <w:bookmarkStart w:id="511" w:name="_Toc38441112"/>
      <w:bookmarkStart w:id="512" w:name="_Toc38441444"/>
      <w:bookmarkStart w:id="513" w:name="_Toc38441776"/>
      <w:bookmarkStart w:id="514" w:name="_Toc38442104"/>
      <w:bookmarkStart w:id="515" w:name="_Toc38442436"/>
      <w:bookmarkStart w:id="516" w:name="_Toc38442768"/>
      <w:bookmarkStart w:id="517" w:name="_Toc38443099"/>
      <w:bookmarkStart w:id="518" w:name="_Toc38443430"/>
      <w:bookmarkStart w:id="519" w:name="_Toc38443761"/>
      <w:bookmarkStart w:id="520" w:name="_Toc38433508"/>
      <w:bookmarkStart w:id="521" w:name="_Toc38433643"/>
      <w:bookmarkStart w:id="522" w:name="_Toc38433777"/>
      <w:bookmarkStart w:id="523" w:name="_Toc38433927"/>
      <w:bookmarkStart w:id="524" w:name="_Toc38434075"/>
      <w:bookmarkStart w:id="525" w:name="_Toc38434223"/>
      <w:bookmarkStart w:id="526" w:name="_Toc38434369"/>
      <w:bookmarkStart w:id="527" w:name="_Toc38434512"/>
      <w:bookmarkStart w:id="528" w:name="_Toc38434655"/>
      <w:bookmarkStart w:id="529" w:name="_Toc38434798"/>
      <w:bookmarkStart w:id="530" w:name="_Toc38434942"/>
      <w:bookmarkStart w:id="531" w:name="_Toc38437638"/>
      <w:bookmarkStart w:id="532" w:name="_Toc38437784"/>
      <w:bookmarkStart w:id="533" w:name="_Toc38437930"/>
      <w:bookmarkStart w:id="534" w:name="_Toc38438076"/>
      <w:bookmarkStart w:id="535" w:name="_Toc38438222"/>
      <w:bookmarkStart w:id="536" w:name="_Toc38438559"/>
      <w:bookmarkStart w:id="537" w:name="_Toc38438896"/>
      <w:bookmarkStart w:id="538" w:name="_Toc38439233"/>
      <w:bookmarkStart w:id="539" w:name="_Toc38439570"/>
      <w:bookmarkStart w:id="540" w:name="_Toc38439907"/>
      <w:bookmarkStart w:id="541" w:name="_Toc38440244"/>
      <w:bookmarkStart w:id="542" w:name="_Toc38440581"/>
      <w:bookmarkStart w:id="543" w:name="_Toc38440780"/>
      <w:bookmarkStart w:id="544" w:name="_Toc38441113"/>
      <w:bookmarkStart w:id="545" w:name="_Toc38441445"/>
      <w:bookmarkStart w:id="546" w:name="_Toc38441777"/>
      <w:bookmarkStart w:id="547" w:name="_Toc38442105"/>
      <w:bookmarkStart w:id="548" w:name="_Toc38442437"/>
      <w:bookmarkStart w:id="549" w:name="_Toc38442769"/>
      <w:bookmarkStart w:id="550" w:name="_Toc38443100"/>
      <w:bookmarkStart w:id="551" w:name="_Toc38443431"/>
      <w:bookmarkStart w:id="552" w:name="_Toc38443762"/>
      <w:bookmarkStart w:id="553" w:name="_Toc38433510"/>
      <w:bookmarkStart w:id="554" w:name="_Toc38433645"/>
      <w:bookmarkStart w:id="555" w:name="_Toc38433779"/>
      <w:bookmarkStart w:id="556" w:name="_Toc38433929"/>
      <w:bookmarkStart w:id="557" w:name="_Toc38434077"/>
      <w:bookmarkStart w:id="558" w:name="_Toc38434225"/>
      <w:bookmarkStart w:id="559" w:name="_Toc38434371"/>
      <w:bookmarkStart w:id="560" w:name="_Toc38434514"/>
      <w:bookmarkStart w:id="561" w:name="_Toc38434657"/>
      <w:bookmarkStart w:id="562" w:name="_Toc38434800"/>
      <w:bookmarkStart w:id="563" w:name="_Toc38434944"/>
      <w:bookmarkStart w:id="564" w:name="_Toc38437640"/>
      <w:bookmarkStart w:id="565" w:name="_Toc38437786"/>
      <w:bookmarkStart w:id="566" w:name="_Toc38437932"/>
      <w:bookmarkStart w:id="567" w:name="_Toc38438078"/>
      <w:bookmarkStart w:id="568" w:name="_Toc38438224"/>
      <w:bookmarkStart w:id="569" w:name="_Toc38438561"/>
      <w:bookmarkStart w:id="570" w:name="_Toc38438898"/>
      <w:bookmarkStart w:id="571" w:name="_Toc38439235"/>
      <w:bookmarkStart w:id="572" w:name="_Toc38439572"/>
      <w:bookmarkStart w:id="573" w:name="_Toc38439909"/>
      <w:bookmarkStart w:id="574" w:name="_Toc38440246"/>
      <w:bookmarkStart w:id="575" w:name="_Toc38440583"/>
      <w:bookmarkStart w:id="576" w:name="_Toc38440782"/>
      <w:bookmarkStart w:id="577" w:name="_Toc38441115"/>
      <w:bookmarkStart w:id="578" w:name="_Toc38441447"/>
      <w:bookmarkStart w:id="579" w:name="_Toc38441779"/>
      <w:bookmarkStart w:id="580" w:name="_Toc38442107"/>
      <w:bookmarkStart w:id="581" w:name="_Toc38442439"/>
      <w:bookmarkStart w:id="582" w:name="_Toc38442771"/>
      <w:bookmarkStart w:id="583" w:name="_Toc38443102"/>
      <w:bookmarkStart w:id="584" w:name="_Toc38443433"/>
      <w:bookmarkStart w:id="585" w:name="_Toc38443764"/>
      <w:bookmarkStart w:id="586" w:name="_Toc13148353"/>
      <w:bookmarkStart w:id="587" w:name="_Toc13150581"/>
      <w:bookmarkStart w:id="588" w:name="_Toc13291966"/>
      <w:bookmarkStart w:id="589" w:name="_Toc13504692"/>
      <w:bookmarkStart w:id="590" w:name="_Toc13504808"/>
      <w:bookmarkStart w:id="591" w:name="_Toc13556301"/>
      <w:bookmarkStart w:id="592" w:name="_Toc14337423"/>
      <w:bookmarkStart w:id="593" w:name="_Toc13148354"/>
      <w:bookmarkStart w:id="594" w:name="_Toc13150582"/>
      <w:bookmarkStart w:id="595" w:name="_Toc13291967"/>
      <w:bookmarkStart w:id="596" w:name="_Toc13504693"/>
      <w:bookmarkStart w:id="597" w:name="_Toc13504809"/>
      <w:bookmarkStart w:id="598" w:name="_Toc13556302"/>
      <w:bookmarkStart w:id="599" w:name="_Toc14337424"/>
      <w:bookmarkStart w:id="600" w:name="_Toc13148355"/>
      <w:bookmarkStart w:id="601" w:name="_Toc13150583"/>
      <w:bookmarkStart w:id="602" w:name="_Toc13291968"/>
      <w:bookmarkStart w:id="603" w:name="_Toc13504694"/>
      <w:bookmarkStart w:id="604" w:name="_Toc13504810"/>
      <w:bookmarkStart w:id="605" w:name="_Toc13556303"/>
      <w:bookmarkStart w:id="606" w:name="_Toc14337425"/>
      <w:bookmarkStart w:id="607" w:name="_Toc13148356"/>
      <w:bookmarkStart w:id="608" w:name="_Toc13150584"/>
      <w:bookmarkStart w:id="609" w:name="_Toc13291969"/>
      <w:bookmarkStart w:id="610" w:name="_Toc13504695"/>
      <w:bookmarkStart w:id="611" w:name="_Toc13504811"/>
      <w:bookmarkStart w:id="612" w:name="_Toc13556304"/>
      <w:bookmarkStart w:id="613" w:name="_Toc14337426"/>
      <w:bookmarkStart w:id="614" w:name="_Toc13148357"/>
      <w:bookmarkStart w:id="615" w:name="_Toc13150585"/>
      <w:bookmarkStart w:id="616" w:name="_Toc13291970"/>
      <w:bookmarkStart w:id="617" w:name="_Toc13504696"/>
      <w:bookmarkStart w:id="618" w:name="_Toc13504812"/>
      <w:bookmarkStart w:id="619" w:name="_Toc13556305"/>
      <w:bookmarkStart w:id="620" w:name="_Toc14337427"/>
      <w:bookmarkStart w:id="621" w:name="_Toc13148358"/>
      <w:bookmarkStart w:id="622" w:name="_Toc13150586"/>
      <w:bookmarkStart w:id="623" w:name="_Toc13291971"/>
      <w:bookmarkStart w:id="624" w:name="_Toc13504697"/>
      <w:bookmarkStart w:id="625" w:name="_Toc13504813"/>
      <w:bookmarkStart w:id="626" w:name="_Toc13556306"/>
      <w:bookmarkStart w:id="627" w:name="_Toc14337428"/>
      <w:bookmarkStart w:id="628" w:name="_Toc13148359"/>
      <w:bookmarkStart w:id="629" w:name="_Toc13150587"/>
      <w:bookmarkStart w:id="630" w:name="_Toc13291972"/>
      <w:bookmarkStart w:id="631" w:name="_Toc13504698"/>
      <w:bookmarkStart w:id="632" w:name="_Toc13504814"/>
      <w:bookmarkStart w:id="633" w:name="_Toc13556307"/>
      <w:bookmarkStart w:id="634" w:name="_Toc14337429"/>
      <w:bookmarkStart w:id="635" w:name="_Toc13148360"/>
      <w:bookmarkStart w:id="636" w:name="_Toc13150588"/>
      <w:bookmarkStart w:id="637" w:name="_Toc13291973"/>
      <w:bookmarkStart w:id="638" w:name="_Toc13504699"/>
      <w:bookmarkStart w:id="639" w:name="_Toc13504815"/>
      <w:bookmarkStart w:id="640" w:name="_Toc13556308"/>
      <w:bookmarkStart w:id="641" w:name="_Toc14337430"/>
      <w:bookmarkStart w:id="642" w:name="_Toc13148361"/>
      <w:bookmarkStart w:id="643" w:name="_Toc13150589"/>
      <w:bookmarkStart w:id="644" w:name="_Toc13291974"/>
      <w:bookmarkStart w:id="645" w:name="_Toc13504700"/>
      <w:bookmarkStart w:id="646" w:name="_Toc13504816"/>
      <w:bookmarkStart w:id="647" w:name="_Toc13556309"/>
      <w:bookmarkStart w:id="648" w:name="_Toc14337431"/>
      <w:bookmarkStart w:id="649" w:name="_Toc13148362"/>
      <w:bookmarkStart w:id="650" w:name="_Toc13150590"/>
      <w:bookmarkStart w:id="651" w:name="_Toc13291975"/>
      <w:bookmarkStart w:id="652" w:name="_Toc13504701"/>
      <w:bookmarkStart w:id="653" w:name="_Toc13504817"/>
      <w:bookmarkStart w:id="654" w:name="_Toc13556310"/>
      <w:bookmarkStart w:id="655" w:name="_Toc14337432"/>
      <w:bookmarkStart w:id="656" w:name="_Toc13148369"/>
      <w:bookmarkStart w:id="657" w:name="_Toc13150597"/>
      <w:bookmarkStart w:id="658" w:name="_Toc13291982"/>
      <w:bookmarkStart w:id="659" w:name="_Toc13504708"/>
      <w:bookmarkStart w:id="660" w:name="_Toc13504824"/>
      <w:bookmarkStart w:id="661" w:name="_Toc13556317"/>
      <w:bookmarkStart w:id="662" w:name="_Toc14337439"/>
      <w:bookmarkStart w:id="663" w:name="_Toc13148370"/>
      <w:bookmarkStart w:id="664" w:name="_Toc13150598"/>
      <w:bookmarkStart w:id="665" w:name="_Toc13291983"/>
      <w:bookmarkStart w:id="666" w:name="_Toc13504709"/>
      <w:bookmarkStart w:id="667" w:name="_Toc13504825"/>
      <w:bookmarkStart w:id="668" w:name="_Toc13556318"/>
      <w:bookmarkStart w:id="669" w:name="_Toc14337440"/>
      <w:bookmarkStart w:id="670" w:name="_Toc13148371"/>
      <w:bookmarkStart w:id="671" w:name="_Toc13150599"/>
      <w:bookmarkStart w:id="672" w:name="_Toc13291984"/>
      <w:bookmarkStart w:id="673" w:name="_Toc13504710"/>
      <w:bookmarkStart w:id="674" w:name="_Toc13504826"/>
      <w:bookmarkStart w:id="675" w:name="_Toc13556319"/>
      <w:bookmarkStart w:id="676" w:name="_Toc14337441"/>
      <w:bookmarkStart w:id="677" w:name="_Toc13148372"/>
      <w:bookmarkStart w:id="678" w:name="_Toc13150600"/>
      <w:bookmarkStart w:id="679" w:name="_Toc13291985"/>
      <w:bookmarkStart w:id="680" w:name="_Toc13504711"/>
      <w:bookmarkStart w:id="681" w:name="_Toc13504827"/>
      <w:bookmarkStart w:id="682" w:name="_Toc13556320"/>
      <w:bookmarkStart w:id="683" w:name="_Toc14337442"/>
      <w:bookmarkStart w:id="684" w:name="_Toc13148373"/>
      <w:bookmarkStart w:id="685" w:name="_Toc13150601"/>
      <w:bookmarkStart w:id="686" w:name="_Toc13291986"/>
      <w:bookmarkStart w:id="687" w:name="_Toc13504712"/>
      <w:bookmarkStart w:id="688" w:name="_Toc13504828"/>
      <w:bookmarkStart w:id="689" w:name="_Toc13556321"/>
      <w:bookmarkStart w:id="690" w:name="_Toc14337443"/>
      <w:bookmarkStart w:id="691" w:name="_Toc13148374"/>
      <w:bookmarkStart w:id="692" w:name="_Toc13150602"/>
      <w:bookmarkStart w:id="693" w:name="_Toc13291987"/>
      <w:bookmarkStart w:id="694" w:name="_Toc13504713"/>
      <w:bookmarkStart w:id="695" w:name="_Toc13504829"/>
      <w:bookmarkStart w:id="696" w:name="_Toc13556322"/>
      <w:bookmarkStart w:id="697" w:name="_Toc14337444"/>
      <w:bookmarkStart w:id="698" w:name="_Toc13148376"/>
      <w:bookmarkStart w:id="699" w:name="_Toc13150604"/>
      <w:bookmarkStart w:id="700" w:name="_Toc13291989"/>
      <w:bookmarkStart w:id="701" w:name="_Toc13504715"/>
      <w:bookmarkStart w:id="702" w:name="_Toc13504831"/>
      <w:bookmarkStart w:id="703" w:name="_Toc13556324"/>
      <w:bookmarkStart w:id="704" w:name="_Toc14337446"/>
      <w:bookmarkStart w:id="705" w:name="_Toc13148377"/>
      <w:bookmarkStart w:id="706" w:name="_Toc13150605"/>
      <w:bookmarkStart w:id="707" w:name="_Toc13291990"/>
      <w:bookmarkStart w:id="708" w:name="_Toc13504716"/>
      <w:bookmarkStart w:id="709" w:name="_Toc13504832"/>
      <w:bookmarkStart w:id="710" w:name="_Toc13556325"/>
      <w:bookmarkStart w:id="711" w:name="_Toc14337447"/>
      <w:bookmarkStart w:id="712" w:name="_Toc13148379"/>
      <w:bookmarkStart w:id="713" w:name="_Toc13150607"/>
      <w:bookmarkStart w:id="714" w:name="_Toc13291992"/>
      <w:bookmarkStart w:id="715" w:name="_Toc13504718"/>
      <w:bookmarkStart w:id="716" w:name="_Toc13504834"/>
      <w:bookmarkStart w:id="717" w:name="_Toc13556327"/>
      <w:bookmarkStart w:id="718" w:name="_Toc14337449"/>
      <w:bookmarkStart w:id="719" w:name="_Toc13148381"/>
      <w:bookmarkStart w:id="720" w:name="_Toc13150609"/>
      <w:bookmarkStart w:id="721" w:name="_Toc13291994"/>
      <w:bookmarkStart w:id="722" w:name="_Toc13504720"/>
      <w:bookmarkStart w:id="723" w:name="_Toc13504836"/>
      <w:bookmarkStart w:id="724" w:name="_Toc13556329"/>
      <w:bookmarkStart w:id="725" w:name="_Toc14337451"/>
      <w:bookmarkStart w:id="726" w:name="_Toc13148384"/>
      <w:bookmarkStart w:id="727" w:name="_Toc13150612"/>
      <w:bookmarkStart w:id="728" w:name="_Toc13291997"/>
      <w:bookmarkStart w:id="729" w:name="_Toc13504723"/>
      <w:bookmarkStart w:id="730" w:name="_Toc13504839"/>
      <w:bookmarkStart w:id="731" w:name="_Toc13556332"/>
      <w:bookmarkStart w:id="732" w:name="_Toc14337454"/>
      <w:bookmarkStart w:id="733" w:name="_Toc13148385"/>
      <w:bookmarkStart w:id="734" w:name="_Toc13150613"/>
      <w:bookmarkStart w:id="735" w:name="_Toc13291998"/>
      <w:bookmarkStart w:id="736" w:name="_Toc13504724"/>
      <w:bookmarkStart w:id="737" w:name="_Toc13504840"/>
      <w:bookmarkStart w:id="738" w:name="_Toc13556333"/>
      <w:bookmarkStart w:id="739" w:name="_Toc14337455"/>
      <w:bookmarkStart w:id="740" w:name="_Toc13148390"/>
      <w:bookmarkStart w:id="741" w:name="_Toc13150618"/>
      <w:bookmarkStart w:id="742" w:name="_Toc13292003"/>
      <w:bookmarkStart w:id="743" w:name="_Toc13504729"/>
      <w:bookmarkStart w:id="744" w:name="_Toc13504845"/>
      <w:bookmarkStart w:id="745" w:name="_Toc13556338"/>
      <w:bookmarkStart w:id="746" w:name="_Toc14337460"/>
      <w:bookmarkStart w:id="747" w:name="_Toc13148391"/>
      <w:bookmarkStart w:id="748" w:name="_Toc13150619"/>
      <w:bookmarkStart w:id="749" w:name="_Toc13292004"/>
      <w:bookmarkStart w:id="750" w:name="_Toc13504730"/>
      <w:bookmarkStart w:id="751" w:name="_Toc13504846"/>
      <w:bookmarkStart w:id="752" w:name="_Toc13556339"/>
      <w:bookmarkStart w:id="753" w:name="_Toc14337461"/>
      <w:bookmarkStart w:id="754" w:name="_Toc13148392"/>
      <w:bookmarkStart w:id="755" w:name="_Toc13150620"/>
      <w:bookmarkStart w:id="756" w:name="_Toc13292005"/>
      <w:bookmarkStart w:id="757" w:name="_Toc13504731"/>
      <w:bookmarkStart w:id="758" w:name="_Toc13504847"/>
      <w:bookmarkStart w:id="759" w:name="_Toc13556340"/>
      <w:bookmarkStart w:id="760" w:name="_Toc14337462"/>
      <w:bookmarkStart w:id="761" w:name="_Toc13148393"/>
      <w:bookmarkStart w:id="762" w:name="_Toc13150621"/>
      <w:bookmarkStart w:id="763" w:name="_Toc13292006"/>
      <w:bookmarkStart w:id="764" w:name="_Toc13504732"/>
      <w:bookmarkStart w:id="765" w:name="_Toc13504848"/>
      <w:bookmarkStart w:id="766" w:name="_Toc13556341"/>
      <w:bookmarkStart w:id="767" w:name="_Toc14337463"/>
      <w:bookmarkStart w:id="768" w:name="_Toc13148394"/>
      <w:bookmarkStart w:id="769" w:name="_Toc13150622"/>
      <w:bookmarkStart w:id="770" w:name="_Toc13292007"/>
      <w:bookmarkStart w:id="771" w:name="_Toc13504733"/>
      <w:bookmarkStart w:id="772" w:name="_Toc13504849"/>
      <w:bookmarkStart w:id="773" w:name="_Toc13556342"/>
      <w:bookmarkStart w:id="774" w:name="_Toc14337464"/>
      <w:bookmarkStart w:id="775" w:name="_Toc13148395"/>
      <w:bookmarkStart w:id="776" w:name="_Toc13150623"/>
      <w:bookmarkStart w:id="777" w:name="_Toc13292008"/>
      <w:bookmarkStart w:id="778" w:name="_Toc13504734"/>
      <w:bookmarkStart w:id="779" w:name="_Toc13504850"/>
      <w:bookmarkStart w:id="780" w:name="_Toc13556343"/>
      <w:bookmarkStart w:id="781" w:name="_Toc14337465"/>
      <w:bookmarkStart w:id="782" w:name="_Toc13148396"/>
      <w:bookmarkStart w:id="783" w:name="_Toc13150624"/>
      <w:bookmarkStart w:id="784" w:name="_Toc13292009"/>
      <w:bookmarkStart w:id="785" w:name="_Toc13504735"/>
      <w:bookmarkStart w:id="786" w:name="_Toc13504851"/>
      <w:bookmarkStart w:id="787" w:name="_Toc13556344"/>
      <w:bookmarkStart w:id="788" w:name="_Toc14337466"/>
      <w:bookmarkStart w:id="789" w:name="_Toc13148397"/>
      <w:bookmarkStart w:id="790" w:name="_Toc13150625"/>
      <w:bookmarkStart w:id="791" w:name="_Toc13292010"/>
      <w:bookmarkStart w:id="792" w:name="_Toc13504736"/>
      <w:bookmarkStart w:id="793" w:name="_Toc13504852"/>
      <w:bookmarkStart w:id="794" w:name="_Toc13556345"/>
      <w:bookmarkStart w:id="795" w:name="_Toc14337467"/>
      <w:bookmarkStart w:id="796" w:name="_Toc13148398"/>
      <w:bookmarkStart w:id="797" w:name="_Toc13150626"/>
      <w:bookmarkStart w:id="798" w:name="_Toc13292011"/>
      <w:bookmarkStart w:id="799" w:name="_Toc13504737"/>
      <w:bookmarkStart w:id="800" w:name="_Toc13504853"/>
      <w:bookmarkStart w:id="801" w:name="_Toc13556346"/>
      <w:bookmarkStart w:id="802" w:name="_Toc14337468"/>
      <w:bookmarkStart w:id="803" w:name="_Toc13148399"/>
      <w:bookmarkStart w:id="804" w:name="_Toc13150627"/>
      <w:bookmarkStart w:id="805" w:name="_Toc13292012"/>
      <w:bookmarkStart w:id="806" w:name="_Toc13504738"/>
      <w:bookmarkStart w:id="807" w:name="_Toc13504854"/>
      <w:bookmarkStart w:id="808" w:name="_Toc13556347"/>
      <w:bookmarkStart w:id="809" w:name="_Toc14337469"/>
      <w:bookmarkStart w:id="810" w:name="_Toc13148400"/>
      <w:bookmarkStart w:id="811" w:name="_Toc13150628"/>
      <w:bookmarkStart w:id="812" w:name="_Toc13292013"/>
      <w:bookmarkStart w:id="813" w:name="_Toc13504739"/>
      <w:bookmarkStart w:id="814" w:name="_Toc13504855"/>
      <w:bookmarkStart w:id="815" w:name="_Toc13556348"/>
      <w:bookmarkStart w:id="816" w:name="_Toc14337470"/>
      <w:bookmarkStart w:id="817" w:name="_Toc13148401"/>
      <w:bookmarkStart w:id="818" w:name="_Toc13150629"/>
      <w:bookmarkStart w:id="819" w:name="_Toc13292014"/>
      <w:bookmarkStart w:id="820" w:name="_Toc13504740"/>
      <w:bookmarkStart w:id="821" w:name="_Toc13504856"/>
      <w:bookmarkStart w:id="822" w:name="_Toc13556349"/>
      <w:bookmarkStart w:id="823" w:name="_Toc14337471"/>
      <w:bookmarkStart w:id="824" w:name="_Toc13148402"/>
      <w:bookmarkStart w:id="825" w:name="_Toc13150630"/>
      <w:bookmarkStart w:id="826" w:name="_Toc13292015"/>
      <w:bookmarkStart w:id="827" w:name="_Toc13504741"/>
      <w:bookmarkStart w:id="828" w:name="_Toc13504857"/>
      <w:bookmarkStart w:id="829" w:name="_Toc13556350"/>
      <w:bookmarkStart w:id="830" w:name="_Toc14337472"/>
      <w:bookmarkStart w:id="831" w:name="_Toc13148408"/>
      <w:bookmarkStart w:id="832" w:name="_Toc13150636"/>
      <w:bookmarkStart w:id="833" w:name="_Toc13292021"/>
      <w:bookmarkStart w:id="834" w:name="_Toc13504747"/>
      <w:bookmarkStart w:id="835" w:name="_Toc13504863"/>
      <w:bookmarkStart w:id="836" w:name="_Toc13556356"/>
      <w:bookmarkStart w:id="837" w:name="_Toc14337478"/>
      <w:bookmarkStart w:id="838" w:name="_Toc13148409"/>
      <w:bookmarkStart w:id="839" w:name="_Toc13150637"/>
      <w:bookmarkStart w:id="840" w:name="_Toc13292022"/>
      <w:bookmarkStart w:id="841" w:name="_Toc13504748"/>
      <w:bookmarkStart w:id="842" w:name="_Toc13504864"/>
      <w:bookmarkStart w:id="843" w:name="_Toc13556357"/>
      <w:bookmarkStart w:id="844" w:name="_Toc14337479"/>
      <w:bookmarkStart w:id="845" w:name="_Toc13148411"/>
      <w:bookmarkStart w:id="846" w:name="_Toc13150639"/>
      <w:bookmarkStart w:id="847" w:name="_Toc13292024"/>
      <w:bookmarkStart w:id="848" w:name="_Toc13504750"/>
      <w:bookmarkStart w:id="849" w:name="_Toc13504866"/>
      <w:bookmarkStart w:id="850" w:name="_Toc13556359"/>
      <w:bookmarkStart w:id="851" w:name="_Toc14337481"/>
      <w:bookmarkStart w:id="852" w:name="_Toc13148412"/>
      <w:bookmarkStart w:id="853" w:name="_Toc13150640"/>
      <w:bookmarkStart w:id="854" w:name="_Toc13292025"/>
      <w:bookmarkStart w:id="855" w:name="_Toc13504751"/>
      <w:bookmarkStart w:id="856" w:name="_Toc13504867"/>
      <w:bookmarkStart w:id="857" w:name="_Toc13556360"/>
      <w:bookmarkStart w:id="858" w:name="_Toc14337482"/>
      <w:bookmarkStart w:id="859" w:name="_Toc13148413"/>
      <w:bookmarkStart w:id="860" w:name="_Toc13150641"/>
      <w:bookmarkStart w:id="861" w:name="_Toc13292026"/>
      <w:bookmarkStart w:id="862" w:name="_Toc13504752"/>
      <w:bookmarkStart w:id="863" w:name="_Toc13504868"/>
      <w:bookmarkStart w:id="864" w:name="_Toc13556361"/>
      <w:bookmarkStart w:id="865" w:name="_Toc14337483"/>
      <w:bookmarkStart w:id="866" w:name="_Toc23887014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453203">
        <w:rPr>
          <w:rFonts w:asciiTheme="minorEastAsia" w:eastAsiaTheme="minorEastAsia" w:hAnsiTheme="minorEastAsia" w:hint="eastAsia"/>
          <w:szCs w:val="21"/>
        </w:rPr>
        <w:t>（</w:t>
      </w:r>
      <w:r w:rsidR="00A76EE2" w:rsidRPr="00453203">
        <w:rPr>
          <w:rFonts w:asciiTheme="minorEastAsia" w:eastAsiaTheme="minorEastAsia" w:hAnsiTheme="minorEastAsia" w:hint="eastAsia"/>
          <w:szCs w:val="21"/>
        </w:rPr>
        <w:t>七</w:t>
      </w:r>
      <w:r w:rsidRPr="00453203">
        <w:rPr>
          <w:rFonts w:asciiTheme="minorEastAsia" w:eastAsiaTheme="minorEastAsia" w:hAnsiTheme="minorEastAsia" w:hint="eastAsia"/>
          <w:szCs w:val="21"/>
        </w:rPr>
        <w:t>）</w:t>
      </w:r>
      <w:r w:rsidR="00604164" w:rsidRPr="00453203">
        <w:rPr>
          <w:rFonts w:asciiTheme="minorEastAsia" w:eastAsiaTheme="minorEastAsia" w:hAnsiTheme="minorEastAsia" w:hint="eastAsia"/>
          <w:szCs w:val="21"/>
        </w:rPr>
        <w:t>基金财产的清算</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1、基金财产清算小组：自出现《基金合同》终止情形之日起</w:t>
      </w:r>
      <w:r w:rsidRPr="00453203">
        <w:rPr>
          <w:rFonts w:asciiTheme="minorEastAsia" w:eastAsiaTheme="minorEastAsia" w:hAnsiTheme="minorEastAsia"/>
          <w:szCs w:val="21"/>
        </w:rPr>
        <w:t>30</w:t>
      </w:r>
      <w:r w:rsidRPr="00453203">
        <w:rPr>
          <w:rFonts w:asciiTheme="minorEastAsia" w:eastAsiaTheme="minorEastAsia" w:hAnsiTheme="minorEastAsia" w:hint="eastAsia"/>
          <w:szCs w:val="21"/>
        </w:rPr>
        <w:t>个工作日内成立清算小组，基金管理人组织基金财产清算小组并在中国证监会的监督下进行基金清算。</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3、基金财产清算小组职责：基金财产清算小组负责基金财产的保管、清理、估价、变现和分配。基金财产清算小组可以依法进行必要的民事活动。</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4、基金财产清算程序：</w:t>
      </w:r>
    </w:p>
    <w:p w:rsidR="00604164" w:rsidRPr="00453203" w:rsidRDefault="00604164"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（1）出现《基金合同》终止情形后，由基金财产清算小组统一接管基金；</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（2）对基金财产和债权债务进行清理和确认；</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（3）对基金财产进行估值和变现；</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（4）制作清算报告；</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（5）聘请会计师事务所对清算报告进行外部审计，聘请律师事务所对清算报告出具法律意见书；</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（6）将清算报告报中国证监会备案并公告；</w:t>
      </w:r>
    </w:p>
    <w:p w:rsidR="00604164" w:rsidRPr="00453203" w:rsidRDefault="0060416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（7）对基金财产进行分配。</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5、清算费用</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清算费用是指基金财产清算小组在进行基金清算过程中发生的所有合理费用，清算费用由基金财产清算小组优先从基金财产中支付。</w:t>
      </w:r>
    </w:p>
    <w:p w:rsidR="00604164"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6、基金财产清算剩余资产的分配</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基金财产按下列顺序清偿：</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(1)支付清算费用；</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(2)交纳所欠税款；</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(3)清偿基金债务；</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(4)按基金份额持有人持有的基金份额比例进行分配。</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基金财产未按前款(1)－(3)项规定清偿前，不分配给基金份额持有人。</w:t>
      </w:r>
    </w:p>
    <w:p w:rsidR="00DD05EB" w:rsidRPr="00453203" w:rsidRDefault="00DD05EB"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7、基金财产清算的公告</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基金财产清算公告于《基金合同》终止情形发生并报中国证监会备案后5个工作日内由基金财产清算小组进行公告。</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8、基金财产清算账册及文件的保存</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基金财产清算账册及有关文件由基金托管人保存15年以上。</w:t>
      </w:r>
    </w:p>
    <w:p w:rsidR="007E7F54" w:rsidRPr="00453203" w:rsidRDefault="00DD05EB" w:rsidP="00AF3A10">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（八）</w:t>
      </w:r>
      <w:r w:rsidR="00266A27" w:rsidRPr="00453203">
        <w:rPr>
          <w:rFonts w:asciiTheme="minorEastAsia" w:eastAsiaTheme="minorEastAsia" w:hAnsiTheme="minorEastAsia" w:hint="eastAsia"/>
          <w:szCs w:val="21"/>
        </w:rPr>
        <w:t>争议的处理</w:t>
      </w:r>
      <w:bookmarkStart w:id="867" w:name="_Toc38438236"/>
      <w:bookmarkStart w:id="868" w:name="_Toc38438573"/>
      <w:bookmarkStart w:id="869" w:name="_Toc38438910"/>
      <w:bookmarkStart w:id="870" w:name="_Toc38439247"/>
      <w:bookmarkStart w:id="871" w:name="_Toc38439584"/>
      <w:bookmarkStart w:id="872" w:name="_Toc38439921"/>
      <w:bookmarkStart w:id="873" w:name="_Toc38440258"/>
      <w:bookmarkStart w:id="874" w:name="_Toc38440595"/>
      <w:bookmarkStart w:id="875" w:name="_Toc38440794"/>
      <w:bookmarkStart w:id="876" w:name="_Toc38441127"/>
      <w:bookmarkStart w:id="877" w:name="_Toc38441459"/>
      <w:bookmarkStart w:id="878" w:name="_Toc38441791"/>
      <w:bookmarkStart w:id="879" w:name="_Toc38442119"/>
      <w:bookmarkStart w:id="880" w:name="_Toc38442451"/>
      <w:bookmarkStart w:id="881" w:name="_Toc38442783"/>
      <w:bookmarkStart w:id="882" w:name="_Toc38443114"/>
      <w:bookmarkStart w:id="883" w:name="_Toc38443445"/>
      <w:bookmarkStart w:id="884" w:name="_Toc3844377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sidR="0072549D" w:rsidRPr="00453203">
        <w:rPr>
          <w:rFonts w:asciiTheme="minorEastAsia" w:eastAsiaTheme="minorEastAsia" w:hAnsiTheme="minorEastAsia" w:hint="eastAsia"/>
          <w:szCs w:val="21"/>
        </w:rPr>
        <w:t>和适用的法律</w:t>
      </w:r>
      <w:bookmarkEnd w:id="866"/>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《基金合同》受中国法律管辖。</w:t>
      </w:r>
    </w:p>
    <w:p w:rsidR="007E7F54"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885" w:name="_Toc110945633"/>
      <w:bookmarkStart w:id="886" w:name="_Toc136870035"/>
      <w:bookmarkStart w:id="887" w:name="_Toc238870144"/>
      <w:r w:rsidRPr="00453203">
        <w:rPr>
          <w:rFonts w:asciiTheme="minorEastAsia" w:eastAsiaTheme="minorEastAsia" w:hAnsiTheme="minorEastAsia" w:hint="eastAsia"/>
          <w:szCs w:val="21"/>
        </w:rPr>
        <w:t>（</w:t>
      </w:r>
      <w:r w:rsidR="00DD05EB" w:rsidRPr="00453203">
        <w:rPr>
          <w:rFonts w:asciiTheme="minorEastAsia" w:eastAsiaTheme="minorEastAsia" w:hAnsiTheme="minorEastAsia" w:hint="eastAsia"/>
          <w:szCs w:val="21"/>
        </w:rPr>
        <w:t>九</w:t>
      </w:r>
      <w:r w:rsidRPr="00453203">
        <w:rPr>
          <w:rFonts w:asciiTheme="minorEastAsia" w:eastAsiaTheme="minorEastAsia" w:hAnsiTheme="minorEastAsia" w:hint="eastAsia"/>
          <w:szCs w:val="21"/>
        </w:rPr>
        <w:t>）基金合同的存放及查阅方式</w:t>
      </w:r>
      <w:bookmarkEnd w:id="885"/>
      <w:bookmarkEnd w:id="886"/>
      <w:bookmarkEnd w:id="887"/>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《基金合同》是约定基金当事人之间、基金与基金当事人之间权利义务关系的法律文件。</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1、《基金合同》经基金管理人、基金托管人双方盖章以及双方法定代表人或授权代表签字并在募集结束后经基金管理人向中国证监会办理基金备案手续，并经中国证监会书面确认后生效。</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2、《基金合同》的有效期自其生效之日起至基金财产清算结果报中国证监会备案并公</w:t>
      </w:r>
      <w:r w:rsidRPr="00453203">
        <w:rPr>
          <w:rFonts w:asciiTheme="minorEastAsia" w:eastAsiaTheme="minorEastAsia" w:hAnsiTheme="minorEastAsia" w:hint="eastAsia"/>
          <w:szCs w:val="21"/>
        </w:rPr>
        <w:lastRenderedPageBreak/>
        <w:t>告之日止。</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3、《基金合同》自生效之日起对包括基金管理人、基金托管人和基金份额持有人在内的《基金合同》各方当事人具有同等的法律约束力。</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4、《基金合同》正本一式六份，除上报有关监管机构一式二份外，基金管理人、基金托管人各持有二份，每份具有同等的法律效力。</w:t>
      </w:r>
    </w:p>
    <w:p w:rsidR="00DD05EB" w:rsidRPr="00453203" w:rsidRDefault="00DD05EB"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5、《基金合同》</w:t>
      </w:r>
      <w:r w:rsidRPr="00453203">
        <w:rPr>
          <w:rFonts w:asciiTheme="minorEastAsia" w:eastAsiaTheme="minorEastAsia" w:hAnsiTheme="minorEastAsia"/>
          <w:szCs w:val="21"/>
        </w:rPr>
        <w:t>可印制成册</w:t>
      </w:r>
      <w:r w:rsidRPr="00453203">
        <w:rPr>
          <w:rFonts w:asciiTheme="minorEastAsia" w:eastAsiaTheme="minorEastAsia" w:hAnsiTheme="minorEastAsia" w:hint="eastAsia"/>
          <w:szCs w:val="21"/>
        </w:rPr>
        <w:t>，供投资者在基金管理人、基金托管人、基金代销机构的办公场所和营业场所查阅；投资者也可按工本费购买《基金合同》复制件或复印件，但内容应以《基金合同》正本为准。</w:t>
      </w:r>
    </w:p>
    <w:p w:rsidR="00266A27" w:rsidRPr="00453203" w:rsidRDefault="00FB7322" w:rsidP="00741477">
      <w:pPr>
        <w:pStyle w:val="1"/>
        <w:snapToGrid w:val="0"/>
        <w:spacing w:beforeLines="0" w:afterLines="0" w:line="360" w:lineRule="auto"/>
        <w:ind w:firstLineChars="0" w:firstLine="0"/>
        <w:rPr>
          <w:rFonts w:asciiTheme="minorEastAsia" w:eastAsiaTheme="minorEastAsia" w:hAnsiTheme="minorEastAsia"/>
          <w:bCs/>
        </w:rPr>
      </w:pPr>
      <w:r w:rsidRPr="00453203">
        <w:rPr>
          <w:rFonts w:asciiTheme="minorEastAsia" w:eastAsiaTheme="minorEastAsia" w:hAnsiTheme="minorEastAsia"/>
          <w:b/>
          <w:bCs/>
        </w:rPr>
        <w:br w:type="page"/>
      </w:r>
      <w:bookmarkStart w:id="888" w:name="_Toc238870145"/>
      <w:bookmarkStart w:id="889" w:name="_Toc34834775"/>
      <w:r w:rsidR="00B924A2" w:rsidRPr="00453203">
        <w:rPr>
          <w:rFonts w:asciiTheme="minorEastAsia" w:eastAsiaTheme="minorEastAsia" w:hAnsiTheme="minorEastAsia" w:hint="eastAsia"/>
          <w:bCs/>
        </w:rPr>
        <w:lastRenderedPageBreak/>
        <w:t>二十二</w:t>
      </w:r>
      <w:r w:rsidR="00266A27" w:rsidRPr="00453203">
        <w:rPr>
          <w:rFonts w:asciiTheme="minorEastAsia" w:eastAsiaTheme="minorEastAsia" w:hAnsiTheme="minorEastAsia" w:hint="eastAsia"/>
          <w:bCs/>
        </w:rPr>
        <w:t>、基金托管协议的内容摘要</w:t>
      </w:r>
      <w:bookmarkEnd w:id="888"/>
      <w:bookmarkEnd w:id="889"/>
    </w:p>
    <w:p w:rsidR="00266A27"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890" w:name="_Toc40511576"/>
      <w:bookmarkStart w:id="891" w:name="_Toc238870146"/>
      <w:r w:rsidRPr="00453203">
        <w:rPr>
          <w:rFonts w:asciiTheme="minorEastAsia" w:eastAsiaTheme="minorEastAsia" w:hAnsiTheme="minorEastAsia" w:hint="eastAsia"/>
          <w:szCs w:val="21"/>
        </w:rPr>
        <w:t>（一）托管协议当事人</w:t>
      </w:r>
      <w:bookmarkEnd w:id="890"/>
      <w:bookmarkEnd w:id="891"/>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bookmarkStart w:id="892" w:name="_Toc22454433"/>
      <w:bookmarkStart w:id="893" w:name="_Toc48703885"/>
      <w:r w:rsidRPr="00453203">
        <w:rPr>
          <w:rFonts w:asciiTheme="minorEastAsia" w:eastAsiaTheme="minorEastAsia" w:hAnsiTheme="minorEastAsia" w:hint="eastAsia"/>
          <w:szCs w:val="21"/>
        </w:rPr>
        <w:t>1、基金管理人</w:t>
      </w:r>
      <w:bookmarkEnd w:id="892"/>
      <w:bookmarkEnd w:id="893"/>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bookmarkStart w:id="894" w:name="_Toc15118236"/>
      <w:r w:rsidRPr="00453203">
        <w:rPr>
          <w:rFonts w:asciiTheme="minorEastAsia" w:eastAsiaTheme="minorEastAsia" w:hAnsiTheme="minorEastAsia" w:hint="eastAsia"/>
          <w:szCs w:val="21"/>
        </w:rPr>
        <w:t>名称：易方达基金管理有限公司</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住所：</w:t>
      </w:r>
      <w:r w:rsidR="007B60CE" w:rsidRPr="00453203">
        <w:rPr>
          <w:rFonts w:asciiTheme="minorEastAsia" w:eastAsiaTheme="minorEastAsia" w:hAnsiTheme="minorEastAsia" w:hint="eastAsia"/>
          <w:szCs w:val="21"/>
        </w:rPr>
        <w:t>广东省珠海市横琴新区宝华路6号105室-42891（集中办公区）</w:t>
      </w:r>
    </w:p>
    <w:p w:rsidR="00B909C6" w:rsidRPr="00453203" w:rsidRDefault="00784906" w:rsidP="00643071">
      <w:pPr>
        <w:snapToGrid w:val="0"/>
        <w:spacing w:line="360" w:lineRule="auto"/>
        <w:ind w:firstLineChars="200" w:firstLine="420"/>
        <w:jc w:val="left"/>
        <w:rPr>
          <w:rFonts w:asciiTheme="minorEastAsia" w:eastAsiaTheme="minorEastAsia" w:hAnsiTheme="minorEastAsia"/>
          <w:szCs w:val="21"/>
        </w:rPr>
      </w:pPr>
      <w:r w:rsidRPr="00453203">
        <w:rPr>
          <w:rFonts w:asciiTheme="minorEastAsia" w:eastAsiaTheme="minorEastAsia" w:hAnsiTheme="minorEastAsia" w:hint="eastAsia"/>
          <w:szCs w:val="21"/>
        </w:rPr>
        <w:t>法定代表人：</w:t>
      </w:r>
      <w:r w:rsidR="005B5C0F" w:rsidRPr="00453203">
        <w:rPr>
          <w:rFonts w:asciiTheme="minorEastAsia" w:eastAsiaTheme="minorEastAsia" w:hAnsiTheme="minorEastAsia" w:hint="eastAsia"/>
          <w:szCs w:val="21"/>
        </w:rPr>
        <w:t>刘晓艳</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成立时间：2001年4月17日</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批准设立机关：中国证券监督管理委员会</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批准设立文号：证监基金字[2001</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4号</w:t>
      </w:r>
    </w:p>
    <w:p w:rsidR="00784906" w:rsidRPr="00453203" w:rsidRDefault="00CA5EE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注册资本：13,244.2万元人民币</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组织形式:有限责任公司</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存续期间：</w:t>
      </w:r>
      <w:bookmarkEnd w:id="894"/>
      <w:r w:rsidRPr="00453203">
        <w:rPr>
          <w:rFonts w:asciiTheme="minorEastAsia" w:eastAsiaTheme="minorEastAsia" w:hAnsiTheme="minorEastAsia" w:hint="eastAsia"/>
          <w:szCs w:val="21"/>
        </w:rPr>
        <w:t>持续经营</w:t>
      </w:r>
    </w:p>
    <w:p w:rsidR="00451833" w:rsidRPr="00453203" w:rsidRDefault="00784906" w:rsidP="00643071">
      <w:pPr>
        <w:tabs>
          <w:tab w:val="left" w:pos="1320"/>
        </w:tabs>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电话：</w:t>
      </w:r>
      <w:r w:rsidR="00451833" w:rsidRPr="00453203">
        <w:rPr>
          <w:rFonts w:asciiTheme="minorEastAsia" w:eastAsiaTheme="minorEastAsia" w:hAnsiTheme="minorEastAsia" w:hint="eastAsia"/>
          <w:szCs w:val="21"/>
        </w:rPr>
        <w:t>4008818088</w:t>
      </w:r>
    </w:p>
    <w:p w:rsidR="00784906" w:rsidRPr="00453203" w:rsidRDefault="00784906" w:rsidP="00643071">
      <w:pPr>
        <w:tabs>
          <w:tab w:val="left" w:pos="1320"/>
        </w:tabs>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传真：020-38799488</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bookmarkStart w:id="895" w:name="_Toc22454434"/>
      <w:bookmarkStart w:id="896" w:name="_Toc48703886"/>
      <w:r w:rsidRPr="00453203">
        <w:rPr>
          <w:rFonts w:asciiTheme="minorEastAsia" w:eastAsiaTheme="minorEastAsia" w:hAnsiTheme="minorEastAsia" w:hint="eastAsia"/>
          <w:szCs w:val="21"/>
        </w:rPr>
        <w:t>2、基金托管人</w:t>
      </w:r>
      <w:bookmarkEnd w:id="895"/>
      <w:bookmarkEnd w:id="896"/>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名称：中国工商银行股份有限公司</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住所：北京市西城区复兴门内大街</w:t>
      </w:r>
      <w:r w:rsidRPr="00453203">
        <w:rPr>
          <w:rFonts w:asciiTheme="minorEastAsia" w:eastAsiaTheme="minorEastAsia" w:hAnsiTheme="minorEastAsia"/>
          <w:szCs w:val="21"/>
        </w:rPr>
        <w:t>55</w:t>
      </w:r>
      <w:r w:rsidRPr="00453203">
        <w:rPr>
          <w:rFonts w:asciiTheme="minorEastAsia" w:eastAsiaTheme="minorEastAsia" w:hAnsiTheme="minorEastAsia" w:hint="eastAsia"/>
          <w:szCs w:val="21"/>
        </w:rPr>
        <w:t>号（100032）</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法定代表人：</w:t>
      </w:r>
      <w:r w:rsidR="002F28CF" w:rsidRPr="00453203">
        <w:rPr>
          <w:rFonts w:asciiTheme="minorEastAsia" w:eastAsiaTheme="minorEastAsia" w:hAnsiTheme="minorEastAsia" w:hint="eastAsia"/>
          <w:spacing w:val="6"/>
        </w:rPr>
        <w:t>陈四清</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电话：（</w:t>
      </w:r>
      <w:r w:rsidRPr="00453203">
        <w:rPr>
          <w:rFonts w:asciiTheme="minorEastAsia" w:eastAsiaTheme="minorEastAsia" w:hAnsiTheme="minorEastAsia"/>
          <w:szCs w:val="21"/>
        </w:rPr>
        <w:t>010</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6610</w:t>
      </w:r>
      <w:r w:rsidRPr="00453203">
        <w:rPr>
          <w:rFonts w:asciiTheme="minorEastAsia" w:eastAsiaTheme="minorEastAsia" w:hAnsiTheme="minorEastAsia" w:hint="eastAsia"/>
          <w:szCs w:val="21"/>
        </w:rPr>
        <w:t>5799</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传真：（</w:t>
      </w:r>
      <w:r w:rsidRPr="00453203">
        <w:rPr>
          <w:rFonts w:asciiTheme="minorEastAsia" w:eastAsiaTheme="minorEastAsia" w:hAnsiTheme="minorEastAsia"/>
          <w:szCs w:val="21"/>
        </w:rPr>
        <w:t>010</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6610</w:t>
      </w:r>
      <w:r w:rsidRPr="00453203">
        <w:rPr>
          <w:rFonts w:asciiTheme="minorEastAsia" w:eastAsiaTheme="minorEastAsia" w:hAnsiTheme="minorEastAsia" w:hint="eastAsia"/>
          <w:szCs w:val="21"/>
        </w:rPr>
        <w:t>5798</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联系人：</w:t>
      </w:r>
      <w:r w:rsidR="00131E45" w:rsidRPr="00453203">
        <w:rPr>
          <w:rFonts w:asciiTheme="minorEastAsia" w:eastAsiaTheme="minorEastAsia" w:hAnsiTheme="minorEastAsia" w:hint="eastAsia"/>
          <w:spacing w:val="6"/>
        </w:rPr>
        <w:t>郭明</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成立时间：</w:t>
      </w:r>
      <w:r w:rsidRPr="00453203">
        <w:rPr>
          <w:rFonts w:asciiTheme="minorEastAsia" w:eastAsiaTheme="minorEastAsia" w:hAnsiTheme="minorEastAsia"/>
          <w:szCs w:val="21"/>
        </w:rPr>
        <w:t>1984</w:t>
      </w:r>
      <w:r w:rsidRPr="00453203">
        <w:rPr>
          <w:rFonts w:asciiTheme="minorEastAsia" w:eastAsiaTheme="minorEastAsia" w:hAnsiTheme="minorEastAsia" w:hint="eastAsia"/>
          <w:szCs w:val="21"/>
        </w:rPr>
        <w:t>年</w:t>
      </w: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月</w:t>
      </w:r>
      <w:r w:rsidRPr="00453203">
        <w:rPr>
          <w:rFonts w:asciiTheme="minorEastAsia" w:eastAsiaTheme="minorEastAsia" w:hAnsiTheme="minorEastAsia"/>
          <w:szCs w:val="21"/>
        </w:rPr>
        <w:t>1</w:t>
      </w:r>
      <w:r w:rsidRPr="00453203">
        <w:rPr>
          <w:rFonts w:asciiTheme="minorEastAsia" w:eastAsiaTheme="minorEastAsia" w:hAnsiTheme="minorEastAsia" w:hint="eastAsia"/>
          <w:szCs w:val="21"/>
        </w:rPr>
        <w:t>日</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组织形式：股份有限公司</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注册资本：</w:t>
      </w:r>
      <w:r w:rsidR="000F3201" w:rsidRPr="00453203">
        <w:rPr>
          <w:rFonts w:asciiTheme="minorEastAsia" w:eastAsiaTheme="minorEastAsia" w:hAnsiTheme="minorEastAsia" w:hint="eastAsia"/>
          <w:szCs w:val="21"/>
        </w:rPr>
        <w:t>人民币35,640,625.7089万元</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批准设立机关和设立文号：国务院《关于中国人民银行专门行使中央银行职能的决定》（国发[1983]146号）</w:t>
      </w:r>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存续期间：持续经营</w:t>
      </w:r>
    </w:p>
    <w:p w:rsidR="00784906"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897" w:name="_Toc40511578"/>
      <w:bookmarkStart w:id="898" w:name="_Toc238870147"/>
      <w:r w:rsidRPr="00453203">
        <w:rPr>
          <w:rFonts w:asciiTheme="minorEastAsia" w:eastAsiaTheme="minorEastAsia" w:hAnsiTheme="minorEastAsia" w:hint="eastAsia"/>
          <w:szCs w:val="21"/>
        </w:rPr>
        <w:t>（二）</w:t>
      </w:r>
      <w:bookmarkStart w:id="899" w:name="_Toc124749227"/>
      <w:bookmarkStart w:id="900" w:name="_Toc124749938"/>
      <w:bookmarkStart w:id="901" w:name="_Toc125361075"/>
      <w:r w:rsidRPr="00453203">
        <w:rPr>
          <w:rFonts w:asciiTheme="minorEastAsia" w:eastAsiaTheme="minorEastAsia" w:hAnsiTheme="minorEastAsia" w:hint="eastAsia"/>
          <w:szCs w:val="21"/>
        </w:rPr>
        <w:t>基金托管人对基金管理人的业务监督和核查</w:t>
      </w:r>
      <w:bookmarkEnd w:id="897"/>
      <w:bookmarkEnd w:id="898"/>
      <w:bookmarkEnd w:id="899"/>
      <w:bookmarkEnd w:id="900"/>
      <w:bookmarkEnd w:id="901"/>
    </w:p>
    <w:p w:rsidR="00784906" w:rsidRPr="00453203" w:rsidRDefault="00784906"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1、基金托管人对基金管理人的投资行为行使监督权</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（1）基金托管人根据有关法律法规的规定和《基金合同》的约定，对下述基金投资范围、投资对象进行监督。</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本基金将投资于以下金融工具：</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本基金资产投资于具有良好流动性的金融工具，包括创业板ETF、创业板指数成份股及备选成份股、</w:t>
      </w:r>
      <w:r w:rsidRPr="00453203">
        <w:rPr>
          <w:rFonts w:asciiTheme="minorEastAsia" w:eastAsiaTheme="minorEastAsia" w:hAnsiTheme="minorEastAsia"/>
          <w:szCs w:val="21"/>
        </w:rPr>
        <w:t>新股(一级市场初次发行</w:t>
      </w:r>
      <w:r w:rsidRPr="00453203">
        <w:rPr>
          <w:rFonts w:asciiTheme="minorEastAsia" w:eastAsiaTheme="minorEastAsia" w:hAnsiTheme="minorEastAsia" w:hint="eastAsia"/>
          <w:szCs w:val="21"/>
        </w:rPr>
        <w:t>或</w:t>
      </w:r>
      <w:r w:rsidRPr="00453203">
        <w:rPr>
          <w:rFonts w:asciiTheme="minorEastAsia" w:eastAsiaTheme="minorEastAsia" w:hAnsiTheme="minorEastAsia"/>
          <w:szCs w:val="21"/>
        </w:rPr>
        <w:t>增发)</w:t>
      </w:r>
      <w:r w:rsidRPr="00453203">
        <w:rPr>
          <w:rFonts w:asciiTheme="minorEastAsia" w:eastAsiaTheme="minorEastAsia" w:hAnsiTheme="minorEastAsia" w:hint="eastAsia"/>
          <w:szCs w:val="21"/>
        </w:rPr>
        <w:t>、货币市场工具、权证、股指期货以及法律法规或中国证监会允许基金投资的其他金融工具。本基金根据相关法律法规或中国证监会要求履行相关手续后，还可以投资于法律法规或中国证监会未来允许基金投资的其它金融工具。</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szCs w:val="21"/>
        </w:rPr>
        <w:t>本基金不得投资于</w:t>
      </w:r>
      <w:r w:rsidRPr="00453203">
        <w:rPr>
          <w:rFonts w:asciiTheme="minorEastAsia" w:eastAsiaTheme="minorEastAsia" w:hAnsiTheme="minorEastAsia" w:hint="eastAsia"/>
          <w:szCs w:val="21"/>
        </w:rPr>
        <w:t>相关法律、法规、部门规章及《基金合同》禁止投资的投资工具</w:t>
      </w:r>
      <w:r w:rsidRPr="00453203">
        <w:rPr>
          <w:rFonts w:asciiTheme="minorEastAsia" w:eastAsiaTheme="minorEastAsia" w:hAnsiTheme="minorEastAsia"/>
          <w:szCs w:val="21"/>
        </w:rPr>
        <w:t>。</w:t>
      </w:r>
    </w:p>
    <w:p w:rsidR="002B25E4" w:rsidRPr="00453203" w:rsidRDefault="002B25E4"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（2）基金托管人根据有关法律法规的规定及《基金合同》的约定对下述基金投融资比例进行监督：</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1）按法律法规的规定及《基金合同》的约定，本基金的投资资产配置比例为：</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szCs w:val="21"/>
        </w:rPr>
        <w:t>本基金</w:t>
      </w:r>
      <w:r w:rsidRPr="00453203">
        <w:rPr>
          <w:rFonts w:asciiTheme="minorEastAsia" w:eastAsiaTheme="minorEastAsia" w:hAnsiTheme="minorEastAsia" w:hint="eastAsia"/>
          <w:szCs w:val="21"/>
        </w:rPr>
        <w:t>资产中投资于创业板ETF的</w:t>
      </w:r>
      <w:r w:rsidRPr="00453203">
        <w:rPr>
          <w:rFonts w:asciiTheme="minorEastAsia" w:eastAsiaTheme="minorEastAsia" w:hAnsiTheme="minorEastAsia"/>
          <w:szCs w:val="21"/>
        </w:rPr>
        <w:t>比例不低于基金资产</w:t>
      </w:r>
      <w:r w:rsidRPr="00453203">
        <w:rPr>
          <w:rFonts w:asciiTheme="minorEastAsia" w:eastAsiaTheme="minorEastAsia" w:hAnsiTheme="minorEastAsia" w:hint="eastAsia"/>
          <w:szCs w:val="21"/>
        </w:rPr>
        <w:t>净值</w:t>
      </w:r>
      <w:r w:rsidRPr="00453203">
        <w:rPr>
          <w:rFonts w:asciiTheme="minorEastAsia" w:eastAsiaTheme="minorEastAsia" w:hAnsiTheme="minorEastAsia"/>
          <w:szCs w:val="21"/>
        </w:rPr>
        <w:t>的9</w:t>
      </w:r>
      <w:r w:rsidRPr="00453203">
        <w:rPr>
          <w:rFonts w:asciiTheme="minorEastAsia" w:eastAsiaTheme="minorEastAsia" w:hAnsiTheme="minorEastAsia" w:hint="eastAsia"/>
          <w:szCs w:val="21"/>
        </w:rPr>
        <w:t>0</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w:t>
      </w:r>
      <w:r w:rsidRPr="00453203">
        <w:rPr>
          <w:rFonts w:asciiTheme="minorEastAsia" w:eastAsiaTheme="minorEastAsia" w:hAnsiTheme="minorEastAsia"/>
          <w:szCs w:val="21"/>
        </w:rPr>
        <w:t>现金或者到期日在一年以内的政府债券不低于基金资产净值</w:t>
      </w:r>
      <w:r w:rsidRPr="00453203">
        <w:rPr>
          <w:rFonts w:asciiTheme="minorEastAsia" w:eastAsiaTheme="minorEastAsia" w:hAnsiTheme="minorEastAsia" w:hint="eastAsia"/>
          <w:szCs w:val="21"/>
        </w:rPr>
        <w:t>的</w:t>
      </w:r>
      <w:r w:rsidRPr="00453203">
        <w:rPr>
          <w:rFonts w:asciiTheme="minorEastAsia" w:eastAsiaTheme="minorEastAsia" w:hAnsiTheme="minorEastAsia"/>
          <w:szCs w:val="21"/>
        </w:rPr>
        <w:t>5%</w:t>
      </w:r>
      <w:r w:rsidR="003A692B" w:rsidRPr="00453203">
        <w:rPr>
          <w:rFonts w:asciiTheme="minorEastAsia" w:eastAsiaTheme="minorEastAsia" w:hAnsiTheme="minorEastAsia" w:hint="eastAsia"/>
          <w:szCs w:val="21"/>
        </w:rPr>
        <w:t>，现金不包括结算备付金、存出保证金、应收申购款等</w:t>
      </w:r>
      <w:r w:rsidRPr="00453203">
        <w:rPr>
          <w:rFonts w:asciiTheme="minorEastAsia" w:eastAsiaTheme="minorEastAsia" w:hAnsiTheme="minorEastAsia" w:hint="eastAsia"/>
          <w:szCs w:val="21"/>
        </w:rPr>
        <w:t>。</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因基金规模或市场变化等因素导致投资组合不符合上述规定的，基金管理人应在合理的期限内调整基金的投资组合，以符合上述比例限定。法律法规另有规定时，从其规定。</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2）根据法律法规的规定及《基金合同》的约定，本基金投资组合遵循以下投资限制：</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a.</w:t>
      </w:r>
      <w:r w:rsidRPr="00453203">
        <w:rPr>
          <w:rFonts w:asciiTheme="minorEastAsia" w:eastAsiaTheme="minorEastAsia" w:hAnsiTheme="minorEastAsia"/>
          <w:szCs w:val="21"/>
        </w:rPr>
        <w:t>基金</w:t>
      </w:r>
      <w:r w:rsidRPr="00453203">
        <w:rPr>
          <w:rFonts w:asciiTheme="minorEastAsia" w:eastAsiaTheme="minorEastAsia" w:hAnsiTheme="minorEastAsia" w:hint="eastAsia"/>
          <w:szCs w:val="21"/>
        </w:rPr>
        <w:t>资产中投资于目标ETF的</w:t>
      </w:r>
      <w:r w:rsidRPr="00453203">
        <w:rPr>
          <w:rFonts w:asciiTheme="minorEastAsia" w:eastAsiaTheme="minorEastAsia" w:hAnsiTheme="minorEastAsia"/>
          <w:szCs w:val="21"/>
        </w:rPr>
        <w:t>比例不低于基金资产</w:t>
      </w:r>
      <w:r w:rsidRPr="00453203">
        <w:rPr>
          <w:rFonts w:asciiTheme="minorEastAsia" w:eastAsiaTheme="minorEastAsia" w:hAnsiTheme="minorEastAsia" w:hint="eastAsia"/>
          <w:szCs w:val="21"/>
        </w:rPr>
        <w:t>净值</w:t>
      </w:r>
      <w:r w:rsidRPr="00453203">
        <w:rPr>
          <w:rFonts w:asciiTheme="minorEastAsia" w:eastAsiaTheme="minorEastAsia" w:hAnsiTheme="minorEastAsia"/>
          <w:szCs w:val="21"/>
        </w:rPr>
        <w:t>的9</w:t>
      </w:r>
      <w:r w:rsidRPr="00453203">
        <w:rPr>
          <w:rFonts w:asciiTheme="minorEastAsia" w:eastAsiaTheme="minorEastAsia" w:hAnsiTheme="minorEastAsia" w:hint="eastAsia"/>
          <w:szCs w:val="21"/>
        </w:rPr>
        <w:t>0</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b.本基金进入全国银行间同业市场进行债券回购的资金余额不得超过基金资产净值的40%，在全国银行间同业市场中的债券回购最长期限为1年，债券回购到期后不展期；</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c.本基金财产参与股票发行申购，所申报的金额不得超过本基金的总资产，所申报的股票数量不得超过拟发行股票公司本次发行股票的总量；</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d.本基金不得违反《基金合同》关于投资范围和投资比例的约定；</w:t>
      </w:r>
    </w:p>
    <w:p w:rsidR="003A692B"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e.本基金投资于股指期货的，</w:t>
      </w:r>
      <w:r w:rsidRPr="00453203">
        <w:rPr>
          <w:rFonts w:asciiTheme="minorEastAsia" w:eastAsiaTheme="minorEastAsia" w:hAnsiTheme="minorEastAsia"/>
          <w:szCs w:val="21"/>
        </w:rPr>
        <w:t>在任何交易日日终，持有的买入股指期货合约价值，不得超过基金资产净值的10%</w:t>
      </w:r>
      <w:r w:rsidRPr="00453203">
        <w:rPr>
          <w:rFonts w:asciiTheme="minorEastAsia" w:eastAsiaTheme="minorEastAsia" w:hAnsiTheme="minorEastAsia" w:hint="eastAsia"/>
          <w:szCs w:val="21"/>
        </w:rPr>
        <w:t>；在任何交易日日终，持有的买入期货合约价值与有价证券市值之和,不得超过基金资产净值的100%，</w:t>
      </w:r>
      <w:r w:rsidRPr="00453203">
        <w:rPr>
          <w:rFonts w:asciiTheme="minorEastAsia" w:eastAsiaTheme="minorEastAsia" w:hAnsiTheme="minorEastAsia"/>
          <w:szCs w:val="21"/>
        </w:rPr>
        <w:t>其中，有价证券指股票、债券（不含到期日在一年以内的政府债券）、权证、资产支持证券、买入返售金融资产（不含质押式回购）等</w:t>
      </w:r>
      <w:r w:rsidRPr="00453203">
        <w:rPr>
          <w:rFonts w:asciiTheme="minorEastAsia" w:eastAsiaTheme="minorEastAsia" w:hAnsiTheme="minorEastAsia" w:hint="eastAsia"/>
          <w:szCs w:val="21"/>
        </w:rPr>
        <w:t>；基金在任何交易日日终，持有的卖出期货合约价值不得超过基金持有的股票总市值的20%；</w:t>
      </w:r>
      <w:r w:rsidRPr="00453203">
        <w:rPr>
          <w:rFonts w:asciiTheme="minorEastAsia" w:eastAsiaTheme="minorEastAsia" w:hAnsiTheme="minorEastAsia"/>
          <w:szCs w:val="21"/>
        </w:rPr>
        <w:t>在任何交易日内交易（不包括平仓）的股指期货合约的成交金额不得超过上一交易日基金资产净值的20%</w:t>
      </w:r>
      <w:r w:rsidRPr="00453203">
        <w:rPr>
          <w:rFonts w:asciiTheme="minorEastAsia" w:eastAsiaTheme="minorEastAsia" w:hAnsiTheme="minorEastAsia" w:hint="eastAsia"/>
          <w:szCs w:val="21"/>
        </w:rPr>
        <w:t>；</w:t>
      </w:r>
    </w:p>
    <w:p w:rsidR="00784906" w:rsidRPr="00453203" w:rsidRDefault="003A692B"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szCs w:val="21"/>
        </w:rPr>
        <w:t>f.</w:t>
      </w:r>
      <w:r w:rsidR="00784906" w:rsidRPr="00453203">
        <w:rPr>
          <w:rFonts w:asciiTheme="minorEastAsia" w:eastAsiaTheme="minorEastAsia" w:hAnsiTheme="minorEastAsia" w:hint="eastAsia"/>
          <w:szCs w:val="21"/>
        </w:rPr>
        <w:t>每个交易日日终在扣除股指期货合约需缴纳的交易保证金后，</w:t>
      </w:r>
      <w:r w:rsidR="00784906" w:rsidRPr="00453203">
        <w:rPr>
          <w:rFonts w:asciiTheme="minorEastAsia" w:eastAsiaTheme="minorEastAsia" w:hAnsiTheme="minorEastAsia"/>
          <w:szCs w:val="21"/>
        </w:rPr>
        <w:t>应当保持不低于基金资产净值5%的现金或到期日在一年以内的政府债券</w:t>
      </w:r>
      <w:r w:rsidRPr="00453203">
        <w:rPr>
          <w:rFonts w:asciiTheme="minorEastAsia" w:eastAsiaTheme="minorEastAsia" w:hAnsiTheme="minorEastAsia" w:hint="eastAsia"/>
          <w:szCs w:val="21"/>
        </w:rPr>
        <w:t>，现金不包括结算备付金、存出保证金、应收申购款等；</w:t>
      </w:r>
    </w:p>
    <w:p w:rsidR="00784906" w:rsidRPr="00453203" w:rsidRDefault="003A692B"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g</w:t>
      </w:r>
      <w:r w:rsidR="00784906" w:rsidRPr="00453203">
        <w:rPr>
          <w:rFonts w:asciiTheme="minorEastAsia" w:eastAsiaTheme="minorEastAsia" w:hAnsiTheme="minorEastAsia" w:hint="eastAsia"/>
          <w:szCs w:val="21"/>
        </w:rPr>
        <w:t>.本基金在任何交易日买入权证的总金额，不超过上一交易日基金资产净值的0.5%，</w:t>
      </w:r>
      <w:r w:rsidR="00784906" w:rsidRPr="00453203">
        <w:rPr>
          <w:rFonts w:asciiTheme="minorEastAsia" w:eastAsiaTheme="minorEastAsia" w:hAnsiTheme="minorEastAsia" w:hint="eastAsia"/>
          <w:szCs w:val="21"/>
        </w:rPr>
        <w:lastRenderedPageBreak/>
        <w:t>基金持有的全部权证的市值不超过基金资产净值的3%。法律法规或中国证监会另有规定的，遵从其规定；</w:t>
      </w:r>
    </w:p>
    <w:p w:rsidR="00784906" w:rsidRPr="00453203" w:rsidRDefault="003A692B"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h</w:t>
      </w:r>
      <w:r w:rsidR="00784906" w:rsidRPr="00453203">
        <w:rPr>
          <w:rFonts w:asciiTheme="minorEastAsia" w:eastAsiaTheme="minorEastAsia" w:hAnsiTheme="minorEastAsia" w:hint="eastAsia"/>
          <w:szCs w:val="21"/>
        </w:rPr>
        <w:t>.本基金持有单个流通受限证券，其市值不得超过本基金资产净值的百分之三；本基金持有的所有流通受限证券，其市值不得超过本基金资产净值的百分之十；因流通受限证券价格波动、基金规模变动等基金管理人无法控制的因素导致上述比例被动超标的，基金管理人应当停止主动买入流通受限证券或在流通受限期结束后卖出流通受限证券。经基金管理人和托管人协商，可对以上比例进行调整；</w:t>
      </w:r>
    </w:p>
    <w:p w:rsidR="003A692B" w:rsidRPr="00453203" w:rsidRDefault="003A692B"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i.本基金主动投资于流动性受限资产的市值合计不得超过该基金资产净值的15%。</w:t>
      </w:r>
    </w:p>
    <w:p w:rsidR="00784906" w:rsidRPr="00453203" w:rsidRDefault="003A692B"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szCs w:val="21"/>
        </w:rPr>
        <w:t>j</w:t>
      </w:r>
      <w:r w:rsidR="00784906" w:rsidRPr="00453203">
        <w:rPr>
          <w:rFonts w:asciiTheme="minorEastAsia" w:eastAsiaTheme="minorEastAsia" w:hAnsiTheme="minorEastAsia" w:hint="eastAsia"/>
          <w:szCs w:val="21"/>
        </w:rPr>
        <w:t>.相关法律法规以及监管部门规定的其他投资限制。</w:t>
      </w:r>
    </w:p>
    <w:p w:rsidR="00784906"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szCs w:val="21"/>
        </w:rPr>
        <w:t>《基金法》及其他有关法律法规或监管部门</w:t>
      </w:r>
      <w:r w:rsidRPr="00453203">
        <w:rPr>
          <w:rFonts w:asciiTheme="minorEastAsia" w:eastAsiaTheme="minorEastAsia" w:hAnsiTheme="minorEastAsia" w:hint="eastAsia"/>
          <w:szCs w:val="21"/>
        </w:rPr>
        <w:t>取消</w:t>
      </w:r>
      <w:r w:rsidRPr="00453203">
        <w:rPr>
          <w:rFonts w:asciiTheme="minorEastAsia" w:eastAsiaTheme="minorEastAsia" w:hAnsiTheme="minorEastAsia"/>
          <w:szCs w:val="21"/>
        </w:rPr>
        <w:t>上述限制</w:t>
      </w:r>
      <w:r w:rsidRPr="00453203">
        <w:rPr>
          <w:rFonts w:asciiTheme="minorEastAsia" w:eastAsiaTheme="minorEastAsia" w:hAnsiTheme="minorEastAsia" w:hint="eastAsia"/>
          <w:szCs w:val="21"/>
        </w:rPr>
        <w:t>的</w:t>
      </w:r>
      <w:r w:rsidRPr="00453203">
        <w:rPr>
          <w:rFonts w:asciiTheme="minorEastAsia" w:eastAsiaTheme="minorEastAsia" w:hAnsiTheme="minorEastAsia"/>
          <w:szCs w:val="21"/>
        </w:rPr>
        <w:t>，</w:t>
      </w:r>
      <w:r w:rsidRPr="00453203">
        <w:rPr>
          <w:rFonts w:asciiTheme="minorEastAsia" w:eastAsiaTheme="minorEastAsia" w:hAnsiTheme="minorEastAsia" w:hint="eastAsia"/>
          <w:szCs w:val="21"/>
        </w:rPr>
        <w:t>履行适当程序后，基金不受上述限制</w:t>
      </w:r>
      <w:r w:rsidRPr="00453203">
        <w:rPr>
          <w:rFonts w:asciiTheme="minorEastAsia" w:eastAsiaTheme="minorEastAsia" w:hAnsiTheme="minorEastAsia"/>
          <w:szCs w:val="21"/>
        </w:rPr>
        <w:t>。</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3）法规允许的基金投资比例调整期限</w:t>
      </w:r>
    </w:p>
    <w:p w:rsidR="00784906" w:rsidRPr="00453203" w:rsidRDefault="003A692B"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除上述2）的c、f、i项以外，</w:t>
      </w:r>
      <w:r w:rsidR="00784906" w:rsidRPr="00453203">
        <w:rPr>
          <w:rFonts w:asciiTheme="minorEastAsia" w:eastAsiaTheme="minorEastAsia" w:hAnsiTheme="minorEastAsia" w:hint="eastAsia"/>
          <w:szCs w:val="21"/>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基金管理人应在出现可预见资产规模大幅变动的情况下，至少提前2个工作日正式向基金托管人发函说明基金可能变动规模和应对措施，便于基金托管人实施交易监督。</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4）本基金可以按照国家的有关规定进行融资融券。</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5）相关法律、法规或部门规章规定的其他比例限制。</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基金托管人对基金投资的监督和检查自《基金合同》生效之日起开始。</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（3）基金托管人根据有关法律法规的规定及《基金合同》的约定对下述基金投资禁止行为进行监督：</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根据法律法规的规定及《基金合同》的约定，本基金禁止从事下列行为：</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1）承销证券；</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2）向他人贷款或提供担保；</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3）从事承担无限责任的投资；</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4）买卖其他基金份额，但本基金投资目标ETF或者法律法规或监管部门另有规定的除外；</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5）向基金管理人、基金托管人出资或者买卖其基金管理人、基金托管人发行的股票或债券；</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6）买卖与基金管理人、基金托管人有控股关系的股东或者与基金管理人、基金托管人有其他重大利害关系的公司发行的证券或者承销期内承销的证券，但本基金投资目标ETF</w:t>
      </w:r>
      <w:r w:rsidRPr="00453203">
        <w:rPr>
          <w:rFonts w:asciiTheme="minorEastAsia" w:eastAsiaTheme="minorEastAsia" w:hAnsiTheme="minorEastAsia" w:hint="eastAsia"/>
          <w:szCs w:val="21"/>
        </w:rPr>
        <w:lastRenderedPageBreak/>
        <w:t>除外；</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7）从事内幕交易、操纵证券价格及其他不正当的证券交易活动；</w:t>
      </w:r>
    </w:p>
    <w:p w:rsidR="00784906" w:rsidRPr="00453203" w:rsidRDefault="00784906"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8）当时有效的法律法规、中国证监会及《基金合同》规定禁止从事的其他行为。</w:t>
      </w:r>
    </w:p>
    <w:p w:rsidR="00266A27" w:rsidRPr="00453203" w:rsidRDefault="00784906"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如法律法规或监管部门取消上述禁止性规定，基金管理人在履行适当程序后可不受上述规定的限制。</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（4）基金托管人依据有关法律法规的规定和《基金合同》的约定对于基金关联投资限制进行监督。</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财产损失的，由基金管理人承担责任。</w:t>
      </w:r>
      <w:r w:rsidRPr="00453203">
        <w:rPr>
          <w:rFonts w:asciiTheme="minorEastAsia" w:eastAsiaTheme="minorEastAsia" w:hAnsiTheme="minorEastAsia" w:hint="eastAsia"/>
          <w:szCs w:val="21"/>
        </w:rPr>
        <w:c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（5）基金托管人依据有关法律法规的规定和《基金合同》的约定对基金管理人参与银行间债券市场进行监督。</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1）基金托管人按以下方式依据有关法律法规的规定和《基金合同》的约定对基金管理人参与银行间市场交易时面临的交易对手资信风险控制措施进行监督。</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如果基金托管人发现基金管理人与不在名单内的银行间市场交易对手进行交易，应及时提醒基金管理人撤销交易，经提醒后基金管理人仍执行交易并造成基金财产损失的，基金托管人不承担责任，发生此种情形时，基金托管人有权报告中国证监会。</w:t>
      </w:r>
    </w:p>
    <w:p w:rsidR="00A13ED3" w:rsidRPr="00453203" w:rsidRDefault="00A13ED3"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2）基金托管人对于基金管理人参与银行间市场交易的交易方式的控制</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财产损失的，基金托管人不承担责任。</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（6）基金托管人对基金管理人选择存款银行进行监督。</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r w:rsidRPr="00453203">
        <w:rPr>
          <w:rFonts w:asciiTheme="minorEastAsia" w:eastAsiaTheme="minorEastAsia" w:hAnsiTheme="minorEastAsia" w:hint="eastAsia"/>
          <w:szCs w:val="21"/>
        </w:rPr>
        <w:cr/>
        <w:t>（7）基金托管人对基金投资流通受限证券的监督</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1）基金投资流通受限证券，应遵守《关于规范基金投资非公开发行证券行为的紧急通知》、《关于基金投资非公开发行股票等流通受限证券有关问题的通知》等有关法律法规规定。</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基金管理人应至少于首次执行投资指令之前两个工作日将上述资料书面发至基金托管</w:t>
      </w:r>
      <w:r w:rsidRPr="00453203">
        <w:rPr>
          <w:rFonts w:asciiTheme="minorEastAsia" w:eastAsiaTheme="minorEastAsia" w:hAnsiTheme="minorEastAsia" w:hint="eastAsia"/>
          <w:szCs w:val="21"/>
        </w:rPr>
        <w:lastRenderedPageBreak/>
        <w:t>人，保证基金托管人有足够的时间进行审核。基金托管人应在收到上述资料后两个工作日内，以书面或其他双方认可的方式确认收到上述资料。</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基金托管人发现基金管理人的投资指令违反关法律法规规定或者违反《基金合同》约定的，应当拒绝执行，立即通知基金管理人，并向中国证监会报告。</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基金托管人发现基金管理人依据交易程序已经生效的投资指令违反法律、行政法规和其他有关规定，或者违反《基金合同》约定的，应当立即通知基金管理人，并报告中国证监会。</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基金托管人发现基金管理人有重大违规行为，应立即报告中国证监会，同时通知基金管理人限期纠正。</w:t>
      </w:r>
    </w:p>
    <w:p w:rsidR="00A13ED3" w:rsidRPr="00453203" w:rsidRDefault="00A13ED3"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66A27"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902" w:name="_Toc238870148"/>
      <w:r w:rsidRPr="00453203">
        <w:rPr>
          <w:rFonts w:asciiTheme="minorEastAsia" w:eastAsiaTheme="minorEastAsia" w:hAnsiTheme="minorEastAsia" w:hint="eastAsia"/>
          <w:szCs w:val="21"/>
        </w:rPr>
        <w:t>（三）</w:t>
      </w:r>
      <w:bookmarkStart w:id="903" w:name="_Toc123705448"/>
      <w:bookmarkStart w:id="904" w:name="_Toc124749228"/>
      <w:bookmarkStart w:id="905" w:name="_Toc124749939"/>
      <w:bookmarkStart w:id="906" w:name="_Toc125361076"/>
      <w:r w:rsidRPr="00453203">
        <w:rPr>
          <w:rFonts w:asciiTheme="minorEastAsia" w:eastAsiaTheme="minorEastAsia" w:hAnsiTheme="minorEastAsia" w:hint="eastAsia"/>
          <w:szCs w:val="21"/>
        </w:rPr>
        <w:t>基金管理人对基金托管人的业务核查</w:t>
      </w:r>
      <w:bookmarkEnd w:id="902"/>
      <w:bookmarkEnd w:id="903"/>
      <w:bookmarkEnd w:id="904"/>
      <w:bookmarkEnd w:id="905"/>
      <w:bookmarkEnd w:id="906"/>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说明违规原因及纠正期限，并保证在规定期限内及时改正。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基金管理人发现基金托管人有重大违规行为，应立即报告中国证监会和银行业监督管理机构，同时通知基金托管人限期纠正。</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定期或不定期地对基金托管人保管的基金财产进行核查。基金托管人应积极配合基金管理人的核查行为，包括但不限于：提交相关资料以供基金管理人核查托管财产的完整性和真实性，在规定时间内答复基金管理人并改正。</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57FC1"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907" w:name="_Toc40511579"/>
      <w:bookmarkStart w:id="908" w:name="_Toc238870149"/>
      <w:r w:rsidRPr="00453203">
        <w:rPr>
          <w:rFonts w:asciiTheme="minorEastAsia" w:eastAsiaTheme="minorEastAsia" w:hAnsiTheme="minorEastAsia" w:hint="eastAsia"/>
          <w:szCs w:val="21"/>
        </w:rPr>
        <w:t>（四）基金财产保管</w:t>
      </w:r>
      <w:bookmarkStart w:id="909" w:name="_Toc37159173"/>
      <w:bookmarkEnd w:id="907"/>
      <w:bookmarkEnd w:id="908"/>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1、基金财产保管的原则</w:t>
      </w:r>
      <w:bookmarkEnd w:id="909"/>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（1）基金财产应独立于基金管理人、基金托管人的固有财产。</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（2）基金托管人应安全保管基金财产。未经基金管理人的正当指令，不得自行运用、</w:t>
      </w:r>
      <w:r w:rsidRPr="00453203">
        <w:rPr>
          <w:rFonts w:asciiTheme="minorEastAsia" w:eastAsiaTheme="minorEastAsia" w:hAnsiTheme="minorEastAsia" w:hint="eastAsia"/>
          <w:szCs w:val="21"/>
        </w:rPr>
        <w:lastRenderedPageBreak/>
        <w:t>处分、分配基金的任何财产。</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（3）基金托管人按照规定开设基金财产的资金账户和证券账户。</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（4）基金托管人对所托管的不同基金财产分别设置账户，与基金托管人的其他业务和其他基金的托管业务实行严格的分账管理，确保基金财产的完整与独立。</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对于因基金认（申）购、基金投资过程中产生的应收财产，如基金托管人无法从公开信息渠道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有义务配合基金管理人进行追偿，但对此不承担责任。</w:t>
      </w:r>
    </w:p>
    <w:p w:rsidR="00057FC1"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bookmarkStart w:id="910" w:name="_Toc37159174"/>
      <w:r w:rsidRPr="00453203">
        <w:rPr>
          <w:rFonts w:asciiTheme="minorEastAsia" w:eastAsiaTheme="minorEastAsia" w:hAnsiTheme="minorEastAsia" w:hint="eastAsia"/>
          <w:szCs w:val="21"/>
        </w:rPr>
        <w:t>2、</w:t>
      </w:r>
      <w:r w:rsidR="00057FC1" w:rsidRPr="00453203">
        <w:rPr>
          <w:rFonts w:asciiTheme="minorEastAsia" w:eastAsiaTheme="minorEastAsia" w:hAnsiTheme="minorEastAsia" w:hint="eastAsia"/>
          <w:szCs w:val="21"/>
        </w:rPr>
        <w:t>募集资金的验证</w:t>
      </w:r>
      <w:bookmarkEnd w:id="910"/>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募集期满或基金募集结束后，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由基金管理人聘请具有从事证券业务资格的会计师事务所进行验资，出具验资报告，出具的验资报告应由参加验资的</w:t>
      </w: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名以上（含</w:t>
      </w:r>
      <w:r w:rsidRPr="00453203">
        <w:rPr>
          <w:rFonts w:asciiTheme="minorEastAsia" w:eastAsiaTheme="minorEastAsia" w:hAnsiTheme="minorEastAsia"/>
          <w:szCs w:val="21"/>
        </w:rPr>
        <w:t>2</w:t>
      </w:r>
      <w:r w:rsidRPr="00453203">
        <w:rPr>
          <w:rFonts w:asciiTheme="minorEastAsia" w:eastAsiaTheme="minorEastAsia" w:hAnsiTheme="minorEastAsia" w:hint="eastAsia"/>
          <w:szCs w:val="21"/>
        </w:rPr>
        <w:t>名）中国注册会计师签字方为有效。</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若基金募集期限届满，未能达到《基金合同》生效的条件，由基金管理人按规定办理退款等事宜。</w:t>
      </w:r>
    </w:p>
    <w:p w:rsidR="00057FC1"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w:t>
      </w:r>
      <w:r w:rsidR="00057FC1" w:rsidRPr="00453203">
        <w:rPr>
          <w:rFonts w:asciiTheme="minorEastAsia" w:eastAsiaTheme="minorEastAsia" w:hAnsiTheme="minorEastAsia" w:hint="eastAsia"/>
          <w:szCs w:val="21"/>
        </w:rPr>
        <w:t>基金的银行账户的开立和管理</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应负责本基金银行存款账户的开立和管理。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资产托管专户的管理应符合有关法律法规规定。</w:t>
      </w:r>
    </w:p>
    <w:p w:rsidR="00057FC1" w:rsidRPr="00453203" w:rsidRDefault="00057FC1"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基金托管人应严格管理基金在基金托管人处开立的银行存款账户、及时核查基金银行存款账户余额。</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4、基金证券账户与证券交易资金账户的开设和管理</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基金托管人以基金托管人和本基金联名的方式在中国证券登记结算有限责任公司上海分公司/深圳分公司开设证券账户。</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基金托管人以基金托管人的名义在中国证券登记结算有限责任公司上海分公司/深圳分公司开立基金证券交易资金账户，用于证券清算。</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基金证券账户的开立和使用，限于满足开展本基金业务的需要。基金托管人和基金管理人不得出借和未经对方书面同意擅自转让基金的任何证券账户；亦不得使用基金的任何账户进行本基金业务以外的活动。</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5、债券托管账户的开立和管理</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（2）基金管理人和基金托管人应一起负责为基金对外签订全国银行间国债市场回购主协议，正本由基金托管人保管，基金管理人保存副本。</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6、其他账户的开设和管理</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7、基金财产投资的有关实物证券、银行定期存款存单等有价凭证的保管</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及银行定期存款存单等有价凭证在基金托管人保管期间的损坏、灭失，由此产生的责任应由基金托管人承担。基金托管人对基金托管人以外机构实际有效控制的证券不承担保管责任。</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8、与基金财产有关的重大合同的保管</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10个工作日内通过专人送达、挂号邮寄等安全方式将合同原件送达基金托管人处。合同原件应存放于基金管理人和基金托管人各自文件保管部门15年以上。</w:t>
      </w:r>
    </w:p>
    <w:p w:rsidR="00266A27"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对于无法取得二份以上的正本的，基金管理人应向基金托管人提供加盖授权业务章的合同传真件，未经双方协商或未在合同约定范围内，合同原件不得转移。</w:t>
      </w:r>
    </w:p>
    <w:p w:rsidR="00266A27"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911" w:name="_Toc238870150"/>
      <w:r w:rsidRPr="00453203">
        <w:rPr>
          <w:rFonts w:asciiTheme="minorEastAsia" w:eastAsiaTheme="minorEastAsia" w:hAnsiTheme="minorEastAsia" w:hint="eastAsia"/>
          <w:szCs w:val="21"/>
        </w:rPr>
        <w:lastRenderedPageBreak/>
        <w:t>（五）基金资产净值计算与复核</w:t>
      </w:r>
      <w:bookmarkEnd w:id="911"/>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1、基金资产净值的计算、复核的时间和程序</w:t>
      </w:r>
    </w:p>
    <w:p w:rsidR="00DB129C" w:rsidRPr="00453203" w:rsidRDefault="00134ECD" w:rsidP="00FE4929">
      <w:pPr>
        <w:pStyle w:val="ac"/>
        <w:autoSpaceDE w:val="0"/>
        <w:autoSpaceDN w:val="0"/>
        <w:adjustRightInd w:val="0"/>
        <w:snapToGrid w:val="0"/>
        <w:spacing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基金资产净值是指基金资产总值减去负债后的价值。基金份额净值是指计算日基金资产净值除以该计算日基金份额总份额后的数值。基金份额净值的计算保留到小数点后4位，小数点后第5位四舍五入。</w:t>
      </w:r>
      <w:r w:rsidR="006E3154" w:rsidRPr="00453203">
        <w:rPr>
          <w:rFonts w:asciiTheme="minorEastAsia" w:eastAsiaTheme="minorEastAsia" w:hAnsiTheme="minorEastAsia" w:hint="eastAsia"/>
          <w:szCs w:val="21"/>
        </w:rPr>
        <w:t>本基金各类基金份额将分别计算基金份额净值。</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w:t>
      </w:r>
      <w:r w:rsidR="007C6FEF" w:rsidRPr="00453203">
        <w:rPr>
          <w:rFonts w:asciiTheme="minorEastAsia" w:eastAsiaTheme="minorEastAsia" w:hAnsiTheme="minorEastAsia" w:hint="eastAsia"/>
          <w:szCs w:val="21"/>
        </w:rPr>
        <w:t>各类</w:t>
      </w:r>
      <w:r w:rsidRPr="00453203">
        <w:rPr>
          <w:rFonts w:asciiTheme="minorEastAsia" w:eastAsiaTheme="minorEastAsia" w:hAnsiTheme="minorEastAsia" w:hint="eastAsia"/>
          <w:szCs w:val="21"/>
        </w:rPr>
        <w:t>基金份额净值并以双方认可的方式发送给基金托管人。基金托管人对净值计算结果复核后，签署确认并以双方认可的方式发送给基金管理人，由基金管理人对基金净值予以公布。</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根据《基金法》，基金管理人计算并公告基金资产净值，基金托管人复核、审查基金管理人计算的基金资产净值。因此，本基金的会计责任方是基金管理人；就与本基金有关的会计问题，如经双方在平等基础上充分讨论后，仍无法达成一致的意见，按照基金管理人对基金资产净值的计算结果对外予以公布，法律法规以及监管部门有强制规定的，从其规定。如有新增事项，按国家最新规定估值。</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2、估值差错处理</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差错责任方追偿。</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w:t>
      </w:r>
      <w:r w:rsidRPr="00453203">
        <w:rPr>
          <w:rFonts w:asciiTheme="minorEastAsia" w:eastAsiaTheme="minorEastAsia" w:hAnsiTheme="minorEastAsia" w:hint="eastAsia"/>
          <w:szCs w:val="21"/>
        </w:rPr>
        <w:lastRenderedPageBreak/>
        <w:t>的损失，由提供错误信息的当事人一方负责赔偿。</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266A27"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912" w:name="_Toc238870151"/>
      <w:r w:rsidRPr="00453203">
        <w:rPr>
          <w:rFonts w:asciiTheme="minorEastAsia" w:eastAsiaTheme="minorEastAsia" w:hAnsiTheme="minorEastAsia" w:hint="eastAsia"/>
          <w:szCs w:val="21"/>
        </w:rPr>
        <w:t>（六）基金份额持有人名册的保管</w:t>
      </w:r>
      <w:bookmarkEnd w:id="912"/>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基金托管人以电子版形式妥善保管基金份额持有人名册，并定期刻成光盘备份，保存期限为15年。基金托管人不得将所保管的基金份额持有人名册用于基金托管业务以外的其他用途，并应遵守保密义务。</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若基金管理人或基金托管人由于自身原因无法妥善保管基金份额持有人名册，应按有关法规规定各自承担相应的责任。</w:t>
      </w:r>
    </w:p>
    <w:p w:rsidR="00266A27"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913" w:name="_Toc238870152"/>
      <w:r w:rsidRPr="00453203">
        <w:rPr>
          <w:rFonts w:asciiTheme="minorEastAsia" w:eastAsiaTheme="minorEastAsia" w:hAnsiTheme="minorEastAsia" w:hint="eastAsia"/>
          <w:szCs w:val="21"/>
        </w:rPr>
        <w:t>（</w:t>
      </w:r>
      <w:r w:rsidR="00B2203C" w:rsidRPr="00453203">
        <w:rPr>
          <w:rFonts w:asciiTheme="minorEastAsia" w:eastAsiaTheme="minorEastAsia" w:hAnsiTheme="minorEastAsia" w:hint="eastAsia"/>
          <w:szCs w:val="21"/>
        </w:rPr>
        <w:t>七</w:t>
      </w:r>
      <w:r w:rsidRPr="00453203">
        <w:rPr>
          <w:rFonts w:asciiTheme="minorEastAsia" w:eastAsiaTheme="minorEastAsia" w:hAnsiTheme="minorEastAsia" w:hint="eastAsia"/>
          <w:szCs w:val="21"/>
        </w:rPr>
        <w:t>）争议解决方式</w:t>
      </w:r>
      <w:bookmarkEnd w:id="913"/>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双方当事人同意，因本协议而产生的或与本协议有关的一切争议，除经友好协商可以解决的，应提交中国国际经济贸易仲裁委员会根据该会当时有效的仲裁规则进行仲裁，仲裁的地点在北京，仲裁裁决是终局性的并对双方均有约束力，仲裁费用由败诉方承担。</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争议处理期间，双方当事人应恪守基金管理人和基金托管人职责，继续忠实、勤勉、</w:t>
      </w:r>
      <w:r w:rsidRPr="00453203">
        <w:rPr>
          <w:rFonts w:asciiTheme="minorEastAsia" w:eastAsiaTheme="minorEastAsia" w:hAnsiTheme="minorEastAsia" w:hint="eastAsia"/>
          <w:szCs w:val="21"/>
        </w:rPr>
        <w:lastRenderedPageBreak/>
        <w:t>尽责地履行《基金合同》和托管协议规定的义务，维护基金份额持有人的合法权益。</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本协议受中国法律管辖。</w:t>
      </w:r>
    </w:p>
    <w:p w:rsidR="00266A27" w:rsidRPr="00453203" w:rsidRDefault="00266A27" w:rsidP="00AF3A10">
      <w:pPr>
        <w:snapToGrid w:val="0"/>
        <w:spacing w:line="360" w:lineRule="auto"/>
        <w:ind w:firstLineChars="200" w:firstLine="420"/>
        <w:rPr>
          <w:rFonts w:asciiTheme="minorEastAsia" w:eastAsiaTheme="minorEastAsia" w:hAnsiTheme="minorEastAsia"/>
          <w:szCs w:val="21"/>
        </w:rPr>
      </w:pPr>
      <w:bookmarkStart w:id="914" w:name="_Toc238870153"/>
      <w:r w:rsidRPr="00453203">
        <w:rPr>
          <w:rFonts w:asciiTheme="minorEastAsia" w:eastAsiaTheme="minorEastAsia" w:hAnsiTheme="minorEastAsia" w:hint="eastAsia"/>
          <w:szCs w:val="21"/>
        </w:rPr>
        <w:t>（</w:t>
      </w:r>
      <w:r w:rsidR="00B2203C" w:rsidRPr="00453203">
        <w:rPr>
          <w:rFonts w:asciiTheme="minorEastAsia" w:eastAsiaTheme="minorEastAsia" w:hAnsiTheme="minorEastAsia" w:hint="eastAsia"/>
          <w:szCs w:val="21"/>
        </w:rPr>
        <w:t>八</w:t>
      </w:r>
      <w:r w:rsidRPr="00453203">
        <w:rPr>
          <w:rFonts w:asciiTheme="minorEastAsia" w:eastAsiaTheme="minorEastAsia" w:hAnsiTheme="minorEastAsia" w:hint="eastAsia"/>
          <w:szCs w:val="21"/>
        </w:rPr>
        <w:t>）托管协议的变更与终止</w:t>
      </w:r>
      <w:bookmarkEnd w:id="914"/>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1、托管协议的变更程序</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本协议双方当事人经协商一致，可以对协议的内容进行变更。变更后的托管协议，其内容不得与《基金合同》的规定有任何冲突。</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2、基金托管协议终止的情形</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发生以下情况，本托管协议终止：</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（1）《基金合同》终止；</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（2）基金托管人解散、依法被撤销、破产或有其他基金托管人接管基金资产；</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（3）基金管理人解散、依法被撤销、破产或有其他基金管理人接管基金管理权；</w:t>
      </w:r>
    </w:p>
    <w:p w:rsidR="00134ECD" w:rsidRPr="00453203" w:rsidRDefault="00134ECD"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（4）发生法律法规或《基金合同》规定的终止事项。</w:t>
      </w:r>
    </w:p>
    <w:p w:rsidR="00032921" w:rsidRPr="00453203" w:rsidRDefault="00032921" w:rsidP="00643071">
      <w:pPr>
        <w:snapToGrid w:val="0"/>
        <w:spacing w:line="360" w:lineRule="auto"/>
        <w:ind w:firstLine="200"/>
        <w:rPr>
          <w:rFonts w:asciiTheme="minorEastAsia" w:eastAsiaTheme="minorEastAsia" w:hAnsiTheme="minorEastAsia"/>
        </w:rPr>
      </w:pPr>
    </w:p>
    <w:p w:rsidR="00266A27" w:rsidRPr="00453203" w:rsidRDefault="000A3186" w:rsidP="00741477">
      <w:pPr>
        <w:pStyle w:val="1"/>
        <w:snapToGrid w:val="0"/>
        <w:spacing w:beforeLines="0" w:afterLines="0" w:line="360" w:lineRule="auto"/>
        <w:ind w:firstLineChars="0"/>
        <w:rPr>
          <w:rFonts w:asciiTheme="minorEastAsia" w:eastAsiaTheme="minorEastAsia" w:hAnsiTheme="minorEastAsia"/>
          <w:bCs/>
        </w:rPr>
      </w:pPr>
      <w:r w:rsidRPr="00453203">
        <w:rPr>
          <w:rFonts w:asciiTheme="minorEastAsia" w:eastAsiaTheme="minorEastAsia" w:hAnsiTheme="minorEastAsia"/>
        </w:rPr>
        <w:br w:type="page"/>
      </w:r>
      <w:bookmarkStart w:id="915" w:name="_Toc34834776"/>
      <w:r w:rsidR="00B924A2" w:rsidRPr="00453203">
        <w:rPr>
          <w:rFonts w:asciiTheme="minorEastAsia" w:eastAsiaTheme="minorEastAsia" w:hAnsiTheme="minorEastAsia" w:hint="eastAsia"/>
          <w:bCs/>
        </w:rPr>
        <w:lastRenderedPageBreak/>
        <w:t>二十三</w:t>
      </w:r>
      <w:r w:rsidR="00266A27" w:rsidRPr="00453203">
        <w:rPr>
          <w:rFonts w:asciiTheme="minorEastAsia" w:eastAsiaTheme="minorEastAsia" w:hAnsiTheme="minorEastAsia" w:hint="eastAsia"/>
          <w:bCs/>
        </w:rPr>
        <w:t>、对基金份额持有人的服务</w:t>
      </w:r>
      <w:bookmarkStart w:id="916" w:name="_Toc38186634"/>
      <w:bookmarkEnd w:id="915"/>
    </w:p>
    <w:p w:rsidR="00266A27" w:rsidRPr="00453203" w:rsidRDefault="00266A27"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r w:rsidRPr="00453203">
        <w:rPr>
          <w:rFonts w:asciiTheme="minorEastAsia" w:eastAsiaTheme="minorEastAsia" w:hAnsiTheme="minorEastAsia" w:hint="eastAsia"/>
          <w:szCs w:val="21"/>
        </w:rPr>
        <w:t>基金管理人承诺为基金份额持有人提供一系列的服务。以下是主要的服务内容，基金管理人根据基金份额持有人的需要和市场的变化，有权增加、修改这些服务项目：</w:t>
      </w:r>
    </w:p>
    <w:p w:rsidR="00266A27" w:rsidRPr="00453203" w:rsidRDefault="00266A27"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（一）基金份额持有人投资交易确认服务</w:t>
      </w:r>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注册登记机构保留基金份额持有人名册上列明的所有基金份额持有人的基金交易记录。</w:t>
      </w:r>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基金管理人直销</w:t>
      </w:r>
      <w:r w:rsidR="006775F0" w:rsidRPr="00453203">
        <w:rPr>
          <w:rFonts w:asciiTheme="minorEastAsia" w:eastAsiaTheme="minorEastAsia" w:hAnsiTheme="minorEastAsia" w:hint="eastAsia"/>
          <w:szCs w:val="21"/>
        </w:rPr>
        <w:t>网点</w:t>
      </w:r>
      <w:r w:rsidRPr="00453203">
        <w:rPr>
          <w:rFonts w:asciiTheme="minorEastAsia" w:eastAsiaTheme="minorEastAsia" w:hAnsiTheme="minorEastAsia" w:hint="eastAsia"/>
          <w:szCs w:val="21"/>
        </w:rPr>
        <w:t>应根据在基金管理人直销</w:t>
      </w:r>
      <w:r w:rsidR="006775F0" w:rsidRPr="00453203">
        <w:rPr>
          <w:rFonts w:asciiTheme="minorEastAsia" w:eastAsiaTheme="minorEastAsia" w:hAnsiTheme="minorEastAsia" w:hint="eastAsia"/>
          <w:szCs w:val="21"/>
        </w:rPr>
        <w:t>网点</w:t>
      </w:r>
      <w:r w:rsidRPr="00453203">
        <w:rPr>
          <w:rFonts w:asciiTheme="minorEastAsia" w:eastAsiaTheme="minorEastAsia" w:hAnsiTheme="minorEastAsia" w:hint="eastAsia"/>
          <w:szCs w:val="21"/>
        </w:rPr>
        <w:t>进行交易的投资者的要求提</w:t>
      </w:r>
      <w:r w:rsidR="00C461FE" w:rsidRPr="00453203">
        <w:rPr>
          <w:rFonts w:asciiTheme="minorEastAsia" w:eastAsiaTheme="minorEastAsia" w:hAnsiTheme="minorEastAsia" w:hint="eastAsia"/>
          <w:szCs w:val="21"/>
        </w:rPr>
        <w:t>供</w:t>
      </w:r>
      <w:r w:rsidRPr="00453203">
        <w:rPr>
          <w:rFonts w:asciiTheme="minorEastAsia" w:eastAsiaTheme="minorEastAsia" w:hAnsiTheme="minorEastAsia" w:hint="eastAsia"/>
          <w:szCs w:val="21"/>
        </w:rPr>
        <w:t>成交确认单。</w:t>
      </w:r>
      <w:r w:rsidR="002A42C6" w:rsidRPr="00453203">
        <w:rPr>
          <w:rFonts w:asciiTheme="minorEastAsia" w:eastAsiaTheme="minorEastAsia" w:hAnsiTheme="minorEastAsia" w:hint="eastAsia"/>
          <w:szCs w:val="21"/>
        </w:rPr>
        <w:t>基金非直销销售机构应根据在销售网点进行交易的投资者的要求提供成交确认单。</w:t>
      </w:r>
    </w:p>
    <w:p w:rsidR="00266A27" w:rsidRPr="00453203" w:rsidRDefault="00266A27"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（二）基金份额持有人交易记录查询服务</w:t>
      </w:r>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本基金份额持有人可通过基金管理人的客户服务中心查询历史交易记录。</w:t>
      </w:r>
    </w:p>
    <w:p w:rsidR="004C5114" w:rsidRPr="00453203" w:rsidRDefault="00266A27"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（三）</w:t>
      </w:r>
      <w:r w:rsidR="004C5114" w:rsidRPr="00453203">
        <w:rPr>
          <w:rFonts w:asciiTheme="minorEastAsia" w:eastAsiaTheme="minorEastAsia" w:hAnsiTheme="minorEastAsia" w:hint="eastAsia"/>
          <w:szCs w:val="21"/>
        </w:rPr>
        <w:t>基金份额持有人对</w:t>
      </w:r>
      <w:r w:rsidR="0027044F" w:rsidRPr="00453203">
        <w:rPr>
          <w:rFonts w:asciiTheme="minorEastAsia" w:eastAsiaTheme="minorEastAsia" w:hAnsiTheme="minorEastAsia" w:hint="eastAsia"/>
          <w:szCs w:val="21"/>
        </w:rPr>
        <w:t>账</w:t>
      </w:r>
      <w:r w:rsidR="004C5114" w:rsidRPr="00453203">
        <w:rPr>
          <w:rFonts w:asciiTheme="minorEastAsia" w:eastAsiaTheme="minorEastAsia" w:hAnsiTheme="minorEastAsia" w:hint="eastAsia"/>
          <w:szCs w:val="21"/>
        </w:rPr>
        <w:t>单服务</w:t>
      </w:r>
    </w:p>
    <w:p w:rsidR="00A644A2" w:rsidRPr="00453203" w:rsidRDefault="00A644A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1</w:t>
      </w:r>
      <w:r w:rsidR="009A028B"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基金份额持有人可登录本公司网站（</w:t>
      </w:r>
      <w:r w:rsidRPr="00453203">
        <w:rPr>
          <w:rFonts w:asciiTheme="minorEastAsia" w:eastAsiaTheme="minorEastAsia" w:hAnsiTheme="minorEastAsia"/>
          <w:szCs w:val="21"/>
        </w:rPr>
        <w:t>http://www.efunds.com.cn</w:t>
      </w:r>
      <w:r w:rsidRPr="00453203">
        <w:rPr>
          <w:rFonts w:asciiTheme="minorEastAsia" w:eastAsiaTheme="minorEastAsia" w:hAnsiTheme="minorEastAsia" w:hint="eastAsia"/>
          <w:szCs w:val="21"/>
        </w:rPr>
        <w:t>）查阅对账单。</w:t>
      </w:r>
    </w:p>
    <w:p w:rsidR="00A644A2" w:rsidRPr="00453203" w:rsidRDefault="00A644A2"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szCs w:val="21"/>
        </w:rPr>
        <w:t>2</w:t>
      </w:r>
      <w:r w:rsidR="009A028B"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基金份额持有人也可向本公司定制纸质、电子或短信形式的定期或不定期对账单。</w:t>
      </w:r>
    </w:p>
    <w:p w:rsidR="002D65F4" w:rsidRPr="00453203" w:rsidRDefault="002D65F4"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具体查阅和定制账单的方法可参见本公司网站或拨打客服热线咨询。</w:t>
      </w:r>
    </w:p>
    <w:p w:rsidR="00266A27" w:rsidRPr="00453203" w:rsidRDefault="00266A27"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901E3D" w:rsidRPr="00453203">
        <w:rPr>
          <w:rFonts w:asciiTheme="minorEastAsia" w:eastAsiaTheme="minorEastAsia" w:hAnsiTheme="minorEastAsia" w:hint="eastAsia"/>
          <w:szCs w:val="21"/>
        </w:rPr>
        <w:t>四</w:t>
      </w:r>
      <w:r w:rsidRPr="00453203">
        <w:rPr>
          <w:rFonts w:asciiTheme="minorEastAsia" w:eastAsiaTheme="minorEastAsia" w:hAnsiTheme="minorEastAsia" w:hint="eastAsia"/>
          <w:szCs w:val="21"/>
        </w:rPr>
        <w:t>）定期定额投资计划</w:t>
      </w:r>
    </w:p>
    <w:p w:rsidR="00266A27" w:rsidRPr="00453203" w:rsidRDefault="003F578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基金管理人可利用</w:t>
      </w:r>
      <w:r w:rsidR="002A42C6" w:rsidRPr="00453203">
        <w:rPr>
          <w:rFonts w:asciiTheme="minorEastAsia" w:eastAsiaTheme="minorEastAsia" w:hAnsiTheme="minorEastAsia" w:hint="eastAsia"/>
          <w:szCs w:val="21"/>
        </w:rPr>
        <w:t>非直销销售</w:t>
      </w:r>
      <w:r w:rsidRPr="00453203">
        <w:rPr>
          <w:rFonts w:asciiTheme="minorEastAsia" w:eastAsiaTheme="minorEastAsia" w:hAnsiTheme="minorEastAsia" w:hint="eastAsia"/>
          <w:szCs w:val="21"/>
        </w:rPr>
        <w:t>机构网点和本公司网上交易系统为投资者提供定期定额投资的服务（本公司网上交易系统的定期定额投资服务目前仅对个人投资者开通）。</w:t>
      </w:r>
      <w:r w:rsidR="00266A27" w:rsidRPr="00453203">
        <w:rPr>
          <w:rFonts w:asciiTheme="minorEastAsia" w:eastAsiaTheme="minorEastAsia" w:hAnsiTheme="minorEastAsia" w:hint="eastAsia"/>
          <w:szCs w:val="21"/>
        </w:rPr>
        <w:t>通过定期</w:t>
      </w:r>
      <w:r w:rsidR="00243084" w:rsidRPr="00453203">
        <w:rPr>
          <w:rFonts w:asciiTheme="minorEastAsia" w:eastAsiaTheme="minorEastAsia" w:hAnsiTheme="minorEastAsia" w:hint="eastAsia"/>
          <w:szCs w:val="21"/>
        </w:rPr>
        <w:t>定额</w:t>
      </w:r>
      <w:r w:rsidR="00266A27" w:rsidRPr="00453203">
        <w:rPr>
          <w:rFonts w:asciiTheme="minorEastAsia" w:eastAsiaTheme="minorEastAsia" w:hAnsiTheme="minorEastAsia" w:hint="eastAsia"/>
          <w:szCs w:val="21"/>
        </w:rPr>
        <w:t>投资计划，投资者可以通过固定的渠道，定期定额申购基金份额</w:t>
      </w:r>
      <w:r w:rsidR="00266A27" w:rsidRPr="00453203">
        <w:rPr>
          <w:rFonts w:asciiTheme="minorEastAsia" w:eastAsiaTheme="minorEastAsia" w:hAnsiTheme="minorEastAsia"/>
          <w:szCs w:val="21"/>
        </w:rPr>
        <w:t>，</w:t>
      </w:r>
      <w:r w:rsidR="00266A27" w:rsidRPr="00453203">
        <w:rPr>
          <w:rFonts w:asciiTheme="minorEastAsia" w:eastAsiaTheme="minorEastAsia" w:hAnsiTheme="minorEastAsia" w:hint="eastAsia"/>
          <w:szCs w:val="21"/>
        </w:rPr>
        <w:t>具体实施方法</w:t>
      </w:r>
      <w:r w:rsidR="002D65F4" w:rsidRPr="00453203">
        <w:rPr>
          <w:rFonts w:asciiTheme="minorEastAsia" w:eastAsiaTheme="minorEastAsia" w:hAnsiTheme="minorEastAsia" w:hint="eastAsia"/>
          <w:szCs w:val="21"/>
        </w:rPr>
        <w:t>见相关公告</w:t>
      </w:r>
      <w:r w:rsidR="00266A27" w:rsidRPr="00453203">
        <w:rPr>
          <w:rFonts w:asciiTheme="minorEastAsia" w:eastAsiaTheme="minorEastAsia" w:hAnsiTheme="minorEastAsia" w:hint="eastAsia"/>
          <w:szCs w:val="21"/>
        </w:rPr>
        <w:t>。</w:t>
      </w:r>
    </w:p>
    <w:p w:rsidR="00266A27" w:rsidRPr="00453203" w:rsidRDefault="00266A27"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w:t>
      </w:r>
      <w:r w:rsidR="00901E3D" w:rsidRPr="00453203">
        <w:rPr>
          <w:rFonts w:asciiTheme="minorEastAsia" w:eastAsiaTheme="minorEastAsia" w:hAnsiTheme="minorEastAsia" w:hint="eastAsia"/>
          <w:szCs w:val="21"/>
        </w:rPr>
        <w:t>五</w:t>
      </w:r>
      <w:r w:rsidRPr="00453203">
        <w:rPr>
          <w:rFonts w:asciiTheme="minorEastAsia" w:eastAsiaTheme="minorEastAsia" w:hAnsiTheme="minorEastAsia" w:hint="eastAsia"/>
          <w:szCs w:val="21"/>
        </w:rPr>
        <w:t>）资讯服务</w:t>
      </w:r>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1</w:t>
      </w:r>
      <w:r w:rsidR="00541D9A"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客户服务电话</w:t>
      </w:r>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投资者如果想了解申购与赎回的交易情况、基金帐户余额、基金产品与服务等信息，</w:t>
      </w:r>
      <w:r w:rsidR="00243084" w:rsidRPr="00453203">
        <w:rPr>
          <w:rFonts w:asciiTheme="minorEastAsia" w:eastAsiaTheme="minorEastAsia" w:hAnsiTheme="minorEastAsia" w:hint="eastAsia"/>
          <w:szCs w:val="21"/>
        </w:rPr>
        <w:t>或反馈投资过程中需要投诉与建议的情况，</w:t>
      </w:r>
      <w:r w:rsidRPr="00453203">
        <w:rPr>
          <w:rFonts w:asciiTheme="minorEastAsia" w:eastAsiaTheme="minorEastAsia" w:hAnsiTheme="minorEastAsia" w:hint="eastAsia"/>
          <w:szCs w:val="21"/>
        </w:rPr>
        <w:t>可拨打如下电话：4008818088</w:t>
      </w:r>
      <w:r w:rsidRPr="00453203">
        <w:rPr>
          <w:rFonts w:asciiTheme="minorEastAsia" w:eastAsiaTheme="minorEastAsia" w:hAnsiTheme="minorEastAsia"/>
          <w:szCs w:val="21"/>
        </w:rPr>
        <w:t>（免长途话费）</w:t>
      </w:r>
      <w:r w:rsidRPr="00453203">
        <w:rPr>
          <w:rFonts w:asciiTheme="minorEastAsia" w:eastAsiaTheme="minorEastAsia" w:hAnsiTheme="minorEastAsia" w:hint="eastAsia"/>
          <w:szCs w:val="21"/>
        </w:rPr>
        <w:t>。</w:t>
      </w:r>
      <w:r w:rsidR="00243084" w:rsidRPr="00453203">
        <w:rPr>
          <w:rFonts w:asciiTheme="minorEastAsia" w:eastAsiaTheme="minorEastAsia" w:hAnsiTheme="minorEastAsia" w:hint="eastAsia"/>
          <w:szCs w:val="21"/>
        </w:rPr>
        <w:t>投资者如果认为自己不能准确理解本基金《招募说明书》、《基金合同》的具体内容，也可拨打上述电话详询。</w:t>
      </w:r>
    </w:p>
    <w:p w:rsidR="00266A27" w:rsidRPr="00453203" w:rsidRDefault="00266A27"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541D9A"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互联网站及电子信箱</w:t>
      </w:r>
    </w:p>
    <w:p w:rsidR="00266A27" w:rsidRPr="00453203" w:rsidRDefault="00266A27"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网址：</w:t>
      </w:r>
      <w:hyperlink r:id="rId18" w:history="1">
        <w:r w:rsidRPr="00453203">
          <w:rPr>
            <w:rFonts w:asciiTheme="minorEastAsia" w:eastAsiaTheme="minorEastAsia" w:hAnsiTheme="minorEastAsia" w:hint="eastAsia"/>
            <w:szCs w:val="21"/>
          </w:rPr>
          <w:t>http://www.efunds.com.cn</w:t>
        </w:r>
      </w:hyperlink>
    </w:p>
    <w:p w:rsidR="00266A27" w:rsidRPr="00453203" w:rsidRDefault="00266A27" w:rsidP="00173B3E">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电子信箱：</w:t>
      </w:r>
      <w:hyperlink r:id="rId19" w:history="1">
        <w:r w:rsidRPr="00453203">
          <w:rPr>
            <w:rFonts w:asciiTheme="minorEastAsia" w:eastAsiaTheme="minorEastAsia" w:hAnsiTheme="minorEastAsia" w:hint="eastAsia"/>
            <w:szCs w:val="21"/>
          </w:rPr>
          <w:t>service@efunds.com.cn</w:t>
        </w:r>
      </w:hyperlink>
    </w:p>
    <w:p w:rsidR="00304A3C" w:rsidRPr="00453203" w:rsidRDefault="00304A3C" w:rsidP="00643071">
      <w:pPr>
        <w:pStyle w:val="ac"/>
        <w:autoSpaceDE w:val="0"/>
        <w:autoSpaceDN w:val="0"/>
        <w:adjustRightInd w:val="0"/>
        <w:snapToGrid w:val="0"/>
        <w:spacing w:after="0" w:line="360" w:lineRule="auto"/>
        <w:ind w:firstLineChars="200"/>
        <w:rPr>
          <w:rFonts w:asciiTheme="minorEastAsia" w:eastAsiaTheme="minorEastAsia" w:hAnsiTheme="minorEastAsia"/>
        </w:rPr>
      </w:pPr>
    </w:p>
    <w:p w:rsidR="00304A3C" w:rsidRPr="00453203" w:rsidRDefault="00304A3C" w:rsidP="00643071">
      <w:pPr>
        <w:pStyle w:val="ac"/>
        <w:autoSpaceDE w:val="0"/>
        <w:autoSpaceDN w:val="0"/>
        <w:adjustRightInd w:val="0"/>
        <w:snapToGrid w:val="0"/>
        <w:spacing w:after="0" w:line="360" w:lineRule="auto"/>
        <w:ind w:firstLineChars="200"/>
        <w:rPr>
          <w:rFonts w:asciiTheme="minorEastAsia" w:eastAsiaTheme="minorEastAsia" w:hAnsiTheme="minorEastAsia"/>
        </w:rPr>
      </w:pPr>
    </w:p>
    <w:p w:rsidR="00304A3C" w:rsidRPr="00453203" w:rsidRDefault="00304A3C" w:rsidP="00643071">
      <w:pPr>
        <w:pStyle w:val="ac"/>
        <w:autoSpaceDE w:val="0"/>
        <w:autoSpaceDN w:val="0"/>
        <w:adjustRightInd w:val="0"/>
        <w:snapToGrid w:val="0"/>
        <w:spacing w:after="0" w:line="360" w:lineRule="auto"/>
        <w:ind w:firstLineChars="200"/>
        <w:rPr>
          <w:rFonts w:asciiTheme="minorEastAsia" w:eastAsiaTheme="minorEastAsia" w:hAnsiTheme="minorEastAsia"/>
        </w:rPr>
      </w:pPr>
    </w:p>
    <w:p w:rsidR="00304A3C" w:rsidRPr="00453203" w:rsidRDefault="00304A3C" w:rsidP="00643071">
      <w:pPr>
        <w:pStyle w:val="ac"/>
        <w:autoSpaceDE w:val="0"/>
        <w:autoSpaceDN w:val="0"/>
        <w:adjustRightInd w:val="0"/>
        <w:snapToGrid w:val="0"/>
        <w:spacing w:after="0" w:line="360" w:lineRule="auto"/>
        <w:ind w:firstLineChars="200"/>
        <w:rPr>
          <w:rFonts w:asciiTheme="minorEastAsia" w:eastAsiaTheme="minorEastAsia" w:hAnsiTheme="minorEastAsia"/>
          <w:szCs w:val="21"/>
        </w:rPr>
      </w:pPr>
    </w:p>
    <w:p w:rsidR="00266A27" w:rsidRPr="00453203" w:rsidRDefault="00B924A2" w:rsidP="00741477">
      <w:pPr>
        <w:pStyle w:val="1"/>
        <w:snapToGrid w:val="0"/>
        <w:spacing w:beforeLines="0" w:afterLines="0" w:line="360" w:lineRule="auto"/>
        <w:ind w:firstLineChars="0" w:firstLine="0"/>
        <w:rPr>
          <w:rFonts w:asciiTheme="minorEastAsia" w:eastAsiaTheme="minorEastAsia" w:hAnsiTheme="minorEastAsia"/>
          <w:bCs/>
        </w:rPr>
      </w:pPr>
      <w:bookmarkStart w:id="917" w:name="_Toc38438275"/>
      <w:bookmarkStart w:id="918" w:name="_Toc38438612"/>
      <w:bookmarkStart w:id="919" w:name="_Toc38438949"/>
      <w:bookmarkStart w:id="920" w:name="_Toc38439286"/>
      <w:bookmarkStart w:id="921" w:name="_Toc38439623"/>
      <w:bookmarkStart w:id="922" w:name="_Toc38439960"/>
      <w:bookmarkStart w:id="923" w:name="_Toc38440297"/>
      <w:bookmarkStart w:id="924" w:name="_Toc38440630"/>
      <w:bookmarkStart w:id="925" w:name="_Toc38440829"/>
      <w:bookmarkStart w:id="926" w:name="_Toc38441161"/>
      <w:bookmarkStart w:id="927" w:name="_Toc38441493"/>
      <w:bookmarkStart w:id="928" w:name="_Toc38441821"/>
      <w:bookmarkStart w:id="929" w:name="_Toc38442153"/>
      <w:bookmarkStart w:id="930" w:name="_Toc38442485"/>
      <w:bookmarkStart w:id="931" w:name="_Toc38442816"/>
      <w:bookmarkStart w:id="932" w:name="_Toc38443147"/>
      <w:bookmarkStart w:id="933" w:name="_Toc38443478"/>
      <w:bookmarkStart w:id="934" w:name="_Toc38443809"/>
      <w:bookmarkStart w:id="935" w:name="_Toc38438277"/>
      <w:bookmarkStart w:id="936" w:name="_Toc38438614"/>
      <w:bookmarkStart w:id="937" w:name="_Toc38438951"/>
      <w:bookmarkStart w:id="938" w:name="_Toc38439288"/>
      <w:bookmarkStart w:id="939" w:name="_Toc38439625"/>
      <w:bookmarkStart w:id="940" w:name="_Toc38439962"/>
      <w:bookmarkStart w:id="941" w:name="_Toc38440299"/>
      <w:bookmarkStart w:id="942" w:name="_Toc38440632"/>
      <w:bookmarkStart w:id="943" w:name="_Toc38440831"/>
      <w:bookmarkStart w:id="944" w:name="_Toc38441163"/>
      <w:bookmarkStart w:id="945" w:name="_Toc38441495"/>
      <w:bookmarkStart w:id="946" w:name="_Toc38441823"/>
      <w:bookmarkStart w:id="947" w:name="_Toc38442155"/>
      <w:bookmarkStart w:id="948" w:name="_Toc38442487"/>
      <w:bookmarkStart w:id="949" w:name="_Toc38442818"/>
      <w:bookmarkStart w:id="950" w:name="_Toc38443149"/>
      <w:bookmarkStart w:id="951" w:name="_Toc38443480"/>
      <w:bookmarkStart w:id="952" w:name="_Toc38443811"/>
      <w:bookmarkStart w:id="953" w:name="_Toc38438278"/>
      <w:bookmarkStart w:id="954" w:name="_Toc38438615"/>
      <w:bookmarkStart w:id="955" w:name="_Toc38438952"/>
      <w:bookmarkStart w:id="956" w:name="_Toc38439289"/>
      <w:bookmarkStart w:id="957" w:name="_Toc38439626"/>
      <w:bookmarkStart w:id="958" w:name="_Toc38439963"/>
      <w:bookmarkStart w:id="959" w:name="_Toc38440300"/>
      <w:bookmarkStart w:id="960" w:name="_Toc38440633"/>
      <w:bookmarkStart w:id="961" w:name="_Toc38440832"/>
      <w:bookmarkStart w:id="962" w:name="_Toc38441164"/>
      <w:bookmarkStart w:id="963" w:name="_Toc38441496"/>
      <w:bookmarkStart w:id="964" w:name="_Toc38441824"/>
      <w:bookmarkStart w:id="965" w:name="_Toc38442156"/>
      <w:bookmarkStart w:id="966" w:name="_Toc38442488"/>
      <w:bookmarkStart w:id="967" w:name="_Toc38442819"/>
      <w:bookmarkStart w:id="968" w:name="_Toc38443150"/>
      <w:bookmarkStart w:id="969" w:name="_Toc38443481"/>
      <w:bookmarkStart w:id="970" w:name="_Toc38443812"/>
      <w:bookmarkStart w:id="971" w:name="_Toc38438279"/>
      <w:bookmarkStart w:id="972" w:name="_Toc38438616"/>
      <w:bookmarkStart w:id="973" w:name="_Toc38438953"/>
      <w:bookmarkStart w:id="974" w:name="_Toc38439290"/>
      <w:bookmarkStart w:id="975" w:name="_Toc38439627"/>
      <w:bookmarkStart w:id="976" w:name="_Toc38439964"/>
      <w:bookmarkStart w:id="977" w:name="_Toc38440301"/>
      <w:bookmarkStart w:id="978" w:name="_Toc38440634"/>
      <w:bookmarkStart w:id="979" w:name="_Toc38440833"/>
      <w:bookmarkStart w:id="980" w:name="_Toc38441165"/>
      <w:bookmarkStart w:id="981" w:name="_Toc38441497"/>
      <w:bookmarkStart w:id="982" w:name="_Toc38441825"/>
      <w:bookmarkStart w:id="983" w:name="_Toc38442157"/>
      <w:bookmarkStart w:id="984" w:name="_Toc38442489"/>
      <w:bookmarkStart w:id="985" w:name="_Toc38442820"/>
      <w:bookmarkStart w:id="986" w:name="_Toc38443151"/>
      <w:bookmarkStart w:id="987" w:name="_Toc38443482"/>
      <w:bookmarkStart w:id="988" w:name="_Toc38443813"/>
      <w:bookmarkStart w:id="989" w:name="_Toc38438280"/>
      <w:bookmarkStart w:id="990" w:name="_Toc38438617"/>
      <w:bookmarkStart w:id="991" w:name="_Toc38438954"/>
      <w:bookmarkStart w:id="992" w:name="_Toc38439291"/>
      <w:bookmarkStart w:id="993" w:name="_Toc38439628"/>
      <w:bookmarkStart w:id="994" w:name="_Toc38439965"/>
      <w:bookmarkStart w:id="995" w:name="_Toc38440302"/>
      <w:bookmarkStart w:id="996" w:name="_Toc38440635"/>
      <w:bookmarkStart w:id="997" w:name="_Toc38440834"/>
      <w:bookmarkStart w:id="998" w:name="_Toc38441166"/>
      <w:bookmarkStart w:id="999" w:name="_Toc38441498"/>
      <w:bookmarkStart w:id="1000" w:name="_Toc38441826"/>
      <w:bookmarkStart w:id="1001" w:name="_Toc38442158"/>
      <w:bookmarkStart w:id="1002" w:name="_Toc38442490"/>
      <w:bookmarkStart w:id="1003" w:name="_Toc38442821"/>
      <w:bookmarkStart w:id="1004" w:name="_Toc38443152"/>
      <w:bookmarkStart w:id="1005" w:name="_Toc38443483"/>
      <w:bookmarkStart w:id="1006" w:name="_Toc38443814"/>
      <w:bookmarkStart w:id="1007" w:name="_Toc38438281"/>
      <w:bookmarkStart w:id="1008" w:name="_Toc38438618"/>
      <w:bookmarkStart w:id="1009" w:name="_Toc38438955"/>
      <w:bookmarkStart w:id="1010" w:name="_Toc38439292"/>
      <w:bookmarkStart w:id="1011" w:name="_Toc38439629"/>
      <w:bookmarkStart w:id="1012" w:name="_Toc38439966"/>
      <w:bookmarkStart w:id="1013" w:name="_Toc38440303"/>
      <w:bookmarkStart w:id="1014" w:name="_Toc38440636"/>
      <w:bookmarkStart w:id="1015" w:name="_Toc38440835"/>
      <w:bookmarkStart w:id="1016" w:name="_Toc38441167"/>
      <w:bookmarkStart w:id="1017" w:name="_Toc38441499"/>
      <w:bookmarkStart w:id="1018" w:name="_Toc38441827"/>
      <w:bookmarkStart w:id="1019" w:name="_Toc38442159"/>
      <w:bookmarkStart w:id="1020" w:name="_Toc38442491"/>
      <w:bookmarkStart w:id="1021" w:name="_Toc38442822"/>
      <w:bookmarkStart w:id="1022" w:name="_Toc38443153"/>
      <w:bookmarkStart w:id="1023" w:name="_Toc38443484"/>
      <w:bookmarkStart w:id="1024" w:name="_Toc38443815"/>
      <w:bookmarkStart w:id="1025" w:name="_Toc38438282"/>
      <w:bookmarkStart w:id="1026" w:name="_Toc38438619"/>
      <w:bookmarkStart w:id="1027" w:name="_Toc38438956"/>
      <w:bookmarkStart w:id="1028" w:name="_Toc38439293"/>
      <w:bookmarkStart w:id="1029" w:name="_Toc38439630"/>
      <w:bookmarkStart w:id="1030" w:name="_Toc38439967"/>
      <w:bookmarkStart w:id="1031" w:name="_Toc38440304"/>
      <w:bookmarkStart w:id="1032" w:name="_Toc38440637"/>
      <w:bookmarkStart w:id="1033" w:name="_Toc38440836"/>
      <w:bookmarkStart w:id="1034" w:name="_Toc38441168"/>
      <w:bookmarkStart w:id="1035" w:name="_Toc38441500"/>
      <w:bookmarkStart w:id="1036" w:name="_Toc38441828"/>
      <w:bookmarkStart w:id="1037" w:name="_Toc38442160"/>
      <w:bookmarkStart w:id="1038" w:name="_Toc38442492"/>
      <w:bookmarkStart w:id="1039" w:name="_Toc38442823"/>
      <w:bookmarkStart w:id="1040" w:name="_Toc38443154"/>
      <w:bookmarkStart w:id="1041" w:name="_Toc38443485"/>
      <w:bookmarkStart w:id="1042" w:name="_Toc38443816"/>
      <w:bookmarkStart w:id="1043" w:name="_Toc38438283"/>
      <w:bookmarkStart w:id="1044" w:name="_Toc38438620"/>
      <w:bookmarkStart w:id="1045" w:name="_Toc38438957"/>
      <w:bookmarkStart w:id="1046" w:name="_Toc38439294"/>
      <w:bookmarkStart w:id="1047" w:name="_Toc38439631"/>
      <w:bookmarkStart w:id="1048" w:name="_Toc38439968"/>
      <w:bookmarkStart w:id="1049" w:name="_Toc38440305"/>
      <w:bookmarkStart w:id="1050" w:name="_Toc38440638"/>
      <w:bookmarkStart w:id="1051" w:name="_Toc38440837"/>
      <w:bookmarkStart w:id="1052" w:name="_Toc38441169"/>
      <w:bookmarkStart w:id="1053" w:name="_Toc38441501"/>
      <w:bookmarkStart w:id="1054" w:name="_Toc38441829"/>
      <w:bookmarkStart w:id="1055" w:name="_Toc38442161"/>
      <w:bookmarkStart w:id="1056" w:name="_Toc38442493"/>
      <w:bookmarkStart w:id="1057" w:name="_Toc38442824"/>
      <w:bookmarkStart w:id="1058" w:name="_Toc38443155"/>
      <w:bookmarkStart w:id="1059" w:name="_Toc38443486"/>
      <w:bookmarkStart w:id="1060" w:name="_Toc38443817"/>
      <w:bookmarkStart w:id="1061" w:name="_Toc38438284"/>
      <w:bookmarkStart w:id="1062" w:name="_Toc38438621"/>
      <w:bookmarkStart w:id="1063" w:name="_Toc38438958"/>
      <w:bookmarkStart w:id="1064" w:name="_Toc38439295"/>
      <w:bookmarkStart w:id="1065" w:name="_Toc38439632"/>
      <w:bookmarkStart w:id="1066" w:name="_Toc38439969"/>
      <w:bookmarkStart w:id="1067" w:name="_Toc38440306"/>
      <w:bookmarkStart w:id="1068" w:name="_Toc38440639"/>
      <w:bookmarkStart w:id="1069" w:name="_Toc38440838"/>
      <w:bookmarkStart w:id="1070" w:name="_Toc38441170"/>
      <w:bookmarkStart w:id="1071" w:name="_Toc38441502"/>
      <w:bookmarkStart w:id="1072" w:name="_Toc38441830"/>
      <w:bookmarkStart w:id="1073" w:name="_Toc38442162"/>
      <w:bookmarkStart w:id="1074" w:name="_Toc38442494"/>
      <w:bookmarkStart w:id="1075" w:name="_Toc38442825"/>
      <w:bookmarkStart w:id="1076" w:name="_Toc38443156"/>
      <w:bookmarkStart w:id="1077" w:name="_Toc38443487"/>
      <w:bookmarkStart w:id="1078" w:name="_Toc38443818"/>
      <w:bookmarkStart w:id="1079" w:name="_Toc38438285"/>
      <w:bookmarkStart w:id="1080" w:name="_Toc38438622"/>
      <w:bookmarkStart w:id="1081" w:name="_Toc38438959"/>
      <w:bookmarkStart w:id="1082" w:name="_Toc38439296"/>
      <w:bookmarkStart w:id="1083" w:name="_Toc38439633"/>
      <w:bookmarkStart w:id="1084" w:name="_Toc38439970"/>
      <w:bookmarkStart w:id="1085" w:name="_Toc38440307"/>
      <w:bookmarkStart w:id="1086" w:name="_Toc38440640"/>
      <w:bookmarkStart w:id="1087" w:name="_Toc38440839"/>
      <w:bookmarkStart w:id="1088" w:name="_Toc38441171"/>
      <w:bookmarkStart w:id="1089" w:name="_Toc38441503"/>
      <w:bookmarkStart w:id="1090" w:name="_Toc38441831"/>
      <w:bookmarkStart w:id="1091" w:name="_Toc38442163"/>
      <w:bookmarkStart w:id="1092" w:name="_Toc38442495"/>
      <w:bookmarkStart w:id="1093" w:name="_Toc38442826"/>
      <w:bookmarkStart w:id="1094" w:name="_Toc38443157"/>
      <w:bookmarkStart w:id="1095" w:name="_Toc38443488"/>
      <w:bookmarkStart w:id="1096" w:name="_Toc38443819"/>
      <w:bookmarkStart w:id="1097" w:name="_Toc38438286"/>
      <w:bookmarkStart w:id="1098" w:name="_Toc38438623"/>
      <w:bookmarkStart w:id="1099" w:name="_Toc38438960"/>
      <w:bookmarkStart w:id="1100" w:name="_Toc38439297"/>
      <w:bookmarkStart w:id="1101" w:name="_Toc38439634"/>
      <w:bookmarkStart w:id="1102" w:name="_Toc38439971"/>
      <w:bookmarkStart w:id="1103" w:name="_Toc38440308"/>
      <w:bookmarkStart w:id="1104" w:name="_Toc38440641"/>
      <w:bookmarkStart w:id="1105" w:name="_Toc38440840"/>
      <w:bookmarkStart w:id="1106" w:name="_Toc38441172"/>
      <w:bookmarkStart w:id="1107" w:name="_Toc38441504"/>
      <w:bookmarkStart w:id="1108" w:name="_Toc38441832"/>
      <w:bookmarkStart w:id="1109" w:name="_Toc38442164"/>
      <w:bookmarkStart w:id="1110" w:name="_Toc38442496"/>
      <w:bookmarkStart w:id="1111" w:name="_Toc38442827"/>
      <w:bookmarkStart w:id="1112" w:name="_Toc38443158"/>
      <w:bookmarkStart w:id="1113" w:name="_Toc38443489"/>
      <w:bookmarkStart w:id="1114" w:name="_Toc38443820"/>
      <w:bookmarkStart w:id="1115" w:name="_Toc38438287"/>
      <w:bookmarkStart w:id="1116" w:name="_Toc38438624"/>
      <w:bookmarkStart w:id="1117" w:name="_Toc38438961"/>
      <w:bookmarkStart w:id="1118" w:name="_Toc38439298"/>
      <w:bookmarkStart w:id="1119" w:name="_Toc38439635"/>
      <w:bookmarkStart w:id="1120" w:name="_Toc38439972"/>
      <w:bookmarkStart w:id="1121" w:name="_Toc38440309"/>
      <w:bookmarkStart w:id="1122" w:name="_Toc38440642"/>
      <w:bookmarkStart w:id="1123" w:name="_Toc38440841"/>
      <w:bookmarkStart w:id="1124" w:name="_Toc38441173"/>
      <w:bookmarkStart w:id="1125" w:name="_Toc38441505"/>
      <w:bookmarkStart w:id="1126" w:name="_Toc38441833"/>
      <w:bookmarkStart w:id="1127" w:name="_Toc38442165"/>
      <w:bookmarkStart w:id="1128" w:name="_Toc38442497"/>
      <w:bookmarkStart w:id="1129" w:name="_Toc38442828"/>
      <w:bookmarkStart w:id="1130" w:name="_Toc38443159"/>
      <w:bookmarkStart w:id="1131" w:name="_Toc38443490"/>
      <w:bookmarkStart w:id="1132" w:name="_Toc38443821"/>
      <w:bookmarkStart w:id="1133" w:name="_Toc38438288"/>
      <w:bookmarkStart w:id="1134" w:name="_Toc38438625"/>
      <w:bookmarkStart w:id="1135" w:name="_Toc38438962"/>
      <w:bookmarkStart w:id="1136" w:name="_Toc38439299"/>
      <w:bookmarkStart w:id="1137" w:name="_Toc38439636"/>
      <w:bookmarkStart w:id="1138" w:name="_Toc38439973"/>
      <w:bookmarkStart w:id="1139" w:name="_Toc38440310"/>
      <w:bookmarkStart w:id="1140" w:name="_Toc38440643"/>
      <w:bookmarkStart w:id="1141" w:name="_Toc38440842"/>
      <w:bookmarkStart w:id="1142" w:name="_Toc38441174"/>
      <w:bookmarkStart w:id="1143" w:name="_Toc38441506"/>
      <w:bookmarkStart w:id="1144" w:name="_Toc38441834"/>
      <w:bookmarkStart w:id="1145" w:name="_Toc38442166"/>
      <w:bookmarkStart w:id="1146" w:name="_Toc38442498"/>
      <w:bookmarkStart w:id="1147" w:name="_Toc38442829"/>
      <w:bookmarkStart w:id="1148" w:name="_Toc38443160"/>
      <w:bookmarkStart w:id="1149" w:name="_Toc38443491"/>
      <w:bookmarkStart w:id="1150" w:name="_Toc38443822"/>
      <w:bookmarkStart w:id="1151" w:name="_Toc38438289"/>
      <w:bookmarkStart w:id="1152" w:name="_Toc38438626"/>
      <w:bookmarkStart w:id="1153" w:name="_Toc38438963"/>
      <w:bookmarkStart w:id="1154" w:name="_Toc38439300"/>
      <w:bookmarkStart w:id="1155" w:name="_Toc38439637"/>
      <w:bookmarkStart w:id="1156" w:name="_Toc38439974"/>
      <w:bookmarkStart w:id="1157" w:name="_Toc38440311"/>
      <w:bookmarkStart w:id="1158" w:name="_Toc38440644"/>
      <w:bookmarkStart w:id="1159" w:name="_Toc38440843"/>
      <w:bookmarkStart w:id="1160" w:name="_Toc38441175"/>
      <w:bookmarkStart w:id="1161" w:name="_Toc38441507"/>
      <w:bookmarkStart w:id="1162" w:name="_Toc38441835"/>
      <w:bookmarkStart w:id="1163" w:name="_Toc38442167"/>
      <w:bookmarkStart w:id="1164" w:name="_Toc38442499"/>
      <w:bookmarkStart w:id="1165" w:name="_Toc38442830"/>
      <w:bookmarkStart w:id="1166" w:name="_Toc38443161"/>
      <w:bookmarkStart w:id="1167" w:name="_Toc38443492"/>
      <w:bookmarkStart w:id="1168" w:name="_Toc38443823"/>
      <w:bookmarkStart w:id="1169" w:name="_Toc38438290"/>
      <w:bookmarkStart w:id="1170" w:name="_Toc38438627"/>
      <w:bookmarkStart w:id="1171" w:name="_Toc38438964"/>
      <w:bookmarkStart w:id="1172" w:name="_Toc38439301"/>
      <w:bookmarkStart w:id="1173" w:name="_Toc38439638"/>
      <w:bookmarkStart w:id="1174" w:name="_Toc38439975"/>
      <w:bookmarkStart w:id="1175" w:name="_Toc38440312"/>
      <w:bookmarkStart w:id="1176" w:name="_Toc38440645"/>
      <w:bookmarkStart w:id="1177" w:name="_Toc38440844"/>
      <w:bookmarkStart w:id="1178" w:name="_Toc38441176"/>
      <w:bookmarkStart w:id="1179" w:name="_Toc38441508"/>
      <w:bookmarkStart w:id="1180" w:name="_Toc38441836"/>
      <w:bookmarkStart w:id="1181" w:name="_Toc38442168"/>
      <w:bookmarkStart w:id="1182" w:name="_Toc38442500"/>
      <w:bookmarkStart w:id="1183" w:name="_Toc38442831"/>
      <w:bookmarkStart w:id="1184" w:name="_Toc38443162"/>
      <w:bookmarkStart w:id="1185" w:name="_Toc38443493"/>
      <w:bookmarkStart w:id="1186" w:name="_Toc38443824"/>
      <w:bookmarkStart w:id="1187" w:name="_Toc38438291"/>
      <w:bookmarkStart w:id="1188" w:name="_Toc38438628"/>
      <w:bookmarkStart w:id="1189" w:name="_Toc38438965"/>
      <w:bookmarkStart w:id="1190" w:name="_Toc38439302"/>
      <w:bookmarkStart w:id="1191" w:name="_Toc38439639"/>
      <w:bookmarkStart w:id="1192" w:name="_Toc38439976"/>
      <w:bookmarkStart w:id="1193" w:name="_Toc38440313"/>
      <w:bookmarkStart w:id="1194" w:name="_Toc38440646"/>
      <w:bookmarkStart w:id="1195" w:name="_Toc38440845"/>
      <w:bookmarkStart w:id="1196" w:name="_Toc38441177"/>
      <w:bookmarkStart w:id="1197" w:name="_Toc38441509"/>
      <w:bookmarkStart w:id="1198" w:name="_Toc38441837"/>
      <w:bookmarkStart w:id="1199" w:name="_Toc38442169"/>
      <w:bookmarkStart w:id="1200" w:name="_Toc38442501"/>
      <w:bookmarkStart w:id="1201" w:name="_Toc38442832"/>
      <w:bookmarkStart w:id="1202" w:name="_Toc38443163"/>
      <w:bookmarkStart w:id="1203" w:name="_Toc38443494"/>
      <w:bookmarkStart w:id="1204" w:name="_Toc38443825"/>
      <w:bookmarkStart w:id="1205" w:name="_Toc38438292"/>
      <w:bookmarkStart w:id="1206" w:name="_Toc38438629"/>
      <w:bookmarkStart w:id="1207" w:name="_Toc38438966"/>
      <w:bookmarkStart w:id="1208" w:name="_Toc38439303"/>
      <w:bookmarkStart w:id="1209" w:name="_Toc38439640"/>
      <w:bookmarkStart w:id="1210" w:name="_Toc38439977"/>
      <w:bookmarkStart w:id="1211" w:name="_Toc38440314"/>
      <w:bookmarkStart w:id="1212" w:name="_Toc38440647"/>
      <w:bookmarkStart w:id="1213" w:name="_Toc38440846"/>
      <w:bookmarkStart w:id="1214" w:name="_Toc38441178"/>
      <w:bookmarkStart w:id="1215" w:name="_Toc38441510"/>
      <w:bookmarkStart w:id="1216" w:name="_Toc38441838"/>
      <w:bookmarkStart w:id="1217" w:name="_Toc38442170"/>
      <w:bookmarkStart w:id="1218" w:name="_Toc38442502"/>
      <w:bookmarkStart w:id="1219" w:name="_Toc38442833"/>
      <w:bookmarkStart w:id="1220" w:name="_Toc38443164"/>
      <w:bookmarkStart w:id="1221" w:name="_Toc38443495"/>
      <w:bookmarkStart w:id="1222" w:name="_Toc38443826"/>
      <w:bookmarkStart w:id="1223" w:name="_Toc38438293"/>
      <w:bookmarkStart w:id="1224" w:name="_Toc38438630"/>
      <w:bookmarkStart w:id="1225" w:name="_Toc38438967"/>
      <w:bookmarkStart w:id="1226" w:name="_Toc38439304"/>
      <w:bookmarkStart w:id="1227" w:name="_Toc38439641"/>
      <w:bookmarkStart w:id="1228" w:name="_Toc38439978"/>
      <w:bookmarkStart w:id="1229" w:name="_Toc38440315"/>
      <w:bookmarkStart w:id="1230" w:name="_Toc38440648"/>
      <w:bookmarkStart w:id="1231" w:name="_Toc38440847"/>
      <w:bookmarkStart w:id="1232" w:name="_Toc38441179"/>
      <w:bookmarkStart w:id="1233" w:name="_Toc38441511"/>
      <w:bookmarkStart w:id="1234" w:name="_Toc38441839"/>
      <w:bookmarkStart w:id="1235" w:name="_Toc38442171"/>
      <w:bookmarkStart w:id="1236" w:name="_Toc38442503"/>
      <w:bookmarkStart w:id="1237" w:name="_Toc38442834"/>
      <w:bookmarkStart w:id="1238" w:name="_Toc38443165"/>
      <w:bookmarkStart w:id="1239" w:name="_Toc38443496"/>
      <w:bookmarkStart w:id="1240" w:name="_Toc38443827"/>
      <w:bookmarkStart w:id="1241" w:name="_Toc38438296"/>
      <w:bookmarkStart w:id="1242" w:name="_Toc38438633"/>
      <w:bookmarkStart w:id="1243" w:name="_Toc38438970"/>
      <w:bookmarkStart w:id="1244" w:name="_Toc38439307"/>
      <w:bookmarkStart w:id="1245" w:name="_Toc38439644"/>
      <w:bookmarkStart w:id="1246" w:name="_Toc38439981"/>
      <w:bookmarkStart w:id="1247" w:name="_Toc38440318"/>
      <w:bookmarkStart w:id="1248" w:name="_Toc38440651"/>
      <w:bookmarkStart w:id="1249" w:name="_Toc38440850"/>
      <w:bookmarkStart w:id="1250" w:name="_Toc38441182"/>
      <w:bookmarkStart w:id="1251" w:name="_Toc38441514"/>
      <w:bookmarkStart w:id="1252" w:name="_Toc38441842"/>
      <w:bookmarkStart w:id="1253" w:name="_Toc38442174"/>
      <w:bookmarkStart w:id="1254" w:name="_Toc38442506"/>
      <w:bookmarkStart w:id="1255" w:name="_Toc38442837"/>
      <w:bookmarkStart w:id="1256" w:name="_Toc38443168"/>
      <w:bookmarkStart w:id="1257" w:name="_Toc38443499"/>
      <w:bookmarkStart w:id="1258" w:name="_Toc38443830"/>
      <w:bookmarkStart w:id="1259" w:name="_Toc38438297"/>
      <w:bookmarkStart w:id="1260" w:name="_Toc38438634"/>
      <w:bookmarkStart w:id="1261" w:name="_Toc38438971"/>
      <w:bookmarkStart w:id="1262" w:name="_Toc38439308"/>
      <w:bookmarkStart w:id="1263" w:name="_Toc38439645"/>
      <w:bookmarkStart w:id="1264" w:name="_Toc38439982"/>
      <w:bookmarkStart w:id="1265" w:name="_Toc38440319"/>
      <w:bookmarkStart w:id="1266" w:name="_Toc38440652"/>
      <w:bookmarkStart w:id="1267" w:name="_Toc38440851"/>
      <w:bookmarkStart w:id="1268" w:name="_Toc38441183"/>
      <w:bookmarkStart w:id="1269" w:name="_Toc38441515"/>
      <w:bookmarkStart w:id="1270" w:name="_Toc38441843"/>
      <w:bookmarkStart w:id="1271" w:name="_Toc38442175"/>
      <w:bookmarkStart w:id="1272" w:name="_Toc38442507"/>
      <w:bookmarkStart w:id="1273" w:name="_Toc38442838"/>
      <w:bookmarkStart w:id="1274" w:name="_Toc38443169"/>
      <w:bookmarkStart w:id="1275" w:name="_Toc38443500"/>
      <w:bookmarkStart w:id="1276" w:name="_Toc38443831"/>
      <w:bookmarkStart w:id="1277" w:name="_Toc38438298"/>
      <w:bookmarkStart w:id="1278" w:name="_Toc38438635"/>
      <w:bookmarkStart w:id="1279" w:name="_Toc38438972"/>
      <w:bookmarkStart w:id="1280" w:name="_Toc38439309"/>
      <w:bookmarkStart w:id="1281" w:name="_Toc38439646"/>
      <w:bookmarkStart w:id="1282" w:name="_Toc38439983"/>
      <w:bookmarkStart w:id="1283" w:name="_Toc38440320"/>
      <w:bookmarkStart w:id="1284" w:name="_Toc38440653"/>
      <w:bookmarkStart w:id="1285" w:name="_Toc38440852"/>
      <w:bookmarkStart w:id="1286" w:name="_Toc38441184"/>
      <w:bookmarkStart w:id="1287" w:name="_Toc38441516"/>
      <w:bookmarkStart w:id="1288" w:name="_Toc38441844"/>
      <w:bookmarkStart w:id="1289" w:name="_Toc38442176"/>
      <w:bookmarkStart w:id="1290" w:name="_Toc38442508"/>
      <w:bookmarkStart w:id="1291" w:name="_Toc38442839"/>
      <w:bookmarkStart w:id="1292" w:name="_Toc38443170"/>
      <w:bookmarkStart w:id="1293" w:name="_Toc38443501"/>
      <w:bookmarkStart w:id="1294" w:name="_Toc38443832"/>
      <w:bookmarkStart w:id="1295" w:name="_Toc38438299"/>
      <w:bookmarkStart w:id="1296" w:name="_Toc38438636"/>
      <w:bookmarkStart w:id="1297" w:name="_Toc38438973"/>
      <w:bookmarkStart w:id="1298" w:name="_Toc38439310"/>
      <w:bookmarkStart w:id="1299" w:name="_Toc38439647"/>
      <w:bookmarkStart w:id="1300" w:name="_Toc38439984"/>
      <w:bookmarkStart w:id="1301" w:name="_Toc38440321"/>
      <w:bookmarkStart w:id="1302" w:name="_Toc38440654"/>
      <w:bookmarkStart w:id="1303" w:name="_Toc38440853"/>
      <w:bookmarkStart w:id="1304" w:name="_Toc38441185"/>
      <w:bookmarkStart w:id="1305" w:name="_Toc38441517"/>
      <w:bookmarkStart w:id="1306" w:name="_Toc38441845"/>
      <w:bookmarkStart w:id="1307" w:name="_Toc38442177"/>
      <w:bookmarkStart w:id="1308" w:name="_Toc38442509"/>
      <w:bookmarkStart w:id="1309" w:name="_Toc38442840"/>
      <w:bookmarkStart w:id="1310" w:name="_Toc38443171"/>
      <w:bookmarkStart w:id="1311" w:name="_Toc38443502"/>
      <w:bookmarkStart w:id="1312" w:name="_Toc38443833"/>
      <w:bookmarkStart w:id="1313" w:name="_Toc38438301"/>
      <w:bookmarkStart w:id="1314" w:name="_Toc38438638"/>
      <w:bookmarkStart w:id="1315" w:name="_Toc38438975"/>
      <w:bookmarkStart w:id="1316" w:name="_Toc38439312"/>
      <w:bookmarkStart w:id="1317" w:name="_Toc38439649"/>
      <w:bookmarkStart w:id="1318" w:name="_Toc38439986"/>
      <w:bookmarkStart w:id="1319" w:name="_Toc38440323"/>
      <w:bookmarkStart w:id="1320" w:name="_Toc38440656"/>
      <w:bookmarkStart w:id="1321" w:name="_Toc38440855"/>
      <w:bookmarkStart w:id="1322" w:name="_Toc38441187"/>
      <w:bookmarkStart w:id="1323" w:name="_Toc38441519"/>
      <w:bookmarkStart w:id="1324" w:name="_Toc38441847"/>
      <w:bookmarkStart w:id="1325" w:name="_Toc38442179"/>
      <w:bookmarkStart w:id="1326" w:name="_Toc38442511"/>
      <w:bookmarkStart w:id="1327" w:name="_Toc38442842"/>
      <w:bookmarkStart w:id="1328" w:name="_Toc38443173"/>
      <w:bookmarkStart w:id="1329" w:name="_Toc38443504"/>
      <w:bookmarkStart w:id="1330" w:name="_Toc38443835"/>
      <w:bookmarkStart w:id="1331" w:name="_Toc38438302"/>
      <w:bookmarkStart w:id="1332" w:name="_Toc38438639"/>
      <w:bookmarkStart w:id="1333" w:name="_Toc38438976"/>
      <w:bookmarkStart w:id="1334" w:name="_Toc38439313"/>
      <w:bookmarkStart w:id="1335" w:name="_Toc38439650"/>
      <w:bookmarkStart w:id="1336" w:name="_Toc38439987"/>
      <w:bookmarkStart w:id="1337" w:name="_Toc38440324"/>
      <w:bookmarkStart w:id="1338" w:name="_Toc38440657"/>
      <w:bookmarkStart w:id="1339" w:name="_Toc38440856"/>
      <w:bookmarkStart w:id="1340" w:name="_Toc38441188"/>
      <w:bookmarkStart w:id="1341" w:name="_Toc38441520"/>
      <w:bookmarkStart w:id="1342" w:name="_Toc38441848"/>
      <w:bookmarkStart w:id="1343" w:name="_Toc38442180"/>
      <w:bookmarkStart w:id="1344" w:name="_Toc38442512"/>
      <w:bookmarkStart w:id="1345" w:name="_Toc38442843"/>
      <w:bookmarkStart w:id="1346" w:name="_Toc38443174"/>
      <w:bookmarkStart w:id="1347" w:name="_Toc38443505"/>
      <w:bookmarkStart w:id="1348" w:name="_Toc38443836"/>
      <w:bookmarkStart w:id="1349" w:name="_Toc38438303"/>
      <w:bookmarkStart w:id="1350" w:name="_Toc38438640"/>
      <w:bookmarkStart w:id="1351" w:name="_Toc38438977"/>
      <w:bookmarkStart w:id="1352" w:name="_Toc38439314"/>
      <w:bookmarkStart w:id="1353" w:name="_Toc38439651"/>
      <w:bookmarkStart w:id="1354" w:name="_Toc38439988"/>
      <w:bookmarkStart w:id="1355" w:name="_Toc38440325"/>
      <w:bookmarkStart w:id="1356" w:name="_Toc38440658"/>
      <w:bookmarkStart w:id="1357" w:name="_Toc38440857"/>
      <w:bookmarkStart w:id="1358" w:name="_Toc38441189"/>
      <w:bookmarkStart w:id="1359" w:name="_Toc38441521"/>
      <w:bookmarkStart w:id="1360" w:name="_Toc38441849"/>
      <w:bookmarkStart w:id="1361" w:name="_Toc38442181"/>
      <w:bookmarkStart w:id="1362" w:name="_Toc38442513"/>
      <w:bookmarkStart w:id="1363" w:name="_Toc38442844"/>
      <w:bookmarkStart w:id="1364" w:name="_Toc38443175"/>
      <w:bookmarkStart w:id="1365" w:name="_Toc38443506"/>
      <w:bookmarkStart w:id="1366" w:name="_Toc38443837"/>
      <w:bookmarkStart w:id="1367" w:name="_Toc38438304"/>
      <w:bookmarkStart w:id="1368" w:name="_Toc38438641"/>
      <w:bookmarkStart w:id="1369" w:name="_Toc38438978"/>
      <w:bookmarkStart w:id="1370" w:name="_Toc38439315"/>
      <w:bookmarkStart w:id="1371" w:name="_Toc38439652"/>
      <w:bookmarkStart w:id="1372" w:name="_Toc38439989"/>
      <w:bookmarkStart w:id="1373" w:name="_Toc38440326"/>
      <w:bookmarkStart w:id="1374" w:name="_Toc38440659"/>
      <w:bookmarkStart w:id="1375" w:name="_Toc38440858"/>
      <w:bookmarkStart w:id="1376" w:name="_Toc38441190"/>
      <w:bookmarkStart w:id="1377" w:name="_Toc38441522"/>
      <w:bookmarkStart w:id="1378" w:name="_Toc38441850"/>
      <w:bookmarkStart w:id="1379" w:name="_Toc38442182"/>
      <w:bookmarkStart w:id="1380" w:name="_Toc38442514"/>
      <w:bookmarkStart w:id="1381" w:name="_Toc38442845"/>
      <w:bookmarkStart w:id="1382" w:name="_Toc38443176"/>
      <w:bookmarkStart w:id="1383" w:name="_Toc38443507"/>
      <w:bookmarkStart w:id="1384" w:name="_Toc38443838"/>
      <w:bookmarkStart w:id="1385" w:name="_Toc38438305"/>
      <w:bookmarkStart w:id="1386" w:name="_Toc38438642"/>
      <w:bookmarkStart w:id="1387" w:name="_Toc38438979"/>
      <w:bookmarkStart w:id="1388" w:name="_Toc38439316"/>
      <w:bookmarkStart w:id="1389" w:name="_Toc38439653"/>
      <w:bookmarkStart w:id="1390" w:name="_Toc38439990"/>
      <w:bookmarkStart w:id="1391" w:name="_Toc38440327"/>
      <w:bookmarkStart w:id="1392" w:name="_Toc38440660"/>
      <w:bookmarkStart w:id="1393" w:name="_Toc38440859"/>
      <w:bookmarkStart w:id="1394" w:name="_Toc38441191"/>
      <w:bookmarkStart w:id="1395" w:name="_Toc38441523"/>
      <w:bookmarkStart w:id="1396" w:name="_Toc38441851"/>
      <w:bookmarkStart w:id="1397" w:name="_Toc38442183"/>
      <w:bookmarkStart w:id="1398" w:name="_Toc38442515"/>
      <w:bookmarkStart w:id="1399" w:name="_Toc38442846"/>
      <w:bookmarkStart w:id="1400" w:name="_Toc38443177"/>
      <w:bookmarkStart w:id="1401" w:name="_Toc38443508"/>
      <w:bookmarkStart w:id="1402" w:name="_Toc38443839"/>
      <w:bookmarkStart w:id="1403" w:name="_Toc38438306"/>
      <w:bookmarkStart w:id="1404" w:name="_Toc38438643"/>
      <w:bookmarkStart w:id="1405" w:name="_Toc38438980"/>
      <w:bookmarkStart w:id="1406" w:name="_Toc38439317"/>
      <w:bookmarkStart w:id="1407" w:name="_Toc38439654"/>
      <w:bookmarkStart w:id="1408" w:name="_Toc38439991"/>
      <w:bookmarkStart w:id="1409" w:name="_Toc38440328"/>
      <w:bookmarkStart w:id="1410" w:name="_Toc38440661"/>
      <w:bookmarkStart w:id="1411" w:name="_Toc38440860"/>
      <w:bookmarkStart w:id="1412" w:name="_Toc38441192"/>
      <w:bookmarkStart w:id="1413" w:name="_Toc38441524"/>
      <w:bookmarkStart w:id="1414" w:name="_Toc38441852"/>
      <w:bookmarkStart w:id="1415" w:name="_Toc38442184"/>
      <w:bookmarkStart w:id="1416" w:name="_Toc38442516"/>
      <w:bookmarkStart w:id="1417" w:name="_Toc38442847"/>
      <w:bookmarkStart w:id="1418" w:name="_Toc38443178"/>
      <w:bookmarkStart w:id="1419" w:name="_Toc38443509"/>
      <w:bookmarkStart w:id="1420" w:name="_Toc38443840"/>
      <w:bookmarkStart w:id="1421" w:name="_Toc38438310"/>
      <w:bookmarkStart w:id="1422" w:name="_Toc38438647"/>
      <w:bookmarkStart w:id="1423" w:name="_Toc38438984"/>
      <w:bookmarkStart w:id="1424" w:name="_Toc38439321"/>
      <w:bookmarkStart w:id="1425" w:name="_Toc38439658"/>
      <w:bookmarkStart w:id="1426" w:name="_Toc38439995"/>
      <w:bookmarkStart w:id="1427" w:name="_Toc38440332"/>
      <w:bookmarkStart w:id="1428" w:name="_Toc38440665"/>
      <w:bookmarkStart w:id="1429" w:name="_Toc38440864"/>
      <w:bookmarkStart w:id="1430" w:name="_Toc38441196"/>
      <w:bookmarkStart w:id="1431" w:name="_Toc38441528"/>
      <w:bookmarkStart w:id="1432" w:name="_Toc38441856"/>
      <w:bookmarkStart w:id="1433" w:name="_Toc38442188"/>
      <w:bookmarkStart w:id="1434" w:name="_Toc38442520"/>
      <w:bookmarkStart w:id="1435" w:name="_Toc38442851"/>
      <w:bookmarkStart w:id="1436" w:name="_Toc38443182"/>
      <w:bookmarkStart w:id="1437" w:name="_Toc38443513"/>
      <w:bookmarkStart w:id="1438" w:name="_Toc38443844"/>
      <w:bookmarkStart w:id="1439" w:name="_Toc38438311"/>
      <w:bookmarkStart w:id="1440" w:name="_Toc38438648"/>
      <w:bookmarkStart w:id="1441" w:name="_Toc38438985"/>
      <w:bookmarkStart w:id="1442" w:name="_Toc38439322"/>
      <w:bookmarkStart w:id="1443" w:name="_Toc38439659"/>
      <w:bookmarkStart w:id="1444" w:name="_Toc38439996"/>
      <w:bookmarkStart w:id="1445" w:name="_Toc38440333"/>
      <w:bookmarkStart w:id="1446" w:name="_Toc38440666"/>
      <w:bookmarkStart w:id="1447" w:name="_Toc38440865"/>
      <w:bookmarkStart w:id="1448" w:name="_Toc38441197"/>
      <w:bookmarkStart w:id="1449" w:name="_Toc38441529"/>
      <w:bookmarkStart w:id="1450" w:name="_Toc38441857"/>
      <w:bookmarkStart w:id="1451" w:name="_Toc38442189"/>
      <w:bookmarkStart w:id="1452" w:name="_Toc38442521"/>
      <w:bookmarkStart w:id="1453" w:name="_Toc38442852"/>
      <w:bookmarkStart w:id="1454" w:name="_Toc38443183"/>
      <w:bookmarkStart w:id="1455" w:name="_Toc38443514"/>
      <w:bookmarkStart w:id="1456" w:name="_Toc38443845"/>
      <w:bookmarkStart w:id="1457" w:name="_Toc38438312"/>
      <w:bookmarkStart w:id="1458" w:name="_Toc38438649"/>
      <w:bookmarkStart w:id="1459" w:name="_Toc38438986"/>
      <w:bookmarkStart w:id="1460" w:name="_Toc38439323"/>
      <w:bookmarkStart w:id="1461" w:name="_Toc38439660"/>
      <w:bookmarkStart w:id="1462" w:name="_Toc38439997"/>
      <w:bookmarkStart w:id="1463" w:name="_Toc38440334"/>
      <w:bookmarkStart w:id="1464" w:name="_Toc38440667"/>
      <w:bookmarkStart w:id="1465" w:name="_Toc38440866"/>
      <w:bookmarkStart w:id="1466" w:name="_Toc38441198"/>
      <w:bookmarkStart w:id="1467" w:name="_Toc38441530"/>
      <w:bookmarkStart w:id="1468" w:name="_Toc38441858"/>
      <w:bookmarkStart w:id="1469" w:name="_Toc38442190"/>
      <w:bookmarkStart w:id="1470" w:name="_Toc38442522"/>
      <w:bookmarkStart w:id="1471" w:name="_Toc38442853"/>
      <w:bookmarkStart w:id="1472" w:name="_Toc38443184"/>
      <w:bookmarkStart w:id="1473" w:name="_Toc38443515"/>
      <w:bookmarkStart w:id="1474" w:name="_Toc38443846"/>
      <w:bookmarkStart w:id="1475" w:name="_Toc38438313"/>
      <w:bookmarkStart w:id="1476" w:name="_Toc38438650"/>
      <w:bookmarkStart w:id="1477" w:name="_Toc38438987"/>
      <w:bookmarkStart w:id="1478" w:name="_Toc38439324"/>
      <w:bookmarkStart w:id="1479" w:name="_Toc38439661"/>
      <w:bookmarkStart w:id="1480" w:name="_Toc38439998"/>
      <w:bookmarkStart w:id="1481" w:name="_Toc38440335"/>
      <w:bookmarkStart w:id="1482" w:name="_Toc38440668"/>
      <w:bookmarkStart w:id="1483" w:name="_Toc38440867"/>
      <w:bookmarkStart w:id="1484" w:name="_Toc38441199"/>
      <w:bookmarkStart w:id="1485" w:name="_Toc38441531"/>
      <w:bookmarkStart w:id="1486" w:name="_Toc38441859"/>
      <w:bookmarkStart w:id="1487" w:name="_Toc38442191"/>
      <w:bookmarkStart w:id="1488" w:name="_Toc38442523"/>
      <w:bookmarkStart w:id="1489" w:name="_Toc38442854"/>
      <w:bookmarkStart w:id="1490" w:name="_Toc38443185"/>
      <w:bookmarkStart w:id="1491" w:name="_Toc38443516"/>
      <w:bookmarkStart w:id="1492" w:name="_Toc38443847"/>
      <w:bookmarkStart w:id="1493" w:name="_Toc38438314"/>
      <w:bookmarkStart w:id="1494" w:name="_Toc38438651"/>
      <w:bookmarkStart w:id="1495" w:name="_Toc38438988"/>
      <w:bookmarkStart w:id="1496" w:name="_Toc38439325"/>
      <w:bookmarkStart w:id="1497" w:name="_Toc38439662"/>
      <w:bookmarkStart w:id="1498" w:name="_Toc38439999"/>
      <w:bookmarkStart w:id="1499" w:name="_Toc38440336"/>
      <w:bookmarkStart w:id="1500" w:name="_Toc38440669"/>
      <w:bookmarkStart w:id="1501" w:name="_Toc38440868"/>
      <w:bookmarkStart w:id="1502" w:name="_Toc38441200"/>
      <w:bookmarkStart w:id="1503" w:name="_Toc38441532"/>
      <w:bookmarkStart w:id="1504" w:name="_Toc38441860"/>
      <w:bookmarkStart w:id="1505" w:name="_Toc38442192"/>
      <w:bookmarkStart w:id="1506" w:name="_Toc38442524"/>
      <w:bookmarkStart w:id="1507" w:name="_Toc38442855"/>
      <w:bookmarkStart w:id="1508" w:name="_Toc38443186"/>
      <w:bookmarkStart w:id="1509" w:name="_Toc38443517"/>
      <w:bookmarkStart w:id="1510" w:name="_Toc38443848"/>
      <w:bookmarkStart w:id="1511" w:name="_Toc38438315"/>
      <w:bookmarkStart w:id="1512" w:name="_Toc38438652"/>
      <w:bookmarkStart w:id="1513" w:name="_Toc38438989"/>
      <w:bookmarkStart w:id="1514" w:name="_Toc38439326"/>
      <w:bookmarkStart w:id="1515" w:name="_Toc38439663"/>
      <w:bookmarkStart w:id="1516" w:name="_Toc38440000"/>
      <w:bookmarkStart w:id="1517" w:name="_Toc38440337"/>
      <w:bookmarkStart w:id="1518" w:name="_Toc38440670"/>
      <w:bookmarkStart w:id="1519" w:name="_Toc38440869"/>
      <w:bookmarkStart w:id="1520" w:name="_Toc38441201"/>
      <w:bookmarkStart w:id="1521" w:name="_Toc38441533"/>
      <w:bookmarkStart w:id="1522" w:name="_Toc38441861"/>
      <w:bookmarkStart w:id="1523" w:name="_Toc38442193"/>
      <w:bookmarkStart w:id="1524" w:name="_Toc38442525"/>
      <w:bookmarkStart w:id="1525" w:name="_Toc38442856"/>
      <w:bookmarkStart w:id="1526" w:name="_Toc38443187"/>
      <w:bookmarkStart w:id="1527" w:name="_Toc38443518"/>
      <w:bookmarkStart w:id="1528" w:name="_Toc38443849"/>
      <w:bookmarkStart w:id="1529" w:name="_Toc38438316"/>
      <w:bookmarkStart w:id="1530" w:name="_Toc38438653"/>
      <w:bookmarkStart w:id="1531" w:name="_Toc38438990"/>
      <w:bookmarkStart w:id="1532" w:name="_Toc38439327"/>
      <w:bookmarkStart w:id="1533" w:name="_Toc38439664"/>
      <w:bookmarkStart w:id="1534" w:name="_Toc38440001"/>
      <w:bookmarkStart w:id="1535" w:name="_Toc38440338"/>
      <w:bookmarkStart w:id="1536" w:name="_Toc38440671"/>
      <w:bookmarkStart w:id="1537" w:name="_Toc38440870"/>
      <w:bookmarkStart w:id="1538" w:name="_Toc38441202"/>
      <w:bookmarkStart w:id="1539" w:name="_Toc38441534"/>
      <w:bookmarkStart w:id="1540" w:name="_Toc38441862"/>
      <w:bookmarkStart w:id="1541" w:name="_Toc38442194"/>
      <w:bookmarkStart w:id="1542" w:name="_Toc38442526"/>
      <w:bookmarkStart w:id="1543" w:name="_Toc38442857"/>
      <w:bookmarkStart w:id="1544" w:name="_Toc38443188"/>
      <w:bookmarkStart w:id="1545" w:name="_Toc38443519"/>
      <w:bookmarkStart w:id="1546" w:name="_Toc38443850"/>
      <w:bookmarkStart w:id="1547" w:name="_Toc38438317"/>
      <w:bookmarkStart w:id="1548" w:name="_Toc38438654"/>
      <w:bookmarkStart w:id="1549" w:name="_Toc38438991"/>
      <w:bookmarkStart w:id="1550" w:name="_Toc38439328"/>
      <w:bookmarkStart w:id="1551" w:name="_Toc38439665"/>
      <w:bookmarkStart w:id="1552" w:name="_Toc38440002"/>
      <w:bookmarkStart w:id="1553" w:name="_Toc38440339"/>
      <w:bookmarkStart w:id="1554" w:name="_Toc38440672"/>
      <w:bookmarkStart w:id="1555" w:name="_Toc38440871"/>
      <w:bookmarkStart w:id="1556" w:name="_Toc38441203"/>
      <w:bookmarkStart w:id="1557" w:name="_Toc38441535"/>
      <w:bookmarkStart w:id="1558" w:name="_Toc38441863"/>
      <w:bookmarkStart w:id="1559" w:name="_Toc38442195"/>
      <w:bookmarkStart w:id="1560" w:name="_Toc38442527"/>
      <w:bookmarkStart w:id="1561" w:name="_Toc38442858"/>
      <w:bookmarkStart w:id="1562" w:name="_Toc38443189"/>
      <w:bookmarkStart w:id="1563" w:name="_Toc38443520"/>
      <w:bookmarkStart w:id="1564" w:name="_Toc38443851"/>
      <w:bookmarkStart w:id="1565" w:name="_Toc38438318"/>
      <w:bookmarkStart w:id="1566" w:name="_Toc38438655"/>
      <w:bookmarkStart w:id="1567" w:name="_Toc38438992"/>
      <w:bookmarkStart w:id="1568" w:name="_Toc38439329"/>
      <w:bookmarkStart w:id="1569" w:name="_Toc38439666"/>
      <w:bookmarkStart w:id="1570" w:name="_Toc38440003"/>
      <w:bookmarkStart w:id="1571" w:name="_Toc38440340"/>
      <w:bookmarkStart w:id="1572" w:name="_Toc38440673"/>
      <w:bookmarkStart w:id="1573" w:name="_Toc38440872"/>
      <w:bookmarkStart w:id="1574" w:name="_Toc38441204"/>
      <w:bookmarkStart w:id="1575" w:name="_Toc38441536"/>
      <w:bookmarkStart w:id="1576" w:name="_Toc38441864"/>
      <w:bookmarkStart w:id="1577" w:name="_Toc38442196"/>
      <w:bookmarkStart w:id="1578" w:name="_Toc38442528"/>
      <w:bookmarkStart w:id="1579" w:name="_Toc38442859"/>
      <w:bookmarkStart w:id="1580" w:name="_Toc38443190"/>
      <w:bookmarkStart w:id="1581" w:name="_Toc38443521"/>
      <w:bookmarkStart w:id="1582" w:name="_Toc38443852"/>
      <w:bookmarkStart w:id="1583" w:name="_Toc38438319"/>
      <w:bookmarkStart w:id="1584" w:name="_Toc38438656"/>
      <w:bookmarkStart w:id="1585" w:name="_Toc38438993"/>
      <w:bookmarkStart w:id="1586" w:name="_Toc38439330"/>
      <w:bookmarkStart w:id="1587" w:name="_Toc38439667"/>
      <w:bookmarkStart w:id="1588" w:name="_Toc38440004"/>
      <w:bookmarkStart w:id="1589" w:name="_Toc38440341"/>
      <w:bookmarkStart w:id="1590" w:name="_Toc38440674"/>
      <w:bookmarkStart w:id="1591" w:name="_Toc38440873"/>
      <w:bookmarkStart w:id="1592" w:name="_Toc38441205"/>
      <w:bookmarkStart w:id="1593" w:name="_Toc38441537"/>
      <w:bookmarkStart w:id="1594" w:name="_Toc38441865"/>
      <w:bookmarkStart w:id="1595" w:name="_Toc38442197"/>
      <w:bookmarkStart w:id="1596" w:name="_Toc38442529"/>
      <w:bookmarkStart w:id="1597" w:name="_Toc38442860"/>
      <w:bookmarkStart w:id="1598" w:name="_Toc38443191"/>
      <w:bookmarkStart w:id="1599" w:name="_Toc38443522"/>
      <w:bookmarkStart w:id="1600" w:name="_Toc38443853"/>
      <w:bookmarkStart w:id="1601" w:name="_Toc38438320"/>
      <w:bookmarkStart w:id="1602" w:name="_Toc38438657"/>
      <w:bookmarkStart w:id="1603" w:name="_Toc38438994"/>
      <w:bookmarkStart w:id="1604" w:name="_Toc38439331"/>
      <w:bookmarkStart w:id="1605" w:name="_Toc38439668"/>
      <w:bookmarkStart w:id="1606" w:name="_Toc38440005"/>
      <w:bookmarkStart w:id="1607" w:name="_Toc38440342"/>
      <w:bookmarkStart w:id="1608" w:name="_Toc38440675"/>
      <w:bookmarkStart w:id="1609" w:name="_Toc38440874"/>
      <w:bookmarkStart w:id="1610" w:name="_Toc38441206"/>
      <w:bookmarkStart w:id="1611" w:name="_Toc38441538"/>
      <w:bookmarkStart w:id="1612" w:name="_Toc38441866"/>
      <w:bookmarkStart w:id="1613" w:name="_Toc38442198"/>
      <w:bookmarkStart w:id="1614" w:name="_Toc38442530"/>
      <w:bookmarkStart w:id="1615" w:name="_Toc38442861"/>
      <w:bookmarkStart w:id="1616" w:name="_Toc38443192"/>
      <w:bookmarkStart w:id="1617" w:name="_Toc38443523"/>
      <w:bookmarkStart w:id="1618" w:name="_Toc38443854"/>
      <w:bookmarkStart w:id="1619" w:name="_Toc38438321"/>
      <w:bookmarkStart w:id="1620" w:name="_Toc38438658"/>
      <w:bookmarkStart w:id="1621" w:name="_Toc38438995"/>
      <w:bookmarkStart w:id="1622" w:name="_Toc38439332"/>
      <w:bookmarkStart w:id="1623" w:name="_Toc38439669"/>
      <w:bookmarkStart w:id="1624" w:name="_Toc38440006"/>
      <w:bookmarkStart w:id="1625" w:name="_Toc38440343"/>
      <w:bookmarkStart w:id="1626" w:name="_Toc38440676"/>
      <w:bookmarkStart w:id="1627" w:name="_Toc38440875"/>
      <w:bookmarkStart w:id="1628" w:name="_Toc38441207"/>
      <w:bookmarkStart w:id="1629" w:name="_Toc38441539"/>
      <w:bookmarkStart w:id="1630" w:name="_Toc38441867"/>
      <w:bookmarkStart w:id="1631" w:name="_Toc38442199"/>
      <w:bookmarkStart w:id="1632" w:name="_Toc38442531"/>
      <w:bookmarkStart w:id="1633" w:name="_Toc38442862"/>
      <w:bookmarkStart w:id="1634" w:name="_Toc38443193"/>
      <w:bookmarkStart w:id="1635" w:name="_Toc38443524"/>
      <w:bookmarkStart w:id="1636" w:name="_Toc38443855"/>
      <w:bookmarkStart w:id="1637" w:name="_Toc38438322"/>
      <w:bookmarkStart w:id="1638" w:name="_Toc38438659"/>
      <w:bookmarkStart w:id="1639" w:name="_Toc38438996"/>
      <w:bookmarkStart w:id="1640" w:name="_Toc38439333"/>
      <w:bookmarkStart w:id="1641" w:name="_Toc38439670"/>
      <w:bookmarkStart w:id="1642" w:name="_Toc38440007"/>
      <w:bookmarkStart w:id="1643" w:name="_Toc38440344"/>
      <w:bookmarkStart w:id="1644" w:name="_Toc38440677"/>
      <w:bookmarkStart w:id="1645" w:name="_Toc38440876"/>
      <w:bookmarkStart w:id="1646" w:name="_Toc38441208"/>
      <w:bookmarkStart w:id="1647" w:name="_Toc38441540"/>
      <w:bookmarkStart w:id="1648" w:name="_Toc38441868"/>
      <w:bookmarkStart w:id="1649" w:name="_Toc38442200"/>
      <w:bookmarkStart w:id="1650" w:name="_Toc38442532"/>
      <w:bookmarkStart w:id="1651" w:name="_Toc38442863"/>
      <w:bookmarkStart w:id="1652" w:name="_Toc38443194"/>
      <w:bookmarkStart w:id="1653" w:name="_Toc38443525"/>
      <w:bookmarkStart w:id="1654" w:name="_Toc38443856"/>
      <w:bookmarkStart w:id="1655" w:name="_Toc38438323"/>
      <w:bookmarkStart w:id="1656" w:name="_Toc38438660"/>
      <w:bookmarkStart w:id="1657" w:name="_Toc38438997"/>
      <w:bookmarkStart w:id="1658" w:name="_Toc38439334"/>
      <w:bookmarkStart w:id="1659" w:name="_Toc38439671"/>
      <w:bookmarkStart w:id="1660" w:name="_Toc38440008"/>
      <w:bookmarkStart w:id="1661" w:name="_Toc38440345"/>
      <w:bookmarkStart w:id="1662" w:name="_Toc38440678"/>
      <w:bookmarkStart w:id="1663" w:name="_Toc38440877"/>
      <w:bookmarkStart w:id="1664" w:name="_Toc38441209"/>
      <w:bookmarkStart w:id="1665" w:name="_Toc38441541"/>
      <w:bookmarkStart w:id="1666" w:name="_Toc38441869"/>
      <w:bookmarkStart w:id="1667" w:name="_Toc38442201"/>
      <w:bookmarkStart w:id="1668" w:name="_Toc38442533"/>
      <w:bookmarkStart w:id="1669" w:name="_Toc38442864"/>
      <w:bookmarkStart w:id="1670" w:name="_Toc38443195"/>
      <w:bookmarkStart w:id="1671" w:name="_Toc38443526"/>
      <w:bookmarkStart w:id="1672" w:name="_Toc38443857"/>
      <w:bookmarkStart w:id="1673" w:name="_Toc38438324"/>
      <w:bookmarkStart w:id="1674" w:name="_Toc38438661"/>
      <w:bookmarkStart w:id="1675" w:name="_Toc38438998"/>
      <w:bookmarkStart w:id="1676" w:name="_Toc38439335"/>
      <w:bookmarkStart w:id="1677" w:name="_Toc38439672"/>
      <w:bookmarkStart w:id="1678" w:name="_Toc38440009"/>
      <w:bookmarkStart w:id="1679" w:name="_Toc38440346"/>
      <w:bookmarkStart w:id="1680" w:name="_Toc38440679"/>
      <w:bookmarkStart w:id="1681" w:name="_Toc38440878"/>
      <w:bookmarkStart w:id="1682" w:name="_Toc38441210"/>
      <w:bookmarkStart w:id="1683" w:name="_Toc38441542"/>
      <w:bookmarkStart w:id="1684" w:name="_Toc38441870"/>
      <w:bookmarkStart w:id="1685" w:name="_Toc38442202"/>
      <w:bookmarkStart w:id="1686" w:name="_Toc38442534"/>
      <w:bookmarkStart w:id="1687" w:name="_Toc38442865"/>
      <w:bookmarkStart w:id="1688" w:name="_Toc38443196"/>
      <w:bookmarkStart w:id="1689" w:name="_Toc38443527"/>
      <w:bookmarkStart w:id="1690" w:name="_Toc38443858"/>
      <w:bookmarkStart w:id="1691" w:name="_Toc38438325"/>
      <w:bookmarkStart w:id="1692" w:name="_Toc38438662"/>
      <w:bookmarkStart w:id="1693" w:name="_Toc38438999"/>
      <w:bookmarkStart w:id="1694" w:name="_Toc38439336"/>
      <w:bookmarkStart w:id="1695" w:name="_Toc38439673"/>
      <w:bookmarkStart w:id="1696" w:name="_Toc38440010"/>
      <w:bookmarkStart w:id="1697" w:name="_Toc38440347"/>
      <w:bookmarkStart w:id="1698" w:name="_Toc38440879"/>
      <w:bookmarkStart w:id="1699" w:name="_Toc38441211"/>
      <w:bookmarkStart w:id="1700" w:name="_Toc38441543"/>
      <w:bookmarkStart w:id="1701" w:name="_Toc38441871"/>
      <w:bookmarkStart w:id="1702" w:name="_Toc38442203"/>
      <w:bookmarkStart w:id="1703" w:name="_Toc38442535"/>
      <w:bookmarkStart w:id="1704" w:name="_Toc38442866"/>
      <w:bookmarkStart w:id="1705" w:name="_Toc38443197"/>
      <w:bookmarkStart w:id="1706" w:name="_Toc38443528"/>
      <w:bookmarkStart w:id="1707" w:name="_Toc38443859"/>
      <w:bookmarkStart w:id="1708" w:name="_Toc38438326"/>
      <w:bookmarkStart w:id="1709" w:name="_Toc38438663"/>
      <w:bookmarkStart w:id="1710" w:name="_Toc38439000"/>
      <w:bookmarkStart w:id="1711" w:name="_Toc38439337"/>
      <w:bookmarkStart w:id="1712" w:name="_Toc38439674"/>
      <w:bookmarkStart w:id="1713" w:name="_Toc38440011"/>
      <w:bookmarkStart w:id="1714" w:name="_Toc38440348"/>
      <w:bookmarkStart w:id="1715" w:name="_Toc38440880"/>
      <w:bookmarkStart w:id="1716" w:name="_Toc38441212"/>
      <w:bookmarkStart w:id="1717" w:name="_Toc38441544"/>
      <w:bookmarkStart w:id="1718" w:name="_Toc38441872"/>
      <w:bookmarkStart w:id="1719" w:name="_Toc38442204"/>
      <w:bookmarkStart w:id="1720" w:name="_Toc38442536"/>
      <w:bookmarkStart w:id="1721" w:name="_Toc38442867"/>
      <w:bookmarkStart w:id="1722" w:name="_Toc38443198"/>
      <w:bookmarkStart w:id="1723" w:name="_Toc38443529"/>
      <w:bookmarkStart w:id="1724" w:name="_Toc38443860"/>
      <w:bookmarkStart w:id="1725" w:name="_Toc38438327"/>
      <w:bookmarkStart w:id="1726" w:name="_Toc38438664"/>
      <w:bookmarkStart w:id="1727" w:name="_Toc38439001"/>
      <w:bookmarkStart w:id="1728" w:name="_Toc38439338"/>
      <w:bookmarkStart w:id="1729" w:name="_Toc38439675"/>
      <w:bookmarkStart w:id="1730" w:name="_Toc38440012"/>
      <w:bookmarkStart w:id="1731" w:name="_Toc38440349"/>
      <w:bookmarkStart w:id="1732" w:name="_Toc38440881"/>
      <w:bookmarkStart w:id="1733" w:name="_Toc38441213"/>
      <w:bookmarkStart w:id="1734" w:name="_Toc38441545"/>
      <w:bookmarkStart w:id="1735" w:name="_Toc38441873"/>
      <w:bookmarkStart w:id="1736" w:name="_Toc38442205"/>
      <w:bookmarkStart w:id="1737" w:name="_Toc38442537"/>
      <w:bookmarkStart w:id="1738" w:name="_Toc38442868"/>
      <w:bookmarkStart w:id="1739" w:name="_Toc38443199"/>
      <w:bookmarkStart w:id="1740" w:name="_Toc38443530"/>
      <w:bookmarkStart w:id="1741" w:name="_Toc38443861"/>
      <w:bookmarkStart w:id="1742" w:name="_Toc38438328"/>
      <w:bookmarkStart w:id="1743" w:name="_Toc38438665"/>
      <w:bookmarkStart w:id="1744" w:name="_Toc38439002"/>
      <w:bookmarkStart w:id="1745" w:name="_Toc38439339"/>
      <w:bookmarkStart w:id="1746" w:name="_Toc38439676"/>
      <w:bookmarkStart w:id="1747" w:name="_Toc38440013"/>
      <w:bookmarkStart w:id="1748" w:name="_Toc38440350"/>
      <w:bookmarkStart w:id="1749" w:name="_Toc38440882"/>
      <w:bookmarkStart w:id="1750" w:name="_Toc38441214"/>
      <w:bookmarkStart w:id="1751" w:name="_Toc38441546"/>
      <w:bookmarkStart w:id="1752" w:name="_Toc38441874"/>
      <w:bookmarkStart w:id="1753" w:name="_Toc38442206"/>
      <w:bookmarkStart w:id="1754" w:name="_Toc38442538"/>
      <w:bookmarkStart w:id="1755" w:name="_Toc38442869"/>
      <w:bookmarkStart w:id="1756" w:name="_Toc38443200"/>
      <w:bookmarkStart w:id="1757" w:name="_Toc38443531"/>
      <w:bookmarkStart w:id="1758" w:name="_Toc38443862"/>
      <w:bookmarkStart w:id="1759" w:name="_Toc38438329"/>
      <w:bookmarkStart w:id="1760" w:name="_Toc38438666"/>
      <w:bookmarkStart w:id="1761" w:name="_Toc38439003"/>
      <w:bookmarkStart w:id="1762" w:name="_Toc38439340"/>
      <w:bookmarkStart w:id="1763" w:name="_Toc38439677"/>
      <w:bookmarkStart w:id="1764" w:name="_Toc38440014"/>
      <w:bookmarkStart w:id="1765" w:name="_Toc38440351"/>
      <w:bookmarkStart w:id="1766" w:name="_Toc38440883"/>
      <w:bookmarkStart w:id="1767" w:name="_Toc38441215"/>
      <w:bookmarkStart w:id="1768" w:name="_Toc38441547"/>
      <w:bookmarkStart w:id="1769" w:name="_Toc38441875"/>
      <w:bookmarkStart w:id="1770" w:name="_Toc38442207"/>
      <w:bookmarkStart w:id="1771" w:name="_Toc38442539"/>
      <w:bookmarkStart w:id="1772" w:name="_Toc38442870"/>
      <w:bookmarkStart w:id="1773" w:name="_Toc38443201"/>
      <w:bookmarkStart w:id="1774" w:name="_Toc38443532"/>
      <w:bookmarkStart w:id="1775" w:name="_Toc38443863"/>
      <w:bookmarkStart w:id="1776" w:name="_Toc38438330"/>
      <w:bookmarkStart w:id="1777" w:name="_Toc38438667"/>
      <w:bookmarkStart w:id="1778" w:name="_Toc38439004"/>
      <w:bookmarkStart w:id="1779" w:name="_Toc38439341"/>
      <w:bookmarkStart w:id="1780" w:name="_Toc38439678"/>
      <w:bookmarkStart w:id="1781" w:name="_Toc38440015"/>
      <w:bookmarkStart w:id="1782" w:name="_Toc38440352"/>
      <w:bookmarkStart w:id="1783" w:name="_Toc38440884"/>
      <w:bookmarkStart w:id="1784" w:name="_Toc38441216"/>
      <w:bookmarkStart w:id="1785" w:name="_Toc38441548"/>
      <w:bookmarkStart w:id="1786" w:name="_Toc38441876"/>
      <w:bookmarkStart w:id="1787" w:name="_Toc38442208"/>
      <w:bookmarkStart w:id="1788" w:name="_Toc38442540"/>
      <w:bookmarkStart w:id="1789" w:name="_Toc38442871"/>
      <w:bookmarkStart w:id="1790" w:name="_Toc38443202"/>
      <w:bookmarkStart w:id="1791" w:name="_Toc38443533"/>
      <w:bookmarkStart w:id="1792" w:name="_Toc38443864"/>
      <w:bookmarkStart w:id="1793" w:name="_Toc38438331"/>
      <w:bookmarkStart w:id="1794" w:name="_Toc38438668"/>
      <w:bookmarkStart w:id="1795" w:name="_Toc38439005"/>
      <w:bookmarkStart w:id="1796" w:name="_Toc38439342"/>
      <w:bookmarkStart w:id="1797" w:name="_Toc38439679"/>
      <w:bookmarkStart w:id="1798" w:name="_Toc38440016"/>
      <w:bookmarkStart w:id="1799" w:name="_Toc38440353"/>
      <w:bookmarkStart w:id="1800" w:name="_Toc38440885"/>
      <w:bookmarkStart w:id="1801" w:name="_Toc38441217"/>
      <w:bookmarkStart w:id="1802" w:name="_Toc38441549"/>
      <w:bookmarkStart w:id="1803" w:name="_Toc38441877"/>
      <w:bookmarkStart w:id="1804" w:name="_Toc38442209"/>
      <w:bookmarkStart w:id="1805" w:name="_Toc38442541"/>
      <w:bookmarkStart w:id="1806" w:name="_Toc38442872"/>
      <w:bookmarkStart w:id="1807" w:name="_Toc38443203"/>
      <w:bookmarkStart w:id="1808" w:name="_Toc38443534"/>
      <w:bookmarkStart w:id="1809" w:name="_Toc38443865"/>
      <w:bookmarkStart w:id="1810" w:name="_Toc38438332"/>
      <w:bookmarkStart w:id="1811" w:name="_Toc38438669"/>
      <w:bookmarkStart w:id="1812" w:name="_Toc38439006"/>
      <w:bookmarkStart w:id="1813" w:name="_Toc38439343"/>
      <w:bookmarkStart w:id="1814" w:name="_Toc38439680"/>
      <w:bookmarkStart w:id="1815" w:name="_Toc38440017"/>
      <w:bookmarkStart w:id="1816" w:name="_Toc38440354"/>
      <w:bookmarkStart w:id="1817" w:name="_Toc38440886"/>
      <w:bookmarkStart w:id="1818" w:name="_Toc38441218"/>
      <w:bookmarkStart w:id="1819" w:name="_Toc38441550"/>
      <w:bookmarkStart w:id="1820" w:name="_Toc38441878"/>
      <w:bookmarkStart w:id="1821" w:name="_Toc38442210"/>
      <w:bookmarkStart w:id="1822" w:name="_Toc38442542"/>
      <w:bookmarkStart w:id="1823" w:name="_Toc38442873"/>
      <w:bookmarkStart w:id="1824" w:name="_Toc38443204"/>
      <w:bookmarkStart w:id="1825" w:name="_Toc38443535"/>
      <w:bookmarkStart w:id="1826" w:name="_Toc38443866"/>
      <w:bookmarkStart w:id="1827" w:name="_Toc38438333"/>
      <w:bookmarkStart w:id="1828" w:name="_Toc38438670"/>
      <w:bookmarkStart w:id="1829" w:name="_Toc38439007"/>
      <w:bookmarkStart w:id="1830" w:name="_Toc38439344"/>
      <w:bookmarkStart w:id="1831" w:name="_Toc38439681"/>
      <w:bookmarkStart w:id="1832" w:name="_Toc38440018"/>
      <w:bookmarkStart w:id="1833" w:name="_Toc38440355"/>
      <w:bookmarkStart w:id="1834" w:name="_Toc38440887"/>
      <w:bookmarkStart w:id="1835" w:name="_Toc38441219"/>
      <w:bookmarkStart w:id="1836" w:name="_Toc38441551"/>
      <w:bookmarkStart w:id="1837" w:name="_Toc38441879"/>
      <w:bookmarkStart w:id="1838" w:name="_Toc38442211"/>
      <w:bookmarkStart w:id="1839" w:name="_Toc38442543"/>
      <w:bookmarkStart w:id="1840" w:name="_Toc38442874"/>
      <w:bookmarkStart w:id="1841" w:name="_Toc38443205"/>
      <w:bookmarkStart w:id="1842" w:name="_Toc38443536"/>
      <w:bookmarkStart w:id="1843" w:name="_Toc38443867"/>
      <w:bookmarkStart w:id="1844" w:name="_Toc38438334"/>
      <w:bookmarkStart w:id="1845" w:name="_Toc38438671"/>
      <w:bookmarkStart w:id="1846" w:name="_Toc38439008"/>
      <w:bookmarkStart w:id="1847" w:name="_Toc38439345"/>
      <w:bookmarkStart w:id="1848" w:name="_Toc38439682"/>
      <w:bookmarkStart w:id="1849" w:name="_Toc38440019"/>
      <w:bookmarkStart w:id="1850" w:name="_Toc38440356"/>
      <w:bookmarkStart w:id="1851" w:name="_Toc38440888"/>
      <w:bookmarkStart w:id="1852" w:name="_Toc38441220"/>
      <w:bookmarkStart w:id="1853" w:name="_Toc38441552"/>
      <w:bookmarkStart w:id="1854" w:name="_Toc38441880"/>
      <w:bookmarkStart w:id="1855" w:name="_Toc38442212"/>
      <w:bookmarkStart w:id="1856" w:name="_Toc38442544"/>
      <w:bookmarkStart w:id="1857" w:name="_Toc38442875"/>
      <w:bookmarkStart w:id="1858" w:name="_Toc38443206"/>
      <w:bookmarkStart w:id="1859" w:name="_Toc38443537"/>
      <w:bookmarkStart w:id="1860" w:name="_Toc38443868"/>
      <w:bookmarkStart w:id="1861" w:name="_Toc38438335"/>
      <w:bookmarkStart w:id="1862" w:name="_Toc38438672"/>
      <w:bookmarkStart w:id="1863" w:name="_Toc38439009"/>
      <w:bookmarkStart w:id="1864" w:name="_Toc38439346"/>
      <w:bookmarkStart w:id="1865" w:name="_Toc38439683"/>
      <w:bookmarkStart w:id="1866" w:name="_Toc38440020"/>
      <w:bookmarkStart w:id="1867" w:name="_Toc38440357"/>
      <w:bookmarkStart w:id="1868" w:name="_Toc38440889"/>
      <w:bookmarkStart w:id="1869" w:name="_Toc38441221"/>
      <w:bookmarkStart w:id="1870" w:name="_Toc38441553"/>
      <w:bookmarkStart w:id="1871" w:name="_Toc38441881"/>
      <w:bookmarkStart w:id="1872" w:name="_Toc38442213"/>
      <w:bookmarkStart w:id="1873" w:name="_Toc38442545"/>
      <w:bookmarkStart w:id="1874" w:name="_Toc38442876"/>
      <w:bookmarkStart w:id="1875" w:name="_Toc38443207"/>
      <w:bookmarkStart w:id="1876" w:name="_Toc38443538"/>
      <w:bookmarkStart w:id="1877" w:name="_Toc38443869"/>
      <w:bookmarkStart w:id="1878" w:name="_Toc38438336"/>
      <w:bookmarkStart w:id="1879" w:name="_Toc38438673"/>
      <w:bookmarkStart w:id="1880" w:name="_Toc38439010"/>
      <w:bookmarkStart w:id="1881" w:name="_Toc38439347"/>
      <w:bookmarkStart w:id="1882" w:name="_Toc38439684"/>
      <w:bookmarkStart w:id="1883" w:name="_Toc38440021"/>
      <w:bookmarkStart w:id="1884" w:name="_Toc38440358"/>
      <w:bookmarkStart w:id="1885" w:name="_Toc38440890"/>
      <w:bookmarkStart w:id="1886" w:name="_Toc38441222"/>
      <w:bookmarkStart w:id="1887" w:name="_Toc38441554"/>
      <w:bookmarkStart w:id="1888" w:name="_Toc38441882"/>
      <w:bookmarkStart w:id="1889" w:name="_Toc38442214"/>
      <w:bookmarkStart w:id="1890" w:name="_Toc38442546"/>
      <w:bookmarkStart w:id="1891" w:name="_Toc38442877"/>
      <w:bookmarkStart w:id="1892" w:name="_Toc38443208"/>
      <w:bookmarkStart w:id="1893" w:name="_Toc38443539"/>
      <w:bookmarkStart w:id="1894" w:name="_Toc38443870"/>
      <w:bookmarkStart w:id="1895" w:name="_Toc38438337"/>
      <w:bookmarkStart w:id="1896" w:name="_Toc38438674"/>
      <w:bookmarkStart w:id="1897" w:name="_Toc38439011"/>
      <w:bookmarkStart w:id="1898" w:name="_Toc38439348"/>
      <w:bookmarkStart w:id="1899" w:name="_Toc38439685"/>
      <w:bookmarkStart w:id="1900" w:name="_Toc38440022"/>
      <w:bookmarkStart w:id="1901" w:name="_Toc38440359"/>
      <w:bookmarkStart w:id="1902" w:name="_Toc38440891"/>
      <w:bookmarkStart w:id="1903" w:name="_Toc38441223"/>
      <w:bookmarkStart w:id="1904" w:name="_Toc38441555"/>
      <w:bookmarkStart w:id="1905" w:name="_Toc38441883"/>
      <w:bookmarkStart w:id="1906" w:name="_Toc38442215"/>
      <w:bookmarkStart w:id="1907" w:name="_Toc38442547"/>
      <w:bookmarkStart w:id="1908" w:name="_Toc38442878"/>
      <w:bookmarkStart w:id="1909" w:name="_Toc38443209"/>
      <w:bookmarkStart w:id="1910" w:name="_Toc38443540"/>
      <w:bookmarkStart w:id="1911" w:name="_Toc38443871"/>
      <w:bookmarkStart w:id="1912" w:name="_Toc38438338"/>
      <w:bookmarkStart w:id="1913" w:name="_Toc38438675"/>
      <w:bookmarkStart w:id="1914" w:name="_Toc38439012"/>
      <w:bookmarkStart w:id="1915" w:name="_Toc38439349"/>
      <w:bookmarkStart w:id="1916" w:name="_Toc38439686"/>
      <w:bookmarkStart w:id="1917" w:name="_Toc38440023"/>
      <w:bookmarkStart w:id="1918" w:name="_Toc38440360"/>
      <w:bookmarkStart w:id="1919" w:name="_Toc38440892"/>
      <w:bookmarkStart w:id="1920" w:name="_Toc38441224"/>
      <w:bookmarkStart w:id="1921" w:name="_Toc38441556"/>
      <w:bookmarkStart w:id="1922" w:name="_Toc38441884"/>
      <w:bookmarkStart w:id="1923" w:name="_Toc38442216"/>
      <w:bookmarkStart w:id="1924" w:name="_Toc38442548"/>
      <w:bookmarkStart w:id="1925" w:name="_Toc38442879"/>
      <w:bookmarkStart w:id="1926" w:name="_Toc38443210"/>
      <w:bookmarkStart w:id="1927" w:name="_Toc38443541"/>
      <w:bookmarkStart w:id="1928" w:name="_Toc38443872"/>
      <w:bookmarkStart w:id="1929" w:name="_Toc38438339"/>
      <w:bookmarkStart w:id="1930" w:name="_Toc38438676"/>
      <w:bookmarkStart w:id="1931" w:name="_Toc38439013"/>
      <w:bookmarkStart w:id="1932" w:name="_Toc38439350"/>
      <w:bookmarkStart w:id="1933" w:name="_Toc38439687"/>
      <w:bookmarkStart w:id="1934" w:name="_Toc38440024"/>
      <w:bookmarkStart w:id="1935" w:name="_Toc38440361"/>
      <w:bookmarkStart w:id="1936" w:name="_Toc38440893"/>
      <w:bookmarkStart w:id="1937" w:name="_Toc38441225"/>
      <w:bookmarkStart w:id="1938" w:name="_Toc38441557"/>
      <w:bookmarkStart w:id="1939" w:name="_Toc38441885"/>
      <w:bookmarkStart w:id="1940" w:name="_Toc38442217"/>
      <w:bookmarkStart w:id="1941" w:name="_Toc38442549"/>
      <w:bookmarkStart w:id="1942" w:name="_Toc38442880"/>
      <w:bookmarkStart w:id="1943" w:name="_Toc38443211"/>
      <w:bookmarkStart w:id="1944" w:name="_Toc38443542"/>
      <w:bookmarkStart w:id="1945" w:name="_Toc38443873"/>
      <w:bookmarkStart w:id="1946" w:name="_Toc38438340"/>
      <w:bookmarkStart w:id="1947" w:name="_Toc38438677"/>
      <w:bookmarkStart w:id="1948" w:name="_Toc38439014"/>
      <w:bookmarkStart w:id="1949" w:name="_Toc38439351"/>
      <w:bookmarkStart w:id="1950" w:name="_Toc38439688"/>
      <w:bookmarkStart w:id="1951" w:name="_Toc38440025"/>
      <w:bookmarkStart w:id="1952" w:name="_Toc38440362"/>
      <w:bookmarkStart w:id="1953" w:name="_Toc38440894"/>
      <w:bookmarkStart w:id="1954" w:name="_Toc38441226"/>
      <w:bookmarkStart w:id="1955" w:name="_Toc38441558"/>
      <w:bookmarkStart w:id="1956" w:name="_Toc38441886"/>
      <w:bookmarkStart w:id="1957" w:name="_Toc38442218"/>
      <w:bookmarkStart w:id="1958" w:name="_Toc38442550"/>
      <w:bookmarkStart w:id="1959" w:name="_Toc38442881"/>
      <w:bookmarkStart w:id="1960" w:name="_Toc38443212"/>
      <w:bookmarkStart w:id="1961" w:name="_Toc38443543"/>
      <w:bookmarkStart w:id="1962" w:name="_Toc38443874"/>
      <w:bookmarkStart w:id="1963" w:name="_Toc38438341"/>
      <w:bookmarkStart w:id="1964" w:name="_Toc38438678"/>
      <w:bookmarkStart w:id="1965" w:name="_Toc38439015"/>
      <w:bookmarkStart w:id="1966" w:name="_Toc38439352"/>
      <w:bookmarkStart w:id="1967" w:name="_Toc38439689"/>
      <w:bookmarkStart w:id="1968" w:name="_Toc38440026"/>
      <w:bookmarkStart w:id="1969" w:name="_Toc38440363"/>
      <w:bookmarkStart w:id="1970" w:name="_Toc38440895"/>
      <w:bookmarkStart w:id="1971" w:name="_Toc38441227"/>
      <w:bookmarkStart w:id="1972" w:name="_Toc38441559"/>
      <w:bookmarkStart w:id="1973" w:name="_Toc38441887"/>
      <w:bookmarkStart w:id="1974" w:name="_Toc38442219"/>
      <w:bookmarkStart w:id="1975" w:name="_Toc38442551"/>
      <w:bookmarkStart w:id="1976" w:name="_Toc38442882"/>
      <w:bookmarkStart w:id="1977" w:name="_Toc38443213"/>
      <w:bookmarkStart w:id="1978" w:name="_Toc38443544"/>
      <w:bookmarkStart w:id="1979" w:name="_Toc38443875"/>
      <w:bookmarkStart w:id="1980" w:name="_Toc38438342"/>
      <w:bookmarkStart w:id="1981" w:name="_Toc38438679"/>
      <w:bookmarkStart w:id="1982" w:name="_Toc38439016"/>
      <w:bookmarkStart w:id="1983" w:name="_Toc38439353"/>
      <w:bookmarkStart w:id="1984" w:name="_Toc38439690"/>
      <w:bookmarkStart w:id="1985" w:name="_Toc38440027"/>
      <w:bookmarkStart w:id="1986" w:name="_Toc38440364"/>
      <w:bookmarkStart w:id="1987" w:name="_Toc38440896"/>
      <w:bookmarkStart w:id="1988" w:name="_Toc38441228"/>
      <w:bookmarkStart w:id="1989" w:name="_Toc38441560"/>
      <w:bookmarkStart w:id="1990" w:name="_Toc38441888"/>
      <w:bookmarkStart w:id="1991" w:name="_Toc38442220"/>
      <w:bookmarkStart w:id="1992" w:name="_Toc38442552"/>
      <w:bookmarkStart w:id="1993" w:name="_Toc38442883"/>
      <w:bookmarkStart w:id="1994" w:name="_Toc38443214"/>
      <w:bookmarkStart w:id="1995" w:name="_Toc38443545"/>
      <w:bookmarkStart w:id="1996" w:name="_Toc38443876"/>
      <w:bookmarkStart w:id="1997" w:name="_Toc38438343"/>
      <w:bookmarkStart w:id="1998" w:name="_Toc38438680"/>
      <w:bookmarkStart w:id="1999" w:name="_Toc38439017"/>
      <w:bookmarkStart w:id="2000" w:name="_Toc38439354"/>
      <w:bookmarkStart w:id="2001" w:name="_Toc38439691"/>
      <w:bookmarkStart w:id="2002" w:name="_Toc38440028"/>
      <w:bookmarkStart w:id="2003" w:name="_Toc38440365"/>
      <w:bookmarkStart w:id="2004" w:name="_Toc38440897"/>
      <w:bookmarkStart w:id="2005" w:name="_Toc38441229"/>
      <w:bookmarkStart w:id="2006" w:name="_Toc38441561"/>
      <w:bookmarkStart w:id="2007" w:name="_Toc38441889"/>
      <w:bookmarkStart w:id="2008" w:name="_Toc38442221"/>
      <w:bookmarkStart w:id="2009" w:name="_Toc38442553"/>
      <w:bookmarkStart w:id="2010" w:name="_Toc38442884"/>
      <w:bookmarkStart w:id="2011" w:name="_Toc38443215"/>
      <w:bookmarkStart w:id="2012" w:name="_Toc38443546"/>
      <w:bookmarkStart w:id="2013" w:name="_Toc38443877"/>
      <w:bookmarkStart w:id="2014" w:name="_Toc13148422"/>
      <w:bookmarkStart w:id="2015" w:name="_Toc34834777"/>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sidRPr="00453203">
        <w:rPr>
          <w:rFonts w:asciiTheme="minorEastAsia" w:eastAsiaTheme="minorEastAsia" w:hAnsiTheme="minorEastAsia" w:hint="eastAsia"/>
          <w:bCs/>
        </w:rPr>
        <w:lastRenderedPageBreak/>
        <w:t>二十四</w:t>
      </w:r>
      <w:r w:rsidR="00266A27" w:rsidRPr="00453203">
        <w:rPr>
          <w:rFonts w:asciiTheme="minorEastAsia" w:eastAsiaTheme="minorEastAsia" w:hAnsiTheme="minorEastAsia" w:hint="eastAsia"/>
          <w:bCs/>
        </w:rPr>
        <w:t>、</w:t>
      </w:r>
      <w:bookmarkEnd w:id="2014"/>
      <w:r w:rsidR="00266A27" w:rsidRPr="00453203">
        <w:rPr>
          <w:rFonts w:asciiTheme="minorEastAsia" w:eastAsiaTheme="minorEastAsia" w:hAnsiTheme="minorEastAsia" w:hint="eastAsia"/>
          <w:bCs/>
        </w:rPr>
        <w:t>其他应披露事项</w:t>
      </w:r>
      <w:bookmarkEnd w:id="2015"/>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1724"/>
      </w:tblGrid>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center"/>
            <w:hideMark/>
          </w:tcPr>
          <w:p w:rsidR="009E32B5" w:rsidRPr="00453203" w:rsidRDefault="009E32B5" w:rsidP="00453203">
            <w:pPr>
              <w:autoSpaceDE w:val="0"/>
              <w:autoSpaceDN w:val="0"/>
              <w:adjustRightInd w:val="0"/>
              <w:snapToGrid w:val="0"/>
              <w:spacing w:line="360" w:lineRule="auto"/>
              <w:ind w:firstLineChars="1400" w:firstLine="2940"/>
              <w:rPr>
                <w:rFonts w:asciiTheme="minorEastAsia" w:eastAsiaTheme="minorEastAsia" w:hAnsiTheme="minorEastAsia"/>
              </w:rPr>
            </w:pPr>
            <w:r w:rsidRPr="00453203">
              <w:rPr>
                <w:rFonts w:asciiTheme="minorEastAsia" w:eastAsiaTheme="minorEastAsia" w:hAnsiTheme="minorEastAsia" w:hint="eastAsia"/>
              </w:rPr>
              <w:t>公告事项</w:t>
            </w:r>
          </w:p>
        </w:tc>
        <w:tc>
          <w:tcPr>
            <w:tcW w:w="1724" w:type="dxa"/>
            <w:tcBorders>
              <w:top w:val="single" w:sz="4" w:space="0" w:color="auto"/>
              <w:left w:val="single" w:sz="4" w:space="0" w:color="auto"/>
              <w:bottom w:val="single" w:sz="4" w:space="0" w:color="auto"/>
              <w:right w:val="single" w:sz="4" w:space="0" w:color="auto"/>
            </w:tcBorders>
            <w:vAlign w:val="center"/>
            <w:hideMark/>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rPr>
              <w:t>披露日期</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易方达基金管理有限公司关于旗下部分开放式基金参加国盛证券费率优惠活动的公告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2019-03-21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易方达基金管理有限公司关于旗下部分开放式基金增加国盛证券为销售机构的公告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2019-03-26</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易方达基金管理有限公司关于旗下部分开放式基金参加国海证券定期定额投资费率优惠活动的公告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2019-03-27</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易方达基金管理有限公司关于旗下部分开放式基金参加昆仑银行费率优惠活动的公告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2019-03-29</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易方达基金管理有限公司关于旗下部分开放式基金参加中投证券费率优惠活动的公告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2019-03-29</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易方达基金管理有限公司关于旗下部分开放式基金参加交通银行手机银行申购及定期定额投资费率优惠活动的公告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2019-03-30</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易方达基金管理有限公司关于旗下部分开放式基金参加中国工商银行申购费率优惠活动的公告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2019-04-01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易方达基金管理有限公司关于旗下部分开放式基金参加泉州银行费率优惠活动的公告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2019-04-01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易方达基金管理有限公司关于旗下部分开放式基金增加青岛银行为销售机构的公告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2019-04-08</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易方达基金管理有限公司关于旗下部分开放式基金参加四川天府银行手机银行费率优惠活动的公告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2019-04-30</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易方达基金管理有限公司关于旗下部分开放式基金参加齐商银行费率优惠活动的公告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2019-05-07</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易方达基金管理有限公司关于旗下部分开放式基金参加中国民生银行费率优惠活动的公告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2019-05-16</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易方达基金管理有限公司关于旗下部分开放式基金增加杭州银行为销售机构的公告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2019-05-20</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lastRenderedPageBreak/>
              <w:t>易方达基金管理有限公司关于民族证券并入方正证券期间基金业务安排的提示性公告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2019-05-22</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易方达基金管理有限公司关于旗下部分开放式基金增加重庆银行为销售机构的公告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2019-05-24</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易方达基金管理有限公司关于提醒网上直销个人投资者及时上传身份证件照片并完善、更新身份信息以免影响日常交易的公告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2019-05-28</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易方达基金管理有限公司关于旗下部分开放式基金增加浙商证券为销售机构的公告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2019-06-06</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易方达基金管理有限公司关于旗下部分开放式基金增加汇成基金为销售机构、参加汇成基金费率优惠活动的公告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2019-06-14</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易方达基金管理有限公司关于调整转换业务货币市场基金未付收益支付规则的公告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2019-06-20</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易方达基金管理有限公司关于旗下部分开放式基金增加民生证券为销售机构的公告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2019-06-20</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易方达基金管理有限公司关于旗下部分开放式基金参加佛山农商银行费率优惠活动的公告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2019-06-21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易方达基金管理有限公司关于旗下部分公开募集证券投资基金可投资于科创板股票的公告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2019-06-22</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易方达基金管理有限公司关于旗下部分开放式基金参加德邦证券费率优惠活动的公告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2019-06-24</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易方达基金管理有限公司关于易方达创业板交易型开放式指数证券投资基金联接基金C类基金份额增加中原证券为销售机构的公告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2019-06-28</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易方达基金管理有限公司关于旗下部分开放式基金参加长城国瑞证券费率优惠活动的公告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2019-06-28</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易方达基金管理有限公司关于旗下部分开放式基金增加财达证券为销售机构的公告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2019-07-01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易方达基金管理有限公司关于旗下部分开放式基金参加云南红塔银行费率优惠活动的公告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2019-07-05</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易方达基金管理有限公司关于旗下部分开放式基金增加大智慧基金为销售机构的公告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2019-07-05</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lastRenderedPageBreak/>
              <w:t>易方达基金管理有限公司关于旗下部分开放式基金参加安信证券定期定额投资费率优惠活动的公告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2019-07-15</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易方达基金管理有限公司关于旗下部分开放式基金增加苏宁基金为销售机构、参加苏宁基金费率优惠活动的公告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2019-07-17</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易方达基金管理有限公司关于旗下部分开放式基金增加同花顺为销售机构的公告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2019-07-17</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易方达基金管理有限公司关于旗下部分开放式基金增加陆基金为销售机构的公告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2019-07-22</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易方达基金管理有限公司关于旗下部分开放式基金参加海通证券费率优惠活动的公告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2019-08-12</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易方达基金管理有限公司关于暂停北京中期时代基金销售有限公司办理旗下基金相关销售业务的公告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2019-08-13</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易方达基金管理有限公司关于旗下部分开放式基金参加销售机构申购费率优惠活动的公告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2019-08-13</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易方达基金管理有限公司关于暂停厦门市鑫鼎盛控股有限公司办理旗下基金相关销售业务的公告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2019-08-14</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易方达基金管理有限公司关于暂停北京加和基金销售有限公司办理旗下基金相关销售业务的公告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2019-08-14</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易方达基金管理有限公司关于暂停上海凯石财富基金销售有限公司办理旗下基金相关销售业务的公告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2019-08-14</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易方达基金管理有限公司关于暂停深圳宜投基金销售有限公司办理旗下基金相关销售业务的公告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2019-08-14</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易方达基金管理有限公司关于旗下部分开放式基金参加潍坊银行费率优惠活动的公告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2019-08-26</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易方达基金管理有限公司关于旗下部分开放式基金增加肯特瑞基金为销售机构的公告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2019-08-26</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易方达基金管理有限公司旗下部分开放式基金增加微众银行为销售机构、参加微众银行费率优惠活动的公告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2019-09-11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易方达基金管理有限公司关于延长旗下部分开放式基金在直销中心开展赎回费率优惠活动时间的公告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2019-09-26</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lastRenderedPageBreak/>
              <w:t>易方达基金管理有限公司旗下基金季度报告提示性公告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2019-10-24</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易方达基金管理有限公司旗下部分开放式基金参加方正证券费率优惠活动的公告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2019-11-08</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易方达基金管理有限公司旗下部分开放式基金增加中信建投证券为销售机构的公告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2019-11-18</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易方达基金管理有限公司旗下部分开放式基金增加中邮证券为销售机构的公告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2019-12-13</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易方达基金管理有限公司旗下部分开放式基金参加中国邮政储蓄银行个人网上银行和手机银行申购费率优惠活动的公告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2019-12-30</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易方达基金管理有限公司关于公司股权变更的公告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2019-12-31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易方达基金管理有限公司旗下部分开放式基金参加烟台银行定期定额投资费率优惠活动的公告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2019-12-31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易方达基金管理有限公司旗下部分开放式基金参加交通银行手机银行费率优惠活动的公告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2019-12-31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易方达基金管理有限公司旗下部分开放式基金参加中国工商银行“2020倾心回馈”基金定期定额投资费率优惠活动的公告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2019-12-31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易方达基金管理有限公司旗下部分开放式基金参加中国工商银行个人电子银行渠道申购费率优惠活动的公告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2019-12-31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易方达基金管理有限公司旗下部分开放式基金参加昆仑银行费率优惠活动的公告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2019-12-31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易方达基金管理有限公司旗下部分开放式基金参加苏州银行费率优惠活动的公告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2019-12-31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易方达基金管理有限公司关于易方达创业板交易型开放式指数证券投资基金联接基金根据《公开募集证券投资基金信息披露管理办法》修订基金合同、托管协议部分条款的公告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2019-12-31</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易方达基金管理有限公司旗下部分开放式基金参加中国农业银行费率优惠活动的公告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2020-01-06</w:t>
            </w:r>
          </w:p>
        </w:tc>
      </w:tr>
      <w:tr w:rsidR="00453203" w:rsidRPr="00453203" w:rsidTr="00453203">
        <w:trPr>
          <w:trHeight w:val="783"/>
        </w:trPr>
        <w:tc>
          <w:tcPr>
            <w:tcW w:w="6678" w:type="dxa"/>
            <w:tcBorders>
              <w:top w:val="single" w:sz="4" w:space="0" w:color="auto"/>
              <w:left w:val="single" w:sz="4" w:space="0" w:color="auto"/>
              <w:bottom w:val="single" w:sz="4" w:space="0" w:color="auto"/>
              <w:right w:val="single" w:sz="4" w:space="0" w:color="auto"/>
            </w:tcBorders>
            <w:vAlign w:val="bottom"/>
          </w:tcPr>
          <w:p w:rsidR="009E32B5" w:rsidRPr="00453203" w:rsidRDefault="009E32B5" w:rsidP="0004701B">
            <w:pPr>
              <w:autoSpaceDE w:val="0"/>
              <w:autoSpaceDN w:val="0"/>
              <w:adjustRightInd w:val="0"/>
              <w:snapToGrid w:val="0"/>
              <w:spacing w:line="360" w:lineRule="auto"/>
              <w:jc w:val="left"/>
              <w:rPr>
                <w:rFonts w:asciiTheme="minorEastAsia" w:eastAsiaTheme="minorEastAsia" w:hAnsiTheme="minorEastAsia"/>
              </w:rPr>
            </w:pPr>
            <w:r w:rsidRPr="00453203">
              <w:rPr>
                <w:rFonts w:asciiTheme="minorEastAsia" w:eastAsiaTheme="minorEastAsia" w:hAnsiTheme="minorEastAsia" w:hint="eastAsia"/>
                <w:sz w:val="22"/>
                <w:szCs w:val="22"/>
              </w:rPr>
              <w:t>易方达基金管理有限公司旗下部分开放式基金增加安信证券为销售机构的公告</w:t>
            </w:r>
          </w:p>
        </w:tc>
        <w:tc>
          <w:tcPr>
            <w:tcW w:w="1724" w:type="dxa"/>
            <w:tcBorders>
              <w:top w:val="single" w:sz="4" w:space="0" w:color="auto"/>
              <w:left w:val="single" w:sz="4" w:space="0" w:color="auto"/>
              <w:bottom w:val="single" w:sz="4" w:space="0" w:color="auto"/>
              <w:right w:val="single" w:sz="4" w:space="0" w:color="auto"/>
            </w:tcBorders>
            <w:vAlign w:val="center"/>
          </w:tcPr>
          <w:p w:rsidR="009E32B5" w:rsidRPr="00453203" w:rsidRDefault="009E32B5" w:rsidP="00453203">
            <w:pPr>
              <w:autoSpaceDE w:val="0"/>
              <w:autoSpaceDN w:val="0"/>
              <w:adjustRightInd w:val="0"/>
              <w:snapToGrid w:val="0"/>
              <w:spacing w:line="360" w:lineRule="auto"/>
              <w:jc w:val="center"/>
              <w:rPr>
                <w:rFonts w:asciiTheme="minorEastAsia" w:eastAsiaTheme="minorEastAsia" w:hAnsiTheme="minorEastAsia"/>
              </w:rPr>
            </w:pPr>
            <w:r w:rsidRPr="00453203">
              <w:rPr>
                <w:rFonts w:asciiTheme="minorEastAsia" w:eastAsiaTheme="minorEastAsia" w:hAnsiTheme="minorEastAsia" w:hint="eastAsia"/>
                <w:sz w:val="22"/>
                <w:szCs w:val="22"/>
              </w:rPr>
              <w:t>2020-01-14</w:t>
            </w:r>
          </w:p>
        </w:tc>
      </w:tr>
    </w:tbl>
    <w:p w:rsidR="00266A27" w:rsidRPr="00453203" w:rsidRDefault="001A62C5" w:rsidP="00643071">
      <w:pPr>
        <w:autoSpaceDE w:val="0"/>
        <w:autoSpaceDN w:val="0"/>
        <w:adjustRightInd w:val="0"/>
        <w:snapToGrid w:val="0"/>
        <w:spacing w:line="360" w:lineRule="auto"/>
        <w:jc w:val="left"/>
        <w:rPr>
          <w:rFonts w:asciiTheme="minorEastAsia" w:eastAsiaTheme="minorEastAsia" w:hAnsiTheme="minorEastAsia"/>
          <w:szCs w:val="21"/>
        </w:rPr>
      </w:pPr>
      <w:r w:rsidRPr="00453203">
        <w:rPr>
          <w:rFonts w:asciiTheme="minorEastAsia" w:eastAsiaTheme="minorEastAsia" w:hAnsiTheme="minorEastAsia" w:hint="eastAsia"/>
          <w:szCs w:val="21"/>
        </w:rPr>
        <w:lastRenderedPageBreak/>
        <w:t>注：以上公告事项披露在指定媒介及基金管理人网站上。</w:t>
      </w:r>
    </w:p>
    <w:p w:rsidR="00266A27" w:rsidRPr="00453203" w:rsidRDefault="006F1828" w:rsidP="00741477">
      <w:pPr>
        <w:pStyle w:val="1"/>
        <w:snapToGrid w:val="0"/>
        <w:spacing w:beforeLines="0" w:afterLines="0" w:line="360" w:lineRule="auto"/>
        <w:ind w:firstLineChars="0" w:firstLine="0"/>
        <w:rPr>
          <w:rFonts w:asciiTheme="minorEastAsia" w:eastAsiaTheme="minorEastAsia" w:hAnsiTheme="minorEastAsia"/>
          <w:bCs/>
        </w:rPr>
      </w:pPr>
      <w:bookmarkStart w:id="2016" w:name="_Toc38438350"/>
      <w:bookmarkStart w:id="2017" w:name="_Toc38438687"/>
      <w:bookmarkStart w:id="2018" w:name="_Toc38439024"/>
      <w:bookmarkStart w:id="2019" w:name="_Toc38439361"/>
      <w:bookmarkStart w:id="2020" w:name="_Toc38439698"/>
      <w:bookmarkStart w:id="2021" w:name="_Toc38440035"/>
      <w:bookmarkStart w:id="2022" w:name="_Toc38440372"/>
      <w:bookmarkStart w:id="2023" w:name="_Toc38440904"/>
      <w:bookmarkStart w:id="2024" w:name="_Toc38441236"/>
      <w:bookmarkStart w:id="2025" w:name="_Toc38441568"/>
      <w:bookmarkStart w:id="2026" w:name="_Toc38441896"/>
      <w:bookmarkStart w:id="2027" w:name="_Toc38442228"/>
      <w:bookmarkStart w:id="2028" w:name="_Toc38442560"/>
      <w:bookmarkStart w:id="2029" w:name="_Toc38442891"/>
      <w:bookmarkStart w:id="2030" w:name="_Toc38443222"/>
      <w:bookmarkStart w:id="2031" w:name="_Toc38443553"/>
      <w:bookmarkStart w:id="2032" w:name="_Toc38443883"/>
      <w:bookmarkStart w:id="2033" w:name="_Toc38438351"/>
      <w:bookmarkStart w:id="2034" w:name="_Toc38438688"/>
      <w:bookmarkStart w:id="2035" w:name="_Toc38439025"/>
      <w:bookmarkStart w:id="2036" w:name="_Toc38439362"/>
      <w:bookmarkStart w:id="2037" w:name="_Toc38439699"/>
      <w:bookmarkStart w:id="2038" w:name="_Toc38440036"/>
      <w:bookmarkStart w:id="2039" w:name="_Toc38440373"/>
      <w:bookmarkStart w:id="2040" w:name="_Toc38440905"/>
      <w:bookmarkStart w:id="2041" w:name="_Toc38441237"/>
      <w:bookmarkStart w:id="2042" w:name="_Toc38441569"/>
      <w:bookmarkStart w:id="2043" w:name="_Toc38441897"/>
      <w:bookmarkStart w:id="2044" w:name="_Toc38442229"/>
      <w:bookmarkStart w:id="2045" w:name="_Toc38442561"/>
      <w:bookmarkStart w:id="2046" w:name="_Toc38442892"/>
      <w:bookmarkStart w:id="2047" w:name="_Toc38443223"/>
      <w:bookmarkStart w:id="2048" w:name="_Toc38443554"/>
      <w:bookmarkStart w:id="2049" w:name="_Toc38443884"/>
      <w:bookmarkStart w:id="2050" w:name="_Toc38438352"/>
      <w:bookmarkStart w:id="2051" w:name="_Toc38438689"/>
      <w:bookmarkStart w:id="2052" w:name="_Toc38439026"/>
      <w:bookmarkStart w:id="2053" w:name="_Toc38439363"/>
      <w:bookmarkStart w:id="2054" w:name="_Toc38439700"/>
      <w:bookmarkStart w:id="2055" w:name="_Toc38440037"/>
      <w:bookmarkStart w:id="2056" w:name="_Toc38440374"/>
      <w:bookmarkStart w:id="2057" w:name="_Toc38440906"/>
      <w:bookmarkStart w:id="2058" w:name="_Toc38441238"/>
      <w:bookmarkStart w:id="2059" w:name="_Toc38441570"/>
      <w:bookmarkStart w:id="2060" w:name="_Toc38441898"/>
      <w:bookmarkStart w:id="2061" w:name="_Toc38442230"/>
      <w:bookmarkStart w:id="2062" w:name="_Toc38442562"/>
      <w:bookmarkStart w:id="2063" w:name="_Toc38442893"/>
      <w:bookmarkStart w:id="2064" w:name="_Toc38443224"/>
      <w:bookmarkStart w:id="2065" w:name="_Toc38443555"/>
      <w:bookmarkStart w:id="2066" w:name="_Toc38443885"/>
      <w:bookmarkStart w:id="2067" w:name="_Toc38438353"/>
      <w:bookmarkStart w:id="2068" w:name="_Toc38438690"/>
      <w:bookmarkStart w:id="2069" w:name="_Toc38439027"/>
      <w:bookmarkStart w:id="2070" w:name="_Toc38439364"/>
      <w:bookmarkStart w:id="2071" w:name="_Toc38439701"/>
      <w:bookmarkStart w:id="2072" w:name="_Toc38440038"/>
      <w:bookmarkStart w:id="2073" w:name="_Toc38440375"/>
      <w:bookmarkStart w:id="2074" w:name="_Toc38440907"/>
      <w:bookmarkStart w:id="2075" w:name="_Toc38441239"/>
      <w:bookmarkStart w:id="2076" w:name="_Toc38441571"/>
      <w:bookmarkStart w:id="2077" w:name="_Toc38441899"/>
      <w:bookmarkStart w:id="2078" w:name="_Toc38442231"/>
      <w:bookmarkStart w:id="2079" w:name="_Toc38442563"/>
      <w:bookmarkStart w:id="2080" w:name="_Toc38442894"/>
      <w:bookmarkStart w:id="2081" w:name="_Toc38443225"/>
      <w:bookmarkStart w:id="2082" w:name="_Toc38443556"/>
      <w:bookmarkStart w:id="2083" w:name="_Toc38443886"/>
      <w:bookmarkStart w:id="2084" w:name="_Toc38438354"/>
      <w:bookmarkStart w:id="2085" w:name="_Toc38438691"/>
      <w:bookmarkStart w:id="2086" w:name="_Toc38439028"/>
      <w:bookmarkStart w:id="2087" w:name="_Toc38439365"/>
      <w:bookmarkStart w:id="2088" w:name="_Toc38439702"/>
      <w:bookmarkStart w:id="2089" w:name="_Toc38440039"/>
      <w:bookmarkStart w:id="2090" w:name="_Toc38440376"/>
      <w:bookmarkStart w:id="2091" w:name="_Toc38440908"/>
      <w:bookmarkStart w:id="2092" w:name="_Toc38441240"/>
      <w:bookmarkStart w:id="2093" w:name="_Toc38441572"/>
      <w:bookmarkStart w:id="2094" w:name="_Toc38441900"/>
      <w:bookmarkStart w:id="2095" w:name="_Toc38442232"/>
      <w:bookmarkStart w:id="2096" w:name="_Toc38442564"/>
      <w:bookmarkStart w:id="2097" w:name="_Toc38442895"/>
      <w:bookmarkStart w:id="2098" w:name="_Toc38443226"/>
      <w:bookmarkStart w:id="2099" w:name="_Toc38443557"/>
      <w:bookmarkStart w:id="2100" w:name="_Toc38443887"/>
      <w:bookmarkStart w:id="2101" w:name="_Toc38438355"/>
      <w:bookmarkStart w:id="2102" w:name="_Toc38438692"/>
      <w:bookmarkStart w:id="2103" w:name="_Toc38439029"/>
      <w:bookmarkStart w:id="2104" w:name="_Toc38439366"/>
      <w:bookmarkStart w:id="2105" w:name="_Toc38439703"/>
      <w:bookmarkStart w:id="2106" w:name="_Toc38440040"/>
      <w:bookmarkStart w:id="2107" w:name="_Toc38440377"/>
      <w:bookmarkStart w:id="2108" w:name="_Toc38440909"/>
      <w:bookmarkStart w:id="2109" w:name="_Toc38441241"/>
      <w:bookmarkStart w:id="2110" w:name="_Toc38441573"/>
      <w:bookmarkStart w:id="2111" w:name="_Toc38441901"/>
      <w:bookmarkStart w:id="2112" w:name="_Toc38442233"/>
      <w:bookmarkStart w:id="2113" w:name="_Toc38442565"/>
      <w:bookmarkStart w:id="2114" w:name="_Toc38442896"/>
      <w:bookmarkStart w:id="2115" w:name="_Toc38443227"/>
      <w:bookmarkStart w:id="2116" w:name="_Toc38443558"/>
      <w:bookmarkStart w:id="2117" w:name="_Toc38443888"/>
      <w:bookmarkStart w:id="2118" w:name="_Toc38438356"/>
      <w:bookmarkStart w:id="2119" w:name="_Toc38438693"/>
      <w:bookmarkStart w:id="2120" w:name="_Toc38439030"/>
      <w:bookmarkStart w:id="2121" w:name="_Toc38439367"/>
      <w:bookmarkStart w:id="2122" w:name="_Toc38439704"/>
      <w:bookmarkStart w:id="2123" w:name="_Toc38440041"/>
      <w:bookmarkStart w:id="2124" w:name="_Toc38440378"/>
      <w:bookmarkStart w:id="2125" w:name="_Toc38440910"/>
      <w:bookmarkStart w:id="2126" w:name="_Toc38441242"/>
      <w:bookmarkStart w:id="2127" w:name="_Toc38441574"/>
      <w:bookmarkStart w:id="2128" w:name="_Toc38441902"/>
      <w:bookmarkStart w:id="2129" w:name="_Toc38442234"/>
      <w:bookmarkStart w:id="2130" w:name="_Toc38442566"/>
      <w:bookmarkStart w:id="2131" w:name="_Toc38442897"/>
      <w:bookmarkStart w:id="2132" w:name="_Toc38443228"/>
      <w:bookmarkStart w:id="2133" w:name="_Toc38443559"/>
      <w:bookmarkStart w:id="2134" w:name="_Toc38443889"/>
      <w:bookmarkStart w:id="2135" w:name="_Toc38438357"/>
      <w:bookmarkStart w:id="2136" w:name="_Toc38438694"/>
      <w:bookmarkStart w:id="2137" w:name="_Toc38439031"/>
      <w:bookmarkStart w:id="2138" w:name="_Toc38439368"/>
      <w:bookmarkStart w:id="2139" w:name="_Toc38439705"/>
      <w:bookmarkStart w:id="2140" w:name="_Toc38440042"/>
      <w:bookmarkStart w:id="2141" w:name="_Toc38440379"/>
      <w:bookmarkStart w:id="2142" w:name="_Toc38440911"/>
      <w:bookmarkStart w:id="2143" w:name="_Toc38441243"/>
      <w:bookmarkStart w:id="2144" w:name="_Toc38441575"/>
      <w:bookmarkStart w:id="2145" w:name="_Toc38441903"/>
      <w:bookmarkStart w:id="2146" w:name="_Toc38442235"/>
      <w:bookmarkStart w:id="2147" w:name="_Toc38442567"/>
      <w:bookmarkStart w:id="2148" w:name="_Toc38442898"/>
      <w:bookmarkStart w:id="2149" w:name="_Toc38443229"/>
      <w:bookmarkStart w:id="2150" w:name="_Toc38443560"/>
      <w:bookmarkStart w:id="2151" w:name="_Toc38443890"/>
      <w:bookmarkStart w:id="2152" w:name="_Toc38438358"/>
      <w:bookmarkStart w:id="2153" w:name="_Toc38438695"/>
      <w:bookmarkStart w:id="2154" w:name="_Toc38439032"/>
      <w:bookmarkStart w:id="2155" w:name="_Toc38439369"/>
      <w:bookmarkStart w:id="2156" w:name="_Toc38439706"/>
      <w:bookmarkStart w:id="2157" w:name="_Toc38440043"/>
      <w:bookmarkStart w:id="2158" w:name="_Toc38440380"/>
      <w:bookmarkStart w:id="2159" w:name="_Toc38440912"/>
      <w:bookmarkStart w:id="2160" w:name="_Toc38441244"/>
      <w:bookmarkStart w:id="2161" w:name="_Toc38441576"/>
      <w:bookmarkStart w:id="2162" w:name="_Toc38441904"/>
      <w:bookmarkStart w:id="2163" w:name="_Toc38442236"/>
      <w:bookmarkStart w:id="2164" w:name="_Toc38442568"/>
      <w:bookmarkStart w:id="2165" w:name="_Toc38442899"/>
      <w:bookmarkStart w:id="2166" w:name="_Toc38443230"/>
      <w:bookmarkStart w:id="2167" w:name="_Toc38443561"/>
      <w:bookmarkStart w:id="2168" w:name="_Toc38443891"/>
      <w:bookmarkStart w:id="2169" w:name="_Toc38438359"/>
      <w:bookmarkStart w:id="2170" w:name="_Toc38438696"/>
      <w:bookmarkStart w:id="2171" w:name="_Toc38439033"/>
      <w:bookmarkStart w:id="2172" w:name="_Toc38439370"/>
      <w:bookmarkStart w:id="2173" w:name="_Toc38439707"/>
      <w:bookmarkStart w:id="2174" w:name="_Toc38440044"/>
      <w:bookmarkStart w:id="2175" w:name="_Toc38440381"/>
      <w:bookmarkStart w:id="2176" w:name="_Toc38440913"/>
      <w:bookmarkStart w:id="2177" w:name="_Toc38441245"/>
      <w:bookmarkStart w:id="2178" w:name="_Toc38441577"/>
      <w:bookmarkStart w:id="2179" w:name="_Toc38441905"/>
      <w:bookmarkStart w:id="2180" w:name="_Toc38442237"/>
      <w:bookmarkStart w:id="2181" w:name="_Toc38442569"/>
      <w:bookmarkStart w:id="2182" w:name="_Toc38442900"/>
      <w:bookmarkStart w:id="2183" w:name="_Toc38443231"/>
      <w:bookmarkStart w:id="2184" w:name="_Toc38443562"/>
      <w:bookmarkStart w:id="2185" w:name="_Toc38443892"/>
      <w:bookmarkStart w:id="2186" w:name="_Toc38438360"/>
      <w:bookmarkStart w:id="2187" w:name="_Toc38438697"/>
      <w:bookmarkStart w:id="2188" w:name="_Toc38439034"/>
      <w:bookmarkStart w:id="2189" w:name="_Toc38439371"/>
      <w:bookmarkStart w:id="2190" w:name="_Toc38439708"/>
      <w:bookmarkStart w:id="2191" w:name="_Toc38440045"/>
      <w:bookmarkStart w:id="2192" w:name="_Toc38440382"/>
      <w:bookmarkStart w:id="2193" w:name="_Toc38440914"/>
      <w:bookmarkStart w:id="2194" w:name="_Toc38441246"/>
      <w:bookmarkStart w:id="2195" w:name="_Toc38441578"/>
      <w:bookmarkStart w:id="2196" w:name="_Toc38441906"/>
      <w:bookmarkStart w:id="2197" w:name="_Toc38442238"/>
      <w:bookmarkStart w:id="2198" w:name="_Toc38442570"/>
      <w:bookmarkStart w:id="2199" w:name="_Toc38442901"/>
      <w:bookmarkStart w:id="2200" w:name="_Toc38443232"/>
      <w:bookmarkStart w:id="2201" w:name="_Toc38443563"/>
      <w:bookmarkStart w:id="2202" w:name="_Toc38443893"/>
      <w:bookmarkStart w:id="2203" w:name="_Toc38438361"/>
      <w:bookmarkStart w:id="2204" w:name="_Toc38438698"/>
      <w:bookmarkStart w:id="2205" w:name="_Toc38439035"/>
      <w:bookmarkStart w:id="2206" w:name="_Toc38439372"/>
      <w:bookmarkStart w:id="2207" w:name="_Toc38439709"/>
      <w:bookmarkStart w:id="2208" w:name="_Toc38440046"/>
      <w:bookmarkStart w:id="2209" w:name="_Toc38440383"/>
      <w:bookmarkStart w:id="2210" w:name="_Toc38440915"/>
      <w:bookmarkStart w:id="2211" w:name="_Toc38441247"/>
      <w:bookmarkStart w:id="2212" w:name="_Toc38441579"/>
      <w:bookmarkStart w:id="2213" w:name="_Toc38441907"/>
      <w:bookmarkStart w:id="2214" w:name="_Toc38442239"/>
      <w:bookmarkStart w:id="2215" w:name="_Toc38442571"/>
      <w:bookmarkStart w:id="2216" w:name="_Toc38442902"/>
      <w:bookmarkStart w:id="2217" w:name="_Toc38443233"/>
      <w:bookmarkStart w:id="2218" w:name="_Toc38443564"/>
      <w:bookmarkStart w:id="2219" w:name="_Toc38443894"/>
      <w:bookmarkStart w:id="2220" w:name="_Toc38438362"/>
      <w:bookmarkStart w:id="2221" w:name="_Toc38438699"/>
      <w:bookmarkStart w:id="2222" w:name="_Toc38439036"/>
      <w:bookmarkStart w:id="2223" w:name="_Toc38439373"/>
      <w:bookmarkStart w:id="2224" w:name="_Toc38439710"/>
      <w:bookmarkStart w:id="2225" w:name="_Toc38440047"/>
      <w:bookmarkStart w:id="2226" w:name="_Toc38440384"/>
      <w:bookmarkStart w:id="2227" w:name="_Toc38440916"/>
      <w:bookmarkStart w:id="2228" w:name="_Toc38441248"/>
      <w:bookmarkStart w:id="2229" w:name="_Toc38441580"/>
      <w:bookmarkStart w:id="2230" w:name="_Toc38441908"/>
      <w:bookmarkStart w:id="2231" w:name="_Toc38442240"/>
      <w:bookmarkStart w:id="2232" w:name="_Toc38442572"/>
      <w:bookmarkStart w:id="2233" w:name="_Toc38442903"/>
      <w:bookmarkStart w:id="2234" w:name="_Toc38443234"/>
      <w:bookmarkStart w:id="2235" w:name="_Toc38443565"/>
      <w:bookmarkStart w:id="2236" w:name="_Toc38443895"/>
      <w:bookmarkStart w:id="2237" w:name="_Toc38438363"/>
      <w:bookmarkStart w:id="2238" w:name="_Toc38438700"/>
      <w:bookmarkStart w:id="2239" w:name="_Toc38439037"/>
      <w:bookmarkStart w:id="2240" w:name="_Toc38439374"/>
      <w:bookmarkStart w:id="2241" w:name="_Toc38439711"/>
      <w:bookmarkStart w:id="2242" w:name="_Toc38440048"/>
      <w:bookmarkStart w:id="2243" w:name="_Toc38440385"/>
      <w:bookmarkStart w:id="2244" w:name="_Toc38440917"/>
      <w:bookmarkStart w:id="2245" w:name="_Toc38441249"/>
      <w:bookmarkStart w:id="2246" w:name="_Toc38441581"/>
      <w:bookmarkStart w:id="2247" w:name="_Toc38441909"/>
      <w:bookmarkStart w:id="2248" w:name="_Toc38442241"/>
      <w:bookmarkStart w:id="2249" w:name="_Toc38442573"/>
      <w:bookmarkStart w:id="2250" w:name="_Toc38442904"/>
      <w:bookmarkStart w:id="2251" w:name="_Toc38443235"/>
      <w:bookmarkStart w:id="2252" w:name="_Toc38443566"/>
      <w:bookmarkStart w:id="2253" w:name="_Toc38443896"/>
      <w:bookmarkStart w:id="2254" w:name="_Toc38438364"/>
      <w:bookmarkStart w:id="2255" w:name="_Toc38438701"/>
      <w:bookmarkStart w:id="2256" w:name="_Toc38439038"/>
      <w:bookmarkStart w:id="2257" w:name="_Toc38439375"/>
      <w:bookmarkStart w:id="2258" w:name="_Toc38439712"/>
      <w:bookmarkStart w:id="2259" w:name="_Toc38440049"/>
      <w:bookmarkStart w:id="2260" w:name="_Toc38440386"/>
      <w:bookmarkStart w:id="2261" w:name="_Toc38440918"/>
      <w:bookmarkStart w:id="2262" w:name="_Toc38441250"/>
      <w:bookmarkStart w:id="2263" w:name="_Toc38441582"/>
      <w:bookmarkStart w:id="2264" w:name="_Toc38441910"/>
      <w:bookmarkStart w:id="2265" w:name="_Toc38442242"/>
      <w:bookmarkStart w:id="2266" w:name="_Toc38442574"/>
      <w:bookmarkStart w:id="2267" w:name="_Toc38442905"/>
      <w:bookmarkStart w:id="2268" w:name="_Toc38443236"/>
      <w:bookmarkStart w:id="2269" w:name="_Toc38443567"/>
      <w:bookmarkStart w:id="2270" w:name="_Toc38443897"/>
      <w:bookmarkStart w:id="2271" w:name="_Toc38438365"/>
      <w:bookmarkStart w:id="2272" w:name="_Toc38438702"/>
      <w:bookmarkStart w:id="2273" w:name="_Toc38439039"/>
      <w:bookmarkStart w:id="2274" w:name="_Toc38439376"/>
      <w:bookmarkStart w:id="2275" w:name="_Toc38439713"/>
      <w:bookmarkStart w:id="2276" w:name="_Toc38440050"/>
      <w:bookmarkStart w:id="2277" w:name="_Toc38440387"/>
      <w:bookmarkStart w:id="2278" w:name="_Toc38440919"/>
      <w:bookmarkStart w:id="2279" w:name="_Toc38441251"/>
      <w:bookmarkStart w:id="2280" w:name="_Toc38441583"/>
      <w:bookmarkStart w:id="2281" w:name="_Toc38441911"/>
      <w:bookmarkStart w:id="2282" w:name="_Toc38442243"/>
      <w:bookmarkStart w:id="2283" w:name="_Toc38442575"/>
      <w:bookmarkStart w:id="2284" w:name="_Toc38442906"/>
      <w:bookmarkStart w:id="2285" w:name="_Toc38443237"/>
      <w:bookmarkStart w:id="2286" w:name="_Toc38443568"/>
      <w:bookmarkStart w:id="2287" w:name="_Toc38443898"/>
      <w:bookmarkStart w:id="2288" w:name="_Toc38438366"/>
      <w:bookmarkStart w:id="2289" w:name="_Toc38438703"/>
      <w:bookmarkStart w:id="2290" w:name="_Toc38439040"/>
      <w:bookmarkStart w:id="2291" w:name="_Toc38439377"/>
      <w:bookmarkStart w:id="2292" w:name="_Toc38439714"/>
      <w:bookmarkStart w:id="2293" w:name="_Toc38440051"/>
      <w:bookmarkStart w:id="2294" w:name="_Toc38440388"/>
      <w:bookmarkStart w:id="2295" w:name="_Toc38440920"/>
      <w:bookmarkStart w:id="2296" w:name="_Toc38441252"/>
      <w:bookmarkStart w:id="2297" w:name="_Toc38441584"/>
      <w:bookmarkStart w:id="2298" w:name="_Toc38441912"/>
      <w:bookmarkStart w:id="2299" w:name="_Toc38442244"/>
      <w:bookmarkStart w:id="2300" w:name="_Toc38442576"/>
      <w:bookmarkStart w:id="2301" w:name="_Toc38442907"/>
      <w:bookmarkStart w:id="2302" w:name="_Toc38443238"/>
      <w:bookmarkStart w:id="2303" w:name="_Toc38443569"/>
      <w:bookmarkStart w:id="2304" w:name="_Toc38443899"/>
      <w:bookmarkStart w:id="2305" w:name="_Toc38438367"/>
      <w:bookmarkStart w:id="2306" w:name="_Toc38438704"/>
      <w:bookmarkStart w:id="2307" w:name="_Toc38439041"/>
      <w:bookmarkStart w:id="2308" w:name="_Toc38439378"/>
      <w:bookmarkStart w:id="2309" w:name="_Toc38439715"/>
      <w:bookmarkStart w:id="2310" w:name="_Toc38440052"/>
      <w:bookmarkStart w:id="2311" w:name="_Toc38440389"/>
      <w:bookmarkStart w:id="2312" w:name="_Toc38440921"/>
      <w:bookmarkStart w:id="2313" w:name="_Toc38441253"/>
      <w:bookmarkStart w:id="2314" w:name="_Toc38441585"/>
      <w:bookmarkStart w:id="2315" w:name="_Toc38441913"/>
      <w:bookmarkStart w:id="2316" w:name="_Toc38442245"/>
      <w:bookmarkStart w:id="2317" w:name="_Toc38442577"/>
      <w:bookmarkStart w:id="2318" w:name="_Toc38442908"/>
      <w:bookmarkStart w:id="2319" w:name="_Toc38443239"/>
      <w:bookmarkStart w:id="2320" w:name="_Toc38443570"/>
      <w:bookmarkStart w:id="2321" w:name="_Toc38443900"/>
      <w:bookmarkStart w:id="2322" w:name="_Toc38438368"/>
      <w:bookmarkStart w:id="2323" w:name="_Toc38438705"/>
      <w:bookmarkStart w:id="2324" w:name="_Toc38439042"/>
      <w:bookmarkStart w:id="2325" w:name="_Toc38439379"/>
      <w:bookmarkStart w:id="2326" w:name="_Toc38439716"/>
      <w:bookmarkStart w:id="2327" w:name="_Toc38440053"/>
      <w:bookmarkStart w:id="2328" w:name="_Toc38440390"/>
      <w:bookmarkStart w:id="2329" w:name="_Toc38440922"/>
      <w:bookmarkStart w:id="2330" w:name="_Toc38441254"/>
      <w:bookmarkStart w:id="2331" w:name="_Toc38441586"/>
      <w:bookmarkStart w:id="2332" w:name="_Toc38441914"/>
      <w:bookmarkStart w:id="2333" w:name="_Toc38442246"/>
      <w:bookmarkStart w:id="2334" w:name="_Toc38442578"/>
      <w:bookmarkStart w:id="2335" w:name="_Toc38442909"/>
      <w:bookmarkStart w:id="2336" w:name="_Toc38443240"/>
      <w:bookmarkStart w:id="2337" w:name="_Toc38443571"/>
      <w:bookmarkStart w:id="2338" w:name="_Toc38443901"/>
      <w:bookmarkStart w:id="2339" w:name="_Toc38438369"/>
      <w:bookmarkStart w:id="2340" w:name="_Toc38438706"/>
      <w:bookmarkStart w:id="2341" w:name="_Toc38439043"/>
      <w:bookmarkStart w:id="2342" w:name="_Toc38439380"/>
      <w:bookmarkStart w:id="2343" w:name="_Toc38439717"/>
      <w:bookmarkStart w:id="2344" w:name="_Toc38440054"/>
      <w:bookmarkStart w:id="2345" w:name="_Toc38440391"/>
      <w:bookmarkStart w:id="2346" w:name="_Toc38440923"/>
      <w:bookmarkStart w:id="2347" w:name="_Toc38441255"/>
      <w:bookmarkStart w:id="2348" w:name="_Toc38441587"/>
      <w:bookmarkStart w:id="2349" w:name="_Toc38441915"/>
      <w:bookmarkStart w:id="2350" w:name="_Toc38442247"/>
      <w:bookmarkStart w:id="2351" w:name="_Toc38442579"/>
      <w:bookmarkStart w:id="2352" w:name="_Toc38442910"/>
      <w:bookmarkStart w:id="2353" w:name="_Toc38443241"/>
      <w:bookmarkStart w:id="2354" w:name="_Toc38443572"/>
      <w:bookmarkStart w:id="2355" w:name="_Toc38443902"/>
      <w:bookmarkStart w:id="2356" w:name="_Toc38438371"/>
      <w:bookmarkStart w:id="2357" w:name="_Toc38438708"/>
      <w:bookmarkStart w:id="2358" w:name="_Toc38439045"/>
      <w:bookmarkStart w:id="2359" w:name="_Toc38439382"/>
      <w:bookmarkStart w:id="2360" w:name="_Toc38439719"/>
      <w:bookmarkStart w:id="2361" w:name="_Toc38440056"/>
      <w:bookmarkStart w:id="2362" w:name="_Toc38440393"/>
      <w:bookmarkStart w:id="2363" w:name="_Toc38440925"/>
      <w:bookmarkStart w:id="2364" w:name="_Toc38441257"/>
      <w:bookmarkStart w:id="2365" w:name="_Toc38441589"/>
      <w:bookmarkStart w:id="2366" w:name="_Toc38441917"/>
      <w:bookmarkStart w:id="2367" w:name="_Toc38442249"/>
      <w:bookmarkStart w:id="2368" w:name="_Toc38442581"/>
      <w:bookmarkStart w:id="2369" w:name="_Toc38442912"/>
      <w:bookmarkStart w:id="2370" w:name="_Toc38443243"/>
      <w:bookmarkStart w:id="2371" w:name="_Toc38443574"/>
      <w:bookmarkStart w:id="2372" w:name="_Toc38443904"/>
      <w:bookmarkStart w:id="2373" w:name="_Toc38438372"/>
      <w:bookmarkStart w:id="2374" w:name="_Toc38438709"/>
      <w:bookmarkStart w:id="2375" w:name="_Toc38439046"/>
      <w:bookmarkStart w:id="2376" w:name="_Toc38439383"/>
      <w:bookmarkStart w:id="2377" w:name="_Toc38439720"/>
      <w:bookmarkStart w:id="2378" w:name="_Toc38440057"/>
      <w:bookmarkStart w:id="2379" w:name="_Toc38440394"/>
      <w:bookmarkStart w:id="2380" w:name="_Toc38440926"/>
      <w:bookmarkStart w:id="2381" w:name="_Toc38441258"/>
      <w:bookmarkStart w:id="2382" w:name="_Toc38441590"/>
      <w:bookmarkStart w:id="2383" w:name="_Toc38441918"/>
      <w:bookmarkStart w:id="2384" w:name="_Toc38442250"/>
      <w:bookmarkStart w:id="2385" w:name="_Toc38442582"/>
      <w:bookmarkStart w:id="2386" w:name="_Toc38442913"/>
      <w:bookmarkStart w:id="2387" w:name="_Toc38443244"/>
      <w:bookmarkStart w:id="2388" w:name="_Toc38443575"/>
      <w:bookmarkStart w:id="2389" w:name="_Toc38443905"/>
      <w:bookmarkStart w:id="2390" w:name="_Toc38438373"/>
      <w:bookmarkStart w:id="2391" w:name="_Toc38438710"/>
      <w:bookmarkStart w:id="2392" w:name="_Toc38439047"/>
      <w:bookmarkStart w:id="2393" w:name="_Toc38439384"/>
      <w:bookmarkStart w:id="2394" w:name="_Toc38439721"/>
      <w:bookmarkStart w:id="2395" w:name="_Toc38440058"/>
      <w:bookmarkStart w:id="2396" w:name="_Toc38440395"/>
      <w:bookmarkStart w:id="2397" w:name="_Toc38440927"/>
      <w:bookmarkStart w:id="2398" w:name="_Toc38441259"/>
      <w:bookmarkStart w:id="2399" w:name="_Toc38441591"/>
      <w:bookmarkStart w:id="2400" w:name="_Toc38441919"/>
      <w:bookmarkStart w:id="2401" w:name="_Toc38442251"/>
      <w:bookmarkStart w:id="2402" w:name="_Toc38442583"/>
      <w:bookmarkStart w:id="2403" w:name="_Toc38442914"/>
      <w:bookmarkStart w:id="2404" w:name="_Toc38443245"/>
      <w:bookmarkStart w:id="2405" w:name="_Toc38443576"/>
      <w:bookmarkStart w:id="2406" w:name="_Toc38443906"/>
      <w:bookmarkStart w:id="2407" w:name="_Toc38438374"/>
      <w:bookmarkStart w:id="2408" w:name="_Toc38438711"/>
      <w:bookmarkStart w:id="2409" w:name="_Toc38439048"/>
      <w:bookmarkStart w:id="2410" w:name="_Toc38439385"/>
      <w:bookmarkStart w:id="2411" w:name="_Toc38439722"/>
      <w:bookmarkStart w:id="2412" w:name="_Toc38440059"/>
      <w:bookmarkStart w:id="2413" w:name="_Toc38440396"/>
      <w:bookmarkStart w:id="2414" w:name="_Toc38440928"/>
      <w:bookmarkStart w:id="2415" w:name="_Toc38441260"/>
      <w:bookmarkStart w:id="2416" w:name="_Toc38441592"/>
      <w:bookmarkStart w:id="2417" w:name="_Toc38441920"/>
      <w:bookmarkStart w:id="2418" w:name="_Toc38442252"/>
      <w:bookmarkStart w:id="2419" w:name="_Toc38442584"/>
      <w:bookmarkStart w:id="2420" w:name="_Toc38442915"/>
      <w:bookmarkStart w:id="2421" w:name="_Toc38443246"/>
      <w:bookmarkStart w:id="2422" w:name="_Toc38443577"/>
      <w:bookmarkStart w:id="2423" w:name="_Toc38443907"/>
      <w:bookmarkStart w:id="2424" w:name="_Toc38438375"/>
      <w:bookmarkStart w:id="2425" w:name="_Toc38438712"/>
      <w:bookmarkStart w:id="2426" w:name="_Toc38439049"/>
      <w:bookmarkStart w:id="2427" w:name="_Toc38439386"/>
      <w:bookmarkStart w:id="2428" w:name="_Toc38439723"/>
      <w:bookmarkStart w:id="2429" w:name="_Toc38440060"/>
      <w:bookmarkStart w:id="2430" w:name="_Toc38440397"/>
      <w:bookmarkStart w:id="2431" w:name="_Toc38440929"/>
      <w:bookmarkStart w:id="2432" w:name="_Toc38441261"/>
      <w:bookmarkStart w:id="2433" w:name="_Toc38441593"/>
      <w:bookmarkStart w:id="2434" w:name="_Toc38441921"/>
      <w:bookmarkStart w:id="2435" w:name="_Toc38442253"/>
      <w:bookmarkStart w:id="2436" w:name="_Toc38442585"/>
      <w:bookmarkStart w:id="2437" w:name="_Toc38442916"/>
      <w:bookmarkStart w:id="2438" w:name="_Toc38443247"/>
      <w:bookmarkStart w:id="2439" w:name="_Toc38443578"/>
      <w:bookmarkStart w:id="2440" w:name="_Toc38443908"/>
      <w:bookmarkStart w:id="2441" w:name="_Toc38438376"/>
      <w:bookmarkStart w:id="2442" w:name="_Toc38438713"/>
      <w:bookmarkStart w:id="2443" w:name="_Toc38439050"/>
      <w:bookmarkStart w:id="2444" w:name="_Toc38439387"/>
      <w:bookmarkStart w:id="2445" w:name="_Toc38439724"/>
      <w:bookmarkStart w:id="2446" w:name="_Toc38440061"/>
      <w:bookmarkStart w:id="2447" w:name="_Toc38440398"/>
      <w:bookmarkStart w:id="2448" w:name="_Toc38440930"/>
      <w:bookmarkStart w:id="2449" w:name="_Toc38441262"/>
      <w:bookmarkStart w:id="2450" w:name="_Toc38441594"/>
      <w:bookmarkStart w:id="2451" w:name="_Toc38441922"/>
      <w:bookmarkStart w:id="2452" w:name="_Toc38442254"/>
      <w:bookmarkStart w:id="2453" w:name="_Toc38442586"/>
      <w:bookmarkStart w:id="2454" w:name="_Toc38442917"/>
      <w:bookmarkStart w:id="2455" w:name="_Toc38443248"/>
      <w:bookmarkStart w:id="2456" w:name="_Toc38443579"/>
      <w:bookmarkStart w:id="2457" w:name="_Toc38443909"/>
      <w:bookmarkStart w:id="2458" w:name="_Toc38438377"/>
      <w:bookmarkStart w:id="2459" w:name="_Toc38438714"/>
      <w:bookmarkStart w:id="2460" w:name="_Toc38439051"/>
      <w:bookmarkStart w:id="2461" w:name="_Toc38439388"/>
      <w:bookmarkStart w:id="2462" w:name="_Toc38439725"/>
      <w:bookmarkStart w:id="2463" w:name="_Toc38440062"/>
      <w:bookmarkStart w:id="2464" w:name="_Toc38440399"/>
      <w:bookmarkStart w:id="2465" w:name="_Toc38440931"/>
      <w:bookmarkStart w:id="2466" w:name="_Toc38441263"/>
      <w:bookmarkStart w:id="2467" w:name="_Toc38441595"/>
      <w:bookmarkStart w:id="2468" w:name="_Toc38441923"/>
      <w:bookmarkStart w:id="2469" w:name="_Toc38442255"/>
      <w:bookmarkStart w:id="2470" w:name="_Toc38442587"/>
      <w:bookmarkStart w:id="2471" w:name="_Toc38442918"/>
      <w:bookmarkStart w:id="2472" w:name="_Toc38443249"/>
      <w:bookmarkStart w:id="2473" w:name="_Toc38443580"/>
      <w:bookmarkStart w:id="2474" w:name="_Toc38443910"/>
      <w:bookmarkStart w:id="2475" w:name="_Toc38438378"/>
      <w:bookmarkStart w:id="2476" w:name="_Toc38438715"/>
      <w:bookmarkStart w:id="2477" w:name="_Toc38439052"/>
      <w:bookmarkStart w:id="2478" w:name="_Toc38439389"/>
      <w:bookmarkStart w:id="2479" w:name="_Toc38439726"/>
      <w:bookmarkStart w:id="2480" w:name="_Toc38440063"/>
      <w:bookmarkStart w:id="2481" w:name="_Toc38440400"/>
      <w:bookmarkStart w:id="2482" w:name="_Toc38440932"/>
      <w:bookmarkStart w:id="2483" w:name="_Toc38441264"/>
      <w:bookmarkStart w:id="2484" w:name="_Toc38441596"/>
      <w:bookmarkStart w:id="2485" w:name="_Toc38441924"/>
      <w:bookmarkStart w:id="2486" w:name="_Toc38442256"/>
      <w:bookmarkStart w:id="2487" w:name="_Toc38442588"/>
      <w:bookmarkStart w:id="2488" w:name="_Toc38442919"/>
      <w:bookmarkStart w:id="2489" w:name="_Toc38443250"/>
      <w:bookmarkStart w:id="2490" w:name="_Toc38443581"/>
      <w:bookmarkStart w:id="2491" w:name="_Toc38443911"/>
      <w:bookmarkStart w:id="2492" w:name="_Toc38438379"/>
      <w:bookmarkStart w:id="2493" w:name="_Toc38438716"/>
      <w:bookmarkStart w:id="2494" w:name="_Toc38439053"/>
      <w:bookmarkStart w:id="2495" w:name="_Toc38439390"/>
      <w:bookmarkStart w:id="2496" w:name="_Toc38439727"/>
      <w:bookmarkStart w:id="2497" w:name="_Toc38440064"/>
      <w:bookmarkStart w:id="2498" w:name="_Toc38440401"/>
      <w:bookmarkStart w:id="2499" w:name="_Toc38440933"/>
      <w:bookmarkStart w:id="2500" w:name="_Toc38441265"/>
      <w:bookmarkStart w:id="2501" w:name="_Toc38441597"/>
      <w:bookmarkStart w:id="2502" w:name="_Toc38441925"/>
      <w:bookmarkStart w:id="2503" w:name="_Toc38442257"/>
      <w:bookmarkStart w:id="2504" w:name="_Toc38442589"/>
      <w:bookmarkStart w:id="2505" w:name="_Toc38442920"/>
      <w:bookmarkStart w:id="2506" w:name="_Toc38443251"/>
      <w:bookmarkStart w:id="2507" w:name="_Toc38443582"/>
      <w:bookmarkStart w:id="2508" w:name="_Toc38443912"/>
      <w:bookmarkStart w:id="2509" w:name="_Toc38438380"/>
      <w:bookmarkStart w:id="2510" w:name="_Toc38438717"/>
      <w:bookmarkStart w:id="2511" w:name="_Toc38439054"/>
      <w:bookmarkStart w:id="2512" w:name="_Toc38439391"/>
      <w:bookmarkStart w:id="2513" w:name="_Toc38439728"/>
      <w:bookmarkStart w:id="2514" w:name="_Toc38440065"/>
      <w:bookmarkStart w:id="2515" w:name="_Toc38440402"/>
      <w:bookmarkStart w:id="2516" w:name="_Toc38440934"/>
      <w:bookmarkStart w:id="2517" w:name="_Toc38441266"/>
      <w:bookmarkStart w:id="2518" w:name="_Toc38441598"/>
      <w:bookmarkStart w:id="2519" w:name="_Toc38441926"/>
      <w:bookmarkStart w:id="2520" w:name="_Toc38442258"/>
      <w:bookmarkStart w:id="2521" w:name="_Toc38442590"/>
      <w:bookmarkStart w:id="2522" w:name="_Toc38442921"/>
      <w:bookmarkStart w:id="2523" w:name="_Toc38443252"/>
      <w:bookmarkStart w:id="2524" w:name="_Toc38443583"/>
      <w:bookmarkStart w:id="2525" w:name="_Toc38443913"/>
      <w:bookmarkStart w:id="2526" w:name="_Toc38438381"/>
      <w:bookmarkStart w:id="2527" w:name="_Toc38438718"/>
      <w:bookmarkStart w:id="2528" w:name="_Toc38439055"/>
      <w:bookmarkStart w:id="2529" w:name="_Toc38439392"/>
      <w:bookmarkStart w:id="2530" w:name="_Toc38439729"/>
      <w:bookmarkStart w:id="2531" w:name="_Toc38440066"/>
      <w:bookmarkStart w:id="2532" w:name="_Toc38440403"/>
      <w:bookmarkStart w:id="2533" w:name="_Toc38440935"/>
      <w:bookmarkStart w:id="2534" w:name="_Toc38441267"/>
      <w:bookmarkStart w:id="2535" w:name="_Toc38441599"/>
      <w:bookmarkStart w:id="2536" w:name="_Toc38441927"/>
      <w:bookmarkStart w:id="2537" w:name="_Toc38442259"/>
      <w:bookmarkStart w:id="2538" w:name="_Toc38442591"/>
      <w:bookmarkStart w:id="2539" w:name="_Toc38442922"/>
      <w:bookmarkStart w:id="2540" w:name="_Toc38443253"/>
      <w:bookmarkStart w:id="2541" w:name="_Toc38443584"/>
      <w:bookmarkStart w:id="2542" w:name="_Toc38443914"/>
      <w:bookmarkStart w:id="2543" w:name="_Toc38438382"/>
      <w:bookmarkStart w:id="2544" w:name="_Toc38438719"/>
      <w:bookmarkStart w:id="2545" w:name="_Toc38439056"/>
      <w:bookmarkStart w:id="2546" w:name="_Toc38439393"/>
      <w:bookmarkStart w:id="2547" w:name="_Toc38439730"/>
      <w:bookmarkStart w:id="2548" w:name="_Toc38440067"/>
      <w:bookmarkStart w:id="2549" w:name="_Toc38440404"/>
      <w:bookmarkStart w:id="2550" w:name="_Toc38440936"/>
      <w:bookmarkStart w:id="2551" w:name="_Toc38441268"/>
      <w:bookmarkStart w:id="2552" w:name="_Toc38441600"/>
      <w:bookmarkStart w:id="2553" w:name="_Toc38441928"/>
      <w:bookmarkStart w:id="2554" w:name="_Toc38442260"/>
      <w:bookmarkStart w:id="2555" w:name="_Toc38442592"/>
      <w:bookmarkStart w:id="2556" w:name="_Toc38442923"/>
      <w:bookmarkStart w:id="2557" w:name="_Toc38443254"/>
      <w:bookmarkStart w:id="2558" w:name="_Toc38443585"/>
      <w:bookmarkStart w:id="2559" w:name="_Toc38443915"/>
      <w:bookmarkStart w:id="2560" w:name="_Toc38438383"/>
      <w:bookmarkStart w:id="2561" w:name="_Toc38438720"/>
      <w:bookmarkStart w:id="2562" w:name="_Toc38439057"/>
      <w:bookmarkStart w:id="2563" w:name="_Toc38439394"/>
      <w:bookmarkStart w:id="2564" w:name="_Toc38439731"/>
      <w:bookmarkStart w:id="2565" w:name="_Toc38440068"/>
      <w:bookmarkStart w:id="2566" w:name="_Toc38440405"/>
      <w:bookmarkStart w:id="2567" w:name="_Toc38440937"/>
      <w:bookmarkStart w:id="2568" w:name="_Toc38441269"/>
      <w:bookmarkStart w:id="2569" w:name="_Toc38441601"/>
      <w:bookmarkStart w:id="2570" w:name="_Toc38441929"/>
      <w:bookmarkStart w:id="2571" w:name="_Toc38442261"/>
      <w:bookmarkStart w:id="2572" w:name="_Toc38442593"/>
      <w:bookmarkStart w:id="2573" w:name="_Toc38442924"/>
      <w:bookmarkStart w:id="2574" w:name="_Toc38443255"/>
      <w:bookmarkStart w:id="2575" w:name="_Toc38443586"/>
      <w:bookmarkStart w:id="2576" w:name="_Toc38443916"/>
      <w:bookmarkStart w:id="2577" w:name="_Toc38438384"/>
      <w:bookmarkStart w:id="2578" w:name="_Toc38438721"/>
      <w:bookmarkStart w:id="2579" w:name="_Toc38439058"/>
      <w:bookmarkStart w:id="2580" w:name="_Toc38439395"/>
      <w:bookmarkStart w:id="2581" w:name="_Toc38439732"/>
      <w:bookmarkStart w:id="2582" w:name="_Toc38440069"/>
      <w:bookmarkStart w:id="2583" w:name="_Toc38440406"/>
      <w:bookmarkStart w:id="2584" w:name="_Toc38440938"/>
      <w:bookmarkStart w:id="2585" w:name="_Toc38441270"/>
      <w:bookmarkStart w:id="2586" w:name="_Toc38441602"/>
      <w:bookmarkStart w:id="2587" w:name="_Toc38441930"/>
      <w:bookmarkStart w:id="2588" w:name="_Toc38442262"/>
      <w:bookmarkStart w:id="2589" w:name="_Toc38442594"/>
      <w:bookmarkStart w:id="2590" w:name="_Toc38442925"/>
      <w:bookmarkStart w:id="2591" w:name="_Toc38443256"/>
      <w:bookmarkStart w:id="2592" w:name="_Toc38443587"/>
      <w:bookmarkStart w:id="2593" w:name="_Toc38443917"/>
      <w:bookmarkStart w:id="2594" w:name="_Toc38438385"/>
      <w:bookmarkStart w:id="2595" w:name="_Toc38438722"/>
      <w:bookmarkStart w:id="2596" w:name="_Toc38439059"/>
      <w:bookmarkStart w:id="2597" w:name="_Toc38439396"/>
      <w:bookmarkStart w:id="2598" w:name="_Toc38439733"/>
      <w:bookmarkStart w:id="2599" w:name="_Toc38440070"/>
      <w:bookmarkStart w:id="2600" w:name="_Toc38440407"/>
      <w:bookmarkStart w:id="2601" w:name="_Toc38440939"/>
      <w:bookmarkStart w:id="2602" w:name="_Toc38441271"/>
      <w:bookmarkStart w:id="2603" w:name="_Toc38441603"/>
      <w:bookmarkStart w:id="2604" w:name="_Toc38441931"/>
      <w:bookmarkStart w:id="2605" w:name="_Toc38442263"/>
      <w:bookmarkStart w:id="2606" w:name="_Toc38442595"/>
      <w:bookmarkStart w:id="2607" w:name="_Toc38442926"/>
      <w:bookmarkStart w:id="2608" w:name="_Toc38443257"/>
      <w:bookmarkStart w:id="2609" w:name="_Toc38443588"/>
      <w:bookmarkStart w:id="2610" w:name="_Toc38443918"/>
      <w:bookmarkStart w:id="2611" w:name="_Toc38438386"/>
      <w:bookmarkStart w:id="2612" w:name="_Toc38438723"/>
      <w:bookmarkStart w:id="2613" w:name="_Toc38439060"/>
      <w:bookmarkStart w:id="2614" w:name="_Toc38439397"/>
      <w:bookmarkStart w:id="2615" w:name="_Toc38439734"/>
      <w:bookmarkStart w:id="2616" w:name="_Toc38440071"/>
      <w:bookmarkStart w:id="2617" w:name="_Toc38440408"/>
      <w:bookmarkStart w:id="2618" w:name="_Toc38440940"/>
      <w:bookmarkStart w:id="2619" w:name="_Toc38441272"/>
      <w:bookmarkStart w:id="2620" w:name="_Toc38441604"/>
      <w:bookmarkStart w:id="2621" w:name="_Toc38441932"/>
      <w:bookmarkStart w:id="2622" w:name="_Toc38442264"/>
      <w:bookmarkStart w:id="2623" w:name="_Toc38442596"/>
      <w:bookmarkStart w:id="2624" w:name="_Toc38442927"/>
      <w:bookmarkStart w:id="2625" w:name="_Toc38443258"/>
      <w:bookmarkStart w:id="2626" w:name="_Toc38443589"/>
      <w:bookmarkStart w:id="2627" w:name="_Toc38443919"/>
      <w:bookmarkStart w:id="2628" w:name="_Toc38438387"/>
      <w:bookmarkStart w:id="2629" w:name="_Toc38438724"/>
      <w:bookmarkStart w:id="2630" w:name="_Toc38439061"/>
      <w:bookmarkStart w:id="2631" w:name="_Toc38439398"/>
      <w:bookmarkStart w:id="2632" w:name="_Toc38439735"/>
      <w:bookmarkStart w:id="2633" w:name="_Toc38440072"/>
      <w:bookmarkStart w:id="2634" w:name="_Toc38440409"/>
      <w:bookmarkStart w:id="2635" w:name="_Toc38440941"/>
      <w:bookmarkStart w:id="2636" w:name="_Toc38441273"/>
      <w:bookmarkStart w:id="2637" w:name="_Toc38441605"/>
      <w:bookmarkStart w:id="2638" w:name="_Toc38441933"/>
      <w:bookmarkStart w:id="2639" w:name="_Toc38442265"/>
      <w:bookmarkStart w:id="2640" w:name="_Toc38442597"/>
      <w:bookmarkStart w:id="2641" w:name="_Toc38442928"/>
      <w:bookmarkStart w:id="2642" w:name="_Toc38443259"/>
      <w:bookmarkStart w:id="2643" w:name="_Toc38443590"/>
      <w:bookmarkStart w:id="2644" w:name="_Toc38443920"/>
      <w:bookmarkStart w:id="2645" w:name="_Toc38438388"/>
      <w:bookmarkStart w:id="2646" w:name="_Toc38438725"/>
      <w:bookmarkStart w:id="2647" w:name="_Toc38439062"/>
      <w:bookmarkStart w:id="2648" w:name="_Toc38439399"/>
      <w:bookmarkStart w:id="2649" w:name="_Toc38439736"/>
      <w:bookmarkStart w:id="2650" w:name="_Toc38440073"/>
      <w:bookmarkStart w:id="2651" w:name="_Toc38440410"/>
      <w:bookmarkStart w:id="2652" w:name="_Toc38440942"/>
      <w:bookmarkStart w:id="2653" w:name="_Toc38441274"/>
      <w:bookmarkStart w:id="2654" w:name="_Toc38441606"/>
      <w:bookmarkStart w:id="2655" w:name="_Toc38441934"/>
      <w:bookmarkStart w:id="2656" w:name="_Toc38442266"/>
      <w:bookmarkStart w:id="2657" w:name="_Toc38442598"/>
      <w:bookmarkStart w:id="2658" w:name="_Toc38442929"/>
      <w:bookmarkStart w:id="2659" w:name="_Toc38443260"/>
      <w:bookmarkStart w:id="2660" w:name="_Toc38443591"/>
      <w:bookmarkStart w:id="2661" w:name="_Toc38443921"/>
      <w:bookmarkStart w:id="2662" w:name="_Toc38438389"/>
      <w:bookmarkStart w:id="2663" w:name="_Toc38438726"/>
      <w:bookmarkStart w:id="2664" w:name="_Toc38439063"/>
      <w:bookmarkStart w:id="2665" w:name="_Toc38439400"/>
      <w:bookmarkStart w:id="2666" w:name="_Toc38439737"/>
      <w:bookmarkStart w:id="2667" w:name="_Toc38440074"/>
      <w:bookmarkStart w:id="2668" w:name="_Toc38440411"/>
      <w:bookmarkStart w:id="2669" w:name="_Toc38440943"/>
      <w:bookmarkStart w:id="2670" w:name="_Toc38441275"/>
      <w:bookmarkStart w:id="2671" w:name="_Toc38441607"/>
      <w:bookmarkStart w:id="2672" w:name="_Toc38441935"/>
      <w:bookmarkStart w:id="2673" w:name="_Toc38442267"/>
      <w:bookmarkStart w:id="2674" w:name="_Toc38442599"/>
      <w:bookmarkStart w:id="2675" w:name="_Toc38442930"/>
      <w:bookmarkStart w:id="2676" w:name="_Toc38443261"/>
      <w:bookmarkStart w:id="2677" w:name="_Toc38443592"/>
      <w:bookmarkStart w:id="2678" w:name="_Toc38443922"/>
      <w:bookmarkStart w:id="2679" w:name="_Toc38438390"/>
      <w:bookmarkStart w:id="2680" w:name="_Toc38438727"/>
      <w:bookmarkStart w:id="2681" w:name="_Toc38439064"/>
      <w:bookmarkStart w:id="2682" w:name="_Toc38439401"/>
      <w:bookmarkStart w:id="2683" w:name="_Toc38439738"/>
      <w:bookmarkStart w:id="2684" w:name="_Toc38440075"/>
      <w:bookmarkStart w:id="2685" w:name="_Toc38440412"/>
      <w:bookmarkStart w:id="2686" w:name="_Toc38440944"/>
      <w:bookmarkStart w:id="2687" w:name="_Toc38441276"/>
      <w:bookmarkStart w:id="2688" w:name="_Toc38441608"/>
      <w:bookmarkStart w:id="2689" w:name="_Toc38441936"/>
      <w:bookmarkStart w:id="2690" w:name="_Toc38442268"/>
      <w:bookmarkStart w:id="2691" w:name="_Toc38442600"/>
      <w:bookmarkStart w:id="2692" w:name="_Toc38442931"/>
      <w:bookmarkStart w:id="2693" w:name="_Toc38443262"/>
      <w:bookmarkStart w:id="2694" w:name="_Toc38443593"/>
      <w:bookmarkStart w:id="2695" w:name="_Toc38443923"/>
      <w:bookmarkStart w:id="2696" w:name="_Toc38438391"/>
      <w:bookmarkStart w:id="2697" w:name="_Toc38438728"/>
      <w:bookmarkStart w:id="2698" w:name="_Toc38439065"/>
      <w:bookmarkStart w:id="2699" w:name="_Toc38439402"/>
      <w:bookmarkStart w:id="2700" w:name="_Toc38439739"/>
      <w:bookmarkStart w:id="2701" w:name="_Toc38440076"/>
      <w:bookmarkStart w:id="2702" w:name="_Toc38440413"/>
      <w:bookmarkStart w:id="2703" w:name="_Toc38440945"/>
      <w:bookmarkStart w:id="2704" w:name="_Toc38441277"/>
      <w:bookmarkStart w:id="2705" w:name="_Toc38441609"/>
      <w:bookmarkStart w:id="2706" w:name="_Toc38441937"/>
      <w:bookmarkStart w:id="2707" w:name="_Toc38442269"/>
      <w:bookmarkStart w:id="2708" w:name="_Toc38442601"/>
      <w:bookmarkStart w:id="2709" w:name="_Toc38442932"/>
      <w:bookmarkStart w:id="2710" w:name="_Toc38443263"/>
      <w:bookmarkStart w:id="2711" w:name="_Toc38443594"/>
      <w:bookmarkStart w:id="2712" w:name="_Toc38443924"/>
      <w:bookmarkStart w:id="2713" w:name="_Toc38438392"/>
      <w:bookmarkStart w:id="2714" w:name="_Toc38438729"/>
      <w:bookmarkStart w:id="2715" w:name="_Toc38439066"/>
      <w:bookmarkStart w:id="2716" w:name="_Toc38439403"/>
      <w:bookmarkStart w:id="2717" w:name="_Toc38439740"/>
      <w:bookmarkStart w:id="2718" w:name="_Toc38440077"/>
      <w:bookmarkStart w:id="2719" w:name="_Toc38440414"/>
      <w:bookmarkStart w:id="2720" w:name="_Toc38440946"/>
      <w:bookmarkStart w:id="2721" w:name="_Toc38441278"/>
      <w:bookmarkStart w:id="2722" w:name="_Toc38441610"/>
      <w:bookmarkStart w:id="2723" w:name="_Toc38441938"/>
      <w:bookmarkStart w:id="2724" w:name="_Toc38442270"/>
      <w:bookmarkStart w:id="2725" w:name="_Toc38442602"/>
      <w:bookmarkStart w:id="2726" w:name="_Toc38442933"/>
      <w:bookmarkStart w:id="2727" w:name="_Toc38443264"/>
      <w:bookmarkStart w:id="2728" w:name="_Toc38443595"/>
      <w:bookmarkStart w:id="2729" w:name="_Toc38443925"/>
      <w:bookmarkStart w:id="2730" w:name="_Toc38438393"/>
      <w:bookmarkStart w:id="2731" w:name="_Toc38438730"/>
      <w:bookmarkStart w:id="2732" w:name="_Toc38439067"/>
      <w:bookmarkStart w:id="2733" w:name="_Toc38439404"/>
      <w:bookmarkStart w:id="2734" w:name="_Toc38439741"/>
      <w:bookmarkStart w:id="2735" w:name="_Toc38440078"/>
      <w:bookmarkStart w:id="2736" w:name="_Toc38440415"/>
      <w:bookmarkStart w:id="2737" w:name="_Toc38440947"/>
      <w:bookmarkStart w:id="2738" w:name="_Toc38441279"/>
      <w:bookmarkStart w:id="2739" w:name="_Toc38441611"/>
      <w:bookmarkStart w:id="2740" w:name="_Toc38441939"/>
      <w:bookmarkStart w:id="2741" w:name="_Toc38442271"/>
      <w:bookmarkStart w:id="2742" w:name="_Toc38442603"/>
      <w:bookmarkStart w:id="2743" w:name="_Toc38442934"/>
      <w:bookmarkStart w:id="2744" w:name="_Toc38443265"/>
      <w:bookmarkStart w:id="2745" w:name="_Toc38443596"/>
      <w:bookmarkStart w:id="2746" w:name="_Toc38443926"/>
      <w:bookmarkStart w:id="2747" w:name="_Toc38438394"/>
      <w:bookmarkStart w:id="2748" w:name="_Toc38438731"/>
      <w:bookmarkStart w:id="2749" w:name="_Toc38439068"/>
      <w:bookmarkStart w:id="2750" w:name="_Toc38439405"/>
      <w:bookmarkStart w:id="2751" w:name="_Toc38439742"/>
      <w:bookmarkStart w:id="2752" w:name="_Toc38440079"/>
      <w:bookmarkStart w:id="2753" w:name="_Toc38440416"/>
      <w:bookmarkStart w:id="2754" w:name="_Toc38440948"/>
      <w:bookmarkStart w:id="2755" w:name="_Toc38441280"/>
      <w:bookmarkStart w:id="2756" w:name="_Toc38441612"/>
      <w:bookmarkStart w:id="2757" w:name="_Toc38441940"/>
      <w:bookmarkStart w:id="2758" w:name="_Toc38442272"/>
      <w:bookmarkStart w:id="2759" w:name="_Toc38442604"/>
      <w:bookmarkStart w:id="2760" w:name="_Toc38442935"/>
      <w:bookmarkStart w:id="2761" w:name="_Toc38443266"/>
      <w:bookmarkStart w:id="2762" w:name="_Toc38443597"/>
      <w:bookmarkStart w:id="2763" w:name="_Toc38443927"/>
      <w:bookmarkStart w:id="2764" w:name="_Toc38438395"/>
      <w:bookmarkStart w:id="2765" w:name="_Toc38438732"/>
      <w:bookmarkStart w:id="2766" w:name="_Toc38439069"/>
      <w:bookmarkStart w:id="2767" w:name="_Toc38439406"/>
      <w:bookmarkStart w:id="2768" w:name="_Toc38439743"/>
      <w:bookmarkStart w:id="2769" w:name="_Toc38440080"/>
      <w:bookmarkStart w:id="2770" w:name="_Toc38440417"/>
      <w:bookmarkStart w:id="2771" w:name="_Toc38440949"/>
      <w:bookmarkStart w:id="2772" w:name="_Toc38441281"/>
      <w:bookmarkStart w:id="2773" w:name="_Toc38441613"/>
      <w:bookmarkStart w:id="2774" w:name="_Toc38441941"/>
      <w:bookmarkStart w:id="2775" w:name="_Toc38442273"/>
      <w:bookmarkStart w:id="2776" w:name="_Toc38442605"/>
      <w:bookmarkStart w:id="2777" w:name="_Toc38442936"/>
      <w:bookmarkStart w:id="2778" w:name="_Toc38443267"/>
      <w:bookmarkStart w:id="2779" w:name="_Toc38443598"/>
      <w:bookmarkStart w:id="2780" w:name="_Toc38443928"/>
      <w:bookmarkStart w:id="2781" w:name="_Toc38438396"/>
      <w:bookmarkStart w:id="2782" w:name="_Toc38438733"/>
      <w:bookmarkStart w:id="2783" w:name="_Toc38439070"/>
      <w:bookmarkStart w:id="2784" w:name="_Toc38439407"/>
      <w:bookmarkStart w:id="2785" w:name="_Toc38439744"/>
      <w:bookmarkStart w:id="2786" w:name="_Toc38440081"/>
      <w:bookmarkStart w:id="2787" w:name="_Toc38440418"/>
      <w:bookmarkStart w:id="2788" w:name="_Toc38440950"/>
      <w:bookmarkStart w:id="2789" w:name="_Toc38441282"/>
      <w:bookmarkStart w:id="2790" w:name="_Toc38441614"/>
      <w:bookmarkStart w:id="2791" w:name="_Toc38441942"/>
      <w:bookmarkStart w:id="2792" w:name="_Toc38442274"/>
      <w:bookmarkStart w:id="2793" w:name="_Toc38442606"/>
      <w:bookmarkStart w:id="2794" w:name="_Toc38442937"/>
      <w:bookmarkStart w:id="2795" w:name="_Toc38443268"/>
      <w:bookmarkStart w:id="2796" w:name="_Toc38443599"/>
      <w:bookmarkStart w:id="2797" w:name="_Toc38443929"/>
      <w:bookmarkStart w:id="2798" w:name="_Toc38438397"/>
      <w:bookmarkStart w:id="2799" w:name="_Toc38438734"/>
      <w:bookmarkStart w:id="2800" w:name="_Toc38439071"/>
      <w:bookmarkStart w:id="2801" w:name="_Toc38439408"/>
      <w:bookmarkStart w:id="2802" w:name="_Toc38439745"/>
      <w:bookmarkStart w:id="2803" w:name="_Toc38440082"/>
      <w:bookmarkStart w:id="2804" w:name="_Toc38440419"/>
      <w:bookmarkStart w:id="2805" w:name="_Toc38440951"/>
      <w:bookmarkStart w:id="2806" w:name="_Toc38441283"/>
      <w:bookmarkStart w:id="2807" w:name="_Toc38441615"/>
      <w:bookmarkStart w:id="2808" w:name="_Toc38441943"/>
      <w:bookmarkStart w:id="2809" w:name="_Toc38442275"/>
      <w:bookmarkStart w:id="2810" w:name="_Toc38442607"/>
      <w:bookmarkStart w:id="2811" w:name="_Toc38442938"/>
      <w:bookmarkStart w:id="2812" w:name="_Toc38443269"/>
      <w:bookmarkStart w:id="2813" w:name="_Toc38443600"/>
      <w:bookmarkStart w:id="2814" w:name="_Toc38443930"/>
      <w:bookmarkStart w:id="2815" w:name="_Toc38438398"/>
      <w:bookmarkStart w:id="2816" w:name="_Toc38438735"/>
      <w:bookmarkStart w:id="2817" w:name="_Toc38439072"/>
      <w:bookmarkStart w:id="2818" w:name="_Toc38439409"/>
      <w:bookmarkStart w:id="2819" w:name="_Toc38439746"/>
      <w:bookmarkStart w:id="2820" w:name="_Toc38440083"/>
      <w:bookmarkStart w:id="2821" w:name="_Toc38440420"/>
      <w:bookmarkStart w:id="2822" w:name="_Toc38440952"/>
      <w:bookmarkStart w:id="2823" w:name="_Toc38441284"/>
      <w:bookmarkStart w:id="2824" w:name="_Toc38441616"/>
      <w:bookmarkStart w:id="2825" w:name="_Toc38441944"/>
      <w:bookmarkStart w:id="2826" w:name="_Toc38442276"/>
      <w:bookmarkStart w:id="2827" w:name="_Toc38442608"/>
      <w:bookmarkStart w:id="2828" w:name="_Toc38442939"/>
      <w:bookmarkStart w:id="2829" w:name="_Toc38443270"/>
      <w:bookmarkStart w:id="2830" w:name="_Toc38443601"/>
      <w:bookmarkStart w:id="2831" w:name="_Toc38443931"/>
      <w:bookmarkStart w:id="2832" w:name="_Toc38438400"/>
      <w:bookmarkStart w:id="2833" w:name="_Toc38438737"/>
      <w:bookmarkStart w:id="2834" w:name="_Toc38439074"/>
      <w:bookmarkStart w:id="2835" w:name="_Toc38439411"/>
      <w:bookmarkStart w:id="2836" w:name="_Toc38439748"/>
      <w:bookmarkStart w:id="2837" w:name="_Toc38440085"/>
      <w:bookmarkStart w:id="2838" w:name="_Toc38440422"/>
      <w:bookmarkStart w:id="2839" w:name="_Toc38440954"/>
      <w:bookmarkStart w:id="2840" w:name="_Toc38441286"/>
      <w:bookmarkStart w:id="2841" w:name="_Toc38441618"/>
      <w:bookmarkStart w:id="2842" w:name="_Toc38441946"/>
      <w:bookmarkStart w:id="2843" w:name="_Toc38442278"/>
      <w:bookmarkStart w:id="2844" w:name="_Toc38442610"/>
      <w:bookmarkStart w:id="2845" w:name="_Toc38442941"/>
      <w:bookmarkStart w:id="2846" w:name="_Toc38443272"/>
      <w:bookmarkStart w:id="2847" w:name="_Toc38443603"/>
      <w:bookmarkStart w:id="2848" w:name="_Toc38443933"/>
      <w:bookmarkStart w:id="2849" w:name="_Toc38438401"/>
      <w:bookmarkStart w:id="2850" w:name="_Toc38438738"/>
      <w:bookmarkStart w:id="2851" w:name="_Toc38439075"/>
      <w:bookmarkStart w:id="2852" w:name="_Toc38439412"/>
      <w:bookmarkStart w:id="2853" w:name="_Toc38439749"/>
      <w:bookmarkStart w:id="2854" w:name="_Toc38440086"/>
      <w:bookmarkStart w:id="2855" w:name="_Toc38440423"/>
      <w:bookmarkStart w:id="2856" w:name="_Toc38440955"/>
      <w:bookmarkStart w:id="2857" w:name="_Toc38441287"/>
      <w:bookmarkStart w:id="2858" w:name="_Toc38441619"/>
      <w:bookmarkStart w:id="2859" w:name="_Toc38441947"/>
      <w:bookmarkStart w:id="2860" w:name="_Toc38442279"/>
      <w:bookmarkStart w:id="2861" w:name="_Toc38442611"/>
      <w:bookmarkStart w:id="2862" w:name="_Toc38442942"/>
      <w:bookmarkStart w:id="2863" w:name="_Toc38443273"/>
      <w:bookmarkStart w:id="2864" w:name="_Toc38443604"/>
      <w:bookmarkStart w:id="2865" w:name="_Toc38443934"/>
      <w:bookmarkStart w:id="2866" w:name="_Toc38438402"/>
      <w:bookmarkStart w:id="2867" w:name="_Toc38438739"/>
      <w:bookmarkStart w:id="2868" w:name="_Toc38439076"/>
      <w:bookmarkStart w:id="2869" w:name="_Toc38439413"/>
      <w:bookmarkStart w:id="2870" w:name="_Toc38439750"/>
      <w:bookmarkStart w:id="2871" w:name="_Toc38440087"/>
      <w:bookmarkStart w:id="2872" w:name="_Toc38440424"/>
      <w:bookmarkStart w:id="2873" w:name="_Toc38440956"/>
      <w:bookmarkStart w:id="2874" w:name="_Toc38441288"/>
      <w:bookmarkStart w:id="2875" w:name="_Toc38441620"/>
      <w:bookmarkStart w:id="2876" w:name="_Toc38441948"/>
      <w:bookmarkStart w:id="2877" w:name="_Toc38442280"/>
      <w:bookmarkStart w:id="2878" w:name="_Toc38442612"/>
      <w:bookmarkStart w:id="2879" w:name="_Toc38442943"/>
      <w:bookmarkStart w:id="2880" w:name="_Toc38443274"/>
      <w:bookmarkStart w:id="2881" w:name="_Toc38443605"/>
      <w:bookmarkStart w:id="2882" w:name="_Toc38443935"/>
      <w:bookmarkStart w:id="2883" w:name="_Toc38438404"/>
      <w:bookmarkStart w:id="2884" w:name="_Toc38438741"/>
      <w:bookmarkStart w:id="2885" w:name="_Toc38439078"/>
      <w:bookmarkStart w:id="2886" w:name="_Toc38439415"/>
      <w:bookmarkStart w:id="2887" w:name="_Toc38439752"/>
      <w:bookmarkStart w:id="2888" w:name="_Toc38440089"/>
      <w:bookmarkStart w:id="2889" w:name="_Toc38440426"/>
      <w:bookmarkStart w:id="2890" w:name="_Toc38440958"/>
      <w:bookmarkStart w:id="2891" w:name="_Toc38441290"/>
      <w:bookmarkStart w:id="2892" w:name="_Toc38441622"/>
      <w:bookmarkStart w:id="2893" w:name="_Toc38441950"/>
      <w:bookmarkStart w:id="2894" w:name="_Toc38442282"/>
      <w:bookmarkStart w:id="2895" w:name="_Toc38442614"/>
      <w:bookmarkStart w:id="2896" w:name="_Toc38442945"/>
      <w:bookmarkStart w:id="2897" w:name="_Toc38443276"/>
      <w:bookmarkStart w:id="2898" w:name="_Toc38443607"/>
      <w:bookmarkStart w:id="2899" w:name="_Toc38443937"/>
      <w:bookmarkStart w:id="2900" w:name="_Toc38438405"/>
      <w:bookmarkStart w:id="2901" w:name="_Toc38438742"/>
      <w:bookmarkStart w:id="2902" w:name="_Toc38439079"/>
      <w:bookmarkStart w:id="2903" w:name="_Toc38439416"/>
      <w:bookmarkStart w:id="2904" w:name="_Toc38439753"/>
      <w:bookmarkStart w:id="2905" w:name="_Toc38440090"/>
      <w:bookmarkStart w:id="2906" w:name="_Toc38440427"/>
      <w:bookmarkStart w:id="2907" w:name="_Toc38440959"/>
      <w:bookmarkStart w:id="2908" w:name="_Toc38441291"/>
      <w:bookmarkStart w:id="2909" w:name="_Toc38441623"/>
      <w:bookmarkStart w:id="2910" w:name="_Toc38441951"/>
      <w:bookmarkStart w:id="2911" w:name="_Toc38442283"/>
      <w:bookmarkStart w:id="2912" w:name="_Toc38442615"/>
      <w:bookmarkStart w:id="2913" w:name="_Toc38442946"/>
      <w:bookmarkStart w:id="2914" w:name="_Toc38443277"/>
      <w:bookmarkStart w:id="2915" w:name="_Toc38443608"/>
      <w:bookmarkStart w:id="2916" w:name="_Toc38443938"/>
      <w:bookmarkStart w:id="2917" w:name="_Toc38438406"/>
      <w:bookmarkStart w:id="2918" w:name="_Toc38438743"/>
      <w:bookmarkStart w:id="2919" w:name="_Toc38439080"/>
      <w:bookmarkStart w:id="2920" w:name="_Toc38439417"/>
      <w:bookmarkStart w:id="2921" w:name="_Toc38439754"/>
      <w:bookmarkStart w:id="2922" w:name="_Toc38440091"/>
      <w:bookmarkStart w:id="2923" w:name="_Toc38440428"/>
      <w:bookmarkStart w:id="2924" w:name="_Toc38440960"/>
      <w:bookmarkStart w:id="2925" w:name="_Toc38441292"/>
      <w:bookmarkStart w:id="2926" w:name="_Toc38441624"/>
      <w:bookmarkStart w:id="2927" w:name="_Toc38441952"/>
      <w:bookmarkStart w:id="2928" w:name="_Toc38442284"/>
      <w:bookmarkStart w:id="2929" w:name="_Toc38442616"/>
      <w:bookmarkStart w:id="2930" w:name="_Toc38442947"/>
      <w:bookmarkStart w:id="2931" w:name="_Toc38443278"/>
      <w:bookmarkStart w:id="2932" w:name="_Toc38443609"/>
      <w:bookmarkStart w:id="2933" w:name="_Toc38443939"/>
      <w:bookmarkStart w:id="2934" w:name="_Toc38438407"/>
      <w:bookmarkStart w:id="2935" w:name="_Toc38438744"/>
      <w:bookmarkStart w:id="2936" w:name="_Toc38439081"/>
      <w:bookmarkStart w:id="2937" w:name="_Toc38439418"/>
      <w:bookmarkStart w:id="2938" w:name="_Toc38439755"/>
      <w:bookmarkStart w:id="2939" w:name="_Toc38440092"/>
      <w:bookmarkStart w:id="2940" w:name="_Toc38440429"/>
      <w:bookmarkStart w:id="2941" w:name="_Toc38440961"/>
      <w:bookmarkStart w:id="2942" w:name="_Toc38441293"/>
      <w:bookmarkStart w:id="2943" w:name="_Toc38441625"/>
      <w:bookmarkStart w:id="2944" w:name="_Toc38441953"/>
      <w:bookmarkStart w:id="2945" w:name="_Toc38442285"/>
      <w:bookmarkStart w:id="2946" w:name="_Toc38442617"/>
      <w:bookmarkStart w:id="2947" w:name="_Toc38442948"/>
      <w:bookmarkStart w:id="2948" w:name="_Toc38443279"/>
      <w:bookmarkStart w:id="2949" w:name="_Toc38443610"/>
      <w:bookmarkStart w:id="2950" w:name="_Toc38443940"/>
      <w:bookmarkStart w:id="2951" w:name="_Toc38438408"/>
      <w:bookmarkStart w:id="2952" w:name="_Toc38438745"/>
      <w:bookmarkStart w:id="2953" w:name="_Toc38439082"/>
      <w:bookmarkStart w:id="2954" w:name="_Toc38439419"/>
      <w:bookmarkStart w:id="2955" w:name="_Toc38439756"/>
      <w:bookmarkStart w:id="2956" w:name="_Toc38440093"/>
      <w:bookmarkStart w:id="2957" w:name="_Toc38440430"/>
      <w:bookmarkStart w:id="2958" w:name="_Toc38440962"/>
      <w:bookmarkStart w:id="2959" w:name="_Toc38441294"/>
      <w:bookmarkStart w:id="2960" w:name="_Toc38441626"/>
      <w:bookmarkStart w:id="2961" w:name="_Toc38441954"/>
      <w:bookmarkStart w:id="2962" w:name="_Toc38442286"/>
      <w:bookmarkStart w:id="2963" w:name="_Toc38442618"/>
      <w:bookmarkStart w:id="2964" w:name="_Toc38442949"/>
      <w:bookmarkStart w:id="2965" w:name="_Toc38443280"/>
      <w:bookmarkStart w:id="2966" w:name="_Toc38443611"/>
      <w:bookmarkStart w:id="2967" w:name="_Toc38443941"/>
      <w:bookmarkStart w:id="2968" w:name="_Toc38438409"/>
      <w:bookmarkStart w:id="2969" w:name="_Toc38438746"/>
      <w:bookmarkStart w:id="2970" w:name="_Toc38439083"/>
      <w:bookmarkStart w:id="2971" w:name="_Toc38439420"/>
      <w:bookmarkStart w:id="2972" w:name="_Toc38439757"/>
      <w:bookmarkStart w:id="2973" w:name="_Toc38440094"/>
      <w:bookmarkStart w:id="2974" w:name="_Toc38440431"/>
      <w:bookmarkStart w:id="2975" w:name="_Toc38440963"/>
      <w:bookmarkStart w:id="2976" w:name="_Toc38441295"/>
      <w:bookmarkStart w:id="2977" w:name="_Toc38441627"/>
      <w:bookmarkStart w:id="2978" w:name="_Toc38441955"/>
      <w:bookmarkStart w:id="2979" w:name="_Toc38442287"/>
      <w:bookmarkStart w:id="2980" w:name="_Toc38442619"/>
      <w:bookmarkStart w:id="2981" w:name="_Toc38442950"/>
      <w:bookmarkStart w:id="2982" w:name="_Toc38443281"/>
      <w:bookmarkStart w:id="2983" w:name="_Toc38443612"/>
      <w:bookmarkStart w:id="2984" w:name="_Toc38443942"/>
      <w:bookmarkStart w:id="2985" w:name="_Toc38438410"/>
      <w:bookmarkStart w:id="2986" w:name="_Toc38438747"/>
      <w:bookmarkStart w:id="2987" w:name="_Toc38439084"/>
      <w:bookmarkStart w:id="2988" w:name="_Toc38439421"/>
      <w:bookmarkStart w:id="2989" w:name="_Toc38439758"/>
      <w:bookmarkStart w:id="2990" w:name="_Toc38440095"/>
      <w:bookmarkStart w:id="2991" w:name="_Toc38440432"/>
      <w:bookmarkStart w:id="2992" w:name="_Toc38440964"/>
      <w:bookmarkStart w:id="2993" w:name="_Toc38441296"/>
      <w:bookmarkStart w:id="2994" w:name="_Toc38441628"/>
      <w:bookmarkStart w:id="2995" w:name="_Toc38441956"/>
      <w:bookmarkStart w:id="2996" w:name="_Toc38442288"/>
      <w:bookmarkStart w:id="2997" w:name="_Toc38442620"/>
      <w:bookmarkStart w:id="2998" w:name="_Toc38442951"/>
      <w:bookmarkStart w:id="2999" w:name="_Toc38443282"/>
      <w:bookmarkStart w:id="3000" w:name="_Toc38443613"/>
      <w:bookmarkStart w:id="3001" w:name="_Toc38443943"/>
      <w:bookmarkStart w:id="3002" w:name="_Toc38438411"/>
      <w:bookmarkStart w:id="3003" w:name="_Toc38438748"/>
      <w:bookmarkStart w:id="3004" w:name="_Toc38439085"/>
      <w:bookmarkStart w:id="3005" w:name="_Toc38439422"/>
      <w:bookmarkStart w:id="3006" w:name="_Toc38439759"/>
      <w:bookmarkStart w:id="3007" w:name="_Toc38440096"/>
      <w:bookmarkStart w:id="3008" w:name="_Toc38440433"/>
      <w:bookmarkStart w:id="3009" w:name="_Toc38440965"/>
      <w:bookmarkStart w:id="3010" w:name="_Toc38441297"/>
      <w:bookmarkStart w:id="3011" w:name="_Toc38441629"/>
      <w:bookmarkStart w:id="3012" w:name="_Toc38441957"/>
      <w:bookmarkStart w:id="3013" w:name="_Toc38442289"/>
      <w:bookmarkStart w:id="3014" w:name="_Toc38442621"/>
      <w:bookmarkStart w:id="3015" w:name="_Toc38442952"/>
      <w:bookmarkStart w:id="3016" w:name="_Toc38443283"/>
      <w:bookmarkStart w:id="3017" w:name="_Toc38443614"/>
      <w:bookmarkStart w:id="3018" w:name="_Toc38443944"/>
      <w:bookmarkStart w:id="3019" w:name="_Toc38438412"/>
      <w:bookmarkStart w:id="3020" w:name="_Toc38438749"/>
      <w:bookmarkStart w:id="3021" w:name="_Toc38439086"/>
      <w:bookmarkStart w:id="3022" w:name="_Toc38439423"/>
      <w:bookmarkStart w:id="3023" w:name="_Toc38439760"/>
      <w:bookmarkStart w:id="3024" w:name="_Toc38440097"/>
      <w:bookmarkStart w:id="3025" w:name="_Toc38440434"/>
      <w:bookmarkStart w:id="3026" w:name="_Toc38440966"/>
      <w:bookmarkStart w:id="3027" w:name="_Toc38441298"/>
      <w:bookmarkStart w:id="3028" w:name="_Toc38441630"/>
      <w:bookmarkStart w:id="3029" w:name="_Toc38441958"/>
      <w:bookmarkStart w:id="3030" w:name="_Toc38442290"/>
      <w:bookmarkStart w:id="3031" w:name="_Toc38442622"/>
      <w:bookmarkStart w:id="3032" w:name="_Toc38442953"/>
      <w:bookmarkStart w:id="3033" w:name="_Toc38443284"/>
      <w:bookmarkStart w:id="3034" w:name="_Toc38443615"/>
      <w:bookmarkStart w:id="3035" w:name="_Toc38443945"/>
      <w:bookmarkStart w:id="3036" w:name="_Toc38438413"/>
      <w:bookmarkStart w:id="3037" w:name="_Toc38438750"/>
      <w:bookmarkStart w:id="3038" w:name="_Toc38439087"/>
      <w:bookmarkStart w:id="3039" w:name="_Toc38439424"/>
      <w:bookmarkStart w:id="3040" w:name="_Toc38439761"/>
      <w:bookmarkStart w:id="3041" w:name="_Toc38440098"/>
      <w:bookmarkStart w:id="3042" w:name="_Toc38440435"/>
      <w:bookmarkStart w:id="3043" w:name="_Toc38440967"/>
      <w:bookmarkStart w:id="3044" w:name="_Toc38441299"/>
      <w:bookmarkStart w:id="3045" w:name="_Toc38441631"/>
      <w:bookmarkStart w:id="3046" w:name="_Toc38441959"/>
      <w:bookmarkStart w:id="3047" w:name="_Toc38442291"/>
      <w:bookmarkStart w:id="3048" w:name="_Toc38442623"/>
      <w:bookmarkStart w:id="3049" w:name="_Toc38442954"/>
      <w:bookmarkStart w:id="3050" w:name="_Toc38443285"/>
      <w:bookmarkStart w:id="3051" w:name="_Toc38443616"/>
      <w:bookmarkStart w:id="3052" w:name="_Toc38443946"/>
      <w:bookmarkStart w:id="3053" w:name="_Toc38438414"/>
      <w:bookmarkStart w:id="3054" w:name="_Toc38438751"/>
      <w:bookmarkStart w:id="3055" w:name="_Toc38439088"/>
      <w:bookmarkStart w:id="3056" w:name="_Toc38439425"/>
      <w:bookmarkStart w:id="3057" w:name="_Toc38439762"/>
      <w:bookmarkStart w:id="3058" w:name="_Toc38440099"/>
      <w:bookmarkStart w:id="3059" w:name="_Toc38440436"/>
      <w:bookmarkStart w:id="3060" w:name="_Toc38440968"/>
      <w:bookmarkStart w:id="3061" w:name="_Toc38441300"/>
      <w:bookmarkStart w:id="3062" w:name="_Toc38441632"/>
      <w:bookmarkStart w:id="3063" w:name="_Toc38441960"/>
      <w:bookmarkStart w:id="3064" w:name="_Toc38442292"/>
      <w:bookmarkStart w:id="3065" w:name="_Toc38442624"/>
      <w:bookmarkStart w:id="3066" w:name="_Toc38442955"/>
      <w:bookmarkStart w:id="3067" w:name="_Toc38443286"/>
      <w:bookmarkStart w:id="3068" w:name="_Toc38443617"/>
      <w:bookmarkStart w:id="3069" w:name="_Toc38443947"/>
      <w:bookmarkStart w:id="3070" w:name="_Toc38438415"/>
      <w:bookmarkStart w:id="3071" w:name="_Toc38438752"/>
      <w:bookmarkStart w:id="3072" w:name="_Toc38439089"/>
      <w:bookmarkStart w:id="3073" w:name="_Toc38439426"/>
      <w:bookmarkStart w:id="3074" w:name="_Toc38439763"/>
      <w:bookmarkStart w:id="3075" w:name="_Toc38440100"/>
      <w:bookmarkStart w:id="3076" w:name="_Toc38440437"/>
      <w:bookmarkStart w:id="3077" w:name="_Toc38440969"/>
      <w:bookmarkStart w:id="3078" w:name="_Toc38441301"/>
      <w:bookmarkStart w:id="3079" w:name="_Toc38441633"/>
      <w:bookmarkStart w:id="3080" w:name="_Toc38441961"/>
      <w:bookmarkStart w:id="3081" w:name="_Toc38442293"/>
      <w:bookmarkStart w:id="3082" w:name="_Toc38442625"/>
      <w:bookmarkStart w:id="3083" w:name="_Toc38442956"/>
      <w:bookmarkStart w:id="3084" w:name="_Toc38443287"/>
      <w:bookmarkStart w:id="3085" w:name="_Toc38443618"/>
      <w:bookmarkStart w:id="3086" w:name="_Toc38443948"/>
      <w:bookmarkStart w:id="3087" w:name="_Toc38438416"/>
      <w:bookmarkStart w:id="3088" w:name="_Toc38438753"/>
      <w:bookmarkStart w:id="3089" w:name="_Toc38439090"/>
      <w:bookmarkStart w:id="3090" w:name="_Toc38439427"/>
      <w:bookmarkStart w:id="3091" w:name="_Toc38439764"/>
      <w:bookmarkStart w:id="3092" w:name="_Toc38440101"/>
      <w:bookmarkStart w:id="3093" w:name="_Toc38440438"/>
      <w:bookmarkStart w:id="3094" w:name="_Toc38440970"/>
      <w:bookmarkStart w:id="3095" w:name="_Toc38441302"/>
      <w:bookmarkStart w:id="3096" w:name="_Toc38441634"/>
      <w:bookmarkStart w:id="3097" w:name="_Toc38441962"/>
      <w:bookmarkStart w:id="3098" w:name="_Toc38442294"/>
      <w:bookmarkStart w:id="3099" w:name="_Toc38442626"/>
      <w:bookmarkStart w:id="3100" w:name="_Toc38442957"/>
      <w:bookmarkStart w:id="3101" w:name="_Toc38443288"/>
      <w:bookmarkStart w:id="3102" w:name="_Toc38443619"/>
      <w:bookmarkStart w:id="3103" w:name="_Toc38443949"/>
      <w:bookmarkStart w:id="3104" w:name="_Toc38438417"/>
      <w:bookmarkStart w:id="3105" w:name="_Toc38438754"/>
      <w:bookmarkStart w:id="3106" w:name="_Toc38439091"/>
      <w:bookmarkStart w:id="3107" w:name="_Toc38439428"/>
      <w:bookmarkStart w:id="3108" w:name="_Toc38439765"/>
      <w:bookmarkStart w:id="3109" w:name="_Toc38440102"/>
      <w:bookmarkStart w:id="3110" w:name="_Toc38440439"/>
      <w:bookmarkStart w:id="3111" w:name="_Toc38440971"/>
      <w:bookmarkStart w:id="3112" w:name="_Toc38441303"/>
      <w:bookmarkStart w:id="3113" w:name="_Toc38441635"/>
      <w:bookmarkStart w:id="3114" w:name="_Toc38441963"/>
      <w:bookmarkStart w:id="3115" w:name="_Toc38442295"/>
      <w:bookmarkStart w:id="3116" w:name="_Toc38442627"/>
      <w:bookmarkStart w:id="3117" w:name="_Toc38442958"/>
      <w:bookmarkStart w:id="3118" w:name="_Toc38443289"/>
      <w:bookmarkStart w:id="3119" w:name="_Toc38443620"/>
      <w:bookmarkStart w:id="3120" w:name="_Toc38443950"/>
      <w:bookmarkStart w:id="3121" w:name="_Toc38438418"/>
      <w:bookmarkStart w:id="3122" w:name="_Toc38438755"/>
      <w:bookmarkStart w:id="3123" w:name="_Toc38439092"/>
      <w:bookmarkStart w:id="3124" w:name="_Toc38439429"/>
      <w:bookmarkStart w:id="3125" w:name="_Toc38439766"/>
      <w:bookmarkStart w:id="3126" w:name="_Toc38440103"/>
      <w:bookmarkStart w:id="3127" w:name="_Toc38440440"/>
      <w:bookmarkStart w:id="3128" w:name="_Toc38440972"/>
      <w:bookmarkStart w:id="3129" w:name="_Toc38441304"/>
      <w:bookmarkStart w:id="3130" w:name="_Toc38441636"/>
      <w:bookmarkStart w:id="3131" w:name="_Toc38441964"/>
      <w:bookmarkStart w:id="3132" w:name="_Toc38442296"/>
      <w:bookmarkStart w:id="3133" w:name="_Toc38442628"/>
      <w:bookmarkStart w:id="3134" w:name="_Toc38442959"/>
      <w:bookmarkStart w:id="3135" w:name="_Toc38443290"/>
      <w:bookmarkStart w:id="3136" w:name="_Toc38443621"/>
      <w:bookmarkStart w:id="3137" w:name="_Toc38443951"/>
      <w:bookmarkStart w:id="3138" w:name="_Toc38438419"/>
      <w:bookmarkStart w:id="3139" w:name="_Toc38438756"/>
      <w:bookmarkStart w:id="3140" w:name="_Toc38439093"/>
      <w:bookmarkStart w:id="3141" w:name="_Toc38439430"/>
      <w:bookmarkStart w:id="3142" w:name="_Toc38439767"/>
      <w:bookmarkStart w:id="3143" w:name="_Toc38440104"/>
      <w:bookmarkStart w:id="3144" w:name="_Toc38440441"/>
      <w:bookmarkStart w:id="3145" w:name="_Toc38440973"/>
      <w:bookmarkStart w:id="3146" w:name="_Toc38441305"/>
      <w:bookmarkStart w:id="3147" w:name="_Toc38441637"/>
      <w:bookmarkStart w:id="3148" w:name="_Toc38441965"/>
      <w:bookmarkStart w:id="3149" w:name="_Toc38442297"/>
      <w:bookmarkStart w:id="3150" w:name="_Toc38442629"/>
      <w:bookmarkStart w:id="3151" w:name="_Toc38442960"/>
      <w:bookmarkStart w:id="3152" w:name="_Toc38443291"/>
      <w:bookmarkStart w:id="3153" w:name="_Toc38443622"/>
      <w:bookmarkStart w:id="3154" w:name="_Toc38443952"/>
      <w:bookmarkStart w:id="3155" w:name="_Toc38438420"/>
      <w:bookmarkStart w:id="3156" w:name="_Toc38438757"/>
      <w:bookmarkStart w:id="3157" w:name="_Toc38439094"/>
      <w:bookmarkStart w:id="3158" w:name="_Toc38439431"/>
      <w:bookmarkStart w:id="3159" w:name="_Toc38439768"/>
      <w:bookmarkStart w:id="3160" w:name="_Toc38440105"/>
      <w:bookmarkStart w:id="3161" w:name="_Toc38440442"/>
      <w:bookmarkStart w:id="3162" w:name="_Toc38440974"/>
      <w:bookmarkStart w:id="3163" w:name="_Toc38441306"/>
      <w:bookmarkStart w:id="3164" w:name="_Toc38441638"/>
      <w:bookmarkStart w:id="3165" w:name="_Toc38441966"/>
      <w:bookmarkStart w:id="3166" w:name="_Toc38442298"/>
      <w:bookmarkStart w:id="3167" w:name="_Toc38442630"/>
      <w:bookmarkStart w:id="3168" w:name="_Toc38442961"/>
      <w:bookmarkStart w:id="3169" w:name="_Toc38443292"/>
      <w:bookmarkStart w:id="3170" w:name="_Toc38443623"/>
      <w:bookmarkStart w:id="3171" w:name="_Toc38443953"/>
      <w:bookmarkStart w:id="3172" w:name="_Toc38438421"/>
      <w:bookmarkStart w:id="3173" w:name="_Toc38438758"/>
      <w:bookmarkStart w:id="3174" w:name="_Toc38439095"/>
      <w:bookmarkStart w:id="3175" w:name="_Toc38439432"/>
      <w:bookmarkStart w:id="3176" w:name="_Toc38439769"/>
      <w:bookmarkStart w:id="3177" w:name="_Toc38440106"/>
      <w:bookmarkStart w:id="3178" w:name="_Toc38440443"/>
      <w:bookmarkStart w:id="3179" w:name="_Toc38440975"/>
      <w:bookmarkStart w:id="3180" w:name="_Toc38441307"/>
      <w:bookmarkStart w:id="3181" w:name="_Toc38441639"/>
      <w:bookmarkStart w:id="3182" w:name="_Toc38441967"/>
      <w:bookmarkStart w:id="3183" w:name="_Toc38442299"/>
      <w:bookmarkStart w:id="3184" w:name="_Toc38442631"/>
      <w:bookmarkStart w:id="3185" w:name="_Toc38442962"/>
      <w:bookmarkStart w:id="3186" w:name="_Toc38443293"/>
      <w:bookmarkStart w:id="3187" w:name="_Toc38443624"/>
      <w:bookmarkStart w:id="3188" w:name="_Toc38443954"/>
      <w:bookmarkStart w:id="3189" w:name="_Toc38438422"/>
      <w:bookmarkStart w:id="3190" w:name="_Toc38438759"/>
      <w:bookmarkStart w:id="3191" w:name="_Toc38439096"/>
      <w:bookmarkStart w:id="3192" w:name="_Toc38439433"/>
      <w:bookmarkStart w:id="3193" w:name="_Toc38439770"/>
      <w:bookmarkStart w:id="3194" w:name="_Toc38440107"/>
      <w:bookmarkStart w:id="3195" w:name="_Toc38440444"/>
      <w:bookmarkStart w:id="3196" w:name="_Toc38440976"/>
      <w:bookmarkStart w:id="3197" w:name="_Toc38441308"/>
      <w:bookmarkStart w:id="3198" w:name="_Toc38441640"/>
      <w:bookmarkStart w:id="3199" w:name="_Toc38441968"/>
      <w:bookmarkStart w:id="3200" w:name="_Toc38442300"/>
      <w:bookmarkStart w:id="3201" w:name="_Toc38442632"/>
      <w:bookmarkStart w:id="3202" w:name="_Toc38442963"/>
      <w:bookmarkStart w:id="3203" w:name="_Toc38443294"/>
      <w:bookmarkStart w:id="3204" w:name="_Toc38443625"/>
      <w:bookmarkStart w:id="3205" w:name="_Toc38443955"/>
      <w:bookmarkStart w:id="3206" w:name="_Toc38438423"/>
      <w:bookmarkStart w:id="3207" w:name="_Toc38438760"/>
      <w:bookmarkStart w:id="3208" w:name="_Toc38439097"/>
      <w:bookmarkStart w:id="3209" w:name="_Toc38439434"/>
      <w:bookmarkStart w:id="3210" w:name="_Toc38439771"/>
      <w:bookmarkStart w:id="3211" w:name="_Toc38440108"/>
      <w:bookmarkStart w:id="3212" w:name="_Toc38440445"/>
      <w:bookmarkStart w:id="3213" w:name="_Toc38440977"/>
      <w:bookmarkStart w:id="3214" w:name="_Toc38441309"/>
      <w:bookmarkStart w:id="3215" w:name="_Toc38441641"/>
      <w:bookmarkStart w:id="3216" w:name="_Toc38441969"/>
      <w:bookmarkStart w:id="3217" w:name="_Toc38442301"/>
      <w:bookmarkStart w:id="3218" w:name="_Toc38442633"/>
      <w:bookmarkStart w:id="3219" w:name="_Toc38442964"/>
      <w:bookmarkStart w:id="3220" w:name="_Toc38443295"/>
      <w:bookmarkStart w:id="3221" w:name="_Toc38443626"/>
      <w:bookmarkStart w:id="3222" w:name="_Toc38443956"/>
      <w:bookmarkStart w:id="3223" w:name="_Toc38438424"/>
      <w:bookmarkStart w:id="3224" w:name="_Toc38438761"/>
      <w:bookmarkStart w:id="3225" w:name="_Toc38439098"/>
      <w:bookmarkStart w:id="3226" w:name="_Toc38439435"/>
      <w:bookmarkStart w:id="3227" w:name="_Toc38439772"/>
      <w:bookmarkStart w:id="3228" w:name="_Toc38440109"/>
      <w:bookmarkStart w:id="3229" w:name="_Toc38440446"/>
      <w:bookmarkStart w:id="3230" w:name="_Toc38440978"/>
      <w:bookmarkStart w:id="3231" w:name="_Toc38441310"/>
      <w:bookmarkStart w:id="3232" w:name="_Toc38441642"/>
      <w:bookmarkStart w:id="3233" w:name="_Toc38441970"/>
      <w:bookmarkStart w:id="3234" w:name="_Toc38442302"/>
      <w:bookmarkStart w:id="3235" w:name="_Toc38442634"/>
      <w:bookmarkStart w:id="3236" w:name="_Toc38442965"/>
      <w:bookmarkStart w:id="3237" w:name="_Toc38443296"/>
      <w:bookmarkStart w:id="3238" w:name="_Toc38443627"/>
      <w:bookmarkStart w:id="3239" w:name="_Toc38443957"/>
      <w:bookmarkStart w:id="3240" w:name="_Toc38438425"/>
      <w:bookmarkStart w:id="3241" w:name="_Toc38438762"/>
      <w:bookmarkStart w:id="3242" w:name="_Toc38439099"/>
      <w:bookmarkStart w:id="3243" w:name="_Toc38439436"/>
      <w:bookmarkStart w:id="3244" w:name="_Toc38439773"/>
      <w:bookmarkStart w:id="3245" w:name="_Toc38440110"/>
      <w:bookmarkStart w:id="3246" w:name="_Toc38440447"/>
      <w:bookmarkStart w:id="3247" w:name="_Toc38440979"/>
      <w:bookmarkStart w:id="3248" w:name="_Toc38441311"/>
      <w:bookmarkStart w:id="3249" w:name="_Toc38441643"/>
      <w:bookmarkStart w:id="3250" w:name="_Toc38441971"/>
      <w:bookmarkStart w:id="3251" w:name="_Toc38442303"/>
      <w:bookmarkStart w:id="3252" w:name="_Toc38442635"/>
      <w:bookmarkStart w:id="3253" w:name="_Toc38442966"/>
      <w:bookmarkStart w:id="3254" w:name="_Toc38443297"/>
      <w:bookmarkStart w:id="3255" w:name="_Toc38443628"/>
      <w:bookmarkStart w:id="3256" w:name="_Toc38443958"/>
      <w:bookmarkStart w:id="3257" w:name="_Toc38438426"/>
      <w:bookmarkStart w:id="3258" w:name="_Toc38438763"/>
      <w:bookmarkStart w:id="3259" w:name="_Toc38439100"/>
      <w:bookmarkStart w:id="3260" w:name="_Toc38439437"/>
      <w:bookmarkStart w:id="3261" w:name="_Toc38439774"/>
      <w:bookmarkStart w:id="3262" w:name="_Toc38440111"/>
      <w:bookmarkStart w:id="3263" w:name="_Toc38440448"/>
      <w:bookmarkStart w:id="3264" w:name="_Toc38440980"/>
      <w:bookmarkStart w:id="3265" w:name="_Toc38441312"/>
      <w:bookmarkStart w:id="3266" w:name="_Toc38441644"/>
      <w:bookmarkStart w:id="3267" w:name="_Toc38441972"/>
      <w:bookmarkStart w:id="3268" w:name="_Toc38442304"/>
      <w:bookmarkStart w:id="3269" w:name="_Toc38442636"/>
      <w:bookmarkStart w:id="3270" w:name="_Toc38442967"/>
      <w:bookmarkStart w:id="3271" w:name="_Toc38443298"/>
      <w:bookmarkStart w:id="3272" w:name="_Toc38443629"/>
      <w:bookmarkStart w:id="3273" w:name="_Toc38443959"/>
      <w:bookmarkStart w:id="3274" w:name="_Toc38438427"/>
      <w:bookmarkStart w:id="3275" w:name="_Toc38438764"/>
      <w:bookmarkStart w:id="3276" w:name="_Toc38439101"/>
      <w:bookmarkStart w:id="3277" w:name="_Toc38439438"/>
      <w:bookmarkStart w:id="3278" w:name="_Toc38439775"/>
      <w:bookmarkStart w:id="3279" w:name="_Toc38440112"/>
      <w:bookmarkStart w:id="3280" w:name="_Toc38440449"/>
      <w:bookmarkStart w:id="3281" w:name="_Toc38440981"/>
      <w:bookmarkStart w:id="3282" w:name="_Toc38441313"/>
      <w:bookmarkStart w:id="3283" w:name="_Toc38441645"/>
      <w:bookmarkStart w:id="3284" w:name="_Toc38441973"/>
      <w:bookmarkStart w:id="3285" w:name="_Toc38442305"/>
      <w:bookmarkStart w:id="3286" w:name="_Toc38442637"/>
      <w:bookmarkStart w:id="3287" w:name="_Toc38442968"/>
      <w:bookmarkStart w:id="3288" w:name="_Toc38443299"/>
      <w:bookmarkStart w:id="3289" w:name="_Toc38443630"/>
      <w:bookmarkStart w:id="3290" w:name="_Toc38443960"/>
      <w:bookmarkStart w:id="3291" w:name="_Toc38438428"/>
      <w:bookmarkStart w:id="3292" w:name="_Toc38438765"/>
      <w:bookmarkStart w:id="3293" w:name="_Toc38439102"/>
      <w:bookmarkStart w:id="3294" w:name="_Toc38439439"/>
      <w:bookmarkStart w:id="3295" w:name="_Toc38439776"/>
      <w:bookmarkStart w:id="3296" w:name="_Toc38440113"/>
      <w:bookmarkStart w:id="3297" w:name="_Toc38440450"/>
      <w:bookmarkStart w:id="3298" w:name="_Toc38440982"/>
      <w:bookmarkStart w:id="3299" w:name="_Toc38441314"/>
      <w:bookmarkStart w:id="3300" w:name="_Toc38441646"/>
      <w:bookmarkStart w:id="3301" w:name="_Toc38441974"/>
      <w:bookmarkStart w:id="3302" w:name="_Toc38442306"/>
      <w:bookmarkStart w:id="3303" w:name="_Toc38442638"/>
      <w:bookmarkStart w:id="3304" w:name="_Toc38442969"/>
      <w:bookmarkStart w:id="3305" w:name="_Toc38443300"/>
      <w:bookmarkStart w:id="3306" w:name="_Toc38443631"/>
      <w:bookmarkStart w:id="3307" w:name="_Toc38443961"/>
      <w:bookmarkStart w:id="3308" w:name="_Toc38438429"/>
      <w:bookmarkStart w:id="3309" w:name="_Toc38438766"/>
      <w:bookmarkStart w:id="3310" w:name="_Toc38439103"/>
      <w:bookmarkStart w:id="3311" w:name="_Toc38439440"/>
      <w:bookmarkStart w:id="3312" w:name="_Toc38439777"/>
      <w:bookmarkStart w:id="3313" w:name="_Toc38440114"/>
      <w:bookmarkStart w:id="3314" w:name="_Toc38440451"/>
      <w:bookmarkStart w:id="3315" w:name="_Toc38440983"/>
      <w:bookmarkStart w:id="3316" w:name="_Toc38441315"/>
      <w:bookmarkStart w:id="3317" w:name="_Toc38441647"/>
      <w:bookmarkStart w:id="3318" w:name="_Toc38441975"/>
      <w:bookmarkStart w:id="3319" w:name="_Toc38442307"/>
      <w:bookmarkStart w:id="3320" w:name="_Toc38442639"/>
      <w:bookmarkStart w:id="3321" w:name="_Toc38442970"/>
      <w:bookmarkStart w:id="3322" w:name="_Toc38443301"/>
      <w:bookmarkStart w:id="3323" w:name="_Toc38443632"/>
      <w:bookmarkStart w:id="3324" w:name="_Toc38443962"/>
      <w:bookmarkStart w:id="3325" w:name="_Toc38438430"/>
      <w:bookmarkStart w:id="3326" w:name="_Toc38438767"/>
      <w:bookmarkStart w:id="3327" w:name="_Toc38439104"/>
      <w:bookmarkStart w:id="3328" w:name="_Toc38439441"/>
      <w:bookmarkStart w:id="3329" w:name="_Toc38439778"/>
      <w:bookmarkStart w:id="3330" w:name="_Toc38440115"/>
      <w:bookmarkStart w:id="3331" w:name="_Toc38440452"/>
      <w:bookmarkStart w:id="3332" w:name="_Toc38440984"/>
      <w:bookmarkStart w:id="3333" w:name="_Toc38441316"/>
      <w:bookmarkStart w:id="3334" w:name="_Toc38441648"/>
      <w:bookmarkStart w:id="3335" w:name="_Toc38441976"/>
      <w:bookmarkStart w:id="3336" w:name="_Toc38442308"/>
      <w:bookmarkStart w:id="3337" w:name="_Toc38442640"/>
      <w:bookmarkStart w:id="3338" w:name="_Toc38442971"/>
      <w:bookmarkStart w:id="3339" w:name="_Toc38443302"/>
      <w:bookmarkStart w:id="3340" w:name="_Toc38443633"/>
      <w:bookmarkStart w:id="3341" w:name="_Toc38443963"/>
      <w:bookmarkStart w:id="3342" w:name="_Toc38438431"/>
      <w:bookmarkStart w:id="3343" w:name="_Toc38438768"/>
      <w:bookmarkStart w:id="3344" w:name="_Toc38439105"/>
      <w:bookmarkStart w:id="3345" w:name="_Toc38439442"/>
      <w:bookmarkStart w:id="3346" w:name="_Toc38439779"/>
      <w:bookmarkStart w:id="3347" w:name="_Toc38440116"/>
      <w:bookmarkStart w:id="3348" w:name="_Toc38440453"/>
      <w:bookmarkStart w:id="3349" w:name="_Toc38440985"/>
      <w:bookmarkStart w:id="3350" w:name="_Toc38441317"/>
      <w:bookmarkStart w:id="3351" w:name="_Toc38441649"/>
      <w:bookmarkStart w:id="3352" w:name="_Toc38441977"/>
      <w:bookmarkStart w:id="3353" w:name="_Toc38442309"/>
      <w:bookmarkStart w:id="3354" w:name="_Toc38442641"/>
      <w:bookmarkStart w:id="3355" w:name="_Toc38442972"/>
      <w:bookmarkStart w:id="3356" w:name="_Toc38443303"/>
      <w:bookmarkStart w:id="3357" w:name="_Toc38443634"/>
      <w:bookmarkStart w:id="3358" w:name="_Toc38443964"/>
      <w:bookmarkStart w:id="3359" w:name="_Toc38438432"/>
      <w:bookmarkStart w:id="3360" w:name="_Toc38438769"/>
      <w:bookmarkStart w:id="3361" w:name="_Toc38439106"/>
      <w:bookmarkStart w:id="3362" w:name="_Toc38439443"/>
      <w:bookmarkStart w:id="3363" w:name="_Toc38439780"/>
      <w:bookmarkStart w:id="3364" w:name="_Toc38440117"/>
      <w:bookmarkStart w:id="3365" w:name="_Toc38440454"/>
      <w:bookmarkStart w:id="3366" w:name="_Toc38440986"/>
      <w:bookmarkStart w:id="3367" w:name="_Toc38441318"/>
      <w:bookmarkStart w:id="3368" w:name="_Toc38441650"/>
      <w:bookmarkStart w:id="3369" w:name="_Toc38441978"/>
      <w:bookmarkStart w:id="3370" w:name="_Toc38442310"/>
      <w:bookmarkStart w:id="3371" w:name="_Toc38442642"/>
      <w:bookmarkStart w:id="3372" w:name="_Toc38442973"/>
      <w:bookmarkStart w:id="3373" w:name="_Toc38443304"/>
      <w:bookmarkStart w:id="3374" w:name="_Toc38443635"/>
      <w:bookmarkStart w:id="3375" w:name="_Toc38443965"/>
      <w:bookmarkStart w:id="3376" w:name="_Toc38438433"/>
      <w:bookmarkStart w:id="3377" w:name="_Toc38438770"/>
      <w:bookmarkStart w:id="3378" w:name="_Toc38439107"/>
      <w:bookmarkStart w:id="3379" w:name="_Toc38439444"/>
      <w:bookmarkStart w:id="3380" w:name="_Toc38439781"/>
      <w:bookmarkStart w:id="3381" w:name="_Toc38440118"/>
      <w:bookmarkStart w:id="3382" w:name="_Toc38440455"/>
      <w:bookmarkStart w:id="3383" w:name="_Toc38440987"/>
      <w:bookmarkStart w:id="3384" w:name="_Toc38441319"/>
      <w:bookmarkStart w:id="3385" w:name="_Toc38441651"/>
      <w:bookmarkStart w:id="3386" w:name="_Toc38441979"/>
      <w:bookmarkStart w:id="3387" w:name="_Toc38442311"/>
      <w:bookmarkStart w:id="3388" w:name="_Toc38442643"/>
      <w:bookmarkStart w:id="3389" w:name="_Toc38442974"/>
      <w:bookmarkStart w:id="3390" w:name="_Toc38443305"/>
      <w:bookmarkStart w:id="3391" w:name="_Toc38443636"/>
      <w:bookmarkStart w:id="3392" w:name="_Toc38443966"/>
      <w:bookmarkStart w:id="3393" w:name="_Toc38438434"/>
      <w:bookmarkStart w:id="3394" w:name="_Toc38438771"/>
      <w:bookmarkStart w:id="3395" w:name="_Toc38439108"/>
      <w:bookmarkStart w:id="3396" w:name="_Toc38439445"/>
      <w:bookmarkStart w:id="3397" w:name="_Toc38439782"/>
      <w:bookmarkStart w:id="3398" w:name="_Toc38440119"/>
      <w:bookmarkStart w:id="3399" w:name="_Toc38440456"/>
      <w:bookmarkStart w:id="3400" w:name="_Toc38440988"/>
      <w:bookmarkStart w:id="3401" w:name="_Toc38441320"/>
      <w:bookmarkStart w:id="3402" w:name="_Toc38441652"/>
      <w:bookmarkStart w:id="3403" w:name="_Toc38441980"/>
      <w:bookmarkStart w:id="3404" w:name="_Toc38442312"/>
      <w:bookmarkStart w:id="3405" w:name="_Toc38442644"/>
      <w:bookmarkStart w:id="3406" w:name="_Toc38442975"/>
      <w:bookmarkStart w:id="3407" w:name="_Toc38443306"/>
      <w:bookmarkStart w:id="3408" w:name="_Toc38443637"/>
      <w:bookmarkStart w:id="3409" w:name="_Toc38443967"/>
      <w:bookmarkStart w:id="3410" w:name="_Toc38438435"/>
      <w:bookmarkStart w:id="3411" w:name="_Toc38438772"/>
      <w:bookmarkStart w:id="3412" w:name="_Toc38439109"/>
      <w:bookmarkStart w:id="3413" w:name="_Toc38439446"/>
      <w:bookmarkStart w:id="3414" w:name="_Toc38439783"/>
      <w:bookmarkStart w:id="3415" w:name="_Toc38440120"/>
      <w:bookmarkStart w:id="3416" w:name="_Toc38440457"/>
      <w:bookmarkStart w:id="3417" w:name="_Toc38440989"/>
      <w:bookmarkStart w:id="3418" w:name="_Toc38441321"/>
      <w:bookmarkStart w:id="3419" w:name="_Toc38441653"/>
      <w:bookmarkStart w:id="3420" w:name="_Toc38441981"/>
      <w:bookmarkStart w:id="3421" w:name="_Toc38442313"/>
      <w:bookmarkStart w:id="3422" w:name="_Toc38442645"/>
      <w:bookmarkStart w:id="3423" w:name="_Toc38442976"/>
      <w:bookmarkStart w:id="3424" w:name="_Toc38443307"/>
      <w:bookmarkStart w:id="3425" w:name="_Toc38443638"/>
      <w:bookmarkStart w:id="3426" w:name="_Toc38443968"/>
      <w:bookmarkStart w:id="3427" w:name="_Toc38438436"/>
      <w:bookmarkStart w:id="3428" w:name="_Toc38438773"/>
      <w:bookmarkStart w:id="3429" w:name="_Toc38439110"/>
      <w:bookmarkStart w:id="3430" w:name="_Toc38439447"/>
      <w:bookmarkStart w:id="3431" w:name="_Toc38439784"/>
      <w:bookmarkStart w:id="3432" w:name="_Toc38440121"/>
      <w:bookmarkStart w:id="3433" w:name="_Toc38440458"/>
      <w:bookmarkStart w:id="3434" w:name="_Toc38440990"/>
      <w:bookmarkStart w:id="3435" w:name="_Toc38441322"/>
      <w:bookmarkStart w:id="3436" w:name="_Toc38441654"/>
      <w:bookmarkStart w:id="3437" w:name="_Toc38441982"/>
      <w:bookmarkStart w:id="3438" w:name="_Toc38442314"/>
      <w:bookmarkStart w:id="3439" w:name="_Toc38442646"/>
      <w:bookmarkStart w:id="3440" w:name="_Toc38442977"/>
      <w:bookmarkStart w:id="3441" w:name="_Toc38443308"/>
      <w:bookmarkStart w:id="3442" w:name="_Toc38443639"/>
      <w:bookmarkStart w:id="3443" w:name="_Toc38443969"/>
      <w:bookmarkStart w:id="3444" w:name="_Toc38438437"/>
      <w:bookmarkStart w:id="3445" w:name="_Toc38438774"/>
      <w:bookmarkStart w:id="3446" w:name="_Toc38439111"/>
      <w:bookmarkStart w:id="3447" w:name="_Toc38439448"/>
      <w:bookmarkStart w:id="3448" w:name="_Toc38439785"/>
      <w:bookmarkStart w:id="3449" w:name="_Toc38440122"/>
      <w:bookmarkStart w:id="3450" w:name="_Toc38440459"/>
      <w:bookmarkStart w:id="3451" w:name="_Toc38440991"/>
      <w:bookmarkStart w:id="3452" w:name="_Toc38441323"/>
      <w:bookmarkStart w:id="3453" w:name="_Toc38441655"/>
      <w:bookmarkStart w:id="3454" w:name="_Toc38441983"/>
      <w:bookmarkStart w:id="3455" w:name="_Toc38442315"/>
      <w:bookmarkStart w:id="3456" w:name="_Toc38442647"/>
      <w:bookmarkStart w:id="3457" w:name="_Toc38442978"/>
      <w:bookmarkStart w:id="3458" w:name="_Toc38443309"/>
      <w:bookmarkStart w:id="3459" w:name="_Toc38443640"/>
      <w:bookmarkStart w:id="3460" w:name="_Toc38443970"/>
      <w:bookmarkStart w:id="3461" w:name="_Toc38438438"/>
      <w:bookmarkStart w:id="3462" w:name="_Toc38438775"/>
      <w:bookmarkStart w:id="3463" w:name="_Toc38439112"/>
      <w:bookmarkStart w:id="3464" w:name="_Toc38439449"/>
      <w:bookmarkStart w:id="3465" w:name="_Toc38439786"/>
      <w:bookmarkStart w:id="3466" w:name="_Toc38440123"/>
      <w:bookmarkStart w:id="3467" w:name="_Toc38440460"/>
      <w:bookmarkStart w:id="3468" w:name="_Toc38440992"/>
      <w:bookmarkStart w:id="3469" w:name="_Toc38441324"/>
      <w:bookmarkStart w:id="3470" w:name="_Toc38441656"/>
      <w:bookmarkStart w:id="3471" w:name="_Toc38441984"/>
      <w:bookmarkStart w:id="3472" w:name="_Toc38442316"/>
      <w:bookmarkStart w:id="3473" w:name="_Toc38442648"/>
      <w:bookmarkStart w:id="3474" w:name="_Toc38442979"/>
      <w:bookmarkStart w:id="3475" w:name="_Toc38443310"/>
      <w:bookmarkStart w:id="3476" w:name="_Toc38443641"/>
      <w:bookmarkStart w:id="3477" w:name="_Toc38443971"/>
      <w:bookmarkStart w:id="3478" w:name="_Toc38438439"/>
      <w:bookmarkStart w:id="3479" w:name="_Toc38438776"/>
      <w:bookmarkStart w:id="3480" w:name="_Toc38439113"/>
      <w:bookmarkStart w:id="3481" w:name="_Toc38439450"/>
      <w:bookmarkStart w:id="3482" w:name="_Toc38439787"/>
      <w:bookmarkStart w:id="3483" w:name="_Toc38440124"/>
      <w:bookmarkStart w:id="3484" w:name="_Toc38440461"/>
      <w:bookmarkStart w:id="3485" w:name="_Toc38440993"/>
      <w:bookmarkStart w:id="3486" w:name="_Toc38441325"/>
      <w:bookmarkStart w:id="3487" w:name="_Toc38441657"/>
      <w:bookmarkStart w:id="3488" w:name="_Toc38441985"/>
      <w:bookmarkStart w:id="3489" w:name="_Toc38442317"/>
      <w:bookmarkStart w:id="3490" w:name="_Toc38442649"/>
      <w:bookmarkStart w:id="3491" w:name="_Toc38442980"/>
      <w:bookmarkStart w:id="3492" w:name="_Toc38443311"/>
      <w:bookmarkStart w:id="3493" w:name="_Toc38443642"/>
      <w:bookmarkStart w:id="3494" w:name="_Toc38443972"/>
      <w:bookmarkStart w:id="3495" w:name="_Toc38438440"/>
      <w:bookmarkStart w:id="3496" w:name="_Toc38438777"/>
      <w:bookmarkStart w:id="3497" w:name="_Toc38439114"/>
      <w:bookmarkStart w:id="3498" w:name="_Toc38439451"/>
      <w:bookmarkStart w:id="3499" w:name="_Toc38439788"/>
      <w:bookmarkStart w:id="3500" w:name="_Toc38440125"/>
      <w:bookmarkStart w:id="3501" w:name="_Toc38440462"/>
      <w:bookmarkStart w:id="3502" w:name="_Toc38440994"/>
      <w:bookmarkStart w:id="3503" w:name="_Toc38441326"/>
      <w:bookmarkStart w:id="3504" w:name="_Toc38441658"/>
      <w:bookmarkStart w:id="3505" w:name="_Toc38441986"/>
      <w:bookmarkStart w:id="3506" w:name="_Toc38442318"/>
      <w:bookmarkStart w:id="3507" w:name="_Toc38442650"/>
      <w:bookmarkStart w:id="3508" w:name="_Toc38442981"/>
      <w:bookmarkStart w:id="3509" w:name="_Toc38443312"/>
      <w:bookmarkStart w:id="3510" w:name="_Toc38443643"/>
      <w:bookmarkStart w:id="3511" w:name="_Toc38443973"/>
      <w:bookmarkStart w:id="3512" w:name="_Toc38438441"/>
      <w:bookmarkStart w:id="3513" w:name="_Toc38438778"/>
      <w:bookmarkStart w:id="3514" w:name="_Toc38439115"/>
      <w:bookmarkStart w:id="3515" w:name="_Toc38439452"/>
      <w:bookmarkStart w:id="3516" w:name="_Toc38439789"/>
      <w:bookmarkStart w:id="3517" w:name="_Toc38440126"/>
      <w:bookmarkStart w:id="3518" w:name="_Toc38440463"/>
      <w:bookmarkStart w:id="3519" w:name="_Toc38440995"/>
      <w:bookmarkStart w:id="3520" w:name="_Toc38441327"/>
      <w:bookmarkStart w:id="3521" w:name="_Toc38441659"/>
      <w:bookmarkStart w:id="3522" w:name="_Toc38441987"/>
      <w:bookmarkStart w:id="3523" w:name="_Toc38442319"/>
      <w:bookmarkStart w:id="3524" w:name="_Toc38442651"/>
      <w:bookmarkStart w:id="3525" w:name="_Toc38442982"/>
      <w:bookmarkStart w:id="3526" w:name="_Toc38443313"/>
      <w:bookmarkStart w:id="3527" w:name="_Toc38443644"/>
      <w:bookmarkStart w:id="3528" w:name="_Toc38443974"/>
      <w:bookmarkStart w:id="3529" w:name="_Toc38438442"/>
      <w:bookmarkStart w:id="3530" w:name="_Toc38438779"/>
      <w:bookmarkStart w:id="3531" w:name="_Toc38439116"/>
      <w:bookmarkStart w:id="3532" w:name="_Toc38439453"/>
      <w:bookmarkStart w:id="3533" w:name="_Toc38439790"/>
      <w:bookmarkStart w:id="3534" w:name="_Toc38440127"/>
      <w:bookmarkStart w:id="3535" w:name="_Toc38440464"/>
      <w:bookmarkStart w:id="3536" w:name="_Toc38440996"/>
      <w:bookmarkStart w:id="3537" w:name="_Toc38441328"/>
      <w:bookmarkStart w:id="3538" w:name="_Toc38441660"/>
      <w:bookmarkStart w:id="3539" w:name="_Toc38441988"/>
      <w:bookmarkStart w:id="3540" w:name="_Toc38442320"/>
      <w:bookmarkStart w:id="3541" w:name="_Toc38442652"/>
      <w:bookmarkStart w:id="3542" w:name="_Toc38442983"/>
      <w:bookmarkStart w:id="3543" w:name="_Toc38443314"/>
      <w:bookmarkStart w:id="3544" w:name="_Toc38443645"/>
      <w:bookmarkStart w:id="3545" w:name="_Toc38443975"/>
      <w:bookmarkStart w:id="3546" w:name="_Toc38438443"/>
      <w:bookmarkStart w:id="3547" w:name="_Toc38438780"/>
      <w:bookmarkStart w:id="3548" w:name="_Toc38439117"/>
      <w:bookmarkStart w:id="3549" w:name="_Toc38439454"/>
      <w:bookmarkStart w:id="3550" w:name="_Toc38439791"/>
      <w:bookmarkStart w:id="3551" w:name="_Toc38440128"/>
      <w:bookmarkStart w:id="3552" w:name="_Toc38440465"/>
      <w:bookmarkStart w:id="3553" w:name="_Toc38440997"/>
      <w:bookmarkStart w:id="3554" w:name="_Toc38441329"/>
      <w:bookmarkStart w:id="3555" w:name="_Toc38441661"/>
      <w:bookmarkStart w:id="3556" w:name="_Toc38441989"/>
      <w:bookmarkStart w:id="3557" w:name="_Toc38442321"/>
      <w:bookmarkStart w:id="3558" w:name="_Toc38442653"/>
      <w:bookmarkStart w:id="3559" w:name="_Toc38442984"/>
      <w:bookmarkStart w:id="3560" w:name="_Toc38443315"/>
      <w:bookmarkStart w:id="3561" w:name="_Toc38443646"/>
      <w:bookmarkStart w:id="3562" w:name="_Toc38443976"/>
      <w:bookmarkStart w:id="3563" w:name="_Toc38438444"/>
      <w:bookmarkStart w:id="3564" w:name="_Toc38438781"/>
      <w:bookmarkStart w:id="3565" w:name="_Toc38439118"/>
      <w:bookmarkStart w:id="3566" w:name="_Toc38439455"/>
      <w:bookmarkStart w:id="3567" w:name="_Toc38439792"/>
      <w:bookmarkStart w:id="3568" w:name="_Toc38440129"/>
      <w:bookmarkStart w:id="3569" w:name="_Toc38440466"/>
      <w:bookmarkStart w:id="3570" w:name="_Toc38440998"/>
      <w:bookmarkStart w:id="3571" w:name="_Toc38441330"/>
      <w:bookmarkStart w:id="3572" w:name="_Toc38441662"/>
      <w:bookmarkStart w:id="3573" w:name="_Toc38441990"/>
      <w:bookmarkStart w:id="3574" w:name="_Toc38442322"/>
      <w:bookmarkStart w:id="3575" w:name="_Toc38442654"/>
      <w:bookmarkStart w:id="3576" w:name="_Toc38442985"/>
      <w:bookmarkStart w:id="3577" w:name="_Toc38443316"/>
      <w:bookmarkStart w:id="3578" w:name="_Toc38443647"/>
      <w:bookmarkStart w:id="3579" w:name="_Toc38443977"/>
      <w:bookmarkStart w:id="3580" w:name="_Toc38438445"/>
      <w:bookmarkStart w:id="3581" w:name="_Toc38438782"/>
      <w:bookmarkStart w:id="3582" w:name="_Toc38439119"/>
      <w:bookmarkStart w:id="3583" w:name="_Toc38439456"/>
      <w:bookmarkStart w:id="3584" w:name="_Toc38439793"/>
      <w:bookmarkStart w:id="3585" w:name="_Toc38440130"/>
      <w:bookmarkStart w:id="3586" w:name="_Toc38440467"/>
      <w:bookmarkStart w:id="3587" w:name="_Toc38440999"/>
      <w:bookmarkStart w:id="3588" w:name="_Toc38441331"/>
      <w:bookmarkStart w:id="3589" w:name="_Toc38441663"/>
      <w:bookmarkStart w:id="3590" w:name="_Toc38441991"/>
      <w:bookmarkStart w:id="3591" w:name="_Toc38442323"/>
      <w:bookmarkStart w:id="3592" w:name="_Toc38442655"/>
      <w:bookmarkStart w:id="3593" w:name="_Toc38442986"/>
      <w:bookmarkStart w:id="3594" w:name="_Toc38443317"/>
      <w:bookmarkStart w:id="3595" w:name="_Toc38443648"/>
      <w:bookmarkStart w:id="3596" w:name="_Toc38443978"/>
      <w:bookmarkStart w:id="3597" w:name="_Toc38438446"/>
      <w:bookmarkStart w:id="3598" w:name="_Toc38438783"/>
      <w:bookmarkStart w:id="3599" w:name="_Toc38439120"/>
      <w:bookmarkStart w:id="3600" w:name="_Toc38439457"/>
      <w:bookmarkStart w:id="3601" w:name="_Toc38439794"/>
      <w:bookmarkStart w:id="3602" w:name="_Toc38440131"/>
      <w:bookmarkStart w:id="3603" w:name="_Toc38440468"/>
      <w:bookmarkStart w:id="3604" w:name="_Toc38441000"/>
      <w:bookmarkStart w:id="3605" w:name="_Toc38441332"/>
      <w:bookmarkStart w:id="3606" w:name="_Toc38441664"/>
      <w:bookmarkStart w:id="3607" w:name="_Toc38441992"/>
      <w:bookmarkStart w:id="3608" w:name="_Toc38442324"/>
      <w:bookmarkStart w:id="3609" w:name="_Toc38442656"/>
      <w:bookmarkStart w:id="3610" w:name="_Toc38442987"/>
      <w:bookmarkStart w:id="3611" w:name="_Toc38443318"/>
      <w:bookmarkStart w:id="3612" w:name="_Toc38443649"/>
      <w:bookmarkStart w:id="3613" w:name="_Toc38443979"/>
      <w:bookmarkStart w:id="3614" w:name="_Toc38438447"/>
      <w:bookmarkStart w:id="3615" w:name="_Toc38438784"/>
      <w:bookmarkStart w:id="3616" w:name="_Toc38439121"/>
      <w:bookmarkStart w:id="3617" w:name="_Toc38439458"/>
      <w:bookmarkStart w:id="3618" w:name="_Toc38439795"/>
      <w:bookmarkStart w:id="3619" w:name="_Toc38440132"/>
      <w:bookmarkStart w:id="3620" w:name="_Toc38440469"/>
      <w:bookmarkStart w:id="3621" w:name="_Toc38441001"/>
      <w:bookmarkStart w:id="3622" w:name="_Toc38441333"/>
      <w:bookmarkStart w:id="3623" w:name="_Toc38441665"/>
      <w:bookmarkStart w:id="3624" w:name="_Toc38441993"/>
      <w:bookmarkStart w:id="3625" w:name="_Toc38442325"/>
      <w:bookmarkStart w:id="3626" w:name="_Toc38442657"/>
      <w:bookmarkStart w:id="3627" w:name="_Toc38442988"/>
      <w:bookmarkStart w:id="3628" w:name="_Toc38443319"/>
      <w:bookmarkStart w:id="3629" w:name="_Toc38443650"/>
      <w:bookmarkStart w:id="3630" w:name="_Toc38443980"/>
      <w:bookmarkStart w:id="3631" w:name="_Toc38438448"/>
      <w:bookmarkStart w:id="3632" w:name="_Toc38438785"/>
      <w:bookmarkStart w:id="3633" w:name="_Toc38439122"/>
      <w:bookmarkStart w:id="3634" w:name="_Toc38439459"/>
      <w:bookmarkStart w:id="3635" w:name="_Toc38439796"/>
      <w:bookmarkStart w:id="3636" w:name="_Toc38440133"/>
      <w:bookmarkStart w:id="3637" w:name="_Toc38440470"/>
      <w:bookmarkStart w:id="3638" w:name="_Toc38441002"/>
      <w:bookmarkStart w:id="3639" w:name="_Toc38441334"/>
      <w:bookmarkStart w:id="3640" w:name="_Toc38441666"/>
      <w:bookmarkStart w:id="3641" w:name="_Toc38441994"/>
      <w:bookmarkStart w:id="3642" w:name="_Toc38442326"/>
      <w:bookmarkStart w:id="3643" w:name="_Toc38442658"/>
      <w:bookmarkStart w:id="3644" w:name="_Toc38442989"/>
      <w:bookmarkStart w:id="3645" w:name="_Toc38443320"/>
      <w:bookmarkStart w:id="3646" w:name="_Toc38443651"/>
      <w:bookmarkStart w:id="3647" w:name="_Toc38443981"/>
      <w:bookmarkStart w:id="3648" w:name="_Toc38438449"/>
      <w:bookmarkStart w:id="3649" w:name="_Toc38438786"/>
      <w:bookmarkStart w:id="3650" w:name="_Toc38439123"/>
      <w:bookmarkStart w:id="3651" w:name="_Toc38439460"/>
      <w:bookmarkStart w:id="3652" w:name="_Toc38439797"/>
      <w:bookmarkStart w:id="3653" w:name="_Toc38440134"/>
      <w:bookmarkStart w:id="3654" w:name="_Toc38440471"/>
      <w:bookmarkStart w:id="3655" w:name="_Toc38441003"/>
      <w:bookmarkStart w:id="3656" w:name="_Toc38441335"/>
      <w:bookmarkStart w:id="3657" w:name="_Toc38441667"/>
      <w:bookmarkStart w:id="3658" w:name="_Toc38441995"/>
      <w:bookmarkStart w:id="3659" w:name="_Toc38442327"/>
      <w:bookmarkStart w:id="3660" w:name="_Toc38442659"/>
      <w:bookmarkStart w:id="3661" w:name="_Toc38442990"/>
      <w:bookmarkStart w:id="3662" w:name="_Toc38443321"/>
      <w:bookmarkStart w:id="3663" w:name="_Toc38443652"/>
      <w:bookmarkStart w:id="3664" w:name="_Toc38443982"/>
      <w:bookmarkStart w:id="3665" w:name="_Toc38438450"/>
      <w:bookmarkStart w:id="3666" w:name="_Toc38438787"/>
      <w:bookmarkStart w:id="3667" w:name="_Toc38439124"/>
      <w:bookmarkStart w:id="3668" w:name="_Toc38439461"/>
      <w:bookmarkStart w:id="3669" w:name="_Toc38439798"/>
      <w:bookmarkStart w:id="3670" w:name="_Toc38440135"/>
      <w:bookmarkStart w:id="3671" w:name="_Toc38440472"/>
      <w:bookmarkStart w:id="3672" w:name="_Toc38441004"/>
      <w:bookmarkStart w:id="3673" w:name="_Toc38441336"/>
      <w:bookmarkStart w:id="3674" w:name="_Toc38441668"/>
      <w:bookmarkStart w:id="3675" w:name="_Toc38441996"/>
      <w:bookmarkStart w:id="3676" w:name="_Toc38442328"/>
      <w:bookmarkStart w:id="3677" w:name="_Toc38442660"/>
      <w:bookmarkStart w:id="3678" w:name="_Toc38442991"/>
      <w:bookmarkStart w:id="3679" w:name="_Toc38443322"/>
      <w:bookmarkStart w:id="3680" w:name="_Toc38443653"/>
      <w:bookmarkStart w:id="3681" w:name="_Toc38443983"/>
      <w:bookmarkStart w:id="3682" w:name="_Toc38438451"/>
      <w:bookmarkStart w:id="3683" w:name="_Toc38438788"/>
      <w:bookmarkStart w:id="3684" w:name="_Toc38439125"/>
      <w:bookmarkStart w:id="3685" w:name="_Toc38439462"/>
      <w:bookmarkStart w:id="3686" w:name="_Toc38439799"/>
      <w:bookmarkStart w:id="3687" w:name="_Toc38440136"/>
      <w:bookmarkStart w:id="3688" w:name="_Toc38440473"/>
      <w:bookmarkStart w:id="3689" w:name="_Toc38441005"/>
      <w:bookmarkStart w:id="3690" w:name="_Toc38441337"/>
      <w:bookmarkStart w:id="3691" w:name="_Toc38441669"/>
      <w:bookmarkStart w:id="3692" w:name="_Toc38441997"/>
      <w:bookmarkStart w:id="3693" w:name="_Toc38442329"/>
      <w:bookmarkStart w:id="3694" w:name="_Toc38442661"/>
      <w:bookmarkStart w:id="3695" w:name="_Toc38442992"/>
      <w:bookmarkStart w:id="3696" w:name="_Toc38443323"/>
      <w:bookmarkStart w:id="3697" w:name="_Toc38443654"/>
      <w:bookmarkStart w:id="3698" w:name="_Toc38443984"/>
      <w:bookmarkStart w:id="3699" w:name="_Toc38438452"/>
      <w:bookmarkStart w:id="3700" w:name="_Toc38438789"/>
      <w:bookmarkStart w:id="3701" w:name="_Toc38439126"/>
      <w:bookmarkStart w:id="3702" w:name="_Toc38439463"/>
      <w:bookmarkStart w:id="3703" w:name="_Toc38439800"/>
      <w:bookmarkStart w:id="3704" w:name="_Toc38440137"/>
      <w:bookmarkStart w:id="3705" w:name="_Toc38440474"/>
      <w:bookmarkStart w:id="3706" w:name="_Toc38441006"/>
      <w:bookmarkStart w:id="3707" w:name="_Toc38441338"/>
      <w:bookmarkStart w:id="3708" w:name="_Toc38441670"/>
      <w:bookmarkStart w:id="3709" w:name="_Toc38441998"/>
      <w:bookmarkStart w:id="3710" w:name="_Toc38442330"/>
      <w:bookmarkStart w:id="3711" w:name="_Toc38442662"/>
      <w:bookmarkStart w:id="3712" w:name="_Toc38442993"/>
      <w:bookmarkStart w:id="3713" w:name="_Toc38443324"/>
      <w:bookmarkStart w:id="3714" w:name="_Toc38443655"/>
      <w:bookmarkStart w:id="3715" w:name="_Toc38443985"/>
      <w:bookmarkStart w:id="3716" w:name="_Toc38438453"/>
      <w:bookmarkStart w:id="3717" w:name="_Toc38438790"/>
      <w:bookmarkStart w:id="3718" w:name="_Toc38439127"/>
      <w:bookmarkStart w:id="3719" w:name="_Toc38439464"/>
      <w:bookmarkStart w:id="3720" w:name="_Toc38439801"/>
      <w:bookmarkStart w:id="3721" w:name="_Toc38440138"/>
      <w:bookmarkStart w:id="3722" w:name="_Toc38440475"/>
      <w:bookmarkStart w:id="3723" w:name="_Toc38441007"/>
      <w:bookmarkStart w:id="3724" w:name="_Toc38441339"/>
      <w:bookmarkStart w:id="3725" w:name="_Toc38441671"/>
      <w:bookmarkStart w:id="3726" w:name="_Toc38441999"/>
      <w:bookmarkStart w:id="3727" w:name="_Toc38442331"/>
      <w:bookmarkStart w:id="3728" w:name="_Toc38442663"/>
      <w:bookmarkStart w:id="3729" w:name="_Toc38442994"/>
      <w:bookmarkStart w:id="3730" w:name="_Toc38443325"/>
      <w:bookmarkStart w:id="3731" w:name="_Toc38443656"/>
      <w:bookmarkStart w:id="3732" w:name="_Toc38443986"/>
      <w:bookmarkStart w:id="3733" w:name="_Toc38438454"/>
      <w:bookmarkStart w:id="3734" w:name="_Toc38438791"/>
      <w:bookmarkStart w:id="3735" w:name="_Toc38439128"/>
      <w:bookmarkStart w:id="3736" w:name="_Toc38439465"/>
      <w:bookmarkStart w:id="3737" w:name="_Toc38439802"/>
      <w:bookmarkStart w:id="3738" w:name="_Toc38440139"/>
      <w:bookmarkStart w:id="3739" w:name="_Toc38440476"/>
      <w:bookmarkStart w:id="3740" w:name="_Toc38441008"/>
      <w:bookmarkStart w:id="3741" w:name="_Toc38441340"/>
      <w:bookmarkStart w:id="3742" w:name="_Toc38441672"/>
      <w:bookmarkStart w:id="3743" w:name="_Toc38442000"/>
      <w:bookmarkStart w:id="3744" w:name="_Toc38442332"/>
      <w:bookmarkStart w:id="3745" w:name="_Toc38442664"/>
      <w:bookmarkStart w:id="3746" w:name="_Toc38442995"/>
      <w:bookmarkStart w:id="3747" w:name="_Toc38443326"/>
      <w:bookmarkStart w:id="3748" w:name="_Toc38443657"/>
      <w:bookmarkStart w:id="3749" w:name="_Toc38443987"/>
      <w:bookmarkStart w:id="3750" w:name="_Toc38438455"/>
      <w:bookmarkStart w:id="3751" w:name="_Toc38438792"/>
      <w:bookmarkStart w:id="3752" w:name="_Toc38439129"/>
      <w:bookmarkStart w:id="3753" w:name="_Toc38439466"/>
      <w:bookmarkStart w:id="3754" w:name="_Toc38439803"/>
      <w:bookmarkStart w:id="3755" w:name="_Toc38440140"/>
      <w:bookmarkStart w:id="3756" w:name="_Toc38440477"/>
      <w:bookmarkStart w:id="3757" w:name="_Toc38441009"/>
      <w:bookmarkStart w:id="3758" w:name="_Toc38441341"/>
      <w:bookmarkStart w:id="3759" w:name="_Toc38441673"/>
      <w:bookmarkStart w:id="3760" w:name="_Toc38442001"/>
      <w:bookmarkStart w:id="3761" w:name="_Toc38442333"/>
      <w:bookmarkStart w:id="3762" w:name="_Toc38442665"/>
      <w:bookmarkStart w:id="3763" w:name="_Toc38442996"/>
      <w:bookmarkStart w:id="3764" w:name="_Toc38443327"/>
      <w:bookmarkStart w:id="3765" w:name="_Toc38443658"/>
      <w:bookmarkStart w:id="3766" w:name="_Toc38443988"/>
      <w:bookmarkStart w:id="3767" w:name="_Toc38438456"/>
      <w:bookmarkStart w:id="3768" w:name="_Toc38438793"/>
      <w:bookmarkStart w:id="3769" w:name="_Toc38439130"/>
      <w:bookmarkStart w:id="3770" w:name="_Toc38439467"/>
      <w:bookmarkStart w:id="3771" w:name="_Toc38439804"/>
      <w:bookmarkStart w:id="3772" w:name="_Toc38440141"/>
      <w:bookmarkStart w:id="3773" w:name="_Toc38440478"/>
      <w:bookmarkStart w:id="3774" w:name="_Toc38441010"/>
      <w:bookmarkStart w:id="3775" w:name="_Toc38441342"/>
      <w:bookmarkStart w:id="3776" w:name="_Toc38441674"/>
      <w:bookmarkStart w:id="3777" w:name="_Toc38442002"/>
      <w:bookmarkStart w:id="3778" w:name="_Toc38442334"/>
      <w:bookmarkStart w:id="3779" w:name="_Toc38442666"/>
      <w:bookmarkStart w:id="3780" w:name="_Toc38442997"/>
      <w:bookmarkStart w:id="3781" w:name="_Toc38443328"/>
      <w:bookmarkStart w:id="3782" w:name="_Toc38443659"/>
      <w:bookmarkStart w:id="3783" w:name="_Toc38443989"/>
      <w:bookmarkStart w:id="3784" w:name="_Toc38438457"/>
      <w:bookmarkStart w:id="3785" w:name="_Toc38438794"/>
      <w:bookmarkStart w:id="3786" w:name="_Toc38439131"/>
      <w:bookmarkStart w:id="3787" w:name="_Toc38439468"/>
      <w:bookmarkStart w:id="3788" w:name="_Toc38439805"/>
      <w:bookmarkStart w:id="3789" w:name="_Toc38440142"/>
      <w:bookmarkStart w:id="3790" w:name="_Toc38440479"/>
      <w:bookmarkStart w:id="3791" w:name="_Toc38441011"/>
      <w:bookmarkStart w:id="3792" w:name="_Toc38441343"/>
      <w:bookmarkStart w:id="3793" w:name="_Toc38441675"/>
      <w:bookmarkStart w:id="3794" w:name="_Toc38442003"/>
      <w:bookmarkStart w:id="3795" w:name="_Toc38442335"/>
      <w:bookmarkStart w:id="3796" w:name="_Toc38442667"/>
      <w:bookmarkStart w:id="3797" w:name="_Toc38442998"/>
      <w:bookmarkStart w:id="3798" w:name="_Toc38443329"/>
      <w:bookmarkStart w:id="3799" w:name="_Toc38443660"/>
      <w:bookmarkStart w:id="3800" w:name="_Toc38443990"/>
      <w:bookmarkStart w:id="3801" w:name="_Toc38438458"/>
      <w:bookmarkStart w:id="3802" w:name="_Toc38438795"/>
      <w:bookmarkStart w:id="3803" w:name="_Toc38439132"/>
      <w:bookmarkStart w:id="3804" w:name="_Toc38439469"/>
      <w:bookmarkStart w:id="3805" w:name="_Toc38439806"/>
      <w:bookmarkStart w:id="3806" w:name="_Toc38440143"/>
      <w:bookmarkStart w:id="3807" w:name="_Toc38440480"/>
      <w:bookmarkStart w:id="3808" w:name="_Toc38441012"/>
      <w:bookmarkStart w:id="3809" w:name="_Toc38441344"/>
      <w:bookmarkStart w:id="3810" w:name="_Toc38441676"/>
      <w:bookmarkStart w:id="3811" w:name="_Toc38442004"/>
      <w:bookmarkStart w:id="3812" w:name="_Toc38442336"/>
      <w:bookmarkStart w:id="3813" w:name="_Toc38442668"/>
      <w:bookmarkStart w:id="3814" w:name="_Toc38442999"/>
      <w:bookmarkStart w:id="3815" w:name="_Toc38443330"/>
      <w:bookmarkStart w:id="3816" w:name="_Toc38443661"/>
      <w:bookmarkStart w:id="3817" w:name="_Toc38443991"/>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r w:rsidRPr="00453203">
        <w:rPr>
          <w:rFonts w:asciiTheme="minorEastAsia" w:eastAsiaTheme="minorEastAsia" w:hAnsiTheme="minorEastAsia"/>
          <w:b/>
          <w:bCs/>
        </w:rPr>
        <w:br w:type="page"/>
      </w:r>
      <w:bookmarkStart w:id="3818" w:name="_Toc34834778"/>
      <w:r w:rsidR="00B924A2" w:rsidRPr="00453203">
        <w:rPr>
          <w:rFonts w:asciiTheme="minorEastAsia" w:eastAsiaTheme="minorEastAsia" w:hAnsiTheme="minorEastAsia" w:hint="eastAsia"/>
          <w:bCs/>
        </w:rPr>
        <w:lastRenderedPageBreak/>
        <w:t>二十五</w:t>
      </w:r>
      <w:r w:rsidR="00266A27" w:rsidRPr="00453203">
        <w:rPr>
          <w:rFonts w:asciiTheme="minorEastAsia" w:eastAsiaTheme="minorEastAsia" w:hAnsiTheme="minorEastAsia" w:hint="eastAsia"/>
          <w:bCs/>
        </w:rPr>
        <w:t>、招募说明书存放及查阅方式</w:t>
      </w:r>
      <w:bookmarkEnd w:id="3818"/>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本《招募说明书》存放在基金管理人、基金托管人及基金</w:t>
      </w:r>
      <w:r w:rsidR="005657CA" w:rsidRPr="00453203">
        <w:rPr>
          <w:rFonts w:asciiTheme="minorEastAsia" w:eastAsiaTheme="minorEastAsia" w:hAnsiTheme="minorEastAsia" w:hint="eastAsia"/>
          <w:szCs w:val="21"/>
        </w:rPr>
        <w:t>销售</w:t>
      </w:r>
      <w:r w:rsidRPr="00453203">
        <w:rPr>
          <w:rFonts w:asciiTheme="minorEastAsia" w:eastAsiaTheme="minorEastAsia" w:hAnsiTheme="minorEastAsia" w:hint="eastAsia"/>
          <w:szCs w:val="21"/>
        </w:rPr>
        <w:t>机构住所，投资者可在营业时间免费查阅，也可按工本费购买复印件。</w:t>
      </w:r>
      <w:r w:rsidRPr="00453203">
        <w:rPr>
          <w:rFonts w:asciiTheme="minorEastAsia" w:eastAsiaTheme="minorEastAsia" w:hAnsiTheme="minorEastAsia"/>
          <w:szCs w:val="21"/>
        </w:rPr>
        <w:t>基金管理人和基金托管人保证</w:t>
      </w:r>
      <w:r w:rsidRPr="00453203">
        <w:rPr>
          <w:rFonts w:asciiTheme="minorEastAsia" w:eastAsiaTheme="minorEastAsia" w:hAnsiTheme="minorEastAsia" w:hint="eastAsia"/>
          <w:szCs w:val="21"/>
        </w:rPr>
        <w:t>其所提供的</w:t>
      </w:r>
      <w:r w:rsidRPr="00453203">
        <w:rPr>
          <w:rFonts w:asciiTheme="minorEastAsia" w:eastAsiaTheme="minorEastAsia" w:hAnsiTheme="minorEastAsia"/>
          <w:szCs w:val="21"/>
        </w:rPr>
        <w:t>文本的内容与所公告的内容完全一致。</w:t>
      </w:r>
    </w:p>
    <w:p w:rsidR="00266A27" w:rsidRPr="00453203" w:rsidRDefault="00266A27" w:rsidP="00741477">
      <w:pPr>
        <w:pStyle w:val="1"/>
        <w:snapToGrid w:val="0"/>
        <w:spacing w:beforeLines="0" w:afterLines="0" w:line="360" w:lineRule="auto"/>
        <w:ind w:firstLineChars="0" w:firstLine="0"/>
        <w:rPr>
          <w:rFonts w:asciiTheme="minorEastAsia" w:eastAsiaTheme="minorEastAsia" w:hAnsiTheme="minorEastAsia"/>
          <w:szCs w:val="21"/>
        </w:rPr>
      </w:pPr>
      <w:r w:rsidRPr="00453203">
        <w:rPr>
          <w:rFonts w:asciiTheme="minorEastAsia" w:eastAsiaTheme="minorEastAsia" w:hAnsiTheme="minorEastAsia"/>
          <w:b/>
        </w:rPr>
        <w:br w:type="page"/>
      </w:r>
      <w:bookmarkStart w:id="3819" w:name="_Toc34834779"/>
      <w:r w:rsidR="00B924A2" w:rsidRPr="00453203">
        <w:rPr>
          <w:rFonts w:asciiTheme="minorEastAsia" w:eastAsiaTheme="minorEastAsia" w:hAnsiTheme="minorEastAsia" w:hint="eastAsia"/>
        </w:rPr>
        <w:lastRenderedPageBreak/>
        <w:t>二十六</w:t>
      </w:r>
      <w:r w:rsidRPr="00453203">
        <w:rPr>
          <w:rFonts w:asciiTheme="minorEastAsia" w:eastAsiaTheme="minorEastAsia" w:hAnsiTheme="minorEastAsia" w:hint="eastAsia"/>
        </w:rPr>
        <w:t>、备查文件</w:t>
      </w:r>
      <w:bookmarkEnd w:id="3819"/>
    </w:p>
    <w:p w:rsidR="00266A27" w:rsidRPr="00453203" w:rsidRDefault="00266A27" w:rsidP="00643071">
      <w:pPr>
        <w:pStyle w:val="ac"/>
        <w:autoSpaceDE w:val="0"/>
        <w:autoSpaceDN w:val="0"/>
        <w:adjustRightInd w:val="0"/>
        <w:snapToGrid w:val="0"/>
        <w:spacing w:after="0" w:line="360" w:lineRule="auto"/>
        <w:ind w:firstLineChars="0"/>
        <w:rPr>
          <w:rFonts w:asciiTheme="minorEastAsia" w:eastAsiaTheme="minorEastAsia" w:hAnsiTheme="minorEastAsia"/>
        </w:rPr>
      </w:pPr>
      <w:r w:rsidRPr="00453203">
        <w:rPr>
          <w:rFonts w:asciiTheme="minorEastAsia" w:eastAsiaTheme="minorEastAsia" w:hAnsiTheme="minorEastAsia" w:hint="eastAsia"/>
        </w:rPr>
        <w:t>1</w:t>
      </w:r>
      <w:r w:rsidR="00C764B9" w:rsidRPr="00453203">
        <w:rPr>
          <w:rFonts w:asciiTheme="minorEastAsia" w:eastAsiaTheme="minorEastAsia" w:hAnsiTheme="minorEastAsia" w:hint="eastAsia"/>
        </w:rPr>
        <w:t>、</w:t>
      </w:r>
      <w:r w:rsidRPr="00453203">
        <w:rPr>
          <w:rFonts w:asciiTheme="minorEastAsia" w:eastAsiaTheme="minorEastAsia" w:hAnsiTheme="minorEastAsia" w:hint="eastAsia"/>
        </w:rPr>
        <w:t>中国证监会核准</w:t>
      </w:r>
      <w:r w:rsidR="00DA4AC8" w:rsidRPr="00453203">
        <w:rPr>
          <w:rFonts w:asciiTheme="minorEastAsia" w:eastAsiaTheme="minorEastAsia" w:hAnsiTheme="minorEastAsia" w:cs="宋体" w:hint="eastAsia"/>
        </w:rPr>
        <w:t>易方达</w:t>
      </w:r>
      <w:r w:rsidR="00A741AA" w:rsidRPr="00453203">
        <w:rPr>
          <w:rFonts w:asciiTheme="minorEastAsia" w:eastAsiaTheme="minorEastAsia" w:hAnsiTheme="minorEastAsia" w:cs="宋体" w:hint="eastAsia"/>
        </w:rPr>
        <w:t>创业板</w:t>
      </w:r>
      <w:r w:rsidR="00DA4AC8" w:rsidRPr="00453203">
        <w:rPr>
          <w:rFonts w:asciiTheme="minorEastAsia" w:eastAsiaTheme="minorEastAsia" w:hAnsiTheme="minorEastAsia" w:cs="宋体" w:hint="eastAsia"/>
        </w:rPr>
        <w:t>交易型开放式指数证券投资基金联接基金</w:t>
      </w:r>
      <w:r w:rsidRPr="00453203">
        <w:rPr>
          <w:rFonts w:asciiTheme="minorEastAsia" w:eastAsiaTheme="minorEastAsia" w:hAnsiTheme="minorEastAsia" w:hint="eastAsia"/>
        </w:rPr>
        <w:t>募集的文件；</w:t>
      </w:r>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2</w:t>
      </w:r>
      <w:r w:rsidR="00C764B9"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w:t>
      </w:r>
      <w:r w:rsidR="00DA4AC8" w:rsidRPr="00453203">
        <w:rPr>
          <w:rFonts w:asciiTheme="minorEastAsia" w:eastAsiaTheme="minorEastAsia" w:hAnsiTheme="minorEastAsia" w:hint="eastAsia"/>
          <w:szCs w:val="21"/>
        </w:rPr>
        <w:t>易方达</w:t>
      </w:r>
      <w:r w:rsidR="00A741AA" w:rsidRPr="00453203">
        <w:rPr>
          <w:rFonts w:asciiTheme="minorEastAsia" w:eastAsiaTheme="minorEastAsia" w:hAnsiTheme="minorEastAsia" w:hint="eastAsia"/>
          <w:szCs w:val="21"/>
        </w:rPr>
        <w:t>创业板</w:t>
      </w:r>
      <w:r w:rsidR="00DA4AC8" w:rsidRPr="00453203">
        <w:rPr>
          <w:rFonts w:asciiTheme="minorEastAsia" w:eastAsiaTheme="minorEastAsia" w:hAnsiTheme="minorEastAsia" w:hint="eastAsia"/>
          <w:szCs w:val="21"/>
        </w:rPr>
        <w:t>交易型开放式指数证券投资基金联接基金</w:t>
      </w:r>
      <w:r w:rsidRPr="00453203">
        <w:rPr>
          <w:rFonts w:asciiTheme="minorEastAsia" w:eastAsiaTheme="minorEastAsia" w:hAnsiTheme="minorEastAsia" w:hint="eastAsia"/>
          <w:szCs w:val="21"/>
        </w:rPr>
        <w:t>基金合同》；</w:t>
      </w:r>
    </w:p>
    <w:p w:rsidR="00266A27" w:rsidRPr="00453203" w:rsidRDefault="00266A27" w:rsidP="00643071">
      <w:pPr>
        <w:pStyle w:val="ac"/>
        <w:autoSpaceDE w:val="0"/>
        <w:autoSpaceDN w:val="0"/>
        <w:adjustRightInd w:val="0"/>
        <w:snapToGrid w:val="0"/>
        <w:spacing w:after="0" w:line="360" w:lineRule="auto"/>
        <w:ind w:firstLineChars="0"/>
        <w:rPr>
          <w:rFonts w:asciiTheme="minorEastAsia" w:eastAsiaTheme="minorEastAsia" w:hAnsiTheme="minorEastAsia"/>
        </w:rPr>
      </w:pPr>
      <w:r w:rsidRPr="00453203">
        <w:rPr>
          <w:rFonts w:asciiTheme="minorEastAsia" w:eastAsiaTheme="minorEastAsia" w:hAnsiTheme="minorEastAsia" w:hint="eastAsia"/>
        </w:rPr>
        <w:t>3</w:t>
      </w:r>
      <w:r w:rsidR="00C764B9" w:rsidRPr="00453203">
        <w:rPr>
          <w:rFonts w:asciiTheme="minorEastAsia" w:eastAsiaTheme="minorEastAsia" w:hAnsiTheme="minorEastAsia" w:hint="eastAsia"/>
        </w:rPr>
        <w:t>、</w:t>
      </w:r>
      <w:r w:rsidRPr="00453203">
        <w:rPr>
          <w:rFonts w:asciiTheme="minorEastAsia" w:eastAsiaTheme="minorEastAsia" w:hAnsiTheme="minorEastAsia" w:hint="eastAsia"/>
        </w:rPr>
        <w:t>《易方达基金管理有限公司开放式基金业务规则》；</w:t>
      </w:r>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4</w:t>
      </w:r>
      <w:r w:rsidR="00C764B9"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w:t>
      </w:r>
      <w:r w:rsidR="00DA4AC8" w:rsidRPr="00453203">
        <w:rPr>
          <w:rFonts w:asciiTheme="minorEastAsia" w:eastAsiaTheme="minorEastAsia" w:hAnsiTheme="minorEastAsia" w:hint="eastAsia"/>
          <w:szCs w:val="21"/>
        </w:rPr>
        <w:t>易方达</w:t>
      </w:r>
      <w:r w:rsidR="00A741AA" w:rsidRPr="00453203">
        <w:rPr>
          <w:rFonts w:asciiTheme="minorEastAsia" w:eastAsiaTheme="minorEastAsia" w:hAnsiTheme="minorEastAsia" w:hint="eastAsia"/>
          <w:szCs w:val="21"/>
        </w:rPr>
        <w:t>创业板</w:t>
      </w:r>
      <w:r w:rsidR="00DA4AC8" w:rsidRPr="00453203">
        <w:rPr>
          <w:rFonts w:asciiTheme="minorEastAsia" w:eastAsiaTheme="minorEastAsia" w:hAnsiTheme="minorEastAsia" w:hint="eastAsia"/>
          <w:szCs w:val="21"/>
        </w:rPr>
        <w:t>交易型开放式指数证券投资基金联接基金</w:t>
      </w:r>
      <w:r w:rsidRPr="00453203">
        <w:rPr>
          <w:rFonts w:asciiTheme="minorEastAsia" w:eastAsiaTheme="minorEastAsia" w:hAnsiTheme="minorEastAsia" w:hint="eastAsia"/>
          <w:szCs w:val="21"/>
        </w:rPr>
        <w:t>托管协议》；</w:t>
      </w:r>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szCs w:val="21"/>
        </w:rPr>
        <w:t>5</w:t>
      </w:r>
      <w:r w:rsidR="00C764B9"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法律意见书；</w:t>
      </w:r>
    </w:p>
    <w:p w:rsidR="00266A27" w:rsidRPr="00453203" w:rsidRDefault="00266A27"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6</w:t>
      </w:r>
      <w:r w:rsidR="00C764B9"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基金管理人业务资格批件和营业执照；</w:t>
      </w:r>
    </w:p>
    <w:p w:rsidR="00266A27" w:rsidRPr="00453203" w:rsidRDefault="00266A27" w:rsidP="00643071">
      <w:pPr>
        <w:snapToGrid w:val="0"/>
        <w:spacing w:line="360" w:lineRule="auto"/>
        <w:ind w:firstLine="420"/>
        <w:rPr>
          <w:rFonts w:asciiTheme="minorEastAsia" w:eastAsiaTheme="minorEastAsia" w:hAnsiTheme="minorEastAsia"/>
          <w:szCs w:val="21"/>
        </w:rPr>
      </w:pPr>
      <w:r w:rsidRPr="00453203">
        <w:rPr>
          <w:rFonts w:asciiTheme="minorEastAsia" w:eastAsiaTheme="minorEastAsia" w:hAnsiTheme="minorEastAsia" w:hint="eastAsia"/>
          <w:szCs w:val="21"/>
        </w:rPr>
        <w:t>7</w:t>
      </w:r>
      <w:r w:rsidR="00C764B9" w:rsidRPr="00453203">
        <w:rPr>
          <w:rFonts w:asciiTheme="minorEastAsia" w:eastAsiaTheme="minorEastAsia" w:hAnsiTheme="minorEastAsia" w:hint="eastAsia"/>
          <w:szCs w:val="21"/>
        </w:rPr>
        <w:t>、</w:t>
      </w:r>
      <w:r w:rsidRPr="00453203">
        <w:rPr>
          <w:rFonts w:asciiTheme="minorEastAsia" w:eastAsiaTheme="minorEastAsia" w:hAnsiTheme="minorEastAsia" w:hint="eastAsia"/>
          <w:szCs w:val="21"/>
        </w:rPr>
        <w:t>基金托管人业务资格批件和营业执照。</w:t>
      </w:r>
    </w:p>
    <w:p w:rsidR="00266A27" w:rsidRPr="00453203" w:rsidRDefault="00266A27" w:rsidP="00643071">
      <w:pPr>
        <w:snapToGrid w:val="0"/>
        <w:spacing w:line="360" w:lineRule="auto"/>
        <w:ind w:firstLineChars="200" w:firstLine="420"/>
        <w:rPr>
          <w:rFonts w:asciiTheme="minorEastAsia" w:eastAsiaTheme="minorEastAsia" w:hAnsiTheme="minorEastAsia"/>
        </w:rPr>
      </w:pPr>
      <w:r w:rsidRPr="00453203">
        <w:rPr>
          <w:rFonts w:asciiTheme="minorEastAsia" w:eastAsiaTheme="minorEastAsia" w:hAnsiTheme="minorEastAsia" w:hint="eastAsia"/>
        </w:rPr>
        <w:t>存放地点：基金管理人、基金托管人处</w:t>
      </w:r>
    </w:p>
    <w:p w:rsidR="00266A27" w:rsidRPr="00453203" w:rsidRDefault="00266A27" w:rsidP="00643071">
      <w:pPr>
        <w:snapToGrid w:val="0"/>
        <w:spacing w:line="360" w:lineRule="auto"/>
        <w:ind w:firstLineChars="200" w:firstLine="420"/>
        <w:rPr>
          <w:rFonts w:asciiTheme="minorEastAsia" w:eastAsiaTheme="minorEastAsia" w:hAnsiTheme="minorEastAsia"/>
          <w:szCs w:val="21"/>
        </w:rPr>
      </w:pPr>
      <w:r w:rsidRPr="00453203">
        <w:rPr>
          <w:rFonts w:asciiTheme="minorEastAsia" w:eastAsiaTheme="minorEastAsia" w:hAnsiTheme="minorEastAsia" w:hint="eastAsia"/>
        </w:rPr>
        <w:t>查阅方式：投资者可在营业时间免费查阅，也可按工本费购买复印件。</w:t>
      </w:r>
    </w:p>
    <w:p w:rsidR="00266A27" w:rsidRPr="00453203" w:rsidRDefault="00266A27" w:rsidP="00643071">
      <w:pPr>
        <w:snapToGrid w:val="0"/>
        <w:spacing w:line="360" w:lineRule="auto"/>
        <w:ind w:left="480"/>
        <w:rPr>
          <w:rFonts w:asciiTheme="minorEastAsia" w:eastAsiaTheme="minorEastAsia" w:hAnsiTheme="minorEastAsia"/>
          <w:szCs w:val="21"/>
        </w:rPr>
      </w:pPr>
    </w:p>
    <w:p w:rsidR="00304A3C" w:rsidRPr="00453203" w:rsidRDefault="00304A3C" w:rsidP="00643071">
      <w:pPr>
        <w:snapToGrid w:val="0"/>
        <w:spacing w:line="360" w:lineRule="auto"/>
        <w:ind w:left="480"/>
        <w:rPr>
          <w:rFonts w:asciiTheme="minorEastAsia" w:eastAsiaTheme="minorEastAsia" w:hAnsiTheme="minorEastAsia"/>
          <w:szCs w:val="21"/>
        </w:rPr>
      </w:pPr>
    </w:p>
    <w:p w:rsidR="001C1860" w:rsidRPr="00453203" w:rsidRDefault="001C1860" w:rsidP="00643071">
      <w:pPr>
        <w:snapToGrid w:val="0"/>
        <w:spacing w:line="360" w:lineRule="auto"/>
        <w:ind w:left="360" w:firstLine="480"/>
        <w:jc w:val="right"/>
        <w:rPr>
          <w:rFonts w:asciiTheme="minorEastAsia" w:eastAsiaTheme="minorEastAsia" w:hAnsiTheme="minorEastAsia"/>
        </w:rPr>
      </w:pPr>
    </w:p>
    <w:p w:rsidR="008E5F92" w:rsidRPr="00453203" w:rsidRDefault="008E5F92" w:rsidP="00643071">
      <w:pPr>
        <w:snapToGrid w:val="0"/>
        <w:spacing w:line="360" w:lineRule="auto"/>
        <w:ind w:firstLineChars="200" w:firstLine="420"/>
        <w:jc w:val="right"/>
        <w:rPr>
          <w:rFonts w:asciiTheme="minorEastAsia" w:eastAsiaTheme="minorEastAsia" w:hAnsiTheme="minorEastAsia"/>
          <w:szCs w:val="21"/>
        </w:rPr>
      </w:pPr>
      <w:r w:rsidRPr="00453203">
        <w:rPr>
          <w:rFonts w:asciiTheme="minorEastAsia" w:eastAsiaTheme="minorEastAsia" w:hAnsiTheme="minorEastAsia" w:hint="eastAsia"/>
          <w:szCs w:val="21"/>
        </w:rPr>
        <w:t>易方达基金管理有限公司</w:t>
      </w:r>
    </w:p>
    <w:p w:rsidR="00266A27" w:rsidRPr="00453203" w:rsidRDefault="00480112" w:rsidP="00304A3C">
      <w:pPr>
        <w:wordWrap w:val="0"/>
        <w:snapToGrid w:val="0"/>
        <w:spacing w:line="360" w:lineRule="auto"/>
        <w:ind w:right="315" w:firstLineChars="200" w:firstLine="420"/>
        <w:jc w:val="right"/>
        <w:rPr>
          <w:rFonts w:asciiTheme="minorEastAsia" w:eastAsiaTheme="minorEastAsia" w:hAnsiTheme="minorEastAsia"/>
        </w:rPr>
      </w:pPr>
      <w:r w:rsidRPr="00453203">
        <w:rPr>
          <w:rFonts w:asciiTheme="minorEastAsia" w:eastAsiaTheme="minorEastAsia" w:hAnsiTheme="minorEastAsia"/>
        </w:rPr>
        <w:t>2020年</w:t>
      </w:r>
      <w:r w:rsidR="009E32B5" w:rsidRPr="00453203">
        <w:rPr>
          <w:rFonts w:asciiTheme="minorEastAsia" w:eastAsiaTheme="minorEastAsia" w:hAnsiTheme="minorEastAsia"/>
        </w:rPr>
        <w:t>3</w:t>
      </w:r>
      <w:r w:rsidRPr="00453203">
        <w:rPr>
          <w:rFonts w:asciiTheme="minorEastAsia" w:eastAsiaTheme="minorEastAsia" w:hAnsiTheme="minorEastAsia"/>
        </w:rPr>
        <w:t>月</w:t>
      </w:r>
      <w:r w:rsidR="00CF48BC" w:rsidRPr="00453203">
        <w:rPr>
          <w:rFonts w:asciiTheme="minorEastAsia" w:eastAsiaTheme="minorEastAsia" w:hAnsiTheme="minorEastAsia"/>
        </w:rPr>
        <w:t>12</w:t>
      </w:r>
      <w:r w:rsidRPr="00453203">
        <w:rPr>
          <w:rFonts w:asciiTheme="minorEastAsia" w:eastAsiaTheme="minorEastAsia" w:hAnsiTheme="minorEastAsia"/>
        </w:rPr>
        <w:t>日</w:t>
      </w:r>
    </w:p>
    <w:sectPr w:rsidR="00266A27" w:rsidRPr="00453203" w:rsidSect="00F67DBE">
      <w:pgSz w:w="11907" w:h="16840" w:code="9"/>
      <w:pgMar w:top="1701" w:right="1814" w:bottom="1701" w:left="1814" w:header="1134" w:footer="1247"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38" w:rsidRDefault="00BE6438">
      <w:r>
        <w:separator/>
      </w:r>
    </w:p>
  </w:endnote>
  <w:endnote w:type="continuationSeparator" w:id="0">
    <w:p w:rsidR="00BE6438" w:rsidRDefault="00BE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肆">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ˎ̥">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1B" w:rsidRDefault="0004701B" w:rsidP="00FB0BAF">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end"/>
    </w:r>
  </w:p>
  <w:p w:rsidR="0004701B" w:rsidRDefault="0004701B" w:rsidP="00B03ED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1B" w:rsidRDefault="0004701B" w:rsidP="00955625">
    <w:pPr>
      <w:pStyle w:val="a5"/>
      <w:ind w:firstLineChars="2250" w:firstLine="40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1B" w:rsidRDefault="0004701B" w:rsidP="003235CF">
    <w:pPr>
      <w:pStyle w:val="a5"/>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1B" w:rsidRDefault="0004701B" w:rsidP="00955625">
    <w:pPr>
      <w:pStyle w:val="a5"/>
      <w:ind w:firstLineChars="2250" w:firstLine="4050"/>
    </w:pPr>
    <w:r>
      <w:fldChar w:fldCharType="begin"/>
    </w:r>
    <w:r>
      <w:instrText xml:space="preserve"> PAGE   \* MERGEFORMAT </w:instrText>
    </w:r>
    <w:r>
      <w:fldChar w:fldCharType="separate"/>
    </w:r>
    <w:r w:rsidR="00453203" w:rsidRPr="00453203">
      <w:rPr>
        <w:noProof/>
        <w:lang w:val="zh-CN"/>
      </w:rPr>
      <w:t>118</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1B" w:rsidRDefault="0004701B" w:rsidP="003235CF">
    <w:pPr>
      <w:pStyle w:val="a5"/>
      <w:ind w:firstLine="360"/>
      <w:jc w:val="center"/>
    </w:pPr>
    <w:r>
      <w:fldChar w:fldCharType="begin"/>
    </w:r>
    <w:r>
      <w:instrText xml:space="preserve"> PAGE   \* MERGEFORMAT </w:instrText>
    </w:r>
    <w:r>
      <w:fldChar w:fldCharType="separate"/>
    </w:r>
    <w:r w:rsidR="00453203" w:rsidRPr="00453203">
      <w:rPr>
        <w:noProof/>
        <w:lang w:val="zh-CN"/>
      </w:rPr>
      <w:t>I</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38" w:rsidRDefault="00BE6438">
      <w:r>
        <w:separator/>
      </w:r>
    </w:p>
  </w:footnote>
  <w:footnote w:type="continuationSeparator" w:id="0">
    <w:p w:rsidR="00BE6438" w:rsidRDefault="00BE6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1B" w:rsidRDefault="0004701B" w:rsidP="00B03ED7">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1B" w:rsidRDefault="0004701B" w:rsidP="00310B55">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1B" w:rsidRDefault="0004701B" w:rsidP="0075172F">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4E16"/>
    <w:multiLevelType w:val="hybridMultilevel"/>
    <w:tmpl w:val="BB567168"/>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6E3396D"/>
    <w:multiLevelType w:val="hybridMultilevel"/>
    <w:tmpl w:val="910CE3CA"/>
    <w:lvl w:ilvl="0" w:tplc="271E205C">
      <w:start w:val="1"/>
      <w:numFmt w:val="decimal"/>
      <w:lvlText w:val="（%1）"/>
      <w:lvlJc w:val="left"/>
      <w:pPr>
        <w:tabs>
          <w:tab w:val="num" w:pos="1123"/>
        </w:tabs>
        <w:ind w:left="1123" w:hanging="567"/>
      </w:pPr>
      <w:rPr>
        <w:rFonts w:hint="eastAsia"/>
      </w:rPr>
    </w:lvl>
    <w:lvl w:ilvl="1" w:tplc="04090019" w:tentative="1">
      <w:start w:val="1"/>
      <w:numFmt w:val="lowerLetter"/>
      <w:lvlText w:val="%2)"/>
      <w:lvlJc w:val="left"/>
      <w:pPr>
        <w:tabs>
          <w:tab w:val="num" w:pos="1112"/>
        </w:tabs>
        <w:ind w:left="1112" w:hanging="420"/>
      </w:pPr>
    </w:lvl>
    <w:lvl w:ilvl="2" w:tplc="0409001B" w:tentative="1">
      <w:start w:val="1"/>
      <w:numFmt w:val="lowerRoman"/>
      <w:lvlText w:val="%3."/>
      <w:lvlJc w:val="right"/>
      <w:pPr>
        <w:tabs>
          <w:tab w:val="num" w:pos="1532"/>
        </w:tabs>
        <w:ind w:left="1532" w:hanging="420"/>
      </w:pPr>
    </w:lvl>
    <w:lvl w:ilvl="3" w:tplc="0409000F" w:tentative="1">
      <w:start w:val="1"/>
      <w:numFmt w:val="decimal"/>
      <w:lvlText w:val="%4."/>
      <w:lvlJc w:val="left"/>
      <w:pPr>
        <w:tabs>
          <w:tab w:val="num" w:pos="1952"/>
        </w:tabs>
        <w:ind w:left="1952" w:hanging="420"/>
      </w:pPr>
    </w:lvl>
    <w:lvl w:ilvl="4" w:tplc="04090019" w:tentative="1">
      <w:start w:val="1"/>
      <w:numFmt w:val="lowerLetter"/>
      <w:lvlText w:val="%5)"/>
      <w:lvlJc w:val="left"/>
      <w:pPr>
        <w:tabs>
          <w:tab w:val="num" w:pos="2372"/>
        </w:tabs>
        <w:ind w:left="2372" w:hanging="420"/>
      </w:pPr>
    </w:lvl>
    <w:lvl w:ilvl="5" w:tplc="0409001B" w:tentative="1">
      <w:start w:val="1"/>
      <w:numFmt w:val="lowerRoman"/>
      <w:lvlText w:val="%6."/>
      <w:lvlJc w:val="right"/>
      <w:pPr>
        <w:tabs>
          <w:tab w:val="num" w:pos="2792"/>
        </w:tabs>
        <w:ind w:left="2792" w:hanging="420"/>
      </w:pPr>
    </w:lvl>
    <w:lvl w:ilvl="6" w:tplc="0409000F" w:tentative="1">
      <w:start w:val="1"/>
      <w:numFmt w:val="decimal"/>
      <w:lvlText w:val="%7."/>
      <w:lvlJc w:val="left"/>
      <w:pPr>
        <w:tabs>
          <w:tab w:val="num" w:pos="3212"/>
        </w:tabs>
        <w:ind w:left="3212" w:hanging="420"/>
      </w:pPr>
    </w:lvl>
    <w:lvl w:ilvl="7" w:tplc="04090019" w:tentative="1">
      <w:start w:val="1"/>
      <w:numFmt w:val="lowerLetter"/>
      <w:lvlText w:val="%8)"/>
      <w:lvlJc w:val="left"/>
      <w:pPr>
        <w:tabs>
          <w:tab w:val="num" w:pos="3632"/>
        </w:tabs>
        <w:ind w:left="3632" w:hanging="420"/>
      </w:pPr>
    </w:lvl>
    <w:lvl w:ilvl="8" w:tplc="0409001B" w:tentative="1">
      <w:start w:val="1"/>
      <w:numFmt w:val="lowerRoman"/>
      <w:lvlText w:val="%9."/>
      <w:lvlJc w:val="right"/>
      <w:pPr>
        <w:tabs>
          <w:tab w:val="num" w:pos="4052"/>
        </w:tabs>
        <w:ind w:left="4052" w:hanging="420"/>
      </w:pPr>
    </w:lvl>
  </w:abstractNum>
  <w:abstractNum w:abstractNumId="2"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4" w15:restartNumberingAfterBreak="0">
    <w:nsid w:val="37E46BB2"/>
    <w:multiLevelType w:val="hybridMultilevel"/>
    <w:tmpl w:val="A3F4567C"/>
    <w:lvl w:ilvl="0" w:tplc="11543A86">
      <w:start w:val="1"/>
      <w:numFmt w:val="decimal"/>
      <w:lvlText w:val="%1、"/>
      <w:lvlJc w:val="left"/>
      <w:pPr>
        <w:tabs>
          <w:tab w:val="num" w:pos="780"/>
        </w:tabs>
        <w:ind w:left="0" w:firstLine="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3EB22A3"/>
    <w:multiLevelType w:val="hybridMultilevel"/>
    <w:tmpl w:val="07048256"/>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48DEE0DC">
      <w:start w:val="1"/>
      <w:numFmt w:val="japaneseCounting"/>
      <w:lvlText w:val="%4、"/>
      <w:lvlJc w:val="left"/>
      <w:pPr>
        <w:tabs>
          <w:tab w:val="num" w:pos="1680"/>
        </w:tabs>
        <w:ind w:left="1680" w:hanging="420"/>
      </w:pPr>
      <w:rPr>
        <w:rFonts w:hint="default"/>
      </w:rPr>
    </w:lvl>
    <w:lvl w:ilvl="4" w:tplc="825A4F8A">
      <w:start w:val="2"/>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6732404"/>
    <w:multiLevelType w:val="multilevel"/>
    <w:tmpl w:val="CDC0E6D0"/>
    <w:lvl w:ilvl="0">
      <w:start w:val="1"/>
      <w:numFmt w:val="japaneseCounting"/>
      <w:pStyle w:val="ParaChar"/>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9"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10"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F194871"/>
    <w:multiLevelType w:val="hybridMultilevel"/>
    <w:tmpl w:val="CD6057B2"/>
    <w:lvl w:ilvl="0" w:tplc="271E205C">
      <w:start w:val="1"/>
      <w:numFmt w:val="decimal"/>
      <w:lvlText w:val="（%1）"/>
      <w:lvlJc w:val="left"/>
      <w:pPr>
        <w:tabs>
          <w:tab w:val="num" w:pos="987"/>
        </w:tabs>
        <w:ind w:left="987" w:hanging="567"/>
      </w:pPr>
      <w:rPr>
        <w:rFonts w:hint="eastAsia"/>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num w:numId="1">
    <w:abstractNumId w:val="2"/>
  </w:num>
  <w:num w:numId="2">
    <w:abstractNumId w:val="3"/>
  </w:num>
  <w:num w:numId="3">
    <w:abstractNumId w:val="8"/>
  </w:num>
  <w:num w:numId="4">
    <w:abstractNumId w:val="5"/>
  </w:num>
  <w:num w:numId="5">
    <w:abstractNumId w:val="4"/>
  </w:num>
  <w:num w:numId="6">
    <w:abstractNumId w:val="7"/>
  </w:num>
  <w:num w:numId="7">
    <w:abstractNumId w:val="11"/>
  </w:num>
  <w:num w:numId="8">
    <w:abstractNumId w:val="9"/>
  </w:num>
  <w:num w:numId="9">
    <w:abstractNumId w:val="6"/>
  </w:num>
  <w:num w:numId="10">
    <w:abstractNumId w:val="10"/>
  </w:num>
  <w:num w:numId="11">
    <w:abstractNumId w:val="0"/>
  </w:num>
  <w:num w:numId="12">
    <w:abstractNumId w:val="1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04A9"/>
    <w:rsid w:val="00000A48"/>
    <w:rsid w:val="0000156A"/>
    <w:rsid w:val="000023B1"/>
    <w:rsid w:val="000032AF"/>
    <w:rsid w:val="00003BBE"/>
    <w:rsid w:val="00003E54"/>
    <w:rsid w:val="00005A46"/>
    <w:rsid w:val="00006B1D"/>
    <w:rsid w:val="00007E82"/>
    <w:rsid w:val="00010025"/>
    <w:rsid w:val="000104A9"/>
    <w:rsid w:val="00010E0F"/>
    <w:rsid w:val="0001154C"/>
    <w:rsid w:val="0001201A"/>
    <w:rsid w:val="00012F88"/>
    <w:rsid w:val="000131AA"/>
    <w:rsid w:val="00013EF0"/>
    <w:rsid w:val="0001590E"/>
    <w:rsid w:val="00015A6A"/>
    <w:rsid w:val="00015FE3"/>
    <w:rsid w:val="00016ED4"/>
    <w:rsid w:val="00016FD4"/>
    <w:rsid w:val="00017BB8"/>
    <w:rsid w:val="00020661"/>
    <w:rsid w:val="00025219"/>
    <w:rsid w:val="0002683F"/>
    <w:rsid w:val="00027B7A"/>
    <w:rsid w:val="00027EF9"/>
    <w:rsid w:val="00030042"/>
    <w:rsid w:val="00031415"/>
    <w:rsid w:val="00032921"/>
    <w:rsid w:val="000339EF"/>
    <w:rsid w:val="00034634"/>
    <w:rsid w:val="0003472A"/>
    <w:rsid w:val="00035C0E"/>
    <w:rsid w:val="00035FC1"/>
    <w:rsid w:val="00036A9A"/>
    <w:rsid w:val="00036FD8"/>
    <w:rsid w:val="00040927"/>
    <w:rsid w:val="000416F2"/>
    <w:rsid w:val="000423FE"/>
    <w:rsid w:val="0004249F"/>
    <w:rsid w:val="00042726"/>
    <w:rsid w:val="00044413"/>
    <w:rsid w:val="000444A2"/>
    <w:rsid w:val="0004558A"/>
    <w:rsid w:val="00045EED"/>
    <w:rsid w:val="000469F5"/>
    <w:rsid w:val="000469FB"/>
    <w:rsid w:val="0004701B"/>
    <w:rsid w:val="000473CA"/>
    <w:rsid w:val="00047B41"/>
    <w:rsid w:val="00051CF9"/>
    <w:rsid w:val="0005338B"/>
    <w:rsid w:val="00054674"/>
    <w:rsid w:val="00055C33"/>
    <w:rsid w:val="0005633F"/>
    <w:rsid w:val="00057FC1"/>
    <w:rsid w:val="00060389"/>
    <w:rsid w:val="00060DA9"/>
    <w:rsid w:val="000621DB"/>
    <w:rsid w:val="00063253"/>
    <w:rsid w:val="00063945"/>
    <w:rsid w:val="00063DFF"/>
    <w:rsid w:val="00065AD8"/>
    <w:rsid w:val="000666F0"/>
    <w:rsid w:val="00066B77"/>
    <w:rsid w:val="0006793E"/>
    <w:rsid w:val="0007127D"/>
    <w:rsid w:val="00071708"/>
    <w:rsid w:val="000717DA"/>
    <w:rsid w:val="000719F3"/>
    <w:rsid w:val="00072174"/>
    <w:rsid w:val="00073464"/>
    <w:rsid w:val="00074F68"/>
    <w:rsid w:val="00075E19"/>
    <w:rsid w:val="00076AAF"/>
    <w:rsid w:val="0008201E"/>
    <w:rsid w:val="000838AE"/>
    <w:rsid w:val="00084404"/>
    <w:rsid w:val="0008508A"/>
    <w:rsid w:val="00085BDB"/>
    <w:rsid w:val="00087737"/>
    <w:rsid w:val="00090628"/>
    <w:rsid w:val="00090B6A"/>
    <w:rsid w:val="00090CC9"/>
    <w:rsid w:val="0009110A"/>
    <w:rsid w:val="00091191"/>
    <w:rsid w:val="000911C1"/>
    <w:rsid w:val="000925D0"/>
    <w:rsid w:val="00092CDA"/>
    <w:rsid w:val="00093150"/>
    <w:rsid w:val="000933A1"/>
    <w:rsid w:val="000947A5"/>
    <w:rsid w:val="000948D7"/>
    <w:rsid w:val="00095455"/>
    <w:rsid w:val="00095877"/>
    <w:rsid w:val="0009600D"/>
    <w:rsid w:val="0009615A"/>
    <w:rsid w:val="00097A4A"/>
    <w:rsid w:val="00097BBA"/>
    <w:rsid w:val="000A21DD"/>
    <w:rsid w:val="000A29F2"/>
    <w:rsid w:val="000A3186"/>
    <w:rsid w:val="000A4378"/>
    <w:rsid w:val="000A4F2F"/>
    <w:rsid w:val="000A5AEC"/>
    <w:rsid w:val="000A6D93"/>
    <w:rsid w:val="000B0906"/>
    <w:rsid w:val="000B0995"/>
    <w:rsid w:val="000B10A3"/>
    <w:rsid w:val="000B1992"/>
    <w:rsid w:val="000B1F95"/>
    <w:rsid w:val="000B2313"/>
    <w:rsid w:val="000B2854"/>
    <w:rsid w:val="000B2893"/>
    <w:rsid w:val="000B2AE9"/>
    <w:rsid w:val="000B32D2"/>
    <w:rsid w:val="000B41F6"/>
    <w:rsid w:val="000B4230"/>
    <w:rsid w:val="000B5C32"/>
    <w:rsid w:val="000C0229"/>
    <w:rsid w:val="000C037A"/>
    <w:rsid w:val="000C05F4"/>
    <w:rsid w:val="000C08F5"/>
    <w:rsid w:val="000C0B86"/>
    <w:rsid w:val="000C3041"/>
    <w:rsid w:val="000C3043"/>
    <w:rsid w:val="000C36CA"/>
    <w:rsid w:val="000C40BC"/>
    <w:rsid w:val="000C6FCD"/>
    <w:rsid w:val="000C7648"/>
    <w:rsid w:val="000C7D3E"/>
    <w:rsid w:val="000D2174"/>
    <w:rsid w:val="000D2504"/>
    <w:rsid w:val="000D6266"/>
    <w:rsid w:val="000D6791"/>
    <w:rsid w:val="000D7359"/>
    <w:rsid w:val="000E06D3"/>
    <w:rsid w:val="000E16BA"/>
    <w:rsid w:val="000E215D"/>
    <w:rsid w:val="000E23DE"/>
    <w:rsid w:val="000E3DC7"/>
    <w:rsid w:val="000E3EBB"/>
    <w:rsid w:val="000E42BE"/>
    <w:rsid w:val="000E7861"/>
    <w:rsid w:val="000E7A48"/>
    <w:rsid w:val="000E7DC9"/>
    <w:rsid w:val="000E7EDA"/>
    <w:rsid w:val="000F0E92"/>
    <w:rsid w:val="000F289B"/>
    <w:rsid w:val="000F2D5D"/>
    <w:rsid w:val="000F3201"/>
    <w:rsid w:val="000F3203"/>
    <w:rsid w:val="000F4071"/>
    <w:rsid w:val="000F5CAA"/>
    <w:rsid w:val="000F6AE9"/>
    <w:rsid w:val="000F7A80"/>
    <w:rsid w:val="001013F5"/>
    <w:rsid w:val="00101478"/>
    <w:rsid w:val="00102336"/>
    <w:rsid w:val="00102473"/>
    <w:rsid w:val="0010313F"/>
    <w:rsid w:val="00103876"/>
    <w:rsid w:val="00104713"/>
    <w:rsid w:val="00105D74"/>
    <w:rsid w:val="00106051"/>
    <w:rsid w:val="00106CFC"/>
    <w:rsid w:val="00110EFD"/>
    <w:rsid w:val="0011112E"/>
    <w:rsid w:val="00111309"/>
    <w:rsid w:val="0011137B"/>
    <w:rsid w:val="00111751"/>
    <w:rsid w:val="0011526E"/>
    <w:rsid w:val="00116480"/>
    <w:rsid w:val="00117088"/>
    <w:rsid w:val="0012033C"/>
    <w:rsid w:val="00120787"/>
    <w:rsid w:val="00122748"/>
    <w:rsid w:val="00124017"/>
    <w:rsid w:val="00125513"/>
    <w:rsid w:val="00131E45"/>
    <w:rsid w:val="001323D4"/>
    <w:rsid w:val="00132BE5"/>
    <w:rsid w:val="001349C8"/>
    <w:rsid w:val="00134AEA"/>
    <w:rsid w:val="00134ECD"/>
    <w:rsid w:val="0013544A"/>
    <w:rsid w:val="00135A6F"/>
    <w:rsid w:val="00135FC3"/>
    <w:rsid w:val="00137C58"/>
    <w:rsid w:val="00140EC6"/>
    <w:rsid w:val="00141165"/>
    <w:rsid w:val="00141EEB"/>
    <w:rsid w:val="0014285E"/>
    <w:rsid w:val="00142AE5"/>
    <w:rsid w:val="00143470"/>
    <w:rsid w:val="001437EE"/>
    <w:rsid w:val="0014382F"/>
    <w:rsid w:val="00144110"/>
    <w:rsid w:val="0014584F"/>
    <w:rsid w:val="00146206"/>
    <w:rsid w:val="00147470"/>
    <w:rsid w:val="00147E67"/>
    <w:rsid w:val="00150865"/>
    <w:rsid w:val="001516AC"/>
    <w:rsid w:val="0015204A"/>
    <w:rsid w:val="00152CFC"/>
    <w:rsid w:val="00154B40"/>
    <w:rsid w:val="00154CDC"/>
    <w:rsid w:val="001552C6"/>
    <w:rsid w:val="001569A0"/>
    <w:rsid w:val="00156F88"/>
    <w:rsid w:val="0015704C"/>
    <w:rsid w:val="001603F6"/>
    <w:rsid w:val="0016087F"/>
    <w:rsid w:val="001627B8"/>
    <w:rsid w:val="001640C7"/>
    <w:rsid w:val="00164675"/>
    <w:rsid w:val="00164D5A"/>
    <w:rsid w:val="001663E6"/>
    <w:rsid w:val="0016656D"/>
    <w:rsid w:val="00166739"/>
    <w:rsid w:val="00167798"/>
    <w:rsid w:val="001678C3"/>
    <w:rsid w:val="00167C8F"/>
    <w:rsid w:val="001707CC"/>
    <w:rsid w:val="00171304"/>
    <w:rsid w:val="001720E9"/>
    <w:rsid w:val="00172569"/>
    <w:rsid w:val="00172B4B"/>
    <w:rsid w:val="00173B3E"/>
    <w:rsid w:val="00174331"/>
    <w:rsid w:val="00174DF6"/>
    <w:rsid w:val="00174F08"/>
    <w:rsid w:val="00176319"/>
    <w:rsid w:val="00176710"/>
    <w:rsid w:val="001776AC"/>
    <w:rsid w:val="00177BF7"/>
    <w:rsid w:val="00180319"/>
    <w:rsid w:val="00180A27"/>
    <w:rsid w:val="0018142B"/>
    <w:rsid w:val="001814D4"/>
    <w:rsid w:val="00182ACD"/>
    <w:rsid w:val="00183F88"/>
    <w:rsid w:val="00183FA2"/>
    <w:rsid w:val="001848F1"/>
    <w:rsid w:val="00185B36"/>
    <w:rsid w:val="00186C36"/>
    <w:rsid w:val="00186C77"/>
    <w:rsid w:val="00187509"/>
    <w:rsid w:val="00187C00"/>
    <w:rsid w:val="0019152D"/>
    <w:rsid w:val="001919B0"/>
    <w:rsid w:val="00192CE8"/>
    <w:rsid w:val="00193CC6"/>
    <w:rsid w:val="001944C8"/>
    <w:rsid w:val="0019590D"/>
    <w:rsid w:val="0019597A"/>
    <w:rsid w:val="00195A63"/>
    <w:rsid w:val="00195A67"/>
    <w:rsid w:val="00196839"/>
    <w:rsid w:val="00197966"/>
    <w:rsid w:val="00197986"/>
    <w:rsid w:val="00197ACF"/>
    <w:rsid w:val="00197FB5"/>
    <w:rsid w:val="001A0493"/>
    <w:rsid w:val="001A0704"/>
    <w:rsid w:val="001A0A03"/>
    <w:rsid w:val="001A1CA4"/>
    <w:rsid w:val="001A1F8F"/>
    <w:rsid w:val="001A36C0"/>
    <w:rsid w:val="001A3A0B"/>
    <w:rsid w:val="001A3DFA"/>
    <w:rsid w:val="001A4851"/>
    <w:rsid w:val="001A62C5"/>
    <w:rsid w:val="001A6353"/>
    <w:rsid w:val="001B0349"/>
    <w:rsid w:val="001B0626"/>
    <w:rsid w:val="001B1E19"/>
    <w:rsid w:val="001B2E97"/>
    <w:rsid w:val="001B301D"/>
    <w:rsid w:val="001B4338"/>
    <w:rsid w:val="001B442C"/>
    <w:rsid w:val="001B4D3F"/>
    <w:rsid w:val="001B54A8"/>
    <w:rsid w:val="001B5D03"/>
    <w:rsid w:val="001B5D2E"/>
    <w:rsid w:val="001B740B"/>
    <w:rsid w:val="001B7E3A"/>
    <w:rsid w:val="001C0C0E"/>
    <w:rsid w:val="001C1259"/>
    <w:rsid w:val="001C1860"/>
    <w:rsid w:val="001C1C82"/>
    <w:rsid w:val="001C1D4C"/>
    <w:rsid w:val="001C2A7A"/>
    <w:rsid w:val="001C416C"/>
    <w:rsid w:val="001C6048"/>
    <w:rsid w:val="001C62CF"/>
    <w:rsid w:val="001C62E3"/>
    <w:rsid w:val="001C75B3"/>
    <w:rsid w:val="001D0522"/>
    <w:rsid w:val="001D0C9F"/>
    <w:rsid w:val="001D14AC"/>
    <w:rsid w:val="001D2117"/>
    <w:rsid w:val="001D28BA"/>
    <w:rsid w:val="001D2E16"/>
    <w:rsid w:val="001D372B"/>
    <w:rsid w:val="001D38E0"/>
    <w:rsid w:val="001D3D89"/>
    <w:rsid w:val="001D3F3D"/>
    <w:rsid w:val="001D406C"/>
    <w:rsid w:val="001D5931"/>
    <w:rsid w:val="001D5BD4"/>
    <w:rsid w:val="001D5E13"/>
    <w:rsid w:val="001D7FB2"/>
    <w:rsid w:val="001E08E9"/>
    <w:rsid w:val="001E0BF7"/>
    <w:rsid w:val="001E0F54"/>
    <w:rsid w:val="001E0F7A"/>
    <w:rsid w:val="001E43C8"/>
    <w:rsid w:val="001E5270"/>
    <w:rsid w:val="001E5798"/>
    <w:rsid w:val="001E758C"/>
    <w:rsid w:val="001F03D3"/>
    <w:rsid w:val="001F05E2"/>
    <w:rsid w:val="001F1340"/>
    <w:rsid w:val="001F1735"/>
    <w:rsid w:val="001F2861"/>
    <w:rsid w:val="001F37D1"/>
    <w:rsid w:val="001F4AE2"/>
    <w:rsid w:val="001F4C68"/>
    <w:rsid w:val="001F50F4"/>
    <w:rsid w:val="001F5E56"/>
    <w:rsid w:val="001F623F"/>
    <w:rsid w:val="001F76B4"/>
    <w:rsid w:val="001F788B"/>
    <w:rsid w:val="001F7AFB"/>
    <w:rsid w:val="001F7D3C"/>
    <w:rsid w:val="00201E07"/>
    <w:rsid w:val="0020286E"/>
    <w:rsid w:val="002029A6"/>
    <w:rsid w:val="00203A43"/>
    <w:rsid w:val="002045D2"/>
    <w:rsid w:val="00205002"/>
    <w:rsid w:val="00205041"/>
    <w:rsid w:val="00206410"/>
    <w:rsid w:val="00206B38"/>
    <w:rsid w:val="00210E13"/>
    <w:rsid w:val="00211698"/>
    <w:rsid w:val="00213988"/>
    <w:rsid w:val="00213F71"/>
    <w:rsid w:val="00215E1D"/>
    <w:rsid w:val="002168C9"/>
    <w:rsid w:val="00217503"/>
    <w:rsid w:val="0022048B"/>
    <w:rsid w:val="00221111"/>
    <w:rsid w:val="0022274B"/>
    <w:rsid w:val="00223051"/>
    <w:rsid w:val="00223783"/>
    <w:rsid w:val="0022396A"/>
    <w:rsid w:val="0022482C"/>
    <w:rsid w:val="00224844"/>
    <w:rsid w:val="00225990"/>
    <w:rsid w:val="002268DC"/>
    <w:rsid w:val="00227019"/>
    <w:rsid w:val="00227A69"/>
    <w:rsid w:val="00227A88"/>
    <w:rsid w:val="00227AA1"/>
    <w:rsid w:val="00227C2E"/>
    <w:rsid w:val="0023203E"/>
    <w:rsid w:val="002327AA"/>
    <w:rsid w:val="0023300E"/>
    <w:rsid w:val="00233095"/>
    <w:rsid w:val="0023376E"/>
    <w:rsid w:val="00235372"/>
    <w:rsid w:val="00237413"/>
    <w:rsid w:val="002404A6"/>
    <w:rsid w:val="00240B9E"/>
    <w:rsid w:val="00240E80"/>
    <w:rsid w:val="00243084"/>
    <w:rsid w:val="00243CAC"/>
    <w:rsid w:val="00244652"/>
    <w:rsid w:val="00246C30"/>
    <w:rsid w:val="00251362"/>
    <w:rsid w:val="00253578"/>
    <w:rsid w:val="00254B92"/>
    <w:rsid w:val="00254BE6"/>
    <w:rsid w:val="00254C50"/>
    <w:rsid w:val="00255D55"/>
    <w:rsid w:val="00256192"/>
    <w:rsid w:val="0025648D"/>
    <w:rsid w:val="00256D7B"/>
    <w:rsid w:val="0025748B"/>
    <w:rsid w:val="00260ACC"/>
    <w:rsid w:val="0026103C"/>
    <w:rsid w:val="002619E9"/>
    <w:rsid w:val="00262C78"/>
    <w:rsid w:val="00262F33"/>
    <w:rsid w:val="00263552"/>
    <w:rsid w:val="0026399F"/>
    <w:rsid w:val="00264AE6"/>
    <w:rsid w:val="00265211"/>
    <w:rsid w:val="00266A27"/>
    <w:rsid w:val="00266BC9"/>
    <w:rsid w:val="0027044F"/>
    <w:rsid w:val="0027055B"/>
    <w:rsid w:val="0027139C"/>
    <w:rsid w:val="002742B9"/>
    <w:rsid w:val="0027435D"/>
    <w:rsid w:val="002743AF"/>
    <w:rsid w:val="002766A5"/>
    <w:rsid w:val="002767C6"/>
    <w:rsid w:val="00277372"/>
    <w:rsid w:val="00277887"/>
    <w:rsid w:val="00281409"/>
    <w:rsid w:val="002826BE"/>
    <w:rsid w:val="00284547"/>
    <w:rsid w:val="002850D4"/>
    <w:rsid w:val="00287DB3"/>
    <w:rsid w:val="00292AC2"/>
    <w:rsid w:val="00292BA8"/>
    <w:rsid w:val="00293AB8"/>
    <w:rsid w:val="002948CC"/>
    <w:rsid w:val="00294A3F"/>
    <w:rsid w:val="002975ED"/>
    <w:rsid w:val="00297902"/>
    <w:rsid w:val="002A1226"/>
    <w:rsid w:val="002A37F1"/>
    <w:rsid w:val="002A42C6"/>
    <w:rsid w:val="002A6470"/>
    <w:rsid w:val="002A707E"/>
    <w:rsid w:val="002B13AC"/>
    <w:rsid w:val="002B25E4"/>
    <w:rsid w:val="002B4417"/>
    <w:rsid w:val="002B45A9"/>
    <w:rsid w:val="002B54FD"/>
    <w:rsid w:val="002B698B"/>
    <w:rsid w:val="002B6B2A"/>
    <w:rsid w:val="002B6C93"/>
    <w:rsid w:val="002B740F"/>
    <w:rsid w:val="002B764A"/>
    <w:rsid w:val="002C0EC5"/>
    <w:rsid w:val="002C1238"/>
    <w:rsid w:val="002C1859"/>
    <w:rsid w:val="002C19EB"/>
    <w:rsid w:val="002C21EE"/>
    <w:rsid w:val="002C3DFB"/>
    <w:rsid w:val="002C5170"/>
    <w:rsid w:val="002C531F"/>
    <w:rsid w:val="002C5D2B"/>
    <w:rsid w:val="002C5F15"/>
    <w:rsid w:val="002C6A4B"/>
    <w:rsid w:val="002C7228"/>
    <w:rsid w:val="002C7246"/>
    <w:rsid w:val="002C77AA"/>
    <w:rsid w:val="002C7AC9"/>
    <w:rsid w:val="002C7D84"/>
    <w:rsid w:val="002C7EAA"/>
    <w:rsid w:val="002D0012"/>
    <w:rsid w:val="002D09F5"/>
    <w:rsid w:val="002D1142"/>
    <w:rsid w:val="002D1F0F"/>
    <w:rsid w:val="002D22F0"/>
    <w:rsid w:val="002D3272"/>
    <w:rsid w:val="002D3452"/>
    <w:rsid w:val="002D58C5"/>
    <w:rsid w:val="002D5BF0"/>
    <w:rsid w:val="002D5C41"/>
    <w:rsid w:val="002D5CCE"/>
    <w:rsid w:val="002D65F4"/>
    <w:rsid w:val="002D6956"/>
    <w:rsid w:val="002D6A75"/>
    <w:rsid w:val="002D735E"/>
    <w:rsid w:val="002D7FB2"/>
    <w:rsid w:val="002E06BD"/>
    <w:rsid w:val="002E084F"/>
    <w:rsid w:val="002E08D4"/>
    <w:rsid w:val="002E0DC6"/>
    <w:rsid w:val="002E1068"/>
    <w:rsid w:val="002E143D"/>
    <w:rsid w:val="002E21DA"/>
    <w:rsid w:val="002E2999"/>
    <w:rsid w:val="002E2EE7"/>
    <w:rsid w:val="002E3EAD"/>
    <w:rsid w:val="002E773A"/>
    <w:rsid w:val="002F0310"/>
    <w:rsid w:val="002F04A1"/>
    <w:rsid w:val="002F16CC"/>
    <w:rsid w:val="002F2415"/>
    <w:rsid w:val="002F28CF"/>
    <w:rsid w:val="002F2C73"/>
    <w:rsid w:val="002F4BEA"/>
    <w:rsid w:val="002F4E2C"/>
    <w:rsid w:val="002F740A"/>
    <w:rsid w:val="003003E9"/>
    <w:rsid w:val="0030044B"/>
    <w:rsid w:val="00300774"/>
    <w:rsid w:val="0030114C"/>
    <w:rsid w:val="00302BFC"/>
    <w:rsid w:val="0030328E"/>
    <w:rsid w:val="00304A3C"/>
    <w:rsid w:val="0030512C"/>
    <w:rsid w:val="00305592"/>
    <w:rsid w:val="00305AD3"/>
    <w:rsid w:val="00305D24"/>
    <w:rsid w:val="00306A83"/>
    <w:rsid w:val="00310704"/>
    <w:rsid w:val="0031079D"/>
    <w:rsid w:val="00310B55"/>
    <w:rsid w:val="00311EA9"/>
    <w:rsid w:val="00312EB7"/>
    <w:rsid w:val="00313068"/>
    <w:rsid w:val="00316872"/>
    <w:rsid w:val="00320078"/>
    <w:rsid w:val="0032033A"/>
    <w:rsid w:val="00320CDB"/>
    <w:rsid w:val="0032113B"/>
    <w:rsid w:val="00321F24"/>
    <w:rsid w:val="003232DC"/>
    <w:rsid w:val="003235CF"/>
    <w:rsid w:val="00323882"/>
    <w:rsid w:val="00323B4D"/>
    <w:rsid w:val="00325EAA"/>
    <w:rsid w:val="00325F19"/>
    <w:rsid w:val="0032623D"/>
    <w:rsid w:val="0032713F"/>
    <w:rsid w:val="00327AC2"/>
    <w:rsid w:val="00330FB5"/>
    <w:rsid w:val="00331444"/>
    <w:rsid w:val="00332BEB"/>
    <w:rsid w:val="00333323"/>
    <w:rsid w:val="00333A4B"/>
    <w:rsid w:val="00337B91"/>
    <w:rsid w:val="00337FEA"/>
    <w:rsid w:val="00340858"/>
    <w:rsid w:val="00342674"/>
    <w:rsid w:val="00343022"/>
    <w:rsid w:val="00345314"/>
    <w:rsid w:val="003461FC"/>
    <w:rsid w:val="00350695"/>
    <w:rsid w:val="003509EA"/>
    <w:rsid w:val="00351279"/>
    <w:rsid w:val="0035159C"/>
    <w:rsid w:val="0035303E"/>
    <w:rsid w:val="00353DC9"/>
    <w:rsid w:val="003561A5"/>
    <w:rsid w:val="0035636F"/>
    <w:rsid w:val="0035699C"/>
    <w:rsid w:val="00356C5E"/>
    <w:rsid w:val="00356D40"/>
    <w:rsid w:val="00360D48"/>
    <w:rsid w:val="00360E53"/>
    <w:rsid w:val="0036108D"/>
    <w:rsid w:val="00362E83"/>
    <w:rsid w:val="0036326F"/>
    <w:rsid w:val="00363682"/>
    <w:rsid w:val="00363AC8"/>
    <w:rsid w:val="0036558C"/>
    <w:rsid w:val="0036591A"/>
    <w:rsid w:val="0037073D"/>
    <w:rsid w:val="003708FE"/>
    <w:rsid w:val="00372876"/>
    <w:rsid w:val="00372D60"/>
    <w:rsid w:val="00373EE8"/>
    <w:rsid w:val="00375ADD"/>
    <w:rsid w:val="00375EED"/>
    <w:rsid w:val="003775B0"/>
    <w:rsid w:val="00377B6D"/>
    <w:rsid w:val="003800AD"/>
    <w:rsid w:val="00383D78"/>
    <w:rsid w:val="003842E4"/>
    <w:rsid w:val="00384DAC"/>
    <w:rsid w:val="00385170"/>
    <w:rsid w:val="00385E11"/>
    <w:rsid w:val="0038668E"/>
    <w:rsid w:val="003868EA"/>
    <w:rsid w:val="0038733C"/>
    <w:rsid w:val="00387CB1"/>
    <w:rsid w:val="0039039B"/>
    <w:rsid w:val="00390465"/>
    <w:rsid w:val="00393BDC"/>
    <w:rsid w:val="00394B54"/>
    <w:rsid w:val="00394FFF"/>
    <w:rsid w:val="00395849"/>
    <w:rsid w:val="0039585A"/>
    <w:rsid w:val="003978C1"/>
    <w:rsid w:val="003978F6"/>
    <w:rsid w:val="003A063D"/>
    <w:rsid w:val="003A21C2"/>
    <w:rsid w:val="003A3DC6"/>
    <w:rsid w:val="003A4360"/>
    <w:rsid w:val="003A4F3E"/>
    <w:rsid w:val="003A55B6"/>
    <w:rsid w:val="003A692B"/>
    <w:rsid w:val="003A6E96"/>
    <w:rsid w:val="003B04F2"/>
    <w:rsid w:val="003B05D7"/>
    <w:rsid w:val="003B1B09"/>
    <w:rsid w:val="003B2D76"/>
    <w:rsid w:val="003B3FF1"/>
    <w:rsid w:val="003B4CE4"/>
    <w:rsid w:val="003B51AB"/>
    <w:rsid w:val="003B5C45"/>
    <w:rsid w:val="003B7184"/>
    <w:rsid w:val="003B7A34"/>
    <w:rsid w:val="003C0968"/>
    <w:rsid w:val="003C0FE2"/>
    <w:rsid w:val="003C1780"/>
    <w:rsid w:val="003C2DEE"/>
    <w:rsid w:val="003C3BD7"/>
    <w:rsid w:val="003C4303"/>
    <w:rsid w:val="003C54FE"/>
    <w:rsid w:val="003C57FB"/>
    <w:rsid w:val="003C63BC"/>
    <w:rsid w:val="003C7262"/>
    <w:rsid w:val="003C7B31"/>
    <w:rsid w:val="003D08E7"/>
    <w:rsid w:val="003D11E0"/>
    <w:rsid w:val="003D15F9"/>
    <w:rsid w:val="003D27FF"/>
    <w:rsid w:val="003D2C8C"/>
    <w:rsid w:val="003D3301"/>
    <w:rsid w:val="003D37DC"/>
    <w:rsid w:val="003D4CE1"/>
    <w:rsid w:val="003D5081"/>
    <w:rsid w:val="003D5EE1"/>
    <w:rsid w:val="003D66F7"/>
    <w:rsid w:val="003D69C8"/>
    <w:rsid w:val="003D7429"/>
    <w:rsid w:val="003D7812"/>
    <w:rsid w:val="003E23C9"/>
    <w:rsid w:val="003E2785"/>
    <w:rsid w:val="003E2907"/>
    <w:rsid w:val="003E2A1B"/>
    <w:rsid w:val="003E30C0"/>
    <w:rsid w:val="003E5BC2"/>
    <w:rsid w:val="003E5D09"/>
    <w:rsid w:val="003F0AFD"/>
    <w:rsid w:val="003F2837"/>
    <w:rsid w:val="003F2A00"/>
    <w:rsid w:val="003F31A1"/>
    <w:rsid w:val="003F3304"/>
    <w:rsid w:val="003F397E"/>
    <w:rsid w:val="003F429F"/>
    <w:rsid w:val="003F4E6B"/>
    <w:rsid w:val="003F5787"/>
    <w:rsid w:val="003F5B3C"/>
    <w:rsid w:val="003F608A"/>
    <w:rsid w:val="00400485"/>
    <w:rsid w:val="004023E9"/>
    <w:rsid w:val="0040285A"/>
    <w:rsid w:val="00402E6D"/>
    <w:rsid w:val="00402F37"/>
    <w:rsid w:val="004042A2"/>
    <w:rsid w:val="00404569"/>
    <w:rsid w:val="00404F9B"/>
    <w:rsid w:val="00405223"/>
    <w:rsid w:val="00405A7E"/>
    <w:rsid w:val="0041025A"/>
    <w:rsid w:val="0041044B"/>
    <w:rsid w:val="00410909"/>
    <w:rsid w:val="00410F34"/>
    <w:rsid w:val="00410F61"/>
    <w:rsid w:val="00411941"/>
    <w:rsid w:val="0041266D"/>
    <w:rsid w:val="00412C48"/>
    <w:rsid w:val="004143B8"/>
    <w:rsid w:val="00416452"/>
    <w:rsid w:val="004200F0"/>
    <w:rsid w:val="00420444"/>
    <w:rsid w:val="004207B7"/>
    <w:rsid w:val="0042392E"/>
    <w:rsid w:val="00423D0A"/>
    <w:rsid w:val="00423F3B"/>
    <w:rsid w:val="00424D4C"/>
    <w:rsid w:val="0042514A"/>
    <w:rsid w:val="00431F54"/>
    <w:rsid w:val="004344E3"/>
    <w:rsid w:val="004347A2"/>
    <w:rsid w:val="00434ACC"/>
    <w:rsid w:val="00434DE0"/>
    <w:rsid w:val="00435603"/>
    <w:rsid w:val="00436A8F"/>
    <w:rsid w:val="00436B9C"/>
    <w:rsid w:val="00437249"/>
    <w:rsid w:val="004375F5"/>
    <w:rsid w:val="004377B4"/>
    <w:rsid w:val="00440A93"/>
    <w:rsid w:val="00442793"/>
    <w:rsid w:val="004443BD"/>
    <w:rsid w:val="004455FB"/>
    <w:rsid w:val="00446BF9"/>
    <w:rsid w:val="0044717C"/>
    <w:rsid w:val="004503D8"/>
    <w:rsid w:val="00450901"/>
    <w:rsid w:val="0045158A"/>
    <w:rsid w:val="00451831"/>
    <w:rsid w:val="00451833"/>
    <w:rsid w:val="00451872"/>
    <w:rsid w:val="00451E57"/>
    <w:rsid w:val="00452434"/>
    <w:rsid w:val="004529DE"/>
    <w:rsid w:val="00453203"/>
    <w:rsid w:val="00453404"/>
    <w:rsid w:val="00454249"/>
    <w:rsid w:val="00460B6F"/>
    <w:rsid w:val="00463D89"/>
    <w:rsid w:val="00463DEA"/>
    <w:rsid w:val="00465420"/>
    <w:rsid w:val="00466014"/>
    <w:rsid w:val="00467303"/>
    <w:rsid w:val="004676AE"/>
    <w:rsid w:val="00467FD5"/>
    <w:rsid w:val="004718A1"/>
    <w:rsid w:val="00472648"/>
    <w:rsid w:val="00473086"/>
    <w:rsid w:val="00473316"/>
    <w:rsid w:val="00473D5C"/>
    <w:rsid w:val="004745D6"/>
    <w:rsid w:val="0047746C"/>
    <w:rsid w:val="00480112"/>
    <w:rsid w:val="00482337"/>
    <w:rsid w:val="00482449"/>
    <w:rsid w:val="00483AC3"/>
    <w:rsid w:val="00485911"/>
    <w:rsid w:val="00485A7C"/>
    <w:rsid w:val="0049037B"/>
    <w:rsid w:val="00490A21"/>
    <w:rsid w:val="00490FBC"/>
    <w:rsid w:val="0049126C"/>
    <w:rsid w:val="0049325F"/>
    <w:rsid w:val="004932D1"/>
    <w:rsid w:val="00494848"/>
    <w:rsid w:val="00494B1A"/>
    <w:rsid w:val="00494E0B"/>
    <w:rsid w:val="00495ABE"/>
    <w:rsid w:val="0049606E"/>
    <w:rsid w:val="004961A9"/>
    <w:rsid w:val="00496665"/>
    <w:rsid w:val="004971A8"/>
    <w:rsid w:val="00497536"/>
    <w:rsid w:val="00497682"/>
    <w:rsid w:val="00497C37"/>
    <w:rsid w:val="00497CD0"/>
    <w:rsid w:val="00497DA5"/>
    <w:rsid w:val="004A1C96"/>
    <w:rsid w:val="004A3EA1"/>
    <w:rsid w:val="004A3F36"/>
    <w:rsid w:val="004A4B2B"/>
    <w:rsid w:val="004A6C03"/>
    <w:rsid w:val="004B323D"/>
    <w:rsid w:val="004B3716"/>
    <w:rsid w:val="004B377D"/>
    <w:rsid w:val="004B4922"/>
    <w:rsid w:val="004B4FD2"/>
    <w:rsid w:val="004B526D"/>
    <w:rsid w:val="004B59E9"/>
    <w:rsid w:val="004B7A3C"/>
    <w:rsid w:val="004B7CCC"/>
    <w:rsid w:val="004B7DBE"/>
    <w:rsid w:val="004C021A"/>
    <w:rsid w:val="004C079E"/>
    <w:rsid w:val="004C0CEF"/>
    <w:rsid w:val="004C0D7F"/>
    <w:rsid w:val="004C10AA"/>
    <w:rsid w:val="004C1F23"/>
    <w:rsid w:val="004C200D"/>
    <w:rsid w:val="004C250E"/>
    <w:rsid w:val="004C2939"/>
    <w:rsid w:val="004C3AFC"/>
    <w:rsid w:val="004C41F9"/>
    <w:rsid w:val="004C47C0"/>
    <w:rsid w:val="004C501C"/>
    <w:rsid w:val="004C5066"/>
    <w:rsid w:val="004C5114"/>
    <w:rsid w:val="004C531B"/>
    <w:rsid w:val="004C6BFD"/>
    <w:rsid w:val="004D16F0"/>
    <w:rsid w:val="004D1F10"/>
    <w:rsid w:val="004D3E0E"/>
    <w:rsid w:val="004D45B4"/>
    <w:rsid w:val="004D510F"/>
    <w:rsid w:val="004D51DD"/>
    <w:rsid w:val="004D5588"/>
    <w:rsid w:val="004D683F"/>
    <w:rsid w:val="004D7385"/>
    <w:rsid w:val="004D745D"/>
    <w:rsid w:val="004D7B23"/>
    <w:rsid w:val="004D7B65"/>
    <w:rsid w:val="004E001A"/>
    <w:rsid w:val="004E05DE"/>
    <w:rsid w:val="004E0D07"/>
    <w:rsid w:val="004E10A9"/>
    <w:rsid w:val="004E299D"/>
    <w:rsid w:val="004E2ABF"/>
    <w:rsid w:val="004E6F32"/>
    <w:rsid w:val="004F1088"/>
    <w:rsid w:val="004F14C5"/>
    <w:rsid w:val="004F1F0C"/>
    <w:rsid w:val="004F364D"/>
    <w:rsid w:val="004F3CCC"/>
    <w:rsid w:val="004F41AA"/>
    <w:rsid w:val="004F4CAB"/>
    <w:rsid w:val="004F5B95"/>
    <w:rsid w:val="004F5FCB"/>
    <w:rsid w:val="004F71C3"/>
    <w:rsid w:val="004F79B3"/>
    <w:rsid w:val="005006C9"/>
    <w:rsid w:val="00500AAD"/>
    <w:rsid w:val="00502669"/>
    <w:rsid w:val="00502777"/>
    <w:rsid w:val="005028D4"/>
    <w:rsid w:val="00503F70"/>
    <w:rsid w:val="00504440"/>
    <w:rsid w:val="00504CA2"/>
    <w:rsid w:val="005051AF"/>
    <w:rsid w:val="00507A13"/>
    <w:rsid w:val="00510ED9"/>
    <w:rsid w:val="00511769"/>
    <w:rsid w:val="00511932"/>
    <w:rsid w:val="005126F7"/>
    <w:rsid w:val="005141D9"/>
    <w:rsid w:val="00514951"/>
    <w:rsid w:val="005158DF"/>
    <w:rsid w:val="00516767"/>
    <w:rsid w:val="0051718B"/>
    <w:rsid w:val="00517766"/>
    <w:rsid w:val="0051786F"/>
    <w:rsid w:val="00520BCC"/>
    <w:rsid w:val="0052106D"/>
    <w:rsid w:val="00521459"/>
    <w:rsid w:val="00521E43"/>
    <w:rsid w:val="005224E3"/>
    <w:rsid w:val="00523809"/>
    <w:rsid w:val="00526405"/>
    <w:rsid w:val="00527C08"/>
    <w:rsid w:val="00527D9C"/>
    <w:rsid w:val="00527E5D"/>
    <w:rsid w:val="00531098"/>
    <w:rsid w:val="00532A2A"/>
    <w:rsid w:val="00532B68"/>
    <w:rsid w:val="0053304D"/>
    <w:rsid w:val="005337B2"/>
    <w:rsid w:val="00535640"/>
    <w:rsid w:val="005365C8"/>
    <w:rsid w:val="005365D3"/>
    <w:rsid w:val="0053769E"/>
    <w:rsid w:val="00537B5D"/>
    <w:rsid w:val="0054015F"/>
    <w:rsid w:val="005409BF"/>
    <w:rsid w:val="00540F35"/>
    <w:rsid w:val="00541449"/>
    <w:rsid w:val="00541749"/>
    <w:rsid w:val="00541D9A"/>
    <w:rsid w:val="00542A85"/>
    <w:rsid w:val="00543156"/>
    <w:rsid w:val="00543334"/>
    <w:rsid w:val="005433FC"/>
    <w:rsid w:val="00543907"/>
    <w:rsid w:val="00544C88"/>
    <w:rsid w:val="00546552"/>
    <w:rsid w:val="005472F9"/>
    <w:rsid w:val="00550FC0"/>
    <w:rsid w:val="00551144"/>
    <w:rsid w:val="00551BB7"/>
    <w:rsid w:val="00551D4D"/>
    <w:rsid w:val="00551DC4"/>
    <w:rsid w:val="00552314"/>
    <w:rsid w:val="00553527"/>
    <w:rsid w:val="00553781"/>
    <w:rsid w:val="00553AC2"/>
    <w:rsid w:val="00555366"/>
    <w:rsid w:val="005558DB"/>
    <w:rsid w:val="00557FE0"/>
    <w:rsid w:val="00560A6A"/>
    <w:rsid w:val="00561205"/>
    <w:rsid w:val="00561B30"/>
    <w:rsid w:val="00562424"/>
    <w:rsid w:val="005637C4"/>
    <w:rsid w:val="00564FC1"/>
    <w:rsid w:val="00565703"/>
    <w:rsid w:val="005657CA"/>
    <w:rsid w:val="00566B7D"/>
    <w:rsid w:val="0057263B"/>
    <w:rsid w:val="00572EF0"/>
    <w:rsid w:val="00573A43"/>
    <w:rsid w:val="005747CD"/>
    <w:rsid w:val="005748B7"/>
    <w:rsid w:val="0057500B"/>
    <w:rsid w:val="00575117"/>
    <w:rsid w:val="00576F86"/>
    <w:rsid w:val="00577174"/>
    <w:rsid w:val="005779C1"/>
    <w:rsid w:val="005806B2"/>
    <w:rsid w:val="005817A2"/>
    <w:rsid w:val="0058251C"/>
    <w:rsid w:val="005843DF"/>
    <w:rsid w:val="00584599"/>
    <w:rsid w:val="00584C03"/>
    <w:rsid w:val="00586977"/>
    <w:rsid w:val="00586E96"/>
    <w:rsid w:val="0058700D"/>
    <w:rsid w:val="00587594"/>
    <w:rsid w:val="00590552"/>
    <w:rsid w:val="005907E5"/>
    <w:rsid w:val="005926AC"/>
    <w:rsid w:val="00592BF5"/>
    <w:rsid w:val="00592C7B"/>
    <w:rsid w:val="00592D2B"/>
    <w:rsid w:val="00593144"/>
    <w:rsid w:val="00594A31"/>
    <w:rsid w:val="0059527A"/>
    <w:rsid w:val="00595D77"/>
    <w:rsid w:val="00596BDA"/>
    <w:rsid w:val="005A0967"/>
    <w:rsid w:val="005A366E"/>
    <w:rsid w:val="005A3984"/>
    <w:rsid w:val="005A46AB"/>
    <w:rsid w:val="005A4D98"/>
    <w:rsid w:val="005A5518"/>
    <w:rsid w:val="005B1604"/>
    <w:rsid w:val="005B1919"/>
    <w:rsid w:val="005B3BE3"/>
    <w:rsid w:val="005B5C0F"/>
    <w:rsid w:val="005B5E04"/>
    <w:rsid w:val="005B754A"/>
    <w:rsid w:val="005C027F"/>
    <w:rsid w:val="005C1224"/>
    <w:rsid w:val="005C1815"/>
    <w:rsid w:val="005C19F5"/>
    <w:rsid w:val="005C230A"/>
    <w:rsid w:val="005C29FA"/>
    <w:rsid w:val="005C3CBA"/>
    <w:rsid w:val="005C7041"/>
    <w:rsid w:val="005C71E8"/>
    <w:rsid w:val="005D08B4"/>
    <w:rsid w:val="005D3CDC"/>
    <w:rsid w:val="005D4F43"/>
    <w:rsid w:val="005D5EB8"/>
    <w:rsid w:val="005D651E"/>
    <w:rsid w:val="005D670E"/>
    <w:rsid w:val="005D6E84"/>
    <w:rsid w:val="005D6F00"/>
    <w:rsid w:val="005E32D0"/>
    <w:rsid w:val="005E4622"/>
    <w:rsid w:val="005E4F8E"/>
    <w:rsid w:val="005E5B42"/>
    <w:rsid w:val="005E6A58"/>
    <w:rsid w:val="005F0B4E"/>
    <w:rsid w:val="005F1099"/>
    <w:rsid w:val="005F359C"/>
    <w:rsid w:val="005F56B4"/>
    <w:rsid w:val="005F6212"/>
    <w:rsid w:val="00600870"/>
    <w:rsid w:val="006020B3"/>
    <w:rsid w:val="006038C7"/>
    <w:rsid w:val="00604094"/>
    <w:rsid w:val="00604164"/>
    <w:rsid w:val="00604580"/>
    <w:rsid w:val="00605D43"/>
    <w:rsid w:val="0060626E"/>
    <w:rsid w:val="00606A87"/>
    <w:rsid w:val="00606C69"/>
    <w:rsid w:val="00606F14"/>
    <w:rsid w:val="00607801"/>
    <w:rsid w:val="00607AD6"/>
    <w:rsid w:val="00610A51"/>
    <w:rsid w:val="006112B4"/>
    <w:rsid w:val="0061205C"/>
    <w:rsid w:val="00613F8F"/>
    <w:rsid w:val="00614D9E"/>
    <w:rsid w:val="00615AC8"/>
    <w:rsid w:val="00616189"/>
    <w:rsid w:val="00617996"/>
    <w:rsid w:val="00617B20"/>
    <w:rsid w:val="00621B67"/>
    <w:rsid w:val="00621E72"/>
    <w:rsid w:val="0062619C"/>
    <w:rsid w:val="00626225"/>
    <w:rsid w:val="00630249"/>
    <w:rsid w:val="00630C65"/>
    <w:rsid w:val="00632B9E"/>
    <w:rsid w:val="00632DF4"/>
    <w:rsid w:val="006338AC"/>
    <w:rsid w:val="0063532D"/>
    <w:rsid w:val="0063535D"/>
    <w:rsid w:val="00636000"/>
    <w:rsid w:val="00636F2A"/>
    <w:rsid w:val="006370E9"/>
    <w:rsid w:val="00637182"/>
    <w:rsid w:val="006373DE"/>
    <w:rsid w:val="00637DCA"/>
    <w:rsid w:val="00637EBC"/>
    <w:rsid w:val="00640298"/>
    <w:rsid w:val="00640C24"/>
    <w:rsid w:val="006417C6"/>
    <w:rsid w:val="00641A31"/>
    <w:rsid w:val="00641AA1"/>
    <w:rsid w:val="00641EBC"/>
    <w:rsid w:val="0064275F"/>
    <w:rsid w:val="00643071"/>
    <w:rsid w:val="00643BEA"/>
    <w:rsid w:val="00645ACA"/>
    <w:rsid w:val="00645DB2"/>
    <w:rsid w:val="00647671"/>
    <w:rsid w:val="00647BC8"/>
    <w:rsid w:val="006501A4"/>
    <w:rsid w:val="00650A74"/>
    <w:rsid w:val="00650AA4"/>
    <w:rsid w:val="00650F50"/>
    <w:rsid w:val="00651A24"/>
    <w:rsid w:val="0065318C"/>
    <w:rsid w:val="00653640"/>
    <w:rsid w:val="00654648"/>
    <w:rsid w:val="00654F40"/>
    <w:rsid w:val="00655628"/>
    <w:rsid w:val="00655CBF"/>
    <w:rsid w:val="0065626F"/>
    <w:rsid w:val="00656976"/>
    <w:rsid w:val="00656E3B"/>
    <w:rsid w:val="006571CE"/>
    <w:rsid w:val="00657314"/>
    <w:rsid w:val="00657467"/>
    <w:rsid w:val="00657DC0"/>
    <w:rsid w:val="006603AA"/>
    <w:rsid w:val="0066214A"/>
    <w:rsid w:val="00662265"/>
    <w:rsid w:val="00662F7B"/>
    <w:rsid w:val="006639E5"/>
    <w:rsid w:val="00664CEC"/>
    <w:rsid w:val="0066584C"/>
    <w:rsid w:val="00667E4D"/>
    <w:rsid w:val="006700FB"/>
    <w:rsid w:val="00670FDA"/>
    <w:rsid w:val="00672365"/>
    <w:rsid w:val="00672AAF"/>
    <w:rsid w:val="006730A0"/>
    <w:rsid w:val="00673182"/>
    <w:rsid w:val="00673ED9"/>
    <w:rsid w:val="00674A5B"/>
    <w:rsid w:val="00674EC0"/>
    <w:rsid w:val="0067614F"/>
    <w:rsid w:val="006775F0"/>
    <w:rsid w:val="00677F27"/>
    <w:rsid w:val="00680F6A"/>
    <w:rsid w:val="006825FA"/>
    <w:rsid w:val="00682689"/>
    <w:rsid w:val="006826F9"/>
    <w:rsid w:val="00682C3E"/>
    <w:rsid w:val="00682D7A"/>
    <w:rsid w:val="006831FA"/>
    <w:rsid w:val="006833EE"/>
    <w:rsid w:val="00683AAE"/>
    <w:rsid w:val="00684D13"/>
    <w:rsid w:val="006872D6"/>
    <w:rsid w:val="00687628"/>
    <w:rsid w:val="006902C2"/>
    <w:rsid w:val="00690442"/>
    <w:rsid w:val="0069052B"/>
    <w:rsid w:val="00692725"/>
    <w:rsid w:val="00692E41"/>
    <w:rsid w:val="00693E3F"/>
    <w:rsid w:val="00694C60"/>
    <w:rsid w:val="006962C0"/>
    <w:rsid w:val="006A1D08"/>
    <w:rsid w:val="006A20A2"/>
    <w:rsid w:val="006A3D0B"/>
    <w:rsid w:val="006A4025"/>
    <w:rsid w:val="006A51E1"/>
    <w:rsid w:val="006A5692"/>
    <w:rsid w:val="006A60BD"/>
    <w:rsid w:val="006B1169"/>
    <w:rsid w:val="006B244C"/>
    <w:rsid w:val="006B26BC"/>
    <w:rsid w:val="006B33B1"/>
    <w:rsid w:val="006B4C03"/>
    <w:rsid w:val="006C0B6F"/>
    <w:rsid w:val="006C18B5"/>
    <w:rsid w:val="006C2417"/>
    <w:rsid w:val="006C4BCA"/>
    <w:rsid w:val="006C60D0"/>
    <w:rsid w:val="006C6998"/>
    <w:rsid w:val="006C6B5B"/>
    <w:rsid w:val="006D04D7"/>
    <w:rsid w:val="006D25FF"/>
    <w:rsid w:val="006D2F19"/>
    <w:rsid w:val="006D3048"/>
    <w:rsid w:val="006D57CC"/>
    <w:rsid w:val="006D5ABB"/>
    <w:rsid w:val="006D74A4"/>
    <w:rsid w:val="006E02E8"/>
    <w:rsid w:val="006E02F5"/>
    <w:rsid w:val="006E1892"/>
    <w:rsid w:val="006E24C2"/>
    <w:rsid w:val="006E2903"/>
    <w:rsid w:val="006E2C46"/>
    <w:rsid w:val="006E2E88"/>
    <w:rsid w:val="006E3154"/>
    <w:rsid w:val="006E4B30"/>
    <w:rsid w:val="006E5ED7"/>
    <w:rsid w:val="006E7D0D"/>
    <w:rsid w:val="006E7DDF"/>
    <w:rsid w:val="006F1828"/>
    <w:rsid w:val="006F22B4"/>
    <w:rsid w:val="006F2A62"/>
    <w:rsid w:val="006F327B"/>
    <w:rsid w:val="006F79EB"/>
    <w:rsid w:val="006F7D4F"/>
    <w:rsid w:val="00700BFA"/>
    <w:rsid w:val="00701316"/>
    <w:rsid w:val="00701D59"/>
    <w:rsid w:val="00702293"/>
    <w:rsid w:val="00702559"/>
    <w:rsid w:val="00702AE9"/>
    <w:rsid w:val="007030F6"/>
    <w:rsid w:val="0070400B"/>
    <w:rsid w:val="007042A6"/>
    <w:rsid w:val="007052C2"/>
    <w:rsid w:val="007110A8"/>
    <w:rsid w:val="00711F14"/>
    <w:rsid w:val="007126A6"/>
    <w:rsid w:val="00712C56"/>
    <w:rsid w:val="00713702"/>
    <w:rsid w:val="0071398E"/>
    <w:rsid w:val="0071407F"/>
    <w:rsid w:val="00714C68"/>
    <w:rsid w:val="00716342"/>
    <w:rsid w:val="0071666A"/>
    <w:rsid w:val="00717823"/>
    <w:rsid w:val="00720183"/>
    <w:rsid w:val="00720268"/>
    <w:rsid w:val="00720534"/>
    <w:rsid w:val="007206D5"/>
    <w:rsid w:val="00720EE8"/>
    <w:rsid w:val="00720F8B"/>
    <w:rsid w:val="0072223C"/>
    <w:rsid w:val="0072232D"/>
    <w:rsid w:val="00722769"/>
    <w:rsid w:val="00722EF4"/>
    <w:rsid w:val="007230A8"/>
    <w:rsid w:val="0072310A"/>
    <w:rsid w:val="00723412"/>
    <w:rsid w:val="0072493D"/>
    <w:rsid w:val="00725077"/>
    <w:rsid w:val="0072549D"/>
    <w:rsid w:val="007254AF"/>
    <w:rsid w:val="00725F6F"/>
    <w:rsid w:val="00726201"/>
    <w:rsid w:val="00726847"/>
    <w:rsid w:val="007301AE"/>
    <w:rsid w:val="007357C2"/>
    <w:rsid w:val="00735E38"/>
    <w:rsid w:val="0073695A"/>
    <w:rsid w:val="00736EDA"/>
    <w:rsid w:val="0073755C"/>
    <w:rsid w:val="007403AB"/>
    <w:rsid w:val="00741208"/>
    <w:rsid w:val="00741477"/>
    <w:rsid w:val="007437D9"/>
    <w:rsid w:val="00745131"/>
    <w:rsid w:val="00746C18"/>
    <w:rsid w:val="00746D1E"/>
    <w:rsid w:val="007471E2"/>
    <w:rsid w:val="00747B41"/>
    <w:rsid w:val="007506C7"/>
    <w:rsid w:val="007512F9"/>
    <w:rsid w:val="0075172F"/>
    <w:rsid w:val="00752181"/>
    <w:rsid w:val="00752333"/>
    <w:rsid w:val="00752862"/>
    <w:rsid w:val="007537DD"/>
    <w:rsid w:val="00753A76"/>
    <w:rsid w:val="007545D7"/>
    <w:rsid w:val="007551D3"/>
    <w:rsid w:val="007565FC"/>
    <w:rsid w:val="00756B71"/>
    <w:rsid w:val="00757BB0"/>
    <w:rsid w:val="0076003F"/>
    <w:rsid w:val="00761690"/>
    <w:rsid w:val="007624FD"/>
    <w:rsid w:val="00762800"/>
    <w:rsid w:val="00762CD0"/>
    <w:rsid w:val="00762CF0"/>
    <w:rsid w:val="00763387"/>
    <w:rsid w:val="00763965"/>
    <w:rsid w:val="00763C90"/>
    <w:rsid w:val="00766081"/>
    <w:rsid w:val="00776A27"/>
    <w:rsid w:val="00776E39"/>
    <w:rsid w:val="00776E67"/>
    <w:rsid w:val="007771C2"/>
    <w:rsid w:val="00780077"/>
    <w:rsid w:val="007803FA"/>
    <w:rsid w:val="00781552"/>
    <w:rsid w:val="00781943"/>
    <w:rsid w:val="00781E05"/>
    <w:rsid w:val="0078207C"/>
    <w:rsid w:val="00782260"/>
    <w:rsid w:val="007829B1"/>
    <w:rsid w:val="00783CE8"/>
    <w:rsid w:val="00784906"/>
    <w:rsid w:val="0078561B"/>
    <w:rsid w:val="00785928"/>
    <w:rsid w:val="00786B7D"/>
    <w:rsid w:val="0078753C"/>
    <w:rsid w:val="00787645"/>
    <w:rsid w:val="0078769D"/>
    <w:rsid w:val="00790E51"/>
    <w:rsid w:val="007912B8"/>
    <w:rsid w:val="00792335"/>
    <w:rsid w:val="007929BD"/>
    <w:rsid w:val="00794E27"/>
    <w:rsid w:val="00796F21"/>
    <w:rsid w:val="007A17B3"/>
    <w:rsid w:val="007A25F3"/>
    <w:rsid w:val="007A2C7C"/>
    <w:rsid w:val="007A4187"/>
    <w:rsid w:val="007A53C0"/>
    <w:rsid w:val="007A5BD9"/>
    <w:rsid w:val="007A7394"/>
    <w:rsid w:val="007A7BA0"/>
    <w:rsid w:val="007B0D52"/>
    <w:rsid w:val="007B40CB"/>
    <w:rsid w:val="007B4D3C"/>
    <w:rsid w:val="007B60CE"/>
    <w:rsid w:val="007B64BD"/>
    <w:rsid w:val="007C2458"/>
    <w:rsid w:val="007C2CFA"/>
    <w:rsid w:val="007C3189"/>
    <w:rsid w:val="007C3242"/>
    <w:rsid w:val="007C35C8"/>
    <w:rsid w:val="007C3B2C"/>
    <w:rsid w:val="007C3E99"/>
    <w:rsid w:val="007C55A7"/>
    <w:rsid w:val="007C5BCB"/>
    <w:rsid w:val="007C6BE3"/>
    <w:rsid w:val="007C6FEF"/>
    <w:rsid w:val="007C7490"/>
    <w:rsid w:val="007D072B"/>
    <w:rsid w:val="007D3B13"/>
    <w:rsid w:val="007D3C26"/>
    <w:rsid w:val="007D63F0"/>
    <w:rsid w:val="007D677C"/>
    <w:rsid w:val="007E0082"/>
    <w:rsid w:val="007E07AA"/>
    <w:rsid w:val="007E0818"/>
    <w:rsid w:val="007E0D3B"/>
    <w:rsid w:val="007E1036"/>
    <w:rsid w:val="007E13AD"/>
    <w:rsid w:val="007E16CD"/>
    <w:rsid w:val="007E1D00"/>
    <w:rsid w:val="007E2431"/>
    <w:rsid w:val="007E30C0"/>
    <w:rsid w:val="007E31D8"/>
    <w:rsid w:val="007E374D"/>
    <w:rsid w:val="007E3AA4"/>
    <w:rsid w:val="007E5133"/>
    <w:rsid w:val="007E56D7"/>
    <w:rsid w:val="007E59FE"/>
    <w:rsid w:val="007E5ED6"/>
    <w:rsid w:val="007E60CF"/>
    <w:rsid w:val="007E6912"/>
    <w:rsid w:val="007E76F2"/>
    <w:rsid w:val="007E7A34"/>
    <w:rsid w:val="007E7A47"/>
    <w:rsid w:val="007E7F54"/>
    <w:rsid w:val="007F0A76"/>
    <w:rsid w:val="007F1551"/>
    <w:rsid w:val="007F3140"/>
    <w:rsid w:val="007F38AA"/>
    <w:rsid w:val="007F39ED"/>
    <w:rsid w:val="007F4810"/>
    <w:rsid w:val="007F583F"/>
    <w:rsid w:val="007F7CC3"/>
    <w:rsid w:val="00800003"/>
    <w:rsid w:val="00801639"/>
    <w:rsid w:val="00805F94"/>
    <w:rsid w:val="00806DB3"/>
    <w:rsid w:val="00807078"/>
    <w:rsid w:val="00807D1E"/>
    <w:rsid w:val="00810B77"/>
    <w:rsid w:val="00811E78"/>
    <w:rsid w:val="008122E4"/>
    <w:rsid w:val="00812BB0"/>
    <w:rsid w:val="00812CC5"/>
    <w:rsid w:val="00813467"/>
    <w:rsid w:val="00814233"/>
    <w:rsid w:val="00815705"/>
    <w:rsid w:val="0081651D"/>
    <w:rsid w:val="00816A5A"/>
    <w:rsid w:val="00817942"/>
    <w:rsid w:val="00820D4A"/>
    <w:rsid w:val="008212E4"/>
    <w:rsid w:val="00821925"/>
    <w:rsid w:val="00823999"/>
    <w:rsid w:val="0082400F"/>
    <w:rsid w:val="00827FA2"/>
    <w:rsid w:val="00831176"/>
    <w:rsid w:val="008320F8"/>
    <w:rsid w:val="00832214"/>
    <w:rsid w:val="00835C69"/>
    <w:rsid w:val="00835CAB"/>
    <w:rsid w:val="00835E3B"/>
    <w:rsid w:val="00837121"/>
    <w:rsid w:val="00840B13"/>
    <w:rsid w:val="00840FF9"/>
    <w:rsid w:val="008429F7"/>
    <w:rsid w:val="00842E9B"/>
    <w:rsid w:val="00843D3B"/>
    <w:rsid w:val="00844167"/>
    <w:rsid w:val="008453E9"/>
    <w:rsid w:val="0084585D"/>
    <w:rsid w:val="008460CC"/>
    <w:rsid w:val="00846196"/>
    <w:rsid w:val="00847690"/>
    <w:rsid w:val="00850FE0"/>
    <w:rsid w:val="00851065"/>
    <w:rsid w:val="00851A91"/>
    <w:rsid w:val="00852B6E"/>
    <w:rsid w:val="00852C4C"/>
    <w:rsid w:val="00853656"/>
    <w:rsid w:val="00853C13"/>
    <w:rsid w:val="00853ED5"/>
    <w:rsid w:val="00856524"/>
    <w:rsid w:val="008566C9"/>
    <w:rsid w:val="008602F9"/>
    <w:rsid w:val="00861AB5"/>
    <w:rsid w:val="00861EC6"/>
    <w:rsid w:val="00862055"/>
    <w:rsid w:val="008628E0"/>
    <w:rsid w:val="00862BE8"/>
    <w:rsid w:val="00862CA2"/>
    <w:rsid w:val="00863A4D"/>
    <w:rsid w:val="0086466C"/>
    <w:rsid w:val="00865A60"/>
    <w:rsid w:val="00866A45"/>
    <w:rsid w:val="0087086F"/>
    <w:rsid w:val="00870C1F"/>
    <w:rsid w:val="00871104"/>
    <w:rsid w:val="00873E1F"/>
    <w:rsid w:val="0087400A"/>
    <w:rsid w:val="00875146"/>
    <w:rsid w:val="008752A4"/>
    <w:rsid w:val="00875E45"/>
    <w:rsid w:val="00876727"/>
    <w:rsid w:val="00877AAF"/>
    <w:rsid w:val="00880686"/>
    <w:rsid w:val="00881D1A"/>
    <w:rsid w:val="00882879"/>
    <w:rsid w:val="008839E7"/>
    <w:rsid w:val="00884DC6"/>
    <w:rsid w:val="008865D1"/>
    <w:rsid w:val="008868B9"/>
    <w:rsid w:val="008910D3"/>
    <w:rsid w:val="0089204F"/>
    <w:rsid w:val="00892A80"/>
    <w:rsid w:val="00892FD5"/>
    <w:rsid w:val="008944E8"/>
    <w:rsid w:val="00894E68"/>
    <w:rsid w:val="00897946"/>
    <w:rsid w:val="008A1A4F"/>
    <w:rsid w:val="008A1EBE"/>
    <w:rsid w:val="008A2126"/>
    <w:rsid w:val="008A27C9"/>
    <w:rsid w:val="008A2CCF"/>
    <w:rsid w:val="008A3E8E"/>
    <w:rsid w:val="008A550D"/>
    <w:rsid w:val="008A7050"/>
    <w:rsid w:val="008A70D0"/>
    <w:rsid w:val="008A7401"/>
    <w:rsid w:val="008A7B79"/>
    <w:rsid w:val="008B037D"/>
    <w:rsid w:val="008B0609"/>
    <w:rsid w:val="008B06C7"/>
    <w:rsid w:val="008B0D44"/>
    <w:rsid w:val="008B0EEF"/>
    <w:rsid w:val="008B11A3"/>
    <w:rsid w:val="008B2846"/>
    <w:rsid w:val="008B30D6"/>
    <w:rsid w:val="008B3351"/>
    <w:rsid w:val="008B3463"/>
    <w:rsid w:val="008B4839"/>
    <w:rsid w:val="008B4D6A"/>
    <w:rsid w:val="008B5342"/>
    <w:rsid w:val="008B587D"/>
    <w:rsid w:val="008B64EA"/>
    <w:rsid w:val="008B6875"/>
    <w:rsid w:val="008B6A70"/>
    <w:rsid w:val="008B7394"/>
    <w:rsid w:val="008C1823"/>
    <w:rsid w:val="008C39DD"/>
    <w:rsid w:val="008C3C30"/>
    <w:rsid w:val="008C43DA"/>
    <w:rsid w:val="008C443C"/>
    <w:rsid w:val="008C523B"/>
    <w:rsid w:val="008C6A80"/>
    <w:rsid w:val="008C6E49"/>
    <w:rsid w:val="008C6F4C"/>
    <w:rsid w:val="008C71DE"/>
    <w:rsid w:val="008C7FC3"/>
    <w:rsid w:val="008D0FBE"/>
    <w:rsid w:val="008D1A11"/>
    <w:rsid w:val="008D2BB5"/>
    <w:rsid w:val="008D435F"/>
    <w:rsid w:val="008E1634"/>
    <w:rsid w:val="008E3937"/>
    <w:rsid w:val="008E4871"/>
    <w:rsid w:val="008E5892"/>
    <w:rsid w:val="008E5A4D"/>
    <w:rsid w:val="008E5A93"/>
    <w:rsid w:val="008E5F92"/>
    <w:rsid w:val="008E7216"/>
    <w:rsid w:val="008F2DA5"/>
    <w:rsid w:val="008F34BF"/>
    <w:rsid w:val="008F3A07"/>
    <w:rsid w:val="008F4E4C"/>
    <w:rsid w:val="008F505C"/>
    <w:rsid w:val="008F5A88"/>
    <w:rsid w:val="008F613D"/>
    <w:rsid w:val="008F7E6E"/>
    <w:rsid w:val="009002FD"/>
    <w:rsid w:val="00901E3D"/>
    <w:rsid w:val="009040CC"/>
    <w:rsid w:val="00905B49"/>
    <w:rsid w:val="00905EA4"/>
    <w:rsid w:val="0090600C"/>
    <w:rsid w:val="00911CFA"/>
    <w:rsid w:val="009125A9"/>
    <w:rsid w:val="00912E46"/>
    <w:rsid w:val="00913BFE"/>
    <w:rsid w:val="0091402A"/>
    <w:rsid w:val="00914F54"/>
    <w:rsid w:val="00915237"/>
    <w:rsid w:val="00915943"/>
    <w:rsid w:val="00917D10"/>
    <w:rsid w:val="009201DE"/>
    <w:rsid w:val="0092152C"/>
    <w:rsid w:val="00921F38"/>
    <w:rsid w:val="009237E4"/>
    <w:rsid w:val="0092383A"/>
    <w:rsid w:val="00925428"/>
    <w:rsid w:val="00925758"/>
    <w:rsid w:val="00925DDA"/>
    <w:rsid w:val="00927B97"/>
    <w:rsid w:val="00927E80"/>
    <w:rsid w:val="00930C5C"/>
    <w:rsid w:val="00931CBB"/>
    <w:rsid w:val="009325A7"/>
    <w:rsid w:val="00934C4B"/>
    <w:rsid w:val="00936245"/>
    <w:rsid w:val="00936AE5"/>
    <w:rsid w:val="009427A8"/>
    <w:rsid w:val="009434F5"/>
    <w:rsid w:val="00943D90"/>
    <w:rsid w:val="00945240"/>
    <w:rsid w:val="009476B4"/>
    <w:rsid w:val="00950ED2"/>
    <w:rsid w:val="009524ED"/>
    <w:rsid w:val="00955625"/>
    <w:rsid w:val="00955DA7"/>
    <w:rsid w:val="00955F26"/>
    <w:rsid w:val="009563A9"/>
    <w:rsid w:val="00956CCC"/>
    <w:rsid w:val="009571D7"/>
    <w:rsid w:val="0096002F"/>
    <w:rsid w:val="009622EB"/>
    <w:rsid w:val="00962F9B"/>
    <w:rsid w:val="0096595D"/>
    <w:rsid w:val="00965F2F"/>
    <w:rsid w:val="00966475"/>
    <w:rsid w:val="00967EBC"/>
    <w:rsid w:val="009712C9"/>
    <w:rsid w:val="00971718"/>
    <w:rsid w:val="00972985"/>
    <w:rsid w:val="00972D75"/>
    <w:rsid w:val="009738DF"/>
    <w:rsid w:val="009765BE"/>
    <w:rsid w:val="00977DF4"/>
    <w:rsid w:val="009808D0"/>
    <w:rsid w:val="0098093B"/>
    <w:rsid w:val="00980A9F"/>
    <w:rsid w:val="00982EDA"/>
    <w:rsid w:val="00983159"/>
    <w:rsid w:val="009840EB"/>
    <w:rsid w:val="009852A3"/>
    <w:rsid w:val="00985391"/>
    <w:rsid w:val="00985723"/>
    <w:rsid w:val="00986CA0"/>
    <w:rsid w:val="00986D7A"/>
    <w:rsid w:val="00986F04"/>
    <w:rsid w:val="0098716E"/>
    <w:rsid w:val="009902FC"/>
    <w:rsid w:val="0099161E"/>
    <w:rsid w:val="00992367"/>
    <w:rsid w:val="00992489"/>
    <w:rsid w:val="00993A48"/>
    <w:rsid w:val="00993C04"/>
    <w:rsid w:val="0099475B"/>
    <w:rsid w:val="009961C4"/>
    <w:rsid w:val="009A027A"/>
    <w:rsid w:val="009A028B"/>
    <w:rsid w:val="009A032C"/>
    <w:rsid w:val="009A0430"/>
    <w:rsid w:val="009A0628"/>
    <w:rsid w:val="009A11A8"/>
    <w:rsid w:val="009A2526"/>
    <w:rsid w:val="009A2FD8"/>
    <w:rsid w:val="009A428A"/>
    <w:rsid w:val="009A4EED"/>
    <w:rsid w:val="009A703C"/>
    <w:rsid w:val="009B2FD8"/>
    <w:rsid w:val="009B4A36"/>
    <w:rsid w:val="009B5181"/>
    <w:rsid w:val="009B6759"/>
    <w:rsid w:val="009B67A2"/>
    <w:rsid w:val="009B76B1"/>
    <w:rsid w:val="009C0013"/>
    <w:rsid w:val="009C0856"/>
    <w:rsid w:val="009C1D82"/>
    <w:rsid w:val="009C35B3"/>
    <w:rsid w:val="009C4567"/>
    <w:rsid w:val="009C4BEB"/>
    <w:rsid w:val="009C4C55"/>
    <w:rsid w:val="009C5157"/>
    <w:rsid w:val="009C5B3B"/>
    <w:rsid w:val="009C5C1F"/>
    <w:rsid w:val="009C61D1"/>
    <w:rsid w:val="009C6663"/>
    <w:rsid w:val="009C686F"/>
    <w:rsid w:val="009C6D02"/>
    <w:rsid w:val="009D0172"/>
    <w:rsid w:val="009D2155"/>
    <w:rsid w:val="009D32FF"/>
    <w:rsid w:val="009D369E"/>
    <w:rsid w:val="009D3A70"/>
    <w:rsid w:val="009D4BD0"/>
    <w:rsid w:val="009D5504"/>
    <w:rsid w:val="009D5692"/>
    <w:rsid w:val="009D5841"/>
    <w:rsid w:val="009D643D"/>
    <w:rsid w:val="009D64E9"/>
    <w:rsid w:val="009D7400"/>
    <w:rsid w:val="009E0689"/>
    <w:rsid w:val="009E32B5"/>
    <w:rsid w:val="009E36E5"/>
    <w:rsid w:val="009E391B"/>
    <w:rsid w:val="009E3B3A"/>
    <w:rsid w:val="009E4D55"/>
    <w:rsid w:val="009E672D"/>
    <w:rsid w:val="009E7C95"/>
    <w:rsid w:val="009F08E9"/>
    <w:rsid w:val="009F1409"/>
    <w:rsid w:val="009F1AF0"/>
    <w:rsid w:val="009F1FE8"/>
    <w:rsid w:val="009F26C2"/>
    <w:rsid w:val="009F34FF"/>
    <w:rsid w:val="009F4FFA"/>
    <w:rsid w:val="009F6154"/>
    <w:rsid w:val="009F7521"/>
    <w:rsid w:val="009F7E86"/>
    <w:rsid w:val="00A0394C"/>
    <w:rsid w:val="00A03ECA"/>
    <w:rsid w:val="00A041AD"/>
    <w:rsid w:val="00A0568B"/>
    <w:rsid w:val="00A06EA2"/>
    <w:rsid w:val="00A070AD"/>
    <w:rsid w:val="00A1077D"/>
    <w:rsid w:val="00A107BD"/>
    <w:rsid w:val="00A11C01"/>
    <w:rsid w:val="00A12327"/>
    <w:rsid w:val="00A127A2"/>
    <w:rsid w:val="00A12CCA"/>
    <w:rsid w:val="00A12DC8"/>
    <w:rsid w:val="00A13635"/>
    <w:rsid w:val="00A13E36"/>
    <w:rsid w:val="00A13ED3"/>
    <w:rsid w:val="00A15DB5"/>
    <w:rsid w:val="00A16074"/>
    <w:rsid w:val="00A16288"/>
    <w:rsid w:val="00A16C6C"/>
    <w:rsid w:val="00A17D3E"/>
    <w:rsid w:val="00A20901"/>
    <w:rsid w:val="00A21023"/>
    <w:rsid w:val="00A21200"/>
    <w:rsid w:val="00A21214"/>
    <w:rsid w:val="00A21A3C"/>
    <w:rsid w:val="00A23914"/>
    <w:rsid w:val="00A23C42"/>
    <w:rsid w:val="00A246AE"/>
    <w:rsid w:val="00A2545C"/>
    <w:rsid w:val="00A30C0A"/>
    <w:rsid w:val="00A30DAF"/>
    <w:rsid w:val="00A313FC"/>
    <w:rsid w:val="00A31CC3"/>
    <w:rsid w:val="00A331AE"/>
    <w:rsid w:val="00A33293"/>
    <w:rsid w:val="00A337B1"/>
    <w:rsid w:val="00A33937"/>
    <w:rsid w:val="00A35859"/>
    <w:rsid w:val="00A358DB"/>
    <w:rsid w:val="00A35BD3"/>
    <w:rsid w:val="00A35DAF"/>
    <w:rsid w:val="00A37196"/>
    <w:rsid w:val="00A407FF"/>
    <w:rsid w:val="00A40C1E"/>
    <w:rsid w:val="00A4133D"/>
    <w:rsid w:val="00A41DA9"/>
    <w:rsid w:val="00A42B32"/>
    <w:rsid w:val="00A42C4D"/>
    <w:rsid w:val="00A42CDF"/>
    <w:rsid w:val="00A431EC"/>
    <w:rsid w:val="00A43487"/>
    <w:rsid w:val="00A46C74"/>
    <w:rsid w:val="00A47378"/>
    <w:rsid w:val="00A47459"/>
    <w:rsid w:val="00A47DEF"/>
    <w:rsid w:val="00A51C96"/>
    <w:rsid w:val="00A53543"/>
    <w:rsid w:val="00A542CF"/>
    <w:rsid w:val="00A54A45"/>
    <w:rsid w:val="00A553DE"/>
    <w:rsid w:val="00A55E00"/>
    <w:rsid w:val="00A56EC4"/>
    <w:rsid w:val="00A57E21"/>
    <w:rsid w:val="00A612B7"/>
    <w:rsid w:val="00A631BF"/>
    <w:rsid w:val="00A6357E"/>
    <w:rsid w:val="00A644A2"/>
    <w:rsid w:val="00A658CC"/>
    <w:rsid w:val="00A669B0"/>
    <w:rsid w:val="00A66DA7"/>
    <w:rsid w:val="00A67455"/>
    <w:rsid w:val="00A7149F"/>
    <w:rsid w:val="00A71618"/>
    <w:rsid w:val="00A719ED"/>
    <w:rsid w:val="00A71E0D"/>
    <w:rsid w:val="00A72E49"/>
    <w:rsid w:val="00A736B9"/>
    <w:rsid w:val="00A741AA"/>
    <w:rsid w:val="00A74DF1"/>
    <w:rsid w:val="00A7526E"/>
    <w:rsid w:val="00A7577C"/>
    <w:rsid w:val="00A760DD"/>
    <w:rsid w:val="00A761A0"/>
    <w:rsid w:val="00A76947"/>
    <w:rsid w:val="00A76B3D"/>
    <w:rsid w:val="00A76EE2"/>
    <w:rsid w:val="00A80062"/>
    <w:rsid w:val="00A80851"/>
    <w:rsid w:val="00A8091D"/>
    <w:rsid w:val="00A84BC3"/>
    <w:rsid w:val="00A87A62"/>
    <w:rsid w:val="00A901F7"/>
    <w:rsid w:val="00A90F5E"/>
    <w:rsid w:val="00A9150F"/>
    <w:rsid w:val="00A92B10"/>
    <w:rsid w:val="00A93B26"/>
    <w:rsid w:val="00A93CBE"/>
    <w:rsid w:val="00A944D2"/>
    <w:rsid w:val="00A9465F"/>
    <w:rsid w:val="00A94688"/>
    <w:rsid w:val="00A94CC4"/>
    <w:rsid w:val="00A94EA5"/>
    <w:rsid w:val="00A961F2"/>
    <w:rsid w:val="00A97110"/>
    <w:rsid w:val="00AA095D"/>
    <w:rsid w:val="00AA12D4"/>
    <w:rsid w:val="00AA30C7"/>
    <w:rsid w:val="00AA4DF8"/>
    <w:rsid w:val="00AA4FFF"/>
    <w:rsid w:val="00AA712A"/>
    <w:rsid w:val="00AA789A"/>
    <w:rsid w:val="00AB1751"/>
    <w:rsid w:val="00AB1845"/>
    <w:rsid w:val="00AB21BD"/>
    <w:rsid w:val="00AB21C7"/>
    <w:rsid w:val="00AB2FE1"/>
    <w:rsid w:val="00AB33B9"/>
    <w:rsid w:val="00AB39E8"/>
    <w:rsid w:val="00AB5969"/>
    <w:rsid w:val="00AB759F"/>
    <w:rsid w:val="00AB76CA"/>
    <w:rsid w:val="00AC0F85"/>
    <w:rsid w:val="00AC122B"/>
    <w:rsid w:val="00AC1F9C"/>
    <w:rsid w:val="00AC21DD"/>
    <w:rsid w:val="00AC57C6"/>
    <w:rsid w:val="00AC586E"/>
    <w:rsid w:val="00AC65F5"/>
    <w:rsid w:val="00AC76A5"/>
    <w:rsid w:val="00AD024E"/>
    <w:rsid w:val="00AD578C"/>
    <w:rsid w:val="00AD5BD1"/>
    <w:rsid w:val="00AD60F6"/>
    <w:rsid w:val="00AD6343"/>
    <w:rsid w:val="00AD73F3"/>
    <w:rsid w:val="00AE1BFC"/>
    <w:rsid w:val="00AE3125"/>
    <w:rsid w:val="00AE3553"/>
    <w:rsid w:val="00AE4187"/>
    <w:rsid w:val="00AE41E7"/>
    <w:rsid w:val="00AE48BA"/>
    <w:rsid w:val="00AF033D"/>
    <w:rsid w:val="00AF1E8C"/>
    <w:rsid w:val="00AF2274"/>
    <w:rsid w:val="00AF3A10"/>
    <w:rsid w:val="00AF432B"/>
    <w:rsid w:val="00AF4516"/>
    <w:rsid w:val="00AF4D50"/>
    <w:rsid w:val="00AF4FBB"/>
    <w:rsid w:val="00AF53F3"/>
    <w:rsid w:val="00AF5C2D"/>
    <w:rsid w:val="00AF5E47"/>
    <w:rsid w:val="00AF62FA"/>
    <w:rsid w:val="00AF635C"/>
    <w:rsid w:val="00B00483"/>
    <w:rsid w:val="00B0111F"/>
    <w:rsid w:val="00B02C3F"/>
    <w:rsid w:val="00B03318"/>
    <w:rsid w:val="00B03777"/>
    <w:rsid w:val="00B03ED7"/>
    <w:rsid w:val="00B04CE7"/>
    <w:rsid w:val="00B07455"/>
    <w:rsid w:val="00B07859"/>
    <w:rsid w:val="00B07C47"/>
    <w:rsid w:val="00B10C0D"/>
    <w:rsid w:val="00B112F5"/>
    <w:rsid w:val="00B11E43"/>
    <w:rsid w:val="00B1291A"/>
    <w:rsid w:val="00B1570D"/>
    <w:rsid w:val="00B172A3"/>
    <w:rsid w:val="00B17791"/>
    <w:rsid w:val="00B20B39"/>
    <w:rsid w:val="00B21DB8"/>
    <w:rsid w:val="00B21F84"/>
    <w:rsid w:val="00B2203C"/>
    <w:rsid w:val="00B23352"/>
    <w:rsid w:val="00B23DC5"/>
    <w:rsid w:val="00B245D8"/>
    <w:rsid w:val="00B261DD"/>
    <w:rsid w:val="00B26812"/>
    <w:rsid w:val="00B271FC"/>
    <w:rsid w:val="00B275B3"/>
    <w:rsid w:val="00B275EE"/>
    <w:rsid w:val="00B27725"/>
    <w:rsid w:val="00B300FB"/>
    <w:rsid w:val="00B30A3A"/>
    <w:rsid w:val="00B31477"/>
    <w:rsid w:val="00B3154A"/>
    <w:rsid w:val="00B3269F"/>
    <w:rsid w:val="00B32F56"/>
    <w:rsid w:val="00B331AA"/>
    <w:rsid w:val="00B34189"/>
    <w:rsid w:val="00B347EC"/>
    <w:rsid w:val="00B352BD"/>
    <w:rsid w:val="00B35A1A"/>
    <w:rsid w:val="00B36447"/>
    <w:rsid w:val="00B3750C"/>
    <w:rsid w:val="00B377E0"/>
    <w:rsid w:val="00B37EA1"/>
    <w:rsid w:val="00B40280"/>
    <w:rsid w:val="00B4110B"/>
    <w:rsid w:val="00B41A6A"/>
    <w:rsid w:val="00B41FE9"/>
    <w:rsid w:val="00B42471"/>
    <w:rsid w:val="00B44B78"/>
    <w:rsid w:val="00B4634E"/>
    <w:rsid w:val="00B46CF7"/>
    <w:rsid w:val="00B46F0C"/>
    <w:rsid w:val="00B47480"/>
    <w:rsid w:val="00B508B8"/>
    <w:rsid w:val="00B512E1"/>
    <w:rsid w:val="00B51E93"/>
    <w:rsid w:val="00B52107"/>
    <w:rsid w:val="00B54396"/>
    <w:rsid w:val="00B5683D"/>
    <w:rsid w:val="00B57B63"/>
    <w:rsid w:val="00B57C12"/>
    <w:rsid w:val="00B60968"/>
    <w:rsid w:val="00B61BF2"/>
    <w:rsid w:val="00B61D17"/>
    <w:rsid w:val="00B62941"/>
    <w:rsid w:val="00B62DBC"/>
    <w:rsid w:val="00B64C09"/>
    <w:rsid w:val="00B6592C"/>
    <w:rsid w:val="00B67191"/>
    <w:rsid w:val="00B70198"/>
    <w:rsid w:val="00B70A83"/>
    <w:rsid w:val="00B71B87"/>
    <w:rsid w:val="00B71D96"/>
    <w:rsid w:val="00B7217E"/>
    <w:rsid w:val="00B72F9D"/>
    <w:rsid w:val="00B72FC4"/>
    <w:rsid w:val="00B7433C"/>
    <w:rsid w:val="00B746CE"/>
    <w:rsid w:val="00B748A6"/>
    <w:rsid w:val="00B74BB6"/>
    <w:rsid w:val="00B75920"/>
    <w:rsid w:val="00B76153"/>
    <w:rsid w:val="00B76A8F"/>
    <w:rsid w:val="00B77165"/>
    <w:rsid w:val="00B77B06"/>
    <w:rsid w:val="00B77EB6"/>
    <w:rsid w:val="00B80A7D"/>
    <w:rsid w:val="00B81145"/>
    <w:rsid w:val="00B82204"/>
    <w:rsid w:val="00B83FC2"/>
    <w:rsid w:val="00B85D97"/>
    <w:rsid w:val="00B8635B"/>
    <w:rsid w:val="00B86A91"/>
    <w:rsid w:val="00B86EC9"/>
    <w:rsid w:val="00B8758F"/>
    <w:rsid w:val="00B909C6"/>
    <w:rsid w:val="00B90B59"/>
    <w:rsid w:val="00B924A2"/>
    <w:rsid w:val="00B94AA0"/>
    <w:rsid w:val="00B9559F"/>
    <w:rsid w:val="00B9618B"/>
    <w:rsid w:val="00BA055E"/>
    <w:rsid w:val="00BA07C9"/>
    <w:rsid w:val="00BA16F1"/>
    <w:rsid w:val="00BA1B5B"/>
    <w:rsid w:val="00BA20A2"/>
    <w:rsid w:val="00BA3717"/>
    <w:rsid w:val="00BA3F69"/>
    <w:rsid w:val="00BA5E76"/>
    <w:rsid w:val="00BA65CF"/>
    <w:rsid w:val="00BB06BE"/>
    <w:rsid w:val="00BB1780"/>
    <w:rsid w:val="00BB1B81"/>
    <w:rsid w:val="00BB24C4"/>
    <w:rsid w:val="00BB2703"/>
    <w:rsid w:val="00BB2B88"/>
    <w:rsid w:val="00BB345A"/>
    <w:rsid w:val="00BB3FB1"/>
    <w:rsid w:val="00BB4675"/>
    <w:rsid w:val="00BB6772"/>
    <w:rsid w:val="00BB7A04"/>
    <w:rsid w:val="00BC01D5"/>
    <w:rsid w:val="00BC04E0"/>
    <w:rsid w:val="00BC07DF"/>
    <w:rsid w:val="00BC1186"/>
    <w:rsid w:val="00BC1385"/>
    <w:rsid w:val="00BC1A08"/>
    <w:rsid w:val="00BC304B"/>
    <w:rsid w:val="00BC376A"/>
    <w:rsid w:val="00BC4C27"/>
    <w:rsid w:val="00BC5337"/>
    <w:rsid w:val="00BC59AA"/>
    <w:rsid w:val="00BC65FD"/>
    <w:rsid w:val="00BC6CDD"/>
    <w:rsid w:val="00BC6E26"/>
    <w:rsid w:val="00BC71F5"/>
    <w:rsid w:val="00BD04E4"/>
    <w:rsid w:val="00BD078C"/>
    <w:rsid w:val="00BD56CD"/>
    <w:rsid w:val="00BD5A25"/>
    <w:rsid w:val="00BD5B03"/>
    <w:rsid w:val="00BD648F"/>
    <w:rsid w:val="00BD683F"/>
    <w:rsid w:val="00BD729F"/>
    <w:rsid w:val="00BE0666"/>
    <w:rsid w:val="00BE2575"/>
    <w:rsid w:val="00BE3154"/>
    <w:rsid w:val="00BE3960"/>
    <w:rsid w:val="00BE4141"/>
    <w:rsid w:val="00BE5855"/>
    <w:rsid w:val="00BE6438"/>
    <w:rsid w:val="00BE7A74"/>
    <w:rsid w:val="00BF1133"/>
    <w:rsid w:val="00BF16FD"/>
    <w:rsid w:val="00BF19F3"/>
    <w:rsid w:val="00BF36B7"/>
    <w:rsid w:val="00BF40F1"/>
    <w:rsid w:val="00BF46FF"/>
    <w:rsid w:val="00BF598D"/>
    <w:rsid w:val="00BF5AE5"/>
    <w:rsid w:val="00C00251"/>
    <w:rsid w:val="00C01074"/>
    <w:rsid w:val="00C0131C"/>
    <w:rsid w:val="00C01CE3"/>
    <w:rsid w:val="00C03CB0"/>
    <w:rsid w:val="00C06558"/>
    <w:rsid w:val="00C06930"/>
    <w:rsid w:val="00C07439"/>
    <w:rsid w:val="00C079BF"/>
    <w:rsid w:val="00C133D2"/>
    <w:rsid w:val="00C13448"/>
    <w:rsid w:val="00C13665"/>
    <w:rsid w:val="00C138B5"/>
    <w:rsid w:val="00C2018E"/>
    <w:rsid w:val="00C20DFA"/>
    <w:rsid w:val="00C22BCB"/>
    <w:rsid w:val="00C22E20"/>
    <w:rsid w:val="00C25A12"/>
    <w:rsid w:val="00C26D9F"/>
    <w:rsid w:val="00C27685"/>
    <w:rsid w:val="00C276B1"/>
    <w:rsid w:val="00C27E75"/>
    <w:rsid w:val="00C30587"/>
    <w:rsid w:val="00C30E13"/>
    <w:rsid w:val="00C31FD7"/>
    <w:rsid w:val="00C3280A"/>
    <w:rsid w:val="00C3326F"/>
    <w:rsid w:val="00C34319"/>
    <w:rsid w:val="00C34E6F"/>
    <w:rsid w:val="00C3504C"/>
    <w:rsid w:val="00C35173"/>
    <w:rsid w:val="00C35265"/>
    <w:rsid w:val="00C36822"/>
    <w:rsid w:val="00C371E0"/>
    <w:rsid w:val="00C3780E"/>
    <w:rsid w:val="00C37871"/>
    <w:rsid w:val="00C41DE2"/>
    <w:rsid w:val="00C42B44"/>
    <w:rsid w:val="00C42DBC"/>
    <w:rsid w:val="00C437A8"/>
    <w:rsid w:val="00C43B26"/>
    <w:rsid w:val="00C440E2"/>
    <w:rsid w:val="00C45ACA"/>
    <w:rsid w:val="00C461FE"/>
    <w:rsid w:val="00C46503"/>
    <w:rsid w:val="00C5137C"/>
    <w:rsid w:val="00C54CA7"/>
    <w:rsid w:val="00C55590"/>
    <w:rsid w:val="00C57CB1"/>
    <w:rsid w:val="00C60466"/>
    <w:rsid w:val="00C61743"/>
    <w:rsid w:val="00C62D81"/>
    <w:rsid w:val="00C6300E"/>
    <w:rsid w:val="00C64044"/>
    <w:rsid w:val="00C66556"/>
    <w:rsid w:val="00C67079"/>
    <w:rsid w:val="00C678A0"/>
    <w:rsid w:val="00C7044D"/>
    <w:rsid w:val="00C70934"/>
    <w:rsid w:val="00C70B95"/>
    <w:rsid w:val="00C71E55"/>
    <w:rsid w:val="00C72F6B"/>
    <w:rsid w:val="00C74537"/>
    <w:rsid w:val="00C75247"/>
    <w:rsid w:val="00C754B4"/>
    <w:rsid w:val="00C7601F"/>
    <w:rsid w:val="00C764B9"/>
    <w:rsid w:val="00C76B74"/>
    <w:rsid w:val="00C76E09"/>
    <w:rsid w:val="00C81F13"/>
    <w:rsid w:val="00C832D8"/>
    <w:rsid w:val="00C83BCC"/>
    <w:rsid w:val="00C83F70"/>
    <w:rsid w:val="00C8414A"/>
    <w:rsid w:val="00C8505E"/>
    <w:rsid w:val="00C85707"/>
    <w:rsid w:val="00C860AB"/>
    <w:rsid w:val="00C87F36"/>
    <w:rsid w:val="00C901EC"/>
    <w:rsid w:val="00C90931"/>
    <w:rsid w:val="00C9540F"/>
    <w:rsid w:val="00C95461"/>
    <w:rsid w:val="00CA0923"/>
    <w:rsid w:val="00CA0E3A"/>
    <w:rsid w:val="00CA0F76"/>
    <w:rsid w:val="00CA1D22"/>
    <w:rsid w:val="00CA4C74"/>
    <w:rsid w:val="00CA5BA5"/>
    <w:rsid w:val="00CA5EE2"/>
    <w:rsid w:val="00CA6E19"/>
    <w:rsid w:val="00CA71E9"/>
    <w:rsid w:val="00CA7A6F"/>
    <w:rsid w:val="00CA7A90"/>
    <w:rsid w:val="00CA7F7F"/>
    <w:rsid w:val="00CB03FB"/>
    <w:rsid w:val="00CB078F"/>
    <w:rsid w:val="00CB19C9"/>
    <w:rsid w:val="00CB320F"/>
    <w:rsid w:val="00CB3BD8"/>
    <w:rsid w:val="00CB3F2B"/>
    <w:rsid w:val="00CB52F2"/>
    <w:rsid w:val="00CB5979"/>
    <w:rsid w:val="00CB5D58"/>
    <w:rsid w:val="00CC1012"/>
    <w:rsid w:val="00CC25D5"/>
    <w:rsid w:val="00CC53DB"/>
    <w:rsid w:val="00CC7681"/>
    <w:rsid w:val="00CD0475"/>
    <w:rsid w:val="00CD10BA"/>
    <w:rsid w:val="00CD1E53"/>
    <w:rsid w:val="00CD4622"/>
    <w:rsid w:val="00CD5402"/>
    <w:rsid w:val="00CD595D"/>
    <w:rsid w:val="00CD5A59"/>
    <w:rsid w:val="00CD5C28"/>
    <w:rsid w:val="00CD76CF"/>
    <w:rsid w:val="00CE04ED"/>
    <w:rsid w:val="00CE0D2B"/>
    <w:rsid w:val="00CE14FC"/>
    <w:rsid w:val="00CE203A"/>
    <w:rsid w:val="00CE219F"/>
    <w:rsid w:val="00CE2AAE"/>
    <w:rsid w:val="00CE3145"/>
    <w:rsid w:val="00CE41D3"/>
    <w:rsid w:val="00CE41E3"/>
    <w:rsid w:val="00CE5667"/>
    <w:rsid w:val="00CE6562"/>
    <w:rsid w:val="00CE66F3"/>
    <w:rsid w:val="00CF0571"/>
    <w:rsid w:val="00CF0AC1"/>
    <w:rsid w:val="00CF48BC"/>
    <w:rsid w:val="00CF5E72"/>
    <w:rsid w:val="00CF69D4"/>
    <w:rsid w:val="00CF7700"/>
    <w:rsid w:val="00D006F8"/>
    <w:rsid w:val="00D01DA4"/>
    <w:rsid w:val="00D03FD1"/>
    <w:rsid w:val="00D04EE3"/>
    <w:rsid w:val="00D05CC0"/>
    <w:rsid w:val="00D07333"/>
    <w:rsid w:val="00D1064A"/>
    <w:rsid w:val="00D10CE6"/>
    <w:rsid w:val="00D10E2F"/>
    <w:rsid w:val="00D11F67"/>
    <w:rsid w:val="00D12211"/>
    <w:rsid w:val="00D12CF8"/>
    <w:rsid w:val="00D12FED"/>
    <w:rsid w:val="00D14D6F"/>
    <w:rsid w:val="00D155C5"/>
    <w:rsid w:val="00D15DFA"/>
    <w:rsid w:val="00D16549"/>
    <w:rsid w:val="00D1683A"/>
    <w:rsid w:val="00D16C7D"/>
    <w:rsid w:val="00D1744B"/>
    <w:rsid w:val="00D20909"/>
    <w:rsid w:val="00D21177"/>
    <w:rsid w:val="00D22946"/>
    <w:rsid w:val="00D2307F"/>
    <w:rsid w:val="00D23BB9"/>
    <w:rsid w:val="00D24803"/>
    <w:rsid w:val="00D25308"/>
    <w:rsid w:val="00D25AD0"/>
    <w:rsid w:val="00D27966"/>
    <w:rsid w:val="00D27E54"/>
    <w:rsid w:val="00D304B8"/>
    <w:rsid w:val="00D306F3"/>
    <w:rsid w:val="00D30AEE"/>
    <w:rsid w:val="00D30C79"/>
    <w:rsid w:val="00D317B6"/>
    <w:rsid w:val="00D332B3"/>
    <w:rsid w:val="00D336F7"/>
    <w:rsid w:val="00D3557D"/>
    <w:rsid w:val="00D40373"/>
    <w:rsid w:val="00D404A0"/>
    <w:rsid w:val="00D4207E"/>
    <w:rsid w:val="00D44E5A"/>
    <w:rsid w:val="00D454A5"/>
    <w:rsid w:val="00D4690A"/>
    <w:rsid w:val="00D46D79"/>
    <w:rsid w:val="00D47A72"/>
    <w:rsid w:val="00D5105A"/>
    <w:rsid w:val="00D511A2"/>
    <w:rsid w:val="00D517F9"/>
    <w:rsid w:val="00D537A5"/>
    <w:rsid w:val="00D54B6B"/>
    <w:rsid w:val="00D5525B"/>
    <w:rsid w:val="00D5732F"/>
    <w:rsid w:val="00D607CA"/>
    <w:rsid w:val="00D60A5B"/>
    <w:rsid w:val="00D6144B"/>
    <w:rsid w:val="00D61E33"/>
    <w:rsid w:val="00D655D8"/>
    <w:rsid w:val="00D662D8"/>
    <w:rsid w:val="00D67194"/>
    <w:rsid w:val="00D672CD"/>
    <w:rsid w:val="00D67C29"/>
    <w:rsid w:val="00D67F5D"/>
    <w:rsid w:val="00D700ED"/>
    <w:rsid w:val="00D700F1"/>
    <w:rsid w:val="00D70775"/>
    <w:rsid w:val="00D71159"/>
    <w:rsid w:val="00D722CA"/>
    <w:rsid w:val="00D72F66"/>
    <w:rsid w:val="00D73265"/>
    <w:rsid w:val="00D73E41"/>
    <w:rsid w:val="00D779B2"/>
    <w:rsid w:val="00D77A6F"/>
    <w:rsid w:val="00D81112"/>
    <w:rsid w:val="00D82A85"/>
    <w:rsid w:val="00D8340F"/>
    <w:rsid w:val="00D844C5"/>
    <w:rsid w:val="00D84516"/>
    <w:rsid w:val="00D84977"/>
    <w:rsid w:val="00D85BC8"/>
    <w:rsid w:val="00D862B8"/>
    <w:rsid w:val="00D87686"/>
    <w:rsid w:val="00D90255"/>
    <w:rsid w:val="00D90A70"/>
    <w:rsid w:val="00D90AAC"/>
    <w:rsid w:val="00D9278C"/>
    <w:rsid w:val="00D92888"/>
    <w:rsid w:val="00D944A0"/>
    <w:rsid w:val="00D94B8E"/>
    <w:rsid w:val="00D951E7"/>
    <w:rsid w:val="00D969B0"/>
    <w:rsid w:val="00D972E1"/>
    <w:rsid w:val="00D97382"/>
    <w:rsid w:val="00DA062D"/>
    <w:rsid w:val="00DA0BB0"/>
    <w:rsid w:val="00DA1054"/>
    <w:rsid w:val="00DA1E5A"/>
    <w:rsid w:val="00DA216D"/>
    <w:rsid w:val="00DA23D7"/>
    <w:rsid w:val="00DA4064"/>
    <w:rsid w:val="00DA4AC8"/>
    <w:rsid w:val="00DA4BF5"/>
    <w:rsid w:val="00DA529F"/>
    <w:rsid w:val="00DA569A"/>
    <w:rsid w:val="00DA5788"/>
    <w:rsid w:val="00DA7462"/>
    <w:rsid w:val="00DA76ED"/>
    <w:rsid w:val="00DA77FB"/>
    <w:rsid w:val="00DB00B9"/>
    <w:rsid w:val="00DB0A45"/>
    <w:rsid w:val="00DB129C"/>
    <w:rsid w:val="00DB1847"/>
    <w:rsid w:val="00DB23B7"/>
    <w:rsid w:val="00DB2DAE"/>
    <w:rsid w:val="00DB3318"/>
    <w:rsid w:val="00DB449E"/>
    <w:rsid w:val="00DB4C4C"/>
    <w:rsid w:val="00DB506F"/>
    <w:rsid w:val="00DB595D"/>
    <w:rsid w:val="00DB5FA0"/>
    <w:rsid w:val="00DB6C46"/>
    <w:rsid w:val="00DB713E"/>
    <w:rsid w:val="00DC07FE"/>
    <w:rsid w:val="00DC1C34"/>
    <w:rsid w:val="00DC2755"/>
    <w:rsid w:val="00DC3401"/>
    <w:rsid w:val="00DC35F9"/>
    <w:rsid w:val="00DC45F4"/>
    <w:rsid w:val="00DC4662"/>
    <w:rsid w:val="00DC4704"/>
    <w:rsid w:val="00DC4E42"/>
    <w:rsid w:val="00DC54D7"/>
    <w:rsid w:val="00DC681B"/>
    <w:rsid w:val="00DC7F7B"/>
    <w:rsid w:val="00DD023A"/>
    <w:rsid w:val="00DD05EB"/>
    <w:rsid w:val="00DD4964"/>
    <w:rsid w:val="00DD4D47"/>
    <w:rsid w:val="00DD57B4"/>
    <w:rsid w:val="00DD6111"/>
    <w:rsid w:val="00DD687B"/>
    <w:rsid w:val="00DE0E18"/>
    <w:rsid w:val="00DE1CD5"/>
    <w:rsid w:val="00DE2323"/>
    <w:rsid w:val="00DE2D80"/>
    <w:rsid w:val="00DE6541"/>
    <w:rsid w:val="00DE6DC8"/>
    <w:rsid w:val="00DE7794"/>
    <w:rsid w:val="00DF08FE"/>
    <w:rsid w:val="00DF0D51"/>
    <w:rsid w:val="00DF11A4"/>
    <w:rsid w:val="00DF11BD"/>
    <w:rsid w:val="00DF33DB"/>
    <w:rsid w:val="00DF43A5"/>
    <w:rsid w:val="00DF4519"/>
    <w:rsid w:val="00DF4761"/>
    <w:rsid w:val="00DF476B"/>
    <w:rsid w:val="00DF62B8"/>
    <w:rsid w:val="00DF6D79"/>
    <w:rsid w:val="00DF766E"/>
    <w:rsid w:val="00DF77BD"/>
    <w:rsid w:val="00E011AC"/>
    <w:rsid w:val="00E0359D"/>
    <w:rsid w:val="00E03809"/>
    <w:rsid w:val="00E05332"/>
    <w:rsid w:val="00E05A9D"/>
    <w:rsid w:val="00E05F2F"/>
    <w:rsid w:val="00E12A0D"/>
    <w:rsid w:val="00E1414D"/>
    <w:rsid w:val="00E15170"/>
    <w:rsid w:val="00E1523B"/>
    <w:rsid w:val="00E210DC"/>
    <w:rsid w:val="00E24696"/>
    <w:rsid w:val="00E24A4B"/>
    <w:rsid w:val="00E24F19"/>
    <w:rsid w:val="00E25EE0"/>
    <w:rsid w:val="00E26A3C"/>
    <w:rsid w:val="00E26EC0"/>
    <w:rsid w:val="00E3285F"/>
    <w:rsid w:val="00E334F9"/>
    <w:rsid w:val="00E36EBF"/>
    <w:rsid w:val="00E37D78"/>
    <w:rsid w:val="00E4063B"/>
    <w:rsid w:val="00E40831"/>
    <w:rsid w:val="00E409C9"/>
    <w:rsid w:val="00E43378"/>
    <w:rsid w:val="00E4579D"/>
    <w:rsid w:val="00E4652C"/>
    <w:rsid w:val="00E46530"/>
    <w:rsid w:val="00E473C6"/>
    <w:rsid w:val="00E5185B"/>
    <w:rsid w:val="00E51E5A"/>
    <w:rsid w:val="00E55138"/>
    <w:rsid w:val="00E55EAC"/>
    <w:rsid w:val="00E565CD"/>
    <w:rsid w:val="00E56E03"/>
    <w:rsid w:val="00E603F5"/>
    <w:rsid w:val="00E60EBB"/>
    <w:rsid w:val="00E620C7"/>
    <w:rsid w:val="00E6265E"/>
    <w:rsid w:val="00E6489B"/>
    <w:rsid w:val="00E657C3"/>
    <w:rsid w:val="00E668BF"/>
    <w:rsid w:val="00E67232"/>
    <w:rsid w:val="00E67234"/>
    <w:rsid w:val="00E7035D"/>
    <w:rsid w:val="00E70648"/>
    <w:rsid w:val="00E70B97"/>
    <w:rsid w:val="00E7110F"/>
    <w:rsid w:val="00E72116"/>
    <w:rsid w:val="00E7245B"/>
    <w:rsid w:val="00E725F2"/>
    <w:rsid w:val="00E729F8"/>
    <w:rsid w:val="00E72F38"/>
    <w:rsid w:val="00E73E43"/>
    <w:rsid w:val="00E74933"/>
    <w:rsid w:val="00E7547E"/>
    <w:rsid w:val="00E75666"/>
    <w:rsid w:val="00E80283"/>
    <w:rsid w:val="00E829A9"/>
    <w:rsid w:val="00E82C65"/>
    <w:rsid w:val="00E82CFD"/>
    <w:rsid w:val="00E846B4"/>
    <w:rsid w:val="00E84A1D"/>
    <w:rsid w:val="00E84A51"/>
    <w:rsid w:val="00E85359"/>
    <w:rsid w:val="00E85EDF"/>
    <w:rsid w:val="00E877E6"/>
    <w:rsid w:val="00E90A0E"/>
    <w:rsid w:val="00E90E1E"/>
    <w:rsid w:val="00E915CD"/>
    <w:rsid w:val="00E917E0"/>
    <w:rsid w:val="00E93530"/>
    <w:rsid w:val="00E95305"/>
    <w:rsid w:val="00E96524"/>
    <w:rsid w:val="00E96995"/>
    <w:rsid w:val="00E96AB3"/>
    <w:rsid w:val="00E96C36"/>
    <w:rsid w:val="00E97231"/>
    <w:rsid w:val="00EA0D3C"/>
    <w:rsid w:val="00EA243A"/>
    <w:rsid w:val="00EA24B3"/>
    <w:rsid w:val="00EA2719"/>
    <w:rsid w:val="00EA2C20"/>
    <w:rsid w:val="00EA3674"/>
    <w:rsid w:val="00EA36D3"/>
    <w:rsid w:val="00EA39A5"/>
    <w:rsid w:val="00EA750E"/>
    <w:rsid w:val="00EA7E38"/>
    <w:rsid w:val="00EB017F"/>
    <w:rsid w:val="00EB0275"/>
    <w:rsid w:val="00EB1188"/>
    <w:rsid w:val="00EB23A9"/>
    <w:rsid w:val="00EB267E"/>
    <w:rsid w:val="00EB4733"/>
    <w:rsid w:val="00EB5EA7"/>
    <w:rsid w:val="00EB699F"/>
    <w:rsid w:val="00EB69E0"/>
    <w:rsid w:val="00EC0C37"/>
    <w:rsid w:val="00EC10B5"/>
    <w:rsid w:val="00EC3A3A"/>
    <w:rsid w:val="00EC405C"/>
    <w:rsid w:val="00EC4CBB"/>
    <w:rsid w:val="00EC5B5F"/>
    <w:rsid w:val="00EC648D"/>
    <w:rsid w:val="00EC68B6"/>
    <w:rsid w:val="00EC6F87"/>
    <w:rsid w:val="00ED08DB"/>
    <w:rsid w:val="00ED15AD"/>
    <w:rsid w:val="00ED20BB"/>
    <w:rsid w:val="00ED21EC"/>
    <w:rsid w:val="00ED239D"/>
    <w:rsid w:val="00ED26B8"/>
    <w:rsid w:val="00ED30B5"/>
    <w:rsid w:val="00ED3D63"/>
    <w:rsid w:val="00ED460B"/>
    <w:rsid w:val="00ED4D9A"/>
    <w:rsid w:val="00ED5086"/>
    <w:rsid w:val="00ED52E9"/>
    <w:rsid w:val="00ED5C58"/>
    <w:rsid w:val="00ED68FB"/>
    <w:rsid w:val="00ED7493"/>
    <w:rsid w:val="00ED7CFC"/>
    <w:rsid w:val="00EE07F8"/>
    <w:rsid w:val="00EE0F08"/>
    <w:rsid w:val="00EE13B2"/>
    <w:rsid w:val="00EE173D"/>
    <w:rsid w:val="00EE17EE"/>
    <w:rsid w:val="00EE3510"/>
    <w:rsid w:val="00EE59ED"/>
    <w:rsid w:val="00EE7BC3"/>
    <w:rsid w:val="00EF228D"/>
    <w:rsid w:val="00EF3AB8"/>
    <w:rsid w:val="00EF45A9"/>
    <w:rsid w:val="00EF51D6"/>
    <w:rsid w:val="00EF6AC1"/>
    <w:rsid w:val="00EF7E6C"/>
    <w:rsid w:val="00F0038E"/>
    <w:rsid w:val="00F0067B"/>
    <w:rsid w:val="00F00B88"/>
    <w:rsid w:val="00F01BB8"/>
    <w:rsid w:val="00F02042"/>
    <w:rsid w:val="00F0232A"/>
    <w:rsid w:val="00F02956"/>
    <w:rsid w:val="00F04826"/>
    <w:rsid w:val="00F06107"/>
    <w:rsid w:val="00F0622E"/>
    <w:rsid w:val="00F06EAE"/>
    <w:rsid w:val="00F07317"/>
    <w:rsid w:val="00F07494"/>
    <w:rsid w:val="00F10678"/>
    <w:rsid w:val="00F1170F"/>
    <w:rsid w:val="00F11745"/>
    <w:rsid w:val="00F126E8"/>
    <w:rsid w:val="00F15DCF"/>
    <w:rsid w:val="00F179FA"/>
    <w:rsid w:val="00F17AC8"/>
    <w:rsid w:val="00F208A3"/>
    <w:rsid w:val="00F22614"/>
    <w:rsid w:val="00F23064"/>
    <w:rsid w:val="00F2400D"/>
    <w:rsid w:val="00F25740"/>
    <w:rsid w:val="00F2586A"/>
    <w:rsid w:val="00F25885"/>
    <w:rsid w:val="00F25EAB"/>
    <w:rsid w:val="00F268A6"/>
    <w:rsid w:val="00F26986"/>
    <w:rsid w:val="00F30B8B"/>
    <w:rsid w:val="00F334B2"/>
    <w:rsid w:val="00F35629"/>
    <w:rsid w:val="00F35CED"/>
    <w:rsid w:val="00F3683C"/>
    <w:rsid w:val="00F36E4C"/>
    <w:rsid w:val="00F3776C"/>
    <w:rsid w:val="00F37BC2"/>
    <w:rsid w:val="00F414DD"/>
    <w:rsid w:val="00F42070"/>
    <w:rsid w:val="00F42FAA"/>
    <w:rsid w:val="00F4330D"/>
    <w:rsid w:val="00F43353"/>
    <w:rsid w:val="00F442B1"/>
    <w:rsid w:val="00F44668"/>
    <w:rsid w:val="00F46193"/>
    <w:rsid w:val="00F47171"/>
    <w:rsid w:val="00F475F7"/>
    <w:rsid w:val="00F47814"/>
    <w:rsid w:val="00F47AE7"/>
    <w:rsid w:val="00F50C46"/>
    <w:rsid w:val="00F50E90"/>
    <w:rsid w:val="00F51C42"/>
    <w:rsid w:val="00F56CF3"/>
    <w:rsid w:val="00F56D95"/>
    <w:rsid w:val="00F6153B"/>
    <w:rsid w:val="00F619BB"/>
    <w:rsid w:val="00F6237A"/>
    <w:rsid w:val="00F6282C"/>
    <w:rsid w:val="00F62C6B"/>
    <w:rsid w:val="00F62DD5"/>
    <w:rsid w:val="00F633C8"/>
    <w:rsid w:val="00F637F7"/>
    <w:rsid w:val="00F63E9A"/>
    <w:rsid w:val="00F642F7"/>
    <w:rsid w:val="00F653E2"/>
    <w:rsid w:val="00F660B8"/>
    <w:rsid w:val="00F660C9"/>
    <w:rsid w:val="00F67C69"/>
    <w:rsid w:val="00F67DBE"/>
    <w:rsid w:val="00F67F43"/>
    <w:rsid w:val="00F70153"/>
    <w:rsid w:val="00F708DF"/>
    <w:rsid w:val="00F71397"/>
    <w:rsid w:val="00F726F2"/>
    <w:rsid w:val="00F72AB5"/>
    <w:rsid w:val="00F734BE"/>
    <w:rsid w:val="00F73AE4"/>
    <w:rsid w:val="00F74B1F"/>
    <w:rsid w:val="00F75191"/>
    <w:rsid w:val="00F75F4A"/>
    <w:rsid w:val="00F7602C"/>
    <w:rsid w:val="00F76137"/>
    <w:rsid w:val="00F7698B"/>
    <w:rsid w:val="00F7717E"/>
    <w:rsid w:val="00F802A6"/>
    <w:rsid w:val="00F80E4B"/>
    <w:rsid w:val="00F81960"/>
    <w:rsid w:val="00F81E34"/>
    <w:rsid w:val="00F82167"/>
    <w:rsid w:val="00F82E28"/>
    <w:rsid w:val="00F83701"/>
    <w:rsid w:val="00F838F6"/>
    <w:rsid w:val="00F844A1"/>
    <w:rsid w:val="00F84A5F"/>
    <w:rsid w:val="00F84D47"/>
    <w:rsid w:val="00F85057"/>
    <w:rsid w:val="00F85BA7"/>
    <w:rsid w:val="00F85D50"/>
    <w:rsid w:val="00F86147"/>
    <w:rsid w:val="00F8623E"/>
    <w:rsid w:val="00F870FC"/>
    <w:rsid w:val="00F91471"/>
    <w:rsid w:val="00F91B8C"/>
    <w:rsid w:val="00F92364"/>
    <w:rsid w:val="00F92487"/>
    <w:rsid w:val="00F925F7"/>
    <w:rsid w:val="00F9287A"/>
    <w:rsid w:val="00F9397D"/>
    <w:rsid w:val="00F9471D"/>
    <w:rsid w:val="00F976B8"/>
    <w:rsid w:val="00F9785C"/>
    <w:rsid w:val="00FA0C75"/>
    <w:rsid w:val="00FA161E"/>
    <w:rsid w:val="00FA1859"/>
    <w:rsid w:val="00FA1E99"/>
    <w:rsid w:val="00FA205D"/>
    <w:rsid w:val="00FA27C6"/>
    <w:rsid w:val="00FA5466"/>
    <w:rsid w:val="00FA5FEA"/>
    <w:rsid w:val="00FA7AE2"/>
    <w:rsid w:val="00FB0953"/>
    <w:rsid w:val="00FB0BAF"/>
    <w:rsid w:val="00FB1DBD"/>
    <w:rsid w:val="00FB35D1"/>
    <w:rsid w:val="00FB376D"/>
    <w:rsid w:val="00FB39B9"/>
    <w:rsid w:val="00FB6AFA"/>
    <w:rsid w:val="00FB7322"/>
    <w:rsid w:val="00FB76FB"/>
    <w:rsid w:val="00FC0474"/>
    <w:rsid w:val="00FC071D"/>
    <w:rsid w:val="00FC085F"/>
    <w:rsid w:val="00FC0D66"/>
    <w:rsid w:val="00FC0F5E"/>
    <w:rsid w:val="00FC166C"/>
    <w:rsid w:val="00FC2EF6"/>
    <w:rsid w:val="00FC350F"/>
    <w:rsid w:val="00FC3A45"/>
    <w:rsid w:val="00FC4FBB"/>
    <w:rsid w:val="00FC6AB1"/>
    <w:rsid w:val="00FC7559"/>
    <w:rsid w:val="00FD1A4D"/>
    <w:rsid w:val="00FD1F54"/>
    <w:rsid w:val="00FD263B"/>
    <w:rsid w:val="00FD4447"/>
    <w:rsid w:val="00FD4822"/>
    <w:rsid w:val="00FD7210"/>
    <w:rsid w:val="00FD744B"/>
    <w:rsid w:val="00FD7E09"/>
    <w:rsid w:val="00FE146A"/>
    <w:rsid w:val="00FE1B96"/>
    <w:rsid w:val="00FE1D82"/>
    <w:rsid w:val="00FE1FF6"/>
    <w:rsid w:val="00FE21BB"/>
    <w:rsid w:val="00FE3DCB"/>
    <w:rsid w:val="00FE4929"/>
    <w:rsid w:val="00FE52B6"/>
    <w:rsid w:val="00FE5546"/>
    <w:rsid w:val="00FE5E91"/>
    <w:rsid w:val="00FE6D07"/>
    <w:rsid w:val="00FE7CBF"/>
    <w:rsid w:val="00FE7F2E"/>
    <w:rsid w:val="00FF091B"/>
    <w:rsid w:val="00FF1A78"/>
    <w:rsid w:val="00FF38EB"/>
    <w:rsid w:val="00FF4180"/>
    <w:rsid w:val="00FF4685"/>
    <w:rsid w:val="00FF4B90"/>
    <w:rsid w:val="00FF5FE0"/>
    <w:rsid w:val="00FF640A"/>
    <w:rsid w:val="00FF68AE"/>
    <w:rsid w:val="00FF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B092144-0086-40C0-8F0B-3FDAA1D1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480"/>
    <w:pPr>
      <w:widowControl w:val="0"/>
      <w:jc w:val="both"/>
    </w:pPr>
    <w:rPr>
      <w:kern w:val="2"/>
      <w:sz w:val="21"/>
      <w:szCs w:val="24"/>
    </w:rPr>
  </w:style>
  <w:style w:type="paragraph" w:styleId="1">
    <w:name w:val="heading 1"/>
    <w:aliases w:val="Heading 0,H1,PIM 1,Heading 11,level 1,Level 1 Head,h1,123321,Level 1 Topic Heading"/>
    <w:basedOn w:val="a"/>
    <w:next w:val="a"/>
    <w:qFormat/>
    <w:rsid w:val="00B47480"/>
    <w:pPr>
      <w:keepNext/>
      <w:spacing w:beforeLines="100" w:afterLines="100"/>
      <w:ind w:firstLineChars="200" w:firstLine="200"/>
      <w:jc w:val="center"/>
      <w:outlineLvl w:val="0"/>
    </w:pPr>
    <w:rPr>
      <w:rFonts w:ascii="黑体" w:eastAsia="黑体"/>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Titr"/>
    <w:basedOn w:val="a"/>
    <w:next w:val="a"/>
    <w:qFormat/>
    <w:rsid w:val="00B47480"/>
    <w:pPr>
      <w:keepNext/>
      <w:keepLines/>
      <w:spacing w:beforeLines="100" w:afterLines="100"/>
      <w:ind w:firstLineChars="200" w:firstLine="200"/>
      <w:outlineLvl w:val="1"/>
    </w:pPr>
    <w:rPr>
      <w:rFonts w:ascii="Arial" w:hAnsi="Arial"/>
      <w:b/>
      <w:sz w:val="28"/>
      <w:szCs w:val="28"/>
    </w:rPr>
  </w:style>
  <w:style w:type="paragraph" w:styleId="3">
    <w:name w:val="heading 3"/>
    <w:basedOn w:val="a"/>
    <w:next w:val="a"/>
    <w:qFormat/>
    <w:rsid w:val="00B47480"/>
    <w:pPr>
      <w:numPr>
        <w:ilvl w:val="2"/>
        <w:numId w:val="3"/>
      </w:numPr>
      <w:spacing w:before="260" w:after="260" w:line="416" w:lineRule="auto"/>
      <w:outlineLvl w:val="2"/>
    </w:pPr>
    <w:rPr>
      <w:rFonts w:ascii="仿宋_GB2312" w:eastAsia="仿宋_GB2312"/>
      <w:sz w:val="24"/>
      <w:szCs w:val="20"/>
    </w:rPr>
  </w:style>
  <w:style w:type="paragraph" w:styleId="4">
    <w:name w:val="heading 4"/>
    <w:basedOn w:val="a"/>
    <w:next w:val="a"/>
    <w:qFormat/>
    <w:rsid w:val="00B47480"/>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B47480"/>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
    <w:next w:val="a"/>
    <w:qFormat/>
    <w:rsid w:val="00B47480"/>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qFormat/>
    <w:rsid w:val="00B47480"/>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
    <w:next w:val="a"/>
    <w:qFormat/>
    <w:rsid w:val="00B47480"/>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
    <w:next w:val="a"/>
    <w:qFormat/>
    <w:rsid w:val="00B47480"/>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
    <w:name w:val="样式 标题 2 + 段前: 1 行 段后: 1 行"/>
    <w:basedOn w:val="20"/>
    <w:rsid w:val="00B47480"/>
    <w:pPr>
      <w:numPr>
        <w:numId w:val="1"/>
      </w:numPr>
      <w:spacing w:before="447" w:after="447"/>
    </w:pPr>
    <w:rPr>
      <w:b w:val="0"/>
      <w:szCs w:val="20"/>
    </w:rPr>
  </w:style>
  <w:style w:type="paragraph" w:customStyle="1" w:styleId="CharCharCharCharCharCharChar">
    <w:name w:val="正文文字 Char Char Char Char Char Char Char"/>
    <w:basedOn w:val="a"/>
    <w:next w:val="30"/>
    <w:rsid w:val="00B47480"/>
    <w:pPr>
      <w:numPr>
        <w:ilvl w:val="1"/>
        <w:numId w:val="4"/>
      </w:numPr>
      <w:tabs>
        <w:tab w:val="clear" w:pos="780"/>
        <w:tab w:val="num" w:pos="360"/>
      </w:tabs>
      <w:spacing w:after="120"/>
      <w:ind w:left="0" w:firstLine="0"/>
    </w:pPr>
    <w:rPr>
      <w:sz w:val="16"/>
      <w:szCs w:val="16"/>
    </w:rPr>
  </w:style>
  <w:style w:type="paragraph" w:styleId="30">
    <w:name w:val="Body Text 3"/>
    <w:basedOn w:val="a"/>
    <w:rsid w:val="00B47480"/>
    <w:pPr>
      <w:spacing w:after="120"/>
    </w:pPr>
    <w:rPr>
      <w:sz w:val="16"/>
      <w:szCs w:val="16"/>
    </w:rPr>
  </w:style>
  <w:style w:type="paragraph" w:styleId="10">
    <w:name w:val="toc 1"/>
    <w:basedOn w:val="a"/>
    <w:next w:val="a"/>
    <w:autoRedefine/>
    <w:uiPriority w:val="39"/>
    <w:rsid w:val="00B47480"/>
    <w:pPr>
      <w:tabs>
        <w:tab w:val="right" w:leader="dot" w:pos="8296"/>
      </w:tabs>
      <w:jc w:val="left"/>
    </w:pPr>
    <w:rPr>
      <w:rFonts w:ascii="宋体" w:eastAsia="黑体" w:hAnsi="宋体"/>
      <w:caps/>
      <w:noProof/>
      <w:sz w:val="24"/>
      <w:szCs w:val="28"/>
    </w:rPr>
  </w:style>
  <w:style w:type="paragraph" w:styleId="21">
    <w:name w:val="toc 2"/>
    <w:basedOn w:val="a"/>
    <w:next w:val="a"/>
    <w:autoRedefine/>
    <w:uiPriority w:val="39"/>
    <w:rsid w:val="00B47480"/>
    <w:pPr>
      <w:tabs>
        <w:tab w:val="right" w:leader="dot" w:pos="8268"/>
      </w:tabs>
      <w:ind w:leftChars="152" w:left="319" w:firstLineChars="348" w:firstLine="731"/>
      <w:jc w:val="left"/>
    </w:pPr>
    <w:rPr>
      <w:rFonts w:eastAsia="仿宋_GB2312"/>
      <w:smallCaps/>
      <w:noProof/>
      <w:szCs w:val="20"/>
    </w:rPr>
  </w:style>
  <w:style w:type="paragraph" w:customStyle="1" w:styleId="11">
    <w:name w:val="样式 标题 1 + 黑体 非加粗"/>
    <w:basedOn w:val="1"/>
    <w:rsid w:val="00B47480"/>
    <w:pPr>
      <w:pageBreakBefore/>
    </w:pPr>
    <w:rPr>
      <w:rFonts w:hAnsi="黑体"/>
      <w:b/>
    </w:rPr>
  </w:style>
  <w:style w:type="paragraph" w:customStyle="1" w:styleId="111">
    <w:name w:val="样式 标题 1 + 段前: 1 行 段后: 1 行"/>
    <w:basedOn w:val="1"/>
    <w:rsid w:val="00B47480"/>
    <w:pPr>
      <w:pageBreakBefore/>
    </w:pPr>
    <w:rPr>
      <w:szCs w:val="20"/>
    </w:rPr>
  </w:style>
  <w:style w:type="paragraph" w:customStyle="1" w:styleId="115">
    <w:name w:val="样式 标题 1 + 段前: 1.5 行"/>
    <w:basedOn w:val="a"/>
    <w:rsid w:val="00B47480"/>
    <w:pPr>
      <w:tabs>
        <w:tab w:val="num" w:pos="990"/>
      </w:tabs>
      <w:ind w:left="990" w:hanging="840"/>
    </w:pPr>
    <w:rPr>
      <w:sz w:val="24"/>
      <w:szCs w:val="20"/>
    </w:rPr>
  </w:style>
  <w:style w:type="paragraph" w:customStyle="1" w:styleId="22">
    <w:name w:val="样式 首行缩进:  2 字符"/>
    <w:basedOn w:val="a"/>
    <w:rsid w:val="00B47480"/>
    <w:pPr>
      <w:spacing w:before="100" w:beforeAutospacing="1" w:after="100" w:afterAutospacing="1" w:line="360" w:lineRule="auto"/>
      <w:ind w:firstLineChars="200" w:firstLine="480"/>
    </w:pPr>
    <w:rPr>
      <w:szCs w:val="20"/>
    </w:rPr>
  </w:style>
  <w:style w:type="paragraph" w:styleId="a3">
    <w:name w:val="header"/>
    <w:basedOn w:val="a"/>
    <w:link w:val="Char"/>
    <w:uiPriority w:val="99"/>
    <w:rsid w:val="00B47480"/>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
    <w:name w:val="页眉 Char"/>
    <w:basedOn w:val="a0"/>
    <w:link w:val="a3"/>
    <w:uiPriority w:val="99"/>
    <w:rsid w:val="00A57E21"/>
    <w:rPr>
      <w:rFonts w:eastAsia="仿宋_GB2312"/>
      <w:kern w:val="2"/>
      <w:sz w:val="18"/>
    </w:rPr>
  </w:style>
  <w:style w:type="character" w:styleId="a4">
    <w:name w:val="page number"/>
    <w:basedOn w:val="a0"/>
    <w:rsid w:val="00B47480"/>
  </w:style>
  <w:style w:type="paragraph" w:styleId="a5">
    <w:name w:val="footer"/>
    <w:basedOn w:val="a"/>
    <w:link w:val="Char0"/>
    <w:uiPriority w:val="99"/>
    <w:rsid w:val="00B47480"/>
    <w:pPr>
      <w:tabs>
        <w:tab w:val="center" w:pos="4153"/>
        <w:tab w:val="right" w:pos="8306"/>
      </w:tabs>
      <w:snapToGrid w:val="0"/>
      <w:ind w:firstLineChars="200" w:firstLine="200"/>
      <w:jc w:val="left"/>
    </w:pPr>
    <w:rPr>
      <w:rFonts w:eastAsia="仿宋_GB2312"/>
      <w:sz w:val="18"/>
      <w:szCs w:val="20"/>
    </w:rPr>
  </w:style>
  <w:style w:type="character" w:customStyle="1" w:styleId="Char0">
    <w:name w:val="页脚 Char"/>
    <w:basedOn w:val="a0"/>
    <w:link w:val="a5"/>
    <w:uiPriority w:val="99"/>
    <w:rsid w:val="00A57E21"/>
    <w:rPr>
      <w:rFonts w:eastAsia="仿宋_GB2312"/>
      <w:kern w:val="2"/>
      <w:sz w:val="18"/>
    </w:rPr>
  </w:style>
  <w:style w:type="paragraph" w:customStyle="1" w:styleId="2111111">
    <w:name w:val="样式 样式 样式 标题 2 + 段前: 1 行 段后: 1 行1 + 段前: 1 行 段后: 1 行 + 段前: 1 行 段后..."/>
    <w:basedOn w:val="a"/>
    <w:rsid w:val="00B47480"/>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0"/>
    <w:rsid w:val="00B47480"/>
    <w:pPr>
      <w:ind w:firstLineChars="0" w:firstLine="0"/>
    </w:pPr>
    <w:rPr>
      <w:bCs/>
      <w:szCs w:val="20"/>
    </w:rPr>
  </w:style>
  <w:style w:type="paragraph" w:customStyle="1" w:styleId="211111">
    <w:name w:val="样式 样式 标题 2 + 段前: 1 行 段后: 1 行1 + 段前: 1 行 段后: 1 行"/>
    <w:basedOn w:val="2111"/>
    <w:rsid w:val="00B47480"/>
  </w:style>
  <w:style w:type="character" w:customStyle="1" w:styleId="big1">
    <w:name w:val="big1"/>
    <w:basedOn w:val="a0"/>
    <w:rsid w:val="00B47480"/>
    <w:rPr>
      <w:spacing w:val="360"/>
      <w:sz w:val="22"/>
      <w:szCs w:val="22"/>
    </w:rPr>
  </w:style>
  <w:style w:type="character" w:customStyle="1" w:styleId="read1">
    <w:name w:val="read1"/>
    <w:basedOn w:val="a0"/>
    <w:rsid w:val="00B47480"/>
    <w:rPr>
      <w:rFonts w:ascii="ˎ̥" w:hAnsi="ˎ̥" w:hint="default"/>
      <w:strike w:val="0"/>
      <w:dstrike w:val="0"/>
      <w:color w:val="000000"/>
      <w:u w:val="none"/>
      <w:effect w:val="none"/>
    </w:rPr>
  </w:style>
  <w:style w:type="paragraph" w:styleId="a6">
    <w:name w:val="Title"/>
    <w:basedOn w:val="a"/>
    <w:qFormat/>
    <w:rsid w:val="00B47480"/>
    <w:pPr>
      <w:spacing w:before="240" w:after="60"/>
      <w:jc w:val="center"/>
      <w:outlineLvl w:val="0"/>
    </w:pPr>
    <w:rPr>
      <w:rFonts w:ascii="Arial" w:hAnsi="Arial" w:cs="Arial"/>
      <w:b/>
      <w:bCs/>
      <w:sz w:val="32"/>
      <w:szCs w:val="32"/>
    </w:rPr>
  </w:style>
  <w:style w:type="paragraph" w:styleId="a7">
    <w:name w:val="Closing"/>
    <w:basedOn w:val="a"/>
    <w:rsid w:val="00B47480"/>
    <w:pPr>
      <w:ind w:leftChars="2100" w:left="100"/>
    </w:pPr>
  </w:style>
  <w:style w:type="paragraph" w:styleId="a8">
    <w:name w:val="List Number"/>
    <w:basedOn w:val="a"/>
    <w:rsid w:val="00B47480"/>
    <w:pPr>
      <w:tabs>
        <w:tab w:val="num" w:pos="360"/>
      </w:tabs>
      <w:ind w:left="360" w:hangingChars="200" w:hanging="360"/>
    </w:pPr>
  </w:style>
  <w:style w:type="paragraph" w:styleId="23">
    <w:name w:val="List Number 2"/>
    <w:basedOn w:val="a"/>
    <w:rsid w:val="00B47480"/>
    <w:pPr>
      <w:tabs>
        <w:tab w:val="num" w:pos="780"/>
      </w:tabs>
      <w:ind w:leftChars="200" w:left="780" w:hangingChars="200" w:hanging="360"/>
    </w:pPr>
  </w:style>
  <w:style w:type="paragraph" w:styleId="31">
    <w:name w:val="List Number 3"/>
    <w:basedOn w:val="a"/>
    <w:rsid w:val="00B47480"/>
    <w:pPr>
      <w:tabs>
        <w:tab w:val="num" w:pos="1200"/>
      </w:tabs>
      <w:ind w:leftChars="400" w:left="1200" w:hangingChars="200" w:hanging="360"/>
    </w:pPr>
  </w:style>
  <w:style w:type="paragraph" w:styleId="40">
    <w:name w:val="List Number 4"/>
    <w:basedOn w:val="a"/>
    <w:rsid w:val="00B47480"/>
    <w:pPr>
      <w:tabs>
        <w:tab w:val="num" w:pos="1620"/>
      </w:tabs>
      <w:ind w:leftChars="600" w:left="1620" w:hangingChars="200" w:hanging="360"/>
    </w:pPr>
  </w:style>
  <w:style w:type="paragraph" w:styleId="50">
    <w:name w:val="List Number 5"/>
    <w:basedOn w:val="a"/>
    <w:rsid w:val="00B47480"/>
    <w:pPr>
      <w:tabs>
        <w:tab w:val="num" w:pos="2040"/>
      </w:tabs>
      <w:ind w:leftChars="800" w:left="2040" w:hangingChars="200" w:hanging="360"/>
    </w:pPr>
  </w:style>
  <w:style w:type="paragraph" w:styleId="a9">
    <w:name w:val="List Bullet"/>
    <w:basedOn w:val="a"/>
    <w:autoRedefine/>
    <w:rsid w:val="00B47480"/>
    <w:pPr>
      <w:tabs>
        <w:tab w:val="num" w:pos="360"/>
      </w:tabs>
      <w:ind w:left="360" w:hangingChars="200" w:hanging="360"/>
    </w:pPr>
  </w:style>
  <w:style w:type="paragraph" w:styleId="24">
    <w:name w:val="List Bullet 2"/>
    <w:basedOn w:val="a"/>
    <w:autoRedefine/>
    <w:rsid w:val="00B47480"/>
    <w:pPr>
      <w:tabs>
        <w:tab w:val="num" w:pos="780"/>
      </w:tabs>
      <w:ind w:leftChars="200" w:left="780" w:hangingChars="200" w:hanging="360"/>
    </w:pPr>
  </w:style>
  <w:style w:type="paragraph" w:styleId="32">
    <w:name w:val="List Bullet 3"/>
    <w:basedOn w:val="a"/>
    <w:autoRedefine/>
    <w:rsid w:val="00B47480"/>
    <w:pPr>
      <w:tabs>
        <w:tab w:val="num" w:pos="1200"/>
      </w:tabs>
      <w:ind w:leftChars="400" w:left="1200" w:hangingChars="200" w:hanging="360"/>
    </w:pPr>
  </w:style>
  <w:style w:type="paragraph" w:styleId="41">
    <w:name w:val="List Bullet 4"/>
    <w:basedOn w:val="a"/>
    <w:autoRedefine/>
    <w:rsid w:val="00B47480"/>
    <w:pPr>
      <w:tabs>
        <w:tab w:val="num" w:pos="1620"/>
      </w:tabs>
      <w:ind w:leftChars="600" w:left="1620" w:hangingChars="200" w:hanging="360"/>
    </w:pPr>
  </w:style>
  <w:style w:type="paragraph" w:styleId="51">
    <w:name w:val="List Bullet 5"/>
    <w:basedOn w:val="a"/>
    <w:autoRedefine/>
    <w:rsid w:val="00B47480"/>
    <w:pPr>
      <w:tabs>
        <w:tab w:val="num" w:pos="2040"/>
      </w:tabs>
      <w:ind w:leftChars="800" w:left="2040" w:hangingChars="200" w:hanging="360"/>
    </w:pPr>
  </w:style>
  <w:style w:type="paragraph" w:styleId="aa">
    <w:name w:val="table of figures"/>
    <w:basedOn w:val="a"/>
    <w:next w:val="a"/>
    <w:semiHidden/>
    <w:rsid w:val="00B47480"/>
    <w:pPr>
      <w:ind w:leftChars="200" w:left="840" w:hangingChars="200" w:hanging="420"/>
    </w:pPr>
  </w:style>
  <w:style w:type="paragraph" w:styleId="ab">
    <w:name w:val="Body Text"/>
    <w:basedOn w:val="a"/>
    <w:rsid w:val="00B47480"/>
    <w:pPr>
      <w:spacing w:after="120"/>
    </w:pPr>
  </w:style>
  <w:style w:type="paragraph" w:styleId="ac">
    <w:name w:val="Body Text First Indent"/>
    <w:basedOn w:val="ab"/>
    <w:link w:val="Char1"/>
    <w:rsid w:val="00B47480"/>
    <w:pPr>
      <w:ind w:firstLineChars="100" w:firstLine="420"/>
    </w:pPr>
  </w:style>
  <w:style w:type="character" w:customStyle="1" w:styleId="Char1">
    <w:name w:val="正文首行缩进 Char"/>
    <w:basedOn w:val="a0"/>
    <w:link w:val="ac"/>
    <w:rsid w:val="00385170"/>
    <w:rPr>
      <w:kern w:val="2"/>
      <w:sz w:val="21"/>
      <w:szCs w:val="24"/>
    </w:rPr>
  </w:style>
  <w:style w:type="paragraph" w:styleId="ad">
    <w:name w:val="Body Text Indent"/>
    <w:basedOn w:val="a"/>
    <w:rsid w:val="00B47480"/>
    <w:pPr>
      <w:spacing w:after="120"/>
      <w:ind w:left="420"/>
    </w:pPr>
  </w:style>
  <w:style w:type="paragraph" w:styleId="ae">
    <w:name w:val="Note Heading"/>
    <w:basedOn w:val="a"/>
    <w:next w:val="a"/>
    <w:rsid w:val="00B47480"/>
    <w:pPr>
      <w:jc w:val="center"/>
    </w:pPr>
  </w:style>
  <w:style w:type="character" w:customStyle="1" w:styleId="font141">
    <w:name w:val="font141"/>
    <w:basedOn w:val="a0"/>
    <w:rsid w:val="00B47480"/>
    <w:rPr>
      <w:rFonts w:ascii="宋体" w:eastAsia="宋体" w:hAnsi="宋体" w:hint="eastAsia"/>
      <w:spacing w:val="300"/>
      <w:sz w:val="21"/>
      <w:szCs w:val="21"/>
    </w:rPr>
  </w:style>
  <w:style w:type="character" w:customStyle="1" w:styleId="da">
    <w:name w:val="da"/>
    <w:basedOn w:val="a0"/>
    <w:rsid w:val="00B47480"/>
  </w:style>
  <w:style w:type="paragraph" w:customStyle="1" w:styleId="af">
    <w:name w:val="特点"/>
    <w:aliases w:val="表正文,正文非缩进,段1"/>
    <w:basedOn w:val="a"/>
    <w:next w:val="af0"/>
    <w:rsid w:val="00B47480"/>
    <w:pPr>
      <w:ind w:firstLine="420"/>
    </w:pPr>
    <w:rPr>
      <w:szCs w:val="20"/>
    </w:rPr>
  </w:style>
  <w:style w:type="paragraph" w:styleId="af0">
    <w:name w:val="Normal Indent"/>
    <w:aliases w:val="正文缩进1,ALT+Z"/>
    <w:basedOn w:val="a"/>
    <w:rsid w:val="00B47480"/>
    <w:pPr>
      <w:ind w:firstLine="420"/>
    </w:pPr>
  </w:style>
  <w:style w:type="paragraph" w:styleId="33">
    <w:name w:val="Body Text Indent 3"/>
    <w:basedOn w:val="a"/>
    <w:rsid w:val="00B47480"/>
    <w:pPr>
      <w:spacing w:after="120"/>
      <w:ind w:left="420"/>
    </w:pPr>
    <w:rPr>
      <w:sz w:val="16"/>
      <w:szCs w:val="16"/>
    </w:rPr>
  </w:style>
  <w:style w:type="paragraph" w:styleId="af1">
    <w:name w:val="Plain Text"/>
    <w:basedOn w:val="a"/>
    <w:link w:val="Char2"/>
    <w:rsid w:val="00B47480"/>
    <w:rPr>
      <w:rFonts w:ascii="宋体" w:hAnsi="Courier New" w:cs="Courier New"/>
      <w:szCs w:val="21"/>
    </w:rPr>
  </w:style>
  <w:style w:type="character" w:customStyle="1" w:styleId="Char2">
    <w:name w:val="纯文本 Char"/>
    <w:basedOn w:val="a0"/>
    <w:link w:val="af1"/>
    <w:locked/>
    <w:rsid w:val="00095455"/>
    <w:rPr>
      <w:rFonts w:ascii="宋体" w:eastAsia="宋体" w:hAnsi="Courier New" w:cs="Courier New"/>
      <w:kern w:val="2"/>
      <w:sz w:val="21"/>
      <w:szCs w:val="21"/>
      <w:lang w:val="en-US" w:eastAsia="zh-CN" w:bidi="ar-SA"/>
    </w:rPr>
  </w:style>
  <w:style w:type="character" w:styleId="af2">
    <w:name w:val="Hyperlink"/>
    <w:basedOn w:val="a0"/>
    <w:uiPriority w:val="99"/>
    <w:rsid w:val="00B47480"/>
    <w:rPr>
      <w:color w:val="0000FF"/>
      <w:u w:val="single"/>
    </w:rPr>
  </w:style>
  <w:style w:type="paragraph" w:styleId="25">
    <w:name w:val="Body Text Indent 2"/>
    <w:basedOn w:val="a"/>
    <w:rsid w:val="00B47480"/>
    <w:pPr>
      <w:spacing w:after="120" w:line="480" w:lineRule="auto"/>
      <w:ind w:left="420"/>
    </w:pPr>
  </w:style>
  <w:style w:type="paragraph" w:styleId="26">
    <w:name w:val="Body Text 2"/>
    <w:basedOn w:val="a"/>
    <w:rsid w:val="00B47480"/>
    <w:pPr>
      <w:spacing w:after="120" w:line="480" w:lineRule="auto"/>
    </w:pPr>
  </w:style>
  <w:style w:type="character" w:styleId="af3">
    <w:name w:val="FollowedHyperlink"/>
    <w:basedOn w:val="a0"/>
    <w:uiPriority w:val="99"/>
    <w:rsid w:val="00B47480"/>
    <w:rPr>
      <w:color w:val="800080"/>
      <w:u w:val="single"/>
    </w:rPr>
  </w:style>
  <w:style w:type="paragraph" w:styleId="HTML">
    <w:name w:val="HTML Preformatted"/>
    <w:basedOn w:val="a"/>
    <w:rsid w:val="00B47480"/>
    <w:rPr>
      <w:rFonts w:ascii="Courier New" w:hAnsi="Courier New" w:cs="Courier New"/>
      <w:sz w:val="20"/>
      <w:szCs w:val="20"/>
    </w:rPr>
  </w:style>
  <w:style w:type="paragraph" w:styleId="af4">
    <w:name w:val="Normal (Web)"/>
    <w:basedOn w:val="a"/>
    <w:rsid w:val="00B47480"/>
    <w:rPr>
      <w:sz w:val="24"/>
    </w:rPr>
  </w:style>
  <w:style w:type="paragraph" w:styleId="af5">
    <w:name w:val="Subtitle"/>
    <w:basedOn w:val="a"/>
    <w:qFormat/>
    <w:rsid w:val="00B47480"/>
    <w:pPr>
      <w:spacing w:before="240" w:after="60" w:line="312" w:lineRule="auto"/>
      <w:jc w:val="center"/>
      <w:outlineLvl w:val="1"/>
    </w:pPr>
    <w:rPr>
      <w:rFonts w:ascii="Arial" w:hAnsi="Arial" w:cs="Arial"/>
      <w:b/>
      <w:bCs/>
      <w:kern w:val="28"/>
      <w:sz w:val="32"/>
      <w:szCs w:val="32"/>
    </w:rPr>
  </w:style>
  <w:style w:type="paragraph" w:styleId="af6">
    <w:name w:val="Block Text"/>
    <w:basedOn w:val="a"/>
    <w:rsid w:val="00B47480"/>
    <w:pPr>
      <w:spacing w:after="120"/>
      <w:ind w:left="1440" w:right="1440"/>
    </w:pPr>
  </w:style>
  <w:style w:type="character" w:styleId="af7">
    <w:name w:val="Strong"/>
    <w:basedOn w:val="a0"/>
    <w:qFormat/>
    <w:rsid w:val="00B47480"/>
    <w:rPr>
      <w:b/>
      <w:bCs/>
    </w:rPr>
  </w:style>
  <w:style w:type="paragraph" w:styleId="af8">
    <w:name w:val="Document Map"/>
    <w:basedOn w:val="a"/>
    <w:link w:val="Char3"/>
    <w:rsid w:val="00B47480"/>
    <w:pPr>
      <w:shd w:val="clear" w:color="auto" w:fill="000080"/>
    </w:pPr>
  </w:style>
  <w:style w:type="character" w:customStyle="1" w:styleId="Char3">
    <w:name w:val="文档结构图 Char"/>
    <w:basedOn w:val="a0"/>
    <w:link w:val="af8"/>
    <w:rsid w:val="00385170"/>
    <w:rPr>
      <w:kern w:val="2"/>
      <w:sz w:val="21"/>
      <w:szCs w:val="24"/>
      <w:shd w:val="clear" w:color="auto" w:fill="000080"/>
    </w:rPr>
  </w:style>
  <w:style w:type="character" w:styleId="af9">
    <w:name w:val="footnote reference"/>
    <w:basedOn w:val="a0"/>
    <w:rsid w:val="00B47480"/>
    <w:rPr>
      <w:vertAlign w:val="superscript"/>
    </w:rPr>
  </w:style>
  <w:style w:type="paragraph" w:customStyle="1" w:styleId="2">
    <w:name w:val="列表2"/>
    <w:basedOn w:val="a"/>
    <w:next w:val="a6"/>
    <w:rsid w:val="00B47480"/>
    <w:pPr>
      <w:numPr>
        <w:numId w:val="8"/>
      </w:numPr>
      <w:spacing w:line="360" w:lineRule="auto"/>
    </w:pPr>
    <w:rPr>
      <w:rFonts w:ascii="宋体"/>
      <w:szCs w:val="20"/>
    </w:rPr>
  </w:style>
  <w:style w:type="paragraph" w:customStyle="1" w:styleId="12">
    <w:name w:val="列表1"/>
    <w:basedOn w:val="a"/>
    <w:next w:val="a"/>
    <w:rsid w:val="00B47480"/>
    <w:pPr>
      <w:tabs>
        <w:tab w:val="num" w:pos="644"/>
      </w:tabs>
      <w:spacing w:line="360" w:lineRule="auto"/>
      <w:ind w:left="567" w:hanging="283"/>
    </w:pPr>
    <w:rPr>
      <w:szCs w:val="20"/>
    </w:rPr>
  </w:style>
  <w:style w:type="paragraph" w:customStyle="1" w:styleId="2211">
    <w:name w:val="样式 标题 2 + 首行缩进:  2 字符 段前: 1 行 段后: 1 行"/>
    <w:basedOn w:val="20"/>
    <w:rsid w:val="00B47480"/>
    <w:pPr>
      <w:tabs>
        <w:tab w:val="num" w:pos="1276"/>
      </w:tabs>
      <w:spacing w:beforeLines="0" w:afterLines="0"/>
      <w:ind w:left="851" w:firstLineChars="0" w:firstLine="0"/>
    </w:pPr>
    <w:rPr>
      <w:szCs w:val="20"/>
    </w:rPr>
  </w:style>
  <w:style w:type="paragraph" w:styleId="afa">
    <w:name w:val="Balloon Text"/>
    <w:basedOn w:val="a"/>
    <w:semiHidden/>
    <w:rsid w:val="00B47480"/>
    <w:rPr>
      <w:sz w:val="18"/>
      <w:szCs w:val="18"/>
    </w:rPr>
  </w:style>
  <w:style w:type="character" w:customStyle="1" w:styleId="read">
    <w:name w:val="read"/>
    <w:basedOn w:val="a0"/>
    <w:rsid w:val="00B47480"/>
  </w:style>
  <w:style w:type="paragraph" w:styleId="afb">
    <w:name w:val="annotation subject"/>
    <w:basedOn w:val="afc"/>
    <w:next w:val="afc"/>
    <w:semiHidden/>
    <w:rsid w:val="00B47480"/>
    <w:rPr>
      <w:b/>
      <w:bCs/>
    </w:rPr>
  </w:style>
  <w:style w:type="paragraph" w:styleId="afc">
    <w:name w:val="annotation text"/>
    <w:basedOn w:val="a"/>
    <w:link w:val="Char4"/>
    <w:rsid w:val="00B47480"/>
    <w:pPr>
      <w:jc w:val="left"/>
    </w:pPr>
  </w:style>
  <w:style w:type="character" w:customStyle="1" w:styleId="Char4">
    <w:name w:val="批注文字 Char"/>
    <w:basedOn w:val="a0"/>
    <w:link w:val="afc"/>
    <w:semiHidden/>
    <w:rsid w:val="00A107BD"/>
    <w:rPr>
      <w:kern w:val="2"/>
      <w:sz w:val="21"/>
      <w:szCs w:val="24"/>
    </w:rPr>
  </w:style>
  <w:style w:type="paragraph" w:customStyle="1" w:styleId="13">
    <w:name w:val="1"/>
    <w:basedOn w:val="a"/>
    <w:rsid w:val="00B47480"/>
    <w:pPr>
      <w:spacing w:before="100" w:beforeAutospacing="1" w:after="120" w:afterAutospacing="1" w:line="360" w:lineRule="auto"/>
      <w:ind w:leftChars="200" w:left="420"/>
    </w:pPr>
  </w:style>
  <w:style w:type="character" w:styleId="afd">
    <w:name w:val="annotation reference"/>
    <w:basedOn w:val="a0"/>
    <w:rsid w:val="00B47480"/>
    <w:rPr>
      <w:sz w:val="21"/>
      <w:szCs w:val="21"/>
    </w:rPr>
  </w:style>
  <w:style w:type="paragraph" w:customStyle="1" w:styleId="CharCharCharChar">
    <w:name w:val="Char Char Char Char"/>
    <w:basedOn w:val="a"/>
    <w:autoRedefine/>
    <w:rsid w:val="00746D1E"/>
    <w:pPr>
      <w:tabs>
        <w:tab w:val="num" w:pos="360"/>
      </w:tabs>
    </w:pPr>
    <w:rPr>
      <w:sz w:val="24"/>
    </w:rPr>
  </w:style>
  <w:style w:type="table" w:styleId="afe">
    <w:name w:val="Table Theme"/>
    <w:basedOn w:val="a1"/>
    <w:rsid w:val="009A42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
    <w:basedOn w:val="a"/>
    <w:rsid w:val="007A25F3"/>
  </w:style>
  <w:style w:type="paragraph" w:customStyle="1" w:styleId="ParaChar">
    <w:name w:val="默认段落字体 Para Char"/>
    <w:basedOn w:val="a"/>
    <w:autoRedefine/>
    <w:rsid w:val="00F43353"/>
    <w:pPr>
      <w:numPr>
        <w:numId w:val="3"/>
      </w:numPr>
      <w:tabs>
        <w:tab w:val="num" w:pos="360"/>
      </w:tabs>
      <w:ind w:left="0" w:firstLine="0"/>
    </w:pPr>
    <w:rPr>
      <w:sz w:val="24"/>
    </w:rPr>
  </w:style>
  <w:style w:type="character" w:customStyle="1" w:styleId="CharChar">
    <w:name w:val="Char Char"/>
    <w:basedOn w:val="a0"/>
    <w:locked/>
    <w:rsid w:val="002C7AC9"/>
    <w:rPr>
      <w:rFonts w:ascii="Calibri" w:eastAsia="宋体" w:hAnsi="Courier New" w:cs="Courier New"/>
      <w:kern w:val="2"/>
      <w:sz w:val="21"/>
      <w:szCs w:val="21"/>
      <w:lang w:val="en-US" w:eastAsia="zh-CN" w:bidi="ar-SA"/>
    </w:rPr>
  </w:style>
  <w:style w:type="paragraph" w:styleId="34">
    <w:name w:val="toc 3"/>
    <w:basedOn w:val="a"/>
    <w:next w:val="a"/>
    <w:autoRedefine/>
    <w:uiPriority w:val="39"/>
    <w:unhideWhenUsed/>
    <w:rsid w:val="00796F21"/>
    <w:pPr>
      <w:ind w:leftChars="400" w:left="840"/>
    </w:pPr>
    <w:rPr>
      <w:rFonts w:ascii="Calibri" w:hAnsi="Calibri"/>
      <w:szCs w:val="22"/>
    </w:rPr>
  </w:style>
  <w:style w:type="paragraph" w:styleId="42">
    <w:name w:val="toc 4"/>
    <w:basedOn w:val="a"/>
    <w:next w:val="a"/>
    <w:autoRedefine/>
    <w:uiPriority w:val="39"/>
    <w:unhideWhenUsed/>
    <w:rsid w:val="00796F21"/>
    <w:pPr>
      <w:ind w:leftChars="600" w:left="1260"/>
    </w:pPr>
    <w:rPr>
      <w:rFonts w:ascii="Calibri" w:hAnsi="Calibri"/>
      <w:szCs w:val="22"/>
    </w:rPr>
  </w:style>
  <w:style w:type="paragraph" w:styleId="52">
    <w:name w:val="toc 5"/>
    <w:basedOn w:val="a"/>
    <w:next w:val="a"/>
    <w:autoRedefine/>
    <w:uiPriority w:val="39"/>
    <w:unhideWhenUsed/>
    <w:rsid w:val="00796F21"/>
    <w:pPr>
      <w:ind w:leftChars="800" w:left="1680"/>
    </w:pPr>
    <w:rPr>
      <w:rFonts w:ascii="Calibri" w:hAnsi="Calibri"/>
      <w:szCs w:val="22"/>
    </w:rPr>
  </w:style>
  <w:style w:type="paragraph" w:styleId="60">
    <w:name w:val="toc 6"/>
    <w:basedOn w:val="a"/>
    <w:next w:val="a"/>
    <w:autoRedefine/>
    <w:uiPriority w:val="39"/>
    <w:unhideWhenUsed/>
    <w:rsid w:val="00796F21"/>
    <w:pPr>
      <w:ind w:leftChars="1000" w:left="2100"/>
    </w:pPr>
    <w:rPr>
      <w:rFonts w:ascii="Calibri" w:hAnsi="Calibri"/>
      <w:szCs w:val="22"/>
    </w:rPr>
  </w:style>
  <w:style w:type="paragraph" w:styleId="70">
    <w:name w:val="toc 7"/>
    <w:basedOn w:val="a"/>
    <w:next w:val="a"/>
    <w:autoRedefine/>
    <w:uiPriority w:val="39"/>
    <w:unhideWhenUsed/>
    <w:rsid w:val="00796F21"/>
    <w:pPr>
      <w:ind w:leftChars="1200" w:left="2520"/>
    </w:pPr>
    <w:rPr>
      <w:rFonts w:ascii="Calibri" w:hAnsi="Calibri"/>
      <w:szCs w:val="22"/>
    </w:rPr>
  </w:style>
  <w:style w:type="paragraph" w:styleId="80">
    <w:name w:val="toc 8"/>
    <w:basedOn w:val="a"/>
    <w:next w:val="a"/>
    <w:autoRedefine/>
    <w:uiPriority w:val="39"/>
    <w:unhideWhenUsed/>
    <w:rsid w:val="00796F21"/>
    <w:pPr>
      <w:ind w:leftChars="1400" w:left="2940"/>
    </w:pPr>
    <w:rPr>
      <w:rFonts w:ascii="Calibri" w:hAnsi="Calibri"/>
      <w:szCs w:val="22"/>
    </w:rPr>
  </w:style>
  <w:style w:type="paragraph" w:styleId="90">
    <w:name w:val="toc 9"/>
    <w:basedOn w:val="a"/>
    <w:next w:val="a"/>
    <w:autoRedefine/>
    <w:uiPriority w:val="39"/>
    <w:unhideWhenUsed/>
    <w:rsid w:val="00796F21"/>
    <w:pPr>
      <w:ind w:leftChars="1600" w:left="3360"/>
    </w:pPr>
    <w:rPr>
      <w:rFonts w:ascii="Calibri" w:hAnsi="Calibri"/>
      <w:szCs w:val="22"/>
    </w:rPr>
  </w:style>
  <w:style w:type="paragraph" w:customStyle="1" w:styleId="msonormalcxspmiddle">
    <w:name w:val="msonormalcxspmiddle"/>
    <w:basedOn w:val="a"/>
    <w:rsid w:val="009B5181"/>
    <w:pPr>
      <w:widowControl/>
      <w:spacing w:before="100" w:beforeAutospacing="1" w:after="100" w:afterAutospacing="1"/>
      <w:jc w:val="left"/>
    </w:pPr>
    <w:rPr>
      <w:rFonts w:ascii="宋体" w:hAnsi="宋体" w:cs="宋体"/>
      <w:kern w:val="0"/>
      <w:sz w:val="24"/>
    </w:rPr>
  </w:style>
  <w:style w:type="character" w:customStyle="1" w:styleId="CharChar11">
    <w:name w:val="Char Char11"/>
    <w:basedOn w:val="a0"/>
    <w:locked/>
    <w:rsid w:val="00135A6F"/>
    <w:rPr>
      <w:rFonts w:ascii="宋体" w:eastAsia="宋体" w:hAnsi="Courier New" w:cs="Courier New"/>
      <w:kern w:val="2"/>
      <w:sz w:val="21"/>
      <w:szCs w:val="21"/>
      <w:lang w:val="en-US" w:eastAsia="zh-CN" w:bidi="ar-SA"/>
    </w:rPr>
  </w:style>
  <w:style w:type="character" w:customStyle="1" w:styleId="Char10">
    <w:name w:val="纯文本 Char1"/>
    <w:basedOn w:val="a0"/>
    <w:semiHidden/>
    <w:locked/>
    <w:rsid w:val="00DD687B"/>
    <w:rPr>
      <w:rFonts w:ascii="宋体" w:hAnsi="Courier New" w:cs="Courier New"/>
      <w:kern w:val="2"/>
      <w:sz w:val="21"/>
      <w:szCs w:val="21"/>
    </w:rPr>
  </w:style>
  <w:style w:type="paragraph" w:styleId="aff">
    <w:name w:val="List Paragraph"/>
    <w:basedOn w:val="a"/>
    <w:uiPriority w:val="34"/>
    <w:qFormat/>
    <w:rsid w:val="00F67C69"/>
    <w:pPr>
      <w:ind w:firstLineChars="200" w:firstLine="420"/>
    </w:pPr>
  </w:style>
  <w:style w:type="table" w:styleId="aff0">
    <w:name w:val="Table Grid"/>
    <w:basedOn w:val="a1"/>
    <w:qFormat/>
    <w:rsid w:val="007126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med11">
    <w:name w:val="unnamed11"/>
    <w:basedOn w:val="a0"/>
    <w:rsid w:val="00385170"/>
    <w:rPr>
      <w:rFonts w:ascii="宋体" w:eastAsia="宋体" w:hAnsi="宋体" w:hint="eastAsia"/>
      <w:sz w:val="18"/>
      <w:szCs w:val="18"/>
    </w:rPr>
  </w:style>
  <w:style w:type="character" w:customStyle="1" w:styleId="CharChar1">
    <w:name w:val="Char Char1"/>
    <w:basedOn w:val="a0"/>
    <w:rsid w:val="00385170"/>
    <w:rPr>
      <w:rFonts w:eastAsia="宋体"/>
      <w:kern w:val="2"/>
      <w:sz w:val="21"/>
      <w:szCs w:val="24"/>
      <w:lang w:val="en-US" w:eastAsia="zh-CN" w:bidi="ar-SA"/>
    </w:rPr>
  </w:style>
  <w:style w:type="character" w:customStyle="1" w:styleId="t1">
    <w:name w:val="t1"/>
    <w:basedOn w:val="a0"/>
    <w:uiPriority w:val="99"/>
    <w:rsid w:val="00385170"/>
    <w:rPr>
      <w:color w:val="990000"/>
    </w:rPr>
  </w:style>
  <w:style w:type="paragraph" w:styleId="aff1">
    <w:name w:val="Revision"/>
    <w:hidden/>
    <w:uiPriority w:val="99"/>
    <w:semiHidden/>
    <w:rsid w:val="00CB3BD8"/>
    <w:rPr>
      <w:kern w:val="2"/>
      <w:sz w:val="21"/>
      <w:szCs w:val="24"/>
    </w:rPr>
  </w:style>
  <w:style w:type="paragraph" w:styleId="aff2">
    <w:name w:val="Date"/>
    <w:basedOn w:val="a"/>
    <w:next w:val="a"/>
    <w:link w:val="Char6"/>
    <w:rsid w:val="005F6212"/>
    <w:pPr>
      <w:ind w:leftChars="2500" w:left="100"/>
    </w:pPr>
  </w:style>
  <w:style w:type="character" w:customStyle="1" w:styleId="Char6">
    <w:name w:val="日期 Char"/>
    <w:basedOn w:val="a0"/>
    <w:link w:val="aff2"/>
    <w:rsid w:val="005F62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4380">
      <w:bodyDiv w:val="1"/>
      <w:marLeft w:val="0"/>
      <w:marRight w:val="0"/>
      <w:marTop w:val="0"/>
      <w:marBottom w:val="0"/>
      <w:divBdr>
        <w:top w:val="none" w:sz="0" w:space="0" w:color="auto"/>
        <w:left w:val="none" w:sz="0" w:space="0" w:color="auto"/>
        <w:bottom w:val="none" w:sz="0" w:space="0" w:color="auto"/>
        <w:right w:val="none" w:sz="0" w:space="0" w:color="auto"/>
      </w:divBdr>
    </w:div>
    <w:div w:id="46299676">
      <w:bodyDiv w:val="1"/>
      <w:marLeft w:val="0"/>
      <w:marRight w:val="0"/>
      <w:marTop w:val="0"/>
      <w:marBottom w:val="0"/>
      <w:divBdr>
        <w:top w:val="none" w:sz="0" w:space="0" w:color="auto"/>
        <w:left w:val="none" w:sz="0" w:space="0" w:color="auto"/>
        <w:bottom w:val="none" w:sz="0" w:space="0" w:color="auto"/>
        <w:right w:val="none" w:sz="0" w:space="0" w:color="auto"/>
      </w:divBdr>
    </w:div>
    <w:div w:id="72361311">
      <w:bodyDiv w:val="1"/>
      <w:marLeft w:val="0"/>
      <w:marRight w:val="0"/>
      <w:marTop w:val="0"/>
      <w:marBottom w:val="0"/>
      <w:divBdr>
        <w:top w:val="none" w:sz="0" w:space="0" w:color="auto"/>
        <w:left w:val="none" w:sz="0" w:space="0" w:color="auto"/>
        <w:bottom w:val="none" w:sz="0" w:space="0" w:color="auto"/>
        <w:right w:val="none" w:sz="0" w:space="0" w:color="auto"/>
      </w:divBdr>
    </w:div>
    <w:div w:id="105515051">
      <w:bodyDiv w:val="1"/>
      <w:marLeft w:val="0"/>
      <w:marRight w:val="0"/>
      <w:marTop w:val="0"/>
      <w:marBottom w:val="0"/>
      <w:divBdr>
        <w:top w:val="none" w:sz="0" w:space="0" w:color="auto"/>
        <w:left w:val="none" w:sz="0" w:space="0" w:color="auto"/>
        <w:bottom w:val="none" w:sz="0" w:space="0" w:color="auto"/>
        <w:right w:val="none" w:sz="0" w:space="0" w:color="auto"/>
      </w:divBdr>
    </w:div>
    <w:div w:id="110976643">
      <w:bodyDiv w:val="1"/>
      <w:marLeft w:val="0"/>
      <w:marRight w:val="0"/>
      <w:marTop w:val="0"/>
      <w:marBottom w:val="0"/>
      <w:divBdr>
        <w:top w:val="none" w:sz="0" w:space="0" w:color="auto"/>
        <w:left w:val="none" w:sz="0" w:space="0" w:color="auto"/>
        <w:bottom w:val="none" w:sz="0" w:space="0" w:color="auto"/>
        <w:right w:val="none" w:sz="0" w:space="0" w:color="auto"/>
      </w:divBdr>
    </w:div>
    <w:div w:id="143082045">
      <w:bodyDiv w:val="1"/>
      <w:marLeft w:val="0"/>
      <w:marRight w:val="0"/>
      <w:marTop w:val="0"/>
      <w:marBottom w:val="0"/>
      <w:divBdr>
        <w:top w:val="none" w:sz="0" w:space="0" w:color="auto"/>
        <w:left w:val="none" w:sz="0" w:space="0" w:color="auto"/>
        <w:bottom w:val="none" w:sz="0" w:space="0" w:color="auto"/>
        <w:right w:val="none" w:sz="0" w:space="0" w:color="auto"/>
      </w:divBdr>
    </w:div>
    <w:div w:id="144048790">
      <w:bodyDiv w:val="1"/>
      <w:marLeft w:val="0"/>
      <w:marRight w:val="0"/>
      <w:marTop w:val="0"/>
      <w:marBottom w:val="0"/>
      <w:divBdr>
        <w:top w:val="none" w:sz="0" w:space="0" w:color="auto"/>
        <w:left w:val="none" w:sz="0" w:space="0" w:color="auto"/>
        <w:bottom w:val="none" w:sz="0" w:space="0" w:color="auto"/>
        <w:right w:val="none" w:sz="0" w:space="0" w:color="auto"/>
      </w:divBdr>
    </w:div>
    <w:div w:id="145319817">
      <w:bodyDiv w:val="1"/>
      <w:marLeft w:val="0"/>
      <w:marRight w:val="0"/>
      <w:marTop w:val="0"/>
      <w:marBottom w:val="0"/>
      <w:divBdr>
        <w:top w:val="none" w:sz="0" w:space="0" w:color="auto"/>
        <w:left w:val="none" w:sz="0" w:space="0" w:color="auto"/>
        <w:bottom w:val="none" w:sz="0" w:space="0" w:color="auto"/>
        <w:right w:val="none" w:sz="0" w:space="0" w:color="auto"/>
      </w:divBdr>
    </w:div>
    <w:div w:id="153688863">
      <w:bodyDiv w:val="1"/>
      <w:marLeft w:val="0"/>
      <w:marRight w:val="0"/>
      <w:marTop w:val="0"/>
      <w:marBottom w:val="0"/>
      <w:divBdr>
        <w:top w:val="none" w:sz="0" w:space="0" w:color="auto"/>
        <w:left w:val="none" w:sz="0" w:space="0" w:color="auto"/>
        <w:bottom w:val="none" w:sz="0" w:space="0" w:color="auto"/>
        <w:right w:val="none" w:sz="0" w:space="0" w:color="auto"/>
      </w:divBdr>
    </w:div>
    <w:div w:id="165482853">
      <w:bodyDiv w:val="1"/>
      <w:marLeft w:val="0"/>
      <w:marRight w:val="0"/>
      <w:marTop w:val="0"/>
      <w:marBottom w:val="0"/>
      <w:divBdr>
        <w:top w:val="none" w:sz="0" w:space="0" w:color="auto"/>
        <w:left w:val="none" w:sz="0" w:space="0" w:color="auto"/>
        <w:bottom w:val="none" w:sz="0" w:space="0" w:color="auto"/>
        <w:right w:val="none" w:sz="0" w:space="0" w:color="auto"/>
      </w:divBdr>
    </w:div>
    <w:div w:id="165675533">
      <w:bodyDiv w:val="1"/>
      <w:marLeft w:val="0"/>
      <w:marRight w:val="0"/>
      <w:marTop w:val="0"/>
      <w:marBottom w:val="0"/>
      <w:divBdr>
        <w:top w:val="none" w:sz="0" w:space="0" w:color="auto"/>
        <w:left w:val="none" w:sz="0" w:space="0" w:color="auto"/>
        <w:bottom w:val="none" w:sz="0" w:space="0" w:color="auto"/>
        <w:right w:val="none" w:sz="0" w:space="0" w:color="auto"/>
      </w:divBdr>
    </w:div>
    <w:div w:id="207031072">
      <w:bodyDiv w:val="1"/>
      <w:marLeft w:val="0"/>
      <w:marRight w:val="0"/>
      <w:marTop w:val="0"/>
      <w:marBottom w:val="0"/>
      <w:divBdr>
        <w:top w:val="none" w:sz="0" w:space="0" w:color="auto"/>
        <w:left w:val="none" w:sz="0" w:space="0" w:color="auto"/>
        <w:bottom w:val="none" w:sz="0" w:space="0" w:color="auto"/>
        <w:right w:val="none" w:sz="0" w:space="0" w:color="auto"/>
      </w:divBdr>
    </w:div>
    <w:div w:id="249967236">
      <w:bodyDiv w:val="1"/>
      <w:marLeft w:val="0"/>
      <w:marRight w:val="0"/>
      <w:marTop w:val="0"/>
      <w:marBottom w:val="0"/>
      <w:divBdr>
        <w:top w:val="none" w:sz="0" w:space="0" w:color="auto"/>
        <w:left w:val="none" w:sz="0" w:space="0" w:color="auto"/>
        <w:bottom w:val="none" w:sz="0" w:space="0" w:color="auto"/>
        <w:right w:val="none" w:sz="0" w:space="0" w:color="auto"/>
      </w:divBdr>
    </w:div>
    <w:div w:id="292910912">
      <w:bodyDiv w:val="1"/>
      <w:marLeft w:val="0"/>
      <w:marRight w:val="0"/>
      <w:marTop w:val="0"/>
      <w:marBottom w:val="0"/>
      <w:divBdr>
        <w:top w:val="none" w:sz="0" w:space="0" w:color="auto"/>
        <w:left w:val="none" w:sz="0" w:space="0" w:color="auto"/>
        <w:bottom w:val="none" w:sz="0" w:space="0" w:color="auto"/>
        <w:right w:val="none" w:sz="0" w:space="0" w:color="auto"/>
      </w:divBdr>
    </w:div>
    <w:div w:id="294454252">
      <w:bodyDiv w:val="1"/>
      <w:marLeft w:val="0"/>
      <w:marRight w:val="0"/>
      <w:marTop w:val="0"/>
      <w:marBottom w:val="0"/>
      <w:divBdr>
        <w:top w:val="none" w:sz="0" w:space="0" w:color="auto"/>
        <w:left w:val="none" w:sz="0" w:space="0" w:color="auto"/>
        <w:bottom w:val="none" w:sz="0" w:space="0" w:color="auto"/>
        <w:right w:val="none" w:sz="0" w:space="0" w:color="auto"/>
      </w:divBdr>
    </w:div>
    <w:div w:id="308947711">
      <w:bodyDiv w:val="1"/>
      <w:marLeft w:val="0"/>
      <w:marRight w:val="0"/>
      <w:marTop w:val="0"/>
      <w:marBottom w:val="0"/>
      <w:divBdr>
        <w:top w:val="none" w:sz="0" w:space="0" w:color="auto"/>
        <w:left w:val="none" w:sz="0" w:space="0" w:color="auto"/>
        <w:bottom w:val="none" w:sz="0" w:space="0" w:color="auto"/>
        <w:right w:val="none" w:sz="0" w:space="0" w:color="auto"/>
      </w:divBdr>
    </w:div>
    <w:div w:id="313922578">
      <w:bodyDiv w:val="1"/>
      <w:marLeft w:val="0"/>
      <w:marRight w:val="0"/>
      <w:marTop w:val="0"/>
      <w:marBottom w:val="0"/>
      <w:divBdr>
        <w:top w:val="none" w:sz="0" w:space="0" w:color="auto"/>
        <w:left w:val="none" w:sz="0" w:space="0" w:color="auto"/>
        <w:bottom w:val="none" w:sz="0" w:space="0" w:color="auto"/>
        <w:right w:val="none" w:sz="0" w:space="0" w:color="auto"/>
      </w:divBdr>
    </w:div>
    <w:div w:id="324942379">
      <w:bodyDiv w:val="1"/>
      <w:marLeft w:val="0"/>
      <w:marRight w:val="0"/>
      <w:marTop w:val="0"/>
      <w:marBottom w:val="0"/>
      <w:divBdr>
        <w:top w:val="none" w:sz="0" w:space="0" w:color="auto"/>
        <w:left w:val="none" w:sz="0" w:space="0" w:color="auto"/>
        <w:bottom w:val="none" w:sz="0" w:space="0" w:color="auto"/>
        <w:right w:val="none" w:sz="0" w:space="0" w:color="auto"/>
      </w:divBdr>
    </w:div>
    <w:div w:id="356155359">
      <w:bodyDiv w:val="1"/>
      <w:marLeft w:val="0"/>
      <w:marRight w:val="0"/>
      <w:marTop w:val="0"/>
      <w:marBottom w:val="0"/>
      <w:divBdr>
        <w:top w:val="none" w:sz="0" w:space="0" w:color="auto"/>
        <w:left w:val="none" w:sz="0" w:space="0" w:color="auto"/>
        <w:bottom w:val="none" w:sz="0" w:space="0" w:color="auto"/>
        <w:right w:val="none" w:sz="0" w:space="0" w:color="auto"/>
      </w:divBdr>
    </w:div>
    <w:div w:id="361320272">
      <w:bodyDiv w:val="1"/>
      <w:marLeft w:val="0"/>
      <w:marRight w:val="0"/>
      <w:marTop w:val="0"/>
      <w:marBottom w:val="0"/>
      <w:divBdr>
        <w:top w:val="none" w:sz="0" w:space="0" w:color="auto"/>
        <w:left w:val="none" w:sz="0" w:space="0" w:color="auto"/>
        <w:bottom w:val="none" w:sz="0" w:space="0" w:color="auto"/>
        <w:right w:val="none" w:sz="0" w:space="0" w:color="auto"/>
      </w:divBdr>
    </w:div>
    <w:div w:id="363943703">
      <w:bodyDiv w:val="1"/>
      <w:marLeft w:val="0"/>
      <w:marRight w:val="0"/>
      <w:marTop w:val="0"/>
      <w:marBottom w:val="0"/>
      <w:divBdr>
        <w:top w:val="none" w:sz="0" w:space="0" w:color="auto"/>
        <w:left w:val="none" w:sz="0" w:space="0" w:color="auto"/>
        <w:bottom w:val="none" w:sz="0" w:space="0" w:color="auto"/>
        <w:right w:val="none" w:sz="0" w:space="0" w:color="auto"/>
      </w:divBdr>
    </w:div>
    <w:div w:id="367143400">
      <w:bodyDiv w:val="1"/>
      <w:marLeft w:val="0"/>
      <w:marRight w:val="0"/>
      <w:marTop w:val="0"/>
      <w:marBottom w:val="0"/>
      <w:divBdr>
        <w:top w:val="none" w:sz="0" w:space="0" w:color="auto"/>
        <w:left w:val="none" w:sz="0" w:space="0" w:color="auto"/>
        <w:bottom w:val="none" w:sz="0" w:space="0" w:color="auto"/>
        <w:right w:val="none" w:sz="0" w:space="0" w:color="auto"/>
      </w:divBdr>
    </w:div>
    <w:div w:id="400098448">
      <w:bodyDiv w:val="1"/>
      <w:marLeft w:val="0"/>
      <w:marRight w:val="0"/>
      <w:marTop w:val="0"/>
      <w:marBottom w:val="0"/>
      <w:divBdr>
        <w:top w:val="none" w:sz="0" w:space="0" w:color="auto"/>
        <w:left w:val="none" w:sz="0" w:space="0" w:color="auto"/>
        <w:bottom w:val="none" w:sz="0" w:space="0" w:color="auto"/>
        <w:right w:val="none" w:sz="0" w:space="0" w:color="auto"/>
      </w:divBdr>
    </w:div>
    <w:div w:id="402684337">
      <w:bodyDiv w:val="1"/>
      <w:marLeft w:val="0"/>
      <w:marRight w:val="0"/>
      <w:marTop w:val="0"/>
      <w:marBottom w:val="0"/>
      <w:divBdr>
        <w:top w:val="none" w:sz="0" w:space="0" w:color="auto"/>
        <w:left w:val="none" w:sz="0" w:space="0" w:color="auto"/>
        <w:bottom w:val="none" w:sz="0" w:space="0" w:color="auto"/>
        <w:right w:val="none" w:sz="0" w:space="0" w:color="auto"/>
      </w:divBdr>
    </w:div>
    <w:div w:id="404039188">
      <w:bodyDiv w:val="1"/>
      <w:marLeft w:val="0"/>
      <w:marRight w:val="0"/>
      <w:marTop w:val="0"/>
      <w:marBottom w:val="0"/>
      <w:divBdr>
        <w:top w:val="none" w:sz="0" w:space="0" w:color="auto"/>
        <w:left w:val="none" w:sz="0" w:space="0" w:color="auto"/>
        <w:bottom w:val="none" w:sz="0" w:space="0" w:color="auto"/>
        <w:right w:val="none" w:sz="0" w:space="0" w:color="auto"/>
      </w:divBdr>
    </w:div>
    <w:div w:id="413165081">
      <w:bodyDiv w:val="1"/>
      <w:marLeft w:val="0"/>
      <w:marRight w:val="0"/>
      <w:marTop w:val="0"/>
      <w:marBottom w:val="0"/>
      <w:divBdr>
        <w:top w:val="none" w:sz="0" w:space="0" w:color="auto"/>
        <w:left w:val="none" w:sz="0" w:space="0" w:color="auto"/>
        <w:bottom w:val="none" w:sz="0" w:space="0" w:color="auto"/>
        <w:right w:val="none" w:sz="0" w:space="0" w:color="auto"/>
      </w:divBdr>
    </w:div>
    <w:div w:id="418915663">
      <w:bodyDiv w:val="1"/>
      <w:marLeft w:val="0"/>
      <w:marRight w:val="0"/>
      <w:marTop w:val="0"/>
      <w:marBottom w:val="0"/>
      <w:divBdr>
        <w:top w:val="none" w:sz="0" w:space="0" w:color="auto"/>
        <w:left w:val="none" w:sz="0" w:space="0" w:color="auto"/>
        <w:bottom w:val="none" w:sz="0" w:space="0" w:color="auto"/>
        <w:right w:val="none" w:sz="0" w:space="0" w:color="auto"/>
      </w:divBdr>
    </w:div>
    <w:div w:id="484905053">
      <w:bodyDiv w:val="1"/>
      <w:marLeft w:val="0"/>
      <w:marRight w:val="0"/>
      <w:marTop w:val="0"/>
      <w:marBottom w:val="0"/>
      <w:divBdr>
        <w:top w:val="none" w:sz="0" w:space="0" w:color="auto"/>
        <w:left w:val="none" w:sz="0" w:space="0" w:color="auto"/>
        <w:bottom w:val="none" w:sz="0" w:space="0" w:color="auto"/>
        <w:right w:val="none" w:sz="0" w:space="0" w:color="auto"/>
      </w:divBdr>
    </w:div>
    <w:div w:id="497959176">
      <w:bodyDiv w:val="1"/>
      <w:marLeft w:val="0"/>
      <w:marRight w:val="0"/>
      <w:marTop w:val="0"/>
      <w:marBottom w:val="0"/>
      <w:divBdr>
        <w:top w:val="none" w:sz="0" w:space="0" w:color="auto"/>
        <w:left w:val="none" w:sz="0" w:space="0" w:color="auto"/>
        <w:bottom w:val="none" w:sz="0" w:space="0" w:color="auto"/>
        <w:right w:val="none" w:sz="0" w:space="0" w:color="auto"/>
      </w:divBdr>
    </w:div>
    <w:div w:id="503935386">
      <w:bodyDiv w:val="1"/>
      <w:marLeft w:val="0"/>
      <w:marRight w:val="0"/>
      <w:marTop w:val="0"/>
      <w:marBottom w:val="0"/>
      <w:divBdr>
        <w:top w:val="none" w:sz="0" w:space="0" w:color="auto"/>
        <w:left w:val="none" w:sz="0" w:space="0" w:color="auto"/>
        <w:bottom w:val="none" w:sz="0" w:space="0" w:color="auto"/>
        <w:right w:val="none" w:sz="0" w:space="0" w:color="auto"/>
      </w:divBdr>
    </w:div>
    <w:div w:id="544296424">
      <w:bodyDiv w:val="1"/>
      <w:marLeft w:val="0"/>
      <w:marRight w:val="0"/>
      <w:marTop w:val="0"/>
      <w:marBottom w:val="0"/>
      <w:divBdr>
        <w:top w:val="none" w:sz="0" w:space="0" w:color="auto"/>
        <w:left w:val="none" w:sz="0" w:space="0" w:color="auto"/>
        <w:bottom w:val="none" w:sz="0" w:space="0" w:color="auto"/>
        <w:right w:val="none" w:sz="0" w:space="0" w:color="auto"/>
      </w:divBdr>
    </w:div>
    <w:div w:id="551619197">
      <w:bodyDiv w:val="1"/>
      <w:marLeft w:val="0"/>
      <w:marRight w:val="0"/>
      <w:marTop w:val="0"/>
      <w:marBottom w:val="0"/>
      <w:divBdr>
        <w:top w:val="none" w:sz="0" w:space="0" w:color="auto"/>
        <w:left w:val="none" w:sz="0" w:space="0" w:color="auto"/>
        <w:bottom w:val="none" w:sz="0" w:space="0" w:color="auto"/>
        <w:right w:val="none" w:sz="0" w:space="0" w:color="auto"/>
      </w:divBdr>
    </w:div>
    <w:div w:id="571231997">
      <w:bodyDiv w:val="1"/>
      <w:marLeft w:val="0"/>
      <w:marRight w:val="0"/>
      <w:marTop w:val="0"/>
      <w:marBottom w:val="0"/>
      <w:divBdr>
        <w:top w:val="none" w:sz="0" w:space="0" w:color="auto"/>
        <w:left w:val="none" w:sz="0" w:space="0" w:color="auto"/>
        <w:bottom w:val="none" w:sz="0" w:space="0" w:color="auto"/>
        <w:right w:val="none" w:sz="0" w:space="0" w:color="auto"/>
      </w:divBdr>
    </w:div>
    <w:div w:id="583687548">
      <w:bodyDiv w:val="1"/>
      <w:marLeft w:val="0"/>
      <w:marRight w:val="0"/>
      <w:marTop w:val="0"/>
      <w:marBottom w:val="0"/>
      <w:divBdr>
        <w:top w:val="none" w:sz="0" w:space="0" w:color="auto"/>
        <w:left w:val="none" w:sz="0" w:space="0" w:color="auto"/>
        <w:bottom w:val="none" w:sz="0" w:space="0" w:color="auto"/>
        <w:right w:val="none" w:sz="0" w:space="0" w:color="auto"/>
      </w:divBdr>
    </w:div>
    <w:div w:id="587924834">
      <w:bodyDiv w:val="1"/>
      <w:marLeft w:val="0"/>
      <w:marRight w:val="0"/>
      <w:marTop w:val="0"/>
      <w:marBottom w:val="0"/>
      <w:divBdr>
        <w:top w:val="none" w:sz="0" w:space="0" w:color="auto"/>
        <w:left w:val="none" w:sz="0" w:space="0" w:color="auto"/>
        <w:bottom w:val="none" w:sz="0" w:space="0" w:color="auto"/>
        <w:right w:val="none" w:sz="0" w:space="0" w:color="auto"/>
      </w:divBdr>
    </w:div>
    <w:div w:id="625745808">
      <w:bodyDiv w:val="1"/>
      <w:marLeft w:val="0"/>
      <w:marRight w:val="0"/>
      <w:marTop w:val="0"/>
      <w:marBottom w:val="0"/>
      <w:divBdr>
        <w:top w:val="none" w:sz="0" w:space="0" w:color="auto"/>
        <w:left w:val="none" w:sz="0" w:space="0" w:color="auto"/>
        <w:bottom w:val="none" w:sz="0" w:space="0" w:color="auto"/>
        <w:right w:val="none" w:sz="0" w:space="0" w:color="auto"/>
      </w:divBdr>
    </w:div>
    <w:div w:id="638650362">
      <w:bodyDiv w:val="1"/>
      <w:marLeft w:val="0"/>
      <w:marRight w:val="0"/>
      <w:marTop w:val="0"/>
      <w:marBottom w:val="0"/>
      <w:divBdr>
        <w:top w:val="none" w:sz="0" w:space="0" w:color="auto"/>
        <w:left w:val="none" w:sz="0" w:space="0" w:color="auto"/>
        <w:bottom w:val="none" w:sz="0" w:space="0" w:color="auto"/>
        <w:right w:val="none" w:sz="0" w:space="0" w:color="auto"/>
      </w:divBdr>
    </w:div>
    <w:div w:id="651525584">
      <w:bodyDiv w:val="1"/>
      <w:marLeft w:val="0"/>
      <w:marRight w:val="0"/>
      <w:marTop w:val="0"/>
      <w:marBottom w:val="0"/>
      <w:divBdr>
        <w:top w:val="none" w:sz="0" w:space="0" w:color="auto"/>
        <w:left w:val="none" w:sz="0" w:space="0" w:color="auto"/>
        <w:bottom w:val="none" w:sz="0" w:space="0" w:color="auto"/>
        <w:right w:val="none" w:sz="0" w:space="0" w:color="auto"/>
      </w:divBdr>
    </w:div>
    <w:div w:id="656494373">
      <w:bodyDiv w:val="1"/>
      <w:marLeft w:val="0"/>
      <w:marRight w:val="0"/>
      <w:marTop w:val="0"/>
      <w:marBottom w:val="0"/>
      <w:divBdr>
        <w:top w:val="none" w:sz="0" w:space="0" w:color="auto"/>
        <w:left w:val="none" w:sz="0" w:space="0" w:color="auto"/>
        <w:bottom w:val="none" w:sz="0" w:space="0" w:color="auto"/>
        <w:right w:val="none" w:sz="0" w:space="0" w:color="auto"/>
      </w:divBdr>
    </w:div>
    <w:div w:id="661394099">
      <w:bodyDiv w:val="1"/>
      <w:marLeft w:val="0"/>
      <w:marRight w:val="0"/>
      <w:marTop w:val="0"/>
      <w:marBottom w:val="0"/>
      <w:divBdr>
        <w:top w:val="none" w:sz="0" w:space="0" w:color="auto"/>
        <w:left w:val="none" w:sz="0" w:space="0" w:color="auto"/>
        <w:bottom w:val="none" w:sz="0" w:space="0" w:color="auto"/>
        <w:right w:val="none" w:sz="0" w:space="0" w:color="auto"/>
      </w:divBdr>
    </w:div>
    <w:div w:id="663167382">
      <w:bodyDiv w:val="1"/>
      <w:marLeft w:val="0"/>
      <w:marRight w:val="0"/>
      <w:marTop w:val="0"/>
      <w:marBottom w:val="0"/>
      <w:divBdr>
        <w:top w:val="none" w:sz="0" w:space="0" w:color="auto"/>
        <w:left w:val="none" w:sz="0" w:space="0" w:color="auto"/>
        <w:bottom w:val="none" w:sz="0" w:space="0" w:color="auto"/>
        <w:right w:val="none" w:sz="0" w:space="0" w:color="auto"/>
      </w:divBdr>
    </w:div>
    <w:div w:id="663239504">
      <w:bodyDiv w:val="1"/>
      <w:marLeft w:val="0"/>
      <w:marRight w:val="0"/>
      <w:marTop w:val="0"/>
      <w:marBottom w:val="0"/>
      <w:divBdr>
        <w:top w:val="none" w:sz="0" w:space="0" w:color="auto"/>
        <w:left w:val="none" w:sz="0" w:space="0" w:color="auto"/>
        <w:bottom w:val="none" w:sz="0" w:space="0" w:color="auto"/>
        <w:right w:val="none" w:sz="0" w:space="0" w:color="auto"/>
      </w:divBdr>
    </w:div>
    <w:div w:id="668558091">
      <w:bodyDiv w:val="1"/>
      <w:marLeft w:val="0"/>
      <w:marRight w:val="0"/>
      <w:marTop w:val="0"/>
      <w:marBottom w:val="0"/>
      <w:divBdr>
        <w:top w:val="none" w:sz="0" w:space="0" w:color="auto"/>
        <w:left w:val="none" w:sz="0" w:space="0" w:color="auto"/>
        <w:bottom w:val="none" w:sz="0" w:space="0" w:color="auto"/>
        <w:right w:val="none" w:sz="0" w:space="0" w:color="auto"/>
      </w:divBdr>
    </w:div>
    <w:div w:id="671183290">
      <w:bodyDiv w:val="1"/>
      <w:marLeft w:val="0"/>
      <w:marRight w:val="0"/>
      <w:marTop w:val="0"/>
      <w:marBottom w:val="0"/>
      <w:divBdr>
        <w:top w:val="none" w:sz="0" w:space="0" w:color="auto"/>
        <w:left w:val="none" w:sz="0" w:space="0" w:color="auto"/>
        <w:bottom w:val="none" w:sz="0" w:space="0" w:color="auto"/>
        <w:right w:val="none" w:sz="0" w:space="0" w:color="auto"/>
      </w:divBdr>
    </w:div>
    <w:div w:id="717439135">
      <w:bodyDiv w:val="1"/>
      <w:marLeft w:val="0"/>
      <w:marRight w:val="0"/>
      <w:marTop w:val="0"/>
      <w:marBottom w:val="0"/>
      <w:divBdr>
        <w:top w:val="none" w:sz="0" w:space="0" w:color="auto"/>
        <w:left w:val="none" w:sz="0" w:space="0" w:color="auto"/>
        <w:bottom w:val="none" w:sz="0" w:space="0" w:color="auto"/>
        <w:right w:val="none" w:sz="0" w:space="0" w:color="auto"/>
      </w:divBdr>
    </w:div>
    <w:div w:id="733428918">
      <w:bodyDiv w:val="1"/>
      <w:marLeft w:val="0"/>
      <w:marRight w:val="0"/>
      <w:marTop w:val="0"/>
      <w:marBottom w:val="0"/>
      <w:divBdr>
        <w:top w:val="none" w:sz="0" w:space="0" w:color="auto"/>
        <w:left w:val="none" w:sz="0" w:space="0" w:color="auto"/>
        <w:bottom w:val="none" w:sz="0" w:space="0" w:color="auto"/>
        <w:right w:val="none" w:sz="0" w:space="0" w:color="auto"/>
      </w:divBdr>
    </w:div>
    <w:div w:id="738093147">
      <w:bodyDiv w:val="1"/>
      <w:marLeft w:val="0"/>
      <w:marRight w:val="0"/>
      <w:marTop w:val="0"/>
      <w:marBottom w:val="0"/>
      <w:divBdr>
        <w:top w:val="none" w:sz="0" w:space="0" w:color="auto"/>
        <w:left w:val="none" w:sz="0" w:space="0" w:color="auto"/>
        <w:bottom w:val="none" w:sz="0" w:space="0" w:color="auto"/>
        <w:right w:val="none" w:sz="0" w:space="0" w:color="auto"/>
      </w:divBdr>
    </w:div>
    <w:div w:id="775366829">
      <w:bodyDiv w:val="1"/>
      <w:marLeft w:val="0"/>
      <w:marRight w:val="0"/>
      <w:marTop w:val="0"/>
      <w:marBottom w:val="0"/>
      <w:divBdr>
        <w:top w:val="none" w:sz="0" w:space="0" w:color="auto"/>
        <w:left w:val="none" w:sz="0" w:space="0" w:color="auto"/>
        <w:bottom w:val="none" w:sz="0" w:space="0" w:color="auto"/>
        <w:right w:val="none" w:sz="0" w:space="0" w:color="auto"/>
      </w:divBdr>
    </w:div>
    <w:div w:id="791438293">
      <w:bodyDiv w:val="1"/>
      <w:marLeft w:val="0"/>
      <w:marRight w:val="0"/>
      <w:marTop w:val="0"/>
      <w:marBottom w:val="0"/>
      <w:divBdr>
        <w:top w:val="none" w:sz="0" w:space="0" w:color="auto"/>
        <w:left w:val="none" w:sz="0" w:space="0" w:color="auto"/>
        <w:bottom w:val="none" w:sz="0" w:space="0" w:color="auto"/>
        <w:right w:val="none" w:sz="0" w:space="0" w:color="auto"/>
      </w:divBdr>
    </w:div>
    <w:div w:id="806359042">
      <w:bodyDiv w:val="1"/>
      <w:marLeft w:val="0"/>
      <w:marRight w:val="0"/>
      <w:marTop w:val="0"/>
      <w:marBottom w:val="0"/>
      <w:divBdr>
        <w:top w:val="none" w:sz="0" w:space="0" w:color="auto"/>
        <w:left w:val="none" w:sz="0" w:space="0" w:color="auto"/>
        <w:bottom w:val="none" w:sz="0" w:space="0" w:color="auto"/>
        <w:right w:val="none" w:sz="0" w:space="0" w:color="auto"/>
      </w:divBdr>
    </w:div>
    <w:div w:id="816915937">
      <w:bodyDiv w:val="1"/>
      <w:marLeft w:val="0"/>
      <w:marRight w:val="0"/>
      <w:marTop w:val="0"/>
      <w:marBottom w:val="0"/>
      <w:divBdr>
        <w:top w:val="none" w:sz="0" w:space="0" w:color="auto"/>
        <w:left w:val="none" w:sz="0" w:space="0" w:color="auto"/>
        <w:bottom w:val="none" w:sz="0" w:space="0" w:color="auto"/>
        <w:right w:val="none" w:sz="0" w:space="0" w:color="auto"/>
      </w:divBdr>
    </w:div>
    <w:div w:id="845293003">
      <w:bodyDiv w:val="1"/>
      <w:marLeft w:val="0"/>
      <w:marRight w:val="0"/>
      <w:marTop w:val="0"/>
      <w:marBottom w:val="0"/>
      <w:divBdr>
        <w:top w:val="none" w:sz="0" w:space="0" w:color="auto"/>
        <w:left w:val="none" w:sz="0" w:space="0" w:color="auto"/>
        <w:bottom w:val="none" w:sz="0" w:space="0" w:color="auto"/>
        <w:right w:val="none" w:sz="0" w:space="0" w:color="auto"/>
      </w:divBdr>
    </w:div>
    <w:div w:id="866262643">
      <w:bodyDiv w:val="1"/>
      <w:marLeft w:val="0"/>
      <w:marRight w:val="0"/>
      <w:marTop w:val="0"/>
      <w:marBottom w:val="0"/>
      <w:divBdr>
        <w:top w:val="none" w:sz="0" w:space="0" w:color="auto"/>
        <w:left w:val="none" w:sz="0" w:space="0" w:color="auto"/>
        <w:bottom w:val="none" w:sz="0" w:space="0" w:color="auto"/>
        <w:right w:val="none" w:sz="0" w:space="0" w:color="auto"/>
      </w:divBdr>
    </w:div>
    <w:div w:id="875894793">
      <w:bodyDiv w:val="1"/>
      <w:marLeft w:val="0"/>
      <w:marRight w:val="0"/>
      <w:marTop w:val="0"/>
      <w:marBottom w:val="0"/>
      <w:divBdr>
        <w:top w:val="none" w:sz="0" w:space="0" w:color="auto"/>
        <w:left w:val="none" w:sz="0" w:space="0" w:color="auto"/>
        <w:bottom w:val="none" w:sz="0" w:space="0" w:color="auto"/>
        <w:right w:val="none" w:sz="0" w:space="0" w:color="auto"/>
      </w:divBdr>
    </w:div>
    <w:div w:id="951130424">
      <w:bodyDiv w:val="1"/>
      <w:marLeft w:val="0"/>
      <w:marRight w:val="0"/>
      <w:marTop w:val="0"/>
      <w:marBottom w:val="0"/>
      <w:divBdr>
        <w:top w:val="none" w:sz="0" w:space="0" w:color="auto"/>
        <w:left w:val="none" w:sz="0" w:space="0" w:color="auto"/>
        <w:bottom w:val="none" w:sz="0" w:space="0" w:color="auto"/>
        <w:right w:val="none" w:sz="0" w:space="0" w:color="auto"/>
      </w:divBdr>
    </w:div>
    <w:div w:id="956066879">
      <w:bodyDiv w:val="1"/>
      <w:marLeft w:val="0"/>
      <w:marRight w:val="0"/>
      <w:marTop w:val="0"/>
      <w:marBottom w:val="0"/>
      <w:divBdr>
        <w:top w:val="none" w:sz="0" w:space="0" w:color="auto"/>
        <w:left w:val="none" w:sz="0" w:space="0" w:color="auto"/>
        <w:bottom w:val="none" w:sz="0" w:space="0" w:color="auto"/>
        <w:right w:val="none" w:sz="0" w:space="0" w:color="auto"/>
      </w:divBdr>
    </w:div>
    <w:div w:id="998465432">
      <w:bodyDiv w:val="1"/>
      <w:marLeft w:val="0"/>
      <w:marRight w:val="0"/>
      <w:marTop w:val="0"/>
      <w:marBottom w:val="0"/>
      <w:divBdr>
        <w:top w:val="none" w:sz="0" w:space="0" w:color="auto"/>
        <w:left w:val="none" w:sz="0" w:space="0" w:color="auto"/>
        <w:bottom w:val="none" w:sz="0" w:space="0" w:color="auto"/>
        <w:right w:val="none" w:sz="0" w:space="0" w:color="auto"/>
      </w:divBdr>
    </w:div>
    <w:div w:id="998847878">
      <w:bodyDiv w:val="1"/>
      <w:marLeft w:val="0"/>
      <w:marRight w:val="0"/>
      <w:marTop w:val="0"/>
      <w:marBottom w:val="0"/>
      <w:divBdr>
        <w:top w:val="none" w:sz="0" w:space="0" w:color="auto"/>
        <w:left w:val="none" w:sz="0" w:space="0" w:color="auto"/>
        <w:bottom w:val="none" w:sz="0" w:space="0" w:color="auto"/>
        <w:right w:val="none" w:sz="0" w:space="0" w:color="auto"/>
      </w:divBdr>
    </w:div>
    <w:div w:id="1004168526">
      <w:bodyDiv w:val="1"/>
      <w:marLeft w:val="0"/>
      <w:marRight w:val="0"/>
      <w:marTop w:val="0"/>
      <w:marBottom w:val="0"/>
      <w:divBdr>
        <w:top w:val="none" w:sz="0" w:space="0" w:color="auto"/>
        <w:left w:val="none" w:sz="0" w:space="0" w:color="auto"/>
        <w:bottom w:val="none" w:sz="0" w:space="0" w:color="auto"/>
        <w:right w:val="none" w:sz="0" w:space="0" w:color="auto"/>
      </w:divBdr>
    </w:div>
    <w:div w:id="1025640511">
      <w:bodyDiv w:val="1"/>
      <w:marLeft w:val="0"/>
      <w:marRight w:val="0"/>
      <w:marTop w:val="0"/>
      <w:marBottom w:val="0"/>
      <w:divBdr>
        <w:top w:val="none" w:sz="0" w:space="0" w:color="auto"/>
        <w:left w:val="none" w:sz="0" w:space="0" w:color="auto"/>
        <w:bottom w:val="none" w:sz="0" w:space="0" w:color="auto"/>
        <w:right w:val="none" w:sz="0" w:space="0" w:color="auto"/>
      </w:divBdr>
    </w:div>
    <w:div w:id="1046835949">
      <w:bodyDiv w:val="1"/>
      <w:marLeft w:val="0"/>
      <w:marRight w:val="0"/>
      <w:marTop w:val="0"/>
      <w:marBottom w:val="0"/>
      <w:divBdr>
        <w:top w:val="none" w:sz="0" w:space="0" w:color="auto"/>
        <w:left w:val="none" w:sz="0" w:space="0" w:color="auto"/>
        <w:bottom w:val="none" w:sz="0" w:space="0" w:color="auto"/>
        <w:right w:val="none" w:sz="0" w:space="0" w:color="auto"/>
      </w:divBdr>
    </w:div>
    <w:div w:id="1056658998">
      <w:bodyDiv w:val="1"/>
      <w:marLeft w:val="0"/>
      <w:marRight w:val="0"/>
      <w:marTop w:val="0"/>
      <w:marBottom w:val="0"/>
      <w:divBdr>
        <w:top w:val="none" w:sz="0" w:space="0" w:color="auto"/>
        <w:left w:val="none" w:sz="0" w:space="0" w:color="auto"/>
        <w:bottom w:val="none" w:sz="0" w:space="0" w:color="auto"/>
        <w:right w:val="none" w:sz="0" w:space="0" w:color="auto"/>
      </w:divBdr>
    </w:div>
    <w:div w:id="1062755949">
      <w:bodyDiv w:val="1"/>
      <w:marLeft w:val="0"/>
      <w:marRight w:val="0"/>
      <w:marTop w:val="0"/>
      <w:marBottom w:val="0"/>
      <w:divBdr>
        <w:top w:val="none" w:sz="0" w:space="0" w:color="auto"/>
        <w:left w:val="none" w:sz="0" w:space="0" w:color="auto"/>
        <w:bottom w:val="none" w:sz="0" w:space="0" w:color="auto"/>
        <w:right w:val="none" w:sz="0" w:space="0" w:color="auto"/>
      </w:divBdr>
    </w:div>
    <w:div w:id="1065758765">
      <w:bodyDiv w:val="1"/>
      <w:marLeft w:val="0"/>
      <w:marRight w:val="0"/>
      <w:marTop w:val="0"/>
      <w:marBottom w:val="0"/>
      <w:divBdr>
        <w:top w:val="none" w:sz="0" w:space="0" w:color="auto"/>
        <w:left w:val="none" w:sz="0" w:space="0" w:color="auto"/>
        <w:bottom w:val="none" w:sz="0" w:space="0" w:color="auto"/>
        <w:right w:val="none" w:sz="0" w:space="0" w:color="auto"/>
      </w:divBdr>
    </w:div>
    <w:div w:id="1074277771">
      <w:bodyDiv w:val="1"/>
      <w:marLeft w:val="0"/>
      <w:marRight w:val="0"/>
      <w:marTop w:val="0"/>
      <w:marBottom w:val="0"/>
      <w:divBdr>
        <w:top w:val="none" w:sz="0" w:space="0" w:color="auto"/>
        <w:left w:val="none" w:sz="0" w:space="0" w:color="auto"/>
        <w:bottom w:val="none" w:sz="0" w:space="0" w:color="auto"/>
        <w:right w:val="none" w:sz="0" w:space="0" w:color="auto"/>
      </w:divBdr>
    </w:div>
    <w:div w:id="1089078844">
      <w:bodyDiv w:val="1"/>
      <w:marLeft w:val="0"/>
      <w:marRight w:val="0"/>
      <w:marTop w:val="0"/>
      <w:marBottom w:val="0"/>
      <w:divBdr>
        <w:top w:val="none" w:sz="0" w:space="0" w:color="auto"/>
        <w:left w:val="none" w:sz="0" w:space="0" w:color="auto"/>
        <w:bottom w:val="none" w:sz="0" w:space="0" w:color="auto"/>
        <w:right w:val="none" w:sz="0" w:space="0" w:color="auto"/>
      </w:divBdr>
    </w:div>
    <w:div w:id="1103651577">
      <w:bodyDiv w:val="1"/>
      <w:marLeft w:val="0"/>
      <w:marRight w:val="0"/>
      <w:marTop w:val="0"/>
      <w:marBottom w:val="0"/>
      <w:divBdr>
        <w:top w:val="none" w:sz="0" w:space="0" w:color="auto"/>
        <w:left w:val="none" w:sz="0" w:space="0" w:color="auto"/>
        <w:bottom w:val="none" w:sz="0" w:space="0" w:color="auto"/>
        <w:right w:val="none" w:sz="0" w:space="0" w:color="auto"/>
      </w:divBdr>
    </w:div>
    <w:div w:id="1106270030">
      <w:bodyDiv w:val="1"/>
      <w:marLeft w:val="0"/>
      <w:marRight w:val="0"/>
      <w:marTop w:val="0"/>
      <w:marBottom w:val="0"/>
      <w:divBdr>
        <w:top w:val="none" w:sz="0" w:space="0" w:color="auto"/>
        <w:left w:val="none" w:sz="0" w:space="0" w:color="auto"/>
        <w:bottom w:val="none" w:sz="0" w:space="0" w:color="auto"/>
        <w:right w:val="none" w:sz="0" w:space="0" w:color="auto"/>
      </w:divBdr>
    </w:div>
    <w:div w:id="1108618999">
      <w:bodyDiv w:val="1"/>
      <w:marLeft w:val="0"/>
      <w:marRight w:val="0"/>
      <w:marTop w:val="0"/>
      <w:marBottom w:val="0"/>
      <w:divBdr>
        <w:top w:val="none" w:sz="0" w:space="0" w:color="auto"/>
        <w:left w:val="none" w:sz="0" w:space="0" w:color="auto"/>
        <w:bottom w:val="none" w:sz="0" w:space="0" w:color="auto"/>
        <w:right w:val="none" w:sz="0" w:space="0" w:color="auto"/>
      </w:divBdr>
    </w:div>
    <w:div w:id="1110667176">
      <w:bodyDiv w:val="1"/>
      <w:marLeft w:val="0"/>
      <w:marRight w:val="0"/>
      <w:marTop w:val="0"/>
      <w:marBottom w:val="0"/>
      <w:divBdr>
        <w:top w:val="none" w:sz="0" w:space="0" w:color="auto"/>
        <w:left w:val="none" w:sz="0" w:space="0" w:color="auto"/>
        <w:bottom w:val="none" w:sz="0" w:space="0" w:color="auto"/>
        <w:right w:val="none" w:sz="0" w:space="0" w:color="auto"/>
      </w:divBdr>
    </w:div>
    <w:div w:id="1116561446">
      <w:bodyDiv w:val="1"/>
      <w:marLeft w:val="0"/>
      <w:marRight w:val="0"/>
      <w:marTop w:val="0"/>
      <w:marBottom w:val="0"/>
      <w:divBdr>
        <w:top w:val="none" w:sz="0" w:space="0" w:color="auto"/>
        <w:left w:val="none" w:sz="0" w:space="0" w:color="auto"/>
        <w:bottom w:val="none" w:sz="0" w:space="0" w:color="auto"/>
        <w:right w:val="none" w:sz="0" w:space="0" w:color="auto"/>
      </w:divBdr>
    </w:div>
    <w:div w:id="1118837379">
      <w:bodyDiv w:val="1"/>
      <w:marLeft w:val="0"/>
      <w:marRight w:val="0"/>
      <w:marTop w:val="0"/>
      <w:marBottom w:val="0"/>
      <w:divBdr>
        <w:top w:val="none" w:sz="0" w:space="0" w:color="auto"/>
        <w:left w:val="none" w:sz="0" w:space="0" w:color="auto"/>
        <w:bottom w:val="none" w:sz="0" w:space="0" w:color="auto"/>
        <w:right w:val="none" w:sz="0" w:space="0" w:color="auto"/>
      </w:divBdr>
    </w:div>
    <w:div w:id="1119181121">
      <w:bodyDiv w:val="1"/>
      <w:marLeft w:val="0"/>
      <w:marRight w:val="0"/>
      <w:marTop w:val="0"/>
      <w:marBottom w:val="0"/>
      <w:divBdr>
        <w:top w:val="none" w:sz="0" w:space="0" w:color="auto"/>
        <w:left w:val="none" w:sz="0" w:space="0" w:color="auto"/>
        <w:bottom w:val="none" w:sz="0" w:space="0" w:color="auto"/>
        <w:right w:val="none" w:sz="0" w:space="0" w:color="auto"/>
      </w:divBdr>
    </w:div>
    <w:div w:id="1133406992">
      <w:bodyDiv w:val="1"/>
      <w:marLeft w:val="0"/>
      <w:marRight w:val="0"/>
      <w:marTop w:val="0"/>
      <w:marBottom w:val="0"/>
      <w:divBdr>
        <w:top w:val="none" w:sz="0" w:space="0" w:color="auto"/>
        <w:left w:val="none" w:sz="0" w:space="0" w:color="auto"/>
        <w:bottom w:val="none" w:sz="0" w:space="0" w:color="auto"/>
        <w:right w:val="none" w:sz="0" w:space="0" w:color="auto"/>
      </w:divBdr>
    </w:div>
    <w:div w:id="1144010510">
      <w:bodyDiv w:val="1"/>
      <w:marLeft w:val="0"/>
      <w:marRight w:val="0"/>
      <w:marTop w:val="0"/>
      <w:marBottom w:val="0"/>
      <w:divBdr>
        <w:top w:val="none" w:sz="0" w:space="0" w:color="auto"/>
        <w:left w:val="none" w:sz="0" w:space="0" w:color="auto"/>
        <w:bottom w:val="none" w:sz="0" w:space="0" w:color="auto"/>
        <w:right w:val="none" w:sz="0" w:space="0" w:color="auto"/>
      </w:divBdr>
    </w:div>
    <w:div w:id="1147090769">
      <w:bodyDiv w:val="1"/>
      <w:marLeft w:val="0"/>
      <w:marRight w:val="0"/>
      <w:marTop w:val="0"/>
      <w:marBottom w:val="0"/>
      <w:divBdr>
        <w:top w:val="none" w:sz="0" w:space="0" w:color="auto"/>
        <w:left w:val="none" w:sz="0" w:space="0" w:color="auto"/>
        <w:bottom w:val="none" w:sz="0" w:space="0" w:color="auto"/>
        <w:right w:val="none" w:sz="0" w:space="0" w:color="auto"/>
      </w:divBdr>
    </w:div>
    <w:div w:id="1147866696">
      <w:bodyDiv w:val="1"/>
      <w:marLeft w:val="0"/>
      <w:marRight w:val="0"/>
      <w:marTop w:val="0"/>
      <w:marBottom w:val="0"/>
      <w:divBdr>
        <w:top w:val="none" w:sz="0" w:space="0" w:color="auto"/>
        <w:left w:val="none" w:sz="0" w:space="0" w:color="auto"/>
        <w:bottom w:val="none" w:sz="0" w:space="0" w:color="auto"/>
        <w:right w:val="none" w:sz="0" w:space="0" w:color="auto"/>
      </w:divBdr>
    </w:div>
    <w:div w:id="1155757538">
      <w:bodyDiv w:val="1"/>
      <w:marLeft w:val="0"/>
      <w:marRight w:val="0"/>
      <w:marTop w:val="0"/>
      <w:marBottom w:val="0"/>
      <w:divBdr>
        <w:top w:val="none" w:sz="0" w:space="0" w:color="auto"/>
        <w:left w:val="none" w:sz="0" w:space="0" w:color="auto"/>
        <w:bottom w:val="none" w:sz="0" w:space="0" w:color="auto"/>
        <w:right w:val="none" w:sz="0" w:space="0" w:color="auto"/>
      </w:divBdr>
    </w:div>
    <w:div w:id="1168792878">
      <w:bodyDiv w:val="1"/>
      <w:marLeft w:val="0"/>
      <w:marRight w:val="0"/>
      <w:marTop w:val="0"/>
      <w:marBottom w:val="0"/>
      <w:divBdr>
        <w:top w:val="none" w:sz="0" w:space="0" w:color="auto"/>
        <w:left w:val="none" w:sz="0" w:space="0" w:color="auto"/>
        <w:bottom w:val="none" w:sz="0" w:space="0" w:color="auto"/>
        <w:right w:val="none" w:sz="0" w:space="0" w:color="auto"/>
      </w:divBdr>
    </w:div>
    <w:div w:id="1174416931">
      <w:bodyDiv w:val="1"/>
      <w:marLeft w:val="0"/>
      <w:marRight w:val="0"/>
      <w:marTop w:val="0"/>
      <w:marBottom w:val="0"/>
      <w:divBdr>
        <w:top w:val="none" w:sz="0" w:space="0" w:color="auto"/>
        <w:left w:val="none" w:sz="0" w:space="0" w:color="auto"/>
        <w:bottom w:val="none" w:sz="0" w:space="0" w:color="auto"/>
        <w:right w:val="none" w:sz="0" w:space="0" w:color="auto"/>
      </w:divBdr>
    </w:div>
    <w:div w:id="1184440523">
      <w:bodyDiv w:val="1"/>
      <w:marLeft w:val="0"/>
      <w:marRight w:val="0"/>
      <w:marTop w:val="0"/>
      <w:marBottom w:val="0"/>
      <w:divBdr>
        <w:top w:val="none" w:sz="0" w:space="0" w:color="auto"/>
        <w:left w:val="none" w:sz="0" w:space="0" w:color="auto"/>
        <w:bottom w:val="none" w:sz="0" w:space="0" w:color="auto"/>
        <w:right w:val="none" w:sz="0" w:space="0" w:color="auto"/>
      </w:divBdr>
    </w:div>
    <w:div w:id="1189223185">
      <w:bodyDiv w:val="1"/>
      <w:marLeft w:val="0"/>
      <w:marRight w:val="0"/>
      <w:marTop w:val="0"/>
      <w:marBottom w:val="0"/>
      <w:divBdr>
        <w:top w:val="none" w:sz="0" w:space="0" w:color="auto"/>
        <w:left w:val="none" w:sz="0" w:space="0" w:color="auto"/>
        <w:bottom w:val="none" w:sz="0" w:space="0" w:color="auto"/>
        <w:right w:val="none" w:sz="0" w:space="0" w:color="auto"/>
      </w:divBdr>
    </w:div>
    <w:div w:id="1200581089">
      <w:bodyDiv w:val="1"/>
      <w:marLeft w:val="0"/>
      <w:marRight w:val="0"/>
      <w:marTop w:val="0"/>
      <w:marBottom w:val="0"/>
      <w:divBdr>
        <w:top w:val="none" w:sz="0" w:space="0" w:color="auto"/>
        <w:left w:val="none" w:sz="0" w:space="0" w:color="auto"/>
        <w:bottom w:val="none" w:sz="0" w:space="0" w:color="auto"/>
        <w:right w:val="none" w:sz="0" w:space="0" w:color="auto"/>
      </w:divBdr>
    </w:div>
    <w:div w:id="1268924666">
      <w:bodyDiv w:val="1"/>
      <w:marLeft w:val="0"/>
      <w:marRight w:val="0"/>
      <w:marTop w:val="0"/>
      <w:marBottom w:val="0"/>
      <w:divBdr>
        <w:top w:val="none" w:sz="0" w:space="0" w:color="auto"/>
        <w:left w:val="none" w:sz="0" w:space="0" w:color="auto"/>
        <w:bottom w:val="none" w:sz="0" w:space="0" w:color="auto"/>
        <w:right w:val="none" w:sz="0" w:space="0" w:color="auto"/>
      </w:divBdr>
    </w:div>
    <w:div w:id="1272277692">
      <w:bodyDiv w:val="1"/>
      <w:marLeft w:val="0"/>
      <w:marRight w:val="0"/>
      <w:marTop w:val="0"/>
      <w:marBottom w:val="0"/>
      <w:divBdr>
        <w:top w:val="none" w:sz="0" w:space="0" w:color="auto"/>
        <w:left w:val="none" w:sz="0" w:space="0" w:color="auto"/>
        <w:bottom w:val="none" w:sz="0" w:space="0" w:color="auto"/>
        <w:right w:val="none" w:sz="0" w:space="0" w:color="auto"/>
      </w:divBdr>
    </w:div>
    <w:div w:id="1273784856">
      <w:bodyDiv w:val="1"/>
      <w:marLeft w:val="0"/>
      <w:marRight w:val="0"/>
      <w:marTop w:val="0"/>
      <w:marBottom w:val="0"/>
      <w:divBdr>
        <w:top w:val="none" w:sz="0" w:space="0" w:color="auto"/>
        <w:left w:val="none" w:sz="0" w:space="0" w:color="auto"/>
        <w:bottom w:val="none" w:sz="0" w:space="0" w:color="auto"/>
        <w:right w:val="none" w:sz="0" w:space="0" w:color="auto"/>
      </w:divBdr>
    </w:div>
    <w:div w:id="1279334114">
      <w:bodyDiv w:val="1"/>
      <w:marLeft w:val="0"/>
      <w:marRight w:val="0"/>
      <w:marTop w:val="0"/>
      <w:marBottom w:val="0"/>
      <w:divBdr>
        <w:top w:val="none" w:sz="0" w:space="0" w:color="auto"/>
        <w:left w:val="none" w:sz="0" w:space="0" w:color="auto"/>
        <w:bottom w:val="none" w:sz="0" w:space="0" w:color="auto"/>
        <w:right w:val="none" w:sz="0" w:space="0" w:color="auto"/>
      </w:divBdr>
    </w:div>
    <w:div w:id="1295477384">
      <w:bodyDiv w:val="1"/>
      <w:marLeft w:val="0"/>
      <w:marRight w:val="0"/>
      <w:marTop w:val="0"/>
      <w:marBottom w:val="0"/>
      <w:divBdr>
        <w:top w:val="none" w:sz="0" w:space="0" w:color="auto"/>
        <w:left w:val="none" w:sz="0" w:space="0" w:color="auto"/>
        <w:bottom w:val="none" w:sz="0" w:space="0" w:color="auto"/>
        <w:right w:val="none" w:sz="0" w:space="0" w:color="auto"/>
      </w:divBdr>
    </w:div>
    <w:div w:id="1307390531">
      <w:bodyDiv w:val="1"/>
      <w:marLeft w:val="0"/>
      <w:marRight w:val="0"/>
      <w:marTop w:val="0"/>
      <w:marBottom w:val="0"/>
      <w:divBdr>
        <w:top w:val="none" w:sz="0" w:space="0" w:color="auto"/>
        <w:left w:val="none" w:sz="0" w:space="0" w:color="auto"/>
        <w:bottom w:val="none" w:sz="0" w:space="0" w:color="auto"/>
        <w:right w:val="none" w:sz="0" w:space="0" w:color="auto"/>
      </w:divBdr>
    </w:div>
    <w:div w:id="1318145422">
      <w:bodyDiv w:val="1"/>
      <w:marLeft w:val="0"/>
      <w:marRight w:val="0"/>
      <w:marTop w:val="0"/>
      <w:marBottom w:val="0"/>
      <w:divBdr>
        <w:top w:val="none" w:sz="0" w:space="0" w:color="auto"/>
        <w:left w:val="none" w:sz="0" w:space="0" w:color="auto"/>
        <w:bottom w:val="none" w:sz="0" w:space="0" w:color="auto"/>
        <w:right w:val="none" w:sz="0" w:space="0" w:color="auto"/>
      </w:divBdr>
    </w:div>
    <w:div w:id="1335299461">
      <w:bodyDiv w:val="1"/>
      <w:marLeft w:val="0"/>
      <w:marRight w:val="0"/>
      <w:marTop w:val="0"/>
      <w:marBottom w:val="0"/>
      <w:divBdr>
        <w:top w:val="none" w:sz="0" w:space="0" w:color="auto"/>
        <w:left w:val="none" w:sz="0" w:space="0" w:color="auto"/>
        <w:bottom w:val="none" w:sz="0" w:space="0" w:color="auto"/>
        <w:right w:val="none" w:sz="0" w:space="0" w:color="auto"/>
      </w:divBdr>
    </w:div>
    <w:div w:id="1341815116">
      <w:bodyDiv w:val="1"/>
      <w:marLeft w:val="0"/>
      <w:marRight w:val="0"/>
      <w:marTop w:val="0"/>
      <w:marBottom w:val="0"/>
      <w:divBdr>
        <w:top w:val="none" w:sz="0" w:space="0" w:color="auto"/>
        <w:left w:val="none" w:sz="0" w:space="0" w:color="auto"/>
        <w:bottom w:val="none" w:sz="0" w:space="0" w:color="auto"/>
        <w:right w:val="none" w:sz="0" w:space="0" w:color="auto"/>
      </w:divBdr>
    </w:div>
    <w:div w:id="1358117972">
      <w:bodyDiv w:val="1"/>
      <w:marLeft w:val="0"/>
      <w:marRight w:val="0"/>
      <w:marTop w:val="0"/>
      <w:marBottom w:val="0"/>
      <w:divBdr>
        <w:top w:val="none" w:sz="0" w:space="0" w:color="auto"/>
        <w:left w:val="none" w:sz="0" w:space="0" w:color="auto"/>
        <w:bottom w:val="none" w:sz="0" w:space="0" w:color="auto"/>
        <w:right w:val="none" w:sz="0" w:space="0" w:color="auto"/>
      </w:divBdr>
    </w:div>
    <w:div w:id="1366171625">
      <w:bodyDiv w:val="1"/>
      <w:marLeft w:val="0"/>
      <w:marRight w:val="0"/>
      <w:marTop w:val="0"/>
      <w:marBottom w:val="0"/>
      <w:divBdr>
        <w:top w:val="none" w:sz="0" w:space="0" w:color="auto"/>
        <w:left w:val="none" w:sz="0" w:space="0" w:color="auto"/>
        <w:bottom w:val="none" w:sz="0" w:space="0" w:color="auto"/>
        <w:right w:val="none" w:sz="0" w:space="0" w:color="auto"/>
      </w:divBdr>
    </w:div>
    <w:div w:id="1372876757">
      <w:bodyDiv w:val="1"/>
      <w:marLeft w:val="0"/>
      <w:marRight w:val="0"/>
      <w:marTop w:val="0"/>
      <w:marBottom w:val="0"/>
      <w:divBdr>
        <w:top w:val="none" w:sz="0" w:space="0" w:color="auto"/>
        <w:left w:val="none" w:sz="0" w:space="0" w:color="auto"/>
        <w:bottom w:val="none" w:sz="0" w:space="0" w:color="auto"/>
        <w:right w:val="none" w:sz="0" w:space="0" w:color="auto"/>
      </w:divBdr>
    </w:div>
    <w:div w:id="1373922191">
      <w:bodyDiv w:val="1"/>
      <w:marLeft w:val="0"/>
      <w:marRight w:val="0"/>
      <w:marTop w:val="0"/>
      <w:marBottom w:val="0"/>
      <w:divBdr>
        <w:top w:val="none" w:sz="0" w:space="0" w:color="auto"/>
        <w:left w:val="none" w:sz="0" w:space="0" w:color="auto"/>
        <w:bottom w:val="none" w:sz="0" w:space="0" w:color="auto"/>
        <w:right w:val="none" w:sz="0" w:space="0" w:color="auto"/>
      </w:divBdr>
    </w:div>
    <w:div w:id="1378237610">
      <w:bodyDiv w:val="1"/>
      <w:marLeft w:val="0"/>
      <w:marRight w:val="0"/>
      <w:marTop w:val="0"/>
      <w:marBottom w:val="0"/>
      <w:divBdr>
        <w:top w:val="none" w:sz="0" w:space="0" w:color="auto"/>
        <w:left w:val="none" w:sz="0" w:space="0" w:color="auto"/>
        <w:bottom w:val="none" w:sz="0" w:space="0" w:color="auto"/>
        <w:right w:val="none" w:sz="0" w:space="0" w:color="auto"/>
      </w:divBdr>
    </w:div>
    <w:div w:id="1383217129">
      <w:bodyDiv w:val="1"/>
      <w:marLeft w:val="0"/>
      <w:marRight w:val="0"/>
      <w:marTop w:val="0"/>
      <w:marBottom w:val="0"/>
      <w:divBdr>
        <w:top w:val="none" w:sz="0" w:space="0" w:color="auto"/>
        <w:left w:val="none" w:sz="0" w:space="0" w:color="auto"/>
        <w:bottom w:val="none" w:sz="0" w:space="0" w:color="auto"/>
        <w:right w:val="none" w:sz="0" w:space="0" w:color="auto"/>
      </w:divBdr>
    </w:div>
    <w:div w:id="1395617829">
      <w:bodyDiv w:val="1"/>
      <w:marLeft w:val="0"/>
      <w:marRight w:val="0"/>
      <w:marTop w:val="0"/>
      <w:marBottom w:val="0"/>
      <w:divBdr>
        <w:top w:val="none" w:sz="0" w:space="0" w:color="auto"/>
        <w:left w:val="none" w:sz="0" w:space="0" w:color="auto"/>
        <w:bottom w:val="none" w:sz="0" w:space="0" w:color="auto"/>
        <w:right w:val="none" w:sz="0" w:space="0" w:color="auto"/>
      </w:divBdr>
    </w:div>
    <w:div w:id="1398630543">
      <w:bodyDiv w:val="1"/>
      <w:marLeft w:val="0"/>
      <w:marRight w:val="0"/>
      <w:marTop w:val="0"/>
      <w:marBottom w:val="0"/>
      <w:divBdr>
        <w:top w:val="none" w:sz="0" w:space="0" w:color="auto"/>
        <w:left w:val="none" w:sz="0" w:space="0" w:color="auto"/>
        <w:bottom w:val="none" w:sz="0" w:space="0" w:color="auto"/>
        <w:right w:val="none" w:sz="0" w:space="0" w:color="auto"/>
      </w:divBdr>
    </w:div>
    <w:div w:id="1411658186">
      <w:bodyDiv w:val="1"/>
      <w:marLeft w:val="0"/>
      <w:marRight w:val="0"/>
      <w:marTop w:val="0"/>
      <w:marBottom w:val="0"/>
      <w:divBdr>
        <w:top w:val="none" w:sz="0" w:space="0" w:color="auto"/>
        <w:left w:val="none" w:sz="0" w:space="0" w:color="auto"/>
        <w:bottom w:val="none" w:sz="0" w:space="0" w:color="auto"/>
        <w:right w:val="none" w:sz="0" w:space="0" w:color="auto"/>
      </w:divBdr>
    </w:div>
    <w:div w:id="1412582046">
      <w:bodyDiv w:val="1"/>
      <w:marLeft w:val="0"/>
      <w:marRight w:val="0"/>
      <w:marTop w:val="0"/>
      <w:marBottom w:val="0"/>
      <w:divBdr>
        <w:top w:val="none" w:sz="0" w:space="0" w:color="auto"/>
        <w:left w:val="none" w:sz="0" w:space="0" w:color="auto"/>
        <w:bottom w:val="none" w:sz="0" w:space="0" w:color="auto"/>
        <w:right w:val="none" w:sz="0" w:space="0" w:color="auto"/>
      </w:divBdr>
    </w:div>
    <w:div w:id="1412966650">
      <w:bodyDiv w:val="1"/>
      <w:marLeft w:val="0"/>
      <w:marRight w:val="0"/>
      <w:marTop w:val="0"/>
      <w:marBottom w:val="0"/>
      <w:divBdr>
        <w:top w:val="none" w:sz="0" w:space="0" w:color="auto"/>
        <w:left w:val="none" w:sz="0" w:space="0" w:color="auto"/>
        <w:bottom w:val="none" w:sz="0" w:space="0" w:color="auto"/>
        <w:right w:val="none" w:sz="0" w:space="0" w:color="auto"/>
      </w:divBdr>
    </w:div>
    <w:div w:id="1451047670">
      <w:bodyDiv w:val="1"/>
      <w:marLeft w:val="0"/>
      <w:marRight w:val="0"/>
      <w:marTop w:val="0"/>
      <w:marBottom w:val="0"/>
      <w:divBdr>
        <w:top w:val="none" w:sz="0" w:space="0" w:color="auto"/>
        <w:left w:val="none" w:sz="0" w:space="0" w:color="auto"/>
        <w:bottom w:val="none" w:sz="0" w:space="0" w:color="auto"/>
        <w:right w:val="none" w:sz="0" w:space="0" w:color="auto"/>
      </w:divBdr>
    </w:div>
    <w:div w:id="1482188014">
      <w:bodyDiv w:val="1"/>
      <w:marLeft w:val="0"/>
      <w:marRight w:val="0"/>
      <w:marTop w:val="0"/>
      <w:marBottom w:val="0"/>
      <w:divBdr>
        <w:top w:val="none" w:sz="0" w:space="0" w:color="auto"/>
        <w:left w:val="none" w:sz="0" w:space="0" w:color="auto"/>
        <w:bottom w:val="none" w:sz="0" w:space="0" w:color="auto"/>
        <w:right w:val="none" w:sz="0" w:space="0" w:color="auto"/>
      </w:divBdr>
    </w:div>
    <w:div w:id="1497918600">
      <w:bodyDiv w:val="1"/>
      <w:marLeft w:val="0"/>
      <w:marRight w:val="0"/>
      <w:marTop w:val="0"/>
      <w:marBottom w:val="0"/>
      <w:divBdr>
        <w:top w:val="none" w:sz="0" w:space="0" w:color="auto"/>
        <w:left w:val="none" w:sz="0" w:space="0" w:color="auto"/>
        <w:bottom w:val="none" w:sz="0" w:space="0" w:color="auto"/>
        <w:right w:val="none" w:sz="0" w:space="0" w:color="auto"/>
      </w:divBdr>
    </w:div>
    <w:div w:id="1501576315">
      <w:bodyDiv w:val="1"/>
      <w:marLeft w:val="0"/>
      <w:marRight w:val="0"/>
      <w:marTop w:val="0"/>
      <w:marBottom w:val="0"/>
      <w:divBdr>
        <w:top w:val="none" w:sz="0" w:space="0" w:color="auto"/>
        <w:left w:val="none" w:sz="0" w:space="0" w:color="auto"/>
        <w:bottom w:val="none" w:sz="0" w:space="0" w:color="auto"/>
        <w:right w:val="none" w:sz="0" w:space="0" w:color="auto"/>
      </w:divBdr>
    </w:div>
    <w:div w:id="1514296348">
      <w:bodyDiv w:val="1"/>
      <w:marLeft w:val="0"/>
      <w:marRight w:val="0"/>
      <w:marTop w:val="0"/>
      <w:marBottom w:val="0"/>
      <w:divBdr>
        <w:top w:val="none" w:sz="0" w:space="0" w:color="auto"/>
        <w:left w:val="none" w:sz="0" w:space="0" w:color="auto"/>
        <w:bottom w:val="none" w:sz="0" w:space="0" w:color="auto"/>
        <w:right w:val="none" w:sz="0" w:space="0" w:color="auto"/>
      </w:divBdr>
    </w:div>
    <w:div w:id="1527520792">
      <w:bodyDiv w:val="1"/>
      <w:marLeft w:val="0"/>
      <w:marRight w:val="0"/>
      <w:marTop w:val="0"/>
      <w:marBottom w:val="0"/>
      <w:divBdr>
        <w:top w:val="none" w:sz="0" w:space="0" w:color="auto"/>
        <w:left w:val="none" w:sz="0" w:space="0" w:color="auto"/>
        <w:bottom w:val="none" w:sz="0" w:space="0" w:color="auto"/>
        <w:right w:val="none" w:sz="0" w:space="0" w:color="auto"/>
      </w:divBdr>
    </w:div>
    <w:div w:id="1527987460">
      <w:bodyDiv w:val="1"/>
      <w:marLeft w:val="0"/>
      <w:marRight w:val="0"/>
      <w:marTop w:val="0"/>
      <w:marBottom w:val="0"/>
      <w:divBdr>
        <w:top w:val="none" w:sz="0" w:space="0" w:color="auto"/>
        <w:left w:val="none" w:sz="0" w:space="0" w:color="auto"/>
        <w:bottom w:val="none" w:sz="0" w:space="0" w:color="auto"/>
        <w:right w:val="none" w:sz="0" w:space="0" w:color="auto"/>
      </w:divBdr>
    </w:div>
    <w:div w:id="1546595952">
      <w:bodyDiv w:val="1"/>
      <w:marLeft w:val="0"/>
      <w:marRight w:val="0"/>
      <w:marTop w:val="0"/>
      <w:marBottom w:val="0"/>
      <w:divBdr>
        <w:top w:val="none" w:sz="0" w:space="0" w:color="auto"/>
        <w:left w:val="none" w:sz="0" w:space="0" w:color="auto"/>
        <w:bottom w:val="none" w:sz="0" w:space="0" w:color="auto"/>
        <w:right w:val="none" w:sz="0" w:space="0" w:color="auto"/>
      </w:divBdr>
    </w:div>
    <w:div w:id="1564175187">
      <w:bodyDiv w:val="1"/>
      <w:marLeft w:val="0"/>
      <w:marRight w:val="0"/>
      <w:marTop w:val="0"/>
      <w:marBottom w:val="0"/>
      <w:divBdr>
        <w:top w:val="none" w:sz="0" w:space="0" w:color="auto"/>
        <w:left w:val="none" w:sz="0" w:space="0" w:color="auto"/>
        <w:bottom w:val="none" w:sz="0" w:space="0" w:color="auto"/>
        <w:right w:val="none" w:sz="0" w:space="0" w:color="auto"/>
      </w:divBdr>
    </w:div>
    <w:div w:id="1583761058">
      <w:bodyDiv w:val="1"/>
      <w:marLeft w:val="0"/>
      <w:marRight w:val="0"/>
      <w:marTop w:val="0"/>
      <w:marBottom w:val="0"/>
      <w:divBdr>
        <w:top w:val="none" w:sz="0" w:space="0" w:color="auto"/>
        <w:left w:val="none" w:sz="0" w:space="0" w:color="auto"/>
        <w:bottom w:val="none" w:sz="0" w:space="0" w:color="auto"/>
        <w:right w:val="none" w:sz="0" w:space="0" w:color="auto"/>
      </w:divBdr>
    </w:div>
    <w:div w:id="1595437792">
      <w:bodyDiv w:val="1"/>
      <w:marLeft w:val="0"/>
      <w:marRight w:val="0"/>
      <w:marTop w:val="0"/>
      <w:marBottom w:val="0"/>
      <w:divBdr>
        <w:top w:val="none" w:sz="0" w:space="0" w:color="auto"/>
        <w:left w:val="none" w:sz="0" w:space="0" w:color="auto"/>
        <w:bottom w:val="none" w:sz="0" w:space="0" w:color="auto"/>
        <w:right w:val="none" w:sz="0" w:space="0" w:color="auto"/>
      </w:divBdr>
    </w:div>
    <w:div w:id="1607425530">
      <w:bodyDiv w:val="1"/>
      <w:marLeft w:val="0"/>
      <w:marRight w:val="0"/>
      <w:marTop w:val="0"/>
      <w:marBottom w:val="0"/>
      <w:divBdr>
        <w:top w:val="none" w:sz="0" w:space="0" w:color="auto"/>
        <w:left w:val="none" w:sz="0" w:space="0" w:color="auto"/>
        <w:bottom w:val="none" w:sz="0" w:space="0" w:color="auto"/>
        <w:right w:val="none" w:sz="0" w:space="0" w:color="auto"/>
      </w:divBdr>
    </w:div>
    <w:div w:id="1617980120">
      <w:bodyDiv w:val="1"/>
      <w:marLeft w:val="0"/>
      <w:marRight w:val="0"/>
      <w:marTop w:val="0"/>
      <w:marBottom w:val="0"/>
      <w:divBdr>
        <w:top w:val="none" w:sz="0" w:space="0" w:color="auto"/>
        <w:left w:val="none" w:sz="0" w:space="0" w:color="auto"/>
        <w:bottom w:val="none" w:sz="0" w:space="0" w:color="auto"/>
        <w:right w:val="none" w:sz="0" w:space="0" w:color="auto"/>
      </w:divBdr>
    </w:div>
    <w:div w:id="1640649415">
      <w:bodyDiv w:val="1"/>
      <w:marLeft w:val="0"/>
      <w:marRight w:val="0"/>
      <w:marTop w:val="0"/>
      <w:marBottom w:val="0"/>
      <w:divBdr>
        <w:top w:val="none" w:sz="0" w:space="0" w:color="auto"/>
        <w:left w:val="none" w:sz="0" w:space="0" w:color="auto"/>
        <w:bottom w:val="none" w:sz="0" w:space="0" w:color="auto"/>
        <w:right w:val="none" w:sz="0" w:space="0" w:color="auto"/>
      </w:divBdr>
    </w:div>
    <w:div w:id="1641497945">
      <w:bodyDiv w:val="1"/>
      <w:marLeft w:val="0"/>
      <w:marRight w:val="0"/>
      <w:marTop w:val="0"/>
      <w:marBottom w:val="0"/>
      <w:divBdr>
        <w:top w:val="none" w:sz="0" w:space="0" w:color="auto"/>
        <w:left w:val="none" w:sz="0" w:space="0" w:color="auto"/>
        <w:bottom w:val="none" w:sz="0" w:space="0" w:color="auto"/>
        <w:right w:val="none" w:sz="0" w:space="0" w:color="auto"/>
      </w:divBdr>
    </w:div>
    <w:div w:id="1649437121">
      <w:bodyDiv w:val="1"/>
      <w:marLeft w:val="0"/>
      <w:marRight w:val="0"/>
      <w:marTop w:val="0"/>
      <w:marBottom w:val="0"/>
      <w:divBdr>
        <w:top w:val="none" w:sz="0" w:space="0" w:color="auto"/>
        <w:left w:val="none" w:sz="0" w:space="0" w:color="auto"/>
        <w:bottom w:val="none" w:sz="0" w:space="0" w:color="auto"/>
        <w:right w:val="none" w:sz="0" w:space="0" w:color="auto"/>
      </w:divBdr>
    </w:div>
    <w:div w:id="1672685098">
      <w:bodyDiv w:val="1"/>
      <w:marLeft w:val="0"/>
      <w:marRight w:val="0"/>
      <w:marTop w:val="0"/>
      <w:marBottom w:val="0"/>
      <w:divBdr>
        <w:top w:val="none" w:sz="0" w:space="0" w:color="auto"/>
        <w:left w:val="none" w:sz="0" w:space="0" w:color="auto"/>
        <w:bottom w:val="none" w:sz="0" w:space="0" w:color="auto"/>
        <w:right w:val="none" w:sz="0" w:space="0" w:color="auto"/>
      </w:divBdr>
    </w:div>
    <w:div w:id="1673531289">
      <w:bodyDiv w:val="1"/>
      <w:marLeft w:val="0"/>
      <w:marRight w:val="0"/>
      <w:marTop w:val="0"/>
      <w:marBottom w:val="0"/>
      <w:divBdr>
        <w:top w:val="none" w:sz="0" w:space="0" w:color="auto"/>
        <w:left w:val="none" w:sz="0" w:space="0" w:color="auto"/>
        <w:bottom w:val="none" w:sz="0" w:space="0" w:color="auto"/>
        <w:right w:val="none" w:sz="0" w:space="0" w:color="auto"/>
      </w:divBdr>
    </w:div>
    <w:div w:id="1690906935">
      <w:bodyDiv w:val="1"/>
      <w:marLeft w:val="0"/>
      <w:marRight w:val="0"/>
      <w:marTop w:val="0"/>
      <w:marBottom w:val="0"/>
      <w:divBdr>
        <w:top w:val="none" w:sz="0" w:space="0" w:color="auto"/>
        <w:left w:val="none" w:sz="0" w:space="0" w:color="auto"/>
        <w:bottom w:val="none" w:sz="0" w:space="0" w:color="auto"/>
        <w:right w:val="none" w:sz="0" w:space="0" w:color="auto"/>
      </w:divBdr>
    </w:div>
    <w:div w:id="1711492918">
      <w:bodyDiv w:val="1"/>
      <w:marLeft w:val="0"/>
      <w:marRight w:val="0"/>
      <w:marTop w:val="0"/>
      <w:marBottom w:val="0"/>
      <w:divBdr>
        <w:top w:val="none" w:sz="0" w:space="0" w:color="auto"/>
        <w:left w:val="none" w:sz="0" w:space="0" w:color="auto"/>
        <w:bottom w:val="none" w:sz="0" w:space="0" w:color="auto"/>
        <w:right w:val="none" w:sz="0" w:space="0" w:color="auto"/>
      </w:divBdr>
    </w:div>
    <w:div w:id="1714227263">
      <w:bodyDiv w:val="1"/>
      <w:marLeft w:val="0"/>
      <w:marRight w:val="0"/>
      <w:marTop w:val="0"/>
      <w:marBottom w:val="0"/>
      <w:divBdr>
        <w:top w:val="none" w:sz="0" w:space="0" w:color="auto"/>
        <w:left w:val="none" w:sz="0" w:space="0" w:color="auto"/>
        <w:bottom w:val="none" w:sz="0" w:space="0" w:color="auto"/>
        <w:right w:val="none" w:sz="0" w:space="0" w:color="auto"/>
      </w:divBdr>
    </w:div>
    <w:div w:id="1748264123">
      <w:bodyDiv w:val="1"/>
      <w:marLeft w:val="0"/>
      <w:marRight w:val="0"/>
      <w:marTop w:val="0"/>
      <w:marBottom w:val="0"/>
      <w:divBdr>
        <w:top w:val="none" w:sz="0" w:space="0" w:color="auto"/>
        <w:left w:val="none" w:sz="0" w:space="0" w:color="auto"/>
        <w:bottom w:val="none" w:sz="0" w:space="0" w:color="auto"/>
        <w:right w:val="none" w:sz="0" w:space="0" w:color="auto"/>
      </w:divBdr>
    </w:div>
    <w:div w:id="1750620179">
      <w:bodyDiv w:val="1"/>
      <w:marLeft w:val="0"/>
      <w:marRight w:val="0"/>
      <w:marTop w:val="0"/>
      <w:marBottom w:val="0"/>
      <w:divBdr>
        <w:top w:val="none" w:sz="0" w:space="0" w:color="auto"/>
        <w:left w:val="none" w:sz="0" w:space="0" w:color="auto"/>
        <w:bottom w:val="none" w:sz="0" w:space="0" w:color="auto"/>
        <w:right w:val="none" w:sz="0" w:space="0" w:color="auto"/>
      </w:divBdr>
    </w:div>
    <w:div w:id="1752119432">
      <w:bodyDiv w:val="1"/>
      <w:marLeft w:val="0"/>
      <w:marRight w:val="0"/>
      <w:marTop w:val="0"/>
      <w:marBottom w:val="0"/>
      <w:divBdr>
        <w:top w:val="none" w:sz="0" w:space="0" w:color="auto"/>
        <w:left w:val="none" w:sz="0" w:space="0" w:color="auto"/>
        <w:bottom w:val="none" w:sz="0" w:space="0" w:color="auto"/>
        <w:right w:val="none" w:sz="0" w:space="0" w:color="auto"/>
      </w:divBdr>
    </w:div>
    <w:div w:id="1765760638">
      <w:bodyDiv w:val="1"/>
      <w:marLeft w:val="0"/>
      <w:marRight w:val="0"/>
      <w:marTop w:val="0"/>
      <w:marBottom w:val="0"/>
      <w:divBdr>
        <w:top w:val="none" w:sz="0" w:space="0" w:color="auto"/>
        <w:left w:val="none" w:sz="0" w:space="0" w:color="auto"/>
        <w:bottom w:val="none" w:sz="0" w:space="0" w:color="auto"/>
        <w:right w:val="none" w:sz="0" w:space="0" w:color="auto"/>
      </w:divBdr>
    </w:div>
    <w:div w:id="1792088115">
      <w:bodyDiv w:val="1"/>
      <w:marLeft w:val="0"/>
      <w:marRight w:val="0"/>
      <w:marTop w:val="0"/>
      <w:marBottom w:val="0"/>
      <w:divBdr>
        <w:top w:val="none" w:sz="0" w:space="0" w:color="auto"/>
        <w:left w:val="none" w:sz="0" w:space="0" w:color="auto"/>
        <w:bottom w:val="none" w:sz="0" w:space="0" w:color="auto"/>
        <w:right w:val="none" w:sz="0" w:space="0" w:color="auto"/>
      </w:divBdr>
    </w:div>
    <w:div w:id="1820226477">
      <w:bodyDiv w:val="1"/>
      <w:marLeft w:val="0"/>
      <w:marRight w:val="0"/>
      <w:marTop w:val="0"/>
      <w:marBottom w:val="0"/>
      <w:divBdr>
        <w:top w:val="none" w:sz="0" w:space="0" w:color="auto"/>
        <w:left w:val="none" w:sz="0" w:space="0" w:color="auto"/>
        <w:bottom w:val="none" w:sz="0" w:space="0" w:color="auto"/>
        <w:right w:val="none" w:sz="0" w:space="0" w:color="auto"/>
      </w:divBdr>
    </w:div>
    <w:div w:id="1835686504">
      <w:bodyDiv w:val="1"/>
      <w:marLeft w:val="0"/>
      <w:marRight w:val="0"/>
      <w:marTop w:val="0"/>
      <w:marBottom w:val="0"/>
      <w:divBdr>
        <w:top w:val="none" w:sz="0" w:space="0" w:color="auto"/>
        <w:left w:val="none" w:sz="0" w:space="0" w:color="auto"/>
        <w:bottom w:val="none" w:sz="0" w:space="0" w:color="auto"/>
        <w:right w:val="none" w:sz="0" w:space="0" w:color="auto"/>
      </w:divBdr>
    </w:div>
    <w:div w:id="1865318349">
      <w:bodyDiv w:val="1"/>
      <w:marLeft w:val="0"/>
      <w:marRight w:val="0"/>
      <w:marTop w:val="0"/>
      <w:marBottom w:val="0"/>
      <w:divBdr>
        <w:top w:val="none" w:sz="0" w:space="0" w:color="auto"/>
        <w:left w:val="none" w:sz="0" w:space="0" w:color="auto"/>
        <w:bottom w:val="none" w:sz="0" w:space="0" w:color="auto"/>
        <w:right w:val="none" w:sz="0" w:space="0" w:color="auto"/>
      </w:divBdr>
    </w:div>
    <w:div w:id="1869096802">
      <w:bodyDiv w:val="1"/>
      <w:marLeft w:val="0"/>
      <w:marRight w:val="0"/>
      <w:marTop w:val="0"/>
      <w:marBottom w:val="0"/>
      <w:divBdr>
        <w:top w:val="none" w:sz="0" w:space="0" w:color="auto"/>
        <w:left w:val="none" w:sz="0" w:space="0" w:color="auto"/>
        <w:bottom w:val="none" w:sz="0" w:space="0" w:color="auto"/>
        <w:right w:val="none" w:sz="0" w:space="0" w:color="auto"/>
      </w:divBdr>
    </w:div>
    <w:div w:id="1870140468">
      <w:bodyDiv w:val="1"/>
      <w:marLeft w:val="0"/>
      <w:marRight w:val="0"/>
      <w:marTop w:val="0"/>
      <w:marBottom w:val="0"/>
      <w:divBdr>
        <w:top w:val="none" w:sz="0" w:space="0" w:color="auto"/>
        <w:left w:val="none" w:sz="0" w:space="0" w:color="auto"/>
        <w:bottom w:val="none" w:sz="0" w:space="0" w:color="auto"/>
        <w:right w:val="none" w:sz="0" w:space="0" w:color="auto"/>
      </w:divBdr>
    </w:div>
    <w:div w:id="1894460929">
      <w:bodyDiv w:val="1"/>
      <w:marLeft w:val="0"/>
      <w:marRight w:val="0"/>
      <w:marTop w:val="0"/>
      <w:marBottom w:val="0"/>
      <w:divBdr>
        <w:top w:val="none" w:sz="0" w:space="0" w:color="auto"/>
        <w:left w:val="none" w:sz="0" w:space="0" w:color="auto"/>
        <w:bottom w:val="none" w:sz="0" w:space="0" w:color="auto"/>
        <w:right w:val="none" w:sz="0" w:space="0" w:color="auto"/>
      </w:divBdr>
    </w:div>
    <w:div w:id="1947350474">
      <w:bodyDiv w:val="1"/>
      <w:marLeft w:val="0"/>
      <w:marRight w:val="0"/>
      <w:marTop w:val="0"/>
      <w:marBottom w:val="0"/>
      <w:divBdr>
        <w:top w:val="none" w:sz="0" w:space="0" w:color="auto"/>
        <w:left w:val="none" w:sz="0" w:space="0" w:color="auto"/>
        <w:bottom w:val="none" w:sz="0" w:space="0" w:color="auto"/>
        <w:right w:val="none" w:sz="0" w:space="0" w:color="auto"/>
      </w:divBdr>
    </w:div>
    <w:div w:id="1957709217">
      <w:bodyDiv w:val="1"/>
      <w:marLeft w:val="0"/>
      <w:marRight w:val="0"/>
      <w:marTop w:val="0"/>
      <w:marBottom w:val="0"/>
      <w:divBdr>
        <w:top w:val="none" w:sz="0" w:space="0" w:color="auto"/>
        <w:left w:val="none" w:sz="0" w:space="0" w:color="auto"/>
        <w:bottom w:val="none" w:sz="0" w:space="0" w:color="auto"/>
        <w:right w:val="none" w:sz="0" w:space="0" w:color="auto"/>
      </w:divBdr>
    </w:div>
    <w:div w:id="1969361569">
      <w:bodyDiv w:val="1"/>
      <w:marLeft w:val="0"/>
      <w:marRight w:val="0"/>
      <w:marTop w:val="0"/>
      <w:marBottom w:val="0"/>
      <w:divBdr>
        <w:top w:val="none" w:sz="0" w:space="0" w:color="auto"/>
        <w:left w:val="none" w:sz="0" w:space="0" w:color="auto"/>
        <w:bottom w:val="none" w:sz="0" w:space="0" w:color="auto"/>
        <w:right w:val="none" w:sz="0" w:space="0" w:color="auto"/>
      </w:divBdr>
    </w:div>
    <w:div w:id="2012760040">
      <w:bodyDiv w:val="1"/>
      <w:marLeft w:val="0"/>
      <w:marRight w:val="0"/>
      <w:marTop w:val="0"/>
      <w:marBottom w:val="0"/>
      <w:divBdr>
        <w:top w:val="none" w:sz="0" w:space="0" w:color="auto"/>
        <w:left w:val="none" w:sz="0" w:space="0" w:color="auto"/>
        <w:bottom w:val="none" w:sz="0" w:space="0" w:color="auto"/>
        <w:right w:val="none" w:sz="0" w:space="0" w:color="auto"/>
      </w:divBdr>
    </w:div>
    <w:div w:id="2032997629">
      <w:bodyDiv w:val="1"/>
      <w:marLeft w:val="0"/>
      <w:marRight w:val="0"/>
      <w:marTop w:val="0"/>
      <w:marBottom w:val="0"/>
      <w:divBdr>
        <w:top w:val="none" w:sz="0" w:space="0" w:color="auto"/>
        <w:left w:val="none" w:sz="0" w:space="0" w:color="auto"/>
        <w:bottom w:val="none" w:sz="0" w:space="0" w:color="auto"/>
        <w:right w:val="none" w:sz="0" w:space="0" w:color="auto"/>
      </w:divBdr>
    </w:div>
    <w:div w:id="2045329444">
      <w:bodyDiv w:val="1"/>
      <w:marLeft w:val="0"/>
      <w:marRight w:val="0"/>
      <w:marTop w:val="0"/>
      <w:marBottom w:val="0"/>
      <w:divBdr>
        <w:top w:val="none" w:sz="0" w:space="0" w:color="auto"/>
        <w:left w:val="none" w:sz="0" w:space="0" w:color="auto"/>
        <w:bottom w:val="none" w:sz="0" w:space="0" w:color="auto"/>
        <w:right w:val="none" w:sz="0" w:space="0" w:color="auto"/>
      </w:divBdr>
    </w:div>
    <w:div w:id="2055083958">
      <w:bodyDiv w:val="1"/>
      <w:marLeft w:val="0"/>
      <w:marRight w:val="0"/>
      <w:marTop w:val="0"/>
      <w:marBottom w:val="0"/>
      <w:divBdr>
        <w:top w:val="none" w:sz="0" w:space="0" w:color="auto"/>
        <w:left w:val="none" w:sz="0" w:space="0" w:color="auto"/>
        <w:bottom w:val="none" w:sz="0" w:space="0" w:color="auto"/>
        <w:right w:val="none" w:sz="0" w:space="0" w:color="auto"/>
      </w:divBdr>
    </w:div>
    <w:div w:id="2056663458">
      <w:bodyDiv w:val="1"/>
      <w:marLeft w:val="0"/>
      <w:marRight w:val="0"/>
      <w:marTop w:val="0"/>
      <w:marBottom w:val="0"/>
      <w:divBdr>
        <w:top w:val="none" w:sz="0" w:space="0" w:color="auto"/>
        <w:left w:val="none" w:sz="0" w:space="0" w:color="auto"/>
        <w:bottom w:val="none" w:sz="0" w:space="0" w:color="auto"/>
        <w:right w:val="none" w:sz="0" w:space="0" w:color="auto"/>
      </w:divBdr>
    </w:div>
    <w:div w:id="2087072262">
      <w:bodyDiv w:val="1"/>
      <w:marLeft w:val="0"/>
      <w:marRight w:val="0"/>
      <w:marTop w:val="0"/>
      <w:marBottom w:val="0"/>
      <w:divBdr>
        <w:top w:val="none" w:sz="0" w:space="0" w:color="auto"/>
        <w:left w:val="none" w:sz="0" w:space="0" w:color="auto"/>
        <w:bottom w:val="none" w:sz="0" w:space="0" w:color="auto"/>
        <w:right w:val="none" w:sz="0" w:space="0" w:color="auto"/>
      </w:divBdr>
    </w:div>
    <w:div w:id="2087531369">
      <w:bodyDiv w:val="1"/>
      <w:marLeft w:val="0"/>
      <w:marRight w:val="0"/>
      <w:marTop w:val="0"/>
      <w:marBottom w:val="0"/>
      <w:divBdr>
        <w:top w:val="none" w:sz="0" w:space="0" w:color="auto"/>
        <w:left w:val="none" w:sz="0" w:space="0" w:color="auto"/>
        <w:bottom w:val="none" w:sz="0" w:space="0" w:color="auto"/>
        <w:right w:val="none" w:sz="0" w:space="0" w:color="auto"/>
      </w:divBdr>
    </w:div>
    <w:div w:id="2088573667">
      <w:bodyDiv w:val="1"/>
      <w:marLeft w:val="0"/>
      <w:marRight w:val="0"/>
      <w:marTop w:val="0"/>
      <w:marBottom w:val="0"/>
      <w:divBdr>
        <w:top w:val="none" w:sz="0" w:space="0" w:color="auto"/>
        <w:left w:val="none" w:sz="0" w:space="0" w:color="auto"/>
        <w:bottom w:val="none" w:sz="0" w:space="0" w:color="auto"/>
        <w:right w:val="none" w:sz="0" w:space="0" w:color="auto"/>
      </w:divBdr>
    </w:div>
    <w:div w:id="2094886982">
      <w:bodyDiv w:val="1"/>
      <w:marLeft w:val="0"/>
      <w:marRight w:val="0"/>
      <w:marTop w:val="0"/>
      <w:marBottom w:val="0"/>
      <w:divBdr>
        <w:top w:val="none" w:sz="0" w:space="0" w:color="auto"/>
        <w:left w:val="none" w:sz="0" w:space="0" w:color="auto"/>
        <w:bottom w:val="none" w:sz="0" w:space="0" w:color="auto"/>
        <w:right w:val="none" w:sz="0" w:space="0" w:color="auto"/>
      </w:divBdr>
    </w:div>
    <w:div w:id="21458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jmmw.com"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service@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11447-A251-4679-B6D0-A61602ED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186</Pages>
  <Words>20748</Words>
  <Characters>118270</Characters>
  <Application>Microsoft Office Word</Application>
  <DocSecurity>0</DocSecurity>
  <Lines>985</Lines>
  <Paragraphs>277</Paragraphs>
  <ScaleCrop>false</ScaleCrop>
  <Company>易方达基金管理有限公司</Company>
  <LinksUpToDate>false</LinksUpToDate>
  <CharactersWithSpaces>138741</CharactersWithSpaces>
  <SharedDoc>false</SharedDoc>
  <HLinks>
    <vt:vector size="780" baseType="variant">
      <vt:variant>
        <vt:i4>1704044</vt:i4>
      </vt:variant>
      <vt:variant>
        <vt:i4>774</vt:i4>
      </vt:variant>
      <vt:variant>
        <vt:i4>0</vt:i4>
      </vt:variant>
      <vt:variant>
        <vt:i4>5</vt:i4>
      </vt:variant>
      <vt:variant>
        <vt:lpwstr>mailto:service@efunds.com.cn</vt:lpwstr>
      </vt:variant>
      <vt:variant>
        <vt:lpwstr/>
      </vt:variant>
      <vt:variant>
        <vt:i4>6160454</vt:i4>
      </vt:variant>
      <vt:variant>
        <vt:i4>771</vt:i4>
      </vt:variant>
      <vt:variant>
        <vt:i4>0</vt:i4>
      </vt:variant>
      <vt:variant>
        <vt:i4>5</vt:i4>
      </vt:variant>
      <vt:variant>
        <vt:lpwstr>http://www.efunds.com.cn/</vt:lpwstr>
      </vt:variant>
      <vt:variant>
        <vt:lpwstr/>
      </vt:variant>
      <vt:variant>
        <vt:i4>1245238</vt:i4>
      </vt:variant>
      <vt:variant>
        <vt:i4>764</vt:i4>
      </vt:variant>
      <vt:variant>
        <vt:i4>0</vt:i4>
      </vt:variant>
      <vt:variant>
        <vt:i4>5</vt:i4>
      </vt:variant>
      <vt:variant>
        <vt:lpwstr/>
      </vt:variant>
      <vt:variant>
        <vt:lpwstr>_Toc402796957</vt:lpwstr>
      </vt:variant>
      <vt:variant>
        <vt:i4>1245238</vt:i4>
      </vt:variant>
      <vt:variant>
        <vt:i4>758</vt:i4>
      </vt:variant>
      <vt:variant>
        <vt:i4>0</vt:i4>
      </vt:variant>
      <vt:variant>
        <vt:i4>5</vt:i4>
      </vt:variant>
      <vt:variant>
        <vt:lpwstr/>
      </vt:variant>
      <vt:variant>
        <vt:lpwstr>_Toc402796956</vt:lpwstr>
      </vt:variant>
      <vt:variant>
        <vt:i4>1245238</vt:i4>
      </vt:variant>
      <vt:variant>
        <vt:i4>752</vt:i4>
      </vt:variant>
      <vt:variant>
        <vt:i4>0</vt:i4>
      </vt:variant>
      <vt:variant>
        <vt:i4>5</vt:i4>
      </vt:variant>
      <vt:variant>
        <vt:lpwstr/>
      </vt:variant>
      <vt:variant>
        <vt:lpwstr>_Toc402796955</vt:lpwstr>
      </vt:variant>
      <vt:variant>
        <vt:i4>1245238</vt:i4>
      </vt:variant>
      <vt:variant>
        <vt:i4>746</vt:i4>
      </vt:variant>
      <vt:variant>
        <vt:i4>0</vt:i4>
      </vt:variant>
      <vt:variant>
        <vt:i4>5</vt:i4>
      </vt:variant>
      <vt:variant>
        <vt:lpwstr/>
      </vt:variant>
      <vt:variant>
        <vt:lpwstr>_Toc402796954</vt:lpwstr>
      </vt:variant>
      <vt:variant>
        <vt:i4>1245238</vt:i4>
      </vt:variant>
      <vt:variant>
        <vt:i4>740</vt:i4>
      </vt:variant>
      <vt:variant>
        <vt:i4>0</vt:i4>
      </vt:variant>
      <vt:variant>
        <vt:i4>5</vt:i4>
      </vt:variant>
      <vt:variant>
        <vt:lpwstr/>
      </vt:variant>
      <vt:variant>
        <vt:lpwstr>_Toc402796953</vt:lpwstr>
      </vt:variant>
      <vt:variant>
        <vt:i4>1245238</vt:i4>
      </vt:variant>
      <vt:variant>
        <vt:i4>734</vt:i4>
      </vt:variant>
      <vt:variant>
        <vt:i4>0</vt:i4>
      </vt:variant>
      <vt:variant>
        <vt:i4>5</vt:i4>
      </vt:variant>
      <vt:variant>
        <vt:lpwstr/>
      </vt:variant>
      <vt:variant>
        <vt:lpwstr>_Toc402796952</vt:lpwstr>
      </vt:variant>
      <vt:variant>
        <vt:i4>1245238</vt:i4>
      </vt:variant>
      <vt:variant>
        <vt:i4>728</vt:i4>
      </vt:variant>
      <vt:variant>
        <vt:i4>0</vt:i4>
      </vt:variant>
      <vt:variant>
        <vt:i4>5</vt:i4>
      </vt:variant>
      <vt:variant>
        <vt:lpwstr/>
      </vt:variant>
      <vt:variant>
        <vt:lpwstr>_Toc402796951</vt:lpwstr>
      </vt:variant>
      <vt:variant>
        <vt:i4>1245238</vt:i4>
      </vt:variant>
      <vt:variant>
        <vt:i4>722</vt:i4>
      </vt:variant>
      <vt:variant>
        <vt:i4>0</vt:i4>
      </vt:variant>
      <vt:variant>
        <vt:i4>5</vt:i4>
      </vt:variant>
      <vt:variant>
        <vt:lpwstr/>
      </vt:variant>
      <vt:variant>
        <vt:lpwstr>_Toc402796950</vt:lpwstr>
      </vt:variant>
      <vt:variant>
        <vt:i4>1179702</vt:i4>
      </vt:variant>
      <vt:variant>
        <vt:i4>716</vt:i4>
      </vt:variant>
      <vt:variant>
        <vt:i4>0</vt:i4>
      </vt:variant>
      <vt:variant>
        <vt:i4>5</vt:i4>
      </vt:variant>
      <vt:variant>
        <vt:lpwstr/>
      </vt:variant>
      <vt:variant>
        <vt:lpwstr>_Toc402796949</vt:lpwstr>
      </vt:variant>
      <vt:variant>
        <vt:i4>1179702</vt:i4>
      </vt:variant>
      <vt:variant>
        <vt:i4>710</vt:i4>
      </vt:variant>
      <vt:variant>
        <vt:i4>0</vt:i4>
      </vt:variant>
      <vt:variant>
        <vt:i4>5</vt:i4>
      </vt:variant>
      <vt:variant>
        <vt:lpwstr/>
      </vt:variant>
      <vt:variant>
        <vt:lpwstr>_Toc402796948</vt:lpwstr>
      </vt:variant>
      <vt:variant>
        <vt:i4>1179702</vt:i4>
      </vt:variant>
      <vt:variant>
        <vt:i4>704</vt:i4>
      </vt:variant>
      <vt:variant>
        <vt:i4>0</vt:i4>
      </vt:variant>
      <vt:variant>
        <vt:i4>5</vt:i4>
      </vt:variant>
      <vt:variant>
        <vt:lpwstr/>
      </vt:variant>
      <vt:variant>
        <vt:lpwstr>_Toc402796947</vt:lpwstr>
      </vt:variant>
      <vt:variant>
        <vt:i4>1179702</vt:i4>
      </vt:variant>
      <vt:variant>
        <vt:i4>698</vt:i4>
      </vt:variant>
      <vt:variant>
        <vt:i4>0</vt:i4>
      </vt:variant>
      <vt:variant>
        <vt:i4>5</vt:i4>
      </vt:variant>
      <vt:variant>
        <vt:lpwstr/>
      </vt:variant>
      <vt:variant>
        <vt:lpwstr>_Toc402796946</vt:lpwstr>
      </vt:variant>
      <vt:variant>
        <vt:i4>1179702</vt:i4>
      </vt:variant>
      <vt:variant>
        <vt:i4>692</vt:i4>
      </vt:variant>
      <vt:variant>
        <vt:i4>0</vt:i4>
      </vt:variant>
      <vt:variant>
        <vt:i4>5</vt:i4>
      </vt:variant>
      <vt:variant>
        <vt:lpwstr/>
      </vt:variant>
      <vt:variant>
        <vt:lpwstr>_Toc402796945</vt:lpwstr>
      </vt:variant>
      <vt:variant>
        <vt:i4>1179702</vt:i4>
      </vt:variant>
      <vt:variant>
        <vt:i4>686</vt:i4>
      </vt:variant>
      <vt:variant>
        <vt:i4>0</vt:i4>
      </vt:variant>
      <vt:variant>
        <vt:i4>5</vt:i4>
      </vt:variant>
      <vt:variant>
        <vt:lpwstr/>
      </vt:variant>
      <vt:variant>
        <vt:lpwstr>_Toc402796944</vt:lpwstr>
      </vt:variant>
      <vt:variant>
        <vt:i4>1179702</vt:i4>
      </vt:variant>
      <vt:variant>
        <vt:i4>680</vt:i4>
      </vt:variant>
      <vt:variant>
        <vt:i4>0</vt:i4>
      </vt:variant>
      <vt:variant>
        <vt:i4>5</vt:i4>
      </vt:variant>
      <vt:variant>
        <vt:lpwstr/>
      </vt:variant>
      <vt:variant>
        <vt:lpwstr>_Toc402796943</vt:lpwstr>
      </vt:variant>
      <vt:variant>
        <vt:i4>1179702</vt:i4>
      </vt:variant>
      <vt:variant>
        <vt:i4>674</vt:i4>
      </vt:variant>
      <vt:variant>
        <vt:i4>0</vt:i4>
      </vt:variant>
      <vt:variant>
        <vt:i4>5</vt:i4>
      </vt:variant>
      <vt:variant>
        <vt:lpwstr/>
      </vt:variant>
      <vt:variant>
        <vt:lpwstr>_Toc402796942</vt:lpwstr>
      </vt:variant>
      <vt:variant>
        <vt:i4>1179702</vt:i4>
      </vt:variant>
      <vt:variant>
        <vt:i4>668</vt:i4>
      </vt:variant>
      <vt:variant>
        <vt:i4>0</vt:i4>
      </vt:variant>
      <vt:variant>
        <vt:i4>5</vt:i4>
      </vt:variant>
      <vt:variant>
        <vt:lpwstr/>
      </vt:variant>
      <vt:variant>
        <vt:lpwstr>_Toc402796941</vt:lpwstr>
      </vt:variant>
      <vt:variant>
        <vt:i4>1179702</vt:i4>
      </vt:variant>
      <vt:variant>
        <vt:i4>662</vt:i4>
      </vt:variant>
      <vt:variant>
        <vt:i4>0</vt:i4>
      </vt:variant>
      <vt:variant>
        <vt:i4>5</vt:i4>
      </vt:variant>
      <vt:variant>
        <vt:lpwstr/>
      </vt:variant>
      <vt:variant>
        <vt:lpwstr>_Toc402796940</vt:lpwstr>
      </vt:variant>
      <vt:variant>
        <vt:i4>1376310</vt:i4>
      </vt:variant>
      <vt:variant>
        <vt:i4>656</vt:i4>
      </vt:variant>
      <vt:variant>
        <vt:i4>0</vt:i4>
      </vt:variant>
      <vt:variant>
        <vt:i4>5</vt:i4>
      </vt:variant>
      <vt:variant>
        <vt:lpwstr/>
      </vt:variant>
      <vt:variant>
        <vt:lpwstr>_Toc402796939</vt:lpwstr>
      </vt:variant>
      <vt:variant>
        <vt:i4>1376310</vt:i4>
      </vt:variant>
      <vt:variant>
        <vt:i4>650</vt:i4>
      </vt:variant>
      <vt:variant>
        <vt:i4>0</vt:i4>
      </vt:variant>
      <vt:variant>
        <vt:i4>5</vt:i4>
      </vt:variant>
      <vt:variant>
        <vt:lpwstr/>
      </vt:variant>
      <vt:variant>
        <vt:lpwstr>_Toc402796938</vt:lpwstr>
      </vt:variant>
      <vt:variant>
        <vt:i4>1376310</vt:i4>
      </vt:variant>
      <vt:variant>
        <vt:i4>644</vt:i4>
      </vt:variant>
      <vt:variant>
        <vt:i4>0</vt:i4>
      </vt:variant>
      <vt:variant>
        <vt:i4>5</vt:i4>
      </vt:variant>
      <vt:variant>
        <vt:lpwstr/>
      </vt:variant>
      <vt:variant>
        <vt:lpwstr>_Toc402796937</vt:lpwstr>
      </vt:variant>
      <vt:variant>
        <vt:i4>1376310</vt:i4>
      </vt:variant>
      <vt:variant>
        <vt:i4>638</vt:i4>
      </vt:variant>
      <vt:variant>
        <vt:i4>0</vt:i4>
      </vt:variant>
      <vt:variant>
        <vt:i4>5</vt:i4>
      </vt:variant>
      <vt:variant>
        <vt:lpwstr/>
      </vt:variant>
      <vt:variant>
        <vt:lpwstr>_Toc402796936</vt:lpwstr>
      </vt:variant>
      <vt:variant>
        <vt:i4>1376310</vt:i4>
      </vt:variant>
      <vt:variant>
        <vt:i4>632</vt:i4>
      </vt:variant>
      <vt:variant>
        <vt:i4>0</vt:i4>
      </vt:variant>
      <vt:variant>
        <vt:i4>5</vt:i4>
      </vt:variant>
      <vt:variant>
        <vt:lpwstr/>
      </vt:variant>
      <vt:variant>
        <vt:lpwstr>_Toc402796935</vt:lpwstr>
      </vt:variant>
      <vt:variant>
        <vt:i4>1376310</vt:i4>
      </vt:variant>
      <vt:variant>
        <vt:i4>626</vt:i4>
      </vt:variant>
      <vt:variant>
        <vt:i4>0</vt:i4>
      </vt:variant>
      <vt:variant>
        <vt:i4>5</vt:i4>
      </vt:variant>
      <vt:variant>
        <vt:lpwstr/>
      </vt:variant>
      <vt:variant>
        <vt:lpwstr>_Toc402796934</vt:lpwstr>
      </vt:variant>
      <vt:variant>
        <vt:i4>1376310</vt:i4>
      </vt:variant>
      <vt:variant>
        <vt:i4>620</vt:i4>
      </vt:variant>
      <vt:variant>
        <vt:i4>0</vt:i4>
      </vt:variant>
      <vt:variant>
        <vt:i4>5</vt:i4>
      </vt:variant>
      <vt:variant>
        <vt:lpwstr/>
      </vt:variant>
      <vt:variant>
        <vt:lpwstr>_Toc402796933</vt:lpwstr>
      </vt:variant>
      <vt:variant>
        <vt:i4>1376310</vt:i4>
      </vt:variant>
      <vt:variant>
        <vt:i4>614</vt:i4>
      </vt:variant>
      <vt:variant>
        <vt:i4>0</vt:i4>
      </vt:variant>
      <vt:variant>
        <vt:i4>5</vt:i4>
      </vt:variant>
      <vt:variant>
        <vt:lpwstr/>
      </vt:variant>
      <vt:variant>
        <vt:lpwstr>_Toc402796932</vt:lpwstr>
      </vt:variant>
      <vt:variant>
        <vt:i4>1376310</vt:i4>
      </vt:variant>
      <vt:variant>
        <vt:i4>608</vt:i4>
      </vt:variant>
      <vt:variant>
        <vt:i4>0</vt:i4>
      </vt:variant>
      <vt:variant>
        <vt:i4>5</vt:i4>
      </vt:variant>
      <vt:variant>
        <vt:lpwstr/>
      </vt:variant>
      <vt:variant>
        <vt:lpwstr>_Toc402796931</vt:lpwstr>
      </vt:variant>
      <vt:variant>
        <vt:i4>1376310</vt:i4>
      </vt:variant>
      <vt:variant>
        <vt:i4>602</vt:i4>
      </vt:variant>
      <vt:variant>
        <vt:i4>0</vt:i4>
      </vt:variant>
      <vt:variant>
        <vt:i4>5</vt:i4>
      </vt:variant>
      <vt:variant>
        <vt:lpwstr/>
      </vt:variant>
      <vt:variant>
        <vt:lpwstr>_Toc402796930</vt:lpwstr>
      </vt:variant>
      <vt:variant>
        <vt:i4>1310774</vt:i4>
      </vt:variant>
      <vt:variant>
        <vt:i4>596</vt:i4>
      </vt:variant>
      <vt:variant>
        <vt:i4>0</vt:i4>
      </vt:variant>
      <vt:variant>
        <vt:i4>5</vt:i4>
      </vt:variant>
      <vt:variant>
        <vt:lpwstr/>
      </vt:variant>
      <vt:variant>
        <vt:lpwstr>_Toc402796929</vt:lpwstr>
      </vt:variant>
      <vt:variant>
        <vt:i4>1310774</vt:i4>
      </vt:variant>
      <vt:variant>
        <vt:i4>590</vt:i4>
      </vt:variant>
      <vt:variant>
        <vt:i4>0</vt:i4>
      </vt:variant>
      <vt:variant>
        <vt:i4>5</vt:i4>
      </vt:variant>
      <vt:variant>
        <vt:lpwstr/>
      </vt:variant>
      <vt:variant>
        <vt:lpwstr>_Toc402796928</vt:lpwstr>
      </vt:variant>
      <vt:variant>
        <vt:i4>1310774</vt:i4>
      </vt:variant>
      <vt:variant>
        <vt:i4>584</vt:i4>
      </vt:variant>
      <vt:variant>
        <vt:i4>0</vt:i4>
      </vt:variant>
      <vt:variant>
        <vt:i4>5</vt:i4>
      </vt:variant>
      <vt:variant>
        <vt:lpwstr/>
      </vt:variant>
      <vt:variant>
        <vt:lpwstr>_Toc402796927</vt:lpwstr>
      </vt:variant>
      <vt:variant>
        <vt:i4>1310774</vt:i4>
      </vt:variant>
      <vt:variant>
        <vt:i4>578</vt:i4>
      </vt:variant>
      <vt:variant>
        <vt:i4>0</vt:i4>
      </vt:variant>
      <vt:variant>
        <vt:i4>5</vt:i4>
      </vt:variant>
      <vt:variant>
        <vt:lpwstr/>
      </vt:variant>
      <vt:variant>
        <vt:lpwstr>_Toc402796926</vt:lpwstr>
      </vt:variant>
      <vt:variant>
        <vt:i4>1310774</vt:i4>
      </vt:variant>
      <vt:variant>
        <vt:i4>572</vt:i4>
      </vt:variant>
      <vt:variant>
        <vt:i4>0</vt:i4>
      </vt:variant>
      <vt:variant>
        <vt:i4>5</vt:i4>
      </vt:variant>
      <vt:variant>
        <vt:lpwstr/>
      </vt:variant>
      <vt:variant>
        <vt:lpwstr>_Toc402796925</vt:lpwstr>
      </vt:variant>
      <vt:variant>
        <vt:i4>1310774</vt:i4>
      </vt:variant>
      <vt:variant>
        <vt:i4>566</vt:i4>
      </vt:variant>
      <vt:variant>
        <vt:i4>0</vt:i4>
      </vt:variant>
      <vt:variant>
        <vt:i4>5</vt:i4>
      </vt:variant>
      <vt:variant>
        <vt:lpwstr/>
      </vt:variant>
      <vt:variant>
        <vt:lpwstr>_Toc402796924</vt:lpwstr>
      </vt:variant>
      <vt:variant>
        <vt:i4>1310774</vt:i4>
      </vt:variant>
      <vt:variant>
        <vt:i4>560</vt:i4>
      </vt:variant>
      <vt:variant>
        <vt:i4>0</vt:i4>
      </vt:variant>
      <vt:variant>
        <vt:i4>5</vt:i4>
      </vt:variant>
      <vt:variant>
        <vt:lpwstr/>
      </vt:variant>
      <vt:variant>
        <vt:lpwstr>_Toc402796923</vt:lpwstr>
      </vt:variant>
      <vt:variant>
        <vt:i4>1310774</vt:i4>
      </vt:variant>
      <vt:variant>
        <vt:i4>554</vt:i4>
      </vt:variant>
      <vt:variant>
        <vt:i4>0</vt:i4>
      </vt:variant>
      <vt:variant>
        <vt:i4>5</vt:i4>
      </vt:variant>
      <vt:variant>
        <vt:lpwstr/>
      </vt:variant>
      <vt:variant>
        <vt:lpwstr>_Toc402796922</vt:lpwstr>
      </vt:variant>
      <vt:variant>
        <vt:i4>1310774</vt:i4>
      </vt:variant>
      <vt:variant>
        <vt:i4>548</vt:i4>
      </vt:variant>
      <vt:variant>
        <vt:i4>0</vt:i4>
      </vt:variant>
      <vt:variant>
        <vt:i4>5</vt:i4>
      </vt:variant>
      <vt:variant>
        <vt:lpwstr/>
      </vt:variant>
      <vt:variant>
        <vt:lpwstr>_Toc402796921</vt:lpwstr>
      </vt:variant>
      <vt:variant>
        <vt:i4>1310774</vt:i4>
      </vt:variant>
      <vt:variant>
        <vt:i4>542</vt:i4>
      </vt:variant>
      <vt:variant>
        <vt:i4>0</vt:i4>
      </vt:variant>
      <vt:variant>
        <vt:i4>5</vt:i4>
      </vt:variant>
      <vt:variant>
        <vt:lpwstr/>
      </vt:variant>
      <vt:variant>
        <vt:lpwstr>_Toc402796920</vt:lpwstr>
      </vt:variant>
      <vt:variant>
        <vt:i4>1507382</vt:i4>
      </vt:variant>
      <vt:variant>
        <vt:i4>536</vt:i4>
      </vt:variant>
      <vt:variant>
        <vt:i4>0</vt:i4>
      </vt:variant>
      <vt:variant>
        <vt:i4>5</vt:i4>
      </vt:variant>
      <vt:variant>
        <vt:lpwstr/>
      </vt:variant>
      <vt:variant>
        <vt:lpwstr>_Toc402796919</vt:lpwstr>
      </vt:variant>
      <vt:variant>
        <vt:i4>1507382</vt:i4>
      </vt:variant>
      <vt:variant>
        <vt:i4>530</vt:i4>
      </vt:variant>
      <vt:variant>
        <vt:i4>0</vt:i4>
      </vt:variant>
      <vt:variant>
        <vt:i4>5</vt:i4>
      </vt:variant>
      <vt:variant>
        <vt:lpwstr/>
      </vt:variant>
      <vt:variant>
        <vt:lpwstr>_Toc402796918</vt:lpwstr>
      </vt:variant>
      <vt:variant>
        <vt:i4>1507382</vt:i4>
      </vt:variant>
      <vt:variant>
        <vt:i4>524</vt:i4>
      </vt:variant>
      <vt:variant>
        <vt:i4>0</vt:i4>
      </vt:variant>
      <vt:variant>
        <vt:i4>5</vt:i4>
      </vt:variant>
      <vt:variant>
        <vt:lpwstr/>
      </vt:variant>
      <vt:variant>
        <vt:lpwstr>_Toc402796917</vt:lpwstr>
      </vt:variant>
      <vt:variant>
        <vt:i4>1507382</vt:i4>
      </vt:variant>
      <vt:variant>
        <vt:i4>518</vt:i4>
      </vt:variant>
      <vt:variant>
        <vt:i4>0</vt:i4>
      </vt:variant>
      <vt:variant>
        <vt:i4>5</vt:i4>
      </vt:variant>
      <vt:variant>
        <vt:lpwstr/>
      </vt:variant>
      <vt:variant>
        <vt:lpwstr>_Toc402796916</vt:lpwstr>
      </vt:variant>
      <vt:variant>
        <vt:i4>1507382</vt:i4>
      </vt:variant>
      <vt:variant>
        <vt:i4>512</vt:i4>
      </vt:variant>
      <vt:variant>
        <vt:i4>0</vt:i4>
      </vt:variant>
      <vt:variant>
        <vt:i4>5</vt:i4>
      </vt:variant>
      <vt:variant>
        <vt:lpwstr/>
      </vt:variant>
      <vt:variant>
        <vt:lpwstr>_Toc402796915</vt:lpwstr>
      </vt:variant>
      <vt:variant>
        <vt:i4>1507382</vt:i4>
      </vt:variant>
      <vt:variant>
        <vt:i4>506</vt:i4>
      </vt:variant>
      <vt:variant>
        <vt:i4>0</vt:i4>
      </vt:variant>
      <vt:variant>
        <vt:i4>5</vt:i4>
      </vt:variant>
      <vt:variant>
        <vt:lpwstr/>
      </vt:variant>
      <vt:variant>
        <vt:lpwstr>_Toc402796914</vt:lpwstr>
      </vt:variant>
      <vt:variant>
        <vt:i4>1507382</vt:i4>
      </vt:variant>
      <vt:variant>
        <vt:i4>500</vt:i4>
      </vt:variant>
      <vt:variant>
        <vt:i4>0</vt:i4>
      </vt:variant>
      <vt:variant>
        <vt:i4>5</vt:i4>
      </vt:variant>
      <vt:variant>
        <vt:lpwstr/>
      </vt:variant>
      <vt:variant>
        <vt:lpwstr>_Toc402796913</vt:lpwstr>
      </vt:variant>
      <vt:variant>
        <vt:i4>1507382</vt:i4>
      </vt:variant>
      <vt:variant>
        <vt:i4>494</vt:i4>
      </vt:variant>
      <vt:variant>
        <vt:i4>0</vt:i4>
      </vt:variant>
      <vt:variant>
        <vt:i4>5</vt:i4>
      </vt:variant>
      <vt:variant>
        <vt:lpwstr/>
      </vt:variant>
      <vt:variant>
        <vt:lpwstr>_Toc402796912</vt:lpwstr>
      </vt:variant>
      <vt:variant>
        <vt:i4>1507382</vt:i4>
      </vt:variant>
      <vt:variant>
        <vt:i4>488</vt:i4>
      </vt:variant>
      <vt:variant>
        <vt:i4>0</vt:i4>
      </vt:variant>
      <vt:variant>
        <vt:i4>5</vt:i4>
      </vt:variant>
      <vt:variant>
        <vt:lpwstr/>
      </vt:variant>
      <vt:variant>
        <vt:lpwstr>_Toc402796911</vt:lpwstr>
      </vt:variant>
      <vt:variant>
        <vt:i4>1507382</vt:i4>
      </vt:variant>
      <vt:variant>
        <vt:i4>482</vt:i4>
      </vt:variant>
      <vt:variant>
        <vt:i4>0</vt:i4>
      </vt:variant>
      <vt:variant>
        <vt:i4>5</vt:i4>
      </vt:variant>
      <vt:variant>
        <vt:lpwstr/>
      </vt:variant>
      <vt:variant>
        <vt:lpwstr>_Toc402796910</vt:lpwstr>
      </vt:variant>
      <vt:variant>
        <vt:i4>1441846</vt:i4>
      </vt:variant>
      <vt:variant>
        <vt:i4>476</vt:i4>
      </vt:variant>
      <vt:variant>
        <vt:i4>0</vt:i4>
      </vt:variant>
      <vt:variant>
        <vt:i4>5</vt:i4>
      </vt:variant>
      <vt:variant>
        <vt:lpwstr/>
      </vt:variant>
      <vt:variant>
        <vt:lpwstr>_Toc402796909</vt:lpwstr>
      </vt:variant>
      <vt:variant>
        <vt:i4>1441846</vt:i4>
      </vt:variant>
      <vt:variant>
        <vt:i4>470</vt:i4>
      </vt:variant>
      <vt:variant>
        <vt:i4>0</vt:i4>
      </vt:variant>
      <vt:variant>
        <vt:i4>5</vt:i4>
      </vt:variant>
      <vt:variant>
        <vt:lpwstr/>
      </vt:variant>
      <vt:variant>
        <vt:lpwstr>_Toc402796908</vt:lpwstr>
      </vt:variant>
      <vt:variant>
        <vt:i4>1441846</vt:i4>
      </vt:variant>
      <vt:variant>
        <vt:i4>464</vt:i4>
      </vt:variant>
      <vt:variant>
        <vt:i4>0</vt:i4>
      </vt:variant>
      <vt:variant>
        <vt:i4>5</vt:i4>
      </vt:variant>
      <vt:variant>
        <vt:lpwstr/>
      </vt:variant>
      <vt:variant>
        <vt:lpwstr>_Toc402796907</vt:lpwstr>
      </vt:variant>
      <vt:variant>
        <vt:i4>1441846</vt:i4>
      </vt:variant>
      <vt:variant>
        <vt:i4>458</vt:i4>
      </vt:variant>
      <vt:variant>
        <vt:i4>0</vt:i4>
      </vt:variant>
      <vt:variant>
        <vt:i4>5</vt:i4>
      </vt:variant>
      <vt:variant>
        <vt:lpwstr/>
      </vt:variant>
      <vt:variant>
        <vt:lpwstr>_Toc402796906</vt:lpwstr>
      </vt:variant>
      <vt:variant>
        <vt:i4>1441846</vt:i4>
      </vt:variant>
      <vt:variant>
        <vt:i4>452</vt:i4>
      </vt:variant>
      <vt:variant>
        <vt:i4>0</vt:i4>
      </vt:variant>
      <vt:variant>
        <vt:i4>5</vt:i4>
      </vt:variant>
      <vt:variant>
        <vt:lpwstr/>
      </vt:variant>
      <vt:variant>
        <vt:lpwstr>_Toc402796905</vt:lpwstr>
      </vt:variant>
      <vt:variant>
        <vt:i4>1441846</vt:i4>
      </vt:variant>
      <vt:variant>
        <vt:i4>446</vt:i4>
      </vt:variant>
      <vt:variant>
        <vt:i4>0</vt:i4>
      </vt:variant>
      <vt:variant>
        <vt:i4>5</vt:i4>
      </vt:variant>
      <vt:variant>
        <vt:lpwstr/>
      </vt:variant>
      <vt:variant>
        <vt:lpwstr>_Toc402796904</vt:lpwstr>
      </vt:variant>
      <vt:variant>
        <vt:i4>1441846</vt:i4>
      </vt:variant>
      <vt:variant>
        <vt:i4>440</vt:i4>
      </vt:variant>
      <vt:variant>
        <vt:i4>0</vt:i4>
      </vt:variant>
      <vt:variant>
        <vt:i4>5</vt:i4>
      </vt:variant>
      <vt:variant>
        <vt:lpwstr/>
      </vt:variant>
      <vt:variant>
        <vt:lpwstr>_Toc402796903</vt:lpwstr>
      </vt:variant>
      <vt:variant>
        <vt:i4>1441846</vt:i4>
      </vt:variant>
      <vt:variant>
        <vt:i4>434</vt:i4>
      </vt:variant>
      <vt:variant>
        <vt:i4>0</vt:i4>
      </vt:variant>
      <vt:variant>
        <vt:i4>5</vt:i4>
      </vt:variant>
      <vt:variant>
        <vt:lpwstr/>
      </vt:variant>
      <vt:variant>
        <vt:lpwstr>_Toc402796902</vt:lpwstr>
      </vt:variant>
      <vt:variant>
        <vt:i4>1441846</vt:i4>
      </vt:variant>
      <vt:variant>
        <vt:i4>428</vt:i4>
      </vt:variant>
      <vt:variant>
        <vt:i4>0</vt:i4>
      </vt:variant>
      <vt:variant>
        <vt:i4>5</vt:i4>
      </vt:variant>
      <vt:variant>
        <vt:lpwstr/>
      </vt:variant>
      <vt:variant>
        <vt:lpwstr>_Toc402796901</vt:lpwstr>
      </vt:variant>
      <vt:variant>
        <vt:i4>1441846</vt:i4>
      </vt:variant>
      <vt:variant>
        <vt:i4>422</vt:i4>
      </vt:variant>
      <vt:variant>
        <vt:i4>0</vt:i4>
      </vt:variant>
      <vt:variant>
        <vt:i4>5</vt:i4>
      </vt:variant>
      <vt:variant>
        <vt:lpwstr/>
      </vt:variant>
      <vt:variant>
        <vt:lpwstr>_Toc402796900</vt:lpwstr>
      </vt:variant>
      <vt:variant>
        <vt:i4>2031671</vt:i4>
      </vt:variant>
      <vt:variant>
        <vt:i4>416</vt:i4>
      </vt:variant>
      <vt:variant>
        <vt:i4>0</vt:i4>
      </vt:variant>
      <vt:variant>
        <vt:i4>5</vt:i4>
      </vt:variant>
      <vt:variant>
        <vt:lpwstr/>
      </vt:variant>
      <vt:variant>
        <vt:lpwstr>_Toc402796899</vt:lpwstr>
      </vt:variant>
      <vt:variant>
        <vt:i4>2031671</vt:i4>
      </vt:variant>
      <vt:variant>
        <vt:i4>410</vt:i4>
      </vt:variant>
      <vt:variant>
        <vt:i4>0</vt:i4>
      </vt:variant>
      <vt:variant>
        <vt:i4>5</vt:i4>
      </vt:variant>
      <vt:variant>
        <vt:lpwstr/>
      </vt:variant>
      <vt:variant>
        <vt:lpwstr>_Toc402796898</vt:lpwstr>
      </vt:variant>
      <vt:variant>
        <vt:i4>2031671</vt:i4>
      </vt:variant>
      <vt:variant>
        <vt:i4>404</vt:i4>
      </vt:variant>
      <vt:variant>
        <vt:i4>0</vt:i4>
      </vt:variant>
      <vt:variant>
        <vt:i4>5</vt:i4>
      </vt:variant>
      <vt:variant>
        <vt:lpwstr/>
      </vt:variant>
      <vt:variant>
        <vt:lpwstr>_Toc402796897</vt:lpwstr>
      </vt:variant>
      <vt:variant>
        <vt:i4>2031671</vt:i4>
      </vt:variant>
      <vt:variant>
        <vt:i4>398</vt:i4>
      </vt:variant>
      <vt:variant>
        <vt:i4>0</vt:i4>
      </vt:variant>
      <vt:variant>
        <vt:i4>5</vt:i4>
      </vt:variant>
      <vt:variant>
        <vt:lpwstr/>
      </vt:variant>
      <vt:variant>
        <vt:lpwstr>_Toc402796896</vt:lpwstr>
      </vt:variant>
      <vt:variant>
        <vt:i4>2031671</vt:i4>
      </vt:variant>
      <vt:variant>
        <vt:i4>392</vt:i4>
      </vt:variant>
      <vt:variant>
        <vt:i4>0</vt:i4>
      </vt:variant>
      <vt:variant>
        <vt:i4>5</vt:i4>
      </vt:variant>
      <vt:variant>
        <vt:lpwstr/>
      </vt:variant>
      <vt:variant>
        <vt:lpwstr>_Toc402796895</vt:lpwstr>
      </vt:variant>
      <vt:variant>
        <vt:i4>2031671</vt:i4>
      </vt:variant>
      <vt:variant>
        <vt:i4>386</vt:i4>
      </vt:variant>
      <vt:variant>
        <vt:i4>0</vt:i4>
      </vt:variant>
      <vt:variant>
        <vt:i4>5</vt:i4>
      </vt:variant>
      <vt:variant>
        <vt:lpwstr/>
      </vt:variant>
      <vt:variant>
        <vt:lpwstr>_Toc402796894</vt:lpwstr>
      </vt:variant>
      <vt:variant>
        <vt:i4>2031671</vt:i4>
      </vt:variant>
      <vt:variant>
        <vt:i4>380</vt:i4>
      </vt:variant>
      <vt:variant>
        <vt:i4>0</vt:i4>
      </vt:variant>
      <vt:variant>
        <vt:i4>5</vt:i4>
      </vt:variant>
      <vt:variant>
        <vt:lpwstr/>
      </vt:variant>
      <vt:variant>
        <vt:lpwstr>_Toc402796893</vt:lpwstr>
      </vt:variant>
      <vt:variant>
        <vt:i4>2031671</vt:i4>
      </vt:variant>
      <vt:variant>
        <vt:i4>374</vt:i4>
      </vt:variant>
      <vt:variant>
        <vt:i4>0</vt:i4>
      </vt:variant>
      <vt:variant>
        <vt:i4>5</vt:i4>
      </vt:variant>
      <vt:variant>
        <vt:lpwstr/>
      </vt:variant>
      <vt:variant>
        <vt:lpwstr>_Toc402796892</vt:lpwstr>
      </vt:variant>
      <vt:variant>
        <vt:i4>2031671</vt:i4>
      </vt:variant>
      <vt:variant>
        <vt:i4>368</vt:i4>
      </vt:variant>
      <vt:variant>
        <vt:i4>0</vt:i4>
      </vt:variant>
      <vt:variant>
        <vt:i4>5</vt:i4>
      </vt:variant>
      <vt:variant>
        <vt:lpwstr/>
      </vt:variant>
      <vt:variant>
        <vt:lpwstr>_Toc402796891</vt:lpwstr>
      </vt:variant>
      <vt:variant>
        <vt:i4>2031671</vt:i4>
      </vt:variant>
      <vt:variant>
        <vt:i4>362</vt:i4>
      </vt:variant>
      <vt:variant>
        <vt:i4>0</vt:i4>
      </vt:variant>
      <vt:variant>
        <vt:i4>5</vt:i4>
      </vt:variant>
      <vt:variant>
        <vt:lpwstr/>
      </vt:variant>
      <vt:variant>
        <vt:lpwstr>_Toc402796890</vt:lpwstr>
      </vt:variant>
      <vt:variant>
        <vt:i4>1966135</vt:i4>
      </vt:variant>
      <vt:variant>
        <vt:i4>356</vt:i4>
      </vt:variant>
      <vt:variant>
        <vt:i4>0</vt:i4>
      </vt:variant>
      <vt:variant>
        <vt:i4>5</vt:i4>
      </vt:variant>
      <vt:variant>
        <vt:lpwstr/>
      </vt:variant>
      <vt:variant>
        <vt:lpwstr>_Toc402796889</vt:lpwstr>
      </vt:variant>
      <vt:variant>
        <vt:i4>1966135</vt:i4>
      </vt:variant>
      <vt:variant>
        <vt:i4>350</vt:i4>
      </vt:variant>
      <vt:variant>
        <vt:i4>0</vt:i4>
      </vt:variant>
      <vt:variant>
        <vt:i4>5</vt:i4>
      </vt:variant>
      <vt:variant>
        <vt:lpwstr/>
      </vt:variant>
      <vt:variant>
        <vt:lpwstr>_Toc402796888</vt:lpwstr>
      </vt:variant>
      <vt:variant>
        <vt:i4>1966135</vt:i4>
      </vt:variant>
      <vt:variant>
        <vt:i4>344</vt:i4>
      </vt:variant>
      <vt:variant>
        <vt:i4>0</vt:i4>
      </vt:variant>
      <vt:variant>
        <vt:i4>5</vt:i4>
      </vt:variant>
      <vt:variant>
        <vt:lpwstr/>
      </vt:variant>
      <vt:variant>
        <vt:lpwstr>_Toc402796887</vt:lpwstr>
      </vt:variant>
      <vt:variant>
        <vt:i4>1966135</vt:i4>
      </vt:variant>
      <vt:variant>
        <vt:i4>338</vt:i4>
      </vt:variant>
      <vt:variant>
        <vt:i4>0</vt:i4>
      </vt:variant>
      <vt:variant>
        <vt:i4>5</vt:i4>
      </vt:variant>
      <vt:variant>
        <vt:lpwstr/>
      </vt:variant>
      <vt:variant>
        <vt:lpwstr>_Toc402796886</vt:lpwstr>
      </vt:variant>
      <vt:variant>
        <vt:i4>1966135</vt:i4>
      </vt:variant>
      <vt:variant>
        <vt:i4>332</vt:i4>
      </vt:variant>
      <vt:variant>
        <vt:i4>0</vt:i4>
      </vt:variant>
      <vt:variant>
        <vt:i4>5</vt:i4>
      </vt:variant>
      <vt:variant>
        <vt:lpwstr/>
      </vt:variant>
      <vt:variant>
        <vt:lpwstr>_Toc402796885</vt:lpwstr>
      </vt:variant>
      <vt:variant>
        <vt:i4>1966135</vt:i4>
      </vt:variant>
      <vt:variant>
        <vt:i4>326</vt:i4>
      </vt:variant>
      <vt:variant>
        <vt:i4>0</vt:i4>
      </vt:variant>
      <vt:variant>
        <vt:i4>5</vt:i4>
      </vt:variant>
      <vt:variant>
        <vt:lpwstr/>
      </vt:variant>
      <vt:variant>
        <vt:lpwstr>_Toc402796884</vt:lpwstr>
      </vt:variant>
      <vt:variant>
        <vt:i4>1966135</vt:i4>
      </vt:variant>
      <vt:variant>
        <vt:i4>320</vt:i4>
      </vt:variant>
      <vt:variant>
        <vt:i4>0</vt:i4>
      </vt:variant>
      <vt:variant>
        <vt:i4>5</vt:i4>
      </vt:variant>
      <vt:variant>
        <vt:lpwstr/>
      </vt:variant>
      <vt:variant>
        <vt:lpwstr>_Toc402796883</vt:lpwstr>
      </vt:variant>
      <vt:variant>
        <vt:i4>1966135</vt:i4>
      </vt:variant>
      <vt:variant>
        <vt:i4>314</vt:i4>
      </vt:variant>
      <vt:variant>
        <vt:i4>0</vt:i4>
      </vt:variant>
      <vt:variant>
        <vt:i4>5</vt:i4>
      </vt:variant>
      <vt:variant>
        <vt:lpwstr/>
      </vt:variant>
      <vt:variant>
        <vt:lpwstr>_Toc402796882</vt:lpwstr>
      </vt:variant>
      <vt:variant>
        <vt:i4>1966135</vt:i4>
      </vt:variant>
      <vt:variant>
        <vt:i4>308</vt:i4>
      </vt:variant>
      <vt:variant>
        <vt:i4>0</vt:i4>
      </vt:variant>
      <vt:variant>
        <vt:i4>5</vt:i4>
      </vt:variant>
      <vt:variant>
        <vt:lpwstr/>
      </vt:variant>
      <vt:variant>
        <vt:lpwstr>_Toc402796881</vt:lpwstr>
      </vt:variant>
      <vt:variant>
        <vt:i4>1966135</vt:i4>
      </vt:variant>
      <vt:variant>
        <vt:i4>302</vt:i4>
      </vt:variant>
      <vt:variant>
        <vt:i4>0</vt:i4>
      </vt:variant>
      <vt:variant>
        <vt:i4>5</vt:i4>
      </vt:variant>
      <vt:variant>
        <vt:lpwstr/>
      </vt:variant>
      <vt:variant>
        <vt:lpwstr>_Toc402796880</vt:lpwstr>
      </vt:variant>
      <vt:variant>
        <vt:i4>1114167</vt:i4>
      </vt:variant>
      <vt:variant>
        <vt:i4>296</vt:i4>
      </vt:variant>
      <vt:variant>
        <vt:i4>0</vt:i4>
      </vt:variant>
      <vt:variant>
        <vt:i4>5</vt:i4>
      </vt:variant>
      <vt:variant>
        <vt:lpwstr/>
      </vt:variant>
      <vt:variant>
        <vt:lpwstr>_Toc402796879</vt:lpwstr>
      </vt:variant>
      <vt:variant>
        <vt:i4>1114167</vt:i4>
      </vt:variant>
      <vt:variant>
        <vt:i4>290</vt:i4>
      </vt:variant>
      <vt:variant>
        <vt:i4>0</vt:i4>
      </vt:variant>
      <vt:variant>
        <vt:i4>5</vt:i4>
      </vt:variant>
      <vt:variant>
        <vt:lpwstr/>
      </vt:variant>
      <vt:variant>
        <vt:lpwstr>_Toc402796878</vt:lpwstr>
      </vt:variant>
      <vt:variant>
        <vt:i4>1114167</vt:i4>
      </vt:variant>
      <vt:variant>
        <vt:i4>284</vt:i4>
      </vt:variant>
      <vt:variant>
        <vt:i4>0</vt:i4>
      </vt:variant>
      <vt:variant>
        <vt:i4>5</vt:i4>
      </vt:variant>
      <vt:variant>
        <vt:lpwstr/>
      </vt:variant>
      <vt:variant>
        <vt:lpwstr>_Toc402796877</vt:lpwstr>
      </vt:variant>
      <vt:variant>
        <vt:i4>1114167</vt:i4>
      </vt:variant>
      <vt:variant>
        <vt:i4>278</vt:i4>
      </vt:variant>
      <vt:variant>
        <vt:i4>0</vt:i4>
      </vt:variant>
      <vt:variant>
        <vt:i4>5</vt:i4>
      </vt:variant>
      <vt:variant>
        <vt:lpwstr/>
      </vt:variant>
      <vt:variant>
        <vt:lpwstr>_Toc402796876</vt:lpwstr>
      </vt:variant>
      <vt:variant>
        <vt:i4>1114167</vt:i4>
      </vt:variant>
      <vt:variant>
        <vt:i4>272</vt:i4>
      </vt:variant>
      <vt:variant>
        <vt:i4>0</vt:i4>
      </vt:variant>
      <vt:variant>
        <vt:i4>5</vt:i4>
      </vt:variant>
      <vt:variant>
        <vt:lpwstr/>
      </vt:variant>
      <vt:variant>
        <vt:lpwstr>_Toc402796875</vt:lpwstr>
      </vt:variant>
      <vt:variant>
        <vt:i4>1114167</vt:i4>
      </vt:variant>
      <vt:variant>
        <vt:i4>266</vt:i4>
      </vt:variant>
      <vt:variant>
        <vt:i4>0</vt:i4>
      </vt:variant>
      <vt:variant>
        <vt:i4>5</vt:i4>
      </vt:variant>
      <vt:variant>
        <vt:lpwstr/>
      </vt:variant>
      <vt:variant>
        <vt:lpwstr>_Toc402796874</vt:lpwstr>
      </vt:variant>
      <vt:variant>
        <vt:i4>1114167</vt:i4>
      </vt:variant>
      <vt:variant>
        <vt:i4>260</vt:i4>
      </vt:variant>
      <vt:variant>
        <vt:i4>0</vt:i4>
      </vt:variant>
      <vt:variant>
        <vt:i4>5</vt:i4>
      </vt:variant>
      <vt:variant>
        <vt:lpwstr/>
      </vt:variant>
      <vt:variant>
        <vt:lpwstr>_Toc402796873</vt:lpwstr>
      </vt:variant>
      <vt:variant>
        <vt:i4>1114167</vt:i4>
      </vt:variant>
      <vt:variant>
        <vt:i4>254</vt:i4>
      </vt:variant>
      <vt:variant>
        <vt:i4>0</vt:i4>
      </vt:variant>
      <vt:variant>
        <vt:i4>5</vt:i4>
      </vt:variant>
      <vt:variant>
        <vt:lpwstr/>
      </vt:variant>
      <vt:variant>
        <vt:lpwstr>_Toc402796872</vt:lpwstr>
      </vt:variant>
      <vt:variant>
        <vt:i4>1114167</vt:i4>
      </vt:variant>
      <vt:variant>
        <vt:i4>248</vt:i4>
      </vt:variant>
      <vt:variant>
        <vt:i4>0</vt:i4>
      </vt:variant>
      <vt:variant>
        <vt:i4>5</vt:i4>
      </vt:variant>
      <vt:variant>
        <vt:lpwstr/>
      </vt:variant>
      <vt:variant>
        <vt:lpwstr>_Toc402796871</vt:lpwstr>
      </vt:variant>
      <vt:variant>
        <vt:i4>1114167</vt:i4>
      </vt:variant>
      <vt:variant>
        <vt:i4>242</vt:i4>
      </vt:variant>
      <vt:variant>
        <vt:i4>0</vt:i4>
      </vt:variant>
      <vt:variant>
        <vt:i4>5</vt:i4>
      </vt:variant>
      <vt:variant>
        <vt:lpwstr/>
      </vt:variant>
      <vt:variant>
        <vt:lpwstr>_Toc402796870</vt:lpwstr>
      </vt:variant>
      <vt:variant>
        <vt:i4>1048631</vt:i4>
      </vt:variant>
      <vt:variant>
        <vt:i4>236</vt:i4>
      </vt:variant>
      <vt:variant>
        <vt:i4>0</vt:i4>
      </vt:variant>
      <vt:variant>
        <vt:i4>5</vt:i4>
      </vt:variant>
      <vt:variant>
        <vt:lpwstr/>
      </vt:variant>
      <vt:variant>
        <vt:lpwstr>_Toc402796869</vt:lpwstr>
      </vt:variant>
      <vt:variant>
        <vt:i4>1048631</vt:i4>
      </vt:variant>
      <vt:variant>
        <vt:i4>230</vt:i4>
      </vt:variant>
      <vt:variant>
        <vt:i4>0</vt:i4>
      </vt:variant>
      <vt:variant>
        <vt:i4>5</vt:i4>
      </vt:variant>
      <vt:variant>
        <vt:lpwstr/>
      </vt:variant>
      <vt:variant>
        <vt:lpwstr>_Toc402796868</vt:lpwstr>
      </vt:variant>
      <vt:variant>
        <vt:i4>1048631</vt:i4>
      </vt:variant>
      <vt:variant>
        <vt:i4>224</vt:i4>
      </vt:variant>
      <vt:variant>
        <vt:i4>0</vt:i4>
      </vt:variant>
      <vt:variant>
        <vt:i4>5</vt:i4>
      </vt:variant>
      <vt:variant>
        <vt:lpwstr/>
      </vt:variant>
      <vt:variant>
        <vt:lpwstr>_Toc402796867</vt:lpwstr>
      </vt:variant>
      <vt:variant>
        <vt:i4>1048631</vt:i4>
      </vt:variant>
      <vt:variant>
        <vt:i4>218</vt:i4>
      </vt:variant>
      <vt:variant>
        <vt:i4>0</vt:i4>
      </vt:variant>
      <vt:variant>
        <vt:i4>5</vt:i4>
      </vt:variant>
      <vt:variant>
        <vt:lpwstr/>
      </vt:variant>
      <vt:variant>
        <vt:lpwstr>_Toc402796866</vt:lpwstr>
      </vt:variant>
      <vt:variant>
        <vt:i4>1048631</vt:i4>
      </vt:variant>
      <vt:variant>
        <vt:i4>212</vt:i4>
      </vt:variant>
      <vt:variant>
        <vt:i4>0</vt:i4>
      </vt:variant>
      <vt:variant>
        <vt:i4>5</vt:i4>
      </vt:variant>
      <vt:variant>
        <vt:lpwstr/>
      </vt:variant>
      <vt:variant>
        <vt:lpwstr>_Toc402796865</vt:lpwstr>
      </vt:variant>
      <vt:variant>
        <vt:i4>1048631</vt:i4>
      </vt:variant>
      <vt:variant>
        <vt:i4>206</vt:i4>
      </vt:variant>
      <vt:variant>
        <vt:i4>0</vt:i4>
      </vt:variant>
      <vt:variant>
        <vt:i4>5</vt:i4>
      </vt:variant>
      <vt:variant>
        <vt:lpwstr/>
      </vt:variant>
      <vt:variant>
        <vt:lpwstr>_Toc402796864</vt:lpwstr>
      </vt:variant>
      <vt:variant>
        <vt:i4>1048631</vt:i4>
      </vt:variant>
      <vt:variant>
        <vt:i4>200</vt:i4>
      </vt:variant>
      <vt:variant>
        <vt:i4>0</vt:i4>
      </vt:variant>
      <vt:variant>
        <vt:i4>5</vt:i4>
      </vt:variant>
      <vt:variant>
        <vt:lpwstr/>
      </vt:variant>
      <vt:variant>
        <vt:lpwstr>_Toc402796863</vt:lpwstr>
      </vt:variant>
      <vt:variant>
        <vt:i4>1048631</vt:i4>
      </vt:variant>
      <vt:variant>
        <vt:i4>194</vt:i4>
      </vt:variant>
      <vt:variant>
        <vt:i4>0</vt:i4>
      </vt:variant>
      <vt:variant>
        <vt:i4>5</vt:i4>
      </vt:variant>
      <vt:variant>
        <vt:lpwstr/>
      </vt:variant>
      <vt:variant>
        <vt:lpwstr>_Toc402796862</vt:lpwstr>
      </vt:variant>
      <vt:variant>
        <vt:i4>1048631</vt:i4>
      </vt:variant>
      <vt:variant>
        <vt:i4>188</vt:i4>
      </vt:variant>
      <vt:variant>
        <vt:i4>0</vt:i4>
      </vt:variant>
      <vt:variant>
        <vt:i4>5</vt:i4>
      </vt:variant>
      <vt:variant>
        <vt:lpwstr/>
      </vt:variant>
      <vt:variant>
        <vt:lpwstr>_Toc402796861</vt:lpwstr>
      </vt:variant>
      <vt:variant>
        <vt:i4>1048631</vt:i4>
      </vt:variant>
      <vt:variant>
        <vt:i4>182</vt:i4>
      </vt:variant>
      <vt:variant>
        <vt:i4>0</vt:i4>
      </vt:variant>
      <vt:variant>
        <vt:i4>5</vt:i4>
      </vt:variant>
      <vt:variant>
        <vt:lpwstr/>
      </vt:variant>
      <vt:variant>
        <vt:lpwstr>_Toc402796860</vt:lpwstr>
      </vt:variant>
      <vt:variant>
        <vt:i4>1245239</vt:i4>
      </vt:variant>
      <vt:variant>
        <vt:i4>176</vt:i4>
      </vt:variant>
      <vt:variant>
        <vt:i4>0</vt:i4>
      </vt:variant>
      <vt:variant>
        <vt:i4>5</vt:i4>
      </vt:variant>
      <vt:variant>
        <vt:lpwstr/>
      </vt:variant>
      <vt:variant>
        <vt:lpwstr>_Toc402796859</vt:lpwstr>
      </vt:variant>
      <vt:variant>
        <vt:i4>1245239</vt:i4>
      </vt:variant>
      <vt:variant>
        <vt:i4>170</vt:i4>
      </vt:variant>
      <vt:variant>
        <vt:i4>0</vt:i4>
      </vt:variant>
      <vt:variant>
        <vt:i4>5</vt:i4>
      </vt:variant>
      <vt:variant>
        <vt:lpwstr/>
      </vt:variant>
      <vt:variant>
        <vt:lpwstr>_Toc402796858</vt:lpwstr>
      </vt:variant>
      <vt:variant>
        <vt:i4>1245239</vt:i4>
      </vt:variant>
      <vt:variant>
        <vt:i4>164</vt:i4>
      </vt:variant>
      <vt:variant>
        <vt:i4>0</vt:i4>
      </vt:variant>
      <vt:variant>
        <vt:i4>5</vt:i4>
      </vt:variant>
      <vt:variant>
        <vt:lpwstr/>
      </vt:variant>
      <vt:variant>
        <vt:lpwstr>_Toc402796857</vt:lpwstr>
      </vt:variant>
      <vt:variant>
        <vt:i4>1245239</vt:i4>
      </vt:variant>
      <vt:variant>
        <vt:i4>158</vt:i4>
      </vt:variant>
      <vt:variant>
        <vt:i4>0</vt:i4>
      </vt:variant>
      <vt:variant>
        <vt:i4>5</vt:i4>
      </vt:variant>
      <vt:variant>
        <vt:lpwstr/>
      </vt:variant>
      <vt:variant>
        <vt:lpwstr>_Toc402796856</vt:lpwstr>
      </vt:variant>
      <vt:variant>
        <vt:i4>1245239</vt:i4>
      </vt:variant>
      <vt:variant>
        <vt:i4>152</vt:i4>
      </vt:variant>
      <vt:variant>
        <vt:i4>0</vt:i4>
      </vt:variant>
      <vt:variant>
        <vt:i4>5</vt:i4>
      </vt:variant>
      <vt:variant>
        <vt:lpwstr/>
      </vt:variant>
      <vt:variant>
        <vt:lpwstr>_Toc402796855</vt:lpwstr>
      </vt:variant>
      <vt:variant>
        <vt:i4>1245239</vt:i4>
      </vt:variant>
      <vt:variant>
        <vt:i4>146</vt:i4>
      </vt:variant>
      <vt:variant>
        <vt:i4>0</vt:i4>
      </vt:variant>
      <vt:variant>
        <vt:i4>5</vt:i4>
      </vt:variant>
      <vt:variant>
        <vt:lpwstr/>
      </vt:variant>
      <vt:variant>
        <vt:lpwstr>_Toc402796854</vt:lpwstr>
      </vt:variant>
      <vt:variant>
        <vt:i4>1245239</vt:i4>
      </vt:variant>
      <vt:variant>
        <vt:i4>140</vt:i4>
      </vt:variant>
      <vt:variant>
        <vt:i4>0</vt:i4>
      </vt:variant>
      <vt:variant>
        <vt:i4>5</vt:i4>
      </vt:variant>
      <vt:variant>
        <vt:lpwstr/>
      </vt:variant>
      <vt:variant>
        <vt:lpwstr>_Toc402796853</vt:lpwstr>
      </vt:variant>
      <vt:variant>
        <vt:i4>1245239</vt:i4>
      </vt:variant>
      <vt:variant>
        <vt:i4>134</vt:i4>
      </vt:variant>
      <vt:variant>
        <vt:i4>0</vt:i4>
      </vt:variant>
      <vt:variant>
        <vt:i4>5</vt:i4>
      </vt:variant>
      <vt:variant>
        <vt:lpwstr/>
      </vt:variant>
      <vt:variant>
        <vt:lpwstr>_Toc402796852</vt:lpwstr>
      </vt:variant>
      <vt:variant>
        <vt:i4>1245239</vt:i4>
      </vt:variant>
      <vt:variant>
        <vt:i4>128</vt:i4>
      </vt:variant>
      <vt:variant>
        <vt:i4>0</vt:i4>
      </vt:variant>
      <vt:variant>
        <vt:i4>5</vt:i4>
      </vt:variant>
      <vt:variant>
        <vt:lpwstr/>
      </vt:variant>
      <vt:variant>
        <vt:lpwstr>_Toc402796851</vt:lpwstr>
      </vt:variant>
      <vt:variant>
        <vt:i4>1245239</vt:i4>
      </vt:variant>
      <vt:variant>
        <vt:i4>122</vt:i4>
      </vt:variant>
      <vt:variant>
        <vt:i4>0</vt:i4>
      </vt:variant>
      <vt:variant>
        <vt:i4>5</vt:i4>
      </vt:variant>
      <vt:variant>
        <vt:lpwstr/>
      </vt:variant>
      <vt:variant>
        <vt:lpwstr>_Toc402796850</vt:lpwstr>
      </vt:variant>
      <vt:variant>
        <vt:i4>1179703</vt:i4>
      </vt:variant>
      <vt:variant>
        <vt:i4>116</vt:i4>
      </vt:variant>
      <vt:variant>
        <vt:i4>0</vt:i4>
      </vt:variant>
      <vt:variant>
        <vt:i4>5</vt:i4>
      </vt:variant>
      <vt:variant>
        <vt:lpwstr/>
      </vt:variant>
      <vt:variant>
        <vt:lpwstr>_Toc402796849</vt:lpwstr>
      </vt:variant>
      <vt:variant>
        <vt:i4>1179703</vt:i4>
      </vt:variant>
      <vt:variant>
        <vt:i4>110</vt:i4>
      </vt:variant>
      <vt:variant>
        <vt:i4>0</vt:i4>
      </vt:variant>
      <vt:variant>
        <vt:i4>5</vt:i4>
      </vt:variant>
      <vt:variant>
        <vt:lpwstr/>
      </vt:variant>
      <vt:variant>
        <vt:lpwstr>_Toc402796848</vt:lpwstr>
      </vt:variant>
      <vt:variant>
        <vt:i4>1179703</vt:i4>
      </vt:variant>
      <vt:variant>
        <vt:i4>104</vt:i4>
      </vt:variant>
      <vt:variant>
        <vt:i4>0</vt:i4>
      </vt:variant>
      <vt:variant>
        <vt:i4>5</vt:i4>
      </vt:variant>
      <vt:variant>
        <vt:lpwstr/>
      </vt:variant>
      <vt:variant>
        <vt:lpwstr>_Toc402796847</vt:lpwstr>
      </vt:variant>
      <vt:variant>
        <vt:i4>1179703</vt:i4>
      </vt:variant>
      <vt:variant>
        <vt:i4>98</vt:i4>
      </vt:variant>
      <vt:variant>
        <vt:i4>0</vt:i4>
      </vt:variant>
      <vt:variant>
        <vt:i4>5</vt:i4>
      </vt:variant>
      <vt:variant>
        <vt:lpwstr/>
      </vt:variant>
      <vt:variant>
        <vt:lpwstr>_Toc402796846</vt:lpwstr>
      </vt:variant>
      <vt:variant>
        <vt:i4>1179703</vt:i4>
      </vt:variant>
      <vt:variant>
        <vt:i4>92</vt:i4>
      </vt:variant>
      <vt:variant>
        <vt:i4>0</vt:i4>
      </vt:variant>
      <vt:variant>
        <vt:i4>5</vt:i4>
      </vt:variant>
      <vt:variant>
        <vt:lpwstr/>
      </vt:variant>
      <vt:variant>
        <vt:lpwstr>_Toc402796845</vt:lpwstr>
      </vt:variant>
      <vt:variant>
        <vt:i4>1179703</vt:i4>
      </vt:variant>
      <vt:variant>
        <vt:i4>86</vt:i4>
      </vt:variant>
      <vt:variant>
        <vt:i4>0</vt:i4>
      </vt:variant>
      <vt:variant>
        <vt:i4>5</vt:i4>
      </vt:variant>
      <vt:variant>
        <vt:lpwstr/>
      </vt:variant>
      <vt:variant>
        <vt:lpwstr>_Toc402796844</vt:lpwstr>
      </vt:variant>
      <vt:variant>
        <vt:i4>1179703</vt:i4>
      </vt:variant>
      <vt:variant>
        <vt:i4>80</vt:i4>
      </vt:variant>
      <vt:variant>
        <vt:i4>0</vt:i4>
      </vt:variant>
      <vt:variant>
        <vt:i4>5</vt:i4>
      </vt:variant>
      <vt:variant>
        <vt:lpwstr/>
      </vt:variant>
      <vt:variant>
        <vt:lpwstr>_Toc402796843</vt:lpwstr>
      </vt:variant>
      <vt:variant>
        <vt:i4>1179703</vt:i4>
      </vt:variant>
      <vt:variant>
        <vt:i4>74</vt:i4>
      </vt:variant>
      <vt:variant>
        <vt:i4>0</vt:i4>
      </vt:variant>
      <vt:variant>
        <vt:i4>5</vt:i4>
      </vt:variant>
      <vt:variant>
        <vt:lpwstr/>
      </vt:variant>
      <vt:variant>
        <vt:lpwstr>_Toc402796842</vt:lpwstr>
      </vt:variant>
      <vt:variant>
        <vt:i4>1179703</vt:i4>
      </vt:variant>
      <vt:variant>
        <vt:i4>68</vt:i4>
      </vt:variant>
      <vt:variant>
        <vt:i4>0</vt:i4>
      </vt:variant>
      <vt:variant>
        <vt:i4>5</vt:i4>
      </vt:variant>
      <vt:variant>
        <vt:lpwstr/>
      </vt:variant>
      <vt:variant>
        <vt:lpwstr>_Toc402796841</vt:lpwstr>
      </vt:variant>
      <vt:variant>
        <vt:i4>1179703</vt:i4>
      </vt:variant>
      <vt:variant>
        <vt:i4>62</vt:i4>
      </vt:variant>
      <vt:variant>
        <vt:i4>0</vt:i4>
      </vt:variant>
      <vt:variant>
        <vt:i4>5</vt:i4>
      </vt:variant>
      <vt:variant>
        <vt:lpwstr/>
      </vt:variant>
      <vt:variant>
        <vt:lpwstr>_Toc402796840</vt:lpwstr>
      </vt:variant>
      <vt:variant>
        <vt:i4>1376311</vt:i4>
      </vt:variant>
      <vt:variant>
        <vt:i4>56</vt:i4>
      </vt:variant>
      <vt:variant>
        <vt:i4>0</vt:i4>
      </vt:variant>
      <vt:variant>
        <vt:i4>5</vt:i4>
      </vt:variant>
      <vt:variant>
        <vt:lpwstr/>
      </vt:variant>
      <vt:variant>
        <vt:lpwstr>_Toc402796839</vt:lpwstr>
      </vt:variant>
      <vt:variant>
        <vt:i4>1376311</vt:i4>
      </vt:variant>
      <vt:variant>
        <vt:i4>50</vt:i4>
      </vt:variant>
      <vt:variant>
        <vt:i4>0</vt:i4>
      </vt:variant>
      <vt:variant>
        <vt:i4>5</vt:i4>
      </vt:variant>
      <vt:variant>
        <vt:lpwstr/>
      </vt:variant>
      <vt:variant>
        <vt:lpwstr>_Toc402796838</vt:lpwstr>
      </vt:variant>
      <vt:variant>
        <vt:i4>1376311</vt:i4>
      </vt:variant>
      <vt:variant>
        <vt:i4>44</vt:i4>
      </vt:variant>
      <vt:variant>
        <vt:i4>0</vt:i4>
      </vt:variant>
      <vt:variant>
        <vt:i4>5</vt:i4>
      </vt:variant>
      <vt:variant>
        <vt:lpwstr/>
      </vt:variant>
      <vt:variant>
        <vt:lpwstr>_Toc402796837</vt:lpwstr>
      </vt:variant>
      <vt:variant>
        <vt:i4>1376311</vt:i4>
      </vt:variant>
      <vt:variant>
        <vt:i4>38</vt:i4>
      </vt:variant>
      <vt:variant>
        <vt:i4>0</vt:i4>
      </vt:variant>
      <vt:variant>
        <vt:i4>5</vt:i4>
      </vt:variant>
      <vt:variant>
        <vt:lpwstr/>
      </vt:variant>
      <vt:variant>
        <vt:lpwstr>_Toc402796836</vt:lpwstr>
      </vt:variant>
      <vt:variant>
        <vt:i4>1376311</vt:i4>
      </vt:variant>
      <vt:variant>
        <vt:i4>32</vt:i4>
      </vt:variant>
      <vt:variant>
        <vt:i4>0</vt:i4>
      </vt:variant>
      <vt:variant>
        <vt:i4>5</vt:i4>
      </vt:variant>
      <vt:variant>
        <vt:lpwstr/>
      </vt:variant>
      <vt:variant>
        <vt:lpwstr>_Toc402796835</vt:lpwstr>
      </vt:variant>
      <vt:variant>
        <vt:i4>1376311</vt:i4>
      </vt:variant>
      <vt:variant>
        <vt:i4>26</vt:i4>
      </vt:variant>
      <vt:variant>
        <vt:i4>0</vt:i4>
      </vt:variant>
      <vt:variant>
        <vt:i4>5</vt:i4>
      </vt:variant>
      <vt:variant>
        <vt:lpwstr/>
      </vt:variant>
      <vt:variant>
        <vt:lpwstr>_Toc402796834</vt:lpwstr>
      </vt:variant>
      <vt:variant>
        <vt:i4>1376311</vt:i4>
      </vt:variant>
      <vt:variant>
        <vt:i4>20</vt:i4>
      </vt:variant>
      <vt:variant>
        <vt:i4>0</vt:i4>
      </vt:variant>
      <vt:variant>
        <vt:i4>5</vt:i4>
      </vt:variant>
      <vt:variant>
        <vt:lpwstr/>
      </vt:variant>
      <vt:variant>
        <vt:lpwstr>_Toc402796833</vt:lpwstr>
      </vt:variant>
      <vt:variant>
        <vt:i4>1376311</vt:i4>
      </vt:variant>
      <vt:variant>
        <vt:i4>14</vt:i4>
      </vt:variant>
      <vt:variant>
        <vt:i4>0</vt:i4>
      </vt:variant>
      <vt:variant>
        <vt:i4>5</vt:i4>
      </vt:variant>
      <vt:variant>
        <vt:lpwstr/>
      </vt:variant>
      <vt:variant>
        <vt:lpwstr>_Toc402796832</vt:lpwstr>
      </vt:variant>
      <vt:variant>
        <vt:i4>1376311</vt:i4>
      </vt:variant>
      <vt:variant>
        <vt:i4>8</vt:i4>
      </vt:variant>
      <vt:variant>
        <vt:i4>0</vt:i4>
      </vt:variant>
      <vt:variant>
        <vt:i4>5</vt:i4>
      </vt:variant>
      <vt:variant>
        <vt:lpwstr/>
      </vt:variant>
      <vt:variant>
        <vt:lpwstr>_Toc402796831</vt:lpwstr>
      </vt:variant>
      <vt:variant>
        <vt:i4>1376311</vt:i4>
      </vt:variant>
      <vt:variant>
        <vt:i4>2</vt:i4>
      </vt:variant>
      <vt:variant>
        <vt:i4>0</vt:i4>
      </vt:variant>
      <vt:variant>
        <vt:i4>5</vt:i4>
      </vt:variant>
      <vt:variant>
        <vt:lpwstr/>
      </vt:variant>
      <vt:variant>
        <vt:lpwstr>_Toc402796830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募集申请材料</dc:subject>
  <dc:creator>徐晶</dc:creator>
  <cp:keywords/>
  <cp:lastModifiedBy>陈红</cp:lastModifiedBy>
  <cp:revision>7</cp:revision>
  <cp:lastPrinted>2012-04-25T09:25:00Z</cp:lastPrinted>
  <dcterms:created xsi:type="dcterms:W3CDTF">2020-03-04T16:19:00Z</dcterms:created>
  <dcterms:modified xsi:type="dcterms:W3CDTF">2020-03-11T07:58:00Z</dcterms:modified>
  <cp:category>募集申请材料</cp:category>
</cp:coreProperties>
</file>