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6D8" w:rsidRPr="00272E0C" w:rsidRDefault="001C36D8" w:rsidP="00074E9F">
      <w:pPr>
        <w:autoSpaceDE w:val="0"/>
        <w:autoSpaceDN w:val="0"/>
        <w:adjustRightInd w:val="0"/>
        <w:spacing w:line="360" w:lineRule="auto"/>
        <w:jc w:val="left"/>
        <w:rPr>
          <w:rFonts w:ascii="宋体" w:cs="Arial"/>
          <w:color w:val="000000"/>
          <w:kern w:val="0"/>
          <w:sz w:val="24"/>
        </w:rPr>
      </w:pPr>
      <w:bookmarkStart w:id="0" w:name="_GoBack"/>
      <w:bookmarkEnd w:id="0"/>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7951F3">
      <w:pPr>
        <w:spacing w:line="360" w:lineRule="auto"/>
        <w:jc w:val="center"/>
        <w:rPr>
          <w:rFonts w:ascii="宋体" w:hAnsi="宋体"/>
          <w:b/>
          <w:sz w:val="36"/>
          <w:szCs w:val="36"/>
        </w:rPr>
      </w:pPr>
      <w:r w:rsidRPr="00272E0C">
        <w:rPr>
          <w:rFonts w:ascii="宋体" w:hAnsi="宋体"/>
          <w:b/>
          <w:sz w:val="36"/>
          <w:szCs w:val="36"/>
        </w:rPr>
        <w:t>易方达上证50指数分级证券投资基金</w:t>
      </w:r>
    </w:p>
    <w:p w:rsidR="001C36D8" w:rsidRPr="00272E0C" w:rsidRDefault="001C36D8" w:rsidP="007951F3">
      <w:pPr>
        <w:spacing w:line="360" w:lineRule="auto"/>
        <w:jc w:val="center"/>
        <w:rPr>
          <w:rFonts w:ascii="宋体" w:hAnsi="宋体"/>
          <w:b/>
          <w:sz w:val="36"/>
          <w:szCs w:val="36"/>
        </w:rPr>
      </w:pPr>
      <w:r w:rsidRPr="00272E0C">
        <w:rPr>
          <w:rFonts w:ascii="宋体" w:hAnsi="宋体"/>
          <w:b/>
          <w:sz w:val="36"/>
          <w:szCs w:val="36"/>
        </w:rPr>
        <w:t>2019年第4季度报告</w:t>
      </w:r>
    </w:p>
    <w:p w:rsidR="001C36D8" w:rsidRPr="00717C29" w:rsidRDefault="001C36D8" w:rsidP="007951F3">
      <w:pPr>
        <w:spacing w:line="360" w:lineRule="auto"/>
        <w:jc w:val="center"/>
        <w:rPr>
          <w:rFonts w:ascii="宋体" w:hAnsi="宋体"/>
          <w:b/>
          <w:sz w:val="24"/>
          <w:szCs w:val="36"/>
        </w:rPr>
      </w:pPr>
      <w:r w:rsidRPr="00717C29">
        <w:rPr>
          <w:rFonts w:ascii="宋体" w:hAnsi="宋体"/>
          <w:b/>
          <w:sz w:val="24"/>
          <w:szCs w:val="36"/>
        </w:rPr>
        <w:t>2019年12月31日</w:t>
      </w: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rPr>
          <w:rFonts w:ascii="宋体"/>
          <w:b/>
          <w:color w:val="000000"/>
          <w:sz w:val="24"/>
        </w:rPr>
      </w:pPr>
    </w:p>
    <w:p w:rsidR="001C36D8" w:rsidRPr="00272E0C" w:rsidRDefault="001C36D8" w:rsidP="0015779C">
      <w:pPr>
        <w:spacing w:line="360" w:lineRule="auto"/>
        <w:ind w:firstLineChars="900" w:firstLine="2168"/>
        <w:rPr>
          <w:rFonts w:ascii="宋体" w:hAnsi="宋体"/>
          <w:b/>
          <w:color w:val="000000"/>
          <w:sz w:val="24"/>
        </w:rPr>
      </w:pPr>
      <w:r w:rsidRPr="00272E0C">
        <w:rPr>
          <w:rFonts w:ascii="宋体" w:hAnsi="宋体" w:hint="eastAsia"/>
          <w:b/>
          <w:color w:val="000000"/>
          <w:sz w:val="24"/>
        </w:rPr>
        <w:t>基金管理人：</w:t>
      </w:r>
      <w:r w:rsidRPr="00272E0C">
        <w:rPr>
          <w:rFonts w:ascii="宋体" w:hAnsi="宋体"/>
          <w:b/>
          <w:color w:val="000000"/>
          <w:sz w:val="24"/>
        </w:rPr>
        <w:t>易方达基金管理有限公司</w:t>
      </w:r>
    </w:p>
    <w:p w:rsidR="001C36D8" w:rsidRPr="00272E0C" w:rsidRDefault="001C36D8" w:rsidP="0015779C">
      <w:pPr>
        <w:spacing w:line="360" w:lineRule="auto"/>
        <w:ind w:firstLineChars="900" w:firstLine="2168"/>
        <w:rPr>
          <w:rFonts w:ascii="宋体" w:hAnsi="宋体"/>
          <w:b/>
          <w:color w:val="000000"/>
          <w:sz w:val="24"/>
        </w:rPr>
      </w:pPr>
      <w:r w:rsidRPr="00272E0C">
        <w:rPr>
          <w:rFonts w:ascii="宋体" w:hAnsi="宋体" w:hint="eastAsia"/>
          <w:b/>
          <w:color w:val="000000"/>
          <w:sz w:val="24"/>
        </w:rPr>
        <w:t>基金托管人：</w:t>
      </w:r>
      <w:r w:rsidRPr="00272E0C">
        <w:rPr>
          <w:rFonts w:ascii="宋体" w:hAnsi="宋体"/>
          <w:b/>
          <w:color w:val="000000"/>
          <w:sz w:val="24"/>
        </w:rPr>
        <w:t>交通银行股份有限公司</w:t>
      </w:r>
    </w:p>
    <w:p w:rsidR="001C36D8" w:rsidRPr="00272E0C" w:rsidRDefault="001C36D8" w:rsidP="0015779C">
      <w:pPr>
        <w:spacing w:line="360" w:lineRule="auto"/>
        <w:ind w:firstLineChars="900" w:firstLine="2168"/>
        <w:rPr>
          <w:rFonts w:ascii="宋体" w:hAnsi="宋体"/>
          <w:b/>
          <w:color w:val="000000"/>
          <w:sz w:val="24"/>
        </w:rPr>
        <w:sectPr w:rsidR="001C36D8" w:rsidRPr="00272E0C" w:rsidSect="00230A66">
          <w:headerReference w:type="default" r:id="rId7"/>
          <w:footerReference w:type="default" r:id="rId8"/>
          <w:pgSz w:w="11926" w:h="15840"/>
          <w:pgMar w:top="1418" w:right="1418" w:bottom="851" w:left="1418" w:header="851" w:footer="992" w:gutter="0"/>
          <w:cols w:space="720"/>
          <w:noEndnote/>
        </w:sectPr>
      </w:pPr>
      <w:r w:rsidRPr="00272E0C">
        <w:rPr>
          <w:rFonts w:ascii="宋体" w:hAnsi="宋体" w:hint="eastAsia"/>
          <w:b/>
          <w:color w:val="000000"/>
          <w:sz w:val="24"/>
        </w:rPr>
        <w:t>报告送出日期：</w:t>
      </w:r>
      <w:r w:rsidRPr="00272E0C">
        <w:rPr>
          <w:rFonts w:ascii="宋体" w:hAnsi="宋体"/>
          <w:b/>
          <w:color w:val="000000"/>
          <w:sz w:val="24"/>
        </w:rPr>
        <w:t>二〇二〇年一月十八日</w:t>
      </w:r>
    </w:p>
    <w:p w:rsidR="001C36D8" w:rsidRPr="00272E0C" w:rsidRDefault="001C36D8" w:rsidP="005C6DF3">
      <w:pPr>
        <w:pStyle w:val="1"/>
        <w:spacing w:beforeLines="100" w:before="312" w:afterLines="100" w:after="312" w:line="360" w:lineRule="auto"/>
        <w:jc w:val="center"/>
        <w:rPr>
          <w:rFonts w:ascii="宋体" w:cs="Arial"/>
          <w:b w:val="0"/>
          <w:color w:val="000000"/>
          <w:kern w:val="0"/>
          <w:sz w:val="24"/>
          <w:szCs w:val="24"/>
        </w:rPr>
      </w:pPr>
      <w:r w:rsidRPr="00272E0C">
        <w:rPr>
          <w:rFonts w:ascii="宋体" w:hAnsi="宋体" w:cs="Arial" w:hint="eastAsia"/>
          <w:color w:val="000000"/>
          <w:kern w:val="0"/>
          <w:sz w:val="24"/>
          <w:szCs w:val="24"/>
        </w:rPr>
        <w:lastRenderedPageBreak/>
        <w:t>§</w:t>
      </w:r>
      <w:r w:rsidRPr="00272E0C">
        <w:rPr>
          <w:rFonts w:ascii="宋体" w:hAnsi="宋体" w:cs="Arial"/>
          <w:color w:val="000000"/>
          <w:kern w:val="0"/>
          <w:sz w:val="24"/>
          <w:szCs w:val="24"/>
        </w:rPr>
        <w:t xml:space="preserve">1  </w:t>
      </w:r>
      <w:r w:rsidRPr="00272E0C">
        <w:rPr>
          <w:rFonts w:ascii="宋体" w:hAnsi="宋体" w:cs="Arial" w:hint="eastAsia"/>
          <w:color w:val="000000"/>
          <w:kern w:val="0"/>
          <w:sz w:val="24"/>
          <w:szCs w:val="24"/>
        </w:rPr>
        <w:t>重要提示</w:t>
      </w:r>
    </w:p>
    <w:p w:rsidR="000212D1" w:rsidRDefault="00A02DDE">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212D1" w:rsidRDefault="00A02DDE">
      <w:pPr>
        <w:spacing w:line="360" w:lineRule="auto"/>
        <w:ind w:firstLineChars="200" w:firstLine="480"/>
        <w:rPr>
          <w:color w:val="000000"/>
          <w:sz w:val="24"/>
        </w:rPr>
      </w:pPr>
      <w:r>
        <w:rPr>
          <w:color w:val="000000"/>
          <w:sz w:val="24"/>
        </w:rPr>
        <w:t>基金托管人交通银行股份有限公司根据本基金合同规定，于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212D1" w:rsidRDefault="00A02DDE">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212D1" w:rsidRDefault="00A02DDE">
      <w:pPr>
        <w:spacing w:line="360" w:lineRule="auto"/>
        <w:ind w:firstLineChars="200" w:firstLine="480"/>
        <w:rPr>
          <w:color w:val="000000"/>
          <w:sz w:val="24"/>
        </w:rPr>
      </w:pPr>
      <w:r>
        <w:rPr>
          <w:color w:val="000000"/>
          <w:sz w:val="24"/>
        </w:rPr>
        <w:t>基金的过往业绩并不代表其未来表现。投资有风险，投资者在作出投资决</w:t>
      </w:r>
      <w:r>
        <w:rPr>
          <w:color w:val="000000"/>
          <w:sz w:val="24"/>
        </w:rPr>
        <w:t>策前应仔细阅读本基金的招募说明书。</w:t>
      </w:r>
      <w:r>
        <w:rPr>
          <w:color w:val="000000"/>
          <w:sz w:val="24"/>
        </w:rPr>
        <w:t xml:space="preserve"> </w:t>
      </w:r>
    </w:p>
    <w:p w:rsidR="000212D1" w:rsidRDefault="00A02DDE">
      <w:pPr>
        <w:spacing w:line="360" w:lineRule="auto"/>
        <w:ind w:firstLineChars="200" w:firstLine="480"/>
        <w:rPr>
          <w:color w:val="000000"/>
          <w:sz w:val="24"/>
        </w:rPr>
      </w:pPr>
      <w:r>
        <w:rPr>
          <w:color w:val="000000"/>
          <w:sz w:val="24"/>
        </w:rPr>
        <w:t>本报告中财务资料未经审计。</w:t>
      </w:r>
    </w:p>
    <w:p w:rsidR="001C36D8" w:rsidRPr="00CC0C03" w:rsidRDefault="001C36D8" w:rsidP="00CC0C03">
      <w:pPr>
        <w:spacing w:line="360" w:lineRule="auto"/>
        <w:ind w:firstLineChars="200" w:firstLine="480"/>
        <w:rPr>
          <w:color w:val="000000"/>
          <w:sz w:val="24"/>
        </w:rPr>
      </w:pPr>
      <w:r w:rsidRPr="00CC0C03">
        <w:rPr>
          <w:color w:val="000000"/>
          <w:sz w:val="24"/>
        </w:rPr>
        <w:t>本报告期自</w:t>
      </w:r>
      <w:r w:rsidRPr="00CC0C03">
        <w:rPr>
          <w:color w:val="000000"/>
          <w:sz w:val="24"/>
        </w:rPr>
        <w:t>2019</w:t>
      </w:r>
      <w:r w:rsidRPr="00CC0C03">
        <w:rPr>
          <w:color w:val="000000"/>
          <w:sz w:val="24"/>
        </w:rPr>
        <w:t>年</w:t>
      </w:r>
      <w:r w:rsidRPr="00CC0C03">
        <w:rPr>
          <w:color w:val="000000"/>
          <w:sz w:val="24"/>
        </w:rPr>
        <w:t>10</w:t>
      </w:r>
      <w:r w:rsidRPr="00CC0C03">
        <w:rPr>
          <w:color w:val="000000"/>
          <w:sz w:val="24"/>
        </w:rPr>
        <w:t>月</w:t>
      </w:r>
      <w:r w:rsidRPr="00CC0C03">
        <w:rPr>
          <w:color w:val="000000"/>
          <w:sz w:val="24"/>
        </w:rPr>
        <w:t>1</w:t>
      </w:r>
      <w:r w:rsidRPr="00CC0C03">
        <w:rPr>
          <w:color w:val="000000"/>
          <w:sz w:val="24"/>
        </w:rPr>
        <w:t>日起至</w:t>
      </w:r>
      <w:r w:rsidRPr="00CC0C03">
        <w:rPr>
          <w:color w:val="000000"/>
          <w:sz w:val="24"/>
        </w:rPr>
        <w:t>12</w:t>
      </w:r>
      <w:r w:rsidRPr="00CC0C03">
        <w:rPr>
          <w:color w:val="000000"/>
          <w:sz w:val="24"/>
        </w:rPr>
        <w:t>月</w:t>
      </w:r>
      <w:r w:rsidRPr="00CC0C03">
        <w:rPr>
          <w:color w:val="000000"/>
          <w:sz w:val="24"/>
        </w:rPr>
        <w:t>31</w:t>
      </w:r>
      <w:r w:rsidRPr="00CC0C03">
        <w:rPr>
          <w:color w:val="000000"/>
          <w:sz w:val="24"/>
        </w:rPr>
        <w:t>日止。</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2  </w:t>
      </w:r>
      <w:r w:rsidRPr="00272E0C">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1C36D8" w:rsidRPr="00272E0C" w:rsidTr="007A6BEA">
        <w:tc>
          <w:tcPr>
            <w:tcW w:w="2835" w:type="dxa"/>
          </w:tcPr>
          <w:p w:rsidR="001C36D8" w:rsidRPr="004C6E88" w:rsidRDefault="001C36D8" w:rsidP="007A6BEA">
            <w:pPr>
              <w:adjustRightInd w:val="0"/>
              <w:spacing w:before="29" w:line="360" w:lineRule="auto"/>
              <w:ind w:left="17"/>
              <w:jc w:val="left"/>
              <w:rPr>
                <w:rFonts w:eastAsiaTheme="minorEastAsia"/>
                <w:kern w:val="0"/>
                <w:sz w:val="24"/>
              </w:rPr>
            </w:pPr>
            <w:r w:rsidRPr="004C6E88">
              <w:rPr>
                <w:rFonts w:eastAsiaTheme="minorEastAsia"/>
                <w:kern w:val="0"/>
                <w:sz w:val="24"/>
              </w:rPr>
              <w:t>基金简称</w:t>
            </w:r>
          </w:p>
        </w:tc>
        <w:tc>
          <w:tcPr>
            <w:tcW w:w="5479" w:type="dxa"/>
            <w:gridSpan w:val="3"/>
          </w:tcPr>
          <w:p w:rsidR="001C36D8" w:rsidRPr="004C6E88" w:rsidRDefault="001C36D8" w:rsidP="007A6BEA">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易方达上证</w:t>
            </w:r>
            <w:r w:rsidRPr="004C6E88">
              <w:rPr>
                <w:rFonts w:eastAsiaTheme="minorEastAsia"/>
                <w:color w:val="000000"/>
                <w:kern w:val="0"/>
                <w:sz w:val="24"/>
              </w:rPr>
              <w:t>50</w:t>
            </w:r>
            <w:r w:rsidRPr="004C6E88">
              <w:rPr>
                <w:rFonts w:eastAsiaTheme="minorEastAsia"/>
                <w:color w:val="000000"/>
                <w:kern w:val="0"/>
                <w:sz w:val="24"/>
              </w:rPr>
              <w:t>分级</w:t>
            </w:r>
          </w:p>
        </w:tc>
      </w:tr>
      <w:tr w:rsidR="001C36D8" w:rsidRPr="00272E0C" w:rsidTr="002A44F9">
        <w:tc>
          <w:tcPr>
            <w:tcW w:w="2835" w:type="dxa"/>
          </w:tcPr>
          <w:p w:rsidR="001C36D8" w:rsidRPr="004C6E88" w:rsidRDefault="001C36D8">
            <w:pPr>
              <w:adjustRightInd w:val="0"/>
              <w:spacing w:before="29" w:line="360" w:lineRule="auto"/>
              <w:ind w:left="17"/>
              <w:jc w:val="left"/>
              <w:rPr>
                <w:rFonts w:eastAsiaTheme="minorEastAsia"/>
                <w:kern w:val="0"/>
                <w:sz w:val="24"/>
              </w:rPr>
            </w:pPr>
            <w:r w:rsidRPr="004C6E88">
              <w:rPr>
                <w:rFonts w:eastAsiaTheme="minorEastAsia"/>
                <w:kern w:val="0"/>
                <w:sz w:val="24"/>
              </w:rPr>
              <w:t>基金主代码</w:t>
            </w:r>
          </w:p>
        </w:tc>
        <w:tc>
          <w:tcPr>
            <w:tcW w:w="5479" w:type="dxa"/>
            <w:gridSpan w:val="3"/>
          </w:tcPr>
          <w:p w:rsidR="001C36D8" w:rsidRPr="004C6E88" w:rsidRDefault="001C36D8">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502048</w:t>
            </w:r>
          </w:p>
        </w:tc>
      </w:tr>
      <w:tr w:rsidR="003A768B" w:rsidRPr="00272E0C" w:rsidTr="002A44F9">
        <w:tc>
          <w:tcPr>
            <w:tcW w:w="2835" w:type="dxa"/>
          </w:tcPr>
          <w:p w:rsidR="003A768B" w:rsidRPr="004C6E88" w:rsidRDefault="003A768B" w:rsidP="00E43B0B">
            <w:pPr>
              <w:adjustRightInd w:val="0"/>
              <w:spacing w:before="29" w:line="360" w:lineRule="auto"/>
              <w:ind w:left="17"/>
              <w:jc w:val="left"/>
              <w:rPr>
                <w:rFonts w:eastAsiaTheme="minorEastAsia"/>
                <w:kern w:val="0"/>
                <w:sz w:val="24"/>
              </w:rPr>
            </w:pPr>
            <w:r w:rsidRPr="004C6E88">
              <w:rPr>
                <w:rFonts w:eastAsiaTheme="minorEastAsia"/>
                <w:kern w:val="0"/>
                <w:sz w:val="24"/>
              </w:rPr>
              <w:t>交易代码</w:t>
            </w:r>
          </w:p>
        </w:tc>
        <w:tc>
          <w:tcPr>
            <w:tcW w:w="5479" w:type="dxa"/>
            <w:gridSpan w:val="3"/>
          </w:tcPr>
          <w:p w:rsidR="003A768B" w:rsidRPr="004C6E88" w:rsidRDefault="003A768B" w:rsidP="00E43B0B">
            <w:pPr>
              <w:adjustRightInd w:val="0"/>
              <w:spacing w:before="29" w:line="360" w:lineRule="auto"/>
              <w:ind w:left="17"/>
              <w:jc w:val="left"/>
              <w:rPr>
                <w:rFonts w:eastAsiaTheme="minorEastAsia"/>
                <w:color w:val="000000"/>
                <w:kern w:val="0"/>
                <w:sz w:val="24"/>
              </w:rPr>
            </w:pPr>
            <w:r w:rsidRPr="004C6E88">
              <w:rPr>
                <w:rFonts w:eastAsiaTheme="minorEastAsia"/>
                <w:kern w:val="0"/>
                <w:sz w:val="24"/>
              </w:rPr>
              <w:t>502048</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基金运作方式</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契约型开放式、分级基金</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基金合同生效日</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2015</w:t>
            </w:r>
            <w:r w:rsidRPr="004C6E88">
              <w:rPr>
                <w:rFonts w:eastAsiaTheme="minorEastAsia"/>
                <w:color w:val="000000"/>
                <w:kern w:val="0"/>
                <w:sz w:val="24"/>
              </w:rPr>
              <w:t>年</w:t>
            </w:r>
            <w:r w:rsidRPr="004C6E88">
              <w:rPr>
                <w:rFonts w:eastAsiaTheme="minorEastAsia"/>
                <w:color w:val="000000"/>
                <w:kern w:val="0"/>
                <w:sz w:val="24"/>
              </w:rPr>
              <w:t>4</w:t>
            </w:r>
            <w:r w:rsidRPr="004C6E88">
              <w:rPr>
                <w:rFonts w:eastAsiaTheme="minorEastAsia"/>
                <w:color w:val="000000"/>
                <w:kern w:val="0"/>
                <w:sz w:val="24"/>
              </w:rPr>
              <w:t>月</w:t>
            </w:r>
            <w:r w:rsidRPr="004C6E88">
              <w:rPr>
                <w:rFonts w:eastAsiaTheme="minorEastAsia"/>
                <w:color w:val="000000"/>
                <w:kern w:val="0"/>
                <w:sz w:val="24"/>
              </w:rPr>
              <w:t>15</w:t>
            </w:r>
            <w:r w:rsidRPr="004C6E88">
              <w:rPr>
                <w:rFonts w:eastAsiaTheme="minorEastAsia"/>
                <w:color w:val="000000"/>
                <w:kern w:val="0"/>
                <w:sz w:val="24"/>
              </w:rPr>
              <w:t>日</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报告期末基金份额总额</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500,569,549.90</w:t>
            </w:r>
            <w:r w:rsidRPr="004C6E88">
              <w:rPr>
                <w:rFonts w:eastAsiaTheme="minorEastAsia"/>
                <w:color w:val="000000"/>
                <w:kern w:val="0"/>
                <w:sz w:val="24"/>
              </w:rPr>
              <w:t>份</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投资目标</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紧密追踪业绩比较基准，追求跟踪偏离度与跟踪误差的最小化。</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投资策略</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本基金主要采取完全复制法进行投资，即完全按照标的指数的成份股组成及权重构建基金投资组合，并根据标的指数成份股及其权重的变动进行相应调整，以达到紧密跟踪标的指数的目的。本基金力争将年化跟踪误差控制在</w:t>
            </w:r>
            <w:r w:rsidRPr="004C6E88">
              <w:rPr>
                <w:rFonts w:eastAsiaTheme="minorEastAsia"/>
                <w:color w:val="000000"/>
                <w:kern w:val="0"/>
                <w:sz w:val="24"/>
              </w:rPr>
              <w:t>4%</w:t>
            </w:r>
            <w:r w:rsidRPr="004C6E88">
              <w:rPr>
                <w:rFonts w:eastAsiaTheme="minorEastAsia"/>
                <w:color w:val="000000"/>
                <w:kern w:val="0"/>
                <w:sz w:val="24"/>
              </w:rPr>
              <w:t>以内，日跟踪偏离度</w:t>
            </w:r>
            <w:r w:rsidRPr="004C6E88">
              <w:rPr>
                <w:rFonts w:eastAsiaTheme="minorEastAsia"/>
                <w:color w:val="000000"/>
                <w:kern w:val="0"/>
                <w:sz w:val="24"/>
              </w:rPr>
              <w:lastRenderedPageBreak/>
              <w:t>绝对值的平均值控制在</w:t>
            </w:r>
            <w:r w:rsidRPr="004C6E88">
              <w:rPr>
                <w:rFonts w:eastAsiaTheme="minorEastAsia"/>
                <w:color w:val="000000"/>
                <w:kern w:val="0"/>
                <w:sz w:val="24"/>
              </w:rPr>
              <w:t>0.35%</w:t>
            </w:r>
            <w:r w:rsidRPr="004C6E88">
              <w:rPr>
                <w:rFonts w:eastAsiaTheme="minorEastAsia"/>
                <w:color w:val="000000"/>
                <w:kern w:val="0"/>
                <w:sz w:val="24"/>
              </w:rPr>
              <w:t>以内。</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lastRenderedPageBreak/>
              <w:t>业绩比较基准</w:t>
            </w:r>
          </w:p>
        </w:tc>
        <w:tc>
          <w:tcPr>
            <w:tcW w:w="5479" w:type="dxa"/>
            <w:gridSpan w:val="3"/>
          </w:tcPr>
          <w:p w:rsidR="003A768B" w:rsidRPr="004C6E88" w:rsidRDefault="003A768B" w:rsidP="00CD0AAD">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上证</w:t>
            </w:r>
            <w:r w:rsidRPr="004C6E88">
              <w:rPr>
                <w:rFonts w:eastAsiaTheme="minorEastAsia"/>
                <w:color w:val="000000"/>
                <w:kern w:val="0"/>
                <w:sz w:val="24"/>
              </w:rPr>
              <w:t>50</w:t>
            </w:r>
            <w:r w:rsidRPr="004C6E88">
              <w:rPr>
                <w:rFonts w:eastAsiaTheme="minorEastAsia"/>
                <w:color w:val="000000"/>
                <w:kern w:val="0"/>
                <w:sz w:val="24"/>
              </w:rPr>
              <w:t>指数收益率</w:t>
            </w:r>
            <w:r w:rsidRPr="004C6E88">
              <w:rPr>
                <w:rFonts w:eastAsiaTheme="minorEastAsia"/>
                <w:color w:val="000000"/>
                <w:kern w:val="0"/>
                <w:sz w:val="24"/>
              </w:rPr>
              <w:t>×95%+</w:t>
            </w:r>
            <w:r w:rsidRPr="004C6E88">
              <w:rPr>
                <w:rFonts w:eastAsiaTheme="minorEastAsia"/>
                <w:color w:val="000000"/>
                <w:kern w:val="0"/>
                <w:sz w:val="24"/>
              </w:rPr>
              <w:t>活期存款利率（税后）</w:t>
            </w:r>
            <w:r w:rsidRPr="004C6E88">
              <w:rPr>
                <w:rFonts w:eastAsiaTheme="minorEastAsia"/>
                <w:color w:val="000000"/>
                <w:kern w:val="0"/>
                <w:sz w:val="24"/>
              </w:rPr>
              <w:t>×5%</w:t>
            </w:r>
          </w:p>
        </w:tc>
      </w:tr>
      <w:tr w:rsidR="003A768B" w:rsidRPr="00272E0C" w:rsidTr="00A008DA">
        <w:tc>
          <w:tcPr>
            <w:tcW w:w="2835" w:type="dxa"/>
          </w:tcPr>
          <w:p w:rsidR="003A768B" w:rsidRPr="004C6E88" w:rsidRDefault="003A768B" w:rsidP="00A008DA">
            <w:pPr>
              <w:adjustRightInd w:val="0"/>
              <w:spacing w:before="29" w:line="360" w:lineRule="auto"/>
              <w:ind w:left="17"/>
              <w:jc w:val="left"/>
              <w:rPr>
                <w:rFonts w:eastAsiaTheme="minorEastAsia"/>
                <w:sz w:val="24"/>
              </w:rPr>
            </w:pPr>
            <w:r w:rsidRPr="004C6E88">
              <w:rPr>
                <w:rFonts w:eastAsiaTheme="minorEastAsia"/>
                <w:kern w:val="0"/>
                <w:sz w:val="24"/>
              </w:rPr>
              <w:t>风险收益特征</w:t>
            </w:r>
          </w:p>
        </w:tc>
        <w:tc>
          <w:tcPr>
            <w:tcW w:w="5479" w:type="dxa"/>
            <w:gridSpan w:val="3"/>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从投资者持有的基金份额来看，基础份额为股票型基金，预期风险与预期收益水平高于混合型基金、债券型基金与货币市场基金；</w:t>
            </w:r>
            <w:r w:rsidRPr="004C6E88">
              <w:rPr>
                <w:rFonts w:eastAsiaTheme="minorEastAsia"/>
                <w:color w:val="000000"/>
                <w:kern w:val="0"/>
                <w:sz w:val="24"/>
              </w:rPr>
              <w:t>A</w:t>
            </w:r>
            <w:r w:rsidRPr="004C6E88">
              <w:rPr>
                <w:rFonts w:eastAsiaTheme="minorEastAsia"/>
                <w:color w:val="000000"/>
                <w:kern w:val="0"/>
                <w:sz w:val="24"/>
              </w:rPr>
              <w:t>类份额具有预期风险、收益较低的特征；</w:t>
            </w:r>
            <w:r w:rsidRPr="004C6E88">
              <w:rPr>
                <w:rFonts w:eastAsiaTheme="minorEastAsia"/>
                <w:color w:val="000000"/>
                <w:kern w:val="0"/>
                <w:sz w:val="24"/>
              </w:rPr>
              <w:t>B</w:t>
            </w:r>
            <w:r w:rsidRPr="004C6E88">
              <w:rPr>
                <w:rFonts w:eastAsiaTheme="minorEastAsia"/>
                <w:color w:val="000000"/>
                <w:kern w:val="0"/>
                <w:sz w:val="24"/>
              </w:rPr>
              <w:t>类份额具有预期风险、收益较高的特征。</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基金管理人</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易方达基金管理有限公司</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基金托管人</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交通银行股份有限公司</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kern w:val="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级基金的基金简称</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易方达上证</w:t>
            </w:r>
            <w:r w:rsidRPr="004C6E88">
              <w:rPr>
                <w:rFonts w:eastAsiaTheme="minorEastAsia"/>
                <w:sz w:val="24"/>
              </w:rPr>
              <w:t>50</w:t>
            </w:r>
            <w:r w:rsidRPr="004C6E88">
              <w:rPr>
                <w:rFonts w:eastAsiaTheme="minorEastAsia"/>
                <w:sz w:val="24"/>
              </w:rPr>
              <w:t>分级</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易方达上证</w:t>
            </w:r>
            <w:r w:rsidRPr="004C6E88">
              <w:rPr>
                <w:rFonts w:eastAsiaTheme="minorEastAsia"/>
                <w:sz w:val="24"/>
              </w:rPr>
              <w:t>50</w:t>
            </w:r>
            <w:r w:rsidRPr="004C6E88">
              <w:rPr>
                <w:rFonts w:eastAsiaTheme="minorEastAsia"/>
                <w:sz w:val="24"/>
              </w:rPr>
              <w:t>分级</w:t>
            </w:r>
            <w:r w:rsidRPr="004C6E88">
              <w:rPr>
                <w:rFonts w:eastAsiaTheme="minorEastAsia"/>
                <w:sz w:val="24"/>
              </w:rPr>
              <w:t>A</w:t>
            </w:r>
          </w:p>
        </w:tc>
        <w:tc>
          <w:tcPr>
            <w:tcW w:w="1827" w:type="dxa"/>
            <w:vAlign w:val="center"/>
          </w:tcPr>
          <w:p w:rsidR="003A768B" w:rsidRPr="004C6E88" w:rsidRDefault="003A768B" w:rsidP="007A6BEA">
            <w:pPr>
              <w:jc w:val="left"/>
              <w:rPr>
                <w:rFonts w:eastAsiaTheme="minorEastAsia"/>
                <w:sz w:val="24"/>
              </w:rPr>
            </w:pPr>
            <w:r w:rsidRPr="004C6E88">
              <w:rPr>
                <w:rFonts w:eastAsiaTheme="minorEastAsia"/>
                <w:sz w:val="24"/>
              </w:rPr>
              <w:t>易方达上证</w:t>
            </w:r>
            <w:r w:rsidRPr="004C6E88">
              <w:rPr>
                <w:rFonts w:eastAsiaTheme="minorEastAsia"/>
                <w:sz w:val="24"/>
              </w:rPr>
              <w:t>50</w:t>
            </w:r>
            <w:r w:rsidRPr="004C6E88">
              <w:rPr>
                <w:rFonts w:eastAsiaTheme="minorEastAsia"/>
                <w:sz w:val="24"/>
              </w:rPr>
              <w:t>分级</w:t>
            </w:r>
            <w:r w:rsidRPr="004C6E88">
              <w:rPr>
                <w:rFonts w:eastAsiaTheme="minorEastAsia"/>
                <w:sz w:val="24"/>
              </w:rPr>
              <w:t>B</w:t>
            </w:r>
          </w:p>
        </w:tc>
      </w:tr>
      <w:tr w:rsidR="002C2DE0" w:rsidRPr="00272E0C" w:rsidTr="00EB3E72">
        <w:tc>
          <w:tcPr>
            <w:tcW w:w="2835" w:type="dxa"/>
          </w:tcPr>
          <w:p w:rsidR="002C2DE0" w:rsidRPr="004C6E88" w:rsidRDefault="002C2DE0"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003168E2">
              <w:rPr>
                <w:rFonts w:eastAsiaTheme="minorEastAsia"/>
                <w:color w:val="000000"/>
                <w:sz w:val="24"/>
              </w:rPr>
              <w:t>级基金</w:t>
            </w:r>
            <w:r w:rsidRPr="004C6E88">
              <w:rPr>
                <w:rFonts w:eastAsiaTheme="minorEastAsia"/>
                <w:color w:val="000000"/>
                <w:sz w:val="24"/>
              </w:rPr>
              <w:t>场内简称</w:t>
            </w:r>
          </w:p>
        </w:tc>
        <w:tc>
          <w:tcPr>
            <w:tcW w:w="1826"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50</w:t>
            </w:r>
            <w:r w:rsidRPr="004C6E88">
              <w:rPr>
                <w:rFonts w:eastAsiaTheme="minorEastAsia"/>
                <w:sz w:val="24"/>
              </w:rPr>
              <w:t>分级</w:t>
            </w:r>
          </w:p>
        </w:tc>
        <w:tc>
          <w:tcPr>
            <w:tcW w:w="1826"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上证</w:t>
            </w:r>
            <w:r w:rsidRPr="004C6E88">
              <w:rPr>
                <w:rFonts w:eastAsiaTheme="minorEastAsia"/>
                <w:sz w:val="24"/>
              </w:rPr>
              <w:t>50A</w:t>
            </w:r>
          </w:p>
        </w:tc>
        <w:tc>
          <w:tcPr>
            <w:tcW w:w="1827"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上证</w:t>
            </w:r>
            <w:r w:rsidRPr="004C6E88">
              <w:rPr>
                <w:rFonts w:eastAsiaTheme="minorEastAsia"/>
                <w:sz w:val="24"/>
              </w:rPr>
              <w:t>50B</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级基金的交易代码</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502048</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502049</w:t>
            </w:r>
          </w:p>
        </w:tc>
        <w:tc>
          <w:tcPr>
            <w:tcW w:w="1827" w:type="dxa"/>
            <w:vAlign w:val="center"/>
          </w:tcPr>
          <w:p w:rsidR="003A768B" w:rsidRPr="004C6E88" w:rsidRDefault="003A768B" w:rsidP="007A6BEA">
            <w:pPr>
              <w:jc w:val="left"/>
              <w:rPr>
                <w:rFonts w:eastAsiaTheme="minorEastAsia"/>
                <w:sz w:val="24"/>
              </w:rPr>
            </w:pPr>
            <w:r w:rsidRPr="004C6E88">
              <w:rPr>
                <w:rFonts w:eastAsiaTheme="minorEastAsia"/>
                <w:sz w:val="24"/>
              </w:rPr>
              <w:t>502050</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报告期末下属</w:t>
            </w:r>
            <w:r w:rsidR="004C6E88" w:rsidRPr="004C6E88">
              <w:rPr>
                <w:rFonts w:eastAsiaTheme="minorEastAsia"/>
                <w:color w:val="000000"/>
                <w:sz w:val="24"/>
              </w:rPr>
              <w:t>分</w:t>
            </w:r>
            <w:r w:rsidRPr="004C6E88">
              <w:rPr>
                <w:rFonts w:eastAsiaTheme="minorEastAsia"/>
                <w:color w:val="000000"/>
                <w:sz w:val="24"/>
              </w:rPr>
              <w:t>级基金的份额总额</w:t>
            </w:r>
          </w:p>
        </w:tc>
        <w:tc>
          <w:tcPr>
            <w:tcW w:w="1826" w:type="dxa"/>
            <w:vAlign w:val="center"/>
          </w:tcPr>
          <w:p w:rsidR="003A768B" w:rsidRPr="004C6E88" w:rsidRDefault="003A768B" w:rsidP="00057DD3">
            <w:pPr>
              <w:jc w:val="left"/>
              <w:rPr>
                <w:rFonts w:eastAsiaTheme="minorEastAsia"/>
                <w:sz w:val="24"/>
              </w:rPr>
            </w:pPr>
            <w:r w:rsidRPr="004C6E88">
              <w:rPr>
                <w:rFonts w:eastAsiaTheme="minorEastAsia"/>
                <w:sz w:val="24"/>
              </w:rPr>
              <w:t>190,577,791.90</w:t>
            </w:r>
            <w:r w:rsidRPr="004C6E88">
              <w:rPr>
                <w:rFonts w:eastAsiaTheme="minorEastAsia"/>
                <w:color w:val="000000"/>
                <w:kern w:val="0"/>
                <w:sz w:val="24"/>
              </w:rPr>
              <w:t>份</w:t>
            </w:r>
          </w:p>
        </w:tc>
        <w:tc>
          <w:tcPr>
            <w:tcW w:w="1826" w:type="dxa"/>
            <w:vAlign w:val="center"/>
          </w:tcPr>
          <w:p w:rsidR="003A768B" w:rsidRPr="004C6E88" w:rsidRDefault="003A768B" w:rsidP="00057DD3">
            <w:pPr>
              <w:jc w:val="left"/>
              <w:rPr>
                <w:rFonts w:eastAsiaTheme="minorEastAsia"/>
                <w:sz w:val="24"/>
              </w:rPr>
            </w:pPr>
            <w:r w:rsidRPr="004C6E88">
              <w:rPr>
                <w:rFonts w:eastAsiaTheme="minorEastAsia"/>
                <w:sz w:val="24"/>
              </w:rPr>
              <w:t>154,995,879.00</w:t>
            </w:r>
            <w:r w:rsidRPr="004C6E88">
              <w:rPr>
                <w:rFonts w:eastAsiaTheme="minorEastAsia"/>
                <w:color w:val="000000"/>
                <w:kern w:val="0"/>
                <w:sz w:val="24"/>
              </w:rPr>
              <w:t>份</w:t>
            </w:r>
          </w:p>
        </w:tc>
        <w:tc>
          <w:tcPr>
            <w:tcW w:w="1827" w:type="dxa"/>
            <w:vAlign w:val="center"/>
          </w:tcPr>
          <w:p w:rsidR="003A768B" w:rsidRPr="004C6E88" w:rsidRDefault="003A768B" w:rsidP="00057DD3">
            <w:pPr>
              <w:jc w:val="left"/>
              <w:rPr>
                <w:rFonts w:eastAsiaTheme="minorEastAsia"/>
                <w:sz w:val="24"/>
              </w:rPr>
            </w:pPr>
            <w:r w:rsidRPr="004C6E88">
              <w:rPr>
                <w:rFonts w:eastAsiaTheme="minorEastAsia"/>
                <w:sz w:val="24"/>
              </w:rPr>
              <w:t>154,995,879.00</w:t>
            </w:r>
            <w:r w:rsidRPr="004C6E88">
              <w:rPr>
                <w:rFonts w:eastAsiaTheme="minorEastAsia"/>
                <w:color w:val="000000"/>
                <w:kern w:val="0"/>
                <w:sz w:val="24"/>
              </w:rPr>
              <w:t>份</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sz w:val="24"/>
              </w:rPr>
            </w:pPr>
            <w:r w:rsidRPr="004C6E88">
              <w:rPr>
                <w:rFonts w:eastAsiaTheme="minorEastAsia"/>
                <w:color w:val="000000"/>
                <w:kern w:val="0"/>
                <w:sz w:val="24"/>
              </w:rPr>
              <w:t>下属</w:t>
            </w:r>
            <w:r w:rsidR="004C6E88" w:rsidRPr="004C6E88">
              <w:rPr>
                <w:rFonts w:eastAsiaTheme="minorEastAsia"/>
                <w:color w:val="000000"/>
                <w:kern w:val="0"/>
                <w:sz w:val="24"/>
              </w:rPr>
              <w:t>分</w:t>
            </w:r>
            <w:r w:rsidRPr="004C6E88">
              <w:rPr>
                <w:rFonts w:eastAsiaTheme="minorEastAsia"/>
                <w:color w:val="000000"/>
                <w:kern w:val="0"/>
                <w:sz w:val="24"/>
              </w:rPr>
              <w:t>级基金的</w:t>
            </w:r>
            <w:r w:rsidRPr="004C6E88">
              <w:rPr>
                <w:rFonts w:eastAsiaTheme="minorEastAsia"/>
                <w:kern w:val="0"/>
                <w:sz w:val="24"/>
              </w:rPr>
              <w:t>风险收益特征</w:t>
            </w:r>
          </w:p>
        </w:tc>
        <w:tc>
          <w:tcPr>
            <w:tcW w:w="1826"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基础份额为股票型基金，预期风险与预期收益水平高于混合型基金、债券型基金与货币市场基金。</w:t>
            </w:r>
          </w:p>
        </w:tc>
        <w:tc>
          <w:tcPr>
            <w:tcW w:w="1826"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A</w:t>
            </w:r>
            <w:r w:rsidRPr="004C6E88">
              <w:rPr>
                <w:rFonts w:eastAsiaTheme="minorEastAsia"/>
                <w:color w:val="000000"/>
                <w:kern w:val="0"/>
                <w:sz w:val="24"/>
              </w:rPr>
              <w:t>类份额具有预期风险、收益较低的特征。</w:t>
            </w:r>
          </w:p>
        </w:tc>
        <w:tc>
          <w:tcPr>
            <w:tcW w:w="1827"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B</w:t>
            </w:r>
            <w:r w:rsidRPr="004C6E88">
              <w:rPr>
                <w:rFonts w:eastAsiaTheme="minorEastAsia"/>
                <w:color w:val="000000"/>
                <w:kern w:val="0"/>
                <w:sz w:val="24"/>
              </w:rPr>
              <w:t>类份额具有预期风险、收益较高的特征。</w:t>
            </w:r>
          </w:p>
        </w:tc>
      </w:tr>
    </w:tbl>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3  </w:t>
      </w:r>
      <w:r w:rsidRPr="00272E0C">
        <w:rPr>
          <w:rFonts w:ascii="宋体" w:hAnsi="宋体" w:cs="Arial" w:hint="eastAsia"/>
          <w:color w:val="000000"/>
          <w:kern w:val="0"/>
          <w:sz w:val="24"/>
          <w:szCs w:val="24"/>
        </w:rPr>
        <w:t>主要财务指标和基金净值表现</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3.1 </w:t>
      </w:r>
      <w:r w:rsidRPr="00272E0C">
        <w:rPr>
          <w:rFonts w:ascii="宋体" w:hAnsi="宋体" w:cs="Arial" w:hint="eastAsia"/>
          <w:b/>
          <w:color w:val="000000"/>
          <w:kern w:val="0"/>
          <w:sz w:val="24"/>
        </w:rPr>
        <w:t>主要财务指标</w:t>
      </w:r>
    </w:p>
    <w:p w:rsidR="0008378B" w:rsidRPr="006506EF" w:rsidRDefault="0008378B" w:rsidP="0008378B">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08378B" w:rsidRPr="006506EF" w:rsidTr="005D3A22">
        <w:tc>
          <w:tcPr>
            <w:tcW w:w="3402" w:type="dxa"/>
            <w:vAlign w:val="center"/>
          </w:tcPr>
          <w:p w:rsidR="0008378B" w:rsidRPr="006506EF" w:rsidRDefault="0008378B" w:rsidP="005D3A22">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08378B" w:rsidRPr="006506EF" w:rsidRDefault="0008378B" w:rsidP="005D3A22">
            <w:pPr>
              <w:adjustRightInd w:val="0"/>
              <w:spacing w:before="29" w:line="360" w:lineRule="auto"/>
              <w:ind w:left="17"/>
              <w:jc w:val="center"/>
              <w:rPr>
                <w:color w:val="000000"/>
                <w:sz w:val="24"/>
              </w:rPr>
            </w:pPr>
            <w:r w:rsidRPr="006506EF">
              <w:rPr>
                <w:color w:val="000000"/>
                <w:sz w:val="24"/>
              </w:rPr>
              <w:t>报告期</w:t>
            </w:r>
          </w:p>
          <w:p w:rsidR="0008378B" w:rsidRPr="006506EF" w:rsidRDefault="0008378B" w:rsidP="005D3A22">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08378B" w:rsidRPr="006506EF" w:rsidRDefault="0008378B" w:rsidP="005D3A22">
            <w:pPr>
              <w:adjustRightInd w:val="0"/>
              <w:spacing w:before="29" w:line="360" w:lineRule="auto"/>
              <w:ind w:left="17"/>
              <w:jc w:val="center"/>
              <w:rPr>
                <w:color w:val="000000"/>
                <w:sz w:val="24"/>
              </w:rPr>
            </w:pPr>
            <w:r w:rsidRPr="006506EF">
              <w:rPr>
                <w:color w:val="000000"/>
                <w:sz w:val="24"/>
              </w:rPr>
              <w:t>上期金额</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10,116,516.80</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29,734,925.52</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0.0560</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507,940,185.00</w:t>
            </w:r>
          </w:p>
        </w:tc>
        <w:tc>
          <w:tcPr>
            <w:tcW w:w="2410" w:type="dxa"/>
            <w:hMerge/>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rPr>
          <w:trHeight w:val="158"/>
        </w:trPr>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1.0147</w:t>
            </w:r>
          </w:p>
        </w:tc>
        <w:tc>
          <w:tcPr>
            <w:tcW w:w="2410" w:type="dxa"/>
            <w:hMerge/>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bl>
    <w:p w:rsidR="000212D1" w:rsidRDefault="00A02DDE">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1C36D8" w:rsidRPr="00E43B0B" w:rsidRDefault="0008378B" w:rsidP="00E43B0B">
      <w:pPr>
        <w:spacing w:line="360" w:lineRule="auto"/>
        <w:ind w:firstLineChars="200" w:firstLine="480"/>
        <w:rPr>
          <w:color w:val="000000"/>
          <w:sz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3.2 </w:t>
      </w:r>
      <w:r w:rsidRPr="00272E0C">
        <w:rPr>
          <w:rFonts w:ascii="宋体" w:hAnsi="宋体" w:cs="Arial" w:hint="eastAsia"/>
          <w:b/>
          <w:color w:val="000000"/>
          <w:kern w:val="0"/>
          <w:sz w:val="24"/>
        </w:rPr>
        <w:t>基金净值表现</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cs="Arial"/>
            <w:b/>
            <w:color w:val="000000"/>
            <w:kern w:val="0"/>
            <w:sz w:val="24"/>
          </w:rPr>
          <w:t>3.2.1</w:t>
        </w:r>
      </w:smartTag>
      <w:r w:rsidRPr="00272E0C">
        <w:rPr>
          <w:rFonts w:ascii="宋体" w:hAnsi="宋体" w:cs="Arial" w:hint="eastAsia"/>
          <w:b/>
          <w:color w:val="000000"/>
          <w:kern w:val="0"/>
          <w:sz w:val="24"/>
        </w:rPr>
        <w:t>本报告期基金份额净值增长率及其与同期业绩比较基准收益率的比较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5"/>
        <w:gridCol w:w="1216"/>
        <w:gridCol w:w="1216"/>
        <w:gridCol w:w="1216"/>
        <w:gridCol w:w="1216"/>
        <w:gridCol w:w="1217"/>
        <w:gridCol w:w="1217"/>
      </w:tblGrid>
      <w:tr w:rsidR="001C36D8" w:rsidRPr="00272E0C" w:rsidTr="001A09F9">
        <w:tc>
          <w:tcPr>
            <w:tcW w:w="1215"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阶段</w:t>
            </w:r>
          </w:p>
        </w:tc>
        <w:tc>
          <w:tcPr>
            <w:tcW w:w="1216" w:type="dxa"/>
            <w:vAlign w:val="center"/>
          </w:tcPr>
          <w:p w:rsidR="001C36D8" w:rsidRPr="00E43B0B" w:rsidRDefault="001C36D8" w:rsidP="001A09F9">
            <w:pPr>
              <w:snapToGrid w:val="0"/>
              <w:spacing w:line="288" w:lineRule="auto"/>
              <w:jc w:val="center"/>
              <w:rPr>
                <w:color w:val="000000"/>
                <w:sz w:val="24"/>
                <w:highlight w:val="green"/>
              </w:rPr>
            </w:pPr>
            <w:r w:rsidRPr="00E43B0B">
              <w:rPr>
                <w:color w:val="000000"/>
                <w:sz w:val="24"/>
              </w:rPr>
              <w:t>净值增长率</w:t>
            </w:r>
            <w:r w:rsidRPr="00E43B0B">
              <w:rPr>
                <w:rFonts w:ascii="宋体" w:hAnsi="宋体" w:cs="宋体" w:hint="eastAsia"/>
                <w:color w:val="000000"/>
                <w:sz w:val="24"/>
              </w:rPr>
              <w:t>①</w:t>
            </w:r>
          </w:p>
        </w:tc>
        <w:tc>
          <w:tcPr>
            <w:tcW w:w="1216" w:type="dxa"/>
            <w:vAlign w:val="center"/>
          </w:tcPr>
          <w:p w:rsidR="001C36D8" w:rsidRPr="00E43B0B" w:rsidRDefault="001C36D8" w:rsidP="001A09F9">
            <w:pPr>
              <w:snapToGrid w:val="0"/>
              <w:spacing w:line="288" w:lineRule="auto"/>
              <w:jc w:val="center"/>
              <w:rPr>
                <w:color w:val="000000"/>
                <w:sz w:val="24"/>
                <w:highlight w:val="green"/>
              </w:rPr>
            </w:pPr>
            <w:r w:rsidRPr="00E43B0B">
              <w:rPr>
                <w:color w:val="000000"/>
                <w:sz w:val="24"/>
              </w:rPr>
              <w:t>净值增长率标准差</w:t>
            </w:r>
            <w:r w:rsidRPr="00E43B0B">
              <w:rPr>
                <w:rFonts w:ascii="宋体" w:hAnsi="宋体" w:cs="宋体" w:hint="eastAsia"/>
                <w:color w:val="000000"/>
                <w:sz w:val="24"/>
              </w:rPr>
              <w:t>②</w:t>
            </w:r>
          </w:p>
        </w:tc>
        <w:tc>
          <w:tcPr>
            <w:tcW w:w="1216"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业绩比较基准收益率</w:t>
            </w:r>
            <w:r w:rsidRPr="00E43B0B">
              <w:rPr>
                <w:rFonts w:ascii="宋体" w:hAnsi="宋体" w:cs="宋体" w:hint="eastAsia"/>
                <w:color w:val="000000"/>
                <w:sz w:val="24"/>
              </w:rPr>
              <w:t>③</w:t>
            </w:r>
          </w:p>
        </w:tc>
        <w:tc>
          <w:tcPr>
            <w:tcW w:w="1216"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业绩比较基准收益率标准差</w:t>
            </w:r>
            <w:r w:rsidRPr="00E43B0B">
              <w:rPr>
                <w:rFonts w:ascii="宋体" w:hAnsi="宋体" w:cs="宋体" w:hint="eastAsia"/>
                <w:color w:val="000000"/>
                <w:sz w:val="24"/>
              </w:rPr>
              <w:t>④</w:t>
            </w:r>
          </w:p>
        </w:tc>
        <w:tc>
          <w:tcPr>
            <w:tcW w:w="1217" w:type="dxa"/>
            <w:vAlign w:val="center"/>
          </w:tcPr>
          <w:p w:rsidR="001C36D8" w:rsidRPr="00E43B0B" w:rsidRDefault="001C36D8" w:rsidP="001A09F9">
            <w:pPr>
              <w:snapToGrid w:val="0"/>
              <w:spacing w:line="288" w:lineRule="auto"/>
              <w:jc w:val="center"/>
              <w:rPr>
                <w:color w:val="000000"/>
                <w:sz w:val="24"/>
              </w:rPr>
            </w:pPr>
            <w:r w:rsidRPr="00E43B0B">
              <w:rPr>
                <w:rFonts w:ascii="宋体" w:hAnsi="宋体" w:cs="宋体" w:hint="eastAsia"/>
                <w:color w:val="000000"/>
                <w:sz w:val="24"/>
              </w:rPr>
              <w:t>①</w:t>
            </w:r>
            <w:r w:rsidRPr="00E43B0B">
              <w:rPr>
                <w:color w:val="000000"/>
                <w:sz w:val="24"/>
              </w:rPr>
              <w:t>－</w:t>
            </w:r>
            <w:r w:rsidRPr="00E43B0B">
              <w:rPr>
                <w:rFonts w:ascii="宋体" w:hAnsi="宋体" w:cs="宋体" w:hint="eastAsia"/>
                <w:color w:val="000000"/>
                <w:sz w:val="24"/>
              </w:rPr>
              <w:t>③</w:t>
            </w:r>
          </w:p>
        </w:tc>
        <w:tc>
          <w:tcPr>
            <w:tcW w:w="1217" w:type="dxa"/>
            <w:vAlign w:val="center"/>
          </w:tcPr>
          <w:p w:rsidR="001C36D8" w:rsidRPr="00E43B0B" w:rsidRDefault="001C36D8" w:rsidP="001A09F9">
            <w:pPr>
              <w:snapToGrid w:val="0"/>
              <w:spacing w:line="288" w:lineRule="auto"/>
              <w:jc w:val="center"/>
              <w:rPr>
                <w:color w:val="000000"/>
                <w:sz w:val="24"/>
              </w:rPr>
            </w:pPr>
            <w:r w:rsidRPr="00E43B0B">
              <w:rPr>
                <w:rFonts w:ascii="宋体" w:hAnsi="宋体" w:cs="宋体" w:hint="eastAsia"/>
                <w:color w:val="000000"/>
                <w:sz w:val="24"/>
              </w:rPr>
              <w:t>②</w:t>
            </w:r>
            <w:r w:rsidRPr="00E43B0B">
              <w:rPr>
                <w:color w:val="000000"/>
                <w:sz w:val="24"/>
              </w:rPr>
              <w:t>－</w:t>
            </w:r>
            <w:r w:rsidRPr="00E43B0B">
              <w:rPr>
                <w:rFonts w:ascii="宋体" w:hAnsi="宋体" w:cs="宋体" w:hint="eastAsia"/>
                <w:color w:val="000000"/>
                <w:sz w:val="24"/>
              </w:rPr>
              <w:t>④</w:t>
            </w:r>
          </w:p>
        </w:tc>
      </w:tr>
      <w:tr w:rsidR="000212D1">
        <w:tc>
          <w:tcPr>
            <w:tcW w:w="0" w:type="auto"/>
            <w:vAlign w:val="center"/>
          </w:tcPr>
          <w:p w:rsidR="000212D1" w:rsidRDefault="00A02DDE">
            <w:pPr>
              <w:jc w:val="left"/>
            </w:pPr>
            <w:r>
              <w:rPr>
                <w:color w:val="000000"/>
                <w:sz w:val="24"/>
              </w:rPr>
              <w:t>过去三个月</w:t>
            </w:r>
          </w:p>
        </w:tc>
        <w:tc>
          <w:tcPr>
            <w:tcW w:w="0" w:type="auto"/>
            <w:vAlign w:val="center"/>
          </w:tcPr>
          <w:p w:rsidR="000212D1" w:rsidRDefault="00A02DDE">
            <w:pPr>
              <w:jc w:val="center"/>
            </w:pPr>
            <w:r>
              <w:rPr>
                <w:color w:val="000000"/>
                <w:sz w:val="24"/>
              </w:rPr>
              <w:t>5.75%</w:t>
            </w:r>
          </w:p>
        </w:tc>
        <w:tc>
          <w:tcPr>
            <w:tcW w:w="0" w:type="auto"/>
            <w:vAlign w:val="center"/>
          </w:tcPr>
          <w:p w:rsidR="000212D1" w:rsidRDefault="00A02DDE">
            <w:pPr>
              <w:jc w:val="center"/>
            </w:pPr>
            <w:r>
              <w:rPr>
                <w:color w:val="000000"/>
                <w:sz w:val="24"/>
              </w:rPr>
              <w:t>0.70%</w:t>
            </w:r>
          </w:p>
        </w:tc>
        <w:tc>
          <w:tcPr>
            <w:tcW w:w="0" w:type="auto"/>
            <w:vAlign w:val="center"/>
          </w:tcPr>
          <w:p w:rsidR="000212D1" w:rsidRDefault="00A02DDE">
            <w:pPr>
              <w:jc w:val="center"/>
            </w:pPr>
            <w:r>
              <w:rPr>
                <w:color w:val="000000"/>
                <w:sz w:val="24"/>
              </w:rPr>
              <w:t>5.43%</w:t>
            </w:r>
          </w:p>
        </w:tc>
        <w:tc>
          <w:tcPr>
            <w:tcW w:w="0" w:type="auto"/>
            <w:vAlign w:val="center"/>
          </w:tcPr>
          <w:p w:rsidR="000212D1" w:rsidRDefault="00A02DDE">
            <w:pPr>
              <w:jc w:val="center"/>
            </w:pPr>
            <w:r>
              <w:rPr>
                <w:color w:val="000000"/>
                <w:sz w:val="24"/>
              </w:rPr>
              <w:t>0.71%</w:t>
            </w:r>
          </w:p>
        </w:tc>
        <w:tc>
          <w:tcPr>
            <w:tcW w:w="0" w:type="auto"/>
            <w:vAlign w:val="center"/>
          </w:tcPr>
          <w:p w:rsidR="000212D1" w:rsidRDefault="00A02DDE">
            <w:pPr>
              <w:jc w:val="center"/>
            </w:pPr>
            <w:r>
              <w:rPr>
                <w:color w:val="000000"/>
                <w:sz w:val="24"/>
              </w:rPr>
              <w:t>0.32%</w:t>
            </w:r>
          </w:p>
        </w:tc>
        <w:tc>
          <w:tcPr>
            <w:tcW w:w="0" w:type="auto"/>
            <w:vAlign w:val="center"/>
          </w:tcPr>
          <w:p w:rsidR="000212D1" w:rsidRDefault="00A02DDE">
            <w:pPr>
              <w:jc w:val="center"/>
            </w:pPr>
            <w:r>
              <w:rPr>
                <w:color w:val="000000"/>
                <w:sz w:val="24"/>
              </w:rPr>
              <w:t>-0.01%</w:t>
            </w:r>
          </w:p>
        </w:tc>
      </w:tr>
    </w:tbl>
    <w:p w:rsidR="001C36D8" w:rsidRPr="00272E0C" w:rsidRDefault="001C36D8" w:rsidP="003A4DA3">
      <w:pPr>
        <w:spacing w:line="360" w:lineRule="auto"/>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cs="Arial"/>
            <w:b/>
            <w:color w:val="000000"/>
            <w:kern w:val="0"/>
            <w:sz w:val="24"/>
          </w:rPr>
          <w:t>3.2.2</w:t>
        </w:r>
        <w:r w:rsidR="00193F07" w:rsidRPr="00370BEA">
          <w:rPr>
            <w:rStyle w:val="af8"/>
            <w:rFonts w:hint="eastAsia"/>
            <w:color w:val="000000"/>
            <w:sz w:val="24"/>
            <w:shd w:val="clear" w:color="auto" w:fill="FFFFFF"/>
          </w:rPr>
          <w:t>自基金合同生效以来</w:t>
        </w:r>
      </w:smartTag>
      <w:r w:rsidRPr="00272E0C">
        <w:rPr>
          <w:rFonts w:ascii="宋体" w:hAnsi="宋体" w:hint="eastAsia"/>
          <w:b/>
          <w:bCs/>
          <w:color w:val="000000"/>
          <w:sz w:val="24"/>
        </w:rPr>
        <w:t>基金累计净值增长率变动及其与同期业绩比较基准收益率变动的比较</w:t>
      </w:r>
    </w:p>
    <w:p w:rsidR="001C36D8" w:rsidRPr="00E43B0B" w:rsidRDefault="001C36D8" w:rsidP="003A4DA3">
      <w:pPr>
        <w:spacing w:line="360" w:lineRule="auto"/>
        <w:jc w:val="center"/>
        <w:rPr>
          <w:sz w:val="24"/>
        </w:rPr>
      </w:pPr>
      <w:r w:rsidRPr="00E43B0B">
        <w:rPr>
          <w:sz w:val="24"/>
        </w:rPr>
        <w:t>易方达上证</w:t>
      </w:r>
      <w:r w:rsidRPr="00E43B0B">
        <w:rPr>
          <w:sz w:val="24"/>
        </w:rPr>
        <w:t>50</w:t>
      </w:r>
      <w:r w:rsidRPr="00E43B0B">
        <w:rPr>
          <w:sz w:val="24"/>
        </w:rPr>
        <w:t>指数分级证券投资基金</w:t>
      </w:r>
    </w:p>
    <w:p w:rsidR="001C36D8" w:rsidRPr="00E43B0B" w:rsidRDefault="006F4C30" w:rsidP="003A4DA3">
      <w:pPr>
        <w:pStyle w:val="a5"/>
        <w:snapToGrid w:val="0"/>
        <w:spacing w:line="360" w:lineRule="auto"/>
        <w:jc w:val="center"/>
        <w:rPr>
          <w:rFonts w:ascii="Times New Roman" w:hAnsi="Times New Roman"/>
          <w:color w:val="000000"/>
          <w:sz w:val="24"/>
          <w:szCs w:val="24"/>
        </w:rPr>
      </w:pPr>
      <w:r w:rsidRPr="00E43B0B">
        <w:rPr>
          <w:rFonts w:ascii="Times New Roman" w:hAnsi="Times New Roman"/>
          <w:color w:val="000000"/>
          <w:sz w:val="24"/>
          <w:szCs w:val="24"/>
        </w:rPr>
        <w:t>累计</w:t>
      </w:r>
      <w:r w:rsidR="001C36D8" w:rsidRPr="00E43B0B">
        <w:rPr>
          <w:rFonts w:ascii="Times New Roman" w:hAnsi="Times New Roman"/>
          <w:color w:val="000000"/>
          <w:sz w:val="24"/>
          <w:szCs w:val="24"/>
        </w:rPr>
        <w:t>净值增长率与业绩比较基准收益率历史走势对比图</w:t>
      </w:r>
    </w:p>
    <w:p w:rsidR="001C36D8" w:rsidRPr="00E43B0B" w:rsidRDefault="001C36D8" w:rsidP="003A4DA3">
      <w:pPr>
        <w:spacing w:line="360" w:lineRule="auto"/>
        <w:jc w:val="center"/>
        <w:rPr>
          <w:sz w:val="24"/>
        </w:rPr>
      </w:pPr>
      <w:r w:rsidRPr="00E43B0B">
        <w:rPr>
          <w:color w:val="000000"/>
          <w:kern w:val="0"/>
          <w:sz w:val="24"/>
        </w:rPr>
        <w:t>（</w:t>
      </w:r>
      <w:r w:rsidRPr="00E43B0B">
        <w:rPr>
          <w:color w:val="000000"/>
          <w:kern w:val="0"/>
          <w:sz w:val="24"/>
        </w:rPr>
        <w:t>2015</w:t>
      </w:r>
      <w:r w:rsidRPr="00E43B0B">
        <w:rPr>
          <w:color w:val="000000"/>
          <w:kern w:val="0"/>
          <w:sz w:val="24"/>
        </w:rPr>
        <w:t>年</w:t>
      </w:r>
      <w:r w:rsidRPr="00E43B0B">
        <w:rPr>
          <w:color w:val="000000"/>
          <w:kern w:val="0"/>
          <w:sz w:val="24"/>
        </w:rPr>
        <w:t>4</w:t>
      </w:r>
      <w:r w:rsidRPr="00E43B0B">
        <w:rPr>
          <w:color w:val="000000"/>
          <w:kern w:val="0"/>
          <w:sz w:val="24"/>
        </w:rPr>
        <w:t>月</w:t>
      </w:r>
      <w:r w:rsidRPr="00E43B0B">
        <w:rPr>
          <w:color w:val="000000"/>
          <w:kern w:val="0"/>
          <w:sz w:val="24"/>
        </w:rPr>
        <w:t>15</w:t>
      </w:r>
      <w:r w:rsidRPr="00E43B0B">
        <w:rPr>
          <w:color w:val="000000"/>
          <w:kern w:val="0"/>
          <w:sz w:val="24"/>
        </w:rPr>
        <w:t>日至</w:t>
      </w:r>
      <w:r w:rsidRPr="00E43B0B">
        <w:rPr>
          <w:color w:val="000000"/>
          <w:kern w:val="0"/>
          <w:sz w:val="24"/>
        </w:rPr>
        <w:t>2019</w:t>
      </w:r>
      <w:r w:rsidRPr="00E43B0B">
        <w:rPr>
          <w:color w:val="000000"/>
          <w:kern w:val="0"/>
          <w:sz w:val="24"/>
        </w:rPr>
        <w:t>年</w:t>
      </w:r>
      <w:r w:rsidRPr="00E43B0B">
        <w:rPr>
          <w:color w:val="000000"/>
          <w:kern w:val="0"/>
          <w:sz w:val="24"/>
        </w:rPr>
        <w:t>12</w:t>
      </w:r>
      <w:r w:rsidRPr="00E43B0B">
        <w:rPr>
          <w:color w:val="000000"/>
          <w:kern w:val="0"/>
          <w:sz w:val="24"/>
        </w:rPr>
        <w:t>月</w:t>
      </w:r>
      <w:r w:rsidRPr="00E43B0B">
        <w:rPr>
          <w:color w:val="000000"/>
          <w:kern w:val="0"/>
          <w:sz w:val="24"/>
        </w:rPr>
        <w:t>31</w:t>
      </w:r>
      <w:r w:rsidRPr="00E43B0B">
        <w:rPr>
          <w:color w:val="000000"/>
          <w:kern w:val="0"/>
          <w:sz w:val="24"/>
        </w:rPr>
        <w:t>日）</w:t>
      </w:r>
    </w:p>
    <w:p w:rsidR="001C36D8" w:rsidRPr="00272E0C" w:rsidRDefault="00A02DDE" w:rsidP="0042253F">
      <w:pPr>
        <w:tabs>
          <w:tab w:val="left" w:pos="180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1.75pt;height:241.5pt;visibility:visible">
            <v:imagedata r:id="rId9" o:title=""/>
          </v:shape>
        </w:pict>
      </w:r>
    </w:p>
    <w:p w:rsidR="001C36D8" w:rsidRPr="00E43B0B" w:rsidRDefault="001C36D8" w:rsidP="00E43B0B">
      <w:pPr>
        <w:spacing w:line="360" w:lineRule="auto"/>
        <w:ind w:firstLineChars="200" w:firstLine="480"/>
        <w:rPr>
          <w:color w:val="000000"/>
          <w:sz w:val="24"/>
        </w:rPr>
      </w:pPr>
      <w:r w:rsidRPr="003D22BD">
        <w:rPr>
          <w:color w:val="000000"/>
          <w:sz w:val="24"/>
        </w:rPr>
        <w:t>注：自基金合同生效至报告期末，基金份额净值增长率为</w:t>
      </w:r>
      <w:r w:rsidRPr="003D22BD">
        <w:rPr>
          <w:color w:val="000000"/>
          <w:sz w:val="24"/>
        </w:rPr>
        <w:t>3.19%</w:t>
      </w:r>
      <w:r w:rsidRPr="003D22BD">
        <w:rPr>
          <w:color w:val="000000"/>
          <w:sz w:val="24"/>
        </w:rPr>
        <w:t>，同期业绩比较基准收益率为</w:t>
      </w:r>
      <w:r w:rsidRPr="003D22BD">
        <w:rPr>
          <w:color w:val="000000"/>
          <w:sz w:val="24"/>
        </w:rPr>
        <w:t>0.42%</w:t>
      </w:r>
      <w:r w:rsidRPr="003D22BD">
        <w:rPr>
          <w:color w:val="000000"/>
          <w:sz w:val="24"/>
        </w:rPr>
        <w:t>。</w:t>
      </w:r>
    </w:p>
    <w:p w:rsidR="001C36D8" w:rsidRPr="00E43B0B" w:rsidRDefault="001C36D8" w:rsidP="00D3705B">
      <w:pPr>
        <w:tabs>
          <w:tab w:val="left" w:pos="1800"/>
        </w:tabs>
        <w:spacing w:line="288" w:lineRule="auto"/>
        <w:rPr>
          <w:color w:val="000000"/>
          <w:sz w:val="24"/>
        </w:rPr>
      </w:pP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4  </w:t>
      </w:r>
      <w:r w:rsidRPr="00272E0C">
        <w:rPr>
          <w:rFonts w:ascii="宋体" w:hAnsi="宋体" w:cs="Arial" w:hint="eastAsia"/>
          <w:color w:val="000000"/>
          <w:kern w:val="0"/>
          <w:sz w:val="24"/>
          <w:szCs w:val="24"/>
        </w:rPr>
        <w:t>管理人报告</w:t>
      </w:r>
    </w:p>
    <w:p w:rsidR="005C6DF3" w:rsidRPr="0078105B" w:rsidRDefault="001C36D8" w:rsidP="005C6DF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4.1 </w:t>
      </w:r>
      <w:r w:rsidRPr="00272E0C">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5C6DF3" w:rsidRPr="0078105B" w:rsidTr="00B7074C">
        <w:trPr>
          <w:cantSplit/>
        </w:trPr>
        <w:tc>
          <w:tcPr>
            <w:tcW w:w="567"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5C6DF3" w:rsidRPr="0078105B" w:rsidTr="00B7074C">
        <w:trPr>
          <w:cantSplit/>
        </w:trPr>
        <w:tc>
          <w:tcPr>
            <w:tcW w:w="567"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2835" w:type="dxa"/>
            <w:vMerge/>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851" w:type="dxa"/>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2977"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r>
      <w:tr w:rsidR="000212D1">
        <w:tc>
          <w:tcPr>
            <w:tcW w:w="0" w:type="auto"/>
            <w:vAlign w:val="center"/>
          </w:tcPr>
          <w:p w:rsidR="000212D1" w:rsidRDefault="00A02DDE">
            <w:pPr>
              <w:jc w:val="center"/>
            </w:pPr>
            <w:r>
              <w:rPr>
                <w:color w:val="000000"/>
                <w:sz w:val="24"/>
              </w:rPr>
              <w:t>余海燕</w:t>
            </w:r>
          </w:p>
        </w:tc>
        <w:tc>
          <w:tcPr>
            <w:tcW w:w="0" w:type="auto"/>
            <w:vAlign w:val="center"/>
          </w:tcPr>
          <w:p w:rsidR="000212D1" w:rsidRDefault="00A02DDE">
            <w:pPr>
              <w:jc w:val="center"/>
            </w:pPr>
            <w:r>
              <w:rPr>
                <w:color w:val="000000"/>
                <w:sz w:val="24"/>
              </w:rPr>
              <w:t>本基金的基金经理、易方达中证全指证券公司交易型开放式指数证券投资基金的基金经理、易方达中证军工交易型开放式指数证券投资基金的基金经理、易方达中证海外中国互联网</w:t>
            </w:r>
            <w:r>
              <w:rPr>
                <w:color w:val="000000"/>
                <w:sz w:val="24"/>
              </w:rPr>
              <w:t>50</w:t>
            </w:r>
            <w:r>
              <w:rPr>
                <w:color w:val="000000"/>
                <w:sz w:val="24"/>
              </w:rPr>
              <w:t>交易型开放式指数证券投资基金联接基金的基金经理、易方达中证海外中国互联网</w:t>
            </w:r>
            <w:r>
              <w:rPr>
                <w:color w:val="000000"/>
                <w:sz w:val="24"/>
              </w:rPr>
              <w:t>50</w:t>
            </w:r>
            <w:r>
              <w:rPr>
                <w:color w:val="000000"/>
                <w:sz w:val="24"/>
              </w:rPr>
              <w:t>交易型开放式指数证券投资基金的基金经理、易方达中证</w:t>
            </w:r>
            <w:r>
              <w:rPr>
                <w:color w:val="000000"/>
                <w:sz w:val="24"/>
              </w:rPr>
              <w:t>500</w:t>
            </w:r>
            <w:r>
              <w:rPr>
                <w:color w:val="000000"/>
                <w:sz w:val="24"/>
              </w:rPr>
              <w:t>交易型开放式指数证券投资基金发起式联接基金的基金经理、易方达中证</w:t>
            </w:r>
            <w:r>
              <w:rPr>
                <w:color w:val="000000"/>
                <w:sz w:val="24"/>
              </w:rPr>
              <w:t>500</w:t>
            </w:r>
            <w:r>
              <w:rPr>
                <w:color w:val="000000"/>
                <w:sz w:val="24"/>
              </w:rPr>
              <w:t>交易型开放式指数证券投资基金的基金经理、易方达证券公司指数分级证券投资基金的基金经理、易方达上证</w:t>
            </w:r>
            <w:r>
              <w:rPr>
                <w:color w:val="000000"/>
                <w:sz w:val="24"/>
              </w:rPr>
              <w:t>50</w:t>
            </w:r>
            <w:r>
              <w:rPr>
                <w:color w:val="000000"/>
                <w:sz w:val="24"/>
              </w:rPr>
              <w:t>交易型开放式指数证券投资基金发起式联接基金的基金</w:t>
            </w:r>
            <w:r>
              <w:rPr>
                <w:color w:val="000000"/>
                <w:sz w:val="24"/>
              </w:rPr>
              <w:t>经理、易方达上证</w:t>
            </w:r>
            <w:r>
              <w:rPr>
                <w:color w:val="000000"/>
                <w:sz w:val="24"/>
              </w:rPr>
              <w:t>50</w:t>
            </w:r>
            <w:r>
              <w:rPr>
                <w:color w:val="000000"/>
                <w:sz w:val="24"/>
              </w:rPr>
              <w:t>交易型开放式指数证券投资基金的基金经理、易方达日兴资管日经</w:t>
            </w:r>
            <w:r>
              <w:rPr>
                <w:color w:val="000000"/>
                <w:sz w:val="24"/>
              </w:rPr>
              <w:t>225</w:t>
            </w:r>
            <w:r>
              <w:rPr>
                <w:color w:val="000000"/>
                <w:sz w:val="24"/>
              </w:rPr>
              <w:t>交易型开放式指数证券投资基金（</w:t>
            </w:r>
            <w:r>
              <w:rPr>
                <w:color w:val="000000"/>
                <w:sz w:val="24"/>
              </w:rPr>
              <w:t>QDII</w:t>
            </w:r>
            <w:r>
              <w:rPr>
                <w:color w:val="000000"/>
                <w:sz w:val="24"/>
              </w:rPr>
              <w:t>）的基金经理、易方达军工指数分级证券投资基金的基金经理、易方达黄金交易型开放式证券投资基金联接基金的基金经理、易方达黄金交易型开放式证券投资基金的基金经理、易方达沪深</w:t>
            </w:r>
            <w:r>
              <w:rPr>
                <w:color w:val="000000"/>
                <w:sz w:val="24"/>
              </w:rPr>
              <w:t>300</w:t>
            </w:r>
            <w:r>
              <w:rPr>
                <w:color w:val="000000"/>
                <w:sz w:val="24"/>
              </w:rPr>
              <w:t>医药卫生交易型开放式指数证券投资基金联接基金的基金经理、易方达沪深</w:t>
            </w:r>
            <w:r>
              <w:rPr>
                <w:color w:val="000000"/>
                <w:sz w:val="24"/>
              </w:rPr>
              <w:t>300</w:t>
            </w:r>
            <w:r>
              <w:rPr>
                <w:color w:val="000000"/>
                <w:sz w:val="24"/>
              </w:rPr>
              <w:t>医药卫生交易型开放式指数证券投资基金的基金经理、易方达沪深</w:t>
            </w:r>
            <w:r>
              <w:rPr>
                <w:color w:val="000000"/>
                <w:sz w:val="24"/>
              </w:rPr>
              <w:t>300</w:t>
            </w:r>
            <w:r>
              <w:rPr>
                <w:color w:val="000000"/>
                <w:sz w:val="24"/>
              </w:rPr>
              <w:t>交易型开放式指数发起式证券投资基金联接基金的基金经理、易方达沪深</w:t>
            </w:r>
            <w:r>
              <w:rPr>
                <w:color w:val="000000"/>
                <w:sz w:val="24"/>
              </w:rPr>
              <w:t>300</w:t>
            </w:r>
            <w:r>
              <w:rPr>
                <w:color w:val="000000"/>
                <w:sz w:val="24"/>
              </w:rPr>
              <w:t>交易型开放式</w:t>
            </w:r>
            <w:r>
              <w:rPr>
                <w:color w:val="000000"/>
                <w:sz w:val="24"/>
              </w:rPr>
              <w:t>指数发起式证券投资基金的基金经理、易方达沪深</w:t>
            </w:r>
            <w:r>
              <w:rPr>
                <w:color w:val="000000"/>
                <w:sz w:val="24"/>
              </w:rPr>
              <w:t>300</w:t>
            </w:r>
            <w:r>
              <w:rPr>
                <w:color w:val="000000"/>
                <w:sz w:val="24"/>
              </w:rPr>
              <w:t>非银行金融交易型开放式指数证券投资基金联接基金的基金经理、易方达沪深</w:t>
            </w:r>
            <w:r>
              <w:rPr>
                <w:color w:val="000000"/>
                <w:sz w:val="24"/>
              </w:rPr>
              <w:t>300</w:t>
            </w:r>
            <w:r>
              <w:rPr>
                <w:color w:val="000000"/>
                <w:sz w:val="24"/>
              </w:rPr>
              <w:t>非银行金融交易型开放式指数证券投资基金的基金经理、易方达恒生中国企业交易型开放式指数证券投资基金联接基金的基金经理、易方达恒生中国企业交易型开放式指数证券投资基金的基金经理、易方达国企改革指数分级证券投资基金的基金经理</w:t>
            </w:r>
          </w:p>
        </w:tc>
        <w:tc>
          <w:tcPr>
            <w:tcW w:w="0" w:type="auto"/>
            <w:vAlign w:val="center"/>
          </w:tcPr>
          <w:p w:rsidR="000212D1" w:rsidRDefault="00A02DDE">
            <w:pPr>
              <w:jc w:val="center"/>
            </w:pPr>
            <w:r>
              <w:rPr>
                <w:color w:val="000000"/>
                <w:sz w:val="24"/>
              </w:rPr>
              <w:t>2015-04-15</w:t>
            </w:r>
          </w:p>
        </w:tc>
        <w:tc>
          <w:tcPr>
            <w:tcW w:w="0" w:type="auto"/>
            <w:vAlign w:val="center"/>
          </w:tcPr>
          <w:p w:rsidR="000212D1" w:rsidRDefault="00A02DDE">
            <w:pPr>
              <w:jc w:val="center"/>
            </w:pPr>
            <w:r>
              <w:rPr>
                <w:color w:val="000000"/>
                <w:sz w:val="24"/>
              </w:rPr>
              <w:t>-</w:t>
            </w:r>
          </w:p>
        </w:tc>
        <w:tc>
          <w:tcPr>
            <w:tcW w:w="0" w:type="auto"/>
            <w:vAlign w:val="center"/>
          </w:tcPr>
          <w:p w:rsidR="000212D1" w:rsidRDefault="00A02DDE">
            <w:pPr>
              <w:jc w:val="center"/>
            </w:pPr>
            <w:r>
              <w:rPr>
                <w:color w:val="000000"/>
                <w:sz w:val="24"/>
              </w:rPr>
              <w:t>14</w:t>
            </w:r>
            <w:r>
              <w:rPr>
                <w:color w:val="000000"/>
                <w:sz w:val="24"/>
              </w:rPr>
              <w:t>年</w:t>
            </w:r>
          </w:p>
        </w:tc>
        <w:tc>
          <w:tcPr>
            <w:tcW w:w="0" w:type="auto"/>
            <w:vAlign w:val="center"/>
          </w:tcPr>
          <w:p w:rsidR="000212D1" w:rsidRDefault="00A02DDE">
            <w:r>
              <w:rPr>
                <w:color w:val="000000"/>
                <w:sz w:val="24"/>
              </w:rPr>
              <w:t>硕士研究生，具有基金从业资格。曾任汇丰银行</w:t>
            </w:r>
            <w:r>
              <w:rPr>
                <w:color w:val="000000"/>
                <w:sz w:val="24"/>
              </w:rPr>
              <w:t>Consumer Credit Risk</w:t>
            </w:r>
            <w:r>
              <w:rPr>
                <w:color w:val="000000"/>
                <w:sz w:val="24"/>
              </w:rPr>
              <w:t>信用风险分析师，华宝兴业基金管理有限公司分析师、基金</w:t>
            </w:r>
            <w:r>
              <w:rPr>
                <w:color w:val="000000"/>
                <w:sz w:val="24"/>
              </w:rPr>
              <w:t>经理助理、基金经理，易方达基金管理有限公司投资发展部产品经理。</w:t>
            </w:r>
          </w:p>
        </w:tc>
      </w:tr>
    </w:tbl>
    <w:p w:rsidR="000212D1" w:rsidRDefault="00A02DDE">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CB041A" w:rsidRPr="00232B03" w:rsidRDefault="005C6DF3" w:rsidP="005C6DF3">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1C36D8" w:rsidRPr="00272E0C" w:rsidRDefault="001C36D8" w:rsidP="00CB041A">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4.2</w:t>
      </w:r>
      <w:r w:rsidRPr="00272E0C">
        <w:rPr>
          <w:rFonts w:ascii="宋体" w:hAnsi="宋体" w:hint="eastAsia"/>
          <w:b/>
          <w:bCs/>
          <w:color w:val="000000"/>
          <w:sz w:val="24"/>
        </w:rPr>
        <w:t>管理人对报告期内本基金运作遵规守信情况的说明</w:t>
      </w:r>
    </w:p>
    <w:p w:rsidR="001C36D8" w:rsidRPr="00E43B0B" w:rsidRDefault="001C36D8" w:rsidP="00E43B0B">
      <w:pPr>
        <w:spacing w:line="360" w:lineRule="auto"/>
        <w:ind w:firstLineChars="200" w:firstLine="480"/>
        <w:rPr>
          <w:color w:val="000000"/>
          <w:sz w:val="24"/>
        </w:rPr>
      </w:pPr>
      <w:r w:rsidRPr="003D22BD">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4.3 </w:t>
      </w:r>
      <w:r w:rsidRPr="00272E0C">
        <w:rPr>
          <w:rFonts w:ascii="宋体" w:hAnsi="宋体" w:cs="Arial" w:hint="eastAsia"/>
          <w:b/>
          <w:color w:val="000000"/>
          <w:kern w:val="0"/>
          <w:sz w:val="24"/>
        </w:rPr>
        <w:t>公平交易专项说明</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4.3.1</w:t>
        </w:r>
      </w:smartTag>
      <w:r w:rsidRPr="00272E0C">
        <w:rPr>
          <w:rFonts w:ascii="宋体" w:hAnsi="宋体" w:hint="eastAsia"/>
          <w:sz w:val="24"/>
        </w:rPr>
        <w:t>公平交易制度的执行情况</w:t>
      </w:r>
    </w:p>
    <w:p w:rsidR="001C36D8" w:rsidRPr="003D22BD" w:rsidRDefault="001C36D8" w:rsidP="0015779C">
      <w:pPr>
        <w:spacing w:line="360" w:lineRule="auto"/>
        <w:ind w:firstLineChars="200" w:firstLine="480"/>
        <w:rPr>
          <w:color w:val="000000"/>
          <w:sz w:val="24"/>
        </w:rPr>
      </w:pPr>
      <w:r w:rsidRPr="003D22BD">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3D22BD">
        <w:rPr>
          <w:color w:val="000000"/>
          <w:sz w:val="24"/>
        </w:rPr>
        <w:t>“</w:t>
      </w:r>
      <w:r w:rsidRPr="003D22BD">
        <w:rPr>
          <w:color w:val="000000"/>
          <w:sz w:val="24"/>
        </w:rPr>
        <w:t>时间优先、价格优先</w:t>
      </w:r>
      <w:r w:rsidRPr="003D22BD">
        <w:rPr>
          <w:color w:val="000000"/>
          <w:sz w:val="24"/>
        </w:rPr>
        <w:t>”</w:t>
      </w:r>
      <w:r w:rsidRPr="003D22BD">
        <w:rPr>
          <w:color w:val="000000"/>
          <w:sz w:val="24"/>
        </w:rPr>
        <w:t>作为执行指令的基本原则，通过投资交易系统中的公平交易模块，以尽可能确保公平对待各投资组合。本报告期内，公平交易制度总体执行情况良好。</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4.3.2</w:t>
        </w:r>
      </w:smartTag>
      <w:r w:rsidRPr="00272E0C">
        <w:rPr>
          <w:rFonts w:ascii="宋体" w:hAnsi="宋体" w:hint="eastAsia"/>
          <w:sz w:val="24"/>
        </w:rPr>
        <w:t>异常交易行为的专项说明</w:t>
      </w:r>
    </w:p>
    <w:p w:rsidR="000212D1" w:rsidRDefault="00A02DDE">
      <w:pPr>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次为指数量化投资组合因投资策略需要和其他组合发生的反向交易，</w:t>
      </w:r>
      <w:r>
        <w:rPr>
          <w:color w:val="000000"/>
          <w:sz w:val="24"/>
        </w:rPr>
        <w:t>1</w:t>
      </w:r>
      <w:r>
        <w:rPr>
          <w:color w:val="000000"/>
          <w:sz w:val="24"/>
        </w:rPr>
        <w:t>次为不同基金经理管理的基金因投资策略不同而发生的反向交易，有关基金经理按规定履行了审批程序。</w:t>
      </w:r>
    </w:p>
    <w:p w:rsidR="001C36D8" w:rsidRPr="00E43B0B" w:rsidRDefault="001C36D8" w:rsidP="00E43B0B">
      <w:pPr>
        <w:spacing w:line="360" w:lineRule="auto"/>
        <w:ind w:firstLineChars="200" w:firstLine="480"/>
        <w:rPr>
          <w:color w:val="000000"/>
          <w:sz w:val="24"/>
        </w:rPr>
      </w:pPr>
      <w:r w:rsidRPr="003D22BD">
        <w:rPr>
          <w:color w:val="000000"/>
          <w:sz w:val="24"/>
        </w:rPr>
        <w:t>本报告期内，未发现本基金有可能导致不公平交易和利益输送的异常交易。</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4.4 </w:t>
      </w:r>
      <w:r w:rsidRPr="00272E0C">
        <w:rPr>
          <w:rFonts w:ascii="宋体" w:hAnsi="宋体" w:cs="Arial" w:hint="eastAsia"/>
          <w:b/>
          <w:color w:val="000000"/>
          <w:kern w:val="0"/>
          <w:sz w:val="24"/>
        </w:rPr>
        <w:t>报告期内基金的投资策略和业绩表现说明</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4.4.1</w:t>
        </w:r>
      </w:smartTag>
      <w:r w:rsidRPr="00272E0C">
        <w:rPr>
          <w:rFonts w:ascii="宋体" w:hAnsi="宋体" w:hint="eastAsia"/>
          <w:sz w:val="24"/>
        </w:rPr>
        <w:t>报告期内基金投资策略和运作分析</w:t>
      </w:r>
    </w:p>
    <w:p w:rsidR="000212D1" w:rsidRDefault="00A02DDE">
      <w:pPr>
        <w:spacing w:line="360" w:lineRule="auto"/>
        <w:ind w:firstLineChars="200" w:firstLine="480"/>
        <w:rPr>
          <w:color w:val="000000"/>
          <w:sz w:val="24"/>
        </w:rPr>
      </w:pPr>
      <w:r>
        <w:rPr>
          <w:color w:val="000000"/>
          <w:sz w:val="24"/>
        </w:rPr>
        <w:t>2019</w:t>
      </w:r>
      <w:r>
        <w:rPr>
          <w:color w:val="000000"/>
          <w:sz w:val="24"/>
        </w:rPr>
        <w:t>年四季度以来国内宏观经济景气度较前期出现好转，企业</w:t>
      </w:r>
      <w:r>
        <w:rPr>
          <w:color w:val="000000"/>
          <w:sz w:val="24"/>
        </w:rPr>
        <w:t>库存继续回落，库存周期已由前期的主动去库存阶段进入到被动去库存阶段。最新公布的宏观经济数据呈现出改善迹象，</w:t>
      </w:r>
      <w:r>
        <w:rPr>
          <w:color w:val="000000"/>
          <w:sz w:val="24"/>
        </w:rPr>
        <w:t>11</w:t>
      </w:r>
      <w:r>
        <w:rPr>
          <w:color w:val="000000"/>
          <w:sz w:val="24"/>
        </w:rPr>
        <w:t>月份固定资产投资同比增加</w:t>
      </w:r>
      <w:r>
        <w:rPr>
          <w:color w:val="000000"/>
          <w:sz w:val="24"/>
        </w:rPr>
        <w:t>5.2%</w:t>
      </w:r>
      <w:r>
        <w:rPr>
          <w:color w:val="000000"/>
          <w:sz w:val="24"/>
        </w:rPr>
        <w:t>，与前值持平，社会消费品零售总额当月同比增加</w:t>
      </w:r>
      <w:r>
        <w:rPr>
          <w:color w:val="000000"/>
          <w:sz w:val="24"/>
        </w:rPr>
        <w:t>8.0%</w:t>
      </w:r>
      <w:r>
        <w:rPr>
          <w:color w:val="000000"/>
          <w:sz w:val="24"/>
        </w:rPr>
        <w:t>，前值</w:t>
      </w:r>
      <w:r>
        <w:rPr>
          <w:color w:val="000000"/>
          <w:sz w:val="24"/>
        </w:rPr>
        <w:t>7.2%</w:t>
      </w:r>
      <w:r>
        <w:rPr>
          <w:color w:val="000000"/>
          <w:sz w:val="24"/>
        </w:rPr>
        <w:t>；</w:t>
      </w:r>
      <w:r>
        <w:rPr>
          <w:color w:val="000000"/>
          <w:sz w:val="24"/>
        </w:rPr>
        <w:t>2019</w:t>
      </w:r>
      <w:r>
        <w:rPr>
          <w:color w:val="000000"/>
          <w:sz w:val="24"/>
        </w:rPr>
        <w:t>年</w:t>
      </w:r>
      <w:r>
        <w:rPr>
          <w:color w:val="000000"/>
          <w:sz w:val="24"/>
        </w:rPr>
        <w:t>1-11</w:t>
      </w:r>
      <w:r>
        <w:rPr>
          <w:color w:val="000000"/>
          <w:sz w:val="24"/>
        </w:rPr>
        <w:t>月规模以上工业企业利润总额累计同比增长</w:t>
      </w:r>
      <w:r>
        <w:rPr>
          <w:color w:val="000000"/>
          <w:sz w:val="24"/>
        </w:rPr>
        <w:t>-2.1%</w:t>
      </w:r>
      <w:r>
        <w:rPr>
          <w:color w:val="000000"/>
          <w:sz w:val="24"/>
        </w:rPr>
        <w:t>，前值为</w:t>
      </w:r>
      <w:r>
        <w:rPr>
          <w:color w:val="000000"/>
          <w:sz w:val="24"/>
        </w:rPr>
        <w:t>-2.9%</w:t>
      </w:r>
      <w:r>
        <w:rPr>
          <w:color w:val="000000"/>
          <w:sz w:val="24"/>
        </w:rPr>
        <w:t>，其中</w:t>
      </w:r>
      <w:r>
        <w:rPr>
          <w:color w:val="000000"/>
          <w:sz w:val="24"/>
        </w:rPr>
        <w:t>11</w:t>
      </w:r>
      <w:r>
        <w:rPr>
          <w:color w:val="000000"/>
          <w:sz w:val="24"/>
        </w:rPr>
        <w:t>月规模以上工业企业利润总额单月同比增速</w:t>
      </w:r>
      <w:r>
        <w:rPr>
          <w:color w:val="000000"/>
          <w:sz w:val="24"/>
        </w:rPr>
        <w:t>5.4%</w:t>
      </w:r>
      <w:r>
        <w:rPr>
          <w:color w:val="000000"/>
          <w:sz w:val="24"/>
        </w:rPr>
        <w:t>，大幅高于前值</w:t>
      </w:r>
      <w:r>
        <w:rPr>
          <w:color w:val="000000"/>
          <w:sz w:val="24"/>
        </w:rPr>
        <w:t>-9.9%</w:t>
      </w:r>
      <w:r>
        <w:rPr>
          <w:color w:val="000000"/>
          <w:sz w:val="24"/>
        </w:rPr>
        <w:t>；</w:t>
      </w:r>
      <w:r>
        <w:rPr>
          <w:color w:val="000000"/>
          <w:sz w:val="24"/>
        </w:rPr>
        <w:t>12</w:t>
      </w:r>
      <w:r>
        <w:rPr>
          <w:color w:val="000000"/>
          <w:sz w:val="24"/>
        </w:rPr>
        <w:t>月全国制造业</w:t>
      </w:r>
      <w:r>
        <w:rPr>
          <w:color w:val="000000"/>
          <w:sz w:val="24"/>
        </w:rPr>
        <w:t>PMI</w:t>
      </w:r>
      <w:r>
        <w:rPr>
          <w:color w:val="000000"/>
          <w:sz w:val="24"/>
        </w:rPr>
        <w:t>为</w:t>
      </w:r>
      <w:r>
        <w:rPr>
          <w:color w:val="000000"/>
          <w:sz w:val="24"/>
        </w:rPr>
        <w:t>50.2%</w:t>
      </w:r>
      <w:r>
        <w:rPr>
          <w:color w:val="000000"/>
          <w:sz w:val="24"/>
        </w:rPr>
        <w:t>，较</w:t>
      </w:r>
      <w:r>
        <w:rPr>
          <w:color w:val="000000"/>
          <w:sz w:val="24"/>
        </w:rPr>
        <w:t>11</w:t>
      </w:r>
      <w:r>
        <w:rPr>
          <w:color w:val="000000"/>
          <w:sz w:val="24"/>
        </w:rPr>
        <w:t>月持平，维持在年内次高点，且连续两个月处于扩张区间，指向制造业景气仍强。由于宏观经济整体下行压</w:t>
      </w:r>
      <w:r>
        <w:rPr>
          <w:color w:val="000000"/>
          <w:sz w:val="24"/>
        </w:rPr>
        <w:t>力犹存，四季度宏观经济政策延续了前期货币政策宽松和逆周期调节的力度，加速</w:t>
      </w:r>
      <w:r>
        <w:rPr>
          <w:color w:val="000000"/>
          <w:sz w:val="24"/>
        </w:rPr>
        <w:t>LPR</w:t>
      </w:r>
      <w:r>
        <w:rPr>
          <w:color w:val="000000"/>
          <w:sz w:val="24"/>
        </w:rPr>
        <w:t>作为存量贷款定价锚的改革以降低实体经济成本并推动信贷扩张。外围市场方面，在中美贸易摩擦阶段性缓和，美联储连续降息、重启回购和扩表等货币政策宽松之下，全球市场风险偏好提升，美股挑战历史新高。在中国宏观经济数据显示阶段性企稳的背景下，四季度人民币对美元即期汇率扭转前期贬值趋势，季末在岸和离岸美元对人民币即期汇率均回落至</w:t>
      </w:r>
      <w:r>
        <w:rPr>
          <w:color w:val="000000"/>
          <w:sz w:val="24"/>
        </w:rPr>
        <w:t>6.96</w:t>
      </w:r>
      <w:r>
        <w:rPr>
          <w:color w:val="000000"/>
          <w:sz w:val="24"/>
        </w:rPr>
        <w:t>附近。资本市场方面，随着经济数据回暖，央行连续调降政策利率、以及中美贸易摩擦阶段性缓和，</w:t>
      </w:r>
      <w:r>
        <w:rPr>
          <w:color w:val="000000"/>
          <w:sz w:val="24"/>
        </w:rPr>
        <w:t>A</w:t>
      </w:r>
      <w:r>
        <w:rPr>
          <w:color w:val="000000"/>
          <w:sz w:val="24"/>
        </w:rPr>
        <w:t>股市场对于后续经济企</w:t>
      </w:r>
      <w:r>
        <w:rPr>
          <w:color w:val="000000"/>
          <w:sz w:val="24"/>
        </w:rPr>
        <w:t>稳的预期升温，尤其</w:t>
      </w:r>
      <w:r>
        <w:rPr>
          <w:color w:val="000000"/>
          <w:sz w:val="24"/>
        </w:rPr>
        <w:t>12</w:t>
      </w:r>
      <w:r>
        <w:rPr>
          <w:color w:val="000000"/>
          <w:sz w:val="24"/>
        </w:rPr>
        <w:t>月份货币政策的边际放松超出市场预期，引发了股票市场反弹，四季度上证综指以上涨</w:t>
      </w:r>
      <w:r>
        <w:rPr>
          <w:color w:val="000000"/>
          <w:sz w:val="24"/>
        </w:rPr>
        <w:t>4.99%</w:t>
      </w:r>
      <w:r>
        <w:rPr>
          <w:color w:val="000000"/>
          <w:sz w:val="24"/>
        </w:rPr>
        <w:t>收官。风格方面，小盘股表现好于大盘股，上证</w:t>
      </w:r>
      <w:r>
        <w:rPr>
          <w:color w:val="000000"/>
          <w:sz w:val="24"/>
        </w:rPr>
        <w:t>50</w:t>
      </w:r>
      <w:r>
        <w:rPr>
          <w:color w:val="000000"/>
          <w:sz w:val="24"/>
        </w:rPr>
        <w:t>指数、沪深</w:t>
      </w:r>
      <w:r>
        <w:rPr>
          <w:color w:val="000000"/>
          <w:sz w:val="24"/>
        </w:rPr>
        <w:t>300</w:t>
      </w:r>
      <w:r>
        <w:rPr>
          <w:color w:val="000000"/>
          <w:sz w:val="24"/>
        </w:rPr>
        <w:t>指数、创业板指分别上涨</w:t>
      </w:r>
      <w:r>
        <w:rPr>
          <w:color w:val="000000"/>
          <w:sz w:val="24"/>
        </w:rPr>
        <w:t>5.71%</w:t>
      </w:r>
      <w:r>
        <w:rPr>
          <w:color w:val="000000"/>
          <w:sz w:val="24"/>
        </w:rPr>
        <w:t>、</w:t>
      </w:r>
      <w:r>
        <w:rPr>
          <w:color w:val="000000"/>
          <w:sz w:val="24"/>
        </w:rPr>
        <w:t>7.39%</w:t>
      </w:r>
      <w:r>
        <w:rPr>
          <w:color w:val="000000"/>
          <w:sz w:val="24"/>
        </w:rPr>
        <w:t>、</w:t>
      </w:r>
      <w:r>
        <w:rPr>
          <w:color w:val="000000"/>
          <w:sz w:val="24"/>
        </w:rPr>
        <w:t>10.48%</w:t>
      </w:r>
      <w:r>
        <w:rPr>
          <w:color w:val="000000"/>
          <w:sz w:val="24"/>
        </w:rPr>
        <w:t>；行业方面，建筑材料、电子、家用电器、传媒、房地产、证券公司、有色金属等板块涨幅居前，国防军工、商业贸易、保险等板块表现落后。</w:t>
      </w:r>
    </w:p>
    <w:p w:rsidR="001C36D8" w:rsidRPr="003D22BD" w:rsidRDefault="001C36D8" w:rsidP="0015779C">
      <w:pPr>
        <w:spacing w:line="360" w:lineRule="auto"/>
        <w:ind w:firstLineChars="200" w:firstLine="480"/>
        <w:rPr>
          <w:color w:val="000000"/>
          <w:sz w:val="24"/>
        </w:rPr>
      </w:pPr>
      <w:r w:rsidRPr="003D22BD">
        <w:rPr>
          <w:color w:val="000000"/>
          <w:sz w:val="24"/>
        </w:rPr>
        <w:t>报告期内本基金为正常运作期，在操作中，我们严格遵守基金合同，坚持既定的指数化投资策略，在指数权重调整和基金申赎变动时，应用指数复制和数量化技术降低冲击成本和减少跟踪误差。</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4.4.2</w:t>
        </w:r>
      </w:smartTag>
      <w:r w:rsidRPr="00272E0C">
        <w:rPr>
          <w:rFonts w:ascii="宋体" w:hAnsi="宋体" w:hint="eastAsia"/>
          <w:sz w:val="24"/>
        </w:rPr>
        <w:t>报告期内基金的业绩表现</w:t>
      </w:r>
    </w:p>
    <w:p w:rsidR="001C36D8" w:rsidRPr="00E43B0B" w:rsidRDefault="001C36D8" w:rsidP="00E43B0B">
      <w:pPr>
        <w:spacing w:line="360" w:lineRule="auto"/>
        <w:ind w:firstLineChars="200" w:firstLine="480"/>
        <w:rPr>
          <w:color w:val="000000"/>
          <w:sz w:val="24"/>
        </w:rPr>
      </w:pPr>
      <w:r w:rsidRPr="003D22BD">
        <w:rPr>
          <w:color w:val="000000"/>
          <w:sz w:val="24"/>
        </w:rPr>
        <w:t>截至报告期末，本基金份额净值为</w:t>
      </w:r>
      <w:r w:rsidRPr="003D22BD">
        <w:rPr>
          <w:color w:val="000000"/>
          <w:sz w:val="24"/>
        </w:rPr>
        <w:t>1.0147</w:t>
      </w:r>
      <w:r w:rsidRPr="003D22BD">
        <w:rPr>
          <w:color w:val="000000"/>
          <w:sz w:val="24"/>
        </w:rPr>
        <w:t>元，本报告期份额净值增长率为</w:t>
      </w:r>
      <w:r w:rsidRPr="003D22BD">
        <w:rPr>
          <w:color w:val="000000"/>
          <w:sz w:val="24"/>
        </w:rPr>
        <w:t>5.75%</w:t>
      </w:r>
      <w:r w:rsidRPr="003D22BD">
        <w:rPr>
          <w:color w:val="000000"/>
          <w:sz w:val="24"/>
        </w:rPr>
        <w:t>，同期业绩比较基准收益率为</w:t>
      </w:r>
      <w:r w:rsidRPr="003D22BD">
        <w:rPr>
          <w:color w:val="000000"/>
          <w:sz w:val="24"/>
        </w:rPr>
        <w:t>5.43%</w:t>
      </w:r>
      <w:r w:rsidRPr="003D22BD">
        <w:rPr>
          <w:color w:val="000000"/>
          <w:sz w:val="24"/>
        </w:rPr>
        <w:t>，日跟踪偏离度的均值为</w:t>
      </w:r>
      <w:r w:rsidRPr="003D22BD">
        <w:rPr>
          <w:color w:val="000000"/>
          <w:sz w:val="24"/>
        </w:rPr>
        <w:t>0.02%</w:t>
      </w:r>
      <w:r w:rsidRPr="003D22BD">
        <w:rPr>
          <w:color w:val="000000"/>
          <w:sz w:val="24"/>
        </w:rPr>
        <w:t>，年化跟踪误差为</w:t>
      </w:r>
      <w:r w:rsidRPr="003D22BD">
        <w:rPr>
          <w:color w:val="000000"/>
          <w:sz w:val="24"/>
        </w:rPr>
        <w:t>0.602%</w:t>
      </w:r>
      <w:r w:rsidRPr="003D22BD">
        <w:rPr>
          <w:color w:val="000000"/>
          <w:sz w:val="24"/>
        </w:rPr>
        <w:t>，各项指标均在合同规定的目标控制范围之内。</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5  </w:t>
      </w:r>
      <w:r w:rsidRPr="00272E0C">
        <w:rPr>
          <w:rFonts w:ascii="宋体" w:hAnsi="宋体" w:cs="Arial" w:hint="eastAsia"/>
          <w:color w:val="000000"/>
          <w:kern w:val="0"/>
          <w:sz w:val="24"/>
          <w:szCs w:val="24"/>
        </w:rPr>
        <w:t>投资组合报告</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5.1 </w:t>
      </w:r>
      <w:r w:rsidRPr="00272E0C">
        <w:rPr>
          <w:rFonts w:ascii="宋体" w:hAnsi="宋体" w:cs="Arial" w:hint="eastAsia"/>
          <w:b/>
          <w:color w:val="000000"/>
          <w:kern w:val="0"/>
          <w:sz w:val="24"/>
        </w:rPr>
        <w:t>报告期末基金资产组合情况</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
        <w:gridCol w:w="3283"/>
        <w:gridCol w:w="2977"/>
        <w:gridCol w:w="1843"/>
      </w:tblGrid>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序号</w:t>
            </w:r>
          </w:p>
        </w:tc>
        <w:tc>
          <w:tcPr>
            <w:tcW w:w="328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项目</w:t>
            </w:r>
          </w:p>
        </w:tc>
        <w:tc>
          <w:tcPr>
            <w:tcW w:w="2977"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金额</w:t>
            </w:r>
            <w:r w:rsidR="0015779C" w:rsidRPr="005B1E0B">
              <w:rPr>
                <w:color w:val="000000"/>
                <w:sz w:val="24"/>
              </w:rPr>
              <w:t>（元）</w:t>
            </w:r>
          </w:p>
        </w:tc>
        <w:tc>
          <w:tcPr>
            <w:tcW w:w="1843"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占基金总资产的比例</w:t>
            </w:r>
            <w:r w:rsidR="0015779C" w:rsidRPr="005B1E0B">
              <w:rPr>
                <w:color w:val="000000"/>
                <w:sz w:val="24"/>
              </w:rPr>
              <w:t>（</w:t>
            </w:r>
            <w:r w:rsidR="0015779C" w:rsidRPr="005B1E0B">
              <w:rPr>
                <w:color w:val="000000"/>
                <w:sz w:val="24"/>
              </w:rPr>
              <w:t>%</w:t>
            </w:r>
            <w:r w:rsidR="0015779C"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1</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权益投资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480,722,567.92</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93.58</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其中：股票</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480,722,567.92</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93.58</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2</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固定收益投资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656,989.22</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0.13</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其中：债券</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656,989.22</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0.13</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autoSpaceDE w:val="0"/>
              <w:autoSpaceDN w:val="0"/>
              <w:adjustRightInd w:val="0"/>
              <w:spacing w:before="29" w:line="360" w:lineRule="auto"/>
              <w:ind w:left="17"/>
              <w:jc w:val="left"/>
              <w:rPr>
                <w:color w:val="000000"/>
                <w:sz w:val="24"/>
              </w:rPr>
            </w:pPr>
            <w:r w:rsidRPr="005B1E0B">
              <w:rPr>
                <w:color w:val="000000"/>
                <w:sz w:val="24"/>
              </w:rPr>
              <w:t>资产支持证券</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tcPr>
          <w:p w:rsidR="001C36D8" w:rsidRPr="005B1E0B" w:rsidRDefault="001C36D8" w:rsidP="001A09F9">
            <w:pPr>
              <w:spacing w:before="29" w:line="360" w:lineRule="auto"/>
              <w:ind w:left="17"/>
              <w:jc w:val="center"/>
              <w:rPr>
                <w:color w:val="000000"/>
                <w:sz w:val="24"/>
              </w:rPr>
            </w:pPr>
            <w:r w:rsidRPr="005B1E0B">
              <w:rPr>
                <w:color w:val="000000"/>
                <w:sz w:val="24"/>
              </w:rPr>
              <w:t>3</w:t>
            </w:r>
          </w:p>
        </w:tc>
        <w:tc>
          <w:tcPr>
            <w:tcW w:w="3283" w:type="dxa"/>
          </w:tcPr>
          <w:p w:rsidR="001C36D8" w:rsidRPr="005B1E0B" w:rsidRDefault="001C36D8" w:rsidP="0015779C">
            <w:pPr>
              <w:spacing w:before="29" w:line="360" w:lineRule="auto"/>
              <w:ind w:leftChars="50" w:left="105"/>
              <w:rPr>
                <w:color w:val="000000"/>
                <w:sz w:val="24"/>
              </w:rPr>
            </w:pPr>
            <w:r w:rsidRPr="005B1E0B">
              <w:rPr>
                <w:color w:val="000000"/>
                <w:sz w:val="24"/>
              </w:rPr>
              <w:t>贵金属投资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4</w:t>
            </w:r>
          </w:p>
        </w:tc>
        <w:tc>
          <w:tcPr>
            <w:tcW w:w="3283" w:type="dxa"/>
            <w:vAlign w:val="center"/>
          </w:tcPr>
          <w:p w:rsidR="001C36D8" w:rsidRPr="005B1E0B" w:rsidRDefault="001C36D8" w:rsidP="001A09F9">
            <w:pPr>
              <w:spacing w:before="29" w:line="360" w:lineRule="auto"/>
              <w:ind w:left="17"/>
              <w:jc w:val="left"/>
              <w:rPr>
                <w:color w:val="000000"/>
                <w:sz w:val="24"/>
              </w:rPr>
            </w:pPr>
            <w:r w:rsidRPr="005B1E0B">
              <w:rPr>
                <w:color w:val="000000"/>
                <w:sz w:val="24"/>
              </w:rPr>
              <w:t>金融衍生品投资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5</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买入返售金融资产</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其中：买断式回购的买入返售金融资产</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6</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银行存款和结算备付金合计</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29,546,119.49</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5.75</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7</w:t>
            </w:r>
          </w:p>
        </w:tc>
        <w:tc>
          <w:tcPr>
            <w:tcW w:w="3283" w:type="dxa"/>
            <w:vAlign w:val="center"/>
          </w:tcPr>
          <w:p w:rsidR="001C36D8" w:rsidRPr="005B1E0B" w:rsidRDefault="001C36D8" w:rsidP="001A09F9">
            <w:pPr>
              <w:jc w:val="left"/>
              <w:rPr>
                <w:sz w:val="24"/>
              </w:rPr>
            </w:pPr>
            <w:r w:rsidRPr="005B1E0B">
              <w:rPr>
                <w:color w:val="000000"/>
                <w:sz w:val="24"/>
              </w:rPr>
              <w:t>其他资产</w:t>
            </w:r>
          </w:p>
        </w:tc>
        <w:tc>
          <w:tcPr>
            <w:tcW w:w="2977" w:type="dxa"/>
            <w:vAlign w:val="center"/>
          </w:tcPr>
          <w:p w:rsidR="001C36D8" w:rsidRPr="005B1E0B" w:rsidRDefault="001C36D8" w:rsidP="001A09F9">
            <w:pPr>
              <w:jc w:val="right"/>
              <w:rPr>
                <w:color w:val="000000"/>
                <w:sz w:val="24"/>
              </w:rPr>
            </w:pPr>
            <w:r w:rsidRPr="005B1E0B">
              <w:rPr>
                <w:color w:val="000000"/>
                <w:sz w:val="24"/>
              </w:rPr>
              <w:t>2,753,816.64</w:t>
            </w:r>
          </w:p>
        </w:tc>
        <w:tc>
          <w:tcPr>
            <w:tcW w:w="1843" w:type="dxa"/>
            <w:vAlign w:val="center"/>
          </w:tcPr>
          <w:p w:rsidR="001C36D8" w:rsidRPr="005B1E0B" w:rsidRDefault="001C36D8" w:rsidP="001A09F9">
            <w:pPr>
              <w:jc w:val="right"/>
              <w:rPr>
                <w:color w:val="000000"/>
                <w:sz w:val="24"/>
              </w:rPr>
            </w:pPr>
            <w:r w:rsidRPr="005B1E0B">
              <w:rPr>
                <w:color w:val="000000"/>
                <w:sz w:val="24"/>
              </w:rPr>
              <w:t>0.54</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8</w:t>
            </w:r>
          </w:p>
        </w:tc>
        <w:tc>
          <w:tcPr>
            <w:tcW w:w="3283" w:type="dxa"/>
            <w:vAlign w:val="center"/>
          </w:tcPr>
          <w:p w:rsidR="001C36D8" w:rsidRPr="005B1E0B" w:rsidRDefault="001C36D8" w:rsidP="001A09F9">
            <w:pPr>
              <w:jc w:val="left"/>
              <w:rPr>
                <w:sz w:val="24"/>
              </w:rPr>
            </w:pPr>
            <w:r w:rsidRPr="005B1E0B">
              <w:rPr>
                <w:color w:val="000000"/>
                <w:sz w:val="24"/>
              </w:rPr>
              <w:t>合计</w:t>
            </w:r>
          </w:p>
        </w:tc>
        <w:tc>
          <w:tcPr>
            <w:tcW w:w="2977" w:type="dxa"/>
            <w:vAlign w:val="center"/>
          </w:tcPr>
          <w:p w:rsidR="001C36D8" w:rsidRPr="005B1E0B" w:rsidRDefault="001C36D8" w:rsidP="001A09F9">
            <w:pPr>
              <w:jc w:val="right"/>
              <w:rPr>
                <w:color w:val="000000"/>
                <w:sz w:val="24"/>
              </w:rPr>
            </w:pPr>
            <w:r w:rsidRPr="005B1E0B">
              <w:rPr>
                <w:color w:val="000000"/>
                <w:sz w:val="24"/>
              </w:rPr>
              <w:t>513,679,493.27</w:t>
            </w:r>
          </w:p>
        </w:tc>
        <w:tc>
          <w:tcPr>
            <w:tcW w:w="1843" w:type="dxa"/>
            <w:vAlign w:val="center"/>
          </w:tcPr>
          <w:p w:rsidR="001C36D8" w:rsidRPr="005B1E0B" w:rsidRDefault="001C36D8" w:rsidP="001A09F9">
            <w:pPr>
              <w:jc w:val="right"/>
              <w:rPr>
                <w:color w:val="000000"/>
                <w:sz w:val="24"/>
              </w:rPr>
            </w:pPr>
            <w:r w:rsidRPr="005B1E0B">
              <w:rPr>
                <w:color w:val="000000"/>
                <w:sz w:val="24"/>
              </w:rPr>
              <w:t>100.00</w:t>
            </w:r>
          </w:p>
        </w:tc>
      </w:tr>
    </w:tbl>
    <w:p w:rsidR="00737AB0" w:rsidRPr="00220C32" w:rsidRDefault="00737AB0" w:rsidP="00737AB0">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0C32">
        <w:rPr>
          <w:rFonts w:asciiTheme="minorEastAsia" w:eastAsiaTheme="minorEastAsia" w:hAnsiTheme="minorEastAsia"/>
          <w:b/>
          <w:bCs/>
          <w:color w:val="000000" w:themeColor="text1"/>
          <w:kern w:val="0"/>
          <w:sz w:val="24"/>
        </w:rPr>
        <w:t xml:space="preserve">5.2 </w:t>
      </w:r>
      <w:r w:rsidRPr="00220C32">
        <w:rPr>
          <w:rFonts w:asciiTheme="minorEastAsia" w:eastAsiaTheme="minorEastAsia" w:hAnsiTheme="minorEastAsia" w:hint="eastAsia"/>
          <w:b/>
          <w:bCs/>
          <w:color w:val="000000" w:themeColor="text1"/>
          <w:kern w:val="0"/>
          <w:sz w:val="24"/>
        </w:rPr>
        <w:t>报告期末按行业分类的股票投资组合</w:t>
      </w:r>
    </w:p>
    <w:p w:rsidR="00737AB0" w:rsidRPr="000D7474" w:rsidRDefault="00737AB0" w:rsidP="00737AB0">
      <w:pPr>
        <w:rPr>
          <w:rFonts w:asciiTheme="minorEastAsia" w:eastAsiaTheme="minorEastAsia" w:hAnsiTheme="minorEastAsia"/>
          <w:b/>
          <w:bCs/>
          <w:color w:val="000000" w:themeColor="text1"/>
          <w:kern w:val="0"/>
          <w:sz w:val="24"/>
        </w:rPr>
      </w:pPr>
      <w:r w:rsidRPr="000D7474">
        <w:rPr>
          <w:rFonts w:asciiTheme="minorEastAsia" w:eastAsiaTheme="minorEastAsia" w:hAnsiTheme="minorEastAsia" w:hint="eastAsia"/>
          <w:b/>
          <w:bCs/>
          <w:color w:val="000000" w:themeColor="text1"/>
          <w:kern w:val="0"/>
          <w:sz w:val="24"/>
        </w:rPr>
        <w:t>5.2.1报告期末按行业分类的境内股票投资组合</w:t>
      </w:r>
    </w:p>
    <w:tbl>
      <w:tblPr>
        <w:tblW w:w="89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5"/>
        <w:gridCol w:w="3691"/>
        <w:gridCol w:w="2852"/>
        <w:gridCol w:w="1648"/>
      </w:tblGrid>
      <w:tr w:rsidR="00737AB0" w:rsidRPr="008C2A4F" w:rsidTr="00737AB0">
        <w:trPr>
          <w:trHeight w:val="390"/>
        </w:trPr>
        <w:tc>
          <w:tcPr>
            <w:tcW w:w="785" w:type="dxa"/>
            <w:tcBorders>
              <w:top w:val="single" w:sz="4" w:space="0" w:color="000000"/>
              <w:left w:val="single" w:sz="4" w:space="0" w:color="000000"/>
              <w:bottom w:val="single" w:sz="4" w:space="0" w:color="000000"/>
              <w:right w:val="single" w:sz="4" w:space="0" w:color="000000"/>
            </w:tcBorders>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占基金资产净值比例（％）</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autoSpaceDE w:val="0"/>
              <w:autoSpaceDN w:val="0"/>
              <w:adjustRightInd w:val="0"/>
              <w:spacing w:before="29" w:line="360" w:lineRule="auto"/>
              <w:ind w:left="15"/>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utoSpaceDE w:val="0"/>
              <w:autoSpaceDN w:val="0"/>
              <w:adjustRightInd w:val="0"/>
              <w:spacing w:before="29" w:line="360" w:lineRule="auto"/>
              <w:ind w:left="15"/>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19,932,646.10</w:t>
            </w:r>
          </w:p>
          <w:p w:rsidR="00737AB0" w:rsidRPr="008C2A4F" w:rsidRDefault="00737AB0" w:rsidP="00D94F96">
            <w:pPr>
              <w:jc w:val="right"/>
              <w:rPr>
                <w:rFonts w:eastAsiaTheme="minorEastAsia"/>
                <w:color w:val="000000" w:themeColor="text1"/>
                <w:kern w:val="0"/>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3.92</w:t>
            </w:r>
          </w:p>
          <w:p w:rsidR="00737AB0" w:rsidRPr="008C2A4F" w:rsidRDefault="00737AB0" w:rsidP="00D94F96">
            <w:pPr>
              <w:jc w:val="right"/>
              <w:rPr>
                <w:rFonts w:eastAsiaTheme="minorEastAsia"/>
                <w:color w:val="000000" w:themeColor="text1"/>
                <w:kern w:val="0"/>
                <w:sz w:val="24"/>
              </w:rPr>
            </w:pP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144,556,933.83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28.46</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16,985,583.42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3.34</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8,365,971.00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1.65</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4,707,298.23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0.93</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261,847,584.32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51.55</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11,997,640.10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2.36</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6,929,205.00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1.36</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5,399,705.92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1.06</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480,722,567.92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94.64</w:t>
            </w:r>
          </w:p>
        </w:tc>
      </w:tr>
    </w:tbl>
    <w:p w:rsidR="000F2837" w:rsidRPr="000F2837" w:rsidRDefault="001C36D8" w:rsidP="000F2837">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5.3</w:t>
      </w:r>
      <w:r w:rsidR="00291A74" w:rsidRPr="00291A74">
        <w:rPr>
          <w:rFonts w:ascii="宋体" w:hAnsi="宋体" w:cs="Arial" w:hint="eastAsia"/>
          <w:b/>
          <w:color w:val="000000"/>
          <w:kern w:val="0"/>
          <w:sz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0F2837" w:rsidRPr="00264E55" w:rsidTr="002406DE">
        <w:tc>
          <w:tcPr>
            <w:tcW w:w="851"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序号</w:t>
            </w:r>
          </w:p>
        </w:tc>
        <w:tc>
          <w:tcPr>
            <w:tcW w:w="1276"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股票代码</w:t>
            </w:r>
          </w:p>
        </w:tc>
        <w:tc>
          <w:tcPr>
            <w:tcW w:w="1418"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股票名称</w:t>
            </w:r>
          </w:p>
        </w:tc>
        <w:tc>
          <w:tcPr>
            <w:tcW w:w="1701"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数量（股）</w:t>
            </w:r>
          </w:p>
        </w:tc>
        <w:tc>
          <w:tcPr>
            <w:tcW w:w="1984" w:type="dxa"/>
            <w:vAlign w:val="center"/>
          </w:tcPr>
          <w:p w:rsidR="000F2837" w:rsidRPr="00232B03" w:rsidRDefault="000F2837" w:rsidP="002406DE">
            <w:pPr>
              <w:autoSpaceDE w:val="0"/>
              <w:autoSpaceDN w:val="0"/>
              <w:adjustRightInd w:val="0"/>
              <w:spacing w:before="29" w:line="360" w:lineRule="auto"/>
              <w:ind w:left="17"/>
              <w:jc w:val="center"/>
              <w:rPr>
                <w:color w:val="000000"/>
                <w:kern w:val="0"/>
                <w:sz w:val="24"/>
              </w:rPr>
            </w:pPr>
            <w:r w:rsidRPr="00232B03">
              <w:rPr>
                <w:color w:val="000000"/>
                <w:kern w:val="0"/>
                <w:sz w:val="24"/>
              </w:rPr>
              <w:t>公允价值（元）</w:t>
            </w:r>
          </w:p>
        </w:tc>
        <w:tc>
          <w:tcPr>
            <w:tcW w:w="1559"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占基金资产净值比例（％）</w:t>
            </w:r>
          </w:p>
        </w:tc>
      </w:tr>
      <w:tr w:rsidR="000212D1">
        <w:tc>
          <w:tcPr>
            <w:tcW w:w="0" w:type="auto"/>
            <w:vAlign w:val="center"/>
          </w:tcPr>
          <w:p w:rsidR="000212D1" w:rsidRDefault="00A02DDE">
            <w:pPr>
              <w:jc w:val="center"/>
            </w:pPr>
            <w:r>
              <w:rPr>
                <w:color w:val="000000"/>
                <w:kern w:val="0"/>
                <w:sz w:val="24"/>
              </w:rPr>
              <w:t>1</w:t>
            </w:r>
          </w:p>
        </w:tc>
        <w:tc>
          <w:tcPr>
            <w:tcW w:w="0" w:type="auto"/>
            <w:vAlign w:val="center"/>
          </w:tcPr>
          <w:p w:rsidR="000212D1" w:rsidRDefault="00A02DDE">
            <w:pPr>
              <w:jc w:val="center"/>
            </w:pPr>
            <w:r>
              <w:rPr>
                <w:color w:val="000000"/>
                <w:kern w:val="0"/>
                <w:sz w:val="24"/>
              </w:rPr>
              <w:t>601318</w:t>
            </w:r>
          </w:p>
        </w:tc>
        <w:tc>
          <w:tcPr>
            <w:tcW w:w="0" w:type="auto"/>
            <w:vAlign w:val="center"/>
          </w:tcPr>
          <w:p w:rsidR="000212D1" w:rsidRDefault="00A02DDE">
            <w:pPr>
              <w:jc w:val="center"/>
            </w:pPr>
            <w:r>
              <w:rPr>
                <w:color w:val="000000"/>
                <w:kern w:val="0"/>
                <w:sz w:val="24"/>
              </w:rPr>
              <w:t>中国平安</w:t>
            </w:r>
          </w:p>
        </w:tc>
        <w:tc>
          <w:tcPr>
            <w:tcW w:w="0" w:type="auto"/>
            <w:vAlign w:val="center"/>
          </w:tcPr>
          <w:p w:rsidR="000212D1" w:rsidRDefault="00A02DDE">
            <w:pPr>
              <w:jc w:val="right"/>
            </w:pPr>
            <w:r>
              <w:rPr>
                <w:color w:val="000000"/>
                <w:kern w:val="0"/>
                <w:sz w:val="24"/>
              </w:rPr>
              <w:t>863,867</w:t>
            </w:r>
          </w:p>
        </w:tc>
        <w:tc>
          <w:tcPr>
            <w:tcW w:w="0" w:type="auto"/>
            <w:vAlign w:val="center"/>
          </w:tcPr>
          <w:p w:rsidR="000212D1" w:rsidRDefault="00A02DDE">
            <w:pPr>
              <w:jc w:val="right"/>
            </w:pPr>
            <w:r>
              <w:rPr>
                <w:color w:val="000000"/>
                <w:kern w:val="0"/>
                <w:sz w:val="24"/>
              </w:rPr>
              <w:t>73,826,073.82</w:t>
            </w:r>
          </w:p>
        </w:tc>
        <w:tc>
          <w:tcPr>
            <w:tcW w:w="0" w:type="auto"/>
            <w:vAlign w:val="center"/>
          </w:tcPr>
          <w:p w:rsidR="000212D1" w:rsidRDefault="00A02DDE">
            <w:pPr>
              <w:jc w:val="right"/>
            </w:pPr>
            <w:r>
              <w:rPr>
                <w:color w:val="000000"/>
                <w:kern w:val="0"/>
                <w:sz w:val="24"/>
              </w:rPr>
              <w:t>14.53</w:t>
            </w:r>
          </w:p>
        </w:tc>
      </w:tr>
      <w:tr w:rsidR="000212D1">
        <w:tc>
          <w:tcPr>
            <w:tcW w:w="0" w:type="auto"/>
            <w:vAlign w:val="center"/>
          </w:tcPr>
          <w:p w:rsidR="000212D1" w:rsidRDefault="00A02DDE">
            <w:pPr>
              <w:jc w:val="center"/>
            </w:pPr>
            <w:r>
              <w:rPr>
                <w:color w:val="000000"/>
                <w:kern w:val="0"/>
                <w:sz w:val="24"/>
              </w:rPr>
              <w:t>2</w:t>
            </w:r>
          </w:p>
        </w:tc>
        <w:tc>
          <w:tcPr>
            <w:tcW w:w="0" w:type="auto"/>
            <w:vAlign w:val="center"/>
          </w:tcPr>
          <w:p w:rsidR="000212D1" w:rsidRDefault="00A02DDE">
            <w:pPr>
              <w:jc w:val="center"/>
            </w:pPr>
            <w:r>
              <w:rPr>
                <w:color w:val="000000"/>
                <w:kern w:val="0"/>
                <w:sz w:val="24"/>
              </w:rPr>
              <w:t>600519</w:t>
            </w:r>
          </w:p>
        </w:tc>
        <w:tc>
          <w:tcPr>
            <w:tcW w:w="0" w:type="auto"/>
            <w:vAlign w:val="center"/>
          </w:tcPr>
          <w:p w:rsidR="000212D1" w:rsidRDefault="00A02DDE">
            <w:pPr>
              <w:jc w:val="center"/>
            </w:pPr>
            <w:r>
              <w:rPr>
                <w:color w:val="000000"/>
                <w:kern w:val="0"/>
                <w:sz w:val="24"/>
              </w:rPr>
              <w:t>贵州茅台</w:t>
            </w:r>
          </w:p>
        </w:tc>
        <w:tc>
          <w:tcPr>
            <w:tcW w:w="0" w:type="auto"/>
            <w:vAlign w:val="center"/>
          </w:tcPr>
          <w:p w:rsidR="000212D1" w:rsidRDefault="00A02DDE">
            <w:pPr>
              <w:jc w:val="right"/>
            </w:pPr>
            <w:r>
              <w:rPr>
                <w:color w:val="000000"/>
                <w:kern w:val="0"/>
                <w:sz w:val="24"/>
              </w:rPr>
              <w:t>40,101</w:t>
            </w:r>
          </w:p>
        </w:tc>
        <w:tc>
          <w:tcPr>
            <w:tcW w:w="0" w:type="auto"/>
            <w:vAlign w:val="center"/>
          </w:tcPr>
          <w:p w:rsidR="000212D1" w:rsidRDefault="00A02DDE">
            <w:pPr>
              <w:jc w:val="right"/>
            </w:pPr>
            <w:r>
              <w:rPr>
                <w:color w:val="000000"/>
                <w:kern w:val="0"/>
                <w:sz w:val="24"/>
              </w:rPr>
              <w:t>47,439,483.00</w:t>
            </w:r>
          </w:p>
        </w:tc>
        <w:tc>
          <w:tcPr>
            <w:tcW w:w="0" w:type="auto"/>
            <w:vAlign w:val="center"/>
          </w:tcPr>
          <w:p w:rsidR="000212D1" w:rsidRDefault="00A02DDE">
            <w:pPr>
              <w:jc w:val="right"/>
            </w:pPr>
            <w:r>
              <w:rPr>
                <w:color w:val="000000"/>
                <w:kern w:val="0"/>
                <w:sz w:val="24"/>
              </w:rPr>
              <w:t>9.34</w:t>
            </w:r>
          </w:p>
        </w:tc>
      </w:tr>
      <w:tr w:rsidR="000212D1">
        <w:tc>
          <w:tcPr>
            <w:tcW w:w="0" w:type="auto"/>
            <w:vAlign w:val="center"/>
          </w:tcPr>
          <w:p w:rsidR="000212D1" w:rsidRDefault="00A02DDE">
            <w:pPr>
              <w:jc w:val="center"/>
            </w:pPr>
            <w:r>
              <w:rPr>
                <w:color w:val="000000"/>
                <w:kern w:val="0"/>
                <w:sz w:val="24"/>
              </w:rPr>
              <w:t>3</w:t>
            </w:r>
          </w:p>
        </w:tc>
        <w:tc>
          <w:tcPr>
            <w:tcW w:w="0" w:type="auto"/>
            <w:vAlign w:val="center"/>
          </w:tcPr>
          <w:p w:rsidR="000212D1" w:rsidRDefault="00A02DDE">
            <w:pPr>
              <w:jc w:val="center"/>
            </w:pPr>
            <w:r>
              <w:rPr>
                <w:color w:val="000000"/>
                <w:kern w:val="0"/>
                <w:sz w:val="24"/>
              </w:rPr>
              <w:t>600036</w:t>
            </w:r>
          </w:p>
        </w:tc>
        <w:tc>
          <w:tcPr>
            <w:tcW w:w="0" w:type="auto"/>
            <w:vAlign w:val="center"/>
          </w:tcPr>
          <w:p w:rsidR="000212D1" w:rsidRDefault="00A02DDE">
            <w:pPr>
              <w:jc w:val="center"/>
            </w:pPr>
            <w:r>
              <w:rPr>
                <w:color w:val="000000"/>
                <w:kern w:val="0"/>
                <w:sz w:val="24"/>
              </w:rPr>
              <w:t>招商银行</w:t>
            </w:r>
          </w:p>
        </w:tc>
        <w:tc>
          <w:tcPr>
            <w:tcW w:w="0" w:type="auto"/>
            <w:vAlign w:val="center"/>
          </w:tcPr>
          <w:p w:rsidR="000212D1" w:rsidRDefault="00A02DDE">
            <w:pPr>
              <w:jc w:val="right"/>
            </w:pPr>
            <w:r>
              <w:rPr>
                <w:color w:val="000000"/>
                <w:kern w:val="0"/>
                <w:sz w:val="24"/>
              </w:rPr>
              <w:t>822,575</w:t>
            </w:r>
          </w:p>
        </w:tc>
        <w:tc>
          <w:tcPr>
            <w:tcW w:w="0" w:type="auto"/>
            <w:vAlign w:val="center"/>
          </w:tcPr>
          <w:p w:rsidR="000212D1" w:rsidRDefault="00A02DDE">
            <w:pPr>
              <w:jc w:val="right"/>
            </w:pPr>
            <w:r>
              <w:rPr>
                <w:color w:val="000000"/>
                <w:kern w:val="0"/>
                <w:sz w:val="24"/>
              </w:rPr>
              <w:t>30,912,368.50</w:t>
            </w:r>
          </w:p>
        </w:tc>
        <w:tc>
          <w:tcPr>
            <w:tcW w:w="0" w:type="auto"/>
            <w:vAlign w:val="center"/>
          </w:tcPr>
          <w:p w:rsidR="000212D1" w:rsidRDefault="00A02DDE">
            <w:pPr>
              <w:jc w:val="right"/>
            </w:pPr>
            <w:r>
              <w:rPr>
                <w:color w:val="000000"/>
                <w:kern w:val="0"/>
                <w:sz w:val="24"/>
              </w:rPr>
              <w:t>6.09</w:t>
            </w:r>
          </w:p>
        </w:tc>
      </w:tr>
      <w:tr w:rsidR="000212D1">
        <w:tc>
          <w:tcPr>
            <w:tcW w:w="0" w:type="auto"/>
            <w:vAlign w:val="center"/>
          </w:tcPr>
          <w:p w:rsidR="000212D1" w:rsidRDefault="00A02DDE">
            <w:pPr>
              <w:jc w:val="center"/>
            </w:pPr>
            <w:r>
              <w:rPr>
                <w:color w:val="000000"/>
                <w:kern w:val="0"/>
                <w:sz w:val="24"/>
              </w:rPr>
              <w:t>4</w:t>
            </w:r>
          </w:p>
        </w:tc>
        <w:tc>
          <w:tcPr>
            <w:tcW w:w="0" w:type="auto"/>
            <w:vAlign w:val="center"/>
          </w:tcPr>
          <w:p w:rsidR="000212D1" w:rsidRDefault="00A02DDE">
            <w:pPr>
              <w:jc w:val="center"/>
            </w:pPr>
            <w:r>
              <w:rPr>
                <w:color w:val="000000"/>
                <w:kern w:val="0"/>
                <w:sz w:val="24"/>
              </w:rPr>
              <w:t>601166</w:t>
            </w:r>
          </w:p>
        </w:tc>
        <w:tc>
          <w:tcPr>
            <w:tcW w:w="0" w:type="auto"/>
            <w:vAlign w:val="center"/>
          </w:tcPr>
          <w:p w:rsidR="000212D1" w:rsidRDefault="00A02DDE">
            <w:pPr>
              <w:jc w:val="center"/>
            </w:pPr>
            <w:r>
              <w:rPr>
                <w:color w:val="000000"/>
                <w:kern w:val="0"/>
                <w:sz w:val="24"/>
              </w:rPr>
              <w:t>兴业银行</w:t>
            </w:r>
          </w:p>
        </w:tc>
        <w:tc>
          <w:tcPr>
            <w:tcW w:w="0" w:type="auto"/>
            <w:vAlign w:val="center"/>
          </w:tcPr>
          <w:p w:rsidR="000212D1" w:rsidRDefault="00A02DDE">
            <w:pPr>
              <w:jc w:val="right"/>
            </w:pPr>
            <w:r>
              <w:rPr>
                <w:color w:val="000000"/>
                <w:kern w:val="0"/>
                <w:sz w:val="24"/>
              </w:rPr>
              <w:t>1,159,614</w:t>
            </w:r>
          </w:p>
        </w:tc>
        <w:tc>
          <w:tcPr>
            <w:tcW w:w="0" w:type="auto"/>
            <w:vAlign w:val="center"/>
          </w:tcPr>
          <w:p w:rsidR="000212D1" w:rsidRDefault="00A02DDE">
            <w:pPr>
              <w:jc w:val="right"/>
            </w:pPr>
            <w:r>
              <w:rPr>
                <w:color w:val="000000"/>
                <w:kern w:val="0"/>
                <w:sz w:val="24"/>
              </w:rPr>
              <w:t>22,960,357.20</w:t>
            </w:r>
          </w:p>
        </w:tc>
        <w:tc>
          <w:tcPr>
            <w:tcW w:w="0" w:type="auto"/>
            <w:vAlign w:val="center"/>
          </w:tcPr>
          <w:p w:rsidR="000212D1" w:rsidRDefault="00A02DDE">
            <w:pPr>
              <w:jc w:val="right"/>
            </w:pPr>
            <w:r>
              <w:rPr>
                <w:color w:val="000000"/>
                <w:kern w:val="0"/>
                <w:sz w:val="24"/>
              </w:rPr>
              <w:t>4.52</w:t>
            </w:r>
          </w:p>
        </w:tc>
      </w:tr>
      <w:tr w:rsidR="000212D1">
        <w:tc>
          <w:tcPr>
            <w:tcW w:w="0" w:type="auto"/>
            <w:vAlign w:val="center"/>
          </w:tcPr>
          <w:p w:rsidR="000212D1" w:rsidRDefault="00A02DDE">
            <w:pPr>
              <w:jc w:val="center"/>
            </w:pPr>
            <w:r>
              <w:rPr>
                <w:color w:val="000000"/>
                <w:kern w:val="0"/>
                <w:sz w:val="24"/>
              </w:rPr>
              <w:t>5</w:t>
            </w:r>
          </w:p>
        </w:tc>
        <w:tc>
          <w:tcPr>
            <w:tcW w:w="0" w:type="auto"/>
            <w:vAlign w:val="center"/>
          </w:tcPr>
          <w:p w:rsidR="000212D1" w:rsidRDefault="00A02DDE">
            <w:pPr>
              <w:jc w:val="center"/>
            </w:pPr>
            <w:r>
              <w:rPr>
                <w:color w:val="000000"/>
                <w:kern w:val="0"/>
                <w:sz w:val="24"/>
              </w:rPr>
              <w:t>600276</w:t>
            </w:r>
          </w:p>
        </w:tc>
        <w:tc>
          <w:tcPr>
            <w:tcW w:w="0" w:type="auto"/>
            <w:vAlign w:val="center"/>
          </w:tcPr>
          <w:p w:rsidR="000212D1" w:rsidRDefault="00A02DDE">
            <w:pPr>
              <w:jc w:val="center"/>
            </w:pPr>
            <w:r>
              <w:rPr>
                <w:color w:val="000000"/>
                <w:kern w:val="0"/>
                <w:sz w:val="24"/>
              </w:rPr>
              <w:t>恒瑞医药</w:t>
            </w:r>
          </w:p>
        </w:tc>
        <w:tc>
          <w:tcPr>
            <w:tcW w:w="0" w:type="auto"/>
            <w:vAlign w:val="center"/>
          </w:tcPr>
          <w:p w:rsidR="000212D1" w:rsidRDefault="00A02DDE">
            <w:pPr>
              <w:jc w:val="right"/>
            </w:pPr>
            <w:r>
              <w:rPr>
                <w:color w:val="000000"/>
                <w:kern w:val="0"/>
                <w:sz w:val="24"/>
              </w:rPr>
              <w:t>246,885</w:t>
            </w:r>
          </w:p>
        </w:tc>
        <w:tc>
          <w:tcPr>
            <w:tcW w:w="0" w:type="auto"/>
            <w:vAlign w:val="center"/>
          </w:tcPr>
          <w:p w:rsidR="000212D1" w:rsidRDefault="00A02DDE">
            <w:pPr>
              <w:jc w:val="right"/>
            </w:pPr>
            <w:r>
              <w:rPr>
                <w:color w:val="000000"/>
                <w:kern w:val="0"/>
                <w:sz w:val="24"/>
              </w:rPr>
              <w:t>21,607,375.20</w:t>
            </w:r>
          </w:p>
        </w:tc>
        <w:tc>
          <w:tcPr>
            <w:tcW w:w="0" w:type="auto"/>
            <w:vAlign w:val="center"/>
          </w:tcPr>
          <w:p w:rsidR="000212D1" w:rsidRDefault="00A02DDE">
            <w:pPr>
              <w:jc w:val="right"/>
            </w:pPr>
            <w:r>
              <w:rPr>
                <w:color w:val="000000"/>
                <w:kern w:val="0"/>
                <w:sz w:val="24"/>
              </w:rPr>
              <w:t>4.25</w:t>
            </w:r>
          </w:p>
        </w:tc>
      </w:tr>
      <w:tr w:rsidR="000212D1">
        <w:tc>
          <w:tcPr>
            <w:tcW w:w="0" w:type="auto"/>
            <w:vAlign w:val="center"/>
          </w:tcPr>
          <w:p w:rsidR="000212D1" w:rsidRDefault="00A02DDE">
            <w:pPr>
              <w:jc w:val="center"/>
            </w:pPr>
            <w:r>
              <w:rPr>
                <w:color w:val="000000"/>
                <w:kern w:val="0"/>
                <w:sz w:val="24"/>
              </w:rPr>
              <w:t>6</w:t>
            </w:r>
          </w:p>
        </w:tc>
        <w:tc>
          <w:tcPr>
            <w:tcW w:w="0" w:type="auto"/>
            <w:vAlign w:val="center"/>
          </w:tcPr>
          <w:p w:rsidR="000212D1" w:rsidRDefault="00A02DDE">
            <w:pPr>
              <w:jc w:val="center"/>
            </w:pPr>
            <w:r>
              <w:rPr>
                <w:color w:val="000000"/>
                <w:kern w:val="0"/>
                <w:sz w:val="24"/>
              </w:rPr>
              <w:t>600030</w:t>
            </w:r>
          </w:p>
        </w:tc>
        <w:tc>
          <w:tcPr>
            <w:tcW w:w="0" w:type="auto"/>
            <w:vAlign w:val="center"/>
          </w:tcPr>
          <w:p w:rsidR="000212D1" w:rsidRDefault="00A02DDE">
            <w:pPr>
              <w:jc w:val="center"/>
            </w:pPr>
            <w:r>
              <w:rPr>
                <w:color w:val="000000"/>
                <w:kern w:val="0"/>
                <w:sz w:val="24"/>
              </w:rPr>
              <w:t>中信证券</w:t>
            </w:r>
          </w:p>
        </w:tc>
        <w:tc>
          <w:tcPr>
            <w:tcW w:w="0" w:type="auto"/>
            <w:vAlign w:val="center"/>
          </w:tcPr>
          <w:p w:rsidR="000212D1" w:rsidRDefault="00A02DDE">
            <w:pPr>
              <w:jc w:val="right"/>
            </w:pPr>
            <w:r>
              <w:rPr>
                <w:color w:val="000000"/>
                <w:kern w:val="0"/>
                <w:sz w:val="24"/>
              </w:rPr>
              <w:t>627,709</w:t>
            </w:r>
          </w:p>
        </w:tc>
        <w:tc>
          <w:tcPr>
            <w:tcW w:w="0" w:type="auto"/>
            <w:vAlign w:val="center"/>
          </w:tcPr>
          <w:p w:rsidR="000212D1" w:rsidRDefault="00A02DDE">
            <w:pPr>
              <w:jc w:val="right"/>
            </w:pPr>
            <w:r>
              <w:rPr>
                <w:color w:val="000000"/>
                <w:kern w:val="0"/>
                <w:sz w:val="24"/>
              </w:rPr>
              <w:t>15,881,037.70</w:t>
            </w:r>
          </w:p>
        </w:tc>
        <w:tc>
          <w:tcPr>
            <w:tcW w:w="0" w:type="auto"/>
            <w:vAlign w:val="center"/>
          </w:tcPr>
          <w:p w:rsidR="000212D1" w:rsidRDefault="00A02DDE">
            <w:pPr>
              <w:jc w:val="right"/>
            </w:pPr>
            <w:r>
              <w:rPr>
                <w:color w:val="000000"/>
                <w:kern w:val="0"/>
                <w:sz w:val="24"/>
              </w:rPr>
              <w:t>3.13</w:t>
            </w:r>
          </w:p>
        </w:tc>
      </w:tr>
      <w:tr w:rsidR="000212D1">
        <w:tc>
          <w:tcPr>
            <w:tcW w:w="0" w:type="auto"/>
            <w:vAlign w:val="center"/>
          </w:tcPr>
          <w:p w:rsidR="000212D1" w:rsidRDefault="00A02DDE">
            <w:pPr>
              <w:jc w:val="center"/>
            </w:pPr>
            <w:r>
              <w:rPr>
                <w:color w:val="000000"/>
                <w:kern w:val="0"/>
                <w:sz w:val="24"/>
              </w:rPr>
              <w:t>7</w:t>
            </w:r>
          </w:p>
        </w:tc>
        <w:tc>
          <w:tcPr>
            <w:tcW w:w="0" w:type="auto"/>
            <w:vAlign w:val="center"/>
          </w:tcPr>
          <w:p w:rsidR="000212D1" w:rsidRDefault="00A02DDE">
            <w:pPr>
              <w:jc w:val="center"/>
            </w:pPr>
            <w:r>
              <w:rPr>
                <w:color w:val="000000"/>
                <w:kern w:val="0"/>
                <w:sz w:val="24"/>
              </w:rPr>
              <w:t>600887</w:t>
            </w:r>
          </w:p>
        </w:tc>
        <w:tc>
          <w:tcPr>
            <w:tcW w:w="0" w:type="auto"/>
            <w:vAlign w:val="center"/>
          </w:tcPr>
          <w:p w:rsidR="000212D1" w:rsidRDefault="00A02DDE">
            <w:pPr>
              <w:jc w:val="center"/>
            </w:pPr>
            <w:r>
              <w:rPr>
                <w:color w:val="000000"/>
                <w:kern w:val="0"/>
                <w:sz w:val="24"/>
              </w:rPr>
              <w:t>伊利股份</w:t>
            </w:r>
          </w:p>
        </w:tc>
        <w:tc>
          <w:tcPr>
            <w:tcW w:w="0" w:type="auto"/>
            <w:vAlign w:val="center"/>
          </w:tcPr>
          <w:p w:rsidR="000212D1" w:rsidRDefault="00A02DDE">
            <w:pPr>
              <w:jc w:val="right"/>
            </w:pPr>
            <w:r>
              <w:rPr>
                <w:color w:val="000000"/>
                <w:kern w:val="0"/>
                <w:sz w:val="24"/>
              </w:rPr>
              <w:t>486,211</w:t>
            </w:r>
          </w:p>
        </w:tc>
        <w:tc>
          <w:tcPr>
            <w:tcW w:w="0" w:type="auto"/>
            <w:vAlign w:val="center"/>
          </w:tcPr>
          <w:p w:rsidR="000212D1" w:rsidRDefault="00A02DDE">
            <w:pPr>
              <w:jc w:val="right"/>
            </w:pPr>
            <w:r>
              <w:rPr>
                <w:color w:val="000000"/>
                <w:kern w:val="0"/>
                <w:sz w:val="24"/>
              </w:rPr>
              <w:t>15,043,368.34</w:t>
            </w:r>
          </w:p>
        </w:tc>
        <w:tc>
          <w:tcPr>
            <w:tcW w:w="0" w:type="auto"/>
            <w:vAlign w:val="center"/>
          </w:tcPr>
          <w:p w:rsidR="000212D1" w:rsidRDefault="00A02DDE">
            <w:pPr>
              <w:jc w:val="right"/>
            </w:pPr>
            <w:r>
              <w:rPr>
                <w:color w:val="000000"/>
                <w:kern w:val="0"/>
                <w:sz w:val="24"/>
              </w:rPr>
              <w:t>2.96</w:t>
            </w:r>
          </w:p>
        </w:tc>
      </w:tr>
      <w:tr w:rsidR="000212D1">
        <w:tc>
          <w:tcPr>
            <w:tcW w:w="0" w:type="auto"/>
            <w:vAlign w:val="center"/>
          </w:tcPr>
          <w:p w:rsidR="000212D1" w:rsidRDefault="00A02DDE">
            <w:pPr>
              <w:jc w:val="center"/>
            </w:pPr>
            <w:r>
              <w:rPr>
                <w:color w:val="000000"/>
                <w:kern w:val="0"/>
                <w:sz w:val="24"/>
              </w:rPr>
              <w:t>8</w:t>
            </w:r>
          </w:p>
        </w:tc>
        <w:tc>
          <w:tcPr>
            <w:tcW w:w="0" w:type="auto"/>
            <w:vAlign w:val="center"/>
          </w:tcPr>
          <w:p w:rsidR="000212D1" w:rsidRDefault="00A02DDE">
            <w:pPr>
              <w:jc w:val="center"/>
            </w:pPr>
            <w:r>
              <w:rPr>
                <w:color w:val="000000"/>
                <w:kern w:val="0"/>
                <w:sz w:val="24"/>
              </w:rPr>
              <w:t>600016</w:t>
            </w:r>
          </w:p>
        </w:tc>
        <w:tc>
          <w:tcPr>
            <w:tcW w:w="0" w:type="auto"/>
            <w:vAlign w:val="center"/>
          </w:tcPr>
          <w:p w:rsidR="000212D1" w:rsidRDefault="00A02DDE">
            <w:pPr>
              <w:jc w:val="center"/>
            </w:pPr>
            <w:r>
              <w:rPr>
                <w:color w:val="000000"/>
                <w:kern w:val="0"/>
                <w:sz w:val="24"/>
              </w:rPr>
              <w:t>民生银行</w:t>
            </w:r>
          </w:p>
        </w:tc>
        <w:tc>
          <w:tcPr>
            <w:tcW w:w="0" w:type="auto"/>
            <w:vAlign w:val="center"/>
          </w:tcPr>
          <w:p w:rsidR="000212D1" w:rsidRDefault="00A02DDE">
            <w:pPr>
              <w:jc w:val="right"/>
            </w:pPr>
            <w:r>
              <w:rPr>
                <w:color w:val="000000"/>
                <w:kern w:val="0"/>
                <w:sz w:val="24"/>
              </w:rPr>
              <w:t>1,979,526</w:t>
            </w:r>
          </w:p>
        </w:tc>
        <w:tc>
          <w:tcPr>
            <w:tcW w:w="0" w:type="auto"/>
            <w:vAlign w:val="center"/>
          </w:tcPr>
          <w:p w:rsidR="000212D1" w:rsidRDefault="00A02DDE">
            <w:pPr>
              <w:jc w:val="right"/>
            </w:pPr>
            <w:r>
              <w:rPr>
                <w:color w:val="000000"/>
                <w:kern w:val="0"/>
                <w:sz w:val="24"/>
              </w:rPr>
              <w:t>12,490,809.06</w:t>
            </w:r>
          </w:p>
        </w:tc>
        <w:tc>
          <w:tcPr>
            <w:tcW w:w="0" w:type="auto"/>
            <w:vAlign w:val="center"/>
          </w:tcPr>
          <w:p w:rsidR="000212D1" w:rsidRDefault="00A02DDE">
            <w:pPr>
              <w:jc w:val="right"/>
            </w:pPr>
            <w:r>
              <w:rPr>
                <w:color w:val="000000"/>
                <w:kern w:val="0"/>
                <w:sz w:val="24"/>
              </w:rPr>
              <w:t>2.46</w:t>
            </w:r>
          </w:p>
        </w:tc>
      </w:tr>
      <w:tr w:rsidR="000212D1">
        <w:tc>
          <w:tcPr>
            <w:tcW w:w="0" w:type="auto"/>
            <w:vAlign w:val="center"/>
          </w:tcPr>
          <w:p w:rsidR="000212D1" w:rsidRDefault="00A02DDE">
            <w:pPr>
              <w:jc w:val="center"/>
            </w:pPr>
            <w:r>
              <w:rPr>
                <w:color w:val="000000"/>
                <w:kern w:val="0"/>
                <w:sz w:val="24"/>
              </w:rPr>
              <w:t>9</w:t>
            </w:r>
          </w:p>
        </w:tc>
        <w:tc>
          <w:tcPr>
            <w:tcW w:w="0" w:type="auto"/>
            <w:vAlign w:val="center"/>
          </w:tcPr>
          <w:p w:rsidR="000212D1" w:rsidRDefault="00A02DDE">
            <w:pPr>
              <w:jc w:val="center"/>
            </w:pPr>
            <w:r>
              <w:rPr>
                <w:color w:val="000000"/>
                <w:kern w:val="0"/>
                <w:sz w:val="24"/>
              </w:rPr>
              <w:t>601328</w:t>
            </w:r>
          </w:p>
        </w:tc>
        <w:tc>
          <w:tcPr>
            <w:tcW w:w="0" w:type="auto"/>
            <w:vAlign w:val="center"/>
          </w:tcPr>
          <w:p w:rsidR="000212D1" w:rsidRDefault="00A02DDE">
            <w:pPr>
              <w:jc w:val="center"/>
            </w:pPr>
            <w:r>
              <w:rPr>
                <w:color w:val="000000"/>
                <w:kern w:val="0"/>
                <w:sz w:val="24"/>
              </w:rPr>
              <w:t>交通银行</w:t>
            </w:r>
          </w:p>
        </w:tc>
        <w:tc>
          <w:tcPr>
            <w:tcW w:w="0" w:type="auto"/>
            <w:vAlign w:val="center"/>
          </w:tcPr>
          <w:p w:rsidR="000212D1" w:rsidRDefault="00A02DDE">
            <w:pPr>
              <w:jc w:val="right"/>
            </w:pPr>
            <w:r>
              <w:rPr>
                <w:color w:val="000000"/>
                <w:kern w:val="0"/>
                <w:sz w:val="24"/>
              </w:rPr>
              <w:t>2,190,943</w:t>
            </w:r>
          </w:p>
        </w:tc>
        <w:tc>
          <w:tcPr>
            <w:tcW w:w="0" w:type="auto"/>
            <w:vAlign w:val="center"/>
          </w:tcPr>
          <w:p w:rsidR="000212D1" w:rsidRDefault="00A02DDE">
            <w:pPr>
              <w:jc w:val="right"/>
            </w:pPr>
            <w:r>
              <w:rPr>
                <w:color w:val="000000"/>
                <w:kern w:val="0"/>
                <w:sz w:val="24"/>
              </w:rPr>
              <w:t>12,335,009.09</w:t>
            </w:r>
          </w:p>
        </w:tc>
        <w:tc>
          <w:tcPr>
            <w:tcW w:w="0" w:type="auto"/>
            <w:vAlign w:val="center"/>
          </w:tcPr>
          <w:p w:rsidR="000212D1" w:rsidRDefault="00A02DDE">
            <w:pPr>
              <w:jc w:val="right"/>
            </w:pPr>
            <w:r>
              <w:rPr>
                <w:color w:val="000000"/>
                <w:kern w:val="0"/>
                <w:sz w:val="24"/>
              </w:rPr>
              <w:t>2.43</w:t>
            </w:r>
          </w:p>
        </w:tc>
      </w:tr>
      <w:tr w:rsidR="000212D1">
        <w:tc>
          <w:tcPr>
            <w:tcW w:w="0" w:type="auto"/>
            <w:vAlign w:val="center"/>
          </w:tcPr>
          <w:p w:rsidR="000212D1" w:rsidRDefault="00A02DDE">
            <w:pPr>
              <w:jc w:val="center"/>
            </w:pPr>
            <w:r>
              <w:rPr>
                <w:color w:val="000000"/>
                <w:kern w:val="0"/>
                <w:sz w:val="24"/>
              </w:rPr>
              <w:t>10</w:t>
            </w:r>
          </w:p>
        </w:tc>
        <w:tc>
          <w:tcPr>
            <w:tcW w:w="0" w:type="auto"/>
            <w:vAlign w:val="center"/>
          </w:tcPr>
          <w:p w:rsidR="000212D1" w:rsidRDefault="00A02DDE">
            <w:pPr>
              <w:jc w:val="center"/>
            </w:pPr>
            <w:r>
              <w:rPr>
                <w:color w:val="000000"/>
                <w:kern w:val="0"/>
                <w:sz w:val="24"/>
              </w:rPr>
              <w:t>600000</w:t>
            </w:r>
          </w:p>
        </w:tc>
        <w:tc>
          <w:tcPr>
            <w:tcW w:w="0" w:type="auto"/>
            <w:vAlign w:val="center"/>
          </w:tcPr>
          <w:p w:rsidR="000212D1" w:rsidRDefault="00A02DDE">
            <w:pPr>
              <w:jc w:val="center"/>
            </w:pPr>
            <w:r>
              <w:rPr>
                <w:color w:val="000000"/>
                <w:kern w:val="0"/>
                <w:sz w:val="24"/>
              </w:rPr>
              <w:t>浦发银行</w:t>
            </w:r>
          </w:p>
        </w:tc>
        <w:tc>
          <w:tcPr>
            <w:tcW w:w="0" w:type="auto"/>
            <w:vAlign w:val="center"/>
          </w:tcPr>
          <w:p w:rsidR="000212D1" w:rsidRDefault="00A02DDE">
            <w:pPr>
              <w:jc w:val="right"/>
            </w:pPr>
            <w:r>
              <w:rPr>
                <w:color w:val="000000"/>
                <w:kern w:val="0"/>
                <w:sz w:val="24"/>
              </w:rPr>
              <w:t>936,253</w:t>
            </w:r>
          </w:p>
        </w:tc>
        <w:tc>
          <w:tcPr>
            <w:tcW w:w="0" w:type="auto"/>
            <w:vAlign w:val="center"/>
          </w:tcPr>
          <w:p w:rsidR="000212D1" w:rsidRDefault="00A02DDE">
            <w:pPr>
              <w:jc w:val="right"/>
            </w:pPr>
            <w:r>
              <w:rPr>
                <w:color w:val="000000"/>
                <w:kern w:val="0"/>
                <w:sz w:val="24"/>
              </w:rPr>
              <w:t>11,581,449.61</w:t>
            </w:r>
          </w:p>
        </w:tc>
        <w:tc>
          <w:tcPr>
            <w:tcW w:w="0" w:type="auto"/>
            <w:vAlign w:val="center"/>
          </w:tcPr>
          <w:p w:rsidR="000212D1" w:rsidRDefault="00A02DDE">
            <w:pPr>
              <w:jc w:val="right"/>
            </w:pPr>
            <w:r>
              <w:rPr>
                <w:color w:val="000000"/>
                <w:kern w:val="0"/>
                <w:sz w:val="24"/>
              </w:rPr>
              <w:t>2.28</w:t>
            </w:r>
          </w:p>
        </w:tc>
      </w:tr>
    </w:tbl>
    <w:p w:rsidR="00653BAC" w:rsidRPr="00653BAC" w:rsidRDefault="001C36D8" w:rsidP="00653BAC">
      <w:pPr>
        <w:autoSpaceDE w:val="0"/>
        <w:autoSpaceDN w:val="0"/>
        <w:adjustRightInd w:val="0"/>
        <w:spacing w:line="360" w:lineRule="auto"/>
        <w:jc w:val="left"/>
        <w:rPr>
          <w:rFonts w:eastAsiaTheme="minorEastAsia"/>
          <w:b/>
          <w:color w:val="000000" w:themeColor="text1"/>
          <w:kern w:val="0"/>
          <w:sz w:val="24"/>
        </w:rPr>
      </w:pPr>
      <w:r w:rsidRPr="00272E0C">
        <w:rPr>
          <w:rFonts w:ascii="宋体" w:hAnsi="宋体" w:cs="Arial"/>
          <w:b/>
          <w:color w:val="000000"/>
          <w:kern w:val="0"/>
          <w:sz w:val="24"/>
        </w:rPr>
        <w:t xml:space="preserve">5.4 </w:t>
      </w:r>
      <w:r w:rsidRPr="00272E0C">
        <w:rPr>
          <w:rFonts w:ascii="宋体" w:hAnsi="宋体" w:cs="Arial" w:hint="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序号</w:t>
            </w:r>
          </w:p>
        </w:tc>
        <w:tc>
          <w:tcPr>
            <w:tcW w:w="3260"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债券品种</w:t>
            </w:r>
          </w:p>
        </w:tc>
        <w:tc>
          <w:tcPr>
            <w:tcW w:w="2835"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公允价值</w:t>
            </w:r>
            <w:r w:rsidRPr="00653BAC">
              <w:rPr>
                <w:rFonts w:eastAsiaTheme="minorEastAsia"/>
                <w:color w:val="000000" w:themeColor="text1"/>
                <w:sz w:val="24"/>
              </w:rPr>
              <w:t>(</w:t>
            </w:r>
            <w:r w:rsidRPr="00653BAC">
              <w:rPr>
                <w:rFonts w:eastAsiaTheme="minorEastAsia"/>
                <w:color w:val="000000" w:themeColor="text1"/>
                <w:sz w:val="24"/>
              </w:rPr>
              <w:t>元</w:t>
            </w: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占基金资产净值比例</w:t>
            </w:r>
            <w:r w:rsidRPr="00653BAC">
              <w:rPr>
                <w:rFonts w:eastAsiaTheme="minorEastAsia"/>
                <w:color w:val="000000" w:themeColor="text1"/>
                <w:sz w:val="24"/>
              </w:rPr>
              <w:t>(</w:t>
            </w:r>
            <w:r w:rsidRPr="00653BAC">
              <w:rPr>
                <w:rFonts w:eastAsiaTheme="minorEastAsia"/>
                <w:color w:val="000000" w:themeColor="text1"/>
                <w:sz w:val="24"/>
              </w:rPr>
              <w:t>％</w:t>
            </w: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1</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国家债券</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2</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央行票据</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3</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金融债券</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其中：政策性金融债</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4</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企业债券</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5</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企业短期融资券</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6</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中期票据</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7</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可转债</w:t>
            </w:r>
            <w:r w:rsidR="00C77034" w:rsidRPr="00C77034">
              <w:rPr>
                <w:rFonts w:eastAsiaTheme="minorEastAsia" w:hint="eastAsia"/>
                <w:color w:val="000000" w:themeColor="text1"/>
                <w:sz w:val="24"/>
              </w:rPr>
              <w:t>（可交换债）</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656,989.22</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0.13</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8</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同业存单</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9</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其他</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10</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合计</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656,989.22</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0.13</w:t>
            </w:r>
          </w:p>
        </w:tc>
      </w:tr>
    </w:tbl>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5.5 </w:t>
      </w:r>
      <w:r w:rsidRPr="00272E0C">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272E0C">
        <w:rPr>
          <w:rFonts w:ascii="宋体" w:hAnsi="宋体" w:cs="Arial" w:hint="eastAsia"/>
          <w:b/>
          <w:color w:val="000000"/>
          <w:kern w:val="0"/>
          <w:sz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18"/>
        <w:gridCol w:w="1701"/>
        <w:gridCol w:w="1559"/>
        <w:gridCol w:w="1843"/>
        <w:gridCol w:w="1190"/>
      </w:tblGrid>
      <w:tr w:rsidR="001C36D8" w:rsidRPr="00272E0C" w:rsidTr="003A20AA">
        <w:tc>
          <w:tcPr>
            <w:tcW w:w="817" w:type="dxa"/>
            <w:vAlign w:val="center"/>
          </w:tcPr>
          <w:p w:rsidR="001C36D8" w:rsidRPr="005B1E0B" w:rsidRDefault="001C36D8" w:rsidP="007A6BEA">
            <w:pPr>
              <w:spacing w:before="29" w:line="360" w:lineRule="auto"/>
              <w:ind w:left="17"/>
              <w:jc w:val="center"/>
              <w:rPr>
                <w:color w:val="000000"/>
                <w:sz w:val="24"/>
              </w:rPr>
            </w:pPr>
            <w:r w:rsidRPr="005B1E0B">
              <w:rPr>
                <w:color w:val="000000"/>
                <w:sz w:val="24"/>
              </w:rPr>
              <w:t>序号</w:t>
            </w:r>
          </w:p>
        </w:tc>
        <w:tc>
          <w:tcPr>
            <w:tcW w:w="1418" w:type="dxa"/>
            <w:vAlign w:val="center"/>
          </w:tcPr>
          <w:p w:rsidR="001C36D8" w:rsidRPr="005B1E0B" w:rsidRDefault="001C36D8" w:rsidP="007A6BEA">
            <w:pPr>
              <w:spacing w:before="29" w:line="360" w:lineRule="auto"/>
              <w:ind w:left="17"/>
              <w:jc w:val="center"/>
              <w:rPr>
                <w:color w:val="000000"/>
                <w:sz w:val="24"/>
              </w:rPr>
            </w:pPr>
            <w:r w:rsidRPr="005B1E0B">
              <w:rPr>
                <w:color w:val="000000"/>
                <w:sz w:val="24"/>
              </w:rPr>
              <w:t>债券代码</w:t>
            </w:r>
          </w:p>
        </w:tc>
        <w:tc>
          <w:tcPr>
            <w:tcW w:w="1701" w:type="dxa"/>
            <w:vAlign w:val="center"/>
          </w:tcPr>
          <w:p w:rsidR="001C36D8" w:rsidRPr="005B1E0B" w:rsidRDefault="001C36D8" w:rsidP="007A6BEA">
            <w:pPr>
              <w:spacing w:before="29" w:line="360" w:lineRule="auto"/>
              <w:ind w:left="17"/>
              <w:jc w:val="center"/>
              <w:rPr>
                <w:color w:val="000000"/>
                <w:sz w:val="24"/>
              </w:rPr>
            </w:pPr>
            <w:r w:rsidRPr="005B1E0B">
              <w:rPr>
                <w:color w:val="000000"/>
                <w:sz w:val="24"/>
              </w:rPr>
              <w:t>债券名称</w:t>
            </w:r>
          </w:p>
        </w:tc>
        <w:tc>
          <w:tcPr>
            <w:tcW w:w="1559"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数量</w:t>
            </w:r>
            <w:r w:rsidR="0015779C" w:rsidRPr="005B1E0B">
              <w:rPr>
                <w:color w:val="000000"/>
                <w:sz w:val="24"/>
              </w:rPr>
              <w:t>（张）</w:t>
            </w:r>
          </w:p>
        </w:tc>
        <w:tc>
          <w:tcPr>
            <w:tcW w:w="1843"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公允价值</w:t>
            </w:r>
            <w:r w:rsidR="0015779C" w:rsidRPr="005B1E0B">
              <w:rPr>
                <w:color w:val="000000"/>
                <w:sz w:val="24"/>
              </w:rPr>
              <w:t>（元）</w:t>
            </w:r>
          </w:p>
        </w:tc>
        <w:tc>
          <w:tcPr>
            <w:tcW w:w="1190"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占基金资产净值比例</w:t>
            </w:r>
            <w:r w:rsidR="0015779C" w:rsidRPr="005B1E0B">
              <w:rPr>
                <w:color w:val="000000"/>
                <w:sz w:val="24"/>
              </w:rPr>
              <w:t>（％）</w:t>
            </w:r>
          </w:p>
        </w:tc>
      </w:tr>
      <w:tr w:rsidR="000212D1">
        <w:tc>
          <w:tcPr>
            <w:tcW w:w="0" w:type="auto"/>
            <w:vAlign w:val="center"/>
          </w:tcPr>
          <w:p w:rsidR="000212D1" w:rsidRDefault="00A02DDE">
            <w:pPr>
              <w:jc w:val="center"/>
            </w:pPr>
            <w:r>
              <w:rPr>
                <w:color w:val="000000"/>
                <w:sz w:val="24"/>
              </w:rPr>
              <w:t>1</w:t>
            </w:r>
          </w:p>
        </w:tc>
        <w:tc>
          <w:tcPr>
            <w:tcW w:w="0" w:type="auto"/>
            <w:vAlign w:val="center"/>
          </w:tcPr>
          <w:p w:rsidR="000212D1" w:rsidRDefault="00A02DDE">
            <w:pPr>
              <w:jc w:val="center"/>
            </w:pPr>
            <w:r>
              <w:rPr>
                <w:color w:val="000000"/>
                <w:sz w:val="24"/>
              </w:rPr>
              <w:t>113029</w:t>
            </w:r>
          </w:p>
        </w:tc>
        <w:tc>
          <w:tcPr>
            <w:tcW w:w="0" w:type="auto"/>
            <w:vAlign w:val="center"/>
          </w:tcPr>
          <w:p w:rsidR="000212D1" w:rsidRDefault="00A02DDE">
            <w:pPr>
              <w:jc w:val="center"/>
            </w:pPr>
            <w:r>
              <w:rPr>
                <w:color w:val="000000"/>
                <w:sz w:val="24"/>
              </w:rPr>
              <w:t>明阳转债</w:t>
            </w:r>
          </w:p>
        </w:tc>
        <w:tc>
          <w:tcPr>
            <w:tcW w:w="0" w:type="auto"/>
            <w:vAlign w:val="center"/>
          </w:tcPr>
          <w:p w:rsidR="000212D1" w:rsidRDefault="00A02DDE">
            <w:pPr>
              <w:jc w:val="right"/>
            </w:pPr>
            <w:r>
              <w:rPr>
                <w:color w:val="000000"/>
                <w:sz w:val="24"/>
              </w:rPr>
              <w:t>1,890</w:t>
            </w:r>
          </w:p>
        </w:tc>
        <w:tc>
          <w:tcPr>
            <w:tcW w:w="0" w:type="auto"/>
            <w:vAlign w:val="center"/>
          </w:tcPr>
          <w:p w:rsidR="000212D1" w:rsidRDefault="00A02DDE">
            <w:pPr>
              <w:jc w:val="right"/>
            </w:pPr>
            <w:r>
              <w:rPr>
                <w:color w:val="000000"/>
                <w:sz w:val="24"/>
              </w:rPr>
              <w:t>188,996.69</w:t>
            </w:r>
          </w:p>
        </w:tc>
        <w:tc>
          <w:tcPr>
            <w:tcW w:w="0" w:type="auto"/>
            <w:vAlign w:val="center"/>
          </w:tcPr>
          <w:p w:rsidR="000212D1" w:rsidRDefault="00A02DDE">
            <w:pPr>
              <w:jc w:val="right"/>
            </w:pPr>
            <w:r>
              <w:rPr>
                <w:color w:val="000000"/>
                <w:sz w:val="24"/>
              </w:rPr>
              <w:t>0.04</w:t>
            </w:r>
          </w:p>
        </w:tc>
      </w:tr>
      <w:tr w:rsidR="000212D1">
        <w:tc>
          <w:tcPr>
            <w:tcW w:w="0" w:type="auto"/>
            <w:vAlign w:val="center"/>
          </w:tcPr>
          <w:p w:rsidR="000212D1" w:rsidRDefault="00A02DDE">
            <w:pPr>
              <w:jc w:val="center"/>
            </w:pPr>
            <w:r>
              <w:rPr>
                <w:color w:val="000000"/>
                <w:sz w:val="24"/>
              </w:rPr>
              <w:t>2</w:t>
            </w:r>
          </w:p>
        </w:tc>
        <w:tc>
          <w:tcPr>
            <w:tcW w:w="0" w:type="auto"/>
            <w:vAlign w:val="center"/>
          </w:tcPr>
          <w:p w:rsidR="000212D1" w:rsidRDefault="00A02DDE">
            <w:pPr>
              <w:jc w:val="center"/>
            </w:pPr>
            <w:r>
              <w:rPr>
                <w:color w:val="000000"/>
                <w:sz w:val="24"/>
              </w:rPr>
              <w:t>128085</w:t>
            </w:r>
          </w:p>
        </w:tc>
        <w:tc>
          <w:tcPr>
            <w:tcW w:w="0" w:type="auto"/>
            <w:vAlign w:val="center"/>
          </w:tcPr>
          <w:p w:rsidR="000212D1" w:rsidRDefault="00A02DDE">
            <w:pPr>
              <w:jc w:val="center"/>
            </w:pPr>
            <w:r>
              <w:rPr>
                <w:color w:val="000000"/>
                <w:sz w:val="24"/>
              </w:rPr>
              <w:t>鸿达转债</w:t>
            </w:r>
          </w:p>
        </w:tc>
        <w:tc>
          <w:tcPr>
            <w:tcW w:w="0" w:type="auto"/>
            <w:vAlign w:val="center"/>
          </w:tcPr>
          <w:p w:rsidR="000212D1" w:rsidRDefault="00A02DDE">
            <w:pPr>
              <w:jc w:val="right"/>
            </w:pPr>
            <w:r>
              <w:rPr>
                <w:color w:val="000000"/>
                <w:sz w:val="24"/>
              </w:rPr>
              <w:t>1,480</w:t>
            </w:r>
          </w:p>
        </w:tc>
        <w:tc>
          <w:tcPr>
            <w:tcW w:w="0" w:type="auto"/>
            <w:vAlign w:val="center"/>
          </w:tcPr>
          <w:p w:rsidR="000212D1" w:rsidRDefault="00A02DDE">
            <w:pPr>
              <w:jc w:val="right"/>
            </w:pPr>
            <w:r>
              <w:rPr>
                <w:color w:val="000000"/>
                <w:sz w:val="24"/>
              </w:rPr>
              <w:t>147,997.40</w:t>
            </w:r>
          </w:p>
        </w:tc>
        <w:tc>
          <w:tcPr>
            <w:tcW w:w="0" w:type="auto"/>
            <w:vAlign w:val="center"/>
          </w:tcPr>
          <w:p w:rsidR="000212D1" w:rsidRDefault="00A02DDE">
            <w:pPr>
              <w:jc w:val="right"/>
            </w:pPr>
            <w:r>
              <w:rPr>
                <w:color w:val="000000"/>
                <w:sz w:val="24"/>
              </w:rPr>
              <w:t>0.03</w:t>
            </w:r>
          </w:p>
        </w:tc>
      </w:tr>
      <w:tr w:rsidR="000212D1">
        <w:tc>
          <w:tcPr>
            <w:tcW w:w="0" w:type="auto"/>
            <w:vAlign w:val="center"/>
          </w:tcPr>
          <w:p w:rsidR="000212D1" w:rsidRDefault="00A02DDE">
            <w:pPr>
              <w:jc w:val="center"/>
            </w:pPr>
            <w:r>
              <w:rPr>
                <w:color w:val="000000"/>
                <w:sz w:val="24"/>
              </w:rPr>
              <w:t>3</w:t>
            </w:r>
          </w:p>
        </w:tc>
        <w:tc>
          <w:tcPr>
            <w:tcW w:w="0" w:type="auto"/>
            <w:vAlign w:val="center"/>
          </w:tcPr>
          <w:p w:rsidR="000212D1" w:rsidRDefault="00A02DDE">
            <w:pPr>
              <w:jc w:val="center"/>
            </w:pPr>
            <w:r>
              <w:rPr>
                <w:color w:val="000000"/>
                <w:sz w:val="24"/>
              </w:rPr>
              <w:t>128084</w:t>
            </w:r>
          </w:p>
        </w:tc>
        <w:tc>
          <w:tcPr>
            <w:tcW w:w="0" w:type="auto"/>
            <w:vAlign w:val="center"/>
          </w:tcPr>
          <w:p w:rsidR="000212D1" w:rsidRDefault="00A02DDE">
            <w:pPr>
              <w:jc w:val="center"/>
            </w:pPr>
            <w:r>
              <w:rPr>
                <w:color w:val="000000"/>
                <w:sz w:val="24"/>
              </w:rPr>
              <w:t>木森转债</w:t>
            </w:r>
          </w:p>
        </w:tc>
        <w:tc>
          <w:tcPr>
            <w:tcW w:w="0" w:type="auto"/>
            <w:vAlign w:val="center"/>
          </w:tcPr>
          <w:p w:rsidR="000212D1" w:rsidRDefault="00A02DDE">
            <w:pPr>
              <w:jc w:val="right"/>
            </w:pPr>
            <w:r>
              <w:rPr>
                <w:color w:val="000000"/>
                <w:sz w:val="24"/>
              </w:rPr>
              <w:t>1,160</w:t>
            </w:r>
          </w:p>
        </w:tc>
        <w:tc>
          <w:tcPr>
            <w:tcW w:w="0" w:type="auto"/>
            <w:vAlign w:val="center"/>
          </w:tcPr>
          <w:p w:rsidR="000212D1" w:rsidRDefault="00A02DDE">
            <w:pPr>
              <w:jc w:val="right"/>
            </w:pPr>
            <w:r>
              <w:rPr>
                <w:color w:val="000000"/>
                <w:sz w:val="24"/>
              </w:rPr>
              <w:t>115,997.97</w:t>
            </w:r>
          </w:p>
        </w:tc>
        <w:tc>
          <w:tcPr>
            <w:tcW w:w="0" w:type="auto"/>
            <w:vAlign w:val="center"/>
          </w:tcPr>
          <w:p w:rsidR="000212D1" w:rsidRDefault="00A02DDE">
            <w:pPr>
              <w:jc w:val="right"/>
            </w:pPr>
            <w:r>
              <w:rPr>
                <w:color w:val="000000"/>
                <w:sz w:val="24"/>
              </w:rPr>
              <w:t>0.02</w:t>
            </w:r>
          </w:p>
        </w:tc>
      </w:tr>
      <w:tr w:rsidR="000212D1">
        <w:tc>
          <w:tcPr>
            <w:tcW w:w="0" w:type="auto"/>
            <w:vAlign w:val="center"/>
          </w:tcPr>
          <w:p w:rsidR="000212D1" w:rsidRDefault="00A02DDE">
            <w:pPr>
              <w:jc w:val="center"/>
            </w:pPr>
            <w:r>
              <w:rPr>
                <w:color w:val="000000"/>
                <w:sz w:val="24"/>
              </w:rPr>
              <w:t>4</w:t>
            </w:r>
          </w:p>
        </w:tc>
        <w:tc>
          <w:tcPr>
            <w:tcW w:w="0" w:type="auto"/>
            <w:vAlign w:val="center"/>
          </w:tcPr>
          <w:p w:rsidR="000212D1" w:rsidRDefault="00A02DDE">
            <w:pPr>
              <w:jc w:val="center"/>
            </w:pPr>
            <w:r>
              <w:rPr>
                <w:color w:val="000000"/>
                <w:sz w:val="24"/>
              </w:rPr>
              <w:t>128086</w:t>
            </w:r>
          </w:p>
        </w:tc>
        <w:tc>
          <w:tcPr>
            <w:tcW w:w="0" w:type="auto"/>
            <w:vAlign w:val="center"/>
          </w:tcPr>
          <w:p w:rsidR="000212D1" w:rsidRDefault="00A02DDE">
            <w:pPr>
              <w:jc w:val="center"/>
            </w:pPr>
            <w:r>
              <w:rPr>
                <w:color w:val="000000"/>
                <w:sz w:val="24"/>
              </w:rPr>
              <w:t>国轩转债</w:t>
            </w:r>
          </w:p>
        </w:tc>
        <w:tc>
          <w:tcPr>
            <w:tcW w:w="0" w:type="auto"/>
            <w:vAlign w:val="center"/>
          </w:tcPr>
          <w:p w:rsidR="000212D1" w:rsidRDefault="00A02DDE">
            <w:pPr>
              <w:jc w:val="right"/>
            </w:pPr>
            <w:r>
              <w:rPr>
                <w:color w:val="000000"/>
                <w:sz w:val="24"/>
              </w:rPr>
              <w:t>920</w:t>
            </w:r>
          </w:p>
        </w:tc>
        <w:tc>
          <w:tcPr>
            <w:tcW w:w="0" w:type="auto"/>
            <w:vAlign w:val="center"/>
          </w:tcPr>
          <w:p w:rsidR="000212D1" w:rsidRDefault="00A02DDE">
            <w:pPr>
              <w:jc w:val="right"/>
            </w:pPr>
            <w:r>
              <w:rPr>
                <w:color w:val="000000"/>
                <w:sz w:val="24"/>
              </w:rPr>
              <w:t>91,998.39</w:t>
            </w:r>
          </w:p>
        </w:tc>
        <w:tc>
          <w:tcPr>
            <w:tcW w:w="0" w:type="auto"/>
            <w:vAlign w:val="center"/>
          </w:tcPr>
          <w:p w:rsidR="000212D1" w:rsidRDefault="00A02DDE">
            <w:pPr>
              <w:jc w:val="right"/>
            </w:pPr>
            <w:r>
              <w:rPr>
                <w:color w:val="000000"/>
                <w:sz w:val="24"/>
              </w:rPr>
              <w:t>0.02</w:t>
            </w:r>
          </w:p>
        </w:tc>
      </w:tr>
      <w:tr w:rsidR="000212D1">
        <w:tc>
          <w:tcPr>
            <w:tcW w:w="0" w:type="auto"/>
            <w:vAlign w:val="center"/>
          </w:tcPr>
          <w:p w:rsidR="000212D1" w:rsidRDefault="00A02DDE">
            <w:pPr>
              <w:jc w:val="center"/>
            </w:pPr>
            <w:r>
              <w:rPr>
                <w:color w:val="000000"/>
                <w:sz w:val="24"/>
              </w:rPr>
              <w:t>5</w:t>
            </w:r>
          </w:p>
        </w:tc>
        <w:tc>
          <w:tcPr>
            <w:tcW w:w="0" w:type="auto"/>
            <w:vAlign w:val="center"/>
          </w:tcPr>
          <w:p w:rsidR="000212D1" w:rsidRDefault="00A02DDE">
            <w:pPr>
              <w:jc w:val="center"/>
            </w:pPr>
            <w:r>
              <w:rPr>
                <w:color w:val="000000"/>
                <w:sz w:val="24"/>
              </w:rPr>
              <w:t>110065</w:t>
            </w:r>
          </w:p>
        </w:tc>
        <w:tc>
          <w:tcPr>
            <w:tcW w:w="0" w:type="auto"/>
            <w:vAlign w:val="center"/>
          </w:tcPr>
          <w:p w:rsidR="000212D1" w:rsidRDefault="00A02DDE">
            <w:pPr>
              <w:jc w:val="center"/>
            </w:pPr>
            <w:r>
              <w:rPr>
                <w:color w:val="000000"/>
                <w:sz w:val="24"/>
              </w:rPr>
              <w:t>淮矿转债</w:t>
            </w:r>
          </w:p>
        </w:tc>
        <w:tc>
          <w:tcPr>
            <w:tcW w:w="0" w:type="auto"/>
            <w:vAlign w:val="center"/>
          </w:tcPr>
          <w:p w:rsidR="000212D1" w:rsidRDefault="00A02DDE">
            <w:pPr>
              <w:jc w:val="right"/>
            </w:pPr>
            <w:r>
              <w:rPr>
                <w:color w:val="000000"/>
                <w:sz w:val="24"/>
              </w:rPr>
              <w:t>840</w:t>
            </w:r>
          </w:p>
        </w:tc>
        <w:tc>
          <w:tcPr>
            <w:tcW w:w="0" w:type="auto"/>
            <w:vAlign w:val="center"/>
          </w:tcPr>
          <w:p w:rsidR="000212D1" w:rsidRDefault="00A02DDE">
            <w:pPr>
              <w:jc w:val="right"/>
            </w:pPr>
            <w:r>
              <w:rPr>
                <w:color w:val="000000"/>
                <w:sz w:val="24"/>
              </w:rPr>
              <w:t>83,999.26</w:t>
            </w:r>
          </w:p>
        </w:tc>
        <w:tc>
          <w:tcPr>
            <w:tcW w:w="0" w:type="auto"/>
            <w:vAlign w:val="center"/>
          </w:tcPr>
          <w:p w:rsidR="000212D1" w:rsidRDefault="00A02DDE">
            <w:pPr>
              <w:jc w:val="right"/>
            </w:pPr>
            <w:r>
              <w:rPr>
                <w:color w:val="000000"/>
                <w:sz w:val="24"/>
              </w:rPr>
              <w:t>0.02</w:t>
            </w:r>
          </w:p>
        </w:tc>
      </w:tr>
    </w:tbl>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5.6</w:t>
      </w:r>
      <w:r w:rsidRPr="00272E0C">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272E0C">
        <w:rPr>
          <w:rFonts w:ascii="宋体" w:hAnsi="宋体" w:cs="Arial" w:hint="eastAsia"/>
          <w:b/>
          <w:color w:val="000000"/>
          <w:kern w:val="0"/>
          <w:sz w:val="24"/>
        </w:rPr>
        <w:t>的前十名资产支持证券投资明细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本基金本报告期末未持有资产支持证券。</w:t>
      </w:r>
    </w:p>
    <w:p w:rsidR="001C36D8" w:rsidRPr="001D63BB" w:rsidRDefault="001C36D8" w:rsidP="001C123E">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本基金本报告期末未持有贵金属。</w:t>
      </w:r>
    </w:p>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1B0A62">
        <w:rPr>
          <w:rFonts w:ascii="宋体"/>
          <w:b/>
          <w:bCs/>
          <w:color w:val="000000"/>
          <w:kern w:val="0"/>
          <w:sz w:val="24"/>
        </w:rPr>
        <w:t>5.8</w:t>
      </w:r>
      <w:r w:rsidRPr="00272E0C">
        <w:rPr>
          <w:rFonts w:ascii="宋体" w:hAnsi="宋体" w:hint="eastAsia"/>
          <w:b/>
          <w:bCs/>
          <w:color w:val="000000"/>
          <w:sz w:val="24"/>
        </w:rPr>
        <w:t>报告期末按公允价值占基金资产净值比例大小排</w:t>
      </w:r>
      <w:r>
        <w:rPr>
          <w:rFonts w:ascii="宋体" w:hAnsi="宋体" w:hint="eastAsia"/>
          <w:b/>
          <w:bCs/>
          <w:color w:val="000000"/>
          <w:sz w:val="24"/>
        </w:rPr>
        <w:t>序</w:t>
      </w:r>
      <w:r w:rsidRPr="00272E0C">
        <w:rPr>
          <w:rFonts w:ascii="宋体" w:hAnsi="宋体" w:hint="eastAsia"/>
          <w:b/>
          <w:bCs/>
          <w:color w:val="000000"/>
          <w:sz w:val="24"/>
        </w:rPr>
        <w:t>的前五名权证投资明细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本基金本报告期末未持有权证。</w:t>
      </w:r>
    </w:p>
    <w:p w:rsidR="001C36D8" w:rsidRPr="00E85E29" w:rsidRDefault="001C36D8" w:rsidP="00E57068">
      <w:pPr>
        <w:adjustRightInd w:val="0"/>
        <w:snapToGrid w:val="0"/>
        <w:spacing w:line="360" w:lineRule="auto"/>
        <w:rPr>
          <w:rFonts w:ascii="宋体"/>
          <w:b/>
          <w:sz w:val="24"/>
        </w:rPr>
      </w:pPr>
      <w:r w:rsidRPr="001B0A62">
        <w:rPr>
          <w:rFonts w:ascii="宋体"/>
          <w:b/>
          <w:bCs/>
          <w:color w:val="000000"/>
          <w:kern w:val="0"/>
          <w:sz w:val="24"/>
        </w:rPr>
        <w:t>5.9</w:t>
      </w:r>
      <w:r w:rsidRPr="00E85E29">
        <w:rPr>
          <w:rFonts w:ascii="宋体" w:hAnsi="宋体" w:hint="eastAsia"/>
          <w:b/>
          <w:sz w:val="24"/>
        </w:rPr>
        <w:t>报告期末本基金投资的股指期货交易情况说明</w:t>
      </w:r>
    </w:p>
    <w:p w:rsidR="003B3D0C" w:rsidRDefault="003B3D0C" w:rsidP="003B3D0C">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1C36D8" w:rsidRPr="00272E0C" w:rsidRDefault="001C36D8" w:rsidP="00576862">
      <w:pPr>
        <w:adjustRightInd w:val="0"/>
        <w:snapToGrid w:val="0"/>
        <w:spacing w:line="360" w:lineRule="auto"/>
        <w:rPr>
          <w:rFonts w:ascii="宋体"/>
          <w:b/>
          <w:sz w:val="24"/>
        </w:rPr>
      </w:pPr>
      <w:r>
        <w:rPr>
          <w:rFonts w:ascii="宋体" w:hAnsi="宋体"/>
          <w:b/>
          <w:sz w:val="24"/>
        </w:rPr>
        <w:t>5</w:t>
      </w:r>
      <w:r w:rsidRPr="00272E0C">
        <w:rPr>
          <w:rFonts w:ascii="宋体"/>
          <w:b/>
          <w:sz w:val="24"/>
        </w:rPr>
        <w:t>.</w:t>
      </w:r>
      <w:r>
        <w:rPr>
          <w:rFonts w:ascii="宋体" w:hAnsi="宋体"/>
          <w:b/>
          <w:sz w:val="24"/>
        </w:rPr>
        <w:t>10</w:t>
      </w:r>
      <w:r w:rsidRPr="00272E0C">
        <w:rPr>
          <w:rFonts w:ascii="宋体" w:hAnsi="宋体" w:hint="eastAsia"/>
          <w:b/>
          <w:sz w:val="24"/>
        </w:rPr>
        <w:t>报告期末本基金投资的国债期货交易情况说明</w:t>
      </w:r>
    </w:p>
    <w:p w:rsidR="000C44BD" w:rsidRDefault="000C44BD" w:rsidP="000C44BD">
      <w:pPr>
        <w:spacing w:line="360" w:lineRule="auto"/>
        <w:ind w:firstLineChars="200" w:firstLine="480"/>
      </w:pPr>
      <w:r>
        <w:rPr>
          <w:color w:val="000000"/>
          <w:sz w:val="24"/>
        </w:rPr>
        <w:t>本基金本报告期末未投资国债期货。</w:t>
      </w:r>
    </w:p>
    <w:p w:rsidR="001C36D8" w:rsidRPr="00272E0C" w:rsidRDefault="001C36D8" w:rsidP="00576862">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272E0C">
        <w:rPr>
          <w:rFonts w:ascii="宋体" w:cs="Arial"/>
          <w:b/>
          <w:color w:val="000000"/>
          <w:kern w:val="0"/>
          <w:sz w:val="24"/>
        </w:rPr>
        <w:t>.</w:t>
      </w:r>
      <w:r>
        <w:rPr>
          <w:rFonts w:ascii="宋体" w:hAnsi="宋体" w:cs="Arial"/>
          <w:b/>
          <w:color w:val="000000"/>
          <w:kern w:val="0"/>
          <w:sz w:val="24"/>
        </w:rPr>
        <w:t>11</w:t>
      </w:r>
      <w:r w:rsidRPr="00272E0C">
        <w:rPr>
          <w:rFonts w:ascii="宋体" w:hAnsi="宋体" w:cs="Arial" w:hint="eastAsia"/>
          <w:b/>
          <w:color w:val="000000"/>
          <w:kern w:val="0"/>
          <w:sz w:val="24"/>
        </w:rPr>
        <w:t>投资组合报告附注</w:t>
      </w:r>
    </w:p>
    <w:p w:rsidR="001C36D8" w:rsidRPr="005B1E0B" w:rsidRDefault="001C36D8" w:rsidP="00576862">
      <w:pPr>
        <w:spacing w:line="360" w:lineRule="auto"/>
        <w:rPr>
          <w:color w:val="000000"/>
          <w:kern w:val="0"/>
          <w:sz w:val="24"/>
        </w:rPr>
      </w:pPr>
      <w:r w:rsidRPr="001C123E">
        <w:rPr>
          <w:rFonts w:ascii="宋体" w:hAnsi="宋体"/>
          <w:bCs/>
          <w:color w:val="000000"/>
          <w:kern w:val="0"/>
          <w:sz w:val="24"/>
        </w:rPr>
        <w:t>5.11.1</w:t>
      </w:r>
      <w:r w:rsidRPr="005B1E0B">
        <w:rPr>
          <w:color w:val="000000"/>
          <w:kern w:val="0"/>
          <w:sz w:val="24"/>
        </w:rPr>
        <w:t>2019</w:t>
      </w:r>
      <w:r w:rsidRPr="005B1E0B">
        <w:rPr>
          <w:color w:val="000000"/>
          <w:kern w:val="0"/>
          <w:sz w:val="24"/>
        </w:rPr>
        <w:t>年</w:t>
      </w:r>
      <w:r w:rsidRPr="005B1E0B">
        <w:rPr>
          <w:color w:val="000000"/>
          <w:kern w:val="0"/>
          <w:sz w:val="24"/>
        </w:rPr>
        <w:t>7</w:t>
      </w:r>
      <w:r w:rsidRPr="005B1E0B">
        <w:rPr>
          <w:color w:val="000000"/>
          <w:kern w:val="0"/>
          <w:sz w:val="24"/>
        </w:rPr>
        <w:t>月</w:t>
      </w:r>
      <w:r w:rsidRPr="005B1E0B">
        <w:rPr>
          <w:color w:val="000000"/>
          <w:kern w:val="0"/>
          <w:sz w:val="24"/>
        </w:rPr>
        <w:t>25</w:t>
      </w:r>
      <w:r w:rsidRPr="005B1E0B">
        <w:rPr>
          <w:color w:val="000000"/>
          <w:kern w:val="0"/>
          <w:sz w:val="24"/>
        </w:rPr>
        <w:t>日，中国银行保险监督管理委员会上海监管局对交通银行股份有限公司太平洋信用卡中心</w:t>
      </w:r>
      <w:r w:rsidRPr="005B1E0B">
        <w:rPr>
          <w:color w:val="000000"/>
          <w:kern w:val="0"/>
          <w:sz w:val="24"/>
        </w:rPr>
        <w:t>2017</w:t>
      </w:r>
      <w:r w:rsidRPr="005B1E0B">
        <w:rPr>
          <w:color w:val="000000"/>
          <w:kern w:val="0"/>
          <w:sz w:val="24"/>
        </w:rPr>
        <w:t>年</w:t>
      </w:r>
      <w:r w:rsidRPr="005B1E0B">
        <w:rPr>
          <w:color w:val="000000"/>
          <w:kern w:val="0"/>
          <w:sz w:val="24"/>
        </w:rPr>
        <w:t>6</w:t>
      </w:r>
      <w:r w:rsidRPr="005B1E0B">
        <w:rPr>
          <w:color w:val="000000"/>
          <w:kern w:val="0"/>
          <w:sz w:val="24"/>
        </w:rPr>
        <w:t>月至</w:t>
      </w:r>
      <w:r w:rsidRPr="005B1E0B">
        <w:rPr>
          <w:color w:val="000000"/>
          <w:kern w:val="0"/>
          <w:sz w:val="24"/>
        </w:rPr>
        <w:t>10</w:t>
      </w:r>
      <w:r w:rsidRPr="005B1E0B">
        <w:rPr>
          <w:color w:val="000000"/>
          <w:kern w:val="0"/>
          <w:sz w:val="24"/>
        </w:rPr>
        <w:t>月期间在办理部分客户信用卡业务时未遵守总授信额度管理制度的违规事实，处以责令改正，并处罚款</w:t>
      </w:r>
      <w:r w:rsidRPr="005B1E0B">
        <w:rPr>
          <w:color w:val="000000"/>
          <w:kern w:val="0"/>
          <w:sz w:val="24"/>
        </w:rPr>
        <w:t>40</w:t>
      </w:r>
      <w:r w:rsidRPr="005B1E0B">
        <w:rPr>
          <w:color w:val="000000"/>
          <w:kern w:val="0"/>
          <w:sz w:val="24"/>
        </w:rPr>
        <w:t>万元。</w:t>
      </w:r>
    </w:p>
    <w:p w:rsidR="000212D1" w:rsidRDefault="00A02DDE">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27</w:t>
      </w:r>
      <w:r>
        <w:rPr>
          <w:color w:val="000000"/>
          <w:kern w:val="0"/>
          <w:sz w:val="24"/>
        </w:rPr>
        <w:t>日，中国银行保险监督管理委员会对交通银行股份有限公司如下违法违规行为作出</w:t>
      </w:r>
      <w:r>
        <w:rPr>
          <w:color w:val="000000"/>
          <w:kern w:val="0"/>
          <w:sz w:val="24"/>
        </w:rPr>
        <w:t>“</w:t>
      </w:r>
      <w:r>
        <w:rPr>
          <w:color w:val="000000"/>
          <w:kern w:val="0"/>
          <w:sz w:val="24"/>
        </w:rPr>
        <w:t>罚款</w:t>
      </w:r>
      <w:r>
        <w:rPr>
          <w:color w:val="000000"/>
          <w:kern w:val="0"/>
          <w:sz w:val="24"/>
        </w:rPr>
        <w:t>150</w:t>
      </w:r>
      <w:r>
        <w:rPr>
          <w:color w:val="000000"/>
          <w:kern w:val="0"/>
          <w:sz w:val="24"/>
        </w:rPr>
        <w:t>万元</w:t>
      </w:r>
      <w:r>
        <w:rPr>
          <w:color w:val="000000"/>
          <w:kern w:val="0"/>
          <w:sz w:val="24"/>
        </w:rPr>
        <w:t>”</w:t>
      </w:r>
      <w:r>
        <w:rPr>
          <w:color w:val="000000"/>
          <w:kern w:val="0"/>
          <w:sz w:val="24"/>
        </w:rPr>
        <w:t>的行政处罚：</w:t>
      </w:r>
      <w:r>
        <w:rPr>
          <w:color w:val="000000"/>
          <w:kern w:val="0"/>
          <w:sz w:val="24"/>
        </w:rPr>
        <w:t>1</w:t>
      </w:r>
      <w:r>
        <w:rPr>
          <w:color w:val="000000"/>
          <w:kern w:val="0"/>
          <w:sz w:val="24"/>
        </w:rPr>
        <w:t>、授信审批不审慎；</w:t>
      </w:r>
      <w:r>
        <w:rPr>
          <w:color w:val="000000"/>
          <w:kern w:val="0"/>
          <w:sz w:val="24"/>
        </w:rPr>
        <w:t>2</w:t>
      </w:r>
      <w:r>
        <w:rPr>
          <w:color w:val="000000"/>
          <w:kern w:val="0"/>
          <w:sz w:val="24"/>
        </w:rPr>
        <w:t>、总行对分支机构管控不力承担管理责任。</w:t>
      </w:r>
    </w:p>
    <w:p w:rsidR="000212D1" w:rsidRDefault="00A02DDE">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4</w:t>
      </w:r>
      <w:r>
        <w:rPr>
          <w:color w:val="000000"/>
          <w:kern w:val="0"/>
          <w:sz w:val="24"/>
        </w:rPr>
        <w:t>月</w:t>
      </w:r>
      <w:r>
        <w:rPr>
          <w:color w:val="000000"/>
          <w:kern w:val="0"/>
          <w:sz w:val="24"/>
        </w:rPr>
        <w:t>2</w:t>
      </w:r>
      <w:r>
        <w:rPr>
          <w:color w:val="000000"/>
          <w:kern w:val="0"/>
          <w:sz w:val="24"/>
        </w:rPr>
        <w:t>日，中国银行保险监督管理委员会大连监管局针对中国民生银行股份有限公司以贷收贷，掩盖资产真实质量</w:t>
      </w:r>
      <w:r>
        <w:rPr>
          <w:color w:val="000000"/>
          <w:kern w:val="0"/>
          <w:sz w:val="24"/>
        </w:rPr>
        <w:t>，以贷转存，虚增存贷款规模的违法违规事实，处以罚款</w:t>
      </w:r>
      <w:r>
        <w:rPr>
          <w:color w:val="000000"/>
          <w:kern w:val="0"/>
          <w:sz w:val="24"/>
        </w:rPr>
        <w:t>100</w:t>
      </w:r>
      <w:r>
        <w:rPr>
          <w:color w:val="000000"/>
          <w:kern w:val="0"/>
          <w:sz w:val="24"/>
        </w:rPr>
        <w:t>万元的行政处罚。</w:t>
      </w:r>
    </w:p>
    <w:p w:rsidR="000212D1" w:rsidRDefault="00A02DDE">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4</w:t>
      </w:r>
      <w:r>
        <w:rPr>
          <w:color w:val="000000"/>
          <w:kern w:val="0"/>
          <w:sz w:val="24"/>
        </w:rPr>
        <w:t>月</w:t>
      </w:r>
      <w:r>
        <w:rPr>
          <w:color w:val="000000"/>
          <w:kern w:val="0"/>
          <w:sz w:val="24"/>
        </w:rPr>
        <w:t>2</w:t>
      </w:r>
      <w:r>
        <w:rPr>
          <w:color w:val="000000"/>
          <w:kern w:val="0"/>
          <w:sz w:val="24"/>
        </w:rPr>
        <w:t>日，中国银行保险监督管理委员会大连监管局针对中国民生银行股份有限公司贷后管理不到位，以贷收贷，掩盖资产真实质量，贴现资金回流作银行承兑汇票保证金，滚动循环签发银行承兑汇票的违法违规事实，处以罚款</w:t>
      </w:r>
      <w:r>
        <w:rPr>
          <w:color w:val="000000"/>
          <w:kern w:val="0"/>
          <w:sz w:val="24"/>
        </w:rPr>
        <w:t>100</w:t>
      </w:r>
      <w:r>
        <w:rPr>
          <w:color w:val="000000"/>
          <w:kern w:val="0"/>
          <w:sz w:val="24"/>
        </w:rPr>
        <w:t>万元的行政处罚。</w:t>
      </w:r>
    </w:p>
    <w:p w:rsidR="000212D1" w:rsidRDefault="00A02DDE">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4</w:t>
      </w:r>
      <w:r>
        <w:rPr>
          <w:color w:val="000000"/>
          <w:kern w:val="0"/>
          <w:sz w:val="24"/>
        </w:rPr>
        <w:t>月</w:t>
      </w:r>
      <w:r>
        <w:rPr>
          <w:color w:val="000000"/>
          <w:kern w:val="0"/>
          <w:sz w:val="24"/>
        </w:rPr>
        <w:t>2</w:t>
      </w:r>
      <w:r>
        <w:rPr>
          <w:color w:val="000000"/>
          <w:kern w:val="0"/>
          <w:sz w:val="24"/>
        </w:rPr>
        <w:t>日，中国银行保险监督管理委员会大连监管局针对中国民生银行股份有限公司贷后管理不到位，银行承兑汇票保证金来源审查不严格，贷款回流作银行承兑汇票保证金的违法违规事实，处以罚款</w:t>
      </w:r>
      <w:r>
        <w:rPr>
          <w:color w:val="000000"/>
          <w:kern w:val="0"/>
          <w:sz w:val="24"/>
        </w:rPr>
        <w:t>50</w:t>
      </w:r>
      <w:r>
        <w:rPr>
          <w:color w:val="000000"/>
          <w:kern w:val="0"/>
          <w:sz w:val="24"/>
        </w:rPr>
        <w:t>万元的行政处罚</w:t>
      </w:r>
      <w:r>
        <w:rPr>
          <w:color w:val="000000"/>
          <w:kern w:val="0"/>
          <w:sz w:val="24"/>
        </w:rPr>
        <w:t>。</w:t>
      </w:r>
    </w:p>
    <w:p w:rsidR="000212D1" w:rsidRDefault="00A02DDE">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14</w:t>
      </w:r>
      <w:r>
        <w:rPr>
          <w:color w:val="000000"/>
          <w:kern w:val="0"/>
          <w:sz w:val="24"/>
        </w:rPr>
        <w:t>日，中国银行保险监督管理委员会北京监管局针对中国民生银行股份有限公司如下违法违规事实：</w:t>
      </w:r>
      <w:r>
        <w:rPr>
          <w:color w:val="000000"/>
          <w:kern w:val="0"/>
          <w:sz w:val="24"/>
        </w:rPr>
        <w:t>1</w:t>
      </w:r>
      <w:r>
        <w:rPr>
          <w:color w:val="000000"/>
          <w:kern w:val="0"/>
          <w:sz w:val="24"/>
        </w:rPr>
        <w:t>、总行同业票据业务管理失控；</w:t>
      </w:r>
      <w:r>
        <w:rPr>
          <w:color w:val="000000"/>
          <w:kern w:val="0"/>
          <w:sz w:val="24"/>
        </w:rPr>
        <w:t>2</w:t>
      </w:r>
      <w:r>
        <w:rPr>
          <w:color w:val="000000"/>
          <w:kern w:val="0"/>
          <w:sz w:val="24"/>
        </w:rPr>
        <w:t>、总行违反内控指引要求计量转贴现卖断业务信用风险加权资产；</w:t>
      </w:r>
      <w:r>
        <w:rPr>
          <w:color w:val="000000"/>
          <w:kern w:val="0"/>
          <w:sz w:val="24"/>
        </w:rPr>
        <w:t>3</w:t>
      </w:r>
      <w:r>
        <w:rPr>
          <w:color w:val="000000"/>
          <w:kern w:val="0"/>
          <w:sz w:val="24"/>
        </w:rPr>
        <w:t>、总行案件风险信息报送管理不到位；</w:t>
      </w:r>
      <w:r>
        <w:rPr>
          <w:color w:val="000000"/>
          <w:kern w:val="0"/>
          <w:sz w:val="24"/>
        </w:rPr>
        <w:t>4</w:t>
      </w:r>
      <w:r>
        <w:rPr>
          <w:color w:val="000000"/>
          <w:kern w:val="0"/>
          <w:sz w:val="24"/>
        </w:rPr>
        <w:t>、总行未有效管理承兑业务；</w:t>
      </w:r>
      <w:r>
        <w:rPr>
          <w:color w:val="000000"/>
          <w:kern w:val="0"/>
          <w:sz w:val="24"/>
        </w:rPr>
        <w:t>5</w:t>
      </w:r>
      <w:r>
        <w:rPr>
          <w:color w:val="000000"/>
          <w:kern w:val="0"/>
          <w:sz w:val="24"/>
        </w:rPr>
        <w:t>、总行办理无真实贸易背景承兑业务；</w:t>
      </w:r>
      <w:r>
        <w:rPr>
          <w:color w:val="000000"/>
          <w:kern w:val="0"/>
          <w:sz w:val="24"/>
        </w:rPr>
        <w:t>6</w:t>
      </w:r>
      <w:r>
        <w:rPr>
          <w:color w:val="000000"/>
          <w:kern w:val="0"/>
          <w:sz w:val="24"/>
        </w:rPr>
        <w:t>、总行承兑业务质押资金来源为本行贷款；</w:t>
      </w:r>
      <w:r>
        <w:rPr>
          <w:color w:val="000000"/>
          <w:kern w:val="0"/>
          <w:sz w:val="24"/>
        </w:rPr>
        <w:t>7</w:t>
      </w:r>
      <w:r>
        <w:rPr>
          <w:color w:val="000000"/>
          <w:kern w:val="0"/>
          <w:sz w:val="24"/>
        </w:rPr>
        <w:t>、银川分行为已注销法人公司办理票据贴现业务；</w:t>
      </w:r>
      <w:r>
        <w:rPr>
          <w:color w:val="000000"/>
          <w:kern w:val="0"/>
          <w:sz w:val="24"/>
        </w:rPr>
        <w:t>8</w:t>
      </w:r>
      <w:r>
        <w:rPr>
          <w:color w:val="000000"/>
          <w:kern w:val="0"/>
          <w:sz w:val="24"/>
        </w:rPr>
        <w:t>、杭州分行为票据中介办理票据贴现业务；</w:t>
      </w:r>
      <w:r>
        <w:rPr>
          <w:color w:val="000000"/>
          <w:kern w:val="0"/>
          <w:sz w:val="24"/>
        </w:rPr>
        <w:t>9</w:t>
      </w:r>
      <w:r>
        <w:rPr>
          <w:color w:val="000000"/>
          <w:kern w:val="0"/>
          <w:sz w:val="24"/>
        </w:rPr>
        <w:t>、上海自贸区分行为票据中介办理票据贴现业务；</w:t>
      </w:r>
      <w:r>
        <w:rPr>
          <w:color w:val="000000"/>
          <w:kern w:val="0"/>
          <w:sz w:val="24"/>
        </w:rPr>
        <w:t>10</w:t>
      </w:r>
      <w:r>
        <w:rPr>
          <w:color w:val="000000"/>
          <w:kern w:val="0"/>
          <w:sz w:val="24"/>
        </w:rPr>
        <w:t>、福州分行、苏州分行、郑州分行转贴现</w:t>
      </w:r>
      <w:r>
        <w:rPr>
          <w:color w:val="000000"/>
          <w:kern w:val="0"/>
          <w:sz w:val="24"/>
        </w:rPr>
        <w:t>卖断业务担保情况数据严重失实，处以责令改正，并处罚款</w:t>
      </w:r>
      <w:r>
        <w:rPr>
          <w:color w:val="000000"/>
          <w:kern w:val="0"/>
          <w:sz w:val="24"/>
        </w:rPr>
        <w:t>700</w:t>
      </w:r>
      <w:r>
        <w:rPr>
          <w:color w:val="000000"/>
          <w:kern w:val="0"/>
          <w:sz w:val="24"/>
        </w:rPr>
        <w:t>万元的行政处罚。</w:t>
      </w:r>
    </w:p>
    <w:p w:rsidR="000212D1" w:rsidRDefault="00A02DDE">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6</w:t>
      </w:r>
      <w:r>
        <w:rPr>
          <w:color w:val="000000"/>
          <w:kern w:val="0"/>
          <w:sz w:val="24"/>
        </w:rPr>
        <w:t>月</w:t>
      </w:r>
      <w:r>
        <w:rPr>
          <w:color w:val="000000"/>
          <w:kern w:val="0"/>
          <w:sz w:val="24"/>
        </w:rPr>
        <w:t>24</w:t>
      </w:r>
      <w:r>
        <w:rPr>
          <w:color w:val="000000"/>
          <w:kern w:val="0"/>
          <w:sz w:val="24"/>
        </w:rPr>
        <w:t>日，中国银行保险监督管理委员会对上海浦东发展银行股份有限公司关于以下违法违规事实：（一）对成都分行授信业务及整改情况严重失察；（二）重大审计发现未向监管部门报告；（三）轮岗制度执行不力，处以罚款</w:t>
      </w:r>
      <w:r>
        <w:rPr>
          <w:color w:val="000000"/>
          <w:kern w:val="0"/>
          <w:sz w:val="24"/>
        </w:rPr>
        <w:t>130</w:t>
      </w:r>
      <w:r>
        <w:rPr>
          <w:color w:val="000000"/>
          <w:kern w:val="0"/>
          <w:sz w:val="24"/>
        </w:rPr>
        <w:t>万元人民币。</w:t>
      </w:r>
    </w:p>
    <w:p w:rsidR="000212D1" w:rsidRDefault="00A02DDE">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7</w:t>
      </w:r>
      <w:r>
        <w:rPr>
          <w:color w:val="000000"/>
          <w:kern w:val="0"/>
          <w:sz w:val="24"/>
        </w:rPr>
        <w:t>月</w:t>
      </w:r>
      <w:r>
        <w:rPr>
          <w:color w:val="000000"/>
          <w:kern w:val="0"/>
          <w:sz w:val="24"/>
        </w:rPr>
        <w:t>8</w:t>
      </w:r>
      <w:r>
        <w:rPr>
          <w:color w:val="000000"/>
          <w:kern w:val="0"/>
          <w:sz w:val="24"/>
        </w:rPr>
        <w:t>日，中国银行保险监督管理委员会上海监管局对上海浦东发展银行股份有限公司信用卡中心</w:t>
      </w:r>
      <w:r>
        <w:rPr>
          <w:color w:val="000000"/>
          <w:kern w:val="0"/>
          <w:sz w:val="24"/>
        </w:rPr>
        <w:t>2015</w:t>
      </w:r>
      <w:r>
        <w:rPr>
          <w:color w:val="000000"/>
          <w:kern w:val="0"/>
          <w:sz w:val="24"/>
        </w:rPr>
        <w:t>年至</w:t>
      </w:r>
      <w:r>
        <w:rPr>
          <w:color w:val="000000"/>
          <w:kern w:val="0"/>
          <w:sz w:val="24"/>
        </w:rPr>
        <w:t>2018</w:t>
      </w:r>
      <w:r>
        <w:rPr>
          <w:color w:val="000000"/>
          <w:kern w:val="0"/>
          <w:sz w:val="24"/>
        </w:rPr>
        <w:t>年</w:t>
      </w:r>
      <w:r>
        <w:rPr>
          <w:color w:val="000000"/>
          <w:kern w:val="0"/>
          <w:sz w:val="24"/>
        </w:rPr>
        <w:t>6</w:t>
      </w:r>
      <w:r>
        <w:rPr>
          <w:color w:val="000000"/>
          <w:kern w:val="0"/>
          <w:sz w:val="24"/>
        </w:rPr>
        <w:t>月在为部分客户办理信用卡业务时，对申请人收入核定严重不审慎的违法违规事实，责令改正，并处罚款</w:t>
      </w:r>
      <w:r>
        <w:rPr>
          <w:color w:val="000000"/>
          <w:kern w:val="0"/>
          <w:sz w:val="24"/>
        </w:rPr>
        <w:t>30</w:t>
      </w:r>
      <w:r>
        <w:rPr>
          <w:color w:val="000000"/>
          <w:kern w:val="0"/>
          <w:sz w:val="24"/>
        </w:rPr>
        <w:t>万元。</w:t>
      </w:r>
    </w:p>
    <w:p w:rsidR="000212D1" w:rsidRDefault="00A02DDE">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w:t>
      </w:r>
      <w:r>
        <w:rPr>
          <w:color w:val="000000"/>
          <w:kern w:val="0"/>
          <w:sz w:val="24"/>
        </w:rPr>
        <w:t>日，中国银行保险监督管理委员会上海监管局对上海浦东发展银行股份有限公司信用卡中心</w:t>
      </w:r>
      <w:r>
        <w:rPr>
          <w:color w:val="000000"/>
          <w:kern w:val="0"/>
          <w:sz w:val="24"/>
        </w:rPr>
        <w:t>2019</w:t>
      </w:r>
      <w:r>
        <w:rPr>
          <w:color w:val="000000"/>
          <w:kern w:val="0"/>
          <w:sz w:val="24"/>
        </w:rPr>
        <w:t>年</w:t>
      </w:r>
      <w:r>
        <w:rPr>
          <w:color w:val="000000"/>
          <w:kern w:val="0"/>
          <w:sz w:val="24"/>
        </w:rPr>
        <w:t>1</w:t>
      </w:r>
      <w:r>
        <w:rPr>
          <w:color w:val="000000"/>
          <w:kern w:val="0"/>
          <w:sz w:val="24"/>
        </w:rPr>
        <w:t>月信用卡催收外包管理严重违反审慎经营规则的违法违规事实，责令改正，并处罚款</w:t>
      </w:r>
      <w:r>
        <w:rPr>
          <w:color w:val="000000"/>
          <w:kern w:val="0"/>
          <w:sz w:val="24"/>
        </w:rPr>
        <w:t>50</w:t>
      </w:r>
      <w:r>
        <w:rPr>
          <w:color w:val="000000"/>
          <w:kern w:val="0"/>
          <w:sz w:val="24"/>
        </w:rPr>
        <w:t>万元。</w:t>
      </w:r>
    </w:p>
    <w:p w:rsidR="000212D1" w:rsidRDefault="00A02DDE">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7</w:t>
      </w:r>
      <w:r>
        <w:rPr>
          <w:color w:val="000000"/>
          <w:kern w:val="0"/>
          <w:sz w:val="24"/>
        </w:rPr>
        <w:t>月</w:t>
      </w:r>
      <w:r>
        <w:rPr>
          <w:color w:val="000000"/>
          <w:kern w:val="0"/>
          <w:sz w:val="24"/>
        </w:rPr>
        <w:t>8</w:t>
      </w:r>
      <w:r>
        <w:rPr>
          <w:color w:val="000000"/>
          <w:kern w:val="0"/>
          <w:sz w:val="24"/>
        </w:rPr>
        <w:t>日，中国银行保险监督管理委员会上海监管局针对兴业银行股份有限公司信用卡中心</w:t>
      </w:r>
      <w:r>
        <w:rPr>
          <w:color w:val="000000"/>
          <w:kern w:val="0"/>
          <w:sz w:val="24"/>
        </w:rPr>
        <w:t>1</w:t>
      </w:r>
      <w:r>
        <w:rPr>
          <w:color w:val="000000"/>
          <w:kern w:val="0"/>
          <w:sz w:val="24"/>
        </w:rPr>
        <w:t>、</w:t>
      </w:r>
      <w:r>
        <w:rPr>
          <w:color w:val="000000"/>
          <w:kern w:val="0"/>
          <w:sz w:val="24"/>
        </w:rPr>
        <w:t>2016</w:t>
      </w:r>
      <w:r>
        <w:rPr>
          <w:color w:val="000000"/>
          <w:kern w:val="0"/>
          <w:sz w:val="24"/>
        </w:rPr>
        <w:t>年</w:t>
      </w:r>
      <w:r>
        <w:rPr>
          <w:color w:val="000000"/>
          <w:kern w:val="0"/>
          <w:sz w:val="24"/>
        </w:rPr>
        <w:t>1</w:t>
      </w:r>
      <w:r>
        <w:rPr>
          <w:color w:val="000000"/>
          <w:kern w:val="0"/>
          <w:sz w:val="24"/>
        </w:rPr>
        <w:t>月至</w:t>
      </w:r>
      <w:r>
        <w:rPr>
          <w:color w:val="000000"/>
          <w:kern w:val="0"/>
          <w:sz w:val="24"/>
        </w:rPr>
        <w:t>2018</w:t>
      </w:r>
      <w:r>
        <w:rPr>
          <w:color w:val="000000"/>
          <w:kern w:val="0"/>
          <w:sz w:val="24"/>
        </w:rPr>
        <w:t>年</w:t>
      </w:r>
      <w:r>
        <w:rPr>
          <w:color w:val="000000"/>
          <w:kern w:val="0"/>
          <w:sz w:val="24"/>
        </w:rPr>
        <w:t>1</w:t>
      </w:r>
      <w:r>
        <w:rPr>
          <w:color w:val="000000"/>
          <w:kern w:val="0"/>
          <w:sz w:val="24"/>
        </w:rPr>
        <w:t>月在为部分客户办理信用卡业务时未遵守总授信额度管理制度；</w:t>
      </w:r>
      <w:r>
        <w:rPr>
          <w:color w:val="000000"/>
          <w:kern w:val="0"/>
          <w:sz w:val="24"/>
        </w:rPr>
        <w:t>2</w:t>
      </w:r>
      <w:r>
        <w:rPr>
          <w:color w:val="000000"/>
          <w:kern w:val="0"/>
          <w:sz w:val="24"/>
        </w:rPr>
        <w:t>、</w:t>
      </w:r>
      <w:r>
        <w:rPr>
          <w:color w:val="000000"/>
          <w:kern w:val="0"/>
          <w:sz w:val="24"/>
        </w:rPr>
        <w:t>2016</w:t>
      </w:r>
      <w:r>
        <w:rPr>
          <w:color w:val="000000"/>
          <w:kern w:val="0"/>
          <w:sz w:val="24"/>
        </w:rPr>
        <w:t>年至</w:t>
      </w:r>
      <w:r>
        <w:rPr>
          <w:color w:val="000000"/>
          <w:kern w:val="0"/>
          <w:sz w:val="24"/>
        </w:rPr>
        <w:t>2018</w:t>
      </w:r>
      <w:r>
        <w:rPr>
          <w:color w:val="000000"/>
          <w:kern w:val="0"/>
          <w:sz w:val="24"/>
        </w:rPr>
        <w:t>年</w:t>
      </w:r>
      <w:r>
        <w:rPr>
          <w:color w:val="000000"/>
          <w:kern w:val="0"/>
          <w:sz w:val="24"/>
        </w:rPr>
        <w:t>8</w:t>
      </w:r>
      <w:r>
        <w:rPr>
          <w:color w:val="000000"/>
          <w:kern w:val="0"/>
          <w:sz w:val="24"/>
        </w:rPr>
        <w:t>月对部分信用卡申请人资信水平调查严重不尽职的违法违规行为，责令改正，并处罚款</w:t>
      </w:r>
      <w:r>
        <w:rPr>
          <w:color w:val="000000"/>
          <w:kern w:val="0"/>
          <w:sz w:val="24"/>
        </w:rPr>
        <w:t>40</w:t>
      </w:r>
      <w:r>
        <w:rPr>
          <w:color w:val="000000"/>
          <w:kern w:val="0"/>
          <w:sz w:val="24"/>
        </w:rPr>
        <w:t>万元。</w:t>
      </w:r>
    </w:p>
    <w:p w:rsidR="000212D1" w:rsidRDefault="00A02DDE">
      <w:pPr>
        <w:spacing w:line="360" w:lineRule="auto"/>
        <w:rPr>
          <w:color w:val="000000"/>
          <w:kern w:val="0"/>
          <w:sz w:val="24"/>
        </w:rPr>
      </w:pPr>
      <w:r>
        <w:rPr>
          <w:color w:val="000000"/>
          <w:kern w:val="0"/>
          <w:sz w:val="24"/>
        </w:rPr>
        <w:t>2019</w:t>
      </w:r>
      <w:r>
        <w:rPr>
          <w:color w:val="000000"/>
          <w:kern w:val="0"/>
          <w:sz w:val="24"/>
        </w:rPr>
        <w:t>年</w:t>
      </w:r>
      <w:r>
        <w:rPr>
          <w:color w:val="000000"/>
          <w:kern w:val="0"/>
          <w:sz w:val="24"/>
        </w:rPr>
        <w:t>7</w:t>
      </w:r>
      <w:r>
        <w:rPr>
          <w:color w:val="000000"/>
          <w:kern w:val="0"/>
          <w:sz w:val="24"/>
        </w:rPr>
        <w:t>月</w:t>
      </w:r>
      <w:r>
        <w:rPr>
          <w:color w:val="000000"/>
          <w:kern w:val="0"/>
          <w:sz w:val="24"/>
        </w:rPr>
        <w:t>8</w:t>
      </w:r>
      <w:r>
        <w:rPr>
          <w:color w:val="000000"/>
          <w:kern w:val="0"/>
          <w:sz w:val="24"/>
        </w:rPr>
        <w:t>日，中国银行保险监督管理委员会上海监管局对招商银行股份有限公司信用卡中心</w:t>
      </w:r>
      <w:r>
        <w:rPr>
          <w:color w:val="000000"/>
          <w:kern w:val="0"/>
          <w:sz w:val="24"/>
        </w:rPr>
        <w:t>2016</w:t>
      </w:r>
      <w:r>
        <w:rPr>
          <w:color w:val="000000"/>
          <w:kern w:val="0"/>
          <w:sz w:val="24"/>
        </w:rPr>
        <w:t>年</w:t>
      </w:r>
      <w:r>
        <w:rPr>
          <w:color w:val="000000"/>
          <w:kern w:val="0"/>
          <w:sz w:val="24"/>
        </w:rPr>
        <w:t>9</w:t>
      </w:r>
      <w:r>
        <w:rPr>
          <w:color w:val="000000"/>
          <w:kern w:val="0"/>
          <w:sz w:val="24"/>
        </w:rPr>
        <w:t>月至</w:t>
      </w:r>
      <w:r>
        <w:rPr>
          <w:color w:val="000000"/>
          <w:kern w:val="0"/>
          <w:sz w:val="24"/>
        </w:rPr>
        <w:t>2018</w:t>
      </w:r>
      <w:r>
        <w:rPr>
          <w:color w:val="000000"/>
          <w:kern w:val="0"/>
          <w:sz w:val="24"/>
        </w:rPr>
        <w:t>年</w:t>
      </w:r>
      <w:r>
        <w:rPr>
          <w:color w:val="000000"/>
          <w:kern w:val="0"/>
          <w:sz w:val="24"/>
        </w:rPr>
        <w:t>6</w:t>
      </w:r>
      <w:r>
        <w:rPr>
          <w:color w:val="000000"/>
          <w:kern w:val="0"/>
          <w:sz w:val="24"/>
        </w:rPr>
        <w:t>月在为部分客户办理信用卡业务时，未遵守总授信额度管理制度的违法违规事实，责令改正，并处罚款</w:t>
      </w:r>
      <w:r>
        <w:rPr>
          <w:color w:val="000000"/>
          <w:kern w:val="0"/>
          <w:sz w:val="24"/>
        </w:rPr>
        <w:t>20</w:t>
      </w:r>
      <w:r>
        <w:rPr>
          <w:color w:val="000000"/>
          <w:kern w:val="0"/>
          <w:sz w:val="24"/>
        </w:rPr>
        <w:t>万元。</w:t>
      </w:r>
    </w:p>
    <w:p w:rsidR="000212D1" w:rsidRDefault="00A02DDE">
      <w:pPr>
        <w:spacing w:line="360" w:lineRule="auto"/>
        <w:rPr>
          <w:color w:val="000000"/>
          <w:kern w:val="0"/>
          <w:sz w:val="24"/>
        </w:rPr>
      </w:pPr>
      <w:r>
        <w:rPr>
          <w:color w:val="000000"/>
          <w:kern w:val="0"/>
          <w:sz w:val="24"/>
        </w:rPr>
        <w:t>本基金为指数型基金，上述股票系标的指数成份股，上述股票的投资决策程序符合公司投资制度的规定。</w:t>
      </w:r>
      <w:r>
        <w:rPr>
          <w:color w:val="000000"/>
          <w:kern w:val="0"/>
          <w:sz w:val="24"/>
        </w:rPr>
        <w:t>除招商银行、交通银行、民生银行、兴业银行、浦发银行外，本基金投资的前十名证券的发行主体本期没有出现被监管部门立案调查，或在报告编制日前一年内受到公开谴责、处罚的情形。</w:t>
      </w:r>
    </w:p>
    <w:p w:rsidR="001C36D8" w:rsidRPr="005B1E0B" w:rsidRDefault="001C36D8" w:rsidP="00576862">
      <w:pPr>
        <w:spacing w:line="360" w:lineRule="auto"/>
        <w:rPr>
          <w:color w:val="000000"/>
          <w:kern w:val="0"/>
          <w:sz w:val="24"/>
        </w:rPr>
      </w:pPr>
      <w:r w:rsidRPr="001C123E">
        <w:rPr>
          <w:rFonts w:ascii="宋体" w:hAnsi="宋体"/>
          <w:bCs/>
          <w:color w:val="000000"/>
          <w:kern w:val="0"/>
          <w:sz w:val="24"/>
        </w:rPr>
        <w:t>5.11.2</w:t>
      </w:r>
      <w:r w:rsidRPr="005B1E0B">
        <w:rPr>
          <w:color w:val="000000"/>
          <w:kern w:val="0"/>
          <w:sz w:val="24"/>
        </w:rPr>
        <w:t>本基金投资的前十名股票没有超出基金合同规定的备选股票库。</w:t>
      </w:r>
    </w:p>
    <w:p w:rsidR="001C36D8" w:rsidRPr="00717C29" w:rsidRDefault="001C36D8" w:rsidP="00576862">
      <w:pPr>
        <w:autoSpaceDE w:val="0"/>
        <w:autoSpaceDN w:val="0"/>
        <w:adjustRightInd w:val="0"/>
        <w:spacing w:line="360" w:lineRule="auto"/>
        <w:jc w:val="left"/>
        <w:rPr>
          <w:rFonts w:ascii="宋体" w:cs="Arial"/>
          <w:color w:val="000000"/>
          <w:kern w:val="0"/>
          <w:sz w:val="24"/>
        </w:rPr>
      </w:pPr>
      <w:r w:rsidRPr="00717C29">
        <w:rPr>
          <w:rFonts w:ascii="宋体" w:hAnsi="宋体"/>
          <w:bCs/>
          <w:color w:val="000000"/>
          <w:kern w:val="0"/>
          <w:sz w:val="24"/>
        </w:rPr>
        <w:t>5.11.3</w:t>
      </w:r>
      <w:r w:rsidRPr="00717C29">
        <w:rPr>
          <w:rFonts w:ascii="宋体" w:hAnsi="宋体" w:cs="Arial" w:hint="eastAsia"/>
          <w:color w:val="000000"/>
          <w:kern w:val="0"/>
          <w:sz w:val="24"/>
        </w:rPr>
        <w:t>其他各项资产构成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761"/>
        <w:gridCol w:w="4808"/>
      </w:tblGrid>
      <w:tr w:rsidR="001C36D8" w:rsidRPr="00272E0C" w:rsidTr="001A09F9">
        <w:tc>
          <w:tcPr>
            <w:tcW w:w="959"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序号</w:t>
            </w:r>
          </w:p>
        </w:tc>
        <w:tc>
          <w:tcPr>
            <w:tcW w:w="2761"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名称</w:t>
            </w:r>
          </w:p>
        </w:tc>
        <w:tc>
          <w:tcPr>
            <w:tcW w:w="4808"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金额（元）</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kern w:val="0"/>
                <w:sz w:val="24"/>
              </w:rPr>
            </w:pPr>
            <w:r w:rsidRPr="005B1E0B">
              <w:rPr>
                <w:color w:val="000000"/>
                <w:sz w:val="24"/>
              </w:rPr>
              <w:t>1</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存出保证金</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33,379.84</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2</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应收证券清算款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2,652,978.18</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3</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应收股利</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4</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应收利息</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7,824.52</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5</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应收申购款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59,634.10</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6</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其他应收款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7</w:t>
            </w:r>
          </w:p>
        </w:tc>
        <w:tc>
          <w:tcPr>
            <w:tcW w:w="2761" w:type="dxa"/>
          </w:tcPr>
          <w:p w:rsidR="001C36D8" w:rsidRPr="005B1E0B" w:rsidRDefault="001C36D8" w:rsidP="0015779C">
            <w:pPr>
              <w:autoSpaceDE w:val="0"/>
              <w:autoSpaceDN w:val="0"/>
              <w:adjustRightInd w:val="0"/>
              <w:spacing w:before="29" w:line="360" w:lineRule="auto"/>
              <w:ind w:leftChars="50" w:left="105"/>
              <w:rPr>
                <w:color w:val="000000"/>
                <w:sz w:val="24"/>
              </w:rPr>
            </w:pPr>
            <w:r w:rsidRPr="005B1E0B">
              <w:rPr>
                <w:color w:val="000000"/>
                <w:sz w:val="24"/>
              </w:rPr>
              <w:t>待摊费用</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sz w:val="24"/>
              </w:rPr>
            </w:pPr>
            <w:r w:rsidRPr="005B1E0B">
              <w:rPr>
                <w:color w:val="00000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8</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其他</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9</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合计</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2,753,816.64</w:t>
            </w:r>
          </w:p>
        </w:tc>
      </w:tr>
    </w:tbl>
    <w:p w:rsidR="001C36D8" w:rsidRPr="00717C29" w:rsidRDefault="001C36D8" w:rsidP="00576862">
      <w:pPr>
        <w:autoSpaceDE w:val="0"/>
        <w:autoSpaceDN w:val="0"/>
        <w:adjustRightInd w:val="0"/>
        <w:spacing w:line="360" w:lineRule="auto"/>
        <w:jc w:val="left"/>
        <w:rPr>
          <w:rFonts w:ascii="宋体" w:cs="Arial"/>
          <w:color w:val="000000"/>
          <w:kern w:val="0"/>
          <w:sz w:val="24"/>
        </w:rPr>
      </w:pPr>
      <w:r w:rsidRPr="00717C29">
        <w:rPr>
          <w:rFonts w:ascii="宋体" w:hAnsi="宋体"/>
          <w:bCs/>
          <w:color w:val="000000"/>
          <w:kern w:val="0"/>
          <w:sz w:val="24"/>
        </w:rPr>
        <w:t>5.11.4</w:t>
      </w:r>
      <w:r w:rsidRPr="00717C29">
        <w:rPr>
          <w:rFonts w:ascii="宋体" w:hAnsi="宋体" w:cs="Arial" w:hint="eastAsia"/>
          <w:color w:val="000000"/>
          <w:kern w:val="0"/>
          <w:sz w:val="24"/>
        </w:rPr>
        <w:t>报告期末持有的处于转股期的可转换债券明细</w:t>
      </w:r>
    </w:p>
    <w:p w:rsidR="001C36D8" w:rsidRPr="003D22BD" w:rsidRDefault="001C36D8" w:rsidP="003D22BD">
      <w:pPr>
        <w:spacing w:line="360" w:lineRule="auto"/>
        <w:ind w:firstLineChars="200" w:firstLine="480"/>
        <w:rPr>
          <w:color w:val="000000"/>
          <w:sz w:val="24"/>
        </w:rPr>
      </w:pPr>
      <w:r w:rsidRPr="003D22BD">
        <w:rPr>
          <w:color w:val="000000"/>
          <w:sz w:val="24"/>
        </w:rPr>
        <w:t>本基金本报告期末未持有处于转股期的可转换债券。</w:t>
      </w:r>
    </w:p>
    <w:p w:rsidR="00924A95" w:rsidRPr="001C7E00" w:rsidRDefault="00924A95" w:rsidP="00924A95">
      <w:pPr>
        <w:autoSpaceDE w:val="0"/>
        <w:autoSpaceDN w:val="0"/>
        <w:adjustRightInd w:val="0"/>
        <w:spacing w:line="360" w:lineRule="auto"/>
        <w:jc w:val="left"/>
        <w:rPr>
          <w:rFonts w:ascii="宋体"/>
          <w:bCs/>
          <w:color w:val="000000"/>
          <w:kern w:val="0"/>
          <w:sz w:val="24"/>
        </w:rPr>
      </w:pPr>
      <w:r w:rsidRPr="001C7E00">
        <w:rPr>
          <w:rFonts w:ascii="宋体" w:hAnsi="宋体"/>
          <w:bCs/>
          <w:color w:val="000000"/>
          <w:kern w:val="0"/>
          <w:sz w:val="24"/>
        </w:rPr>
        <w:t>5.11.5</w:t>
      </w:r>
      <w:r w:rsidRPr="001C7E00">
        <w:rPr>
          <w:rFonts w:ascii="宋体" w:hAnsi="宋体" w:hint="eastAsia"/>
          <w:bCs/>
          <w:color w:val="000000"/>
          <w:kern w:val="0"/>
          <w:sz w:val="24"/>
        </w:rPr>
        <w:t>报告期末前十名股票中存在流通受限情况的说明</w:t>
      </w:r>
    </w:p>
    <w:p w:rsidR="001C36D8" w:rsidRPr="005B1E0B" w:rsidRDefault="00924A95" w:rsidP="005B1E0B">
      <w:pPr>
        <w:spacing w:line="360" w:lineRule="auto"/>
        <w:ind w:firstLineChars="200" w:firstLine="480"/>
        <w:rPr>
          <w:color w:val="000000"/>
          <w:sz w:val="24"/>
        </w:rPr>
      </w:pPr>
      <w:r w:rsidRPr="006C56AA">
        <w:rPr>
          <w:color w:val="000000"/>
          <w:sz w:val="24"/>
        </w:rPr>
        <w:t>本基金本报告期末前十名股票中不存在流通受限情况。</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Pr>
          <w:rFonts w:ascii="宋体" w:hAnsi="宋体" w:cs="Arial"/>
          <w:color w:val="000000"/>
          <w:kern w:val="0"/>
          <w:sz w:val="24"/>
          <w:szCs w:val="24"/>
        </w:rPr>
        <w:t>6</w:t>
      </w:r>
      <w:r w:rsidR="005D2CC7" w:rsidRPr="00272E0C">
        <w:rPr>
          <w:rFonts w:ascii="宋体" w:hAnsi="宋体" w:cs="Arial"/>
          <w:color w:val="000000"/>
          <w:kern w:val="0"/>
          <w:sz w:val="24"/>
          <w:szCs w:val="24"/>
        </w:rPr>
        <w:t xml:space="preserve">  </w:t>
      </w:r>
      <w:r w:rsidRPr="00272E0C">
        <w:rPr>
          <w:rFonts w:ascii="宋体" w:hAnsi="宋体" w:cs="Arial" w:hint="eastAsia"/>
          <w:color w:val="000000"/>
          <w:kern w:val="0"/>
          <w:sz w:val="24"/>
          <w:szCs w:val="24"/>
        </w:rPr>
        <w:t>开放式基金份额变动</w:t>
      </w:r>
    </w:p>
    <w:p w:rsidR="001C36D8" w:rsidRPr="00272E0C" w:rsidRDefault="001C36D8" w:rsidP="0019563C">
      <w:pPr>
        <w:autoSpaceDE w:val="0"/>
        <w:autoSpaceDN w:val="0"/>
        <w:adjustRightInd w:val="0"/>
        <w:spacing w:before="29" w:line="360" w:lineRule="auto"/>
        <w:ind w:left="15"/>
        <w:jc w:val="right"/>
        <w:rPr>
          <w:rFonts w:ascii="宋体" w:cs="Arial"/>
          <w:color w:val="000000"/>
          <w:kern w:val="0"/>
          <w:sz w:val="24"/>
        </w:rPr>
      </w:pPr>
      <w:r w:rsidRPr="00272E0C">
        <w:rPr>
          <w:rFonts w:ascii="宋体" w:hAnsi="宋体" w:cs="Arial" w:hint="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5B14F0">
            <w:pPr>
              <w:autoSpaceDE w:val="0"/>
              <w:autoSpaceDN w:val="0"/>
              <w:adjustRightInd w:val="0"/>
              <w:spacing w:before="29" w:line="360" w:lineRule="auto"/>
              <w:ind w:left="17"/>
              <w:jc w:val="right"/>
              <w:rPr>
                <w:sz w:val="24"/>
              </w:rPr>
            </w:pPr>
            <w:r w:rsidRPr="005B1E0B">
              <w:rPr>
                <w:sz w:val="24"/>
              </w:rPr>
              <w:t>易方达上证</w:t>
            </w:r>
            <w:r w:rsidRPr="005B1E0B">
              <w:rPr>
                <w:sz w:val="24"/>
              </w:rPr>
              <w:t>50</w:t>
            </w:r>
            <w:r w:rsidRPr="005B1E0B">
              <w:rPr>
                <w:sz w:val="24"/>
              </w:rPr>
              <w:t>分级</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sz w:val="24"/>
              </w:rPr>
              <w:t>易方达上证</w:t>
            </w:r>
            <w:r w:rsidRPr="005B1E0B">
              <w:rPr>
                <w:sz w:val="24"/>
              </w:rPr>
              <w:t>50</w:t>
            </w:r>
            <w:r w:rsidRPr="005B1E0B">
              <w:rPr>
                <w:sz w:val="24"/>
              </w:rPr>
              <w:t>分级</w:t>
            </w:r>
            <w:r w:rsidRPr="005B1E0B">
              <w:rPr>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易方达上证</w:t>
            </w:r>
            <w:r w:rsidRPr="005B1E0B">
              <w:rPr>
                <w:sz w:val="24"/>
              </w:rPr>
              <w:t>50</w:t>
            </w:r>
            <w:r w:rsidRPr="005B1E0B">
              <w:rPr>
                <w:sz w:val="24"/>
              </w:rPr>
              <w:t>分级</w:t>
            </w:r>
            <w:r w:rsidRPr="005B1E0B">
              <w:rPr>
                <w:sz w:val="24"/>
              </w:rPr>
              <w:t>B</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240,939,560.62</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172,875,129.00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172,875,129.00</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4,435,001.35</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减：报告期基金总赎回份额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90,555,270.07</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w:t>
            </w:r>
          </w:p>
        </w:tc>
      </w:tr>
      <w:tr w:rsidR="001C36D8" w:rsidRPr="00272E0C"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35,758,500.00</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-17,879,250.00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-17,879,250.00</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190,577,791.90</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154,995,879.00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154,995,879.00</w:t>
            </w:r>
          </w:p>
        </w:tc>
      </w:tr>
    </w:tbl>
    <w:p w:rsidR="001C36D8" w:rsidRPr="003D22BD" w:rsidRDefault="001C36D8" w:rsidP="003D22BD">
      <w:pPr>
        <w:spacing w:line="360" w:lineRule="auto"/>
        <w:ind w:firstLineChars="200" w:firstLine="480"/>
        <w:rPr>
          <w:color w:val="000000"/>
          <w:sz w:val="24"/>
        </w:rPr>
      </w:pPr>
      <w:r w:rsidRPr="003D22BD">
        <w:rPr>
          <w:color w:val="000000"/>
          <w:sz w:val="24"/>
        </w:rPr>
        <w:t>注：拆分变动份额包括三类份额之间的配对转换份额。</w:t>
      </w:r>
    </w:p>
    <w:p w:rsidR="001C36D8" w:rsidRDefault="001C36D8" w:rsidP="005C6DF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1C36D8" w:rsidRDefault="001C36D8" w:rsidP="003D4E5A">
      <w:pPr>
        <w:spacing w:line="360" w:lineRule="auto"/>
        <w:jc w:val="left"/>
        <w:rPr>
          <w:sz w:val="24"/>
        </w:rPr>
      </w:pPr>
      <w:r>
        <w:rPr>
          <w:b/>
          <w:sz w:val="24"/>
        </w:rPr>
        <w:t xml:space="preserve">7.1 </w:t>
      </w:r>
      <w:r>
        <w:rPr>
          <w:rFonts w:hint="eastAsia"/>
          <w:b/>
          <w:sz w:val="24"/>
        </w:rPr>
        <w:t>基金管理人持有本基金份额变动情况</w:t>
      </w:r>
    </w:p>
    <w:p w:rsidR="001C36D8" w:rsidRPr="005B1E0B" w:rsidRDefault="00BF63AF" w:rsidP="005B1E0B">
      <w:pPr>
        <w:spacing w:line="360" w:lineRule="auto"/>
        <w:ind w:firstLineChars="200" w:firstLine="480"/>
        <w:rPr>
          <w:color w:val="000000"/>
          <w:sz w:val="24"/>
        </w:rPr>
      </w:pPr>
      <w:r w:rsidRPr="00510DAB">
        <w:rPr>
          <w:color w:val="000000"/>
          <w:sz w:val="24"/>
        </w:rPr>
        <w:t>本报告期内基金管理人未持有本基金份额。</w:t>
      </w:r>
    </w:p>
    <w:p w:rsidR="001C36D8" w:rsidRDefault="001C36D8" w:rsidP="003D4E5A">
      <w:pPr>
        <w:spacing w:line="360" w:lineRule="auto"/>
        <w:jc w:val="left"/>
        <w:rPr>
          <w:sz w:val="24"/>
        </w:rPr>
      </w:pPr>
      <w:r>
        <w:rPr>
          <w:b/>
          <w:sz w:val="24"/>
        </w:rPr>
        <w:t xml:space="preserve">7.2 </w:t>
      </w:r>
      <w:r>
        <w:rPr>
          <w:rFonts w:hint="eastAsia"/>
          <w:b/>
          <w:sz w:val="24"/>
        </w:rPr>
        <w:t>基金管理人运用固有资金投资本基金交易明细</w:t>
      </w:r>
    </w:p>
    <w:p w:rsidR="001C36D8" w:rsidRPr="003D22BD" w:rsidRDefault="001C36D8" w:rsidP="003D22BD">
      <w:pPr>
        <w:spacing w:line="360" w:lineRule="auto"/>
        <w:ind w:firstLineChars="200" w:firstLine="480"/>
        <w:rPr>
          <w:color w:val="000000"/>
          <w:sz w:val="24"/>
        </w:rPr>
      </w:pPr>
      <w:r w:rsidRPr="003D22BD">
        <w:rPr>
          <w:color w:val="000000"/>
          <w:sz w:val="24"/>
        </w:rPr>
        <w:t>本报告期内基金管理人未运用固有资金申购、赎回、买卖本基金份额。</w:t>
      </w:r>
    </w:p>
    <w:p w:rsidR="00A12EEF" w:rsidRPr="005D2CC7" w:rsidRDefault="00A12EEF" w:rsidP="00A12EEF">
      <w:pPr>
        <w:pStyle w:val="1"/>
        <w:spacing w:beforeLines="100" w:before="312" w:afterLines="100" w:after="312" w:line="360" w:lineRule="auto"/>
        <w:jc w:val="center"/>
        <w:rPr>
          <w:rFonts w:ascii="宋体" w:hAnsi="宋体" w:cs="Arial"/>
          <w:color w:val="000000"/>
          <w:kern w:val="0"/>
          <w:sz w:val="24"/>
          <w:szCs w:val="24"/>
        </w:rPr>
      </w:pPr>
      <w:r w:rsidRPr="005D2CC7">
        <w:rPr>
          <w:rFonts w:ascii="宋体" w:hAnsi="宋体" w:cs="Arial"/>
          <w:color w:val="000000"/>
          <w:kern w:val="0"/>
          <w:sz w:val="24"/>
          <w:szCs w:val="24"/>
        </w:rPr>
        <w:t>§8</w:t>
      </w:r>
      <w:r w:rsidR="005D2CC7" w:rsidRPr="00272E0C">
        <w:rPr>
          <w:rFonts w:ascii="宋体" w:hAnsi="宋体" w:cs="Arial"/>
          <w:color w:val="000000"/>
          <w:kern w:val="0"/>
          <w:sz w:val="24"/>
          <w:szCs w:val="24"/>
        </w:rPr>
        <w:t xml:space="preserve">  </w:t>
      </w:r>
      <w:r w:rsidRPr="005D2CC7">
        <w:rPr>
          <w:rFonts w:ascii="宋体" w:hAnsi="宋体" w:cs="Arial"/>
          <w:color w:val="000000"/>
          <w:kern w:val="0"/>
          <w:sz w:val="24"/>
          <w:szCs w:val="24"/>
        </w:rPr>
        <w:t>影响投资者决策的其他重要信息</w:t>
      </w:r>
    </w:p>
    <w:p w:rsidR="004B7CA0" w:rsidRPr="00654C5E" w:rsidRDefault="004B7CA0" w:rsidP="004B7CA0">
      <w:pPr>
        <w:autoSpaceDE w:val="0"/>
        <w:autoSpaceDN w:val="0"/>
        <w:adjustRightInd w:val="0"/>
        <w:spacing w:line="360" w:lineRule="auto"/>
        <w:jc w:val="left"/>
        <w:rPr>
          <w:rFonts w:ascii="宋体"/>
          <w:b/>
          <w:bCs/>
          <w:color w:val="000000"/>
          <w:kern w:val="0"/>
          <w:sz w:val="24"/>
        </w:rPr>
      </w:pPr>
      <w:r w:rsidRPr="00654C5E">
        <w:rPr>
          <w:rFonts w:ascii="宋体"/>
          <w:b/>
          <w:bCs/>
          <w:color w:val="000000"/>
          <w:kern w:val="0"/>
          <w:sz w:val="24"/>
        </w:rPr>
        <w:t>8.1 影响投资者决策的其他重要信息</w:t>
      </w:r>
    </w:p>
    <w:p w:rsidR="001C36D8" w:rsidRPr="003D22BD" w:rsidRDefault="004B7CA0" w:rsidP="004B7CA0">
      <w:pPr>
        <w:spacing w:line="360" w:lineRule="auto"/>
        <w:ind w:firstLineChars="200" w:firstLine="480"/>
        <w:rPr>
          <w:color w:val="000000"/>
          <w:sz w:val="24"/>
        </w:rPr>
      </w:pPr>
      <w:r w:rsidRPr="00FC0759">
        <w:rPr>
          <w:rFonts w:eastAsiaTheme="minorEastAsia"/>
          <w:color w:val="000000" w:themeColor="text1"/>
          <w:sz w:val="24"/>
        </w:rPr>
        <w:t>根据《关于规范金融机构资产管理业务的指导意见》（以下简称《资管新规》）要求，公募产品不得进行份额分级，应在《资管新规》规定的过渡期结束前（即</w:t>
      </w:r>
      <w:r w:rsidRPr="00FC0759">
        <w:rPr>
          <w:rFonts w:eastAsiaTheme="minorEastAsia"/>
          <w:color w:val="000000" w:themeColor="text1"/>
          <w:sz w:val="24"/>
        </w:rPr>
        <w:t>2020</w:t>
      </w:r>
      <w:r w:rsidRPr="00FC0759">
        <w:rPr>
          <w:rFonts w:eastAsiaTheme="minorEastAsia"/>
          <w:color w:val="000000" w:themeColor="text1"/>
          <w:sz w:val="24"/>
        </w:rPr>
        <w:t>年</w:t>
      </w:r>
      <w:r w:rsidRPr="00FC0759">
        <w:rPr>
          <w:rFonts w:eastAsiaTheme="minorEastAsia"/>
          <w:color w:val="000000" w:themeColor="text1"/>
          <w:sz w:val="24"/>
        </w:rPr>
        <w:t>12</w:t>
      </w:r>
      <w:r w:rsidRPr="00FC0759">
        <w:rPr>
          <w:rFonts w:eastAsiaTheme="minorEastAsia"/>
          <w:color w:val="000000" w:themeColor="text1"/>
          <w:sz w:val="24"/>
        </w:rPr>
        <w:t>月</w:t>
      </w:r>
      <w:r w:rsidRPr="00FC0759">
        <w:rPr>
          <w:rFonts w:eastAsiaTheme="minorEastAsia"/>
          <w:color w:val="000000" w:themeColor="text1"/>
          <w:sz w:val="24"/>
        </w:rPr>
        <w:t>31</w:t>
      </w:r>
      <w:r w:rsidRPr="00FC0759">
        <w:rPr>
          <w:rFonts w:eastAsiaTheme="minorEastAsia"/>
          <w:color w:val="000000" w:themeColor="text1"/>
          <w:sz w:val="24"/>
        </w:rPr>
        <w:t>日前）进行整改规范，请投资者关注相关风险以及基金管理人届时发布的相关公告。</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9</w:t>
      </w:r>
      <w:r w:rsidR="005D2CC7" w:rsidRPr="00272E0C">
        <w:rPr>
          <w:rFonts w:ascii="宋体" w:hAnsi="宋体" w:cs="Arial"/>
          <w:color w:val="000000"/>
          <w:kern w:val="0"/>
          <w:sz w:val="24"/>
          <w:szCs w:val="24"/>
        </w:rPr>
        <w:t xml:space="preserve">  </w:t>
      </w:r>
      <w:r w:rsidRPr="00272E0C">
        <w:rPr>
          <w:rFonts w:ascii="宋体" w:hAnsi="宋体" w:cs="Arial" w:hint="eastAsia"/>
          <w:color w:val="000000"/>
          <w:kern w:val="0"/>
          <w:sz w:val="24"/>
          <w:szCs w:val="24"/>
        </w:rPr>
        <w:t>备查文件目录</w:t>
      </w:r>
    </w:p>
    <w:p w:rsidR="001C36D8" w:rsidRPr="00CE2DE4" w:rsidRDefault="001C36D8" w:rsidP="001078B6">
      <w:pPr>
        <w:spacing w:line="360" w:lineRule="auto"/>
        <w:rPr>
          <w:rFonts w:ascii="宋体"/>
          <w:b/>
          <w:color w:val="000000"/>
          <w:kern w:val="0"/>
          <w:sz w:val="24"/>
        </w:rPr>
      </w:pPr>
      <w:r w:rsidRPr="00CE2DE4">
        <w:rPr>
          <w:rFonts w:ascii="宋体" w:hAnsi="宋体"/>
          <w:b/>
          <w:color w:val="000000"/>
          <w:sz w:val="24"/>
        </w:rPr>
        <w:t xml:space="preserve">9.1 </w:t>
      </w:r>
      <w:r w:rsidRPr="00CE2DE4">
        <w:rPr>
          <w:rFonts w:ascii="宋体" w:hAnsi="宋体" w:hint="eastAsia"/>
          <w:b/>
          <w:color w:val="000000"/>
          <w:sz w:val="24"/>
        </w:rPr>
        <w:t>备查文件目录</w:t>
      </w:r>
    </w:p>
    <w:p w:rsidR="000212D1" w:rsidRDefault="00A02DDE">
      <w:pPr>
        <w:spacing w:line="360" w:lineRule="auto"/>
        <w:ind w:firstLineChars="200" w:firstLine="480"/>
        <w:rPr>
          <w:color w:val="000000"/>
          <w:sz w:val="24"/>
        </w:rPr>
      </w:pPr>
      <w:r>
        <w:rPr>
          <w:color w:val="000000"/>
          <w:sz w:val="24"/>
        </w:rPr>
        <w:t xml:space="preserve">1. </w:t>
      </w:r>
      <w:r>
        <w:rPr>
          <w:color w:val="000000"/>
          <w:sz w:val="24"/>
        </w:rPr>
        <w:t>中国证监会准予易方达上证</w:t>
      </w:r>
      <w:r>
        <w:rPr>
          <w:color w:val="000000"/>
          <w:sz w:val="24"/>
        </w:rPr>
        <w:t>50</w:t>
      </w:r>
      <w:r>
        <w:rPr>
          <w:color w:val="000000"/>
          <w:sz w:val="24"/>
        </w:rPr>
        <w:t>指数分级证券投资基金募集注册的文件；</w:t>
      </w:r>
    </w:p>
    <w:p w:rsidR="000212D1" w:rsidRDefault="00A02DDE">
      <w:pPr>
        <w:spacing w:line="360" w:lineRule="auto"/>
        <w:ind w:firstLineChars="200" w:firstLine="480"/>
        <w:rPr>
          <w:color w:val="000000"/>
          <w:sz w:val="24"/>
        </w:rPr>
      </w:pPr>
      <w:r>
        <w:rPr>
          <w:color w:val="000000"/>
          <w:sz w:val="24"/>
        </w:rPr>
        <w:t xml:space="preserve">2. </w:t>
      </w:r>
      <w:r>
        <w:rPr>
          <w:color w:val="000000"/>
          <w:sz w:val="24"/>
        </w:rPr>
        <w:t>《易方达上证</w:t>
      </w:r>
      <w:r>
        <w:rPr>
          <w:color w:val="000000"/>
          <w:sz w:val="24"/>
        </w:rPr>
        <w:t>50</w:t>
      </w:r>
      <w:r>
        <w:rPr>
          <w:color w:val="000000"/>
          <w:sz w:val="24"/>
        </w:rPr>
        <w:t>指数分级证券投资基金基金合同》；</w:t>
      </w:r>
    </w:p>
    <w:p w:rsidR="000212D1" w:rsidRDefault="00A02DDE">
      <w:pPr>
        <w:spacing w:line="360" w:lineRule="auto"/>
        <w:ind w:firstLineChars="200" w:firstLine="480"/>
        <w:rPr>
          <w:color w:val="000000"/>
          <w:sz w:val="24"/>
        </w:rPr>
      </w:pPr>
      <w:r>
        <w:rPr>
          <w:color w:val="000000"/>
          <w:sz w:val="24"/>
        </w:rPr>
        <w:t xml:space="preserve">3. </w:t>
      </w:r>
      <w:r>
        <w:rPr>
          <w:color w:val="000000"/>
          <w:sz w:val="24"/>
        </w:rPr>
        <w:t>《易方达上证</w:t>
      </w:r>
      <w:r>
        <w:rPr>
          <w:color w:val="000000"/>
          <w:sz w:val="24"/>
        </w:rPr>
        <w:t>50</w:t>
      </w:r>
      <w:r>
        <w:rPr>
          <w:color w:val="000000"/>
          <w:sz w:val="24"/>
        </w:rPr>
        <w:t>指数分级证券投资基金托管协议》；</w:t>
      </w:r>
    </w:p>
    <w:p w:rsidR="001C36D8" w:rsidRPr="00E43B0B" w:rsidRDefault="001C36D8" w:rsidP="00E43B0B">
      <w:pPr>
        <w:spacing w:line="360" w:lineRule="auto"/>
        <w:ind w:firstLineChars="200" w:firstLine="480"/>
        <w:rPr>
          <w:color w:val="000000"/>
          <w:sz w:val="24"/>
        </w:rPr>
      </w:pPr>
      <w:r w:rsidRPr="003D22BD">
        <w:rPr>
          <w:color w:val="000000"/>
          <w:sz w:val="24"/>
        </w:rPr>
        <w:t xml:space="preserve">4. </w:t>
      </w:r>
      <w:r w:rsidRPr="003D22BD">
        <w:rPr>
          <w:color w:val="000000"/>
          <w:sz w:val="24"/>
        </w:rPr>
        <w:t>基金管理人业务资格批件和营业执照。</w:t>
      </w:r>
    </w:p>
    <w:p w:rsidR="001C36D8" w:rsidRPr="00CE2DE4" w:rsidRDefault="001C36D8" w:rsidP="001078B6">
      <w:pPr>
        <w:spacing w:line="360" w:lineRule="auto"/>
        <w:rPr>
          <w:rFonts w:ascii="宋体"/>
          <w:b/>
          <w:color w:val="000000"/>
          <w:sz w:val="24"/>
        </w:rPr>
      </w:pPr>
      <w:r w:rsidRPr="00CE2DE4">
        <w:rPr>
          <w:rFonts w:ascii="宋体" w:hAnsi="宋体"/>
          <w:b/>
          <w:color w:val="000000"/>
          <w:sz w:val="24"/>
        </w:rPr>
        <w:t xml:space="preserve">9.2 </w:t>
      </w:r>
      <w:r w:rsidRPr="00CE2DE4">
        <w:rPr>
          <w:rFonts w:ascii="宋体" w:hAnsi="宋体" w:hint="eastAsia"/>
          <w:b/>
          <w:color w:val="000000"/>
          <w:sz w:val="24"/>
        </w:rPr>
        <w:t>存放地点</w:t>
      </w:r>
    </w:p>
    <w:p w:rsidR="001C36D8" w:rsidRPr="00E43B0B" w:rsidRDefault="001C36D8" w:rsidP="00E43B0B">
      <w:pPr>
        <w:spacing w:line="360" w:lineRule="auto"/>
        <w:ind w:firstLineChars="200" w:firstLine="480"/>
        <w:rPr>
          <w:color w:val="000000"/>
          <w:sz w:val="24"/>
        </w:rPr>
      </w:pPr>
      <w:r w:rsidRPr="003D22BD">
        <w:rPr>
          <w:color w:val="000000"/>
          <w:sz w:val="24"/>
        </w:rPr>
        <w:t>广州市天河区珠江新城珠江东路</w:t>
      </w:r>
      <w:r w:rsidRPr="003D22BD">
        <w:rPr>
          <w:color w:val="000000"/>
          <w:sz w:val="24"/>
        </w:rPr>
        <w:t>30</w:t>
      </w:r>
      <w:r w:rsidRPr="003D22BD">
        <w:rPr>
          <w:color w:val="000000"/>
          <w:sz w:val="24"/>
        </w:rPr>
        <w:t>号广州银行大厦</w:t>
      </w:r>
      <w:r w:rsidRPr="003D22BD">
        <w:rPr>
          <w:color w:val="000000"/>
          <w:sz w:val="24"/>
        </w:rPr>
        <w:t>40-43</w:t>
      </w:r>
      <w:r w:rsidRPr="003D22BD">
        <w:rPr>
          <w:color w:val="000000"/>
          <w:sz w:val="24"/>
        </w:rPr>
        <w:t>楼。</w:t>
      </w:r>
    </w:p>
    <w:p w:rsidR="001C36D8" w:rsidRPr="00CE2DE4" w:rsidRDefault="001C36D8" w:rsidP="001078B6">
      <w:pPr>
        <w:spacing w:line="360" w:lineRule="auto"/>
        <w:rPr>
          <w:rFonts w:ascii="宋体"/>
          <w:b/>
          <w:color w:val="000000"/>
          <w:sz w:val="24"/>
        </w:rPr>
      </w:pPr>
      <w:r w:rsidRPr="00CE2DE4">
        <w:rPr>
          <w:rFonts w:ascii="宋体" w:hAnsi="宋体"/>
          <w:b/>
          <w:color w:val="000000"/>
          <w:sz w:val="24"/>
        </w:rPr>
        <w:t xml:space="preserve">9.3 </w:t>
      </w:r>
      <w:r w:rsidRPr="00CE2DE4">
        <w:rPr>
          <w:rFonts w:ascii="宋体" w:hAnsi="宋体" w:hint="eastAsia"/>
          <w:b/>
          <w:color w:val="000000"/>
          <w:sz w:val="24"/>
        </w:rPr>
        <w:t>查阅方式</w:t>
      </w:r>
    </w:p>
    <w:p w:rsidR="001C36D8" w:rsidRPr="003D22BD" w:rsidRDefault="001C36D8" w:rsidP="0015779C">
      <w:pPr>
        <w:spacing w:line="360" w:lineRule="auto"/>
        <w:ind w:firstLineChars="200" w:firstLine="480"/>
        <w:rPr>
          <w:color w:val="000000"/>
          <w:sz w:val="24"/>
        </w:rPr>
      </w:pPr>
      <w:r w:rsidRPr="003D22BD">
        <w:rPr>
          <w:color w:val="000000"/>
          <w:sz w:val="24"/>
        </w:rPr>
        <w:t>投资者可在营业时间免费查阅，也可按工本费购买复印件。</w:t>
      </w:r>
    </w:p>
    <w:p w:rsidR="001C36D8" w:rsidRPr="00272E0C" w:rsidRDefault="001C36D8" w:rsidP="0019563C">
      <w:pPr>
        <w:spacing w:line="360" w:lineRule="auto"/>
        <w:ind w:left="840"/>
        <w:jc w:val="right"/>
        <w:rPr>
          <w:rFonts w:ascii="宋体"/>
          <w:color w:val="000000"/>
          <w:sz w:val="24"/>
        </w:rPr>
      </w:pPr>
      <w:r w:rsidRPr="00272E0C">
        <w:rPr>
          <w:rFonts w:ascii="宋体"/>
          <w:color w:val="000000"/>
          <w:sz w:val="24"/>
        </w:rPr>
        <w:tab/>
      </w:r>
    </w:p>
    <w:p w:rsidR="001C36D8" w:rsidRDefault="001C36D8" w:rsidP="0019563C">
      <w:pPr>
        <w:spacing w:line="360" w:lineRule="auto"/>
        <w:ind w:left="840"/>
        <w:jc w:val="right"/>
        <w:rPr>
          <w:rFonts w:ascii="宋体"/>
          <w:color w:val="000000"/>
          <w:sz w:val="24"/>
        </w:rPr>
      </w:pPr>
    </w:p>
    <w:p w:rsidR="001C36D8" w:rsidRDefault="001C36D8" w:rsidP="0019563C">
      <w:pPr>
        <w:spacing w:line="360" w:lineRule="auto"/>
        <w:ind w:left="840"/>
        <w:jc w:val="right"/>
        <w:rPr>
          <w:rFonts w:ascii="宋体"/>
          <w:color w:val="000000"/>
          <w:sz w:val="24"/>
        </w:rPr>
      </w:pPr>
    </w:p>
    <w:p w:rsidR="001C36D8" w:rsidRDefault="001C36D8" w:rsidP="0019563C">
      <w:pPr>
        <w:spacing w:line="360" w:lineRule="auto"/>
        <w:ind w:left="840"/>
        <w:jc w:val="right"/>
        <w:rPr>
          <w:rFonts w:ascii="宋体"/>
          <w:color w:val="000000"/>
          <w:sz w:val="24"/>
        </w:rPr>
      </w:pPr>
    </w:p>
    <w:p w:rsidR="001C36D8" w:rsidRPr="00272E0C" w:rsidRDefault="001C36D8" w:rsidP="0019563C">
      <w:pPr>
        <w:spacing w:line="360" w:lineRule="auto"/>
        <w:ind w:left="840"/>
        <w:jc w:val="right"/>
        <w:rPr>
          <w:rFonts w:ascii="宋体"/>
          <w:color w:val="000000"/>
          <w:sz w:val="24"/>
        </w:rPr>
      </w:pPr>
    </w:p>
    <w:p w:rsidR="001C36D8" w:rsidRPr="00272E0C" w:rsidRDefault="001C36D8" w:rsidP="0019563C">
      <w:pPr>
        <w:spacing w:line="360" w:lineRule="auto"/>
        <w:ind w:left="840"/>
        <w:jc w:val="right"/>
        <w:rPr>
          <w:rFonts w:ascii="宋体"/>
          <w:color w:val="000000"/>
          <w:sz w:val="24"/>
        </w:rPr>
      </w:pPr>
    </w:p>
    <w:p w:rsidR="001C36D8" w:rsidRPr="00272E0C" w:rsidRDefault="001C36D8" w:rsidP="001078B6">
      <w:pPr>
        <w:spacing w:line="360" w:lineRule="auto"/>
        <w:jc w:val="right"/>
        <w:rPr>
          <w:rFonts w:ascii="宋体" w:hAnsi="宋体"/>
          <w:b/>
          <w:bCs/>
          <w:sz w:val="24"/>
        </w:rPr>
      </w:pPr>
      <w:r w:rsidRPr="00272E0C">
        <w:rPr>
          <w:rFonts w:ascii="宋体" w:hAnsi="宋体"/>
          <w:b/>
          <w:bCs/>
          <w:sz w:val="24"/>
        </w:rPr>
        <w:t>易方达基金管理有限公司</w:t>
      </w:r>
    </w:p>
    <w:p w:rsidR="001C36D8" w:rsidRPr="008C2A97" w:rsidRDefault="001C36D8" w:rsidP="008C2A97">
      <w:pPr>
        <w:spacing w:line="360" w:lineRule="auto"/>
        <w:jc w:val="right"/>
        <w:rPr>
          <w:rFonts w:ascii="宋体" w:hAnsi="宋体"/>
          <w:b/>
          <w:bCs/>
          <w:sz w:val="24"/>
        </w:rPr>
      </w:pPr>
      <w:r w:rsidRPr="00272E0C">
        <w:rPr>
          <w:rFonts w:ascii="宋体" w:hAnsi="宋体"/>
          <w:b/>
          <w:bCs/>
          <w:sz w:val="24"/>
        </w:rPr>
        <w:t>二〇二〇年一月十八日</w:t>
      </w:r>
    </w:p>
    <w:sectPr w:rsidR="001C36D8" w:rsidRPr="008C2A97"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232" w:rsidRDefault="00EF6232">
      <w:r>
        <w:separator/>
      </w:r>
    </w:p>
  </w:endnote>
  <w:endnote w:type="continuationSeparator" w:id="0">
    <w:p w:rsidR="00EF6232" w:rsidRDefault="00EF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Pr="001D0DB0" w:rsidRDefault="00E43B0B" w:rsidP="00230A66">
    <w:pPr>
      <w:pStyle w:val="a6"/>
      <w:jc w:val="center"/>
    </w:pPr>
    <w:r>
      <w:rPr>
        <w:rFonts w:hint="eastAsia"/>
        <w:kern w:val="0"/>
        <w:szCs w:val="21"/>
      </w:rPr>
      <w:t>第</w:t>
    </w:r>
    <w:r w:rsidR="0015021E">
      <w:rPr>
        <w:kern w:val="0"/>
        <w:szCs w:val="21"/>
      </w:rPr>
      <w:fldChar w:fldCharType="begin"/>
    </w:r>
    <w:r>
      <w:rPr>
        <w:kern w:val="0"/>
        <w:szCs w:val="21"/>
      </w:rPr>
      <w:instrText xml:space="preserve"> PAGE </w:instrText>
    </w:r>
    <w:r w:rsidR="0015021E">
      <w:rPr>
        <w:kern w:val="0"/>
        <w:szCs w:val="21"/>
      </w:rPr>
      <w:fldChar w:fldCharType="separate"/>
    </w:r>
    <w:r w:rsidR="00A02DDE">
      <w:rPr>
        <w:noProof/>
        <w:kern w:val="0"/>
        <w:szCs w:val="21"/>
      </w:rPr>
      <w:t>1</w:t>
    </w:r>
    <w:r w:rsidR="0015021E">
      <w:rPr>
        <w:kern w:val="0"/>
        <w:szCs w:val="21"/>
      </w:rPr>
      <w:fldChar w:fldCharType="end"/>
    </w:r>
    <w:r>
      <w:rPr>
        <w:rFonts w:hint="eastAsia"/>
        <w:kern w:val="0"/>
        <w:szCs w:val="21"/>
      </w:rPr>
      <w:t>页共</w:t>
    </w:r>
    <w:r w:rsidR="0015021E">
      <w:rPr>
        <w:kern w:val="0"/>
        <w:szCs w:val="21"/>
      </w:rPr>
      <w:fldChar w:fldCharType="begin"/>
    </w:r>
    <w:r>
      <w:rPr>
        <w:kern w:val="0"/>
        <w:szCs w:val="21"/>
      </w:rPr>
      <w:instrText xml:space="preserve"> NUMPAGES </w:instrText>
    </w:r>
    <w:r w:rsidR="0015021E">
      <w:rPr>
        <w:kern w:val="0"/>
        <w:szCs w:val="21"/>
      </w:rPr>
      <w:fldChar w:fldCharType="separate"/>
    </w:r>
    <w:r w:rsidR="00A02DDE">
      <w:rPr>
        <w:noProof/>
        <w:kern w:val="0"/>
        <w:szCs w:val="21"/>
      </w:rPr>
      <w:t>1</w:t>
    </w:r>
    <w:r w:rsidR="0015021E">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Default="0015021E">
    <w:pPr>
      <w:pStyle w:val="a6"/>
      <w:framePr w:wrap="around" w:vAnchor="text" w:hAnchor="margin" w:xAlign="center" w:y="1"/>
      <w:rPr>
        <w:rStyle w:val="a7"/>
      </w:rPr>
    </w:pPr>
    <w:r>
      <w:rPr>
        <w:rStyle w:val="a7"/>
      </w:rPr>
      <w:fldChar w:fldCharType="begin"/>
    </w:r>
    <w:r w:rsidR="00E43B0B">
      <w:rPr>
        <w:rStyle w:val="a7"/>
      </w:rPr>
      <w:instrText xml:space="preserve">PAGE  </w:instrText>
    </w:r>
    <w:r>
      <w:rPr>
        <w:rStyle w:val="a7"/>
      </w:rPr>
      <w:fldChar w:fldCharType="end"/>
    </w:r>
  </w:p>
  <w:p w:rsidR="00E43B0B" w:rsidRDefault="00E43B0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Default="0015021E">
    <w:pPr>
      <w:pStyle w:val="a6"/>
      <w:framePr w:wrap="around" w:vAnchor="text" w:hAnchor="margin" w:xAlign="center" w:y="1"/>
      <w:rPr>
        <w:rStyle w:val="a7"/>
      </w:rPr>
    </w:pPr>
    <w:r>
      <w:rPr>
        <w:rStyle w:val="a7"/>
      </w:rPr>
      <w:fldChar w:fldCharType="begin"/>
    </w:r>
    <w:r w:rsidR="00E43B0B">
      <w:rPr>
        <w:rStyle w:val="a7"/>
      </w:rPr>
      <w:instrText xml:space="preserve">PAGE  </w:instrText>
    </w:r>
    <w:r>
      <w:rPr>
        <w:rStyle w:val="a7"/>
      </w:rPr>
      <w:fldChar w:fldCharType="separate"/>
    </w:r>
    <w:r w:rsidR="00A02DDE">
      <w:rPr>
        <w:rStyle w:val="a7"/>
        <w:noProof/>
      </w:rPr>
      <w:t>2</w:t>
    </w:r>
    <w:r>
      <w:rPr>
        <w:rStyle w:val="a7"/>
      </w:rPr>
      <w:fldChar w:fldCharType="end"/>
    </w:r>
  </w:p>
  <w:p w:rsidR="00E43B0B" w:rsidRDefault="00E43B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232" w:rsidRDefault="00EF6232">
      <w:r>
        <w:separator/>
      </w:r>
    </w:p>
  </w:footnote>
  <w:footnote w:type="continuationSeparator" w:id="0">
    <w:p w:rsidR="00EF6232" w:rsidRDefault="00EF6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Pr="00717C29" w:rsidRDefault="00E43B0B" w:rsidP="00FB572A">
    <w:pPr>
      <w:pStyle w:val="a9"/>
      <w:pBdr>
        <w:bottom w:val="single" w:sz="6" w:space="0" w:color="auto"/>
      </w:pBdr>
      <w:jc w:val="right"/>
      <w:rPr>
        <w:sz w:val="15"/>
      </w:rPr>
    </w:pPr>
    <w:r w:rsidRPr="00717C29">
      <w:rPr>
        <w:szCs w:val="21"/>
      </w:rPr>
      <w:t>易方达上证</w:t>
    </w:r>
    <w:r w:rsidRPr="00717C29">
      <w:rPr>
        <w:szCs w:val="21"/>
      </w:rPr>
      <w:t>50</w:t>
    </w:r>
    <w:r w:rsidRPr="00717C29">
      <w:rPr>
        <w:szCs w:val="21"/>
      </w:rPr>
      <w:t>指数分级证券投资基金</w:t>
    </w:r>
    <w:r w:rsidRPr="00717C29">
      <w:rPr>
        <w:szCs w:val="21"/>
      </w:rPr>
      <w:t>2019</w:t>
    </w:r>
    <w:r w:rsidRPr="00717C29">
      <w:rPr>
        <w:szCs w:val="21"/>
      </w:rPr>
      <w:t>年第</w:t>
    </w:r>
    <w:r w:rsidRPr="00717C29">
      <w:rPr>
        <w:szCs w:val="21"/>
      </w:rPr>
      <w:t>4</w:t>
    </w:r>
    <w:r w:rsidRPr="00717C29">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116E"/>
    <w:rsid w:val="0000403B"/>
    <w:rsid w:val="00005911"/>
    <w:rsid w:val="0000595B"/>
    <w:rsid w:val="00010A83"/>
    <w:rsid w:val="00010A8E"/>
    <w:rsid w:val="00010AC3"/>
    <w:rsid w:val="000118A9"/>
    <w:rsid w:val="00011EB5"/>
    <w:rsid w:val="0001280C"/>
    <w:rsid w:val="00013023"/>
    <w:rsid w:val="000148F1"/>
    <w:rsid w:val="0001536C"/>
    <w:rsid w:val="00017581"/>
    <w:rsid w:val="00020149"/>
    <w:rsid w:val="00020583"/>
    <w:rsid w:val="000212D1"/>
    <w:rsid w:val="00021DD4"/>
    <w:rsid w:val="00023BE7"/>
    <w:rsid w:val="00026AAE"/>
    <w:rsid w:val="00037FCF"/>
    <w:rsid w:val="000421B8"/>
    <w:rsid w:val="00043ABF"/>
    <w:rsid w:val="00044045"/>
    <w:rsid w:val="000445E4"/>
    <w:rsid w:val="00046906"/>
    <w:rsid w:val="000510AB"/>
    <w:rsid w:val="00055190"/>
    <w:rsid w:val="00055AF1"/>
    <w:rsid w:val="00056A75"/>
    <w:rsid w:val="00057DD3"/>
    <w:rsid w:val="000625A6"/>
    <w:rsid w:val="000627CD"/>
    <w:rsid w:val="00062BCE"/>
    <w:rsid w:val="00064AE3"/>
    <w:rsid w:val="00066524"/>
    <w:rsid w:val="00070CD1"/>
    <w:rsid w:val="0007171B"/>
    <w:rsid w:val="00074E9F"/>
    <w:rsid w:val="00081D05"/>
    <w:rsid w:val="0008378B"/>
    <w:rsid w:val="00085449"/>
    <w:rsid w:val="00087CF7"/>
    <w:rsid w:val="00090B0F"/>
    <w:rsid w:val="00090D91"/>
    <w:rsid w:val="00091214"/>
    <w:rsid w:val="00094876"/>
    <w:rsid w:val="00095912"/>
    <w:rsid w:val="00095CE0"/>
    <w:rsid w:val="00096933"/>
    <w:rsid w:val="00097230"/>
    <w:rsid w:val="0009778D"/>
    <w:rsid w:val="000A457E"/>
    <w:rsid w:val="000A53FD"/>
    <w:rsid w:val="000A549A"/>
    <w:rsid w:val="000A72F2"/>
    <w:rsid w:val="000B0C56"/>
    <w:rsid w:val="000B3E43"/>
    <w:rsid w:val="000B5974"/>
    <w:rsid w:val="000B5CC0"/>
    <w:rsid w:val="000C1038"/>
    <w:rsid w:val="000C1723"/>
    <w:rsid w:val="000C1B20"/>
    <w:rsid w:val="000C4107"/>
    <w:rsid w:val="000C44BD"/>
    <w:rsid w:val="000C45E7"/>
    <w:rsid w:val="000C57A8"/>
    <w:rsid w:val="000D0149"/>
    <w:rsid w:val="000D01F4"/>
    <w:rsid w:val="000D0D4E"/>
    <w:rsid w:val="000D1519"/>
    <w:rsid w:val="000E1618"/>
    <w:rsid w:val="000E4456"/>
    <w:rsid w:val="000F175F"/>
    <w:rsid w:val="000F17D1"/>
    <w:rsid w:val="000F2837"/>
    <w:rsid w:val="000F399F"/>
    <w:rsid w:val="000F60FF"/>
    <w:rsid w:val="000F635F"/>
    <w:rsid w:val="000F6C61"/>
    <w:rsid w:val="001008A1"/>
    <w:rsid w:val="00100C12"/>
    <w:rsid w:val="00102E56"/>
    <w:rsid w:val="001049B6"/>
    <w:rsid w:val="001051C6"/>
    <w:rsid w:val="001078B6"/>
    <w:rsid w:val="0011177A"/>
    <w:rsid w:val="00111D44"/>
    <w:rsid w:val="00116E31"/>
    <w:rsid w:val="00120BED"/>
    <w:rsid w:val="0012304E"/>
    <w:rsid w:val="001248EF"/>
    <w:rsid w:val="001257C7"/>
    <w:rsid w:val="00126DDF"/>
    <w:rsid w:val="001270BF"/>
    <w:rsid w:val="00127BAC"/>
    <w:rsid w:val="00134868"/>
    <w:rsid w:val="001366D4"/>
    <w:rsid w:val="00140FF8"/>
    <w:rsid w:val="00142A56"/>
    <w:rsid w:val="00144DF5"/>
    <w:rsid w:val="00145A97"/>
    <w:rsid w:val="00146485"/>
    <w:rsid w:val="00147338"/>
    <w:rsid w:val="0015021E"/>
    <w:rsid w:val="001506B4"/>
    <w:rsid w:val="00150A6E"/>
    <w:rsid w:val="00150AD6"/>
    <w:rsid w:val="00153B40"/>
    <w:rsid w:val="00154ADA"/>
    <w:rsid w:val="0015531A"/>
    <w:rsid w:val="00155953"/>
    <w:rsid w:val="0015779C"/>
    <w:rsid w:val="001600E8"/>
    <w:rsid w:val="00163B27"/>
    <w:rsid w:val="00165317"/>
    <w:rsid w:val="00170F80"/>
    <w:rsid w:val="00171BAD"/>
    <w:rsid w:val="001744B4"/>
    <w:rsid w:val="001756A1"/>
    <w:rsid w:val="001761EE"/>
    <w:rsid w:val="0017638D"/>
    <w:rsid w:val="00176EAA"/>
    <w:rsid w:val="0017725A"/>
    <w:rsid w:val="00177C4B"/>
    <w:rsid w:val="0018325A"/>
    <w:rsid w:val="00183C9E"/>
    <w:rsid w:val="00184556"/>
    <w:rsid w:val="00186199"/>
    <w:rsid w:val="001878B0"/>
    <w:rsid w:val="001928F7"/>
    <w:rsid w:val="00193F07"/>
    <w:rsid w:val="00194537"/>
    <w:rsid w:val="0019563C"/>
    <w:rsid w:val="001A09F9"/>
    <w:rsid w:val="001A14DB"/>
    <w:rsid w:val="001A21A9"/>
    <w:rsid w:val="001A363B"/>
    <w:rsid w:val="001A59D8"/>
    <w:rsid w:val="001A5FA6"/>
    <w:rsid w:val="001B0A62"/>
    <w:rsid w:val="001B2F0C"/>
    <w:rsid w:val="001B64E7"/>
    <w:rsid w:val="001C123E"/>
    <w:rsid w:val="001C36D8"/>
    <w:rsid w:val="001C37F6"/>
    <w:rsid w:val="001C4BEC"/>
    <w:rsid w:val="001C6288"/>
    <w:rsid w:val="001C7DE9"/>
    <w:rsid w:val="001D0DB0"/>
    <w:rsid w:val="001D0F6A"/>
    <w:rsid w:val="001D21BC"/>
    <w:rsid w:val="001D2FA5"/>
    <w:rsid w:val="001D35E0"/>
    <w:rsid w:val="001D5045"/>
    <w:rsid w:val="001D5387"/>
    <w:rsid w:val="001D5A44"/>
    <w:rsid w:val="001D63BB"/>
    <w:rsid w:val="001D724B"/>
    <w:rsid w:val="001E11D3"/>
    <w:rsid w:val="001E2A6A"/>
    <w:rsid w:val="001E3DC2"/>
    <w:rsid w:val="001E56FF"/>
    <w:rsid w:val="001E5C6B"/>
    <w:rsid w:val="001E6E4D"/>
    <w:rsid w:val="001F03E1"/>
    <w:rsid w:val="001F0DE2"/>
    <w:rsid w:val="001F218E"/>
    <w:rsid w:val="001F3CC6"/>
    <w:rsid w:val="001F40BA"/>
    <w:rsid w:val="001F4530"/>
    <w:rsid w:val="002010DE"/>
    <w:rsid w:val="00202968"/>
    <w:rsid w:val="00202A66"/>
    <w:rsid w:val="00202C32"/>
    <w:rsid w:val="00203AEF"/>
    <w:rsid w:val="00210344"/>
    <w:rsid w:val="00211A26"/>
    <w:rsid w:val="002125F7"/>
    <w:rsid w:val="00213171"/>
    <w:rsid w:val="00213917"/>
    <w:rsid w:val="00214463"/>
    <w:rsid w:val="00214756"/>
    <w:rsid w:val="00215CF2"/>
    <w:rsid w:val="00215E33"/>
    <w:rsid w:val="00216232"/>
    <w:rsid w:val="00220542"/>
    <w:rsid w:val="00220684"/>
    <w:rsid w:val="00221174"/>
    <w:rsid w:val="00225ADC"/>
    <w:rsid w:val="00230732"/>
    <w:rsid w:val="00230A66"/>
    <w:rsid w:val="00230EC2"/>
    <w:rsid w:val="002359EB"/>
    <w:rsid w:val="002363AB"/>
    <w:rsid w:val="00237FA3"/>
    <w:rsid w:val="0024172D"/>
    <w:rsid w:val="00241B12"/>
    <w:rsid w:val="0024260D"/>
    <w:rsid w:val="00243E40"/>
    <w:rsid w:val="00245012"/>
    <w:rsid w:val="0024504E"/>
    <w:rsid w:val="0024651F"/>
    <w:rsid w:val="002470BA"/>
    <w:rsid w:val="00250BE3"/>
    <w:rsid w:val="00251290"/>
    <w:rsid w:val="0025158D"/>
    <w:rsid w:val="00251D17"/>
    <w:rsid w:val="00251F3A"/>
    <w:rsid w:val="0025281A"/>
    <w:rsid w:val="00253D3C"/>
    <w:rsid w:val="0025435F"/>
    <w:rsid w:val="00255292"/>
    <w:rsid w:val="00260200"/>
    <w:rsid w:val="00263563"/>
    <w:rsid w:val="002648D8"/>
    <w:rsid w:val="00264E55"/>
    <w:rsid w:val="00270548"/>
    <w:rsid w:val="00272E0C"/>
    <w:rsid w:val="00273F86"/>
    <w:rsid w:val="002752B0"/>
    <w:rsid w:val="002774F0"/>
    <w:rsid w:val="0028459B"/>
    <w:rsid w:val="00284C5F"/>
    <w:rsid w:val="002873F0"/>
    <w:rsid w:val="00291A74"/>
    <w:rsid w:val="00292198"/>
    <w:rsid w:val="002964F9"/>
    <w:rsid w:val="00297EF3"/>
    <w:rsid w:val="002A1F14"/>
    <w:rsid w:val="002A2678"/>
    <w:rsid w:val="002A2E01"/>
    <w:rsid w:val="002A398F"/>
    <w:rsid w:val="002A44F9"/>
    <w:rsid w:val="002A5C6B"/>
    <w:rsid w:val="002A5D31"/>
    <w:rsid w:val="002A714F"/>
    <w:rsid w:val="002A74FB"/>
    <w:rsid w:val="002B1851"/>
    <w:rsid w:val="002B27FF"/>
    <w:rsid w:val="002B4429"/>
    <w:rsid w:val="002B6793"/>
    <w:rsid w:val="002C1726"/>
    <w:rsid w:val="002C1DF3"/>
    <w:rsid w:val="002C21A6"/>
    <w:rsid w:val="002C26D5"/>
    <w:rsid w:val="002C2DE0"/>
    <w:rsid w:val="002C5777"/>
    <w:rsid w:val="002C7FC3"/>
    <w:rsid w:val="002D1791"/>
    <w:rsid w:val="002D32E3"/>
    <w:rsid w:val="002D55E7"/>
    <w:rsid w:val="002E0FEB"/>
    <w:rsid w:val="002E1EBA"/>
    <w:rsid w:val="002F0F79"/>
    <w:rsid w:val="002F280E"/>
    <w:rsid w:val="002F3709"/>
    <w:rsid w:val="002F3A6C"/>
    <w:rsid w:val="002F3E9C"/>
    <w:rsid w:val="002F4296"/>
    <w:rsid w:val="00300951"/>
    <w:rsid w:val="003023C9"/>
    <w:rsid w:val="00302CA8"/>
    <w:rsid w:val="00302DE9"/>
    <w:rsid w:val="003041B1"/>
    <w:rsid w:val="00305084"/>
    <w:rsid w:val="003168E2"/>
    <w:rsid w:val="003204E9"/>
    <w:rsid w:val="00320DDA"/>
    <w:rsid w:val="00321E8C"/>
    <w:rsid w:val="00322A65"/>
    <w:rsid w:val="00322A86"/>
    <w:rsid w:val="00323AE8"/>
    <w:rsid w:val="00324548"/>
    <w:rsid w:val="003251F4"/>
    <w:rsid w:val="003303E3"/>
    <w:rsid w:val="00331FA4"/>
    <w:rsid w:val="003329EA"/>
    <w:rsid w:val="00332FDE"/>
    <w:rsid w:val="003407A5"/>
    <w:rsid w:val="00341188"/>
    <w:rsid w:val="0034147B"/>
    <w:rsid w:val="0034432A"/>
    <w:rsid w:val="00350238"/>
    <w:rsid w:val="0035109C"/>
    <w:rsid w:val="00351F0A"/>
    <w:rsid w:val="0035432B"/>
    <w:rsid w:val="00357EB5"/>
    <w:rsid w:val="00361E7E"/>
    <w:rsid w:val="003669EF"/>
    <w:rsid w:val="00370AA4"/>
    <w:rsid w:val="00371FF4"/>
    <w:rsid w:val="00373015"/>
    <w:rsid w:val="00375D24"/>
    <w:rsid w:val="00377520"/>
    <w:rsid w:val="00380D36"/>
    <w:rsid w:val="003822D3"/>
    <w:rsid w:val="0038409E"/>
    <w:rsid w:val="00384BC3"/>
    <w:rsid w:val="00386630"/>
    <w:rsid w:val="00390522"/>
    <w:rsid w:val="00390B25"/>
    <w:rsid w:val="00390C86"/>
    <w:rsid w:val="00397156"/>
    <w:rsid w:val="00397960"/>
    <w:rsid w:val="003A20AA"/>
    <w:rsid w:val="003A3BC4"/>
    <w:rsid w:val="003A458A"/>
    <w:rsid w:val="003A4DA3"/>
    <w:rsid w:val="003A768B"/>
    <w:rsid w:val="003B07C8"/>
    <w:rsid w:val="003B2082"/>
    <w:rsid w:val="003B2F13"/>
    <w:rsid w:val="003B3D0C"/>
    <w:rsid w:val="003B405E"/>
    <w:rsid w:val="003B57D3"/>
    <w:rsid w:val="003C1F58"/>
    <w:rsid w:val="003C792F"/>
    <w:rsid w:val="003D124B"/>
    <w:rsid w:val="003D18F3"/>
    <w:rsid w:val="003D22BD"/>
    <w:rsid w:val="003D4E5A"/>
    <w:rsid w:val="003D5951"/>
    <w:rsid w:val="003D74F2"/>
    <w:rsid w:val="003D78B5"/>
    <w:rsid w:val="003E1062"/>
    <w:rsid w:val="003E244F"/>
    <w:rsid w:val="003E3AE8"/>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6C10"/>
    <w:rsid w:val="004217C8"/>
    <w:rsid w:val="0042180E"/>
    <w:rsid w:val="004222C8"/>
    <w:rsid w:val="0042253F"/>
    <w:rsid w:val="00424726"/>
    <w:rsid w:val="00424EF3"/>
    <w:rsid w:val="004268BB"/>
    <w:rsid w:val="00431047"/>
    <w:rsid w:val="004318F0"/>
    <w:rsid w:val="00431B86"/>
    <w:rsid w:val="00431BC5"/>
    <w:rsid w:val="004344A5"/>
    <w:rsid w:val="004408EC"/>
    <w:rsid w:val="00441B38"/>
    <w:rsid w:val="00441D14"/>
    <w:rsid w:val="00441E6A"/>
    <w:rsid w:val="004432B9"/>
    <w:rsid w:val="00443C8F"/>
    <w:rsid w:val="00452481"/>
    <w:rsid w:val="00453E40"/>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68F"/>
    <w:rsid w:val="00491ABD"/>
    <w:rsid w:val="0049297D"/>
    <w:rsid w:val="004929F2"/>
    <w:rsid w:val="00495A03"/>
    <w:rsid w:val="00497079"/>
    <w:rsid w:val="004A1BBA"/>
    <w:rsid w:val="004A1E8A"/>
    <w:rsid w:val="004A3E3C"/>
    <w:rsid w:val="004A3F71"/>
    <w:rsid w:val="004B0E6D"/>
    <w:rsid w:val="004B16E8"/>
    <w:rsid w:val="004B2326"/>
    <w:rsid w:val="004B4D2D"/>
    <w:rsid w:val="004B6250"/>
    <w:rsid w:val="004B76B1"/>
    <w:rsid w:val="004B7CA0"/>
    <w:rsid w:val="004C0057"/>
    <w:rsid w:val="004C04AE"/>
    <w:rsid w:val="004C0541"/>
    <w:rsid w:val="004C2C46"/>
    <w:rsid w:val="004C6E88"/>
    <w:rsid w:val="004C7235"/>
    <w:rsid w:val="004C7955"/>
    <w:rsid w:val="004D047F"/>
    <w:rsid w:val="004D3D96"/>
    <w:rsid w:val="004D650F"/>
    <w:rsid w:val="004D67E0"/>
    <w:rsid w:val="004E12E1"/>
    <w:rsid w:val="004E2133"/>
    <w:rsid w:val="004E32E2"/>
    <w:rsid w:val="004E5AB9"/>
    <w:rsid w:val="004E60FB"/>
    <w:rsid w:val="004F779C"/>
    <w:rsid w:val="004F7846"/>
    <w:rsid w:val="005000D4"/>
    <w:rsid w:val="005015FA"/>
    <w:rsid w:val="00505411"/>
    <w:rsid w:val="00510CAF"/>
    <w:rsid w:val="00510DAB"/>
    <w:rsid w:val="005128C5"/>
    <w:rsid w:val="00514754"/>
    <w:rsid w:val="0051478B"/>
    <w:rsid w:val="0051566A"/>
    <w:rsid w:val="00515D7B"/>
    <w:rsid w:val="005166E9"/>
    <w:rsid w:val="0052009E"/>
    <w:rsid w:val="0052302C"/>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61D7"/>
    <w:rsid w:val="00597057"/>
    <w:rsid w:val="00597D8B"/>
    <w:rsid w:val="005A1C30"/>
    <w:rsid w:val="005A229D"/>
    <w:rsid w:val="005A3295"/>
    <w:rsid w:val="005A46FF"/>
    <w:rsid w:val="005A5AE2"/>
    <w:rsid w:val="005B011E"/>
    <w:rsid w:val="005B14F0"/>
    <w:rsid w:val="005B1E0B"/>
    <w:rsid w:val="005B2E84"/>
    <w:rsid w:val="005B70C6"/>
    <w:rsid w:val="005B7B0E"/>
    <w:rsid w:val="005C526E"/>
    <w:rsid w:val="005C5409"/>
    <w:rsid w:val="005C69AC"/>
    <w:rsid w:val="005C6DCF"/>
    <w:rsid w:val="005C6DF3"/>
    <w:rsid w:val="005C722E"/>
    <w:rsid w:val="005D01A4"/>
    <w:rsid w:val="005D14DE"/>
    <w:rsid w:val="005D2CC7"/>
    <w:rsid w:val="005D44E4"/>
    <w:rsid w:val="005D45B3"/>
    <w:rsid w:val="005D4CEB"/>
    <w:rsid w:val="005D5F80"/>
    <w:rsid w:val="005E0C14"/>
    <w:rsid w:val="005E1D51"/>
    <w:rsid w:val="005F04E6"/>
    <w:rsid w:val="005F43B9"/>
    <w:rsid w:val="005F68CB"/>
    <w:rsid w:val="005F6A4A"/>
    <w:rsid w:val="006033E3"/>
    <w:rsid w:val="00603663"/>
    <w:rsid w:val="0061321C"/>
    <w:rsid w:val="006159E5"/>
    <w:rsid w:val="00620DB0"/>
    <w:rsid w:val="0062386E"/>
    <w:rsid w:val="00623D9A"/>
    <w:rsid w:val="00623F01"/>
    <w:rsid w:val="006242FB"/>
    <w:rsid w:val="00626E2D"/>
    <w:rsid w:val="00627D94"/>
    <w:rsid w:val="00630B42"/>
    <w:rsid w:val="00631DB3"/>
    <w:rsid w:val="00634900"/>
    <w:rsid w:val="00637BA7"/>
    <w:rsid w:val="00642072"/>
    <w:rsid w:val="006440ED"/>
    <w:rsid w:val="00645293"/>
    <w:rsid w:val="00651B78"/>
    <w:rsid w:val="00652263"/>
    <w:rsid w:val="00652881"/>
    <w:rsid w:val="00653BAC"/>
    <w:rsid w:val="00657CAF"/>
    <w:rsid w:val="00661974"/>
    <w:rsid w:val="00662F58"/>
    <w:rsid w:val="00664551"/>
    <w:rsid w:val="0066704D"/>
    <w:rsid w:val="006676A0"/>
    <w:rsid w:val="006706B6"/>
    <w:rsid w:val="00670857"/>
    <w:rsid w:val="00671124"/>
    <w:rsid w:val="006727B0"/>
    <w:rsid w:val="0067307E"/>
    <w:rsid w:val="006848C1"/>
    <w:rsid w:val="006868CD"/>
    <w:rsid w:val="00686EEA"/>
    <w:rsid w:val="00687AD5"/>
    <w:rsid w:val="00690EC4"/>
    <w:rsid w:val="00691D14"/>
    <w:rsid w:val="00695251"/>
    <w:rsid w:val="00695296"/>
    <w:rsid w:val="00695ADE"/>
    <w:rsid w:val="00695C0D"/>
    <w:rsid w:val="00696356"/>
    <w:rsid w:val="00696DDE"/>
    <w:rsid w:val="006A72C6"/>
    <w:rsid w:val="006B02DA"/>
    <w:rsid w:val="006B0806"/>
    <w:rsid w:val="006B10DA"/>
    <w:rsid w:val="006B2065"/>
    <w:rsid w:val="006B3940"/>
    <w:rsid w:val="006B5B3E"/>
    <w:rsid w:val="006C168D"/>
    <w:rsid w:val="006C4465"/>
    <w:rsid w:val="006C642C"/>
    <w:rsid w:val="006C6FC6"/>
    <w:rsid w:val="006D0E4F"/>
    <w:rsid w:val="006D676F"/>
    <w:rsid w:val="006D7693"/>
    <w:rsid w:val="006E231B"/>
    <w:rsid w:val="006E346E"/>
    <w:rsid w:val="006E34B7"/>
    <w:rsid w:val="006F103E"/>
    <w:rsid w:val="006F4C30"/>
    <w:rsid w:val="006F4CD8"/>
    <w:rsid w:val="006F53D9"/>
    <w:rsid w:val="007004DC"/>
    <w:rsid w:val="00701347"/>
    <w:rsid w:val="007027B6"/>
    <w:rsid w:val="00703E8A"/>
    <w:rsid w:val="00707FB8"/>
    <w:rsid w:val="0071006D"/>
    <w:rsid w:val="00711522"/>
    <w:rsid w:val="007124FE"/>
    <w:rsid w:val="007125A9"/>
    <w:rsid w:val="00713186"/>
    <w:rsid w:val="00713757"/>
    <w:rsid w:val="00716F79"/>
    <w:rsid w:val="00717772"/>
    <w:rsid w:val="00717C29"/>
    <w:rsid w:val="00721AF1"/>
    <w:rsid w:val="0072280F"/>
    <w:rsid w:val="00722B5E"/>
    <w:rsid w:val="0072708F"/>
    <w:rsid w:val="00727C6C"/>
    <w:rsid w:val="0073150B"/>
    <w:rsid w:val="00732D1D"/>
    <w:rsid w:val="00736034"/>
    <w:rsid w:val="0073681C"/>
    <w:rsid w:val="00737AB0"/>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91053"/>
    <w:rsid w:val="00791A3A"/>
    <w:rsid w:val="00794196"/>
    <w:rsid w:val="007941EA"/>
    <w:rsid w:val="007951F3"/>
    <w:rsid w:val="0079671E"/>
    <w:rsid w:val="00797637"/>
    <w:rsid w:val="007A0A57"/>
    <w:rsid w:val="007A3680"/>
    <w:rsid w:val="007A59B8"/>
    <w:rsid w:val="007A6BEA"/>
    <w:rsid w:val="007B2191"/>
    <w:rsid w:val="007B2862"/>
    <w:rsid w:val="007B3C32"/>
    <w:rsid w:val="007B505A"/>
    <w:rsid w:val="007B662A"/>
    <w:rsid w:val="007C2BCC"/>
    <w:rsid w:val="007C7E22"/>
    <w:rsid w:val="007D1C16"/>
    <w:rsid w:val="007D28C9"/>
    <w:rsid w:val="007D3CC8"/>
    <w:rsid w:val="007D62F9"/>
    <w:rsid w:val="007D63A4"/>
    <w:rsid w:val="007E008D"/>
    <w:rsid w:val="007E0F0C"/>
    <w:rsid w:val="007E1AA2"/>
    <w:rsid w:val="007E1AD0"/>
    <w:rsid w:val="007E4C1F"/>
    <w:rsid w:val="007E5EDC"/>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1C19"/>
    <w:rsid w:val="008174D4"/>
    <w:rsid w:val="00820FE6"/>
    <w:rsid w:val="00821985"/>
    <w:rsid w:val="00821A66"/>
    <w:rsid w:val="00822476"/>
    <w:rsid w:val="00822882"/>
    <w:rsid w:val="00823E6D"/>
    <w:rsid w:val="00824200"/>
    <w:rsid w:val="00825D22"/>
    <w:rsid w:val="00825F68"/>
    <w:rsid w:val="00827CB9"/>
    <w:rsid w:val="008305BF"/>
    <w:rsid w:val="00832748"/>
    <w:rsid w:val="00835408"/>
    <w:rsid w:val="008359DA"/>
    <w:rsid w:val="00836D2A"/>
    <w:rsid w:val="00837CEF"/>
    <w:rsid w:val="00840035"/>
    <w:rsid w:val="00840220"/>
    <w:rsid w:val="00840677"/>
    <w:rsid w:val="00840C20"/>
    <w:rsid w:val="008428A9"/>
    <w:rsid w:val="00844112"/>
    <w:rsid w:val="00844CBE"/>
    <w:rsid w:val="008456C9"/>
    <w:rsid w:val="0084611D"/>
    <w:rsid w:val="00850C62"/>
    <w:rsid w:val="00854463"/>
    <w:rsid w:val="00857643"/>
    <w:rsid w:val="00863011"/>
    <w:rsid w:val="0086312D"/>
    <w:rsid w:val="00863392"/>
    <w:rsid w:val="00865075"/>
    <w:rsid w:val="0086734C"/>
    <w:rsid w:val="0086748F"/>
    <w:rsid w:val="00872CE4"/>
    <w:rsid w:val="00874F4B"/>
    <w:rsid w:val="0087539B"/>
    <w:rsid w:val="00877B62"/>
    <w:rsid w:val="00880016"/>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2A97"/>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1C17"/>
    <w:rsid w:val="008F2477"/>
    <w:rsid w:val="00900DD1"/>
    <w:rsid w:val="009010F0"/>
    <w:rsid w:val="00901162"/>
    <w:rsid w:val="0090223A"/>
    <w:rsid w:val="009028E2"/>
    <w:rsid w:val="009055EC"/>
    <w:rsid w:val="009100C0"/>
    <w:rsid w:val="0091247B"/>
    <w:rsid w:val="0091320A"/>
    <w:rsid w:val="00914EAB"/>
    <w:rsid w:val="009150A1"/>
    <w:rsid w:val="00916808"/>
    <w:rsid w:val="00922D49"/>
    <w:rsid w:val="0092482C"/>
    <w:rsid w:val="00924A95"/>
    <w:rsid w:val="009259CF"/>
    <w:rsid w:val="00925E37"/>
    <w:rsid w:val="00925EDD"/>
    <w:rsid w:val="00927D0E"/>
    <w:rsid w:val="009309DA"/>
    <w:rsid w:val="00935771"/>
    <w:rsid w:val="00936688"/>
    <w:rsid w:val="00937CFA"/>
    <w:rsid w:val="009406B3"/>
    <w:rsid w:val="00945CF5"/>
    <w:rsid w:val="00946D66"/>
    <w:rsid w:val="009500A1"/>
    <w:rsid w:val="0095037E"/>
    <w:rsid w:val="00952AAD"/>
    <w:rsid w:val="00952F4F"/>
    <w:rsid w:val="00954567"/>
    <w:rsid w:val="009547A9"/>
    <w:rsid w:val="00957466"/>
    <w:rsid w:val="0096260B"/>
    <w:rsid w:val="00963F05"/>
    <w:rsid w:val="00965469"/>
    <w:rsid w:val="009664D5"/>
    <w:rsid w:val="00970C69"/>
    <w:rsid w:val="009716AF"/>
    <w:rsid w:val="00971F1C"/>
    <w:rsid w:val="0097211D"/>
    <w:rsid w:val="00972E10"/>
    <w:rsid w:val="0097328D"/>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2B7"/>
    <w:rsid w:val="009D0628"/>
    <w:rsid w:val="009D1EA4"/>
    <w:rsid w:val="009D27AA"/>
    <w:rsid w:val="009D2D8B"/>
    <w:rsid w:val="009D38BA"/>
    <w:rsid w:val="009D4991"/>
    <w:rsid w:val="009D5BB5"/>
    <w:rsid w:val="009D696D"/>
    <w:rsid w:val="009D6ED2"/>
    <w:rsid w:val="009E0D5D"/>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2DDE"/>
    <w:rsid w:val="00A039FF"/>
    <w:rsid w:val="00A05ACE"/>
    <w:rsid w:val="00A078CB"/>
    <w:rsid w:val="00A12EEF"/>
    <w:rsid w:val="00A14AE3"/>
    <w:rsid w:val="00A16675"/>
    <w:rsid w:val="00A22CD6"/>
    <w:rsid w:val="00A234EC"/>
    <w:rsid w:val="00A2417A"/>
    <w:rsid w:val="00A26668"/>
    <w:rsid w:val="00A27804"/>
    <w:rsid w:val="00A36822"/>
    <w:rsid w:val="00A36AB5"/>
    <w:rsid w:val="00A37A23"/>
    <w:rsid w:val="00A411D1"/>
    <w:rsid w:val="00A43389"/>
    <w:rsid w:val="00A43E71"/>
    <w:rsid w:val="00A45753"/>
    <w:rsid w:val="00A47B15"/>
    <w:rsid w:val="00A52F84"/>
    <w:rsid w:val="00A5533F"/>
    <w:rsid w:val="00A554CA"/>
    <w:rsid w:val="00A56B05"/>
    <w:rsid w:val="00A57678"/>
    <w:rsid w:val="00A60E2F"/>
    <w:rsid w:val="00A63284"/>
    <w:rsid w:val="00A64CB8"/>
    <w:rsid w:val="00A67018"/>
    <w:rsid w:val="00A672F3"/>
    <w:rsid w:val="00A673DC"/>
    <w:rsid w:val="00A67D40"/>
    <w:rsid w:val="00A7076E"/>
    <w:rsid w:val="00A709BE"/>
    <w:rsid w:val="00A7162E"/>
    <w:rsid w:val="00A7195A"/>
    <w:rsid w:val="00A72D71"/>
    <w:rsid w:val="00A7519C"/>
    <w:rsid w:val="00A75705"/>
    <w:rsid w:val="00A77C69"/>
    <w:rsid w:val="00A83953"/>
    <w:rsid w:val="00A83A77"/>
    <w:rsid w:val="00A85AF5"/>
    <w:rsid w:val="00A900E7"/>
    <w:rsid w:val="00A903B6"/>
    <w:rsid w:val="00A90F4F"/>
    <w:rsid w:val="00A92E44"/>
    <w:rsid w:val="00A9418A"/>
    <w:rsid w:val="00A947AA"/>
    <w:rsid w:val="00A9769C"/>
    <w:rsid w:val="00AA1B53"/>
    <w:rsid w:val="00AA3556"/>
    <w:rsid w:val="00AA35FD"/>
    <w:rsid w:val="00AA3DB7"/>
    <w:rsid w:val="00AB0340"/>
    <w:rsid w:val="00AB3012"/>
    <w:rsid w:val="00AB321C"/>
    <w:rsid w:val="00AB5B99"/>
    <w:rsid w:val="00AB688F"/>
    <w:rsid w:val="00AB75EA"/>
    <w:rsid w:val="00AB7AA2"/>
    <w:rsid w:val="00AB7BE2"/>
    <w:rsid w:val="00AC4BC1"/>
    <w:rsid w:val="00AD04BD"/>
    <w:rsid w:val="00AD1C72"/>
    <w:rsid w:val="00AD25F6"/>
    <w:rsid w:val="00AD46E6"/>
    <w:rsid w:val="00AD7214"/>
    <w:rsid w:val="00AE1066"/>
    <w:rsid w:val="00AE2AD2"/>
    <w:rsid w:val="00AE4518"/>
    <w:rsid w:val="00AE5D7F"/>
    <w:rsid w:val="00AE79F0"/>
    <w:rsid w:val="00AF2089"/>
    <w:rsid w:val="00AF3350"/>
    <w:rsid w:val="00AF4305"/>
    <w:rsid w:val="00AF5585"/>
    <w:rsid w:val="00AF561C"/>
    <w:rsid w:val="00AF6EC1"/>
    <w:rsid w:val="00B00331"/>
    <w:rsid w:val="00B01A80"/>
    <w:rsid w:val="00B02675"/>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2B4A"/>
    <w:rsid w:val="00B54370"/>
    <w:rsid w:val="00B55185"/>
    <w:rsid w:val="00B55281"/>
    <w:rsid w:val="00B60FD1"/>
    <w:rsid w:val="00B61923"/>
    <w:rsid w:val="00B621D6"/>
    <w:rsid w:val="00B63EF5"/>
    <w:rsid w:val="00B65D6F"/>
    <w:rsid w:val="00B67C23"/>
    <w:rsid w:val="00B70DC7"/>
    <w:rsid w:val="00B715FD"/>
    <w:rsid w:val="00B73042"/>
    <w:rsid w:val="00B74BB9"/>
    <w:rsid w:val="00B75283"/>
    <w:rsid w:val="00B75735"/>
    <w:rsid w:val="00B77142"/>
    <w:rsid w:val="00B807F5"/>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2FA"/>
    <w:rsid w:val="00BD3EB4"/>
    <w:rsid w:val="00BD5C65"/>
    <w:rsid w:val="00BD71EE"/>
    <w:rsid w:val="00BE6018"/>
    <w:rsid w:val="00BF1F57"/>
    <w:rsid w:val="00BF4086"/>
    <w:rsid w:val="00BF426C"/>
    <w:rsid w:val="00BF58D0"/>
    <w:rsid w:val="00BF63AF"/>
    <w:rsid w:val="00BF7D6A"/>
    <w:rsid w:val="00C013E1"/>
    <w:rsid w:val="00C01611"/>
    <w:rsid w:val="00C02D59"/>
    <w:rsid w:val="00C030B6"/>
    <w:rsid w:val="00C03284"/>
    <w:rsid w:val="00C050D7"/>
    <w:rsid w:val="00C05B5F"/>
    <w:rsid w:val="00C06911"/>
    <w:rsid w:val="00C104CC"/>
    <w:rsid w:val="00C12898"/>
    <w:rsid w:val="00C152FE"/>
    <w:rsid w:val="00C16739"/>
    <w:rsid w:val="00C22C7D"/>
    <w:rsid w:val="00C22CCE"/>
    <w:rsid w:val="00C231D6"/>
    <w:rsid w:val="00C23BA2"/>
    <w:rsid w:val="00C272C4"/>
    <w:rsid w:val="00C31C12"/>
    <w:rsid w:val="00C32AF2"/>
    <w:rsid w:val="00C33204"/>
    <w:rsid w:val="00C338EB"/>
    <w:rsid w:val="00C3465D"/>
    <w:rsid w:val="00C35643"/>
    <w:rsid w:val="00C379E9"/>
    <w:rsid w:val="00C439FB"/>
    <w:rsid w:val="00C43F23"/>
    <w:rsid w:val="00C50011"/>
    <w:rsid w:val="00C52CA1"/>
    <w:rsid w:val="00C5755E"/>
    <w:rsid w:val="00C6379C"/>
    <w:rsid w:val="00C645E6"/>
    <w:rsid w:val="00C64D82"/>
    <w:rsid w:val="00C64FBC"/>
    <w:rsid w:val="00C65A83"/>
    <w:rsid w:val="00C724F2"/>
    <w:rsid w:val="00C72C6F"/>
    <w:rsid w:val="00C75057"/>
    <w:rsid w:val="00C77034"/>
    <w:rsid w:val="00C80F23"/>
    <w:rsid w:val="00C81151"/>
    <w:rsid w:val="00C81EFA"/>
    <w:rsid w:val="00C82CC6"/>
    <w:rsid w:val="00C850A3"/>
    <w:rsid w:val="00C85C32"/>
    <w:rsid w:val="00C87568"/>
    <w:rsid w:val="00C90DB6"/>
    <w:rsid w:val="00C913B6"/>
    <w:rsid w:val="00C9394F"/>
    <w:rsid w:val="00C93B1A"/>
    <w:rsid w:val="00C96F5F"/>
    <w:rsid w:val="00CA4126"/>
    <w:rsid w:val="00CA4574"/>
    <w:rsid w:val="00CA5927"/>
    <w:rsid w:val="00CA79EC"/>
    <w:rsid w:val="00CB041A"/>
    <w:rsid w:val="00CB39C2"/>
    <w:rsid w:val="00CB4664"/>
    <w:rsid w:val="00CB4C8C"/>
    <w:rsid w:val="00CB6782"/>
    <w:rsid w:val="00CC080A"/>
    <w:rsid w:val="00CC0994"/>
    <w:rsid w:val="00CC0C03"/>
    <w:rsid w:val="00CD0AAD"/>
    <w:rsid w:val="00CD6177"/>
    <w:rsid w:val="00CE182E"/>
    <w:rsid w:val="00CE2DAB"/>
    <w:rsid w:val="00CE2DE4"/>
    <w:rsid w:val="00CE2E79"/>
    <w:rsid w:val="00CE5277"/>
    <w:rsid w:val="00CE6358"/>
    <w:rsid w:val="00CF2D54"/>
    <w:rsid w:val="00CF592C"/>
    <w:rsid w:val="00CF6992"/>
    <w:rsid w:val="00CF6AD7"/>
    <w:rsid w:val="00CF7B8C"/>
    <w:rsid w:val="00D03538"/>
    <w:rsid w:val="00D049B8"/>
    <w:rsid w:val="00D0516C"/>
    <w:rsid w:val="00D05EE7"/>
    <w:rsid w:val="00D068D0"/>
    <w:rsid w:val="00D078D1"/>
    <w:rsid w:val="00D129A8"/>
    <w:rsid w:val="00D12FB9"/>
    <w:rsid w:val="00D13FE2"/>
    <w:rsid w:val="00D200BD"/>
    <w:rsid w:val="00D22399"/>
    <w:rsid w:val="00D24B11"/>
    <w:rsid w:val="00D310BA"/>
    <w:rsid w:val="00D32C0A"/>
    <w:rsid w:val="00D33751"/>
    <w:rsid w:val="00D3382F"/>
    <w:rsid w:val="00D33924"/>
    <w:rsid w:val="00D34559"/>
    <w:rsid w:val="00D36F6E"/>
    <w:rsid w:val="00D3705B"/>
    <w:rsid w:val="00D37343"/>
    <w:rsid w:val="00D4205E"/>
    <w:rsid w:val="00D45DB6"/>
    <w:rsid w:val="00D5574C"/>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475D"/>
    <w:rsid w:val="00DA7146"/>
    <w:rsid w:val="00DA716A"/>
    <w:rsid w:val="00DB1F4F"/>
    <w:rsid w:val="00DB37EE"/>
    <w:rsid w:val="00DB4450"/>
    <w:rsid w:val="00DB7B69"/>
    <w:rsid w:val="00DC234A"/>
    <w:rsid w:val="00DC27AD"/>
    <w:rsid w:val="00DC41E4"/>
    <w:rsid w:val="00DC5116"/>
    <w:rsid w:val="00DC7C77"/>
    <w:rsid w:val="00DD074A"/>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6313"/>
    <w:rsid w:val="00E1738C"/>
    <w:rsid w:val="00E207A1"/>
    <w:rsid w:val="00E22D28"/>
    <w:rsid w:val="00E230E3"/>
    <w:rsid w:val="00E27A14"/>
    <w:rsid w:val="00E30EDF"/>
    <w:rsid w:val="00E30F3C"/>
    <w:rsid w:val="00E31EC2"/>
    <w:rsid w:val="00E31FBA"/>
    <w:rsid w:val="00E32CB6"/>
    <w:rsid w:val="00E34042"/>
    <w:rsid w:val="00E34CDF"/>
    <w:rsid w:val="00E36AAE"/>
    <w:rsid w:val="00E41773"/>
    <w:rsid w:val="00E428DD"/>
    <w:rsid w:val="00E43B0B"/>
    <w:rsid w:val="00E44A50"/>
    <w:rsid w:val="00E477F6"/>
    <w:rsid w:val="00E50841"/>
    <w:rsid w:val="00E513F6"/>
    <w:rsid w:val="00E52F3B"/>
    <w:rsid w:val="00E53A45"/>
    <w:rsid w:val="00E53D94"/>
    <w:rsid w:val="00E53DEA"/>
    <w:rsid w:val="00E548E9"/>
    <w:rsid w:val="00E553CC"/>
    <w:rsid w:val="00E55667"/>
    <w:rsid w:val="00E57068"/>
    <w:rsid w:val="00E57630"/>
    <w:rsid w:val="00E616DB"/>
    <w:rsid w:val="00E627A4"/>
    <w:rsid w:val="00E630ED"/>
    <w:rsid w:val="00E74EC5"/>
    <w:rsid w:val="00E75FDC"/>
    <w:rsid w:val="00E76B86"/>
    <w:rsid w:val="00E8342F"/>
    <w:rsid w:val="00E847A7"/>
    <w:rsid w:val="00E85E29"/>
    <w:rsid w:val="00E85F25"/>
    <w:rsid w:val="00E86E79"/>
    <w:rsid w:val="00E87313"/>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4874"/>
    <w:rsid w:val="00EE79A6"/>
    <w:rsid w:val="00EF6111"/>
    <w:rsid w:val="00EF6232"/>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0868"/>
    <w:rsid w:val="00F423BD"/>
    <w:rsid w:val="00F4255D"/>
    <w:rsid w:val="00F432FF"/>
    <w:rsid w:val="00F46DF9"/>
    <w:rsid w:val="00F4715C"/>
    <w:rsid w:val="00F54869"/>
    <w:rsid w:val="00F556B2"/>
    <w:rsid w:val="00F57252"/>
    <w:rsid w:val="00F5754B"/>
    <w:rsid w:val="00F576DE"/>
    <w:rsid w:val="00F63BF7"/>
    <w:rsid w:val="00F64563"/>
    <w:rsid w:val="00F65617"/>
    <w:rsid w:val="00F65D71"/>
    <w:rsid w:val="00F70112"/>
    <w:rsid w:val="00F710BE"/>
    <w:rsid w:val="00F723B1"/>
    <w:rsid w:val="00F736D2"/>
    <w:rsid w:val="00F7564C"/>
    <w:rsid w:val="00F76220"/>
    <w:rsid w:val="00F769BE"/>
    <w:rsid w:val="00F81C33"/>
    <w:rsid w:val="00F82A1D"/>
    <w:rsid w:val="00F82E6B"/>
    <w:rsid w:val="00F91F6D"/>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C1CA5"/>
    <w:rsid w:val="00FC219C"/>
    <w:rsid w:val="00FC2979"/>
    <w:rsid w:val="00FD1C3C"/>
    <w:rsid w:val="00FD1E02"/>
    <w:rsid w:val="00FD38A8"/>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72DCF266-60FA-4E11-934F-6B947CDA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FD1E02"/>
    <w:rPr>
      <w:rFonts w:cs="Times New Roman"/>
      <w:b/>
      <w:bCs/>
      <w:kern w:val="44"/>
      <w:sz w:val="44"/>
      <w:szCs w:val="44"/>
    </w:rPr>
  </w:style>
  <w:style w:type="character" w:customStyle="1" w:styleId="2Char">
    <w:name w:val="标题 2 Char"/>
    <w:link w:val="2"/>
    <w:uiPriority w:val="99"/>
    <w:semiHidden/>
    <w:locked/>
    <w:rsid w:val="00140FF8"/>
    <w:rPr>
      <w:rFonts w:ascii="Cambria" w:eastAsia="宋体" w:hAnsi="Cambria" w:cs="Times New Roman"/>
      <w:b/>
      <w:bCs/>
      <w:sz w:val="32"/>
      <w:szCs w:val="32"/>
    </w:rPr>
  </w:style>
  <w:style w:type="paragraph" w:styleId="a0">
    <w:name w:val="Normal Indent"/>
    <w:basedOn w:val="a"/>
    <w:uiPriority w:val="99"/>
    <w:rsid w:val="00C12898"/>
    <w:pPr>
      <w:ind w:firstLineChars="200" w:firstLine="420"/>
    </w:pPr>
  </w:style>
  <w:style w:type="paragraph" w:styleId="a4">
    <w:name w:val="Body Text Indent"/>
    <w:basedOn w:val="a"/>
    <w:link w:val="Char"/>
    <w:uiPriority w:val="99"/>
    <w:rsid w:val="00C12898"/>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
    <w:name w:val="正文文本缩进 Char"/>
    <w:link w:val="a4"/>
    <w:uiPriority w:val="99"/>
    <w:semiHidden/>
    <w:locked/>
    <w:rsid w:val="00140FF8"/>
    <w:rPr>
      <w:rFonts w:cs="Times New Roman"/>
      <w:sz w:val="24"/>
      <w:szCs w:val="24"/>
    </w:rPr>
  </w:style>
  <w:style w:type="paragraph" w:styleId="a5">
    <w:name w:val="Plain Text"/>
    <w:basedOn w:val="a"/>
    <w:link w:val="Char0"/>
    <w:uiPriority w:val="99"/>
    <w:rsid w:val="00C12898"/>
    <w:rPr>
      <w:rFonts w:ascii="宋体" w:hAnsi="Courier New"/>
      <w:szCs w:val="21"/>
    </w:rPr>
  </w:style>
  <w:style w:type="character" w:customStyle="1" w:styleId="Char0">
    <w:name w:val="纯文本 Char"/>
    <w:link w:val="a5"/>
    <w:uiPriority w:val="99"/>
    <w:locked/>
    <w:rsid w:val="0042253F"/>
    <w:rPr>
      <w:rFonts w:ascii="宋体" w:hAnsi="Courier New" w:cs="Times New Roman"/>
      <w:kern w:val="2"/>
      <w:sz w:val="21"/>
    </w:rPr>
  </w:style>
  <w:style w:type="paragraph" w:styleId="20">
    <w:name w:val="Body Text Indent 2"/>
    <w:basedOn w:val="a"/>
    <w:link w:val="2Char0"/>
    <w:uiPriority w:val="99"/>
    <w:rsid w:val="00C12898"/>
    <w:pPr>
      <w:spacing w:line="560" w:lineRule="exact"/>
      <w:ind w:firstLineChars="200" w:firstLine="480"/>
    </w:pPr>
    <w:rPr>
      <w:rFonts w:ascii="宋体" w:hAnsi="宋体"/>
      <w:color w:val="FF0000"/>
      <w:sz w:val="24"/>
    </w:rPr>
  </w:style>
  <w:style w:type="character" w:customStyle="1" w:styleId="2Char0">
    <w:name w:val="正文文本缩进 2 Char"/>
    <w:link w:val="20"/>
    <w:uiPriority w:val="99"/>
    <w:semiHidden/>
    <w:locked/>
    <w:rsid w:val="00140FF8"/>
    <w:rPr>
      <w:rFonts w:cs="Times New Roman"/>
      <w:sz w:val="24"/>
      <w:szCs w:val="24"/>
    </w:rPr>
  </w:style>
  <w:style w:type="paragraph" w:styleId="a6">
    <w:name w:val="footer"/>
    <w:basedOn w:val="a"/>
    <w:link w:val="Char1"/>
    <w:uiPriority w:val="99"/>
    <w:rsid w:val="00C12898"/>
    <w:pPr>
      <w:tabs>
        <w:tab w:val="center" w:pos="4153"/>
        <w:tab w:val="right" w:pos="8306"/>
      </w:tabs>
      <w:snapToGrid w:val="0"/>
      <w:jc w:val="left"/>
    </w:pPr>
    <w:rPr>
      <w:sz w:val="18"/>
      <w:szCs w:val="18"/>
    </w:rPr>
  </w:style>
  <w:style w:type="character" w:customStyle="1" w:styleId="Char1">
    <w:name w:val="页脚 Char"/>
    <w:link w:val="a6"/>
    <w:uiPriority w:val="99"/>
    <w:semiHidden/>
    <w:locked/>
    <w:rsid w:val="00140FF8"/>
    <w:rPr>
      <w:rFonts w:cs="Times New Roman"/>
      <w:sz w:val="18"/>
      <w:szCs w:val="18"/>
    </w:rPr>
  </w:style>
  <w:style w:type="character" w:styleId="a7">
    <w:name w:val="page number"/>
    <w:uiPriority w:val="99"/>
    <w:rsid w:val="00C12898"/>
    <w:rPr>
      <w:rFonts w:cs="Times New Roman"/>
    </w:rPr>
  </w:style>
  <w:style w:type="character" w:styleId="a8">
    <w:name w:val="Hyperlink"/>
    <w:uiPriority w:val="99"/>
    <w:rsid w:val="00C12898"/>
    <w:rPr>
      <w:rFonts w:cs="Times New Roman"/>
      <w:color w:val="0000FF"/>
      <w:u w:val="single"/>
    </w:rPr>
  </w:style>
  <w:style w:type="paragraph" w:styleId="3">
    <w:name w:val="Body Text Indent 3"/>
    <w:basedOn w:val="a"/>
    <w:link w:val="3Char"/>
    <w:uiPriority w:val="99"/>
    <w:rsid w:val="00C12898"/>
    <w:pPr>
      <w:spacing w:line="560" w:lineRule="exact"/>
      <w:ind w:firstLineChars="200" w:firstLine="420"/>
    </w:pPr>
    <w:rPr>
      <w:rFonts w:ascii="Arial" w:hAnsi="Arial" w:cs="Arial"/>
      <w:color w:val="FF0000"/>
    </w:rPr>
  </w:style>
  <w:style w:type="character" w:customStyle="1" w:styleId="3Char">
    <w:name w:val="正文文本缩进 3 Char"/>
    <w:link w:val="3"/>
    <w:uiPriority w:val="99"/>
    <w:semiHidden/>
    <w:locked/>
    <w:rsid w:val="00140FF8"/>
    <w:rPr>
      <w:rFonts w:cs="Times New Roman"/>
      <w:sz w:val="16"/>
      <w:szCs w:val="16"/>
    </w:rPr>
  </w:style>
  <w:style w:type="paragraph" w:styleId="a9">
    <w:name w:val="header"/>
    <w:basedOn w:val="a"/>
    <w:link w:val="Char2"/>
    <w:uiPriority w:val="99"/>
    <w:rsid w:val="00C1289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FB572A"/>
    <w:rPr>
      <w:rFonts w:cs="Times New Roman"/>
      <w:kern w:val="2"/>
      <w:sz w:val="18"/>
      <w:szCs w:val="18"/>
    </w:rPr>
  </w:style>
  <w:style w:type="character" w:styleId="aa">
    <w:name w:val="FollowedHyperlink"/>
    <w:uiPriority w:val="99"/>
    <w:rsid w:val="00C12898"/>
    <w:rPr>
      <w:rFonts w:cs="Times New Roman"/>
      <w:color w:val="800080"/>
      <w:u w:val="single"/>
    </w:rPr>
  </w:style>
  <w:style w:type="paragraph" w:styleId="ab">
    <w:name w:val="List"/>
    <w:basedOn w:val="ac"/>
    <w:uiPriority w:val="99"/>
    <w:rsid w:val="00C12898"/>
    <w:pPr>
      <w:spacing w:after="220" w:line="220" w:lineRule="atLeast"/>
      <w:ind w:left="1440" w:hanging="360"/>
    </w:pPr>
    <w:rPr>
      <w:szCs w:val="20"/>
    </w:rPr>
  </w:style>
  <w:style w:type="paragraph" w:styleId="ac">
    <w:name w:val="Body Text"/>
    <w:basedOn w:val="a"/>
    <w:link w:val="Char3"/>
    <w:uiPriority w:val="99"/>
    <w:rsid w:val="00C12898"/>
    <w:pPr>
      <w:spacing w:after="120"/>
    </w:pPr>
  </w:style>
  <w:style w:type="character" w:customStyle="1" w:styleId="Char3">
    <w:name w:val="正文文本 Char"/>
    <w:link w:val="ac"/>
    <w:uiPriority w:val="99"/>
    <w:semiHidden/>
    <w:locked/>
    <w:rsid w:val="00140FF8"/>
    <w:rPr>
      <w:rFonts w:cs="Times New Roman"/>
      <w:sz w:val="24"/>
      <w:szCs w:val="24"/>
    </w:rPr>
  </w:style>
  <w:style w:type="paragraph" w:styleId="ad">
    <w:name w:val="Date"/>
    <w:basedOn w:val="a"/>
    <w:next w:val="a"/>
    <w:link w:val="Char4"/>
    <w:uiPriority w:val="99"/>
    <w:rsid w:val="00C12898"/>
    <w:rPr>
      <w:sz w:val="24"/>
      <w:szCs w:val="20"/>
    </w:rPr>
  </w:style>
  <w:style w:type="character" w:customStyle="1" w:styleId="Char4">
    <w:name w:val="日期 Char"/>
    <w:link w:val="ad"/>
    <w:uiPriority w:val="99"/>
    <w:locked/>
    <w:rsid w:val="00F27C38"/>
    <w:rPr>
      <w:rFonts w:cs="Times New Roman"/>
      <w:kern w:val="2"/>
      <w:sz w:val="24"/>
    </w:rPr>
  </w:style>
  <w:style w:type="character" w:customStyle="1" w:styleId="c1">
    <w:name w:val="c1"/>
    <w:uiPriority w:val="99"/>
    <w:rsid w:val="00C12898"/>
    <w:rPr>
      <w:rFonts w:cs="Times New Roman"/>
      <w:color w:val="000000"/>
      <w:sz w:val="18"/>
      <w:szCs w:val="18"/>
    </w:rPr>
  </w:style>
  <w:style w:type="paragraph" w:styleId="10">
    <w:name w:val="index 1"/>
    <w:basedOn w:val="a"/>
    <w:next w:val="a"/>
    <w:autoRedefine/>
    <w:uiPriority w:val="99"/>
    <w:semiHidden/>
    <w:rsid w:val="00C12898"/>
    <w:pPr>
      <w:jc w:val="right"/>
    </w:pPr>
    <w:rPr>
      <w:color w:val="008000"/>
    </w:rPr>
  </w:style>
  <w:style w:type="paragraph" w:customStyle="1" w:styleId="font5">
    <w:name w:val="font5"/>
    <w:basedOn w:val="a"/>
    <w:uiPriority w:val="99"/>
    <w:rsid w:val="00C1289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C12898"/>
    <w:rPr>
      <w:sz w:val="18"/>
      <w:szCs w:val="18"/>
    </w:rPr>
  </w:style>
  <w:style w:type="character" w:customStyle="1" w:styleId="Char5">
    <w:name w:val="批注框文本 Char"/>
    <w:link w:val="ae"/>
    <w:uiPriority w:val="99"/>
    <w:semiHidden/>
    <w:locked/>
    <w:rsid w:val="00140FF8"/>
    <w:rPr>
      <w:rFonts w:cs="Times New Roman"/>
      <w:sz w:val="2"/>
    </w:rPr>
  </w:style>
  <w:style w:type="character" w:styleId="af">
    <w:name w:val="annotation reference"/>
    <w:uiPriority w:val="99"/>
    <w:semiHidden/>
    <w:rsid w:val="00C12898"/>
    <w:rPr>
      <w:rFonts w:cs="Times New Roman"/>
      <w:sz w:val="21"/>
      <w:szCs w:val="21"/>
    </w:rPr>
  </w:style>
  <w:style w:type="paragraph" w:styleId="af0">
    <w:name w:val="annotation text"/>
    <w:basedOn w:val="a"/>
    <w:link w:val="Char6"/>
    <w:uiPriority w:val="99"/>
    <w:semiHidden/>
    <w:rsid w:val="00C12898"/>
    <w:pPr>
      <w:jc w:val="left"/>
    </w:pPr>
  </w:style>
  <w:style w:type="character" w:customStyle="1" w:styleId="Char6">
    <w:name w:val="批注文字 Char"/>
    <w:link w:val="af0"/>
    <w:uiPriority w:val="99"/>
    <w:semiHidden/>
    <w:locked/>
    <w:rsid w:val="00140FF8"/>
    <w:rPr>
      <w:rFonts w:cs="Times New Roman"/>
      <w:sz w:val="24"/>
      <w:szCs w:val="24"/>
    </w:rPr>
  </w:style>
  <w:style w:type="paragraph" w:styleId="af1">
    <w:name w:val="annotation subject"/>
    <w:basedOn w:val="af0"/>
    <w:next w:val="af0"/>
    <w:link w:val="Char7"/>
    <w:uiPriority w:val="99"/>
    <w:semiHidden/>
    <w:rsid w:val="00C12898"/>
    <w:rPr>
      <w:b/>
      <w:bCs/>
    </w:rPr>
  </w:style>
  <w:style w:type="character" w:customStyle="1" w:styleId="Char7">
    <w:name w:val="批注主题 Char"/>
    <w:link w:val="af1"/>
    <w:uiPriority w:val="99"/>
    <w:semiHidden/>
    <w:locked/>
    <w:rsid w:val="00140FF8"/>
    <w:rPr>
      <w:rFonts w:cs="Times New Roman"/>
      <w:b/>
      <w:bCs/>
      <w:sz w:val="24"/>
      <w:szCs w:val="24"/>
    </w:rPr>
  </w:style>
  <w:style w:type="paragraph" w:customStyle="1" w:styleId="Char8">
    <w:name w:val="Char"/>
    <w:basedOn w:val="a"/>
    <w:uiPriority w:val="99"/>
    <w:rsid w:val="00C12898"/>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140FF8"/>
    <w:rPr>
      <w:rFonts w:cs="Times New Roman"/>
      <w:sz w:val="2"/>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140FF8"/>
    <w:rPr>
      <w:rFonts w:cs="Times New Roman"/>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695296"/>
    <w:pPr>
      <w:widowControl w:val="0"/>
      <w:autoSpaceDE w:val="0"/>
      <w:autoSpaceDN w:val="0"/>
      <w:adjustRightInd w:val="0"/>
    </w:pPr>
    <w:rPr>
      <w:rFonts w:ascii="FangSong" w:hAnsi="FangSong" w:cs="FangSong"/>
      <w:color w:val="000000"/>
      <w:sz w:val="24"/>
      <w:szCs w:val="24"/>
    </w:rPr>
  </w:style>
  <w:style w:type="paragraph" w:styleId="HTML">
    <w:name w:val="HTML Preformatted"/>
    <w:basedOn w:val="a"/>
    <w:link w:val="HTMLChar"/>
    <w:uiPriority w:val="99"/>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locked/>
    <w:rsid w:val="00634900"/>
    <w:rPr>
      <w:rFonts w:ascii="宋体" w:eastAsia="宋体" w:cs="宋体"/>
      <w:sz w:val="24"/>
      <w:szCs w:val="24"/>
    </w:rPr>
  </w:style>
  <w:style w:type="character" w:styleId="af8">
    <w:name w:val="Strong"/>
    <w:basedOn w:val="a1"/>
    <w:uiPriority w:val="22"/>
    <w:qFormat/>
    <w:locked/>
    <w:rsid w:val="00193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13930">
      <w:bodyDiv w:val="1"/>
      <w:marLeft w:val="0"/>
      <w:marRight w:val="0"/>
      <w:marTop w:val="0"/>
      <w:marBottom w:val="0"/>
      <w:divBdr>
        <w:top w:val="none" w:sz="0" w:space="0" w:color="auto"/>
        <w:left w:val="none" w:sz="0" w:space="0" w:color="auto"/>
        <w:bottom w:val="none" w:sz="0" w:space="0" w:color="auto"/>
        <w:right w:val="none" w:sz="0" w:space="0" w:color="auto"/>
      </w:divBdr>
    </w:div>
    <w:div w:id="1077090524">
      <w:bodyDiv w:val="1"/>
      <w:marLeft w:val="0"/>
      <w:marRight w:val="0"/>
      <w:marTop w:val="0"/>
      <w:marBottom w:val="0"/>
      <w:divBdr>
        <w:top w:val="none" w:sz="0" w:space="0" w:color="auto"/>
        <w:left w:val="none" w:sz="0" w:space="0" w:color="auto"/>
        <w:bottom w:val="none" w:sz="0" w:space="0" w:color="auto"/>
        <w:right w:val="none" w:sz="0" w:space="0" w:color="auto"/>
      </w:divBdr>
    </w:div>
    <w:div w:id="1682857254">
      <w:marLeft w:val="0"/>
      <w:marRight w:val="0"/>
      <w:marTop w:val="0"/>
      <w:marBottom w:val="0"/>
      <w:divBdr>
        <w:top w:val="none" w:sz="0" w:space="0" w:color="auto"/>
        <w:left w:val="none" w:sz="0" w:space="0" w:color="auto"/>
        <w:bottom w:val="none" w:sz="0" w:space="0" w:color="auto"/>
        <w:right w:val="none" w:sz="0" w:space="0" w:color="auto"/>
      </w:divBdr>
    </w:div>
    <w:div w:id="1682857255">
      <w:marLeft w:val="0"/>
      <w:marRight w:val="0"/>
      <w:marTop w:val="0"/>
      <w:marBottom w:val="0"/>
      <w:divBdr>
        <w:top w:val="none" w:sz="0" w:space="0" w:color="auto"/>
        <w:left w:val="none" w:sz="0" w:space="0" w:color="auto"/>
        <w:bottom w:val="none" w:sz="0" w:space="0" w:color="auto"/>
        <w:right w:val="none" w:sz="0" w:space="0" w:color="auto"/>
      </w:divBdr>
    </w:div>
    <w:div w:id="1682857256">
      <w:marLeft w:val="0"/>
      <w:marRight w:val="0"/>
      <w:marTop w:val="0"/>
      <w:marBottom w:val="0"/>
      <w:divBdr>
        <w:top w:val="none" w:sz="0" w:space="0" w:color="auto"/>
        <w:left w:val="none" w:sz="0" w:space="0" w:color="auto"/>
        <w:bottom w:val="none" w:sz="0" w:space="0" w:color="auto"/>
        <w:right w:val="none" w:sz="0" w:space="0" w:color="auto"/>
      </w:divBdr>
    </w:div>
    <w:div w:id="1682857257">
      <w:marLeft w:val="0"/>
      <w:marRight w:val="0"/>
      <w:marTop w:val="0"/>
      <w:marBottom w:val="0"/>
      <w:divBdr>
        <w:top w:val="none" w:sz="0" w:space="0" w:color="auto"/>
        <w:left w:val="none" w:sz="0" w:space="0" w:color="auto"/>
        <w:bottom w:val="none" w:sz="0" w:space="0" w:color="auto"/>
        <w:right w:val="none" w:sz="0" w:space="0" w:color="auto"/>
      </w:divBdr>
    </w:div>
    <w:div w:id="1682857258">
      <w:marLeft w:val="0"/>
      <w:marRight w:val="0"/>
      <w:marTop w:val="0"/>
      <w:marBottom w:val="0"/>
      <w:divBdr>
        <w:top w:val="none" w:sz="0" w:space="0" w:color="auto"/>
        <w:left w:val="none" w:sz="0" w:space="0" w:color="auto"/>
        <w:bottom w:val="none" w:sz="0" w:space="0" w:color="auto"/>
        <w:right w:val="none" w:sz="0" w:space="0" w:color="auto"/>
      </w:divBdr>
    </w:div>
    <w:div w:id="1682857259">
      <w:marLeft w:val="0"/>
      <w:marRight w:val="0"/>
      <w:marTop w:val="0"/>
      <w:marBottom w:val="0"/>
      <w:divBdr>
        <w:top w:val="none" w:sz="0" w:space="0" w:color="auto"/>
        <w:left w:val="none" w:sz="0" w:space="0" w:color="auto"/>
        <w:bottom w:val="none" w:sz="0" w:space="0" w:color="auto"/>
        <w:right w:val="none" w:sz="0" w:space="0" w:color="auto"/>
      </w:divBdr>
    </w:div>
    <w:div w:id="1682857260">
      <w:marLeft w:val="0"/>
      <w:marRight w:val="0"/>
      <w:marTop w:val="0"/>
      <w:marBottom w:val="0"/>
      <w:divBdr>
        <w:top w:val="none" w:sz="0" w:space="0" w:color="auto"/>
        <w:left w:val="none" w:sz="0" w:space="0" w:color="auto"/>
        <w:bottom w:val="none" w:sz="0" w:space="0" w:color="auto"/>
        <w:right w:val="none" w:sz="0" w:space="0" w:color="auto"/>
      </w:divBdr>
    </w:div>
    <w:div w:id="1682857261">
      <w:marLeft w:val="0"/>
      <w:marRight w:val="0"/>
      <w:marTop w:val="0"/>
      <w:marBottom w:val="0"/>
      <w:divBdr>
        <w:top w:val="none" w:sz="0" w:space="0" w:color="auto"/>
        <w:left w:val="none" w:sz="0" w:space="0" w:color="auto"/>
        <w:bottom w:val="none" w:sz="0" w:space="0" w:color="auto"/>
        <w:right w:val="none" w:sz="0" w:space="0" w:color="auto"/>
      </w:divBdr>
    </w:div>
    <w:div w:id="1682857262">
      <w:marLeft w:val="0"/>
      <w:marRight w:val="0"/>
      <w:marTop w:val="0"/>
      <w:marBottom w:val="0"/>
      <w:divBdr>
        <w:top w:val="none" w:sz="0" w:space="0" w:color="auto"/>
        <w:left w:val="none" w:sz="0" w:space="0" w:color="auto"/>
        <w:bottom w:val="none" w:sz="0" w:space="0" w:color="auto"/>
        <w:right w:val="none" w:sz="0" w:space="0" w:color="auto"/>
      </w:divBdr>
    </w:div>
    <w:div w:id="1682857263">
      <w:marLeft w:val="0"/>
      <w:marRight w:val="0"/>
      <w:marTop w:val="0"/>
      <w:marBottom w:val="0"/>
      <w:divBdr>
        <w:top w:val="none" w:sz="0" w:space="0" w:color="auto"/>
        <w:left w:val="none" w:sz="0" w:space="0" w:color="auto"/>
        <w:bottom w:val="none" w:sz="0" w:space="0" w:color="auto"/>
        <w:right w:val="none" w:sz="0" w:space="0" w:color="auto"/>
      </w:divBdr>
    </w:div>
    <w:div w:id="1682857264">
      <w:marLeft w:val="0"/>
      <w:marRight w:val="0"/>
      <w:marTop w:val="0"/>
      <w:marBottom w:val="0"/>
      <w:divBdr>
        <w:top w:val="none" w:sz="0" w:space="0" w:color="auto"/>
        <w:left w:val="none" w:sz="0" w:space="0" w:color="auto"/>
        <w:bottom w:val="none" w:sz="0" w:space="0" w:color="auto"/>
        <w:right w:val="none" w:sz="0" w:space="0" w:color="auto"/>
      </w:divBdr>
    </w:div>
    <w:div w:id="1682857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7803</Characters>
  <Application>Microsoft Office Word</Application>
  <DocSecurity>4</DocSecurity>
  <Lines>65</Lines>
  <Paragraphs>18</Paragraphs>
  <ScaleCrop>false</ScaleCrop>
  <Company>TRT. Ltd. Co.</Company>
  <LinksUpToDate>false</LinksUpToDate>
  <CharactersWithSpaces>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cp:lastPrinted>2007-07-19T00:46:00Z</cp:lastPrinted>
  <dcterms:created xsi:type="dcterms:W3CDTF">2020-01-13T02:42:00Z</dcterms:created>
  <dcterms:modified xsi:type="dcterms:W3CDTF">2020-01-13T02:42:00Z</dcterms:modified>
</cp:coreProperties>
</file>