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易方达中债新综合债券指数发起式证券投资基金（LOF）</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2019年第4季度报告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2019年12月31日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中国农业银行股份有限公司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二〇二〇年一月十八日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2B4359" w:rsidRDefault="00571C9F">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B4359" w:rsidRDefault="00571C9F">
      <w:pPr>
        <w:spacing w:line="360" w:lineRule="auto"/>
        <w:ind w:firstLineChars="200" w:firstLine="480"/>
        <w:rPr>
          <w:color w:val="000000"/>
          <w:sz w:val="24"/>
        </w:rPr>
      </w:pPr>
      <w:r>
        <w:rPr>
          <w:color w:val="000000"/>
          <w:sz w:val="24"/>
        </w:rPr>
        <w:t>基金托管人中国农业银行股份有限公司根据本基金合同规定，于</w:t>
      </w:r>
      <w:r>
        <w:rPr>
          <w:color w:val="000000"/>
          <w:sz w:val="24"/>
        </w:rPr>
        <w:t>2020</w:t>
      </w:r>
      <w:r>
        <w:rPr>
          <w:color w:val="000000"/>
          <w:sz w:val="24"/>
        </w:rPr>
        <w:t>年</w:t>
      </w:r>
      <w:r>
        <w:rPr>
          <w:color w:val="000000"/>
          <w:sz w:val="24"/>
        </w:rPr>
        <w:t>1</w:t>
      </w:r>
      <w:r>
        <w:rPr>
          <w:color w:val="000000"/>
          <w:sz w:val="24"/>
        </w:rPr>
        <w:t>月</w:t>
      </w:r>
      <w:r>
        <w:rPr>
          <w:color w:val="000000"/>
          <w:sz w:val="24"/>
        </w:rPr>
        <w:t>16</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B4359" w:rsidRDefault="00571C9F">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B4359" w:rsidRDefault="00571C9F">
      <w:pPr>
        <w:spacing w:line="360" w:lineRule="auto"/>
        <w:ind w:firstLineChars="200" w:firstLine="480"/>
        <w:rPr>
          <w:color w:val="000000"/>
          <w:sz w:val="24"/>
        </w:rPr>
      </w:pPr>
      <w:r>
        <w:rPr>
          <w:color w:val="000000"/>
          <w:sz w:val="24"/>
        </w:rPr>
        <w:t>基金</w:t>
      </w:r>
      <w:r>
        <w:rPr>
          <w:color w:val="000000"/>
          <w:sz w:val="24"/>
        </w:rPr>
        <w:t>的过往业绩并不代表其未来表现。投资有风险，投资者在作出投资决策前应仔细阅读本基金的招募说明书。</w:t>
      </w:r>
      <w:r>
        <w:rPr>
          <w:color w:val="000000"/>
          <w:sz w:val="24"/>
        </w:rPr>
        <w:t xml:space="preserve"> </w:t>
      </w:r>
    </w:p>
    <w:p w:rsidR="002B4359" w:rsidRDefault="00571C9F">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10</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12</w:t>
      </w:r>
      <w:r w:rsidRPr="00C30CFF">
        <w:rPr>
          <w:color w:val="000000"/>
          <w:sz w:val="24"/>
        </w:rPr>
        <w:t>月</w:t>
      </w:r>
      <w:r w:rsidRPr="00C30CFF">
        <w:rPr>
          <w:color w:val="000000"/>
          <w:sz w:val="24"/>
        </w:rPr>
        <w:t>31</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易方达中债新综指发起式（</w:t>
            </w:r>
            <w:r w:rsidRPr="00C30CFF">
              <w:rPr>
                <w:color w:val="000000"/>
                <w:kern w:val="0"/>
                <w:sz w:val="24"/>
              </w:rPr>
              <w:t>LOF</w:t>
            </w:r>
            <w:r w:rsidRPr="00C30CFF">
              <w:rPr>
                <w:color w:val="000000"/>
                <w:kern w:val="0"/>
                <w:sz w:val="24"/>
              </w:rPr>
              <w:t>）</w:t>
            </w:r>
          </w:p>
        </w:tc>
      </w:tr>
      <w:tr w:rsidR="00D36169" w:rsidRPr="0078105B" w:rsidTr="00414367">
        <w:tc>
          <w:tcPr>
            <w:tcW w:w="2835" w:type="dxa"/>
            <w:vAlign w:val="center"/>
          </w:tcPr>
          <w:p w:rsidR="00D36169" w:rsidRPr="00C30CFF" w:rsidRDefault="00D36169" w:rsidP="00611CB2">
            <w:pPr>
              <w:adjustRightInd w:val="0"/>
              <w:spacing w:before="29" w:line="360" w:lineRule="auto"/>
              <w:ind w:left="17"/>
              <w:jc w:val="left"/>
              <w:rPr>
                <w:kern w:val="0"/>
                <w:sz w:val="24"/>
              </w:rPr>
            </w:pPr>
            <w:r w:rsidRPr="00C30CFF">
              <w:rPr>
                <w:kern w:val="0"/>
                <w:sz w:val="24"/>
              </w:rPr>
              <w:t>场内简称</w:t>
            </w:r>
          </w:p>
        </w:tc>
        <w:tc>
          <w:tcPr>
            <w:tcW w:w="5529" w:type="dxa"/>
            <w:gridSpan w:val="2"/>
            <w:vAlign w:val="center"/>
          </w:tcPr>
          <w:p w:rsidR="00D36169" w:rsidRPr="00C30CFF" w:rsidRDefault="00D36169" w:rsidP="00611CB2">
            <w:pPr>
              <w:adjustRightInd w:val="0"/>
              <w:spacing w:before="29" w:line="360" w:lineRule="auto"/>
              <w:ind w:left="17"/>
              <w:jc w:val="left"/>
              <w:rPr>
                <w:kern w:val="0"/>
                <w:sz w:val="24"/>
              </w:rPr>
            </w:pPr>
            <w:r w:rsidRPr="00C30CFF">
              <w:rPr>
                <w:kern w:val="0"/>
                <w:sz w:val="24"/>
              </w:rPr>
              <w:t>易基综债</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161119</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契约型、上市开放式（</w:t>
            </w:r>
            <w:r w:rsidRPr="00C30CFF">
              <w:rPr>
                <w:color w:val="000000"/>
                <w:kern w:val="0"/>
                <w:sz w:val="24"/>
              </w:rPr>
              <w:t>LOF</w:t>
            </w:r>
            <w:r w:rsidRPr="00C30CFF">
              <w:rPr>
                <w:color w:val="000000"/>
                <w:kern w:val="0"/>
                <w:sz w:val="24"/>
              </w:rPr>
              <w:t>）、发起式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2012</w:t>
            </w:r>
            <w:r w:rsidRPr="00C30CFF">
              <w:rPr>
                <w:color w:val="000000"/>
                <w:kern w:val="0"/>
                <w:sz w:val="24"/>
              </w:rPr>
              <w:t>年</w:t>
            </w:r>
            <w:r w:rsidRPr="00C30CFF">
              <w:rPr>
                <w:color w:val="000000"/>
                <w:kern w:val="0"/>
                <w:sz w:val="24"/>
              </w:rPr>
              <w:t>11</w:t>
            </w:r>
            <w:r w:rsidRPr="00C30CFF">
              <w:rPr>
                <w:color w:val="000000"/>
                <w:kern w:val="0"/>
                <w:sz w:val="24"/>
              </w:rPr>
              <w:t>月</w:t>
            </w:r>
            <w:r w:rsidRPr="00C30CFF">
              <w:rPr>
                <w:color w:val="000000"/>
                <w:kern w:val="0"/>
                <w:sz w:val="24"/>
              </w:rPr>
              <w:t>8</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209,860,784.56</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本基金通过指数化投资，争取在扣除各项费用之前获得与标的指数相似的总回报，追求跟踪偏离度及跟踪误差的最小化。</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本基金为被动管理的指数基金，主要采用分层抽样复制和动态最优化的方法，构造与标的指数风险收益特征相似的资产组合，以实现对标的指数的有效跟踪。</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w:t>
            </w:r>
            <w:r w:rsidRPr="00C30CFF">
              <w:rPr>
                <w:color w:val="000000"/>
                <w:kern w:val="0"/>
                <w:sz w:val="24"/>
              </w:rPr>
              <w:t>-</w:t>
            </w:r>
            <w:r w:rsidRPr="00C30CFF">
              <w:rPr>
                <w:color w:val="000000"/>
                <w:kern w:val="0"/>
                <w:sz w:val="24"/>
              </w:rPr>
              <w:t>新综合指数</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本基金为债券型指数基金，其预期风险和预期收益低于股票基金、混合基金，高于货币市场基金。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中国农业银行股份有限公司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易方达中债新综指发起式（</w:t>
            </w:r>
            <w:r w:rsidRPr="00C30CFF">
              <w:rPr>
                <w:sz w:val="24"/>
              </w:rPr>
              <w:t>LOF</w:t>
            </w:r>
            <w:r w:rsidRPr="00C30CFF">
              <w:rPr>
                <w:sz w:val="24"/>
              </w:rPr>
              <w:t>）</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易方达中债新综指发起式（</w:t>
            </w:r>
            <w:r w:rsidRPr="00C30CFF">
              <w:rPr>
                <w:sz w:val="24"/>
              </w:rPr>
              <w:t>LOF</w:t>
            </w:r>
            <w:r w:rsidRPr="00C30CFF">
              <w:rPr>
                <w:sz w:val="24"/>
              </w:rPr>
              <w:t>）</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161119</w:t>
            </w:r>
          </w:p>
        </w:tc>
        <w:tc>
          <w:tcPr>
            <w:tcW w:w="2790" w:type="dxa"/>
            <w:vAlign w:val="center"/>
          </w:tcPr>
          <w:p w:rsidR="00F016DD" w:rsidRPr="00C30CFF" w:rsidRDefault="00F016DD" w:rsidP="00950413">
            <w:pPr>
              <w:jc w:val="left"/>
              <w:rPr>
                <w:color w:val="000000"/>
                <w:sz w:val="24"/>
              </w:rPr>
            </w:pPr>
            <w:r w:rsidRPr="00C30CFF">
              <w:rPr>
                <w:color w:val="000000"/>
                <w:sz w:val="24"/>
              </w:rPr>
              <w:t>161120</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183,626,804.01</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26,233,980.55</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10</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12</w:t>
            </w:r>
            <w:r w:rsidRPr="00FA472B">
              <w:rPr>
                <w:color w:val="000000"/>
                <w:sz w:val="24"/>
              </w:rPr>
              <w:t>月</w:t>
            </w:r>
            <w:r w:rsidRPr="00FA472B">
              <w:rPr>
                <w:color w:val="000000"/>
                <w:sz w:val="24"/>
              </w:rPr>
              <w:t>31</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易方达中债新综指发起式（</w:t>
            </w:r>
            <w:r w:rsidRPr="00FA472B">
              <w:rPr>
                <w:sz w:val="24"/>
              </w:rPr>
              <w:t>LOF</w:t>
            </w:r>
            <w:r w:rsidRPr="00FA472B">
              <w:rPr>
                <w:sz w:val="24"/>
              </w:rPr>
              <w:t>）</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易方达中债新综指发起式（</w:t>
            </w:r>
            <w:r w:rsidRPr="00FA472B">
              <w:rPr>
                <w:sz w:val="24"/>
              </w:rPr>
              <w:t>LOF</w:t>
            </w:r>
            <w:r w:rsidRPr="00FA472B">
              <w:rPr>
                <w:sz w:val="24"/>
              </w:rPr>
              <w:t>）</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1,373,967.54</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163,955.29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2,835,461.22</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355,395.90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0.0169</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0.0152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257,252,732.05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36,064,759.27</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1.4010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1.3747</w:t>
            </w:r>
          </w:p>
        </w:tc>
      </w:tr>
    </w:tbl>
    <w:p w:rsidR="002B4359" w:rsidRDefault="00571C9F">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易方达中债新综指发起式（LOF）A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B4359">
        <w:tc>
          <w:tcPr>
            <w:tcW w:w="0" w:type="auto"/>
            <w:vAlign w:val="center"/>
          </w:tcPr>
          <w:p w:rsidR="002B4359" w:rsidRDefault="00571C9F">
            <w:pPr>
              <w:jc w:val="left"/>
            </w:pPr>
            <w:r>
              <w:rPr>
                <w:color w:val="000000"/>
                <w:sz w:val="24"/>
              </w:rPr>
              <w:t>过去三个月</w:t>
            </w:r>
          </w:p>
        </w:tc>
        <w:tc>
          <w:tcPr>
            <w:tcW w:w="0" w:type="auto"/>
            <w:vAlign w:val="center"/>
          </w:tcPr>
          <w:p w:rsidR="002B4359" w:rsidRDefault="00571C9F">
            <w:pPr>
              <w:jc w:val="center"/>
            </w:pPr>
            <w:r>
              <w:rPr>
                <w:color w:val="000000"/>
                <w:sz w:val="24"/>
              </w:rPr>
              <w:t>1.21%</w:t>
            </w:r>
          </w:p>
        </w:tc>
        <w:tc>
          <w:tcPr>
            <w:tcW w:w="0" w:type="auto"/>
            <w:vAlign w:val="center"/>
          </w:tcPr>
          <w:p w:rsidR="002B4359" w:rsidRDefault="00571C9F">
            <w:pPr>
              <w:jc w:val="center"/>
            </w:pPr>
            <w:r>
              <w:rPr>
                <w:color w:val="000000"/>
                <w:sz w:val="24"/>
              </w:rPr>
              <w:t>0.04%</w:t>
            </w:r>
          </w:p>
        </w:tc>
        <w:tc>
          <w:tcPr>
            <w:tcW w:w="0" w:type="auto"/>
            <w:vAlign w:val="center"/>
          </w:tcPr>
          <w:p w:rsidR="002B4359" w:rsidRDefault="00571C9F">
            <w:pPr>
              <w:jc w:val="center"/>
            </w:pPr>
            <w:r>
              <w:rPr>
                <w:color w:val="000000"/>
                <w:sz w:val="24"/>
              </w:rPr>
              <w:t>1.30%</w:t>
            </w:r>
          </w:p>
        </w:tc>
        <w:tc>
          <w:tcPr>
            <w:tcW w:w="0" w:type="auto"/>
            <w:vAlign w:val="center"/>
          </w:tcPr>
          <w:p w:rsidR="002B4359" w:rsidRDefault="00571C9F">
            <w:pPr>
              <w:jc w:val="center"/>
            </w:pPr>
            <w:r>
              <w:rPr>
                <w:color w:val="000000"/>
                <w:sz w:val="24"/>
              </w:rPr>
              <w:t>0.04%</w:t>
            </w:r>
          </w:p>
        </w:tc>
        <w:tc>
          <w:tcPr>
            <w:tcW w:w="0" w:type="auto"/>
            <w:vAlign w:val="center"/>
          </w:tcPr>
          <w:p w:rsidR="002B4359" w:rsidRDefault="00571C9F">
            <w:pPr>
              <w:jc w:val="center"/>
            </w:pPr>
            <w:r>
              <w:rPr>
                <w:color w:val="000000"/>
                <w:sz w:val="24"/>
              </w:rPr>
              <w:t>-0.09%</w:t>
            </w:r>
          </w:p>
        </w:tc>
        <w:tc>
          <w:tcPr>
            <w:tcW w:w="0" w:type="auto"/>
            <w:vAlign w:val="center"/>
          </w:tcPr>
          <w:p w:rsidR="002B4359" w:rsidRDefault="00571C9F">
            <w:pPr>
              <w:jc w:val="center"/>
            </w:pPr>
            <w:r>
              <w:rPr>
                <w:color w:val="000000"/>
                <w:sz w:val="24"/>
              </w:rPr>
              <w:t>0.00%</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易方达中债新综指发起式（LOF）C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B4359">
        <w:tc>
          <w:tcPr>
            <w:tcW w:w="0" w:type="auto"/>
            <w:vAlign w:val="center"/>
          </w:tcPr>
          <w:p w:rsidR="002B4359" w:rsidRDefault="00571C9F">
            <w:pPr>
              <w:jc w:val="left"/>
            </w:pPr>
            <w:r>
              <w:rPr>
                <w:color w:val="000000"/>
                <w:sz w:val="24"/>
              </w:rPr>
              <w:t>过去三个月</w:t>
            </w:r>
          </w:p>
        </w:tc>
        <w:tc>
          <w:tcPr>
            <w:tcW w:w="0" w:type="auto"/>
            <w:vAlign w:val="center"/>
          </w:tcPr>
          <w:p w:rsidR="002B4359" w:rsidRDefault="00571C9F">
            <w:pPr>
              <w:jc w:val="center"/>
            </w:pPr>
            <w:r>
              <w:rPr>
                <w:color w:val="000000"/>
                <w:sz w:val="24"/>
              </w:rPr>
              <w:t>1.12%</w:t>
            </w:r>
          </w:p>
        </w:tc>
        <w:tc>
          <w:tcPr>
            <w:tcW w:w="0" w:type="auto"/>
            <w:vAlign w:val="center"/>
          </w:tcPr>
          <w:p w:rsidR="002B4359" w:rsidRDefault="00571C9F">
            <w:pPr>
              <w:jc w:val="center"/>
            </w:pPr>
            <w:r>
              <w:rPr>
                <w:color w:val="000000"/>
                <w:sz w:val="24"/>
              </w:rPr>
              <w:t>0.04%</w:t>
            </w:r>
          </w:p>
        </w:tc>
        <w:tc>
          <w:tcPr>
            <w:tcW w:w="0" w:type="auto"/>
            <w:vAlign w:val="center"/>
          </w:tcPr>
          <w:p w:rsidR="002B4359" w:rsidRDefault="00571C9F">
            <w:pPr>
              <w:jc w:val="center"/>
            </w:pPr>
            <w:r>
              <w:rPr>
                <w:color w:val="000000"/>
                <w:sz w:val="24"/>
              </w:rPr>
              <w:t>1.30%</w:t>
            </w:r>
          </w:p>
        </w:tc>
        <w:tc>
          <w:tcPr>
            <w:tcW w:w="0" w:type="auto"/>
            <w:vAlign w:val="center"/>
          </w:tcPr>
          <w:p w:rsidR="002B4359" w:rsidRDefault="00571C9F">
            <w:pPr>
              <w:jc w:val="center"/>
            </w:pPr>
            <w:r>
              <w:rPr>
                <w:color w:val="000000"/>
                <w:sz w:val="24"/>
              </w:rPr>
              <w:t>0.04%</w:t>
            </w:r>
          </w:p>
        </w:tc>
        <w:tc>
          <w:tcPr>
            <w:tcW w:w="0" w:type="auto"/>
            <w:vAlign w:val="center"/>
          </w:tcPr>
          <w:p w:rsidR="002B4359" w:rsidRDefault="00571C9F">
            <w:pPr>
              <w:jc w:val="center"/>
            </w:pPr>
            <w:r>
              <w:rPr>
                <w:color w:val="000000"/>
                <w:sz w:val="24"/>
              </w:rPr>
              <w:t>-0.18%</w:t>
            </w:r>
          </w:p>
        </w:tc>
        <w:tc>
          <w:tcPr>
            <w:tcW w:w="0" w:type="auto"/>
            <w:vAlign w:val="center"/>
          </w:tcPr>
          <w:p w:rsidR="002B4359" w:rsidRDefault="00571C9F">
            <w:pPr>
              <w:jc w:val="center"/>
            </w:pPr>
            <w:r>
              <w:rPr>
                <w:color w:val="000000"/>
                <w:sz w:val="24"/>
              </w:rPr>
              <w:t>0.00%</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易方达中债新综合债券指数发起式证券投资基金（</w:t>
      </w:r>
      <w:r w:rsidRPr="00FA472B">
        <w:rPr>
          <w:color w:val="000000"/>
          <w:sz w:val="24"/>
        </w:rPr>
        <w:t>LOF</w:t>
      </w:r>
      <w:r w:rsidRPr="00FA472B">
        <w:rPr>
          <w:color w:val="000000"/>
          <w:sz w:val="24"/>
        </w:rPr>
        <w:t>）</w:t>
      </w:r>
    </w:p>
    <w:p w:rsidR="00526282" w:rsidRDefault="00F016DD" w:rsidP="00526282">
      <w:pPr>
        <w:pStyle w:val="a5"/>
        <w:snapToGrid w:val="0"/>
        <w:spacing w:line="360" w:lineRule="auto"/>
        <w:jc w:val="center"/>
        <w:rPr>
          <w:rFonts w:ascii="Times New Roman" w:eastAsiaTheme="minorEastAsia" w:hAnsi="Times New Roman"/>
          <w:color w:val="000000" w:themeColor="text1"/>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526282" w:rsidP="00D477DB">
      <w:pPr>
        <w:pStyle w:val="a5"/>
        <w:snapToGrid w:val="0"/>
        <w:spacing w:line="360" w:lineRule="auto"/>
        <w:jc w:val="center"/>
        <w:rPr>
          <w:rFonts w:ascii="Times New Roman" w:hAnsi="Times New Roman"/>
          <w:sz w:val="24"/>
          <w:szCs w:val="24"/>
        </w:rPr>
      </w:pPr>
      <w:r w:rsidRPr="00526282">
        <w:rPr>
          <w:rFonts w:ascii="Times New Roman" w:hAnsi="Times New Roman"/>
          <w:sz w:val="24"/>
          <w:szCs w:val="24"/>
        </w:rPr>
        <w:t>（</w:t>
      </w:r>
      <w:r w:rsidRPr="00526282">
        <w:rPr>
          <w:rFonts w:ascii="Times New Roman" w:hAnsi="Times New Roman"/>
          <w:sz w:val="24"/>
          <w:szCs w:val="24"/>
        </w:rPr>
        <w:t>2012</w:t>
      </w:r>
      <w:r w:rsidRPr="00526282">
        <w:rPr>
          <w:rFonts w:ascii="Times New Roman" w:hAnsi="Times New Roman"/>
          <w:sz w:val="24"/>
          <w:szCs w:val="24"/>
        </w:rPr>
        <w:t>年</w:t>
      </w:r>
      <w:r w:rsidRPr="00526282">
        <w:rPr>
          <w:rFonts w:ascii="Times New Roman" w:hAnsi="Times New Roman"/>
          <w:sz w:val="24"/>
          <w:szCs w:val="24"/>
        </w:rPr>
        <w:t>11</w:t>
      </w:r>
      <w:r w:rsidRPr="00526282">
        <w:rPr>
          <w:rFonts w:ascii="Times New Roman" w:hAnsi="Times New Roman"/>
          <w:sz w:val="24"/>
          <w:szCs w:val="24"/>
        </w:rPr>
        <w:t>月</w:t>
      </w:r>
      <w:r w:rsidRPr="00526282">
        <w:rPr>
          <w:rFonts w:ascii="Times New Roman" w:hAnsi="Times New Roman"/>
          <w:sz w:val="24"/>
          <w:szCs w:val="24"/>
        </w:rPr>
        <w:t>8</w:t>
      </w:r>
      <w:r w:rsidRPr="00526282">
        <w:rPr>
          <w:rFonts w:ascii="Times New Roman" w:hAnsi="Times New Roman"/>
          <w:sz w:val="24"/>
          <w:szCs w:val="24"/>
        </w:rPr>
        <w:t>日至</w:t>
      </w:r>
      <w:r w:rsidRPr="00526282">
        <w:rPr>
          <w:rFonts w:ascii="Times New Roman" w:hAnsi="Times New Roman"/>
          <w:sz w:val="24"/>
          <w:szCs w:val="24"/>
        </w:rPr>
        <w:t>2019</w:t>
      </w:r>
      <w:r w:rsidRPr="00526282">
        <w:rPr>
          <w:rFonts w:ascii="Times New Roman" w:hAnsi="Times New Roman"/>
          <w:sz w:val="24"/>
          <w:szCs w:val="24"/>
        </w:rPr>
        <w:t>年</w:t>
      </w:r>
      <w:r w:rsidRPr="00526282">
        <w:rPr>
          <w:rFonts w:ascii="Times New Roman" w:hAnsi="Times New Roman"/>
          <w:sz w:val="24"/>
          <w:szCs w:val="24"/>
        </w:rPr>
        <w:t>12</w:t>
      </w:r>
      <w:r w:rsidRPr="00526282">
        <w:rPr>
          <w:rFonts w:ascii="Times New Roman" w:hAnsi="Times New Roman"/>
          <w:sz w:val="24"/>
          <w:szCs w:val="24"/>
        </w:rPr>
        <w:t>月</w:t>
      </w:r>
      <w:r w:rsidRPr="00526282">
        <w:rPr>
          <w:rFonts w:ascii="Times New Roman" w:hAnsi="Times New Roman"/>
          <w:sz w:val="24"/>
          <w:szCs w:val="24"/>
        </w:rPr>
        <w:t>31</w:t>
      </w:r>
      <w:r w:rsidRPr="00526282">
        <w:rPr>
          <w:rFonts w:ascii="Times New Roman" w:hAnsi="Times New Roman"/>
          <w:sz w:val="24"/>
          <w:szCs w:val="24"/>
        </w:rPr>
        <w:t>日）</w:t>
      </w:r>
    </w:p>
    <w:p w:rsidR="00526282" w:rsidRDefault="00F016DD" w:rsidP="00526282">
      <w:pPr>
        <w:snapToGrid w:val="0"/>
        <w:spacing w:line="360" w:lineRule="auto"/>
        <w:rPr>
          <w:rFonts w:eastAsiaTheme="minorEastAsia" w:hAnsiTheme="minorEastAsia"/>
          <w:color w:val="000000" w:themeColor="text1"/>
          <w:sz w:val="24"/>
        </w:rPr>
      </w:pPr>
      <w:r w:rsidRPr="00611CB2">
        <w:rPr>
          <w:color w:val="000000"/>
          <w:sz w:val="24"/>
        </w:rPr>
        <w:t>易方达中债新综指发起式（</w:t>
      </w:r>
      <w:r w:rsidRPr="00611CB2">
        <w:rPr>
          <w:color w:val="000000"/>
          <w:sz w:val="24"/>
        </w:rPr>
        <w:t>LOF</w:t>
      </w:r>
      <w:r w:rsidRPr="00611CB2">
        <w:rPr>
          <w:color w:val="000000"/>
          <w:sz w:val="24"/>
        </w:rPr>
        <w:t>）</w:t>
      </w:r>
      <w:r w:rsidRPr="00611CB2">
        <w:rPr>
          <w:color w:val="000000"/>
          <w:sz w:val="24"/>
        </w:rPr>
        <w:t>A</w:t>
      </w:r>
    </w:p>
    <w:p w:rsidR="00F016DD" w:rsidRPr="0078105B" w:rsidRDefault="00571C9F"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526282" w:rsidRDefault="00F016DD" w:rsidP="00526282">
      <w:pPr>
        <w:snapToGrid w:val="0"/>
        <w:spacing w:beforeLines="100" w:before="312" w:line="360" w:lineRule="auto"/>
        <w:rPr>
          <w:rFonts w:eastAsiaTheme="minorEastAsia" w:hAnsiTheme="minorEastAsia"/>
          <w:color w:val="000000" w:themeColor="text1"/>
          <w:sz w:val="24"/>
        </w:rPr>
      </w:pPr>
      <w:r w:rsidRPr="00611CB2">
        <w:rPr>
          <w:color w:val="000000"/>
          <w:sz w:val="24"/>
        </w:rPr>
        <w:t>易方达中债新综指发起式（</w:t>
      </w:r>
      <w:r w:rsidRPr="00611CB2">
        <w:rPr>
          <w:color w:val="000000"/>
          <w:sz w:val="24"/>
        </w:rPr>
        <w:t>LOF</w:t>
      </w:r>
      <w:r w:rsidRPr="00611CB2">
        <w:rPr>
          <w:color w:val="000000"/>
          <w:sz w:val="24"/>
        </w:rPr>
        <w:t>）</w:t>
      </w:r>
      <w:r w:rsidRPr="00611CB2">
        <w:rPr>
          <w:color w:val="000000"/>
          <w:sz w:val="24"/>
        </w:rPr>
        <w:t>C</w:t>
      </w:r>
    </w:p>
    <w:p w:rsidR="00F016DD" w:rsidRPr="0078105B" w:rsidRDefault="00571C9F"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40.10%</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37.47%</w:t>
      </w:r>
      <w:r w:rsidRPr="00DF18FE">
        <w:rPr>
          <w:color w:val="000000"/>
          <w:sz w:val="24"/>
        </w:rPr>
        <w:t>，同期业绩比较基准收益率为</w:t>
      </w:r>
      <w:r w:rsidRPr="00DF18FE">
        <w:rPr>
          <w:color w:val="000000"/>
          <w:sz w:val="24"/>
        </w:rPr>
        <w:t>38.19%</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2B4359">
        <w:tc>
          <w:tcPr>
            <w:tcW w:w="0" w:type="auto"/>
            <w:vAlign w:val="center"/>
          </w:tcPr>
          <w:p w:rsidR="002B4359" w:rsidRDefault="00571C9F">
            <w:pPr>
              <w:jc w:val="center"/>
            </w:pPr>
            <w:r>
              <w:rPr>
                <w:color w:val="000000"/>
                <w:sz w:val="24"/>
              </w:rPr>
              <w:t>王晓晨</w:t>
            </w:r>
          </w:p>
        </w:tc>
        <w:tc>
          <w:tcPr>
            <w:tcW w:w="0" w:type="auto"/>
            <w:vAlign w:val="center"/>
          </w:tcPr>
          <w:p w:rsidR="002B4359" w:rsidRDefault="00571C9F">
            <w:pPr>
              <w:jc w:val="center"/>
            </w:pPr>
            <w:r>
              <w:rPr>
                <w:color w:val="000000"/>
                <w:sz w:val="24"/>
              </w:rPr>
              <w:t>本基金的基金经理、易方达中债</w:t>
            </w:r>
            <w:r>
              <w:rPr>
                <w:color w:val="000000"/>
                <w:sz w:val="24"/>
              </w:rPr>
              <w:t>7-10</w:t>
            </w:r>
            <w:r>
              <w:rPr>
                <w:color w:val="000000"/>
                <w:sz w:val="24"/>
              </w:rPr>
              <w:t>年期国开行债券指数证券投资基金的基金经理（自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10</w:t>
            </w:r>
            <w:r>
              <w:rPr>
                <w:color w:val="000000"/>
                <w:sz w:val="24"/>
              </w:rPr>
              <w:t>月</w:t>
            </w:r>
            <w:r>
              <w:rPr>
                <w:color w:val="000000"/>
                <w:sz w:val="24"/>
              </w:rPr>
              <w:t>28</w:t>
            </w:r>
            <w:r>
              <w:rPr>
                <w:color w:val="000000"/>
                <w:sz w:val="24"/>
              </w:rPr>
              <w:t>日）、易方达中债</w:t>
            </w:r>
            <w:r>
              <w:rPr>
                <w:color w:val="000000"/>
                <w:sz w:val="24"/>
              </w:rPr>
              <w:t>3-5</w:t>
            </w:r>
            <w:r>
              <w:rPr>
                <w:color w:val="000000"/>
                <w:sz w:val="24"/>
              </w:rPr>
              <w:t>年政策性金融债指数证券投资基金的基金经理、易方达中债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年政策性金融债指数证券投资基金的基金经理、易方达中债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年国开行债券指数证券投资基金的基金经理、易方达增强回报债券型证券投资基金的基金经理、易方达投资级信用债债券型证券投资基金的基金经理、易方达双债增强债券型证券投资基金的基金经理、易方达恒兴</w:t>
            </w:r>
            <w:r>
              <w:rPr>
                <w:color w:val="000000"/>
                <w:sz w:val="24"/>
              </w:rPr>
              <w:t>3</w:t>
            </w:r>
            <w:r>
              <w:rPr>
                <w:color w:val="000000"/>
                <w:sz w:val="24"/>
              </w:rPr>
              <w:t>个月定</w:t>
            </w:r>
            <w:r>
              <w:rPr>
                <w:color w:val="000000"/>
                <w:sz w:val="24"/>
              </w:rPr>
              <w:t>期开放债券型发起式证券投资基金的基金经理、易方达恒安定期开放债券型发起式证券投资基金的基金经理、易方达富财纯债债券型证券投资基金的基金经理、易方达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）、易方达资产管理（香港）有限公司固定收益投资决策委员会委员</w:t>
            </w:r>
          </w:p>
        </w:tc>
        <w:tc>
          <w:tcPr>
            <w:tcW w:w="0" w:type="auto"/>
            <w:vAlign w:val="center"/>
          </w:tcPr>
          <w:p w:rsidR="002B4359" w:rsidRDefault="00571C9F">
            <w:pPr>
              <w:jc w:val="center"/>
            </w:pPr>
            <w:r>
              <w:rPr>
                <w:color w:val="000000"/>
                <w:sz w:val="24"/>
              </w:rPr>
              <w:t>2014-07-05</w:t>
            </w:r>
          </w:p>
        </w:tc>
        <w:tc>
          <w:tcPr>
            <w:tcW w:w="0" w:type="auto"/>
            <w:vAlign w:val="center"/>
          </w:tcPr>
          <w:p w:rsidR="002B4359" w:rsidRDefault="00571C9F">
            <w:pPr>
              <w:jc w:val="center"/>
            </w:pPr>
            <w:r>
              <w:rPr>
                <w:color w:val="000000"/>
                <w:sz w:val="24"/>
              </w:rPr>
              <w:t>-</w:t>
            </w:r>
          </w:p>
        </w:tc>
        <w:tc>
          <w:tcPr>
            <w:tcW w:w="0" w:type="auto"/>
            <w:vAlign w:val="center"/>
          </w:tcPr>
          <w:p w:rsidR="002B4359" w:rsidRDefault="00571C9F">
            <w:pPr>
              <w:jc w:val="center"/>
            </w:pPr>
            <w:r>
              <w:rPr>
                <w:color w:val="000000"/>
                <w:sz w:val="24"/>
              </w:rPr>
              <w:t>16</w:t>
            </w:r>
            <w:r>
              <w:rPr>
                <w:color w:val="000000"/>
                <w:sz w:val="24"/>
              </w:rPr>
              <w:t>年</w:t>
            </w:r>
          </w:p>
        </w:tc>
        <w:tc>
          <w:tcPr>
            <w:tcW w:w="0" w:type="auto"/>
            <w:vAlign w:val="center"/>
          </w:tcPr>
          <w:p w:rsidR="002B4359" w:rsidRDefault="00571C9F">
            <w:r>
              <w:rPr>
                <w:color w:val="000000"/>
                <w:sz w:val="24"/>
              </w:rPr>
              <w:t>硕士研究生，具有基金从业资格。曾任易方达基金管理有限公司集中交易室债券交易员、债券交易主管、固定收益总部总经理</w:t>
            </w:r>
            <w:r>
              <w:rPr>
                <w:color w:val="000000"/>
                <w:sz w:val="24"/>
              </w:rPr>
              <w:t>助理、固定收益基金投资部副总经理、易方达货币市场基金基金经理、易方达保证金收益货币市场基金基金经理、易方达保本一号混合型证券投资基金基金经理、易方达新鑫灵活配置混合型证券投资基金基金经理、易方达纯债债券型证券投资基金基金经理、易方达恒益定期开放债券型发起式证券投资基金基金经理、易方达中债</w:t>
            </w:r>
            <w:r>
              <w:rPr>
                <w:color w:val="000000"/>
                <w:sz w:val="24"/>
              </w:rPr>
              <w:t>3-5</w:t>
            </w:r>
            <w:r>
              <w:rPr>
                <w:color w:val="000000"/>
                <w:sz w:val="24"/>
              </w:rPr>
              <w:t>年期国债指数证券投资基金基金经理。</w:t>
            </w:r>
          </w:p>
        </w:tc>
      </w:tr>
    </w:tbl>
    <w:p w:rsidR="002B4359" w:rsidRDefault="00571C9F">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2B4359" w:rsidRDefault="00571C9F">
      <w:pPr>
        <w:spacing w:line="360" w:lineRule="auto"/>
        <w:ind w:firstLineChars="200" w:firstLine="480"/>
        <w:rPr>
          <w:color w:val="000000"/>
          <w:sz w:val="24"/>
        </w:rPr>
      </w:pPr>
      <w:r>
        <w:rPr>
          <w:color w:val="000000"/>
          <w:sz w:val="24"/>
        </w:rPr>
        <w:t>2.</w:t>
      </w:r>
      <w:r>
        <w:rPr>
          <w:color w:val="000000"/>
          <w:sz w:val="24"/>
        </w:rPr>
        <w:t>证券从业的含义遵从《证券业从业人员资格管理办法》的相关规定。</w:t>
      </w:r>
    </w:p>
    <w:p w:rsidR="00F016DD" w:rsidRPr="00EA6415" w:rsidRDefault="00F016DD" w:rsidP="00DF18FE">
      <w:pPr>
        <w:spacing w:line="360" w:lineRule="auto"/>
        <w:ind w:firstLineChars="200" w:firstLine="480"/>
        <w:rPr>
          <w:color w:val="000000"/>
          <w:sz w:val="24"/>
        </w:rPr>
      </w:pPr>
      <w:r w:rsidRPr="00DF18FE">
        <w:rPr>
          <w:color w:val="000000"/>
          <w:sz w:val="24"/>
        </w:rPr>
        <w:t>3.</w:t>
      </w:r>
      <w:r w:rsidRPr="00DF18FE">
        <w:rPr>
          <w:color w:val="000000"/>
          <w:sz w:val="24"/>
        </w:rPr>
        <w:t>本基金基金经理王晓晨因休产假超过</w:t>
      </w:r>
      <w:r w:rsidRPr="00DF18FE">
        <w:rPr>
          <w:color w:val="000000"/>
          <w:sz w:val="24"/>
        </w:rPr>
        <w:t>30</w:t>
      </w:r>
      <w:r w:rsidRPr="00DF18FE">
        <w:rPr>
          <w:color w:val="000000"/>
          <w:sz w:val="24"/>
        </w:rPr>
        <w:t>日，在其休假期间，本基金暂由我公司基金经理纪玲云代为履行基金经理职责。该事项已于</w:t>
      </w:r>
      <w:r w:rsidRPr="00DF18FE">
        <w:rPr>
          <w:color w:val="000000"/>
          <w:sz w:val="24"/>
        </w:rPr>
        <w:t>2019</w:t>
      </w:r>
      <w:r w:rsidRPr="00DF18FE">
        <w:rPr>
          <w:color w:val="000000"/>
          <w:sz w:val="24"/>
        </w:rPr>
        <w:t>年</w:t>
      </w:r>
      <w:r w:rsidRPr="00DF18FE">
        <w:rPr>
          <w:color w:val="000000"/>
          <w:sz w:val="24"/>
        </w:rPr>
        <w:t>11</w:t>
      </w:r>
      <w:r w:rsidRPr="00DF18FE">
        <w:rPr>
          <w:color w:val="000000"/>
          <w:sz w:val="24"/>
        </w:rPr>
        <w:t>月</w:t>
      </w:r>
      <w:r w:rsidRPr="00DF18FE">
        <w:rPr>
          <w:color w:val="000000"/>
          <w:sz w:val="24"/>
        </w:rPr>
        <w:t>22</w:t>
      </w:r>
      <w:r w:rsidRPr="00DF18FE">
        <w:rPr>
          <w:color w:val="000000"/>
          <w:sz w:val="24"/>
        </w:rPr>
        <w:t>日在《上海证券报》、易方达基金管理有限公司网站（</w:t>
      </w:r>
      <w:r w:rsidRPr="00DF18FE">
        <w:rPr>
          <w:color w:val="000000"/>
          <w:sz w:val="24"/>
        </w:rPr>
        <w:t>http://www.efunds.com.cn</w:t>
      </w:r>
      <w:r w:rsidRPr="00DF18FE">
        <w:rPr>
          <w:color w:val="000000"/>
          <w:sz w:val="24"/>
        </w:rPr>
        <w:t>）和中国证监会基金电子披露网站（</w:t>
      </w:r>
      <w:r w:rsidRPr="00DF18FE">
        <w:rPr>
          <w:color w:val="000000"/>
          <w:sz w:val="24"/>
        </w:rPr>
        <w:t>http://eid.csrc.gov.cn/fund</w:t>
      </w:r>
      <w:r w:rsidRPr="00DF18FE">
        <w:rPr>
          <w:color w:val="000000"/>
          <w:sz w:val="24"/>
        </w:rPr>
        <w:t>）上进行了披露。</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2B4359" w:rsidRDefault="00571C9F">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28</w:t>
      </w:r>
      <w:r>
        <w:rPr>
          <w:color w:val="000000"/>
          <w:sz w:val="24"/>
        </w:rPr>
        <w:t>次，其中</w:t>
      </w:r>
      <w:r>
        <w:rPr>
          <w:color w:val="000000"/>
          <w:sz w:val="24"/>
        </w:rPr>
        <w:t>27</w:t>
      </w:r>
      <w:r>
        <w:rPr>
          <w:color w:val="000000"/>
          <w:sz w:val="24"/>
        </w:rPr>
        <w:t>次为指数量化投资组合因投资策略需要和其他组合发生的反向交易，</w:t>
      </w:r>
      <w:r>
        <w:rPr>
          <w:color w:val="000000"/>
          <w:sz w:val="24"/>
        </w:rPr>
        <w:t>1</w:t>
      </w:r>
      <w:r>
        <w:rPr>
          <w:color w:val="000000"/>
          <w:sz w:val="24"/>
        </w:rPr>
        <w:t>次为不同基金经理管理的基金因投资策略不同而发生的反向交易，有关基金经理按规定履行了审批程序。</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2B4359" w:rsidRDefault="00571C9F">
      <w:pPr>
        <w:spacing w:line="360" w:lineRule="auto"/>
        <w:ind w:firstLineChars="200" w:firstLine="480"/>
        <w:rPr>
          <w:color w:val="000000"/>
          <w:sz w:val="24"/>
        </w:rPr>
      </w:pPr>
      <w:r>
        <w:rPr>
          <w:color w:val="000000"/>
          <w:sz w:val="24"/>
        </w:rPr>
        <w:t>四季度债券市场收益率先上后下。</w:t>
      </w:r>
      <w:r>
        <w:rPr>
          <w:color w:val="000000"/>
          <w:sz w:val="24"/>
        </w:rPr>
        <w:t>10</w:t>
      </w:r>
      <w:r>
        <w:rPr>
          <w:color w:val="000000"/>
          <w:sz w:val="24"/>
        </w:rPr>
        <w:t>月份公布的</w:t>
      </w:r>
      <w:r>
        <w:rPr>
          <w:color w:val="000000"/>
          <w:sz w:val="24"/>
        </w:rPr>
        <w:t>9</w:t>
      </w:r>
      <w:r>
        <w:rPr>
          <w:color w:val="000000"/>
          <w:sz w:val="24"/>
        </w:rPr>
        <w:t>月份经济数据明显具备积极迹象，当月工业增加值增速回升至</w:t>
      </w:r>
      <w:r>
        <w:rPr>
          <w:color w:val="000000"/>
          <w:sz w:val="24"/>
        </w:rPr>
        <w:t>5.8%</w:t>
      </w:r>
      <w:r>
        <w:rPr>
          <w:color w:val="000000"/>
          <w:sz w:val="24"/>
        </w:rPr>
        <w:t>，社会零售总额增速也有所恢复。除了经济预期的变化之外，食品价格带动的通胀水平提升对债券市场的影响可能更大。在上述因素的影响之下，债券收益率不断走高。</w:t>
      </w:r>
    </w:p>
    <w:p w:rsidR="002B4359" w:rsidRDefault="00571C9F">
      <w:pPr>
        <w:spacing w:line="360" w:lineRule="auto"/>
        <w:ind w:firstLineChars="200" w:firstLine="480"/>
        <w:rPr>
          <w:color w:val="000000"/>
          <w:sz w:val="24"/>
        </w:rPr>
      </w:pPr>
      <w:r>
        <w:rPr>
          <w:color w:val="000000"/>
          <w:sz w:val="24"/>
        </w:rPr>
        <w:t>但随后</w:t>
      </w:r>
      <w:r>
        <w:rPr>
          <w:color w:val="000000"/>
          <w:sz w:val="24"/>
        </w:rPr>
        <w:t>10</w:t>
      </w:r>
      <w:r>
        <w:rPr>
          <w:color w:val="000000"/>
          <w:sz w:val="24"/>
        </w:rPr>
        <w:t>月份经济数据再度回落，工业增加值单月增速降低至</w:t>
      </w:r>
      <w:r>
        <w:rPr>
          <w:color w:val="000000"/>
          <w:sz w:val="24"/>
        </w:rPr>
        <w:t>4.7%</w:t>
      </w:r>
      <w:r>
        <w:rPr>
          <w:color w:val="000000"/>
          <w:sz w:val="24"/>
        </w:rPr>
        <w:t>，且固定资产投资也出现了较大幅度的下行，其中基建投资增速的超预期下降是主要原因。在经济下行压力加大的背景下，</w:t>
      </w:r>
      <w:r>
        <w:rPr>
          <w:color w:val="000000"/>
          <w:sz w:val="24"/>
        </w:rPr>
        <w:t>11</w:t>
      </w:r>
      <w:r>
        <w:rPr>
          <w:color w:val="000000"/>
          <w:sz w:val="24"/>
        </w:rPr>
        <w:t>月央行相继下调了</w:t>
      </w:r>
      <w:r>
        <w:rPr>
          <w:color w:val="000000"/>
          <w:sz w:val="24"/>
        </w:rPr>
        <w:t>MLF</w:t>
      </w:r>
      <w:r>
        <w:rPr>
          <w:color w:val="000000"/>
          <w:sz w:val="24"/>
        </w:rPr>
        <w:t>及公开市场</w:t>
      </w:r>
      <w:r>
        <w:rPr>
          <w:color w:val="000000"/>
          <w:sz w:val="24"/>
        </w:rPr>
        <w:t>7</w:t>
      </w:r>
      <w:r>
        <w:rPr>
          <w:color w:val="000000"/>
          <w:sz w:val="24"/>
        </w:rPr>
        <w:t>天逆回购利率，带动债券市场收益率重新有所下行。</w:t>
      </w:r>
    </w:p>
    <w:p w:rsidR="002B4359" w:rsidRDefault="00571C9F">
      <w:pPr>
        <w:spacing w:line="360" w:lineRule="auto"/>
        <w:ind w:firstLineChars="200" w:firstLine="480"/>
        <w:rPr>
          <w:color w:val="000000"/>
          <w:sz w:val="24"/>
        </w:rPr>
      </w:pPr>
      <w:r>
        <w:rPr>
          <w:color w:val="000000"/>
          <w:sz w:val="24"/>
        </w:rPr>
        <w:t>12</w:t>
      </w:r>
      <w:r>
        <w:rPr>
          <w:color w:val="000000"/>
          <w:sz w:val="24"/>
        </w:rPr>
        <w:t>月市场整体保持平稳。随着中美就第一阶段经贸协议达成一致，以及未来基建增速回升的预期增加，债市收益率一度小幅走高。但由于市场中配置需求仍然旺盛，且年末银行间流动性保持充裕状态，债券市场随后进入震荡模式。</w:t>
      </w:r>
    </w:p>
    <w:p w:rsidR="00F016DD" w:rsidRPr="00DF18FE" w:rsidRDefault="00F016DD" w:rsidP="00DF18FE">
      <w:pPr>
        <w:spacing w:line="360" w:lineRule="auto"/>
        <w:ind w:firstLineChars="200" w:firstLine="480"/>
        <w:rPr>
          <w:color w:val="000000"/>
          <w:sz w:val="24"/>
        </w:rPr>
      </w:pPr>
      <w:r w:rsidRPr="00DF18FE">
        <w:rPr>
          <w:color w:val="000000"/>
          <w:sz w:val="24"/>
        </w:rPr>
        <w:t>操作上，基金总体上按照指数的结构和久期进行配置。但是由于基金规模仍然较小，分类债券资产的权重与指数中该资产的权重仍存在一定偏差，基金在一定程度上采取了较为灵活的配置策略。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1.4010</w:t>
      </w:r>
      <w:r w:rsidRPr="00DF18FE">
        <w:rPr>
          <w:color w:val="000000"/>
          <w:sz w:val="24"/>
        </w:rPr>
        <w:t>元，本报告期份额净值增长率为</w:t>
      </w:r>
      <w:r w:rsidRPr="00DF18FE">
        <w:rPr>
          <w:color w:val="000000"/>
          <w:sz w:val="24"/>
        </w:rPr>
        <w:t>1.21%</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1.3747</w:t>
      </w:r>
      <w:r w:rsidRPr="00DF18FE">
        <w:rPr>
          <w:color w:val="000000"/>
          <w:sz w:val="24"/>
        </w:rPr>
        <w:t>元，本报告期份额净值增长率为</w:t>
      </w:r>
      <w:r w:rsidRPr="00DF18FE">
        <w:rPr>
          <w:color w:val="000000"/>
          <w:sz w:val="24"/>
        </w:rPr>
        <w:t>1.12%</w:t>
      </w:r>
      <w:r w:rsidRPr="00DF18FE">
        <w:rPr>
          <w:color w:val="000000"/>
          <w:sz w:val="24"/>
        </w:rPr>
        <w:t>；同期业绩比较基准收益率为</w:t>
      </w:r>
      <w:r w:rsidRPr="00DF18FE">
        <w:rPr>
          <w:color w:val="000000"/>
          <w:sz w:val="24"/>
        </w:rPr>
        <w:t>1.30%</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293,983,150.00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96.44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293,983,150.00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96.44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3,538,436.95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7,308,622.26</w:t>
            </w:r>
          </w:p>
        </w:tc>
        <w:tc>
          <w:tcPr>
            <w:tcW w:w="1843" w:type="dxa"/>
            <w:vAlign w:val="center"/>
          </w:tcPr>
          <w:p w:rsidR="00F016DD" w:rsidRPr="00FA472B" w:rsidRDefault="00F016DD" w:rsidP="00F4518C">
            <w:pPr>
              <w:jc w:val="right"/>
              <w:rPr>
                <w:color w:val="000000"/>
                <w:sz w:val="24"/>
              </w:rPr>
            </w:pPr>
            <w:r w:rsidRPr="00FA472B">
              <w:rPr>
                <w:color w:val="000000"/>
                <w:sz w:val="24"/>
              </w:rPr>
              <w:t>2.40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304,830,209.21</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112,838,000.00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38.47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112,838,000.00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38.47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79,068,150.00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26.96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102,077,000.00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34.80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293,983,150.00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100.23</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2B4359">
        <w:tc>
          <w:tcPr>
            <w:tcW w:w="0" w:type="auto"/>
            <w:vAlign w:val="center"/>
          </w:tcPr>
          <w:p w:rsidR="002B4359" w:rsidRDefault="00571C9F">
            <w:pPr>
              <w:jc w:val="center"/>
            </w:pPr>
            <w:r>
              <w:rPr>
                <w:color w:val="000000"/>
                <w:sz w:val="24"/>
              </w:rPr>
              <w:t>1</w:t>
            </w:r>
          </w:p>
        </w:tc>
        <w:tc>
          <w:tcPr>
            <w:tcW w:w="0" w:type="auto"/>
            <w:vAlign w:val="center"/>
          </w:tcPr>
          <w:p w:rsidR="002B4359" w:rsidRDefault="00571C9F">
            <w:pPr>
              <w:jc w:val="center"/>
            </w:pPr>
            <w:r>
              <w:rPr>
                <w:color w:val="000000"/>
                <w:sz w:val="24"/>
              </w:rPr>
              <w:t>180205</w:t>
            </w:r>
          </w:p>
        </w:tc>
        <w:tc>
          <w:tcPr>
            <w:tcW w:w="0" w:type="auto"/>
            <w:vAlign w:val="center"/>
          </w:tcPr>
          <w:p w:rsidR="002B4359" w:rsidRDefault="00571C9F">
            <w:pPr>
              <w:jc w:val="center"/>
            </w:pPr>
            <w:r>
              <w:rPr>
                <w:color w:val="000000"/>
                <w:sz w:val="24"/>
              </w:rPr>
              <w:t>18</w:t>
            </w:r>
            <w:r>
              <w:rPr>
                <w:color w:val="000000"/>
                <w:sz w:val="24"/>
              </w:rPr>
              <w:t>国开</w:t>
            </w:r>
            <w:r>
              <w:rPr>
                <w:color w:val="000000"/>
                <w:sz w:val="24"/>
              </w:rPr>
              <w:t>05</w:t>
            </w:r>
          </w:p>
        </w:tc>
        <w:tc>
          <w:tcPr>
            <w:tcW w:w="0" w:type="auto"/>
            <w:vAlign w:val="center"/>
          </w:tcPr>
          <w:p w:rsidR="002B4359" w:rsidRDefault="00571C9F">
            <w:pPr>
              <w:jc w:val="right"/>
            </w:pPr>
            <w:r>
              <w:rPr>
                <w:color w:val="000000"/>
                <w:sz w:val="24"/>
              </w:rPr>
              <w:t>200,000</w:t>
            </w:r>
          </w:p>
        </w:tc>
        <w:tc>
          <w:tcPr>
            <w:tcW w:w="0" w:type="auto"/>
            <w:vAlign w:val="center"/>
          </w:tcPr>
          <w:p w:rsidR="002B4359" w:rsidRDefault="00571C9F">
            <w:pPr>
              <w:jc w:val="right"/>
            </w:pPr>
            <w:r>
              <w:rPr>
                <w:color w:val="000000"/>
                <w:sz w:val="24"/>
              </w:rPr>
              <w:t>21,676,000.00</w:t>
            </w:r>
          </w:p>
        </w:tc>
        <w:tc>
          <w:tcPr>
            <w:tcW w:w="0" w:type="auto"/>
            <w:vAlign w:val="center"/>
          </w:tcPr>
          <w:p w:rsidR="002B4359" w:rsidRDefault="00571C9F">
            <w:pPr>
              <w:jc w:val="right"/>
            </w:pPr>
            <w:r>
              <w:rPr>
                <w:color w:val="000000"/>
                <w:sz w:val="24"/>
              </w:rPr>
              <w:t>7.39</w:t>
            </w:r>
          </w:p>
        </w:tc>
      </w:tr>
      <w:tr w:rsidR="002B4359">
        <w:tc>
          <w:tcPr>
            <w:tcW w:w="0" w:type="auto"/>
            <w:vAlign w:val="center"/>
          </w:tcPr>
          <w:p w:rsidR="002B4359" w:rsidRDefault="00571C9F">
            <w:pPr>
              <w:jc w:val="center"/>
            </w:pPr>
            <w:r>
              <w:rPr>
                <w:color w:val="000000"/>
                <w:sz w:val="24"/>
              </w:rPr>
              <w:t>2</w:t>
            </w:r>
          </w:p>
        </w:tc>
        <w:tc>
          <w:tcPr>
            <w:tcW w:w="0" w:type="auto"/>
            <w:vAlign w:val="center"/>
          </w:tcPr>
          <w:p w:rsidR="002B4359" w:rsidRDefault="00571C9F">
            <w:pPr>
              <w:jc w:val="center"/>
            </w:pPr>
            <w:r>
              <w:rPr>
                <w:color w:val="000000"/>
                <w:sz w:val="24"/>
              </w:rPr>
              <w:t>170215</w:t>
            </w:r>
          </w:p>
        </w:tc>
        <w:tc>
          <w:tcPr>
            <w:tcW w:w="0" w:type="auto"/>
            <w:vAlign w:val="center"/>
          </w:tcPr>
          <w:p w:rsidR="002B4359" w:rsidRDefault="00571C9F">
            <w:pPr>
              <w:jc w:val="center"/>
            </w:pPr>
            <w:r>
              <w:rPr>
                <w:color w:val="000000"/>
                <w:sz w:val="24"/>
              </w:rPr>
              <w:t>17</w:t>
            </w:r>
            <w:r>
              <w:rPr>
                <w:color w:val="000000"/>
                <w:sz w:val="24"/>
              </w:rPr>
              <w:t>国开</w:t>
            </w:r>
            <w:r>
              <w:rPr>
                <w:color w:val="000000"/>
                <w:sz w:val="24"/>
              </w:rPr>
              <w:t>15</w:t>
            </w:r>
          </w:p>
        </w:tc>
        <w:tc>
          <w:tcPr>
            <w:tcW w:w="0" w:type="auto"/>
            <w:vAlign w:val="center"/>
          </w:tcPr>
          <w:p w:rsidR="002B4359" w:rsidRDefault="00571C9F">
            <w:pPr>
              <w:jc w:val="right"/>
            </w:pPr>
            <w:r>
              <w:rPr>
                <w:color w:val="000000"/>
                <w:sz w:val="24"/>
              </w:rPr>
              <w:t>200,000</w:t>
            </w:r>
          </w:p>
        </w:tc>
        <w:tc>
          <w:tcPr>
            <w:tcW w:w="0" w:type="auto"/>
            <w:vAlign w:val="center"/>
          </w:tcPr>
          <w:p w:rsidR="002B4359" w:rsidRDefault="00571C9F">
            <w:pPr>
              <w:jc w:val="right"/>
            </w:pPr>
            <w:r>
              <w:rPr>
                <w:color w:val="000000"/>
                <w:sz w:val="24"/>
              </w:rPr>
              <w:t>20,818,000.00</w:t>
            </w:r>
          </w:p>
        </w:tc>
        <w:tc>
          <w:tcPr>
            <w:tcW w:w="0" w:type="auto"/>
            <w:vAlign w:val="center"/>
          </w:tcPr>
          <w:p w:rsidR="002B4359" w:rsidRDefault="00571C9F">
            <w:pPr>
              <w:jc w:val="right"/>
            </w:pPr>
            <w:r>
              <w:rPr>
                <w:color w:val="000000"/>
                <w:sz w:val="24"/>
              </w:rPr>
              <w:t>7.10</w:t>
            </w:r>
          </w:p>
        </w:tc>
      </w:tr>
      <w:tr w:rsidR="002B4359">
        <w:tc>
          <w:tcPr>
            <w:tcW w:w="0" w:type="auto"/>
            <w:vAlign w:val="center"/>
          </w:tcPr>
          <w:p w:rsidR="002B4359" w:rsidRDefault="00571C9F">
            <w:pPr>
              <w:jc w:val="center"/>
            </w:pPr>
            <w:r>
              <w:rPr>
                <w:color w:val="000000"/>
                <w:sz w:val="24"/>
              </w:rPr>
              <w:t>3</w:t>
            </w:r>
          </w:p>
        </w:tc>
        <w:tc>
          <w:tcPr>
            <w:tcW w:w="0" w:type="auto"/>
            <w:vAlign w:val="center"/>
          </w:tcPr>
          <w:p w:rsidR="002B4359" w:rsidRDefault="00571C9F">
            <w:pPr>
              <w:jc w:val="center"/>
            </w:pPr>
            <w:r>
              <w:rPr>
                <w:color w:val="000000"/>
                <w:sz w:val="24"/>
              </w:rPr>
              <w:t>190208</w:t>
            </w:r>
          </w:p>
        </w:tc>
        <w:tc>
          <w:tcPr>
            <w:tcW w:w="0" w:type="auto"/>
            <w:vAlign w:val="center"/>
          </w:tcPr>
          <w:p w:rsidR="002B4359" w:rsidRDefault="00571C9F">
            <w:pPr>
              <w:jc w:val="center"/>
            </w:pPr>
            <w:r>
              <w:rPr>
                <w:color w:val="000000"/>
                <w:sz w:val="24"/>
              </w:rPr>
              <w:t>19</w:t>
            </w:r>
            <w:r>
              <w:rPr>
                <w:color w:val="000000"/>
                <w:sz w:val="24"/>
              </w:rPr>
              <w:t>国开</w:t>
            </w:r>
            <w:r>
              <w:rPr>
                <w:color w:val="000000"/>
                <w:sz w:val="24"/>
              </w:rPr>
              <w:t>08</w:t>
            </w:r>
          </w:p>
        </w:tc>
        <w:tc>
          <w:tcPr>
            <w:tcW w:w="0" w:type="auto"/>
            <w:vAlign w:val="center"/>
          </w:tcPr>
          <w:p w:rsidR="002B4359" w:rsidRDefault="00571C9F">
            <w:pPr>
              <w:jc w:val="right"/>
            </w:pPr>
            <w:r>
              <w:rPr>
                <w:color w:val="000000"/>
                <w:sz w:val="24"/>
              </w:rPr>
              <w:t>200,000</w:t>
            </w:r>
          </w:p>
        </w:tc>
        <w:tc>
          <w:tcPr>
            <w:tcW w:w="0" w:type="auto"/>
            <w:vAlign w:val="center"/>
          </w:tcPr>
          <w:p w:rsidR="002B4359" w:rsidRDefault="00571C9F">
            <w:pPr>
              <w:jc w:val="right"/>
            </w:pPr>
            <w:r>
              <w:rPr>
                <w:color w:val="000000"/>
                <w:sz w:val="24"/>
              </w:rPr>
              <w:t>20,120,000.00</w:t>
            </w:r>
          </w:p>
        </w:tc>
        <w:tc>
          <w:tcPr>
            <w:tcW w:w="0" w:type="auto"/>
            <w:vAlign w:val="center"/>
          </w:tcPr>
          <w:p w:rsidR="002B4359" w:rsidRDefault="00571C9F">
            <w:pPr>
              <w:jc w:val="right"/>
            </w:pPr>
            <w:r>
              <w:rPr>
                <w:color w:val="000000"/>
                <w:sz w:val="24"/>
              </w:rPr>
              <w:t>6.86</w:t>
            </w:r>
          </w:p>
        </w:tc>
      </w:tr>
      <w:tr w:rsidR="002B4359">
        <w:tc>
          <w:tcPr>
            <w:tcW w:w="0" w:type="auto"/>
            <w:vAlign w:val="center"/>
          </w:tcPr>
          <w:p w:rsidR="002B4359" w:rsidRDefault="00571C9F">
            <w:pPr>
              <w:jc w:val="center"/>
            </w:pPr>
            <w:r>
              <w:rPr>
                <w:color w:val="000000"/>
                <w:sz w:val="24"/>
              </w:rPr>
              <w:t>4</w:t>
            </w:r>
          </w:p>
        </w:tc>
        <w:tc>
          <w:tcPr>
            <w:tcW w:w="0" w:type="auto"/>
            <w:vAlign w:val="center"/>
          </w:tcPr>
          <w:p w:rsidR="002B4359" w:rsidRDefault="00571C9F">
            <w:pPr>
              <w:jc w:val="center"/>
            </w:pPr>
            <w:r>
              <w:rPr>
                <w:color w:val="000000"/>
                <w:sz w:val="24"/>
              </w:rPr>
              <w:t>101773017</w:t>
            </w:r>
          </w:p>
        </w:tc>
        <w:tc>
          <w:tcPr>
            <w:tcW w:w="0" w:type="auto"/>
            <w:vAlign w:val="center"/>
          </w:tcPr>
          <w:p w:rsidR="002B4359" w:rsidRDefault="00571C9F">
            <w:pPr>
              <w:jc w:val="center"/>
            </w:pPr>
            <w:r>
              <w:rPr>
                <w:color w:val="000000"/>
                <w:sz w:val="24"/>
              </w:rPr>
              <w:t>17</w:t>
            </w:r>
            <w:r>
              <w:rPr>
                <w:color w:val="000000"/>
                <w:sz w:val="24"/>
              </w:rPr>
              <w:t>蚌埠城投</w:t>
            </w:r>
            <w:r>
              <w:rPr>
                <w:color w:val="000000"/>
                <w:sz w:val="24"/>
              </w:rPr>
              <w:t>MTN001</w:t>
            </w:r>
          </w:p>
        </w:tc>
        <w:tc>
          <w:tcPr>
            <w:tcW w:w="0" w:type="auto"/>
            <w:vAlign w:val="center"/>
          </w:tcPr>
          <w:p w:rsidR="002B4359" w:rsidRDefault="00571C9F">
            <w:pPr>
              <w:jc w:val="right"/>
            </w:pPr>
            <w:r>
              <w:rPr>
                <w:color w:val="000000"/>
                <w:sz w:val="24"/>
              </w:rPr>
              <w:t>100,000</w:t>
            </w:r>
          </w:p>
        </w:tc>
        <w:tc>
          <w:tcPr>
            <w:tcW w:w="0" w:type="auto"/>
            <w:vAlign w:val="center"/>
          </w:tcPr>
          <w:p w:rsidR="002B4359" w:rsidRDefault="00571C9F">
            <w:pPr>
              <w:jc w:val="right"/>
            </w:pPr>
            <w:r>
              <w:rPr>
                <w:color w:val="000000"/>
                <w:sz w:val="24"/>
              </w:rPr>
              <w:t>10,483,000.00</w:t>
            </w:r>
          </w:p>
        </w:tc>
        <w:tc>
          <w:tcPr>
            <w:tcW w:w="0" w:type="auto"/>
            <w:vAlign w:val="center"/>
          </w:tcPr>
          <w:p w:rsidR="002B4359" w:rsidRDefault="00571C9F">
            <w:pPr>
              <w:jc w:val="right"/>
            </w:pPr>
            <w:r>
              <w:rPr>
                <w:color w:val="000000"/>
                <w:sz w:val="24"/>
              </w:rPr>
              <w:t>3.57</w:t>
            </w:r>
          </w:p>
        </w:tc>
      </w:tr>
      <w:tr w:rsidR="002B4359">
        <w:tc>
          <w:tcPr>
            <w:tcW w:w="0" w:type="auto"/>
            <w:vAlign w:val="center"/>
          </w:tcPr>
          <w:p w:rsidR="002B4359" w:rsidRDefault="00571C9F">
            <w:pPr>
              <w:jc w:val="center"/>
            </w:pPr>
            <w:r>
              <w:rPr>
                <w:color w:val="000000"/>
                <w:sz w:val="24"/>
              </w:rPr>
              <w:t>5</w:t>
            </w:r>
          </w:p>
        </w:tc>
        <w:tc>
          <w:tcPr>
            <w:tcW w:w="0" w:type="auto"/>
            <w:vAlign w:val="center"/>
          </w:tcPr>
          <w:p w:rsidR="002B4359" w:rsidRDefault="00571C9F">
            <w:pPr>
              <w:jc w:val="center"/>
            </w:pPr>
            <w:r>
              <w:rPr>
                <w:color w:val="000000"/>
                <w:sz w:val="24"/>
              </w:rPr>
              <w:t>143366</w:t>
            </w:r>
          </w:p>
        </w:tc>
        <w:tc>
          <w:tcPr>
            <w:tcW w:w="0" w:type="auto"/>
            <w:vAlign w:val="center"/>
          </w:tcPr>
          <w:p w:rsidR="002B4359" w:rsidRDefault="00571C9F">
            <w:pPr>
              <w:jc w:val="center"/>
            </w:pPr>
            <w:r>
              <w:rPr>
                <w:color w:val="000000"/>
                <w:sz w:val="24"/>
              </w:rPr>
              <w:t>17</w:t>
            </w:r>
            <w:r>
              <w:rPr>
                <w:color w:val="000000"/>
                <w:sz w:val="24"/>
              </w:rPr>
              <w:t>环能</w:t>
            </w:r>
            <w:r>
              <w:rPr>
                <w:color w:val="000000"/>
                <w:sz w:val="24"/>
              </w:rPr>
              <w:t>01</w:t>
            </w:r>
          </w:p>
        </w:tc>
        <w:tc>
          <w:tcPr>
            <w:tcW w:w="0" w:type="auto"/>
            <w:vAlign w:val="center"/>
          </w:tcPr>
          <w:p w:rsidR="002B4359" w:rsidRDefault="00571C9F">
            <w:pPr>
              <w:jc w:val="right"/>
            </w:pPr>
            <w:r>
              <w:rPr>
                <w:color w:val="000000"/>
                <w:sz w:val="24"/>
              </w:rPr>
              <w:t>100,000</w:t>
            </w:r>
          </w:p>
        </w:tc>
        <w:tc>
          <w:tcPr>
            <w:tcW w:w="0" w:type="auto"/>
            <w:vAlign w:val="center"/>
          </w:tcPr>
          <w:p w:rsidR="002B4359" w:rsidRDefault="00571C9F">
            <w:pPr>
              <w:jc w:val="right"/>
            </w:pPr>
            <w:r>
              <w:rPr>
                <w:color w:val="000000"/>
                <w:sz w:val="24"/>
              </w:rPr>
              <w:t>10,423,000.00</w:t>
            </w:r>
          </w:p>
        </w:tc>
        <w:tc>
          <w:tcPr>
            <w:tcW w:w="0" w:type="auto"/>
            <w:vAlign w:val="center"/>
          </w:tcPr>
          <w:p w:rsidR="002B4359" w:rsidRDefault="00571C9F">
            <w:pPr>
              <w:jc w:val="right"/>
            </w:pPr>
            <w:r>
              <w:rPr>
                <w:color w:val="000000"/>
                <w:sz w:val="24"/>
              </w:rPr>
              <w:t>3.55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5,172,895.80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2,135,726.46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7,308,622.26</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易方达中债新综指发起式（</w:t>
            </w:r>
            <w:r w:rsidRPr="00FA472B">
              <w:rPr>
                <w:sz w:val="24"/>
              </w:rPr>
              <w:t>LOF</w:t>
            </w:r>
            <w:r w:rsidRPr="00FA472B">
              <w:rPr>
                <w:sz w:val="24"/>
              </w:rPr>
              <w:t>）</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易方达中债新综指发起式（</w:t>
            </w:r>
            <w:r w:rsidRPr="00FA472B">
              <w:rPr>
                <w:sz w:val="24"/>
              </w:rPr>
              <w:t>LOF</w:t>
            </w:r>
            <w:r w:rsidRPr="00FA472B">
              <w:rPr>
                <w:sz w:val="24"/>
              </w:rPr>
              <w:t>）</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161,629,470.65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25,609,681.03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44,278,654.57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9,860,622.81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22,281,321.21</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9,236,323.29</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183,626,804.01</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26,233,980.55</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易方达中债新综指发起式（</w:t>
            </w:r>
            <w:r w:rsidRPr="00FA472B">
              <w:rPr>
                <w:sz w:val="24"/>
              </w:rPr>
              <w:t>LOF</w:t>
            </w:r>
            <w:r w:rsidRPr="00FA472B">
              <w:rPr>
                <w:sz w:val="24"/>
              </w:rPr>
              <w:t>）</w:t>
            </w:r>
            <w:r w:rsidRPr="00FA472B">
              <w:rPr>
                <w:sz w:val="24"/>
              </w:rPr>
              <w:t>A</w:t>
            </w:r>
          </w:p>
        </w:tc>
        <w:tc>
          <w:tcPr>
            <w:tcW w:w="2631" w:type="dxa"/>
            <w:vAlign w:val="bottom"/>
          </w:tcPr>
          <w:p w:rsidR="00CC78C7" w:rsidRPr="00FA472B" w:rsidRDefault="00CC78C7" w:rsidP="00964538">
            <w:pPr>
              <w:jc w:val="center"/>
              <w:rPr>
                <w:sz w:val="24"/>
              </w:rPr>
            </w:pPr>
            <w:r w:rsidRPr="00FA472B">
              <w:rPr>
                <w:sz w:val="24"/>
              </w:rPr>
              <w:t>易方达中债新综指发起式（</w:t>
            </w:r>
            <w:r w:rsidRPr="00FA472B">
              <w:rPr>
                <w:sz w:val="24"/>
              </w:rPr>
              <w:t>LOF</w:t>
            </w:r>
            <w:r w:rsidRPr="00FA472B">
              <w:rPr>
                <w:sz w:val="24"/>
              </w:rPr>
              <w:t>）</w:t>
            </w:r>
            <w:r w:rsidRPr="00FA472B">
              <w:rPr>
                <w:sz w:val="24"/>
              </w:rPr>
              <w:t>C</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29,709,723.72</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29,709,723.72</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16.1794</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b w:val="0"/>
          <w:color w:val="000000"/>
          <w:sz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8  </w:t>
      </w:r>
      <w:r>
        <w:rPr>
          <w:rFonts w:ascii="宋体" w:hAnsi="宋体" w:cs="Arial" w:hint="eastAsia"/>
          <w:color w:val="000000"/>
          <w:kern w:val="0"/>
          <w:sz w:val="24"/>
          <w:szCs w:val="24"/>
        </w:rPr>
        <w:t>报告期末</w:t>
      </w:r>
      <w:r w:rsidRPr="0078105B">
        <w:rPr>
          <w:rFonts w:ascii="宋体" w:hAnsi="宋体" w:cs="Arial"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8"/>
        <w:gridCol w:w="1984"/>
        <w:gridCol w:w="1276"/>
        <w:gridCol w:w="1843"/>
        <w:gridCol w:w="1276"/>
        <w:gridCol w:w="1053"/>
      </w:tblGrid>
      <w:tr w:rsidR="00F016DD" w:rsidRPr="0078105B" w:rsidTr="009D0312">
        <w:trPr>
          <w:trHeight w:val="543"/>
          <w:jc w:val="center"/>
        </w:trPr>
        <w:tc>
          <w:tcPr>
            <w:tcW w:w="1448" w:type="dxa"/>
            <w:vAlign w:val="center"/>
          </w:tcPr>
          <w:p w:rsidR="00F016DD" w:rsidRPr="00FA472B" w:rsidRDefault="00F016DD" w:rsidP="00973B57">
            <w:pPr>
              <w:widowControl/>
              <w:jc w:val="left"/>
              <w:rPr>
                <w:color w:val="000000"/>
                <w:sz w:val="24"/>
              </w:rPr>
            </w:pPr>
            <w:r w:rsidRPr="00FA472B">
              <w:rPr>
                <w:color w:val="000000"/>
                <w:sz w:val="24"/>
              </w:rPr>
              <w:t>项目</w:t>
            </w:r>
          </w:p>
        </w:tc>
        <w:tc>
          <w:tcPr>
            <w:tcW w:w="1984" w:type="dxa"/>
          </w:tcPr>
          <w:p w:rsidR="00F016DD" w:rsidRPr="00FA472B" w:rsidRDefault="00F016DD" w:rsidP="00973B57">
            <w:pPr>
              <w:adjustRightInd w:val="0"/>
              <w:snapToGrid w:val="0"/>
              <w:spacing w:line="360" w:lineRule="exact"/>
              <w:rPr>
                <w:color w:val="000000"/>
                <w:sz w:val="24"/>
              </w:rPr>
            </w:pPr>
            <w:r w:rsidRPr="00FA472B">
              <w:rPr>
                <w:color w:val="000000"/>
                <w:sz w:val="24"/>
              </w:rPr>
              <w:t>持有份额总数</w:t>
            </w:r>
          </w:p>
        </w:tc>
        <w:tc>
          <w:tcPr>
            <w:tcW w:w="1276" w:type="dxa"/>
          </w:tcPr>
          <w:p w:rsidR="00F016DD" w:rsidRPr="00FA472B" w:rsidRDefault="00F016DD" w:rsidP="00973B57">
            <w:pPr>
              <w:adjustRightInd w:val="0"/>
              <w:snapToGrid w:val="0"/>
              <w:spacing w:line="360" w:lineRule="exact"/>
              <w:rPr>
                <w:color w:val="000000"/>
                <w:sz w:val="24"/>
              </w:rPr>
            </w:pPr>
            <w:r w:rsidRPr="00FA472B">
              <w:rPr>
                <w:color w:val="000000"/>
                <w:sz w:val="24"/>
              </w:rPr>
              <w:t>持有份额占基金总份额比例</w:t>
            </w:r>
          </w:p>
        </w:tc>
        <w:tc>
          <w:tcPr>
            <w:tcW w:w="1843" w:type="dxa"/>
          </w:tcPr>
          <w:p w:rsidR="00F016DD" w:rsidRPr="00FA472B" w:rsidRDefault="00F016DD" w:rsidP="00973B57">
            <w:pPr>
              <w:adjustRightInd w:val="0"/>
              <w:snapToGrid w:val="0"/>
              <w:spacing w:line="360" w:lineRule="exact"/>
              <w:rPr>
                <w:color w:val="000000"/>
                <w:sz w:val="24"/>
              </w:rPr>
            </w:pPr>
            <w:r w:rsidRPr="00FA472B">
              <w:rPr>
                <w:color w:val="000000"/>
                <w:sz w:val="24"/>
              </w:rPr>
              <w:t>发起份额总数</w:t>
            </w:r>
          </w:p>
        </w:tc>
        <w:tc>
          <w:tcPr>
            <w:tcW w:w="1276" w:type="dxa"/>
          </w:tcPr>
          <w:p w:rsidR="00F016DD" w:rsidRPr="00FA472B" w:rsidRDefault="00F016DD" w:rsidP="00973B57">
            <w:pPr>
              <w:adjustRightInd w:val="0"/>
              <w:snapToGrid w:val="0"/>
              <w:spacing w:line="360" w:lineRule="exact"/>
              <w:rPr>
                <w:color w:val="000000"/>
                <w:sz w:val="24"/>
              </w:rPr>
            </w:pPr>
            <w:r w:rsidRPr="00FA472B">
              <w:rPr>
                <w:color w:val="000000"/>
                <w:sz w:val="24"/>
              </w:rPr>
              <w:t>发起份额占基金总份额比例</w:t>
            </w:r>
          </w:p>
        </w:tc>
        <w:tc>
          <w:tcPr>
            <w:tcW w:w="1053" w:type="dxa"/>
          </w:tcPr>
          <w:p w:rsidR="00F016DD" w:rsidRPr="00FA472B" w:rsidRDefault="00F016DD" w:rsidP="00973B57">
            <w:pPr>
              <w:widowControl/>
              <w:jc w:val="left"/>
              <w:rPr>
                <w:color w:val="000000"/>
                <w:sz w:val="24"/>
              </w:rPr>
            </w:pPr>
            <w:r w:rsidRPr="00FA472B">
              <w:rPr>
                <w:color w:val="000000"/>
                <w:sz w:val="24"/>
              </w:rPr>
              <w:t>发起份额承诺持有期限</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rPr>
                <w:color w:val="000000"/>
                <w:sz w:val="24"/>
              </w:rPr>
            </w:pPr>
            <w:r w:rsidRPr="00FA472B">
              <w:rPr>
                <w:color w:val="000000"/>
                <w:sz w:val="24"/>
              </w:rPr>
              <w:t>基金管理人固有资金</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29,709,723.72</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14.1569%</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10,000,450.04</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4.7653%</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3</w:t>
            </w:r>
            <w:r w:rsidRPr="00FA472B">
              <w:rPr>
                <w:kern w:val="0"/>
                <w:sz w:val="24"/>
              </w:rPr>
              <w:t>年</w:t>
            </w:r>
          </w:p>
        </w:tc>
      </w:tr>
      <w:tr w:rsidR="00F016DD" w:rsidRPr="0078105B" w:rsidTr="009D0312">
        <w:trPr>
          <w:trHeight w:val="790"/>
          <w:jc w:val="center"/>
        </w:trPr>
        <w:tc>
          <w:tcPr>
            <w:tcW w:w="1448" w:type="dxa"/>
          </w:tcPr>
          <w:p w:rsidR="00F016DD" w:rsidRPr="00FA472B" w:rsidRDefault="00F016DD" w:rsidP="00973B57">
            <w:pPr>
              <w:adjustRightInd w:val="0"/>
              <w:snapToGrid w:val="0"/>
              <w:spacing w:line="360" w:lineRule="exact"/>
              <w:rPr>
                <w:color w:val="000000"/>
                <w:sz w:val="24"/>
              </w:rPr>
            </w:pPr>
            <w:r w:rsidRPr="00FA472B">
              <w:rPr>
                <w:color w:val="000000"/>
                <w:sz w:val="24"/>
              </w:rPr>
              <w:t>基金管理人高级管理人员</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基金经理等人员</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基金管理人股东</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其他</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合计</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29,709,723.72</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14.1569%</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10,000,450.04</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4.7653%</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2B4359" w:rsidRDefault="00571C9F">
      <w:pPr>
        <w:spacing w:line="360" w:lineRule="auto"/>
        <w:ind w:firstLineChars="200" w:firstLine="480"/>
        <w:rPr>
          <w:color w:val="000000"/>
          <w:sz w:val="24"/>
        </w:rPr>
      </w:pPr>
      <w:r>
        <w:rPr>
          <w:color w:val="000000"/>
          <w:sz w:val="24"/>
        </w:rPr>
        <w:t>1.</w:t>
      </w:r>
      <w:r>
        <w:rPr>
          <w:color w:val="000000"/>
          <w:sz w:val="24"/>
        </w:rPr>
        <w:t>中国证监会核准易方达中债新综合债券指数发起式证券投资基金（</w:t>
      </w:r>
      <w:r>
        <w:rPr>
          <w:color w:val="000000"/>
          <w:sz w:val="24"/>
        </w:rPr>
        <w:t>LOF</w:t>
      </w:r>
      <w:r>
        <w:rPr>
          <w:color w:val="000000"/>
          <w:sz w:val="24"/>
        </w:rPr>
        <w:t>）募集的文件；</w:t>
      </w:r>
    </w:p>
    <w:p w:rsidR="002B4359" w:rsidRDefault="00571C9F">
      <w:pPr>
        <w:spacing w:line="360" w:lineRule="auto"/>
        <w:ind w:firstLineChars="200" w:firstLine="480"/>
        <w:rPr>
          <w:color w:val="000000"/>
          <w:sz w:val="24"/>
        </w:rPr>
      </w:pPr>
      <w:r>
        <w:rPr>
          <w:color w:val="000000"/>
          <w:sz w:val="24"/>
        </w:rPr>
        <w:t>2.</w:t>
      </w:r>
      <w:r>
        <w:rPr>
          <w:color w:val="000000"/>
          <w:sz w:val="24"/>
        </w:rPr>
        <w:t>《易方达中债新综合债券指数发起式证券投资基金（</w:t>
      </w:r>
      <w:r>
        <w:rPr>
          <w:color w:val="000000"/>
          <w:sz w:val="24"/>
        </w:rPr>
        <w:t>LOF</w:t>
      </w:r>
      <w:r>
        <w:rPr>
          <w:color w:val="000000"/>
          <w:sz w:val="24"/>
        </w:rPr>
        <w:t>）基金合同》；</w:t>
      </w:r>
    </w:p>
    <w:p w:rsidR="002B4359" w:rsidRDefault="00571C9F">
      <w:pPr>
        <w:spacing w:line="360" w:lineRule="auto"/>
        <w:ind w:firstLineChars="200" w:firstLine="480"/>
        <w:rPr>
          <w:color w:val="000000"/>
          <w:sz w:val="24"/>
        </w:rPr>
      </w:pPr>
      <w:r>
        <w:rPr>
          <w:color w:val="000000"/>
          <w:sz w:val="24"/>
        </w:rPr>
        <w:t>3.</w:t>
      </w:r>
      <w:r>
        <w:rPr>
          <w:color w:val="000000"/>
          <w:sz w:val="24"/>
        </w:rPr>
        <w:t>《易方达中债新综合债券指数发起式证券投资基金（</w:t>
      </w:r>
      <w:r>
        <w:rPr>
          <w:color w:val="000000"/>
          <w:sz w:val="24"/>
        </w:rPr>
        <w:t>LOF</w:t>
      </w:r>
      <w:r>
        <w:rPr>
          <w:color w:val="000000"/>
          <w:sz w:val="24"/>
        </w:rPr>
        <w:t>）托管协议》；</w:t>
      </w:r>
    </w:p>
    <w:p w:rsidR="00F016DD" w:rsidRPr="00E8153C" w:rsidRDefault="00F016DD" w:rsidP="00DF18FE">
      <w:pPr>
        <w:spacing w:line="360" w:lineRule="auto"/>
        <w:ind w:firstLineChars="200" w:firstLine="480"/>
        <w:rPr>
          <w:color w:val="000000"/>
          <w:sz w:val="24"/>
        </w:rPr>
      </w:pPr>
      <w:r w:rsidRPr="00E8153C">
        <w:rPr>
          <w:color w:val="000000"/>
          <w:sz w:val="24"/>
        </w:rPr>
        <w:t>4.</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二〇二〇年一月十八日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CC8" w:rsidRDefault="00041CC8">
      <w:r>
        <w:separator/>
      </w:r>
    </w:p>
  </w:endnote>
  <w:endnote w:type="continuationSeparator" w:id="0">
    <w:p w:rsidR="00041CC8" w:rsidRDefault="0004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571C9F">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571C9F">
      <w:rPr>
        <w:noProof/>
        <w:szCs w:val="21"/>
      </w:rPr>
      <w:t>1</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571C9F">
      <w:rPr>
        <w:rStyle w:val="a7"/>
        <w:noProof/>
      </w:rPr>
      <w:t>2</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CC8" w:rsidRDefault="00041CC8">
      <w:r>
        <w:separator/>
      </w:r>
    </w:p>
  </w:footnote>
  <w:footnote w:type="continuationSeparator" w:id="0">
    <w:p w:rsidR="00041CC8" w:rsidRDefault="00041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易方达中债新综合债券指数发起式证券投资基金（</w:t>
    </w:r>
    <w:r w:rsidRPr="00DA451D">
      <w:t>LOF</w:t>
    </w:r>
    <w:r w:rsidRPr="00DA451D">
      <w:t>）</w:t>
    </w:r>
    <w:r w:rsidRPr="00DA451D">
      <w:t>2019</w:t>
    </w:r>
    <w:r w:rsidRPr="00DA451D">
      <w:t>年第</w:t>
    </w:r>
    <w:r w:rsidRPr="00DA451D">
      <w:t>4</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1CC8"/>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4359"/>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26282"/>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1C9F"/>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7D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17F53D0-CF46-4ED0-86F5-016774B5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21212">
      <w:bodyDiv w:val="1"/>
      <w:marLeft w:val="0"/>
      <w:marRight w:val="0"/>
      <w:marTop w:val="0"/>
      <w:marBottom w:val="0"/>
      <w:divBdr>
        <w:top w:val="none" w:sz="0" w:space="0" w:color="auto"/>
        <w:left w:val="none" w:sz="0" w:space="0" w:color="auto"/>
        <w:bottom w:val="none" w:sz="0" w:space="0" w:color="auto"/>
        <w:right w:val="none" w:sz="0" w:space="0" w:color="auto"/>
      </w:divBdr>
    </w:div>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 w:id="1712071077">
      <w:bodyDiv w:val="1"/>
      <w:marLeft w:val="0"/>
      <w:marRight w:val="0"/>
      <w:marTop w:val="0"/>
      <w:marBottom w:val="0"/>
      <w:divBdr>
        <w:top w:val="none" w:sz="0" w:space="0" w:color="auto"/>
        <w:left w:val="none" w:sz="0" w:space="0" w:color="auto"/>
        <w:bottom w:val="none" w:sz="0" w:space="0" w:color="auto"/>
        <w:right w:val="none" w:sz="0" w:space="0" w:color="auto"/>
      </w:divBdr>
    </w:div>
    <w:div w:id="179405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Template>
  <TotalTime>0</TotalTime>
  <Pages>5</Pages>
  <Words>1017</Words>
  <Characters>5797</Characters>
  <Application>Microsoft Office Word</Application>
  <DocSecurity>4</DocSecurity>
  <Lines>48</Lines>
  <Paragraphs>13</Paragraphs>
  <ScaleCrop>false</ScaleCrop>
  <Company>TRT. Ltd. Co.</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efunds</cp:lastModifiedBy>
  <cp:revision>2</cp:revision>
  <cp:lastPrinted>2007-07-19T00:46:00Z</cp:lastPrinted>
  <dcterms:created xsi:type="dcterms:W3CDTF">2020-01-13T02:41:00Z</dcterms:created>
  <dcterms:modified xsi:type="dcterms:W3CDTF">2020-01-13T02:41:00Z</dcterms:modified>
</cp:coreProperties>
</file>