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易方达黄金主题证券投资基金（LOF）</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2019年第4季度报告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2019年12月31日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易方达基金管理有限公司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中国农业银行股份有限公司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二〇二〇年一月十八日</w:t>
      </w:r>
    </w:p>
    <w:p w:rsidR="0076518F" w:rsidRPr="00A67563" w:rsidRDefault="0076518F" w:rsidP="00775284">
      <w:pPr>
        <w:pStyle w:val="1"/>
        <w:spacing w:beforeLines="100" w:before="312" w:afterLines="100" w:after="312" w:line="360" w:lineRule="auto"/>
        <w:jc w:val="center"/>
        <w:rPr>
          <w:b w:val="0"/>
          <w:color w:val="000000" w:themeColor="text1"/>
          <w:kern w:val="0"/>
          <w:sz w:val="24"/>
          <w:szCs w:val="24"/>
        </w:rPr>
      </w:pPr>
      <w:r w:rsidRPr="00A67563">
        <w:rPr>
          <w:color w:val="000000" w:themeColor="text1"/>
          <w:kern w:val="0"/>
          <w:sz w:val="24"/>
          <w:szCs w:val="24"/>
        </w:rPr>
        <w:lastRenderedPageBreak/>
        <w:t xml:space="preserve">§1  </w:t>
      </w:r>
      <w:r w:rsidRPr="00A67563">
        <w:rPr>
          <w:color w:val="000000" w:themeColor="text1"/>
          <w:kern w:val="0"/>
          <w:sz w:val="24"/>
          <w:szCs w:val="24"/>
        </w:rPr>
        <w:t>重要提示</w:t>
      </w:r>
    </w:p>
    <w:p w:rsidR="00CF3555" w:rsidRDefault="00EA4BDD">
      <w:pPr>
        <w:spacing w:line="360" w:lineRule="auto"/>
        <w:ind w:firstLineChars="200" w:firstLine="480"/>
        <w:rPr>
          <w:color w:val="000000" w:themeColor="text1"/>
          <w:sz w:val="24"/>
        </w:rPr>
      </w:pPr>
      <w:r>
        <w:rPr>
          <w:color w:val="000000" w:themeColor="text1"/>
          <w:sz w:val="24"/>
        </w:rPr>
        <w:t>基金管理人的董事会及董事保证本报告所载资料不存在虚假记载、误导性陈述或重大遗漏，并对其内容的真实性、准确性和完整性承担个别及连带责任。</w:t>
      </w:r>
      <w:r>
        <w:rPr>
          <w:color w:val="000000" w:themeColor="text1"/>
          <w:sz w:val="24"/>
        </w:rPr>
        <w:t xml:space="preserve"> </w:t>
      </w:r>
    </w:p>
    <w:p w:rsidR="00CF3555" w:rsidRDefault="00EA4BDD">
      <w:pPr>
        <w:spacing w:line="360" w:lineRule="auto"/>
        <w:ind w:firstLineChars="200" w:firstLine="480"/>
        <w:rPr>
          <w:color w:val="000000" w:themeColor="text1"/>
          <w:sz w:val="24"/>
        </w:rPr>
      </w:pPr>
      <w:r>
        <w:rPr>
          <w:color w:val="000000" w:themeColor="text1"/>
          <w:sz w:val="24"/>
        </w:rPr>
        <w:t>基金托管人中国农业银行股份有限公司根据本基金合同规定，于</w:t>
      </w:r>
      <w:r>
        <w:rPr>
          <w:color w:val="000000" w:themeColor="text1"/>
          <w:sz w:val="24"/>
        </w:rPr>
        <w:t>2020</w:t>
      </w:r>
      <w:r>
        <w:rPr>
          <w:color w:val="000000" w:themeColor="text1"/>
          <w:sz w:val="24"/>
        </w:rPr>
        <w:t>年</w:t>
      </w:r>
      <w:r>
        <w:rPr>
          <w:color w:val="000000" w:themeColor="text1"/>
          <w:sz w:val="24"/>
        </w:rPr>
        <w:t>1</w:t>
      </w:r>
      <w:r>
        <w:rPr>
          <w:color w:val="000000" w:themeColor="text1"/>
          <w:sz w:val="24"/>
        </w:rPr>
        <w:t>月</w:t>
      </w:r>
      <w:r>
        <w:rPr>
          <w:color w:val="000000" w:themeColor="text1"/>
          <w:sz w:val="24"/>
        </w:rPr>
        <w:t>16</w:t>
      </w:r>
      <w:r>
        <w:rPr>
          <w:color w:val="000000" w:themeColor="text1"/>
          <w:sz w:val="24"/>
        </w:rPr>
        <w:t>日复核了本报告中的财务指标、净值表现和投资组合报告等内容，保证复核内容不存在虚假记载、误导性陈述或者重大遗漏。</w:t>
      </w:r>
      <w:r>
        <w:rPr>
          <w:color w:val="000000" w:themeColor="text1"/>
          <w:sz w:val="24"/>
        </w:rPr>
        <w:t xml:space="preserve"> </w:t>
      </w:r>
    </w:p>
    <w:p w:rsidR="00CF3555" w:rsidRDefault="00EA4BDD">
      <w:pPr>
        <w:spacing w:line="360" w:lineRule="auto"/>
        <w:ind w:firstLineChars="200" w:firstLine="480"/>
        <w:rPr>
          <w:color w:val="000000" w:themeColor="text1"/>
          <w:sz w:val="24"/>
        </w:rPr>
      </w:pPr>
      <w:r>
        <w:rPr>
          <w:color w:val="000000" w:themeColor="text1"/>
          <w:sz w:val="24"/>
        </w:rPr>
        <w:t>基金管理人承诺以诚实信用、勤勉尽责的原则管理和运用基金资产，但不保证基金一定盈利。</w:t>
      </w:r>
      <w:r>
        <w:rPr>
          <w:color w:val="000000" w:themeColor="text1"/>
          <w:sz w:val="24"/>
        </w:rPr>
        <w:t xml:space="preserve"> </w:t>
      </w:r>
    </w:p>
    <w:p w:rsidR="00CF3555" w:rsidRDefault="00EA4BDD">
      <w:pPr>
        <w:spacing w:line="360" w:lineRule="auto"/>
        <w:ind w:firstLineChars="200" w:firstLine="480"/>
        <w:rPr>
          <w:color w:val="000000" w:themeColor="text1"/>
          <w:sz w:val="24"/>
        </w:rPr>
      </w:pPr>
      <w:r>
        <w:rPr>
          <w:color w:val="000000" w:themeColor="text1"/>
          <w:sz w:val="24"/>
        </w:rPr>
        <w:t>基金的过往业绩并不代表其未来表现。投资有风险，投资者在作出投</w:t>
      </w:r>
      <w:r>
        <w:rPr>
          <w:color w:val="000000" w:themeColor="text1"/>
          <w:sz w:val="24"/>
        </w:rPr>
        <w:t>资决策前应仔细阅读本基金的招募说明书。</w:t>
      </w:r>
      <w:r>
        <w:rPr>
          <w:color w:val="000000" w:themeColor="text1"/>
          <w:sz w:val="24"/>
        </w:rPr>
        <w:t xml:space="preserve"> </w:t>
      </w:r>
    </w:p>
    <w:p w:rsidR="00CF3555" w:rsidRDefault="00EA4BDD">
      <w:pPr>
        <w:spacing w:line="360" w:lineRule="auto"/>
        <w:ind w:firstLineChars="200" w:firstLine="480"/>
        <w:rPr>
          <w:color w:val="000000" w:themeColor="text1"/>
          <w:sz w:val="24"/>
        </w:rPr>
      </w:pPr>
      <w:r>
        <w:rPr>
          <w:color w:val="000000" w:themeColor="text1"/>
          <w:sz w:val="24"/>
        </w:rPr>
        <w:t>本报告中财务资料未经审计。</w:t>
      </w:r>
    </w:p>
    <w:p w:rsidR="007D1292" w:rsidRPr="00A67563" w:rsidRDefault="007D1292" w:rsidP="006669C9">
      <w:pPr>
        <w:spacing w:line="360" w:lineRule="auto"/>
        <w:ind w:firstLineChars="200" w:firstLine="480"/>
        <w:rPr>
          <w:color w:val="000000" w:themeColor="text1"/>
          <w:sz w:val="24"/>
        </w:rPr>
      </w:pPr>
      <w:r w:rsidRPr="00A67563">
        <w:rPr>
          <w:color w:val="000000" w:themeColor="text1"/>
          <w:sz w:val="24"/>
        </w:rPr>
        <w:t>本报告期自</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w:t>
      </w:r>
      <w:r w:rsidRPr="00A67563">
        <w:rPr>
          <w:color w:val="000000" w:themeColor="text1"/>
          <w:sz w:val="24"/>
        </w:rPr>
        <w:t>日起至</w:t>
      </w:r>
      <w:r w:rsidRPr="00A67563">
        <w:rPr>
          <w:color w:val="000000" w:themeColor="text1"/>
          <w:sz w:val="24"/>
        </w:rPr>
        <w:t>12</w:t>
      </w:r>
      <w:r w:rsidRPr="00A67563">
        <w:rPr>
          <w:color w:val="000000" w:themeColor="text1"/>
          <w:sz w:val="24"/>
        </w:rPr>
        <w:t>月</w:t>
      </w:r>
      <w:r w:rsidRPr="00A67563">
        <w:rPr>
          <w:color w:val="000000" w:themeColor="text1"/>
          <w:sz w:val="24"/>
        </w:rPr>
        <w:t>31</w:t>
      </w:r>
      <w:r w:rsidRPr="00A67563">
        <w:rPr>
          <w:color w:val="000000" w:themeColor="text1"/>
          <w:sz w:val="24"/>
        </w:rPr>
        <w:t>日止。</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§2  </w:t>
      </w:r>
      <w:r w:rsidRPr="00A67563">
        <w:rPr>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67563" w:rsidTr="003376D5">
        <w:tc>
          <w:tcPr>
            <w:tcW w:w="2980" w:type="dxa"/>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基金简称</w:t>
            </w:r>
          </w:p>
        </w:tc>
        <w:tc>
          <w:tcPr>
            <w:tcW w:w="5443" w:type="dxa"/>
            <w:gridSpan w:val="2"/>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易方达黄金主题（</w:t>
            </w:r>
            <w:r w:rsidRPr="00A67563">
              <w:rPr>
                <w:color w:val="000000" w:themeColor="text1"/>
                <w:kern w:val="0"/>
                <w:sz w:val="24"/>
              </w:rPr>
              <w:t>QDII-LOF-FOF</w:t>
            </w:r>
            <w:r w:rsidRPr="00A67563">
              <w:rPr>
                <w:color w:val="000000" w:themeColor="text1"/>
                <w:kern w:val="0"/>
                <w:sz w:val="24"/>
              </w:rPr>
              <w:t>）</w:t>
            </w:r>
          </w:p>
        </w:tc>
      </w:tr>
      <w:tr w:rsidR="008277FF" w:rsidRPr="00A67563" w:rsidTr="003376D5">
        <w:tc>
          <w:tcPr>
            <w:tcW w:w="2980" w:type="dxa"/>
            <w:vAlign w:val="center"/>
          </w:tcPr>
          <w:p w:rsidR="00584F63" w:rsidRPr="00A67563" w:rsidRDefault="00584F63" w:rsidP="003376D5">
            <w:pPr>
              <w:rPr>
                <w:color w:val="000000" w:themeColor="text1"/>
                <w:sz w:val="24"/>
              </w:rPr>
            </w:pPr>
            <w:r w:rsidRPr="00A67563">
              <w:rPr>
                <w:color w:val="000000" w:themeColor="text1"/>
                <w:sz w:val="24"/>
              </w:rPr>
              <w:t>场内简称</w:t>
            </w:r>
          </w:p>
        </w:tc>
        <w:tc>
          <w:tcPr>
            <w:tcW w:w="5443" w:type="dxa"/>
            <w:gridSpan w:val="2"/>
            <w:vAlign w:val="center"/>
          </w:tcPr>
          <w:p w:rsidR="00584F63" w:rsidRPr="00A67563" w:rsidRDefault="00584F63" w:rsidP="003376D5">
            <w:pPr>
              <w:rPr>
                <w:color w:val="000000" w:themeColor="text1"/>
                <w:sz w:val="24"/>
              </w:rPr>
            </w:pPr>
            <w:r w:rsidRPr="00A67563">
              <w:rPr>
                <w:color w:val="000000" w:themeColor="text1"/>
                <w:sz w:val="24"/>
              </w:rPr>
              <w:t>易基黄金</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基金主代码</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161116</w:t>
            </w:r>
          </w:p>
        </w:tc>
      </w:tr>
      <w:tr w:rsidR="008277FF" w:rsidRPr="00A67563" w:rsidTr="003376D5">
        <w:tc>
          <w:tcPr>
            <w:tcW w:w="2980" w:type="dxa"/>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交易代码</w:t>
            </w:r>
          </w:p>
        </w:tc>
        <w:tc>
          <w:tcPr>
            <w:tcW w:w="5443" w:type="dxa"/>
            <w:gridSpan w:val="2"/>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161116</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基金运作方式</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契约型、上市开放式（</w:t>
            </w:r>
            <w:r w:rsidRPr="00A67563">
              <w:rPr>
                <w:color w:val="000000" w:themeColor="text1"/>
                <w:kern w:val="0"/>
                <w:sz w:val="24"/>
              </w:rPr>
              <w:t>LOF</w:t>
            </w:r>
            <w:r w:rsidRPr="00A67563">
              <w:rPr>
                <w:color w:val="000000" w:themeColor="text1"/>
                <w:kern w:val="0"/>
                <w:sz w:val="24"/>
              </w:rPr>
              <w:t>）</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基金合同生效日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2011</w:t>
            </w:r>
            <w:r w:rsidRPr="00A67563">
              <w:rPr>
                <w:color w:val="000000" w:themeColor="text1"/>
                <w:kern w:val="0"/>
                <w:sz w:val="24"/>
              </w:rPr>
              <w:t>年</w:t>
            </w:r>
            <w:r w:rsidRPr="00A67563">
              <w:rPr>
                <w:color w:val="000000" w:themeColor="text1"/>
                <w:kern w:val="0"/>
                <w:sz w:val="24"/>
              </w:rPr>
              <w:t>5</w:t>
            </w:r>
            <w:r w:rsidRPr="00A67563">
              <w:rPr>
                <w:color w:val="000000" w:themeColor="text1"/>
                <w:kern w:val="0"/>
                <w:sz w:val="24"/>
              </w:rPr>
              <w:t>月</w:t>
            </w:r>
            <w:r w:rsidRPr="00A67563">
              <w:rPr>
                <w:color w:val="000000" w:themeColor="text1"/>
                <w:kern w:val="0"/>
                <w:sz w:val="24"/>
              </w:rPr>
              <w:t>6</w:t>
            </w:r>
            <w:r w:rsidRPr="00A67563">
              <w:rPr>
                <w:color w:val="000000" w:themeColor="text1"/>
                <w:kern w:val="0"/>
                <w:sz w:val="24"/>
              </w:rPr>
              <w:t>日</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报告期末基金份额总额</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429,157,206.13</w:t>
            </w:r>
            <w:r w:rsidRPr="00A67563">
              <w:rPr>
                <w:color w:val="000000" w:themeColor="text1"/>
                <w:kern w:val="0"/>
                <w:sz w:val="24"/>
              </w:rPr>
              <w:t>份</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投资目标</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本基金追求基金资产的长期稳定增值。</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投资策略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本基金主要通过对国际黄金价格中长期趋势的判断，深入研究黄金价格趋势、黄金采掘企业盈利和估值水平变化，以及考察其他品种的风险收益特征的基础上，进行黄金</w:t>
            </w:r>
            <w:r w:rsidRPr="00A67563">
              <w:rPr>
                <w:color w:val="000000" w:themeColor="text1"/>
                <w:kern w:val="0"/>
                <w:sz w:val="24"/>
              </w:rPr>
              <w:t>ETF</w:t>
            </w:r>
            <w:r w:rsidRPr="00A67563">
              <w:rPr>
                <w:color w:val="000000" w:themeColor="text1"/>
                <w:kern w:val="0"/>
                <w:sz w:val="24"/>
              </w:rPr>
              <w:t>、黄金股票类资产以及其他资产的比例配置，并不断进行组合的优化。</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lastRenderedPageBreak/>
              <w:t>业绩比较基准</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以伦敦黄金市场下午定盘价计价的国际现货黄金（经汇率折算）</w:t>
            </w:r>
            <w:r w:rsidRPr="00A67563">
              <w:rPr>
                <w:color w:val="000000" w:themeColor="text1"/>
                <w:kern w:val="0"/>
                <w:sz w:val="24"/>
              </w:rPr>
              <w:t>×50%+MSCI</w:t>
            </w:r>
            <w:r w:rsidRPr="00A67563">
              <w:rPr>
                <w:color w:val="000000" w:themeColor="text1"/>
                <w:kern w:val="0"/>
                <w:sz w:val="24"/>
              </w:rPr>
              <w:t>全球金矿股指数（</w:t>
            </w:r>
            <w:r w:rsidRPr="00A67563">
              <w:rPr>
                <w:color w:val="000000" w:themeColor="text1"/>
                <w:kern w:val="0"/>
                <w:sz w:val="24"/>
              </w:rPr>
              <w:t>MSCI ACWI SELECT GOLD MINERS IMI INDEX</w:t>
            </w:r>
            <w:r w:rsidRPr="00A67563">
              <w:rPr>
                <w:color w:val="000000" w:themeColor="text1"/>
                <w:kern w:val="0"/>
                <w:sz w:val="24"/>
              </w:rPr>
              <w:t>）</w:t>
            </w:r>
            <w:r w:rsidRPr="00A67563">
              <w:rPr>
                <w:color w:val="000000" w:themeColor="text1"/>
                <w:kern w:val="0"/>
                <w:sz w:val="24"/>
              </w:rPr>
              <w:t>×50%</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风险收益特征</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管理人根据对黄金价格走势的判断，在黄金基金、黄金采掘公司股票及其他资产之间进行主动配置。本基金的表现与黄金价格相关性较高，本基金是预期收益与预期风险较高的基金品种。此外，本基金主要投资海外，存在汇率风险。</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基金管理人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易方达基金管理有限公司</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基金托管人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中国农业银行股份有限公司</w:t>
            </w:r>
          </w:p>
        </w:tc>
      </w:tr>
      <w:tr w:rsidR="007F4CD3" w:rsidRPr="00A67563" w:rsidTr="003376D5">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境外投资顾问</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sidR="00801249">
              <w:rPr>
                <w:rFonts w:hint="eastAsia"/>
                <w:color w:val="000000" w:themeColor="text1"/>
                <w:kern w:val="0"/>
                <w:sz w:val="24"/>
              </w:rPr>
              <w:t>：</w:t>
            </w:r>
            <w:r w:rsidRPr="00A67563">
              <w:rPr>
                <w:color w:val="000000" w:themeColor="text1"/>
                <w:kern w:val="0"/>
                <w:sz w:val="24"/>
              </w:rPr>
              <w:t>无</w:t>
            </w:r>
          </w:p>
        </w:tc>
      </w:tr>
      <w:tr w:rsidR="007F4CD3" w:rsidRPr="00A67563" w:rsidTr="003376D5">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Pr>
                <w:rFonts w:hint="eastAsia"/>
                <w:color w:val="000000" w:themeColor="text1"/>
                <w:kern w:val="0"/>
                <w:sz w:val="24"/>
              </w:rPr>
              <w:t>中文</w:t>
            </w:r>
            <w:r>
              <w:rPr>
                <w:color w:val="000000" w:themeColor="text1"/>
                <w:kern w:val="0"/>
                <w:sz w:val="24"/>
              </w:rPr>
              <w:t>名称</w:t>
            </w:r>
            <w:r>
              <w:rPr>
                <w:rFonts w:hint="eastAsia"/>
                <w:color w:val="000000" w:themeColor="text1"/>
                <w:kern w:val="0"/>
                <w:sz w:val="24"/>
              </w:rPr>
              <w:t>：</w:t>
            </w:r>
            <w:r w:rsidRPr="00A67563">
              <w:rPr>
                <w:color w:val="000000" w:themeColor="text1"/>
                <w:kern w:val="0"/>
                <w:sz w:val="24"/>
              </w:rPr>
              <w:t>无</w:t>
            </w:r>
          </w:p>
        </w:tc>
      </w:tr>
      <w:tr w:rsidR="007F4CD3" w:rsidRPr="00A67563" w:rsidTr="0031104D">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境外资产托管人</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Pr>
                <w:rFonts w:hint="eastAsia"/>
                <w:color w:val="000000" w:themeColor="text1"/>
                <w:kern w:val="0"/>
                <w:sz w:val="24"/>
              </w:rPr>
              <w:t>：</w:t>
            </w:r>
            <w:r w:rsidRPr="00A67563">
              <w:rPr>
                <w:color w:val="000000" w:themeColor="text1"/>
                <w:kern w:val="0"/>
                <w:sz w:val="24"/>
              </w:rPr>
              <w:t>The Hongkong and Shanghai Banking Corporation Limited</w:t>
            </w:r>
          </w:p>
        </w:tc>
      </w:tr>
      <w:tr w:rsidR="007F4CD3" w:rsidRPr="00A67563" w:rsidTr="0031104D">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中文名称</w:t>
            </w:r>
            <w:r>
              <w:rPr>
                <w:rFonts w:hint="eastAsia"/>
                <w:color w:val="000000" w:themeColor="text1"/>
                <w:kern w:val="0"/>
                <w:sz w:val="24"/>
              </w:rPr>
              <w:t>：</w:t>
            </w:r>
            <w:r w:rsidRPr="00A67563">
              <w:rPr>
                <w:color w:val="000000" w:themeColor="text1"/>
                <w:kern w:val="0"/>
                <w:sz w:val="24"/>
              </w:rPr>
              <w:t>香港上海汇丰银行有限公司</w:t>
            </w:r>
          </w:p>
        </w:tc>
      </w:tr>
      <w:tr w:rsidR="00070DD6" w:rsidRPr="00A67563" w:rsidTr="00845292">
        <w:tblPrEx>
          <w:tblLook w:val="0000" w:firstRow="0" w:lastRow="0" w:firstColumn="0" w:lastColumn="0" w:noHBand="0" w:noVBand="0"/>
        </w:tblPrEx>
        <w:trPr>
          <w:trHeight w:val="866"/>
        </w:trPr>
        <w:tc>
          <w:tcPr>
            <w:tcW w:w="2980" w:type="dxa"/>
          </w:tcPr>
          <w:p w:rsidR="00070DD6" w:rsidRPr="00A67563" w:rsidRDefault="00070DD6" w:rsidP="00845292">
            <w:pPr>
              <w:adjustRightInd w:val="0"/>
              <w:spacing w:before="29" w:line="360" w:lineRule="auto"/>
              <w:ind w:left="17"/>
              <w:jc w:val="left"/>
              <w:rPr>
                <w:color w:val="000000" w:themeColor="text1"/>
                <w:kern w:val="0"/>
                <w:sz w:val="24"/>
              </w:rPr>
            </w:pPr>
            <w:r w:rsidRPr="00A67563">
              <w:rPr>
                <w:color w:val="000000" w:themeColor="text1"/>
                <w:sz w:val="24"/>
              </w:rPr>
              <w:t>下属分级基金的基金简称</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070DD6" w:rsidRPr="00A67563" w:rsidTr="00845292">
        <w:tblPrEx>
          <w:tblLook w:val="0000" w:firstRow="0" w:lastRow="0" w:firstColumn="0" w:lastColumn="0" w:noHBand="0" w:noVBand="0"/>
        </w:tblPrEx>
        <w:trPr>
          <w:trHeight w:val="628"/>
        </w:trPr>
        <w:tc>
          <w:tcPr>
            <w:tcW w:w="2980" w:type="dxa"/>
          </w:tcPr>
          <w:p w:rsidR="00070DD6" w:rsidRPr="00A67563" w:rsidRDefault="00070DD6" w:rsidP="00845292">
            <w:pPr>
              <w:adjustRightInd w:val="0"/>
              <w:spacing w:before="29" w:line="360" w:lineRule="auto"/>
              <w:ind w:left="17"/>
              <w:jc w:val="left"/>
              <w:rPr>
                <w:color w:val="000000" w:themeColor="text1"/>
                <w:sz w:val="24"/>
              </w:rPr>
            </w:pPr>
            <w:r w:rsidRPr="00A67563">
              <w:rPr>
                <w:color w:val="000000" w:themeColor="text1"/>
                <w:sz w:val="24"/>
              </w:rPr>
              <w:t>下属分级基金的交易代码</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161116</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007976</w:t>
            </w:r>
          </w:p>
        </w:tc>
      </w:tr>
      <w:tr w:rsidR="00322A5E" w:rsidRPr="00A67563" w:rsidTr="0031104D">
        <w:tblPrEx>
          <w:tblLook w:val="0000" w:firstRow="0" w:lastRow="0" w:firstColumn="0" w:lastColumn="0" w:noHBand="0" w:noVBand="0"/>
        </w:tblPrEx>
        <w:trPr>
          <w:trHeight w:val="555"/>
        </w:trPr>
        <w:tc>
          <w:tcPr>
            <w:tcW w:w="2980" w:type="dxa"/>
            <w:vAlign w:val="center"/>
          </w:tcPr>
          <w:p w:rsidR="00322A5E" w:rsidRPr="00A67563" w:rsidRDefault="00322A5E" w:rsidP="00845292">
            <w:pPr>
              <w:adjustRightInd w:val="0"/>
              <w:spacing w:before="29" w:line="360" w:lineRule="auto"/>
              <w:ind w:left="17"/>
              <w:rPr>
                <w:color w:val="000000" w:themeColor="text1"/>
                <w:sz w:val="24"/>
              </w:rPr>
            </w:pPr>
            <w:r w:rsidRPr="00A67563">
              <w:rPr>
                <w:color w:val="000000" w:themeColor="text1"/>
                <w:sz w:val="24"/>
              </w:rPr>
              <w:t>报告期末下属分级基金的份额总额</w:t>
            </w:r>
          </w:p>
        </w:tc>
        <w:tc>
          <w:tcPr>
            <w:tcW w:w="2780" w:type="dxa"/>
            <w:vAlign w:val="center"/>
          </w:tcPr>
          <w:p w:rsidR="00322A5E" w:rsidRPr="00A67563" w:rsidRDefault="00322A5E" w:rsidP="00845292">
            <w:pPr>
              <w:rPr>
                <w:color w:val="000000" w:themeColor="text1"/>
                <w:sz w:val="24"/>
              </w:rPr>
            </w:pPr>
            <w:r w:rsidRPr="00A67563">
              <w:rPr>
                <w:color w:val="000000" w:themeColor="text1"/>
                <w:sz w:val="24"/>
              </w:rPr>
              <w:t>428,703,387.26</w:t>
            </w:r>
            <w:r w:rsidRPr="00A67563">
              <w:rPr>
                <w:color w:val="000000" w:themeColor="text1"/>
                <w:kern w:val="0"/>
                <w:sz w:val="24"/>
              </w:rPr>
              <w:t>份</w:t>
            </w:r>
          </w:p>
        </w:tc>
        <w:tc>
          <w:tcPr>
            <w:tcW w:w="2663" w:type="dxa"/>
            <w:vAlign w:val="center"/>
          </w:tcPr>
          <w:p w:rsidR="00322A5E" w:rsidRPr="00A67563" w:rsidRDefault="00322A5E" w:rsidP="00845292">
            <w:pPr>
              <w:rPr>
                <w:color w:val="000000" w:themeColor="text1"/>
                <w:sz w:val="24"/>
              </w:rPr>
            </w:pPr>
            <w:r w:rsidRPr="00A67563">
              <w:rPr>
                <w:color w:val="000000" w:themeColor="text1"/>
                <w:sz w:val="24"/>
              </w:rPr>
              <w:t>453,818.87</w:t>
            </w:r>
            <w:r w:rsidRPr="00A67563">
              <w:rPr>
                <w:color w:val="000000" w:themeColor="text1"/>
                <w:kern w:val="0"/>
                <w:sz w:val="24"/>
              </w:rPr>
              <w:t>份</w:t>
            </w:r>
          </w:p>
        </w:tc>
      </w:tr>
    </w:tbl>
    <w:p w:rsidR="00CF3555" w:rsidRDefault="00EA4BDD">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根据</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10</w:t>
      </w:r>
      <w:r>
        <w:rPr>
          <w:color w:val="000000" w:themeColor="text1"/>
          <w:sz w:val="24"/>
        </w:rPr>
        <w:t>日发布的《易方达基金管理有限公司关于易方达黄金主题证券投资基金（</w:t>
      </w:r>
      <w:r>
        <w:rPr>
          <w:color w:val="000000" w:themeColor="text1"/>
          <w:sz w:val="24"/>
        </w:rPr>
        <w:t>LOF</w:t>
      </w:r>
      <w:r>
        <w:rPr>
          <w:color w:val="000000" w:themeColor="text1"/>
          <w:sz w:val="24"/>
        </w:rPr>
        <w:t>）增设基金份额、修改业绩比较基准并修订基金合同、托管协议部分条款的公告》，经与基金托管人协商一致并报中国证监会备案，易方达基金管理有限公司对易方达黄金主题证券投资基金（</w:t>
      </w:r>
      <w:r>
        <w:rPr>
          <w:color w:val="000000" w:themeColor="text1"/>
          <w:sz w:val="24"/>
        </w:rPr>
        <w:t>LOF</w:t>
      </w:r>
      <w:r>
        <w:rPr>
          <w:color w:val="000000" w:themeColor="text1"/>
          <w:sz w:val="24"/>
        </w:rPr>
        <w:t>）增设了基金份额，并对基金业绩比较基准进行了修改。易方达黄金主题证券投资基金（</w:t>
      </w:r>
      <w:r>
        <w:rPr>
          <w:color w:val="000000" w:themeColor="text1"/>
          <w:sz w:val="24"/>
        </w:rPr>
        <w:t>LOF</w:t>
      </w:r>
      <w:r>
        <w:rPr>
          <w:color w:val="000000" w:themeColor="text1"/>
          <w:sz w:val="24"/>
        </w:rPr>
        <w:t>）增设基金份额，并对基金业绩比较基准进行修改事宜，以及基金合同、托管协议的修订自</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11</w:t>
      </w:r>
      <w:r>
        <w:rPr>
          <w:color w:val="000000" w:themeColor="text1"/>
          <w:sz w:val="24"/>
        </w:rPr>
        <w:t>日起生效，具体详见公告。</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 xml:space="preserve">2. </w:t>
      </w:r>
      <w:r w:rsidRPr="00A67563">
        <w:rPr>
          <w:color w:val="000000" w:themeColor="text1"/>
          <w:sz w:val="24"/>
        </w:rPr>
        <w:t>本基金</w:t>
      </w:r>
      <w:r w:rsidRPr="00A67563">
        <w:rPr>
          <w:color w:val="000000" w:themeColor="text1"/>
          <w:sz w:val="24"/>
        </w:rPr>
        <w:t>A</w:t>
      </w:r>
      <w:r w:rsidRPr="00A67563">
        <w:rPr>
          <w:color w:val="000000" w:themeColor="text1"/>
          <w:sz w:val="24"/>
        </w:rPr>
        <w:t>类人民币份额由原易方达黄金主题（</w:t>
      </w:r>
      <w:r w:rsidRPr="00A67563">
        <w:rPr>
          <w:color w:val="000000" w:themeColor="text1"/>
          <w:sz w:val="24"/>
        </w:rPr>
        <w:t>QDII-LOF-FOF</w:t>
      </w:r>
      <w:r w:rsidRPr="00A67563">
        <w:rPr>
          <w:color w:val="000000" w:themeColor="text1"/>
          <w:sz w:val="24"/>
        </w:rPr>
        <w:t>）变更而来，并于</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11</w:t>
      </w:r>
      <w:r w:rsidRPr="00A67563">
        <w:rPr>
          <w:color w:val="000000" w:themeColor="text1"/>
          <w:sz w:val="24"/>
        </w:rPr>
        <w:t>日起增设</w:t>
      </w:r>
      <w:r w:rsidRPr="00A67563">
        <w:rPr>
          <w:color w:val="000000" w:themeColor="text1"/>
          <w:sz w:val="24"/>
        </w:rPr>
        <w:t>A</w:t>
      </w:r>
      <w:r w:rsidRPr="00A67563">
        <w:rPr>
          <w:color w:val="000000" w:themeColor="text1"/>
          <w:sz w:val="24"/>
        </w:rPr>
        <w:t>类美元份额、</w:t>
      </w:r>
      <w:r w:rsidRPr="00A67563">
        <w:rPr>
          <w:color w:val="000000" w:themeColor="text1"/>
          <w:sz w:val="24"/>
        </w:rPr>
        <w:t>C</w:t>
      </w:r>
      <w:r w:rsidRPr="00A67563">
        <w:rPr>
          <w:color w:val="000000" w:themeColor="text1"/>
          <w:sz w:val="24"/>
        </w:rPr>
        <w:t>类人民币份额及</w:t>
      </w:r>
      <w:r w:rsidRPr="00A67563">
        <w:rPr>
          <w:color w:val="000000" w:themeColor="text1"/>
          <w:sz w:val="24"/>
        </w:rPr>
        <w:t>C</w:t>
      </w:r>
      <w:r w:rsidRPr="00A67563">
        <w:rPr>
          <w:color w:val="000000" w:themeColor="text1"/>
          <w:sz w:val="24"/>
        </w:rPr>
        <w:t>类美元份额，份额首次确认日为</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14</w:t>
      </w:r>
      <w:r w:rsidRPr="00A67563">
        <w:rPr>
          <w:color w:val="000000" w:themeColor="text1"/>
          <w:sz w:val="24"/>
        </w:rPr>
        <w:t>日。易方达黄金主题（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含</w:t>
      </w:r>
      <w:r w:rsidRPr="00A67563">
        <w:rPr>
          <w:color w:val="000000" w:themeColor="text1"/>
          <w:sz w:val="24"/>
        </w:rPr>
        <w:t>A</w:t>
      </w:r>
      <w:r w:rsidRPr="00A67563">
        <w:rPr>
          <w:color w:val="000000" w:themeColor="text1"/>
          <w:sz w:val="24"/>
        </w:rPr>
        <w:t>类人民币份额（份额代码：</w:t>
      </w:r>
      <w:r w:rsidRPr="00A67563">
        <w:rPr>
          <w:color w:val="000000" w:themeColor="text1"/>
          <w:sz w:val="24"/>
        </w:rPr>
        <w:t>161116</w:t>
      </w:r>
      <w:r w:rsidRPr="00A67563">
        <w:rPr>
          <w:color w:val="000000" w:themeColor="text1"/>
          <w:sz w:val="24"/>
        </w:rPr>
        <w:t>）及</w:t>
      </w:r>
      <w:r w:rsidRPr="00A67563">
        <w:rPr>
          <w:color w:val="000000" w:themeColor="text1"/>
          <w:sz w:val="24"/>
        </w:rPr>
        <w:t>A</w:t>
      </w:r>
      <w:r w:rsidRPr="00A67563">
        <w:rPr>
          <w:color w:val="000000" w:themeColor="text1"/>
          <w:sz w:val="24"/>
        </w:rPr>
        <w:t>类美元现汇份额（份额代码：</w:t>
      </w:r>
      <w:r w:rsidRPr="00A67563">
        <w:rPr>
          <w:color w:val="000000" w:themeColor="text1"/>
          <w:sz w:val="24"/>
        </w:rPr>
        <w:t>007977</w:t>
      </w:r>
      <w:r w:rsidRPr="00A67563">
        <w:rPr>
          <w:color w:val="000000" w:themeColor="text1"/>
          <w:sz w:val="24"/>
        </w:rPr>
        <w:t>），交易代码仅列示</w:t>
      </w:r>
      <w:r w:rsidRPr="00A67563">
        <w:rPr>
          <w:color w:val="000000" w:themeColor="text1"/>
          <w:sz w:val="24"/>
        </w:rPr>
        <w:t>A</w:t>
      </w:r>
      <w:r w:rsidRPr="00A67563">
        <w:rPr>
          <w:color w:val="000000" w:themeColor="text1"/>
          <w:sz w:val="24"/>
        </w:rPr>
        <w:t>类人民币份额代码；易方达黄金主题（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含</w:t>
      </w:r>
      <w:r w:rsidRPr="00A67563">
        <w:rPr>
          <w:color w:val="000000" w:themeColor="text1"/>
          <w:sz w:val="24"/>
        </w:rPr>
        <w:t>C</w:t>
      </w:r>
      <w:r w:rsidRPr="00A67563">
        <w:rPr>
          <w:color w:val="000000" w:themeColor="text1"/>
          <w:sz w:val="24"/>
        </w:rPr>
        <w:t>类人民币份额（份额代码：</w:t>
      </w:r>
      <w:r w:rsidRPr="00A67563">
        <w:rPr>
          <w:color w:val="000000" w:themeColor="text1"/>
          <w:sz w:val="24"/>
        </w:rPr>
        <w:t>007976</w:t>
      </w:r>
      <w:r w:rsidRPr="00A67563">
        <w:rPr>
          <w:color w:val="000000" w:themeColor="text1"/>
          <w:sz w:val="24"/>
        </w:rPr>
        <w:t>）及</w:t>
      </w:r>
      <w:r w:rsidRPr="00A67563">
        <w:rPr>
          <w:color w:val="000000" w:themeColor="text1"/>
          <w:sz w:val="24"/>
        </w:rPr>
        <w:t>C</w:t>
      </w:r>
      <w:r w:rsidRPr="00A67563">
        <w:rPr>
          <w:color w:val="000000" w:themeColor="text1"/>
          <w:sz w:val="24"/>
        </w:rPr>
        <w:t>类美元现汇份额（份额代码：</w:t>
      </w:r>
      <w:r w:rsidRPr="00A67563">
        <w:rPr>
          <w:color w:val="000000" w:themeColor="text1"/>
          <w:sz w:val="24"/>
        </w:rPr>
        <w:t>007978</w:t>
      </w:r>
      <w:r w:rsidRPr="00A67563">
        <w:rPr>
          <w:color w:val="000000" w:themeColor="text1"/>
          <w:sz w:val="24"/>
        </w:rPr>
        <w:t>），交易代码仅列示</w:t>
      </w:r>
      <w:r w:rsidRPr="00A67563">
        <w:rPr>
          <w:color w:val="000000" w:themeColor="text1"/>
          <w:sz w:val="24"/>
        </w:rPr>
        <w:t>C</w:t>
      </w:r>
      <w:r w:rsidRPr="00A67563">
        <w:rPr>
          <w:color w:val="000000" w:themeColor="text1"/>
          <w:sz w:val="24"/>
        </w:rPr>
        <w:t>类人民币份额代码。</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§3  </w:t>
      </w:r>
      <w:r w:rsidRPr="00A67563">
        <w:rPr>
          <w:color w:val="000000" w:themeColor="text1"/>
          <w:kern w:val="0"/>
          <w:sz w:val="24"/>
          <w:szCs w:val="24"/>
        </w:rPr>
        <w:t>主要财务指标和基金净值表现</w:t>
      </w:r>
    </w:p>
    <w:p w:rsidR="0076518F" w:rsidRPr="00A67563" w:rsidRDefault="0076518F" w:rsidP="00506D57">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3.1 </w:t>
      </w:r>
      <w:r w:rsidRPr="00A67563">
        <w:rPr>
          <w:b/>
          <w:color w:val="000000" w:themeColor="text1"/>
          <w:kern w:val="0"/>
          <w:sz w:val="24"/>
        </w:rPr>
        <w:t>主要财务指标</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67563" w:rsidTr="00845292">
        <w:tc>
          <w:tcPr>
            <w:tcW w:w="3402" w:type="dxa"/>
            <w:vMerge w:val="restart"/>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主要财务指标</w:t>
            </w:r>
          </w:p>
        </w:tc>
        <w:tc>
          <w:tcPr>
            <w:tcW w:w="4962" w:type="dxa"/>
            <w:gridSpan w:val="2"/>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报告期</w:t>
            </w:r>
          </w:p>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w:t>
            </w:r>
            <w:r w:rsidRPr="00A67563">
              <w:rPr>
                <w:color w:val="000000" w:themeColor="text1"/>
                <w:sz w:val="24"/>
              </w:rPr>
              <w:t>日</w:t>
            </w:r>
            <w:r w:rsidRPr="00A67563">
              <w:rPr>
                <w:color w:val="000000" w:themeColor="text1"/>
                <w:sz w:val="24"/>
              </w:rPr>
              <w:t>-2019</w:t>
            </w:r>
            <w:r w:rsidRPr="00A67563">
              <w:rPr>
                <w:color w:val="000000" w:themeColor="text1"/>
                <w:sz w:val="24"/>
              </w:rPr>
              <w:t>年</w:t>
            </w:r>
            <w:r w:rsidRPr="00A67563">
              <w:rPr>
                <w:color w:val="000000" w:themeColor="text1"/>
                <w:sz w:val="24"/>
              </w:rPr>
              <w:t>12</w:t>
            </w:r>
            <w:r w:rsidRPr="00A67563">
              <w:rPr>
                <w:color w:val="000000" w:themeColor="text1"/>
                <w:sz w:val="24"/>
              </w:rPr>
              <w:t>月</w:t>
            </w:r>
            <w:r w:rsidRPr="00A67563">
              <w:rPr>
                <w:color w:val="000000" w:themeColor="text1"/>
                <w:sz w:val="24"/>
              </w:rPr>
              <w:t>31</w:t>
            </w:r>
            <w:r w:rsidRPr="00A67563">
              <w:rPr>
                <w:color w:val="000000" w:themeColor="text1"/>
                <w:sz w:val="24"/>
              </w:rPr>
              <w:t>日</w:t>
            </w:r>
            <w:r w:rsidRPr="00A67563">
              <w:rPr>
                <w:color w:val="000000" w:themeColor="text1"/>
                <w:sz w:val="24"/>
              </w:rPr>
              <w:t>)</w:t>
            </w:r>
          </w:p>
        </w:tc>
      </w:tr>
      <w:tr w:rsidR="00225051" w:rsidRPr="00A67563" w:rsidTr="00845292">
        <w:tc>
          <w:tcPr>
            <w:tcW w:w="3402" w:type="dxa"/>
            <w:vMerge/>
            <w:vAlign w:val="center"/>
          </w:tcPr>
          <w:p w:rsidR="00225051" w:rsidRPr="00A67563" w:rsidRDefault="00225051" w:rsidP="00845292">
            <w:pPr>
              <w:adjustRightInd w:val="0"/>
              <w:spacing w:before="29" w:line="360" w:lineRule="auto"/>
              <w:ind w:left="17"/>
              <w:rPr>
                <w:color w:val="000000" w:themeColor="text1"/>
                <w:kern w:val="0"/>
                <w:sz w:val="24"/>
              </w:rPr>
            </w:pP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1.</w:t>
            </w:r>
            <w:r w:rsidRPr="00A67563">
              <w:rPr>
                <w:color w:val="000000" w:themeColor="text1"/>
                <w:kern w:val="0"/>
                <w:sz w:val="24"/>
              </w:rPr>
              <w:t>本期已实现收益</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7,088,453.26</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7,519.44</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2.</w:t>
            </w:r>
            <w:r w:rsidRPr="00A67563">
              <w:rPr>
                <w:color w:val="000000" w:themeColor="text1"/>
                <w:kern w:val="0"/>
                <w:sz w:val="24"/>
              </w:rPr>
              <w:t>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23,619,581.66</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27,451.75</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3.</w:t>
            </w:r>
            <w:r w:rsidRPr="00A67563">
              <w:rPr>
                <w:color w:val="000000" w:themeColor="text1"/>
                <w:kern w:val="0"/>
                <w:sz w:val="24"/>
              </w:rPr>
              <w:t>加权平均基金份额本期利润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0.0507</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0.0899</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4.</w:t>
            </w:r>
            <w:r w:rsidRPr="00A67563">
              <w:rPr>
                <w:color w:val="000000" w:themeColor="text1"/>
                <w:kern w:val="0"/>
                <w:sz w:val="24"/>
              </w:rPr>
              <w:t>期末基金资产净值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366,451,209.79</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388,204.44</w:t>
            </w:r>
          </w:p>
        </w:tc>
      </w:tr>
      <w:tr w:rsidR="00225051" w:rsidRPr="00A67563" w:rsidTr="00845292">
        <w:trPr>
          <w:trHeight w:val="158"/>
        </w:trPr>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5.</w:t>
            </w:r>
            <w:r w:rsidRPr="00A67563">
              <w:rPr>
                <w:color w:val="000000" w:themeColor="text1"/>
                <w:kern w:val="0"/>
                <w:sz w:val="24"/>
              </w:rPr>
              <w:t>期末基金份额净值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0.855</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0.855</w:t>
            </w:r>
          </w:p>
        </w:tc>
      </w:tr>
    </w:tbl>
    <w:p w:rsidR="00CF3555" w:rsidRDefault="00EA4BDD">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所述基金业绩指标不包括持有人认购或交易基金的各项费用，计入费用后实际收益水平要低于所列数字。</w:t>
      </w:r>
    </w:p>
    <w:p w:rsidR="00CF3555" w:rsidRDefault="00EA4BDD">
      <w:pPr>
        <w:autoSpaceDE w:val="0"/>
        <w:autoSpaceDN w:val="0"/>
        <w:adjustRightIn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本期已实现收益指基金本期利息收入、投资收益、其他收入（不含公允价值变动收益）扣除相关费用后的余额，本期利润为本期已实现收益加上本期公允价值变动收益。</w:t>
      </w:r>
    </w:p>
    <w:p w:rsidR="007D1292" w:rsidRPr="00A67563" w:rsidRDefault="007D1292"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3.</w:t>
      </w:r>
      <w:r w:rsidRPr="00A67563">
        <w:rPr>
          <w:color w:val="000000" w:themeColor="text1"/>
          <w:sz w:val="24"/>
        </w:rPr>
        <w:t>自</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11</w:t>
      </w:r>
      <w:r w:rsidRPr="00A67563">
        <w:rPr>
          <w:color w:val="000000" w:themeColor="text1"/>
          <w:sz w:val="24"/>
        </w:rPr>
        <w:t>日起，本基金增设</w:t>
      </w:r>
      <w:r w:rsidRPr="00A67563">
        <w:rPr>
          <w:color w:val="000000" w:themeColor="text1"/>
          <w:sz w:val="24"/>
        </w:rPr>
        <w:t>C</w:t>
      </w:r>
      <w:r w:rsidRPr="00A67563">
        <w:rPr>
          <w:color w:val="000000" w:themeColor="text1"/>
          <w:sz w:val="24"/>
        </w:rPr>
        <w:t>类份额类别，份额首次确认日为</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14</w:t>
      </w:r>
      <w:r w:rsidRPr="00A67563">
        <w:rPr>
          <w:color w:val="000000" w:themeColor="text1"/>
          <w:sz w:val="24"/>
        </w:rPr>
        <w:t>日，增设当期的相关数据和指标按实际存续期计算。</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3.2 </w:t>
      </w:r>
      <w:r w:rsidRPr="00A67563">
        <w:rPr>
          <w:b/>
          <w:color w:val="000000" w:themeColor="text1"/>
          <w:kern w:val="0"/>
          <w:sz w:val="24"/>
        </w:rPr>
        <w:t>基金净值表现</w:t>
      </w:r>
    </w:p>
    <w:p w:rsidR="0076518F" w:rsidRPr="00A67563" w:rsidRDefault="0076518F" w:rsidP="00EC4BA3">
      <w:pPr>
        <w:autoSpaceDE w:val="0"/>
        <w:autoSpaceDN w:val="0"/>
        <w:adjustRightInd w:val="0"/>
        <w:spacing w:line="360" w:lineRule="auto"/>
        <w:jc w:val="left"/>
        <w:rPr>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67563">
          <w:rPr>
            <w:b/>
            <w:color w:val="000000" w:themeColor="text1"/>
            <w:kern w:val="0"/>
            <w:sz w:val="24"/>
          </w:rPr>
          <w:t>3.2.1</w:t>
        </w:r>
      </w:smartTag>
      <w:r w:rsidRPr="00A67563">
        <w:rPr>
          <w:b/>
          <w:color w:val="000000" w:themeColor="text1"/>
          <w:kern w:val="0"/>
          <w:sz w:val="24"/>
        </w:rPr>
        <w:t>本报告期基金份额净值增长率及其与同期业绩比较基准收益率的比较</w:t>
      </w:r>
    </w:p>
    <w:p w:rsidR="0065601A" w:rsidRPr="00A67563" w:rsidRDefault="0065601A" w:rsidP="0065601A">
      <w:pPr>
        <w:spacing w:line="360" w:lineRule="auto"/>
        <w:rPr>
          <w:b/>
          <w:color w:val="000000" w:themeColor="text1"/>
          <w:sz w:val="24"/>
        </w:rPr>
      </w:pPr>
      <w:r w:rsidRPr="00A67563">
        <w:rPr>
          <w:b/>
          <w:color w:val="000000" w:themeColor="text1"/>
          <w:sz w:val="24"/>
        </w:rPr>
        <w:t>1</w:t>
      </w:r>
      <w:r w:rsidRPr="00A67563">
        <w:rPr>
          <w:b/>
          <w:color w:val="000000" w:themeColor="text1"/>
          <w:sz w:val="24"/>
        </w:rPr>
        <w:t>、</w:t>
      </w:r>
      <w:r w:rsidRPr="00A67563">
        <w:rPr>
          <w:b/>
          <w:color w:val="000000" w:themeColor="text1"/>
          <w:kern w:val="0"/>
          <w:sz w:val="24"/>
        </w:rPr>
        <w:t>易方达黄金主题（</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A</w:t>
      </w:r>
      <w:r w:rsidRPr="00A67563">
        <w:rPr>
          <w:b/>
          <w:color w:val="000000" w:themeColor="text1"/>
          <w:sz w:val="24"/>
        </w:rPr>
        <w:t>：</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CF3555">
        <w:tc>
          <w:tcPr>
            <w:tcW w:w="0" w:type="auto"/>
            <w:vAlign w:val="center"/>
          </w:tcPr>
          <w:p w:rsidR="00CF3555" w:rsidRDefault="00EA4BDD">
            <w:pPr>
              <w:jc w:val="left"/>
            </w:pPr>
            <w:r>
              <w:rPr>
                <w:color w:val="000000" w:themeColor="text1"/>
                <w:sz w:val="24"/>
              </w:rPr>
              <w:t>过去三个月</w:t>
            </w:r>
          </w:p>
        </w:tc>
        <w:tc>
          <w:tcPr>
            <w:tcW w:w="0" w:type="auto"/>
            <w:vAlign w:val="center"/>
          </w:tcPr>
          <w:p w:rsidR="00CF3555" w:rsidRDefault="00EA4BDD">
            <w:pPr>
              <w:jc w:val="right"/>
            </w:pPr>
            <w:r>
              <w:rPr>
                <w:color w:val="000000" w:themeColor="text1"/>
                <w:sz w:val="24"/>
              </w:rPr>
              <w:t>6.74%</w:t>
            </w:r>
          </w:p>
        </w:tc>
        <w:tc>
          <w:tcPr>
            <w:tcW w:w="0" w:type="auto"/>
            <w:vAlign w:val="center"/>
          </w:tcPr>
          <w:p w:rsidR="00CF3555" w:rsidRDefault="00EA4BDD">
            <w:pPr>
              <w:jc w:val="right"/>
            </w:pPr>
            <w:r>
              <w:rPr>
                <w:color w:val="000000" w:themeColor="text1"/>
                <w:sz w:val="24"/>
              </w:rPr>
              <w:t>1.39%</w:t>
            </w:r>
          </w:p>
        </w:tc>
        <w:tc>
          <w:tcPr>
            <w:tcW w:w="0" w:type="auto"/>
            <w:vAlign w:val="center"/>
          </w:tcPr>
          <w:p w:rsidR="00CF3555" w:rsidRDefault="00EA4BDD">
            <w:pPr>
              <w:jc w:val="right"/>
            </w:pPr>
            <w:r>
              <w:rPr>
                <w:color w:val="000000" w:themeColor="text1"/>
                <w:sz w:val="24"/>
              </w:rPr>
              <w:t>3.47%</w:t>
            </w:r>
          </w:p>
        </w:tc>
        <w:tc>
          <w:tcPr>
            <w:tcW w:w="0" w:type="auto"/>
            <w:vAlign w:val="center"/>
          </w:tcPr>
          <w:p w:rsidR="00CF3555" w:rsidRDefault="00EA4BDD">
            <w:pPr>
              <w:jc w:val="right"/>
            </w:pPr>
            <w:r>
              <w:rPr>
                <w:color w:val="000000" w:themeColor="text1"/>
                <w:sz w:val="24"/>
              </w:rPr>
              <w:t>0.92%</w:t>
            </w:r>
          </w:p>
        </w:tc>
        <w:tc>
          <w:tcPr>
            <w:tcW w:w="0" w:type="auto"/>
            <w:vAlign w:val="center"/>
          </w:tcPr>
          <w:p w:rsidR="00CF3555" w:rsidRDefault="00EA4BDD">
            <w:pPr>
              <w:jc w:val="right"/>
            </w:pPr>
            <w:r>
              <w:rPr>
                <w:color w:val="000000" w:themeColor="text1"/>
                <w:sz w:val="24"/>
              </w:rPr>
              <w:t>3.27%</w:t>
            </w:r>
          </w:p>
        </w:tc>
        <w:tc>
          <w:tcPr>
            <w:tcW w:w="0" w:type="auto"/>
            <w:vAlign w:val="center"/>
          </w:tcPr>
          <w:p w:rsidR="00CF3555" w:rsidRDefault="00EA4BDD">
            <w:pPr>
              <w:jc w:val="right"/>
            </w:pPr>
            <w:r>
              <w:rPr>
                <w:color w:val="000000" w:themeColor="text1"/>
                <w:sz w:val="24"/>
              </w:rPr>
              <w:t>0.47%</w:t>
            </w:r>
          </w:p>
        </w:tc>
      </w:tr>
    </w:tbl>
    <w:p w:rsidR="0065601A" w:rsidRPr="00A67563" w:rsidRDefault="0065601A" w:rsidP="00775284">
      <w:pPr>
        <w:adjustRightInd w:val="0"/>
        <w:spacing w:beforeLines="50" w:before="156" w:line="360" w:lineRule="auto"/>
        <w:rPr>
          <w:b/>
          <w:color w:val="000000" w:themeColor="text1"/>
          <w:kern w:val="0"/>
          <w:sz w:val="24"/>
        </w:rPr>
      </w:pPr>
      <w:r w:rsidRPr="00A67563">
        <w:rPr>
          <w:b/>
          <w:color w:val="000000" w:themeColor="text1"/>
          <w:sz w:val="24"/>
        </w:rPr>
        <w:t>2</w:t>
      </w:r>
      <w:r w:rsidRPr="00A67563">
        <w:rPr>
          <w:b/>
          <w:color w:val="000000" w:themeColor="text1"/>
          <w:sz w:val="24"/>
        </w:rPr>
        <w:t>、</w:t>
      </w:r>
      <w:r w:rsidRPr="00A67563">
        <w:rPr>
          <w:b/>
          <w:color w:val="000000" w:themeColor="text1"/>
          <w:kern w:val="0"/>
          <w:sz w:val="24"/>
        </w:rPr>
        <w:t>易方达黄金主题（</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C</w:t>
      </w:r>
      <w:r w:rsidRPr="00A67563">
        <w:rPr>
          <w:b/>
          <w:color w:val="000000" w:themeColor="text1"/>
          <w:kern w:val="0"/>
          <w:sz w:val="24"/>
        </w:rPr>
        <w:t>：</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CF3555">
        <w:tc>
          <w:tcPr>
            <w:tcW w:w="0" w:type="auto"/>
            <w:vAlign w:val="center"/>
          </w:tcPr>
          <w:p w:rsidR="00CF3555" w:rsidRDefault="00EA4BDD">
            <w:pPr>
              <w:jc w:val="left"/>
            </w:pPr>
            <w:r>
              <w:rPr>
                <w:color w:val="000000" w:themeColor="text1"/>
                <w:sz w:val="24"/>
              </w:rPr>
              <w:t>过去三个月</w:t>
            </w:r>
          </w:p>
        </w:tc>
        <w:tc>
          <w:tcPr>
            <w:tcW w:w="0" w:type="auto"/>
            <w:vAlign w:val="center"/>
          </w:tcPr>
          <w:p w:rsidR="00CF3555" w:rsidRDefault="00EA4BDD">
            <w:pPr>
              <w:jc w:val="right"/>
            </w:pPr>
            <w:r>
              <w:rPr>
                <w:color w:val="000000" w:themeColor="text1"/>
                <w:sz w:val="24"/>
              </w:rPr>
              <w:t>6.21%</w:t>
            </w:r>
          </w:p>
        </w:tc>
        <w:tc>
          <w:tcPr>
            <w:tcW w:w="0" w:type="auto"/>
            <w:vAlign w:val="center"/>
          </w:tcPr>
          <w:p w:rsidR="00CF3555" w:rsidRDefault="00EA4BDD">
            <w:pPr>
              <w:jc w:val="right"/>
            </w:pPr>
            <w:r>
              <w:rPr>
                <w:color w:val="000000" w:themeColor="text1"/>
                <w:sz w:val="24"/>
              </w:rPr>
              <w:t>1.36%</w:t>
            </w:r>
          </w:p>
        </w:tc>
        <w:tc>
          <w:tcPr>
            <w:tcW w:w="0" w:type="auto"/>
            <w:vAlign w:val="center"/>
          </w:tcPr>
          <w:p w:rsidR="00CF3555" w:rsidRDefault="00EA4BDD">
            <w:pPr>
              <w:jc w:val="right"/>
            </w:pPr>
            <w:r>
              <w:rPr>
                <w:color w:val="000000" w:themeColor="text1"/>
                <w:sz w:val="24"/>
              </w:rPr>
              <w:t>5.86%</w:t>
            </w:r>
          </w:p>
        </w:tc>
        <w:tc>
          <w:tcPr>
            <w:tcW w:w="0" w:type="auto"/>
            <w:vAlign w:val="center"/>
          </w:tcPr>
          <w:p w:rsidR="00CF3555" w:rsidRDefault="00EA4BDD">
            <w:pPr>
              <w:jc w:val="right"/>
            </w:pPr>
            <w:r>
              <w:rPr>
                <w:color w:val="000000" w:themeColor="text1"/>
                <w:sz w:val="24"/>
              </w:rPr>
              <w:t>0.86%</w:t>
            </w:r>
          </w:p>
        </w:tc>
        <w:tc>
          <w:tcPr>
            <w:tcW w:w="0" w:type="auto"/>
            <w:vAlign w:val="center"/>
          </w:tcPr>
          <w:p w:rsidR="00CF3555" w:rsidRDefault="00EA4BDD">
            <w:pPr>
              <w:jc w:val="right"/>
            </w:pPr>
            <w:r>
              <w:rPr>
                <w:color w:val="000000" w:themeColor="text1"/>
                <w:sz w:val="24"/>
              </w:rPr>
              <w:t>0.35%</w:t>
            </w:r>
          </w:p>
        </w:tc>
        <w:tc>
          <w:tcPr>
            <w:tcW w:w="0" w:type="auto"/>
            <w:vAlign w:val="center"/>
          </w:tcPr>
          <w:p w:rsidR="00CF3555" w:rsidRDefault="00EA4BDD">
            <w:pPr>
              <w:jc w:val="right"/>
            </w:pPr>
            <w:r>
              <w:rPr>
                <w:color w:val="000000" w:themeColor="text1"/>
                <w:sz w:val="24"/>
              </w:rPr>
              <w:t>0.50%</w:t>
            </w:r>
          </w:p>
        </w:tc>
      </w:tr>
    </w:tbl>
    <w:p w:rsidR="0065601A" w:rsidRPr="00A67563" w:rsidRDefault="0065601A" w:rsidP="0065601A">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注：自</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11</w:t>
      </w:r>
      <w:r w:rsidRPr="00A67563">
        <w:rPr>
          <w:color w:val="000000" w:themeColor="text1"/>
          <w:sz w:val="24"/>
        </w:rPr>
        <w:t>日起，本基金业绩比较基准由</w:t>
      </w:r>
      <w:r w:rsidRPr="00A67563">
        <w:rPr>
          <w:color w:val="000000" w:themeColor="text1"/>
          <w:sz w:val="24"/>
        </w:rPr>
        <w:t>“</w:t>
      </w:r>
      <w:r w:rsidRPr="00A67563">
        <w:rPr>
          <w:color w:val="000000" w:themeColor="text1"/>
          <w:sz w:val="24"/>
        </w:rPr>
        <w:t>以伦敦黄金市场下午定盘价计价的国际现货黄金（经汇率折算）</w:t>
      </w:r>
      <w:r w:rsidRPr="00A67563">
        <w:rPr>
          <w:color w:val="000000" w:themeColor="text1"/>
          <w:sz w:val="24"/>
        </w:rPr>
        <w:t>”</w:t>
      </w:r>
      <w:r w:rsidRPr="00A67563">
        <w:rPr>
          <w:color w:val="000000" w:themeColor="text1"/>
          <w:sz w:val="24"/>
        </w:rPr>
        <w:t>调整为</w:t>
      </w:r>
      <w:r w:rsidRPr="00A67563">
        <w:rPr>
          <w:color w:val="000000" w:themeColor="text1"/>
          <w:sz w:val="24"/>
        </w:rPr>
        <w:t>“</w:t>
      </w:r>
      <w:r w:rsidRPr="00A67563">
        <w:rPr>
          <w:color w:val="000000" w:themeColor="text1"/>
          <w:sz w:val="24"/>
        </w:rPr>
        <w:t>以伦敦黄金市场下午定盘价计价的国际现货黄金（经汇率折算）</w:t>
      </w:r>
      <w:r w:rsidRPr="00A67563">
        <w:rPr>
          <w:color w:val="000000" w:themeColor="text1"/>
          <w:sz w:val="24"/>
        </w:rPr>
        <w:t>×50%+MSCI</w:t>
      </w:r>
      <w:r w:rsidRPr="00A67563">
        <w:rPr>
          <w:color w:val="000000" w:themeColor="text1"/>
          <w:sz w:val="24"/>
        </w:rPr>
        <w:t>全球金矿股指数（</w:t>
      </w:r>
      <w:r w:rsidRPr="00A67563">
        <w:rPr>
          <w:color w:val="000000" w:themeColor="text1"/>
          <w:sz w:val="24"/>
        </w:rPr>
        <w:t>MSCI ACWI SELECT GOLD MINERS IMI INDEX</w:t>
      </w:r>
      <w:r w:rsidRPr="00A67563">
        <w:rPr>
          <w:color w:val="000000" w:themeColor="text1"/>
          <w:sz w:val="24"/>
        </w:rPr>
        <w:t>）</w:t>
      </w:r>
      <w:r w:rsidRPr="00A67563">
        <w:rPr>
          <w:color w:val="000000" w:themeColor="text1"/>
          <w:sz w:val="24"/>
        </w:rPr>
        <w:t>×50%”</w:t>
      </w:r>
      <w:r w:rsidRPr="00A67563">
        <w:rPr>
          <w:color w:val="000000" w:themeColor="text1"/>
          <w:sz w:val="24"/>
        </w:rPr>
        <w:t>。</w:t>
      </w:r>
      <w:r w:rsidRPr="00A67563">
        <w:rPr>
          <w:color w:val="000000" w:themeColor="text1"/>
          <w:sz w:val="24"/>
        </w:rPr>
        <w:t>MSCI</w:t>
      </w:r>
      <w:r w:rsidRPr="00A67563">
        <w:rPr>
          <w:color w:val="000000" w:themeColor="text1"/>
          <w:sz w:val="24"/>
        </w:rPr>
        <w:t>全球金矿股指数（</w:t>
      </w:r>
      <w:r w:rsidRPr="00A67563">
        <w:rPr>
          <w:color w:val="000000" w:themeColor="text1"/>
          <w:sz w:val="24"/>
        </w:rPr>
        <w:t>MSCI ACWI SELECT GOLD MINERS IMI INDEX</w:t>
      </w:r>
      <w:r w:rsidRPr="00A67563">
        <w:rPr>
          <w:color w:val="000000" w:themeColor="text1"/>
          <w:sz w:val="24"/>
        </w:rPr>
        <w:t>）由</w:t>
      </w:r>
      <w:r w:rsidRPr="00A67563">
        <w:rPr>
          <w:color w:val="000000" w:themeColor="text1"/>
          <w:sz w:val="24"/>
        </w:rPr>
        <w:t>MSCI</w:t>
      </w:r>
      <w:r w:rsidRPr="00A67563">
        <w:rPr>
          <w:color w:val="000000" w:themeColor="text1"/>
          <w:sz w:val="24"/>
        </w:rPr>
        <w:t>编制，由全球主要黄金采掘企业股票组成。而本基金为黄金主题基金，投资于基金的资产合计不低于本基金基金资产净值的</w:t>
      </w:r>
      <w:r w:rsidRPr="00A67563">
        <w:rPr>
          <w:color w:val="000000" w:themeColor="text1"/>
          <w:sz w:val="24"/>
        </w:rPr>
        <w:t>60%</w:t>
      </w:r>
      <w:r w:rsidRPr="00A67563">
        <w:rPr>
          <w:color w:val="000000" w:themeColor="text1"/>
          <w:sz w:val="24"/>
        </w:rPr>
        <w:t>，投资于基金的资产中不低于</w:t>
      </w:r>
      <w:r w:rsidRPr="00A67563">
        <w:rPr>
          <w:color w:val="000000" w:themeColor="text1"/>
          <w:sz w:val="24"/>
        </w:rPr>
        <w:t>80%</w:t>
      </w:r>
      <w:r w:rsidRPr="00A67563">
        <w:rPr>
          <w:color w:val="000000" w:themeColor="text1"/>
          <w:sz w:val="24"/>
        </w:rPr>
        <w:t>投资于黄金基金，黄金基金指黄金</w:t>
      </w:r>
      <w:r w:rsidRPr="00A67563">
        <w:rPr>
          <w:color w:val="000000" w:themeColor="text1"/>
          <w:sz w:val="24"/>
        </w:rPr>
        <w:t>ETF</w:t>
      </w:r>
      <w:r w:rsidRPr="00A67563">
        <w:rPr>
          <w:color w:val="000000" w:themeColor="text1"/>
          <w:sz w:val="24"/>
        </w:rPr>
        <w:t>（即跟踪黄金价格或黄金价格指数的</w:t>
      </w:r>
      <w:r w:rsidRPr="00A67563">
        <w:rPr>
          <w:color w:val="000000" w:themeColor="text1"/>
          <w:sz w:val="24"/>
        </w:rPr>
        <w:t>ETF</w:t>
      </w:r>
      <w:r w:rsidRPr="00A67563">
        <w:rPr>
          <w:color w:val="000000" w:themeColor="text1"/>
          <w:sz w:val="24"/>
        </w:rPr>
        <w:t>）及黄金股票基金（包括跟踪黄金股票指数的指数基金和</w:t>
      </w:r>
      <w:r w:rsidRPr="00A67563">
        <w:rPr>
          <w:color w:val="000000" w:themeColor="text1"/>
          <w:sz w:val="24"/>
        </w:rPr>
        <w:t>ETF</w:t>
      </w:r>
      <w:r w:rsidRPr="00A67563">
        <w:rPr>
          <w:color w:val="000000" w:themeColor="text1"/>
          <w:sz w:val="24"/>
        </w:rPr>
        <w:t>，以及</w:t>
      </w:r>
      <w:r w:rsidRPr="00A67563">
        <w:rPr>
          <w:color w:val="000000" w:themeColor="text1"/>
          <w:sz w:val="24"/>
        </w:rPr>
        <w:t>80%</w:t>
      </w:r>
      <w:r w:rsidRPr="00A67563">
        <w:rPr>
          <w:color w:val="000000" w:themeColor="text1"/>
          <w:sz w:val="24"/>
        </w:rPr>
        <w:t>以上基金资产投资于黄金采掘公司股票的主动基金）。基金管理人在对黄金基金、黄金采掘公司股票以及与其他资产进行主动配置的过程中，黄金价格和黄金采掘公司股票价格是影响投资判断的关键因素。采用</w:t>
      </w:r>
      <w:r w:rsidRPr="00A67563">
        <w:rPr>
          <w:color w:val="000000" w:themeColor="text1"/>
          <w:sz w:val="24"/>
        </w:rPr>
        <w:t>“</w:t>
      </w:r>
      <w:r w:rsidRPr="00A67563">
        <w:rPr>
          <w:color w:val="000000" w:themeColor="text1"/>
          <w:sz w:val="24"/>
        </w:rPr>
        <w:t>以伦敦黄金市场下午定盘价计价的国际现货黄金（经汇率折算）</w:t>
      </w:r>
      <w:r w:rsidRPr="00A67563">
        <w:rPr>
          <w:color w:val="000000" w:themeColor="text1"/>
          <w:sz w:val="24"/>
        </w:rPr>
        <w:t>×50%+MSCI</w:t>
      </w:r>
      <w:r w:rsidRPr="00A67563">
        <w:rPr>
          <w:color w:val="000000" w:themeColor="text1"/>
          <w:sz w:val="24"/>
        </w:rPr>
        <w:t>全球金矿股指数（</w:t>
      </w:r>
      <w:r w:rsidRPr="00A67563">
        <w:rPr>
          <w:color w:val="000000" w:themeColor="text1"/>
          <w:sz w:val="24"/>
        </w:rPr>
        <w:t>MSCI ACWI SELECT GOLD MINERS IMI INDEX</w:t>
      </w:r>
      <w:r w:rsidRPr="00A67563">
        <w:rPr>
          <w:color w:val="000000" w:themeColor="text1"/>
          <w:sz w:val="24"/>
        </w:rPr>
        <w:t>）</w:t>
      </w:r>
      <w:r w:rsidRPr="00A67563">
        <w:rPr>
          <w:color w:val="000000" w:themeColor="text1"/>
          <w:sz w:val="24"/>
        </w:rPr>
        <w:t>×50%”</w:t>
      </w:r>
      <w:r w:rsidRPr="00A67563">
        <w:rPr>
          <w:color w:val="000000" w:themeColor="text1"/>
          <w:sz w:val="24"/>
        </w:rPr>
        <w:t>作为业绩比较基准，能够相对比较真实、客观地反映本基金的风险收益特征。基金业绩比较基准收益率在变更前后期间分别根据相应的指标计算。</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3.2.2</w:t>
      </w:r>
      <w:r w:rsidRPr="00A67563">
        <w:rPr>
          <w:b/>
          <w:color w:val="000000" w:themeColor="text1"/>
          <w:kern w:val="0"/>
          <w:sz w:val="24"/>
        </w:rPr>
        <w:t xml:space="preserve">　</w:t>
      </w:r>
      <w:r w:rsidR="009779FD" w:rsidRPr="00A67563">
        <w:rPr>
          <w:rStyle w:val="af8"/>
          <w:color w:val="000000" w:themeColor="text1"/>
          <w:sz w:val="24"/>
          <w:shd w:val="clear" w:color="auto" w:fill="FFFFFF"/>
        </w:rPr>
        <w:t>自基金合同生效以来</w:t>
      </w:r>
      <w:r w:rsidRPr="00A67563">
        <w:rPr>
          <w:b/>
          <w:color w:val="000000" w:themeColor="text1"/>
          <w:kern w:val="0"/>
          <w:sz w:val="24"/>
        </w:rPr>
        <w:t>基金累计</w:t>
      </w:r>
      <w:r w:rsidR="004339D9" w:rsidRPr="00A67563">
        <w:rPr>
          <w:b/>
          <w:color w:val="000000" w:themeColor="text1"/>
          <w:kern w:val="0"/>
          <w:sz w:val="24"/>
        </w:rPr>
        <w:t>份额</w:t>
      </w:r>
      <w:r w:rsidRPr="00A67563">
        <w:rPr>
          <w:b/>
          <w:color w:val="000000" w:themeColor="text1"/>
          <w:kern w:val="0"/>
          <w:sz w:val="24"/>
        </w:rPr>
        <w:t>净值增长率变动及其与同期业绩比较基准收益率变动的比较</w:t>
      </w:r>
    </w:p>
    <w:p w:rsidR="00A96FD9" w:rsidRPr="00A67563" w:rsidRDefault="00A96FD9" w:rsidP="00EC4BA3">
      <w:pPr>
        <w:spacing w:line="360" w:lineRule="auto"/>
        <w:jc w:val="center"/>
        <w:rPr>
          <w:color w:val="000000" w:themeColor="text1"/>
          <w:sz w:val="24"/>
        </w:rPr>
      </w:pPr>
      <w:r w:rsidRPr="00A67563">
        <w:rPr>
          <w:color w:val="000000" w:themeColor="text1"/>
          <w:sz w:val="24"/>
        </w:rPr>
        <w:t>易方达黄金主题证券投资基金（</w:t>
      </w:r>
      <w:r w:rsidRPr="00A67563">
        <w:rPr>
          <w:color w:val="000000" w:themeColor="text1"/>
          <w:sz w:val="24"/>
        </w:rPr>
        <w:t>LOF</w:t>
      </w:r>
      <w:r w:rsidRPr="00A67563">
        <w:rPr>
          <w:color w:val="000000" w:themeColor="text1"/>
          <w:sz w:val="24"/>
        </w:rPr>
        <w:t>）</w:t>
      </w:r>
    </w:p>
    <w:p w:rsidR="00520D90" w:rsidRDefault="0008610C" w:rsidP="00520D90">
      <w:pPr>
        <w:pStyle w:val="a5"/>
        <w:snapToGrid w:val="0"/>
        <w:spacing w:line="360" w:lineRule="auto"/>
        <w:ind w:firstLine="480"/>
        <w:jc w:val="center"/>
        <w:rPr>
          <w:rFonts w:ascii="Times New Roman" w:eastAsiaTheme="minorEastAsia" w:hAnsi="Times New Roman"/>
          <w:color w:val="000000" w:themeColor="text1"/>
          <w:sz w:val="24"/>
          <w:szCs w:val="24"/>
        </w:rPr>
      </w:pPr>
      <w:r>
        <w:rPr>
          <w:rFonts w:ascii="Times New Roman" w:hAnsi="Times New Roman" w:hint="eastAsia"/>
          <w:color w:val="000000"/>
          <w:sz w:val="24"/>
          <w:szCs w:val="24"/>
        </w:rPr>
        <w:t>累计净值增长率与业绩比较基准收益率的历史走势对比图</w:t>
      </w:r>
    </w:p>
    <w:p w:rsidR="00520D90" w:rsidRDefault="0065601A" w:rsidP="00520D90">
      <w:pPr>
        <w:snapToGrid w:val="0"/>
        <w:spacing w:line="360" w:lineRule="auto"/>
        <w:rPr>
          <w:rFonts w:eastAsiaTheme="minorEastAsia" w:hAnsiTheme="minorEastAsia"/>
          <w:color w:val="000000" w:themeColor="text1"/>
          <w:sz w:val="24"/>
        </w:rPr>
      </w:pPr>
      <w:r w:rsidRPr="00A67563">
        <w:rPr>
          <w:color w:val="000000" w:themeColor="text1"/>
          <w:sz w:val="24"/>
        </w:rPr>
        <w:t>1</w:t>
      </w: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w:t>
      </w:r>
    </w:p>
    <w:p w:rsidR="0065601A" w:rsidRPr="00520D90" w:rsidRDefault="00520D90" w:rsidP="00520D90">
      <w:pPr>
        <w:pStyle w:val="a5"/>
        <w:snapToGrid w:val="0"/>
        <w:spacing w:line="360" w:lineRule="auto"/>
        <w:jc w:val="center"/>
        <w:rPr>
          <w:rFonts w:ascii="Times New Roman" w:hAnsi="Times New Roman"/>
          <w:sz w:val="24"/>
          <w:szCs w:val="24"/>
        </w:rPr>
      </w:pPr>
      <w:r w:rsidRPr="00520D90">
        <w:rPr>
          <w:rFonts w:ascii="Times New Roman" w:hAnsi="Times New Roman"/>
          <w:sz w:val="24"/>
          <w:szCs w:val="24"/>
        </w:rPr>
        <w:t>（</w:t>
      </w:r>
      <w:r w:rsidRPr="00520D90">
        <w:rPr>
          <w:rFonts w:ascii="Times New Roman" w:hAnsi="Times New Roman"/>
          <w:sz w:val="24"/>
          <w:szCs w:val="24"/>
        </w:rPr>
        <w:t>2011</w:t>
      </w:r>
      <w:r w:rsidRPr="00520D90">
        <w:rPr>
          <w:rFonts w:ascii="Times New Roman" w:hAnsi="Times New Roman"/>
          <w:sz w:val="24"/>
          <w:szCs w:val="24"/>
        </w:rPr>
        <w:t>年</w:t>
      </w:r>
      <w:r w:rsidRPr="00520D90">
        <w:rPr>
          <w:rFonts w:ascii="Times New Roman" w:hAnsi="Times New Roman"/>
          <w:sz w:val="24"/>
          <w:szCs w:val="24"/>
        </w:rPr>
        <w:t>5</w:t>
      </w:r>
      <w:r w:rsidRPr="00520D90">
        <w:rPr>
          <w:rFonts w:ascii="Times New Roman" w:hAnsi="Times New Roman"/>
          <w:sz w:val="24"/>
          <w:szCs w:val="24"/>
        </w:rPr>
        <w:t>月</w:t>
      </w:r>
      <w:r w:rsidRPr="00520D90">
        <w:rPr>
          <w:rFonts w:ascii="Times New Roman" w:hAnsi="Times New Roman"/>
          <w:sz w:val="24"/>
          <w:szCs w:val="24"/>
        </w:rPr>
        <w:t>6</w:t>
      </w:r>
      <w:r w:rsidRPr="00520D90">
        <w:rPr>
          <w:rFonts w:ascii="Times New Roman" w:hAnsi="Times New Roman"/>
          <w:sz w:val="24"/>
          <w:szCs w:val="24"/>
        </w:rPr>
        <w:t>日至</w:t>
      </w:r>
      <w:r w:rsidRPr="00520D90">
        <w:rPr>
          <w:rFonts w:ascii="Times New Roman" w:hAnsi="Times New Roman"/>
          <w:sz w:val="24"/>
          <w:szCs w:val="24"/>
        </w:rPr>
        <w:t>2019</w:t>
      </w:r>
      <w:r w:rsidRPr="00520D90">
        <w:rPr>
          <w:rFonts w:ascii="Times New Roman" w:hAnsi="Times New Roman"/>
          <w:sz w:val="24"/>
          <w:szCs w:val="24"/>
        </w:rPr>
        <w:t>年</w:t>
      </w:r>
      <w:r w:rsidRPr="00520D90">
        <w:rPr>
          <w:rFonts w:ascii="Times New Roman" w:hAnsi="Times New Roman"/>
          <w:sz w:val="24"/>
          <w:szCs w:val="24"/>
        </w:rPr>
        <w:t>12</w:t>
      </w:r>
      <w:r w:rsidRPr="00520D90">
        <w:rPr>
          <w:rFonts w:ascii="Times New Roman" w:hAnsi="Times New Roman"/>
          <w:sz w:val="24"/>
          <w:szCs w:val="24"/>
        </w:rPr>
        <w:t>月</w:t>
      </w:r>
      <w:r w:rsidRPr="00520D90">
        <w:rPr>
          <w:rFonts w:ascii="Times New Roman" w:hAnsi="Times New Roman"/>
          <w:sz w:val="24"/>
          <w:szCs w:val="24"/>
        </w:rPr>
        <w:t>31</w:t>
      </w:r>
      <w:r w:rsidRPr="00520D90">
        <w:rPr>
          <w:rFonts w:ascii="Times New Roman" w:hAnsi="Times New Roman"/>
          <w:sz w:val="24"/>
          <w:szCs w:val="24"/>
        </w:rPr>
        <w:t>日）</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520D90" w:rsidRDefault="0065601A" w:rsidP="00520D90">
      <w:pPr>
        <w:snapToGrid w:val="0"/>
        <w:spacing w:beforeLines="100" w:before="312" w:line="360" w:lineRule="auto"/>
        <w:rPr>
          <w:rFonts w:eastAsiaTheme="minorEastAsia" w:hAnsiTheme="minorEastAsia"/>
          <w:color w:val="000000" w:themeColor="text1"/>
          <w:sz w:val="24"/>
        </w:rPr>
      </w:pPr>
      <w:r w:rsidRPr="00A67563">
        <w:rPr>
          <w:color w:val="000000" w:themeColor="text1"/>
          <w:sz w:val="24"/>
        </w:rPr>
        <w:t>2</w:t>
      </w: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w:t>
      </w:r>
    </w:p>
    <w:p w:rsidR="0065601A" w:rsidRPr="00520D90" w:rsidRDefault="00520D90" w:rsidP="00520D90">
      <w:pPr>
        <w:pStyle w:val="a5"/>
        <w:snapToGrid w:val="0"/>
        <w:spacing w:line="360" w:lineRule="auto"/>
        <w:jc w:val="center"/>
        <w:rPr>
          <w:rFonts w:ascii="Times New Roman" w:hAnsi="Times New Roman"/>
          <w:sz w:val="24"/>
          <w:szCs w:val="24"/>
        </w:rPr>
      </w:pPr>
      <w:r w:rsidRPr="00520D90">
        <w:rPr>
          <w:rFonts w:ascii="Times New Roman" w:hAnsi="Times New Roman"/>
          <w:sz w:val="24"/>
          <w:szCs w:val="24"/>
        </w:rPr>
        <w:t>（</w:t>
      </w:r>
      <w:r w:rsidRPr="00520D90">
        <w:rPr>
          <w:rFonts w:ascii="Times New Roman" w:hAnsi="Times New Roman"/>
          <w:sz w:val="24"/>
          <w:szCs w:val="24"/>
        </w:rPr>
        <w:t>2019</w:t>
      </w:r>
      <w:r w:rsidRPr="00520D90">
        <w:rPr>
          <w:rFonts w:ascii="Times New Roman" w:hAnsi="Times New Roman"/>
          <w:sz w:val="24"/>
          <w:szCs w:val="24"/>
        </w:rPr>
        <w:t>年</w:t>
      </w:r>
      <w:r w:rsidRPr="00520D90">
        <w:rPr>
          <w:rFonts w:ascii="Times New Roman" w:hAnsi="Times New Roman"/>
          <w:sz w:val="24"/>
          <w:szCs w:val="24"/>
        </w:rPr>
        <w:t>10</w:t>
      </w:r>
      <w:r w:rsidRPr="00520D90">
        <w:rPr>
          <w:rFonts w:ascii="Times New Roman" w:hAnsi="Times New Roman"/>
          <w:sz w:val="24"/>
          <w:szCs w:val="24"/>
        </w:rPr>
        <w:t>月</w:t>
      </w:r>
      <w:r w:rsidRPr="00520D90">
        <w:rPr>
          <w:rFonts w:ascii="Times New Roman" w:hAnsi="Times New Roman"/>
          <w:sz w:val="24"/>
          <w:szCs w:val="24"/>
        </w:rPr>
        <w:t>14</w:t>
      </w:r>
      <w:r w:rsidRPr="00520D90">
        <w:rPr>
          <w:rFonts w:ascii="Times New Roman" w:hAnsi="Times New Roman"/>
          <w:sz w:val="24"/>
          <w:szCs w:val="24"/>
        </w:rPr>
        <w:t>日至</w:t>
      </w:r>
      <w:r w:rsidRPr="00520D90">
        <w:rPr>
          <w:rFonts w:ascii="Times New Roman" w:hAnsi="Times New Roman"/>
          <w:sz w:val="24"/>
          <w:szCs w:val="24"/>
        </w:rPr>
        <w:t>2019</w:t>
      </w:r>
      <w:r w:rsidRPr="00520D90">
        <w:rPr>
          <w:rFonts w:ascii="Times New Roman" w:hAnsi="Times New Roman"/>
          <w:sz w:val="24"/>
          <w:szCs w:val="24"/>
        </w:rPr>
        <w:t>年</w:t>
      </w:r>
      <w:r w:rsidRPr="00520D90">
        <w:rPr>
          <w:rFonts w:ascii="Times New Roman" w:hAnsi="Times New Roman"/>
          <w:sz w:val="24"/>
          <w:szCs w:val="24"/>
        </w:rPr>
        <w:t>12</w:t>
      </w:r>
      <w:r w:rsidRPr="00520D90">
        <w:rPr>
          <w:rFonts w:ascii="Times New Roman" w:hAnsi="Times New Roman"/>
          <w:sz w:val="24"/>
          <w:szCs w:val="24"/>
        </w:rPr>
        <w:t>月</w:t>
      </w:r>
      <w:r w:rsidRPr="00520D90">
        <w:rPr>
          <w:rFonts w:ascii="Times New Roman" w:hAnsi="Times New Roman"/>
          <w:sz w:val="24"/>
          <w:szCs w:val="24"/>
        </w:rPr>
        <w:t>31</w:t>
      </w:r>
      <w:r w:rsidRPr="00520D90">
        <w:rPr>
          <w:rFonts w:ascii="Times New Roman" w:hAnsi="Times New Roman"/>
          <w:sz w:val="24"/>
          <w:szCs w:val="24"/>
        </w:rPr>
        <w:t>日）</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F3555" w:rsidRDefault="00EA4BDD">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自</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11</w:t>
      </w:r>
      <w:r>
        <w:rPr>
          <w:color w:val="000000" w:themeColor="text1"/>
          <w:sz w:val="24"/>
        </w:rPr>
        <w:t>日起，本基金增设</w:t>
      </w:r>
      <w:r>
        <w:rPr>
          <w:color w:val="000000" w:themeColor="text1"/>
          <w:sz w:val="24"/>
        </w:rPr>
        <w:t>C</w:t>
      </w:r>
      <w:r>
        <w:rPr>
          <w:color w:val="000000" w:themeColor="text1"/>
          <w:sz w:val="24"/>
        </w:rPr>
        <w:t>类份额类别，份额首次确认日为</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14</w:t>
      </w:r>
      <w:r>
        <w:rPr>
          <w:color w:val="000000" w:themeColor="text1"/>
          <w:sz w:val="24"/>
        </w:rPr>
        <w:t>日，增设当期的相关数据和指标按实际存续期计算。</w:t>
      </w:r>
    </w:p>
    <w:p w:rsidR="00CF3555" w:rsidRDefault="00EA4BDD">
      <w:pPr>
        <w:autoSpaceDE w:val="0"/>
        <w:autoSpaceDN w:val="0"/>
        <w:adjustRightIn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自</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11</w:t>
      </w:r>
      <w:r>
        <w:rPr>
          <w:color w:val="000000" w:themeColor="text1"/>
          <w:sz w:val="24"/>
        </w:rPr>
        <w:t>日起，本基金业绩比较基准由</w:t>
      </w:r>
      <w:r>
        <w:rPr>
          <w:color w:val="000000" w:themeColor="text1"/>
          <w:sz w:val="24"/>
        </w:rPr>
        <w:t>“</w:t>
      </w:r>
      <w:r>
        <w:rPr>
          <w:color w:val="000000" w:themeColor="text1"/>
          <w:sz w:val="24"/>
        </w:rPr>
        <w:t>以伦敦黄金市场下午定盘价计价的国际现货黄金（经汇率折算）</w:t>
      </w:r>
      <w:r>
        <w:rPr>
          <w:color w:val="000000" w:themeColor="text1"/>
          <w:sz w:val="24"/>
        </w:rPr>
        <w:t>”</w:t>
      </w:r>
      <w:r>
        <w:rPr>
          <w:color w:val="000000" w:themeColor="text1"/>
          <w:sz w:val="24"/>
        </w:rPr>
        <w:t>调整为</w:t>
      </w:r>
      <w:r>
        <w:rPr>
          <w:color w:val="000000" w:themeColor="text1"/>
          <w:sz w:val="24"/>
        </w:rPr>
        <w:t>“</w:t>
      </w:r>
      <w:r>
        <w:rPr>
          <w:color w:val="000000" w:themeColor="text1"/>
          <w:sz w:val="24"/>
        </w:rPr>
        <w:t>以伦敦黄金市场下午定盘价计价的国际现货黄金（经汇率折算）</w:t>
      </w:r>
      <w:r>
        <w:rPr>
          <w:color w:val="000000" w:themeColor="text1"/>
          <w:sz w:val="24"/>
        </w:rPr>
        <w:t>×50%+MSCI</w:t>
      </w:r>
      <w:r>
        <w:rPr>
          <w:color w:val="000000" w:themeColor="text1"/>
          <w:sz w:val="24"/>
        </w:rPr>
        <w:t>全球金矿股指数（</w:t>
      </w:r>
      <w:r>
        <w:rPr>
          <w:color w:val="000000" w:themeColor="text1"/>
          <w:sz w:val="24"/>
        </w:rPr>
        <w:t>MSCI ACWI SELECT GOLD MIN</w:t>
      </w:r>
      <w:r>
        <w:rPr>
          <w:color w:val="000000" w:themeColor="text1"/>
          <w:sz w:val="24"/>
        </w:rPr>
        <w:t>ERS IMI INDEX</w:t>
      </w:r>
      <w:r>
        <w:rPr>
          <w:color w:val="000000" w:themeColor="text1"/>
          <w:sz w:val="24"/>
        </w:rPr>
        <w:t>）</w:t>
      </w:r>
      <w:r>
        <w:rPr>
          <w:color w:val="000000" w:themeColor="text1"/>
          <w:sz w:val="24"/>
        </w:rPr>
        <w:t>×50%”</w:t>
      </w:r>
      <w:r>
        <w:rPr>
          <w:color w:val="000000" w:themeColor="text1"/>
          <w:sz w:val="24"/>
        </w:rPr>
        <w:t>。</w:t>
      </w:r>
      <w:r>
        <w:rPr>
          <w:color w:val="000000" w:themeColor="text1"/>
          <w:sz w:val="24"/>
        </w:rPr>
        <w:t>MSCI</w:t>
      </w:r>
      <w:r>
        <w:rPr>
          <w:color w:val="000000" w:themeColor="text1"/>
          <w:sz w:val="24"/>
        </w:rPr>
        <w:t>全球金矿股指数（</w:t>
      </w:r>
      <w:r>
        <w:rPr>
          <w:color w:val="000000" w:themeColor="text1"/>
          <w:sz w:val="24"/>
        </w:rPr>
        <w:t>MSCI ACWI SELECT GOLD MINERS IMI INDEX</w:t>
      </w:r>
      <w:r>
        <w:rPr>
          <w:color w:val="000000" w:themeColor="text1"/>
          <w:sz w:val="24"/>
        </w:rPr>
        <w:t>）由</w:t>
      </w:r>
      <w:r>
        <w:rPr>
          <w:color w:val="000000" w:themeColor="text1"/>
          <w:sz w:val="24"/>
        </w:rPr>
        <w:t>MSCI</w:t>
      </w:r>
      <w:r>
        <w:rPr>
          <w:color w:val="000000" w:themeColor="text1"/>
          <w:sz w:val="24"/>
        </w:rPr>
        <w:t>编制，由全球主要黄金采掘企业股票组成。而本基金为黄金主题基金，投资于基金的资产合计不低于本基金基金资产净值的</w:t>
      </w:r>
      <w:r>
        <w:rPr>
          <w:color w:val="000000" w:themeColor="text1"/>
          <w:sz w:val="24"/>
        </w:rPr>
        <w:t>60%</w:t>
      </w:r>
      <w:r>
        <w:rPr>
          <w:color w:val="000000" w:themeColor="text1"/>
          <w:sz w:val="24"/>
        </w:rPr>
        <w:t>，投资于基金的资产中不低于</w:t>
      </w:r>
      <w:r>
        <w:rPr>
          <w:color w:val="000000" w:themeColor="text1"/>
          <w:sz w:val="24"/>
        </w:rPr>
        <w:t>80%</w:t>
      </w:r>
      <w:r>
        <w:rPr>
          <w:color w:val="000000" w:themeColor="text1"/>
          <w:sz w:val="24"/>
        </w:rPr>
        <w:t>投资于黄金基金，黄金基金指黄金</w:t>
      </w:r>
      <w:r>
        <w:rPr>
          <w:color w:val="000000" w:themeColor="text1"/>
          <w:sz w:val="24"/>
        </w:rPr>
        <w:t>ETF</w:t>
      </w:r>
      <w:r>
        <w:rPr>
          <w:color w:val="000000" w:themeColor="text1"/>
          <w:sz w:val="24"/>
        </w:rPr>
        <w:t>（即跟踪黄金价格或黄金价格指数的</w:t>
      </w:r>
      <w:r>
        <w:rPr>
          <w:color w:val="000000" w:themeColor="text1"/>
          <w:sz w:val="24"/>
        </w:rPr>
        <w:t>ETF</w:t>
      </w:r>
      <w:r>
        <w:rPr>
          <w:color w:val="000000" w:themeColor="text1"/>
          <w:sz w:val="24"/>
        </w:rPr>
        <w:t>）及黄金股票基金（包括跟踪黄金股票指数的指数基金和</w:t>
      </w:r>
      <w:r>
        <w:rPr>
          <w:color w:val="000000" w:themeColor="text1"/>
          <w:sz w:val="24"/>
        </w:rPr>
        <w:t>ETF</w:t>
      </w:r>
      <w:r>
        <w:rPr>
          <w:color w:val="000000" w:themeColor="text1"/>
          <w:sz w:val="24"/>
        </w:rPr>
        <w:t>，以及</w:t>
      </w:r>
      <w:r>
        <w:rPr>
          <w:color w:val="000000" w:themeColor="text1"/>
          <w:sz w:val="24"/>
        </w:rPr>
        <w:t>80%</w:t>
      </w:r>
      <w:r>
        <w:rPr>
          <w:color w:val="000000" w:themeColor="text1"/>
          <w:sz w:val="24"/>
        </w:rPr>
        <w:t>以上基金资产投资于黄金采掘公司股票的主动基金）。基金管理人在对黄金基金、</w:t>
      </w:r>
      <w:r>
        <w:rPr>
          <w:color w:val="000000" w:themeColor="text1"/>
          <w:sz w:val="24"/>
        </w:rPr>
        <w:t>黄金采掘公司股票以及与其他资产进行主动配置的过程中，黄金价格和黄金采掘公司股票价格是影响投资判断的关键因素。采用</w:t>
      </w:r>
      <w:r>
        <w:rPr>
          <w:color w:val="000000" w:themeColor="text1"/>
          <w:sz w:val="24"/>
        </w:rPr>
        <w:t>“</w:t>
      </w:r>
      <w:r>
        <w:rPr>
          <w:color w:val="000000" w:themeColor="text1"/>
          <w:sz w:val="24"/>
        </w:rPr>
        <w:t>以伦敦黄金市场下午定盘价计价的国际现货黄金（经汇率折算）</w:t>
      </w:r>
      <w:r>
        <w:rPr>
          <w:color w:val="000000" w:themeColor="text1"/>
          <w:sz w:val="24"/>
        </w:rPr>
        <w:t>×50%+MSCI</w:t>
      </w:r>
      <w:r>
        <w:rPr>
          <w:color w:val="000000" w:themeColor="text1"/>
          <w:sz w:val="24"/>
        </w:rPr>
        <w:t>全球金矿股指数（</w:t>
      </w:r>
      <w:r>
        <w:rPr>
          <w:color w:val="000000" w:themeColor="text1"/>
          <w:sz w:val="24"/>
        </w:rPr>
        <w:t>MSCI ACWI SELECT GOLD MINERS IMI INDEX</w:t>
      </w:r>
      <w:r>
        <w:rPr>
          <w:color w:val="000000" w:themeColor="text1"/>
          <w:sz w:val="24"/>
        </w:rPr>
        <w:t>）</w:t>
      </w:r>
      <w:r>
        <w:rPr>
          <w:color w:val="000000" w:themeColor="text1"/>
          <w:sz w:val="24"/>
        </w:rPr>
        <w:t>×50%”</w:t>
      </w:r>
      <w:r>
        <w:rPr>
          <w:color w:val="000000" w:themeColor="text1"/>
          <w:sz w:val="24"/>
        </w:rPr>
        <w:t>作为业绩比较基准，能够相对比较真实、客观地反映本基金的风险收益特征。基金业绩比较基准收益率在变更前后期间分别根据相应的指标计算。</w:t>
      </w:r>
    </w:p>
    <w:p w:rsidR="0065601A" w:rsidRPr="00A67563" w:rsidRDefault="0065601A"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3.</w:t>
      </w:r>
      <w:r w:rsidRPr="00A67563">
        <w:rPr>
          <w:color w:val="000000" w:themeColor="text1"/>
          <w:sz w:val="24"/>
        </w:rPr>
        <w:t>自基金合同生效至报告期末，</w:t>
      </w:r>
      <w:r w:rsidRPr="00A67563">
        <w:rPr>
          <w:color w:val="000000" w:themeColor="text1"/>
          <w:sz w:val="24"/>
        </w:rPr>
        <w:t>A</w:t>
      </w:r>
      <w:r w:rsidRPr="00A67563">
        <w:rPr>
          <w:color w:val="000000" w:themeColor="text1"/>
          <w:sz w:val="24"/>
        </w:rPr>
        <w:t>类基金份额净值增长率为</w:t>
      </w:r>
      <w:r w:rsidRPr="00A67563">
        <w:rPr>
          <w:color w:val="000000" w:themeColor="text1"/>
          <w:sz w:val="24"/>
        </w:rPr>
        <w:t>-14.50%</w:t>
      </w:r>
      <w:r w:rsidRPr="00A67563">
        <w:rPr>
          <w:color w:val="000000" w:themeColor="text1"/>
          <w:sz w:val="24"/>
        </w:rPr>
        <w:t>，同期业绩比较基准收益率为</w:t>
      </w:r>
      <w:r w:rsidRPr="00A67563">
        <w:rPr>
          <w:color w:val="000000" w:themeColor="text1"/>
          <w:sz w:val="24"/>
        </w:rPr>
        <w:t>11.97%</w:t>
      </w:r>
      <w:r w:rsidRPr="00A67563">
        <w:rPr>
          <w:color w:val="000000" w:themeColor="text1"/>
          <w:sz w:val="24"/>
        </w:rPr>
        <w:t>。</w:t>
      </w:r>
      <w:r w:rsidRPr="00A67563">
        <w:rPr>
          <w:color w:val="000000" w:themeColor="text1"/>
          <w:sz w:val="24"/>
        </w:rPr>
        <w:t>C</w:t>
      </w:r>
      <w:r w:rsidRPr="00A67563">
        <w:rPr>
          <w:color w:val="000000" w:themeColor="text1"/>
          <w:sz w:val="24"/>
        </w:rPr>
        <w:t>类基金份额净值增长率为</w:t>
      </w:r>
      <w:r w:rsidRPr="00A67563">
        <w:rPr>
          <w:color w:val="000000" w:themeColor="text1"/>
          <w:sz w:val="24"/>
        </w:rPr>
        <w:t>6.21%</w:t>
      </w:r>
      <w:r w:rsidRPr="00A67563">
        <w:rPr>
          <w:color w:val="000000" w:themeColor="text1"/>
          <w:sz w:val="24"/>
        </w:rPr>
        <w:t>，同期业绩比较基准收益率为</w:t>
      </w:r>
      <w:r w:rsidRPr="00A67563">
        <w:rPr>
          <w:color w:val="000000" w:themeColor="text1"/>
          <w:sz w:val="24"/>
        </w:rPr>
        <w:t>5.86%</w:t>
      </w:r>
      <w:r w:rsidRPr="00A67563">
        <w:rPr>
          <w:color w:val="000000" w:themeColor="text1"/>
          <w:sz w:val="24"/>
        </w:rPr>
        <w:t>。</w:t>
      </w:r>
    </w:p>
    <w:p w:rsidR="00845292" w:rsidRPr="00A67563" w:rsidRDefault="00845292" w:rsidP="0065601A">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§4  </w:t>
      </w:r>
      <w:r w:rsidRPr="00A67563">
        <w:rPr>
          <w:color w:val="000000" w:themeColor="text1"/>
          <w:kern w:val="0"/>
          <w:sz w:val="24"/>
          <w:szCs w:val="24"/>
        </w:rPr>
        <w:t>管理人报告</w:t>
      </w:r>
    </w:p>
    <w:p w:rsidR="0040617F" w:rsidRPr="006506EF" w:rsidRDefault="0076518F" w:rsidP="0040617F">
      <w:pPr>
        <w:autoSpaceDE w:val="0"/>
        <w:autoSpaceDN w:val="0"/>
        <w:adjustRightInd w:val="0"/>
        <w:spacing w:line="360" w:lineRule="auto"/>
        <w:jc w:val="left"/>
        <w:rPr>
          <w:b/>
          <w:color w:val="000000"/>
          <w:kern w:val="0"/>
          <w:sz w:val="24"/>
        </w:rPr>
      </w:pPr>
      <w:r w:rsidRPr="00A67563">
        <w:rPr>
          <w:b/>
          <w:color w:val="000000" w:themeColor="text1"/>
          <w:kern w:val="0"/>
          <w:sz w:val="24"/>
        </w:rPr>
        <w:t xml:space="preserve">4.1 </w:t>
      </w:r>
      <w:r w:rsidRPr="00A67563">
        <w:rPr>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260"/>
        <w:gridCol w:w="1276"/>
        <w:gridCol w:w="1276"/>
        <w:gridCol w:w="850"/>
        <w:gridCol w:w="1418"/>
      </w:tblGrid>
      <w:tr w:rsidR="0040617F" w:rsidRPr="006506EF" w:rsidTr="000B42A7">
        <w:trPr>
          <w:cantSplit/>
          <w:trHeight w:val="292"/>
        </w:trPr>
        <w:tc>
          <w:tcPr>
            <w:tcW w:w="851"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姓名</w:t>
            </w:r>
          </w:p>
        </w:tc>
        <w:tc>
          <w:tcPr>
            <w:tcW w:w="3260"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职务</w:t>
            </w:r>
          </w:p>
        </w:tc>
        <w:tc>
          <w:tcPr>
            <w:tcW w:w="2552" w:type="dxa"/>
            <w:gridSpan w:val="2"/>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任本基金的基金经理期限</w:t>
            </w:r>
          </w:p>
        </w:tc>
        <w:tc>
          <w:tcPr>
            <w:tcW w:w="850" w:type="dxa"/>
            <w:vMerge w:val="restart"/>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证券从业年限</w:t>
            </w:r>
          </w:p>
        </w:tc>
        <w:tc>
          <w:tcPr>
            <w:tcW w:w="1418"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说明</w:t>
            </w:r>
          </w:p>
        </w:tc>
      </w:tr>
      <w:tr w:rsidR="0040617F" w:rsidRPr="006506EF" w:rsidTr="000B42A7">
        <w:trPr>
          <w:cantSplit/>
        </w:trPr>
        <w:tc>
          <w:tcPr>
            <w:tcW w:w="851" w:type="dxa"/>
            <w:vMerge/>
            <w:vAlign w:val="center"/>
          </w:tcPr>
          <w:p w:rsidR="0040617F" w:rsidRPr="006506EF" w:rsidRDefault="0040617F" w:rsidP="000B42A7">
            <w:pPr>
              <w:widowControl/>
              <w:spacing w:line="360" w:lineRule="auto"/>
              <w:jc w:val="left"/>
              <w:rPr>
                <w:color w:val="000000"/>
                <w:kern w:val="0"/>
                <w:sz w:val="24"/>
              </w:rPr>
            </w:pPr>
          </w:p>
        </w:tc>
        <w:tc>
          <w:tcPr>
            <w:tcW w:w="3260" w:type="dxa"/>
            <w:vMerge/>
            <w:vAlign w:val="center"/>
          </w:tcPr>
          <w:p w:rsidR="0040617F" w:rsidRPr="006506EF" w:rsidRDefault="0040617F" w:rsidP="000B42A7">
            <w:pPr>
              <w:widowControl/>
              <w:spacing w:line="360" w:lineRule="auto"/>
              <w:jc w:val="left"/>
              <w:rPr>
                <w:color w:val="000000"/>
                <w:kern w:val="0"/>
                <w:sz w:val="24"/>
              </w:rPr>
            </w:pP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任职日期</w:t>
            </w: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离任日期</w:t>
            </w:r>
          </w:p>
        </w:tc>
        <w:tc>
          <w:tcPr>
            <w:tcW w:w="850" w:type="dxa"/>
            <w:vMerge/>
            <w:vAlign w:val="center"/>
          </w:tcPr>
          <w:p w:rsidR="0040617F" w:rsidRPr="006506EF" w:rsidRDefault="0040617F" w:rsidP="000B42A7">
            <w:pPr>
              <w:widowControl/>
              <w:spacing w:line="360" w:lineRule="auto"/>
              <w:jc w:val="left"/>
              <w:rPr>
                <w:color w:val="000000"/>
                <w:kern w:val="0"/>
                <w:sz w:val="24"/>
              </w:rPr>
            </w:pPr>
          </w:p>
        </w:tc>
        <w:tc>
          <w:tcPr>
            <w:tcW w:w="1418" w:type="dxa"/>
            <w:vMerge/>
            <w:vAlign w:val="center"/>
          </w:tcPr>
          <w:p w:rsidR="0040617F" w:rsidRPr="006506EF" w:rsidRDefault="0040617F" w:rsidP="000B42A7">
            <w:pPr>
              <w:widowControl/>
              <w:spacing w:line="360" w:lineRule="auto"/>
              <w:jc w:val="left"/>
              <w:rPr>
                <w:color w:val="000000"/>
                <w:kern w:val="0"/>
                <w:sz w:val="24"/>
              </w:rPr>
            </w:pPr>
          </w:p>
        </w:tc>
      </w:tr>
      <w:tr w:rsidR="00CF3555">
        <w:tc>
          <w:tcPr>
            <w:tcW w:w="0" w:type="auto"/>
            <w:vAlign w:val="center"/>
          </w:tcPr>
          <w:p w:rsidR="00CF3555" w:rsidRDefault="00EA4BDD">
            <w:pPr>
              <w:jc w:val="center"/>
            </w:pPr>
            <w:r>
              <w:rPr>
                <w:color w:val="000000"/>
                <w:sz w:val="24"/>
              </w:rPr>
              <w:t>周宇</w:t>
            </w:r>
          </w:p>
        </w:tc>
        <w:tc>
          <w:tcPr>
            <w:tcW w:w="0" w:type="auto"/>
            <w:vAlign w:val="center"/>
          </w:tcPr>
          <w:p w:rsidR="00CF3555" w:rsidRDefault="00EA4BDD">
            <w:pPr>
              <w:jc w:val="center"/>
            </w:pPr>
            <w:r>
              <w:rPr>
                <w:color w:val="000000"/>
                <w:sz w:val="24"/>
              </w:rPr>
              <w:t>本基金的基金经理</w:t>
            </w:r>
          </w:p>
        </w:tc>
        <w:tc>
          <w:tcPr>
            <w:tcW w:w="0" w:type="auto"/>
            <w:vAlign w:val="center"/>
          </w:tcPr>
          <w:p w:rsidR="00CF3555" w:rsidRDefault="00EA4BDD">
            <w:pPr>
              <w:jc w:val="center"/>
            </w:pPr>
            <w:r>
              <w:rPr>
                <w:color w:val="000000"/>
                <w:sz w:val="24"/>
              </w:rPr>
              <w:t>2017-04-21</w:t>
            </w:r>
          </w:p>
        </w:tc>
        <w:tc>
          <w:tcPr>
            <w:tcW w:w="0" w:type="auto"/>
            <w:vAlign w:val="center"/>
          </w:tcPr>
          <w:p w:rsidR="00CF3555" w:rsidRDefault="00EA4BDD">
            <w:pPr>
              <w:jc w:val="center"/>
            </w:pPr>
            <w:r>
              <w:rPr>
                <w:color w:val="000000"/>
                <w:sz w:val="24"/>
              </w:rPr>
              <w:t>-</w:t>
            </w:r>
          </w:p>
        </w:tc>
        <w:tc>
          <w:tcPr>
            <w:tcW w:w="0" w:type="auto"/>
            <w:vAlign w:val="center"/>
          </w:tcPr>
          <w:p w:rsidR="00CF3555" w:rsidRDefault="00EA4BDD">
            <w:pPr>
              <w:jc w:val="center"/>
            </w:pPr>
            <w:r>
              <w:rPr>
                <w:color w:val="000000"/>
                <w:sz w:val="24"/>
              </w:rPr>
              <w:t>8</w:t>
            </w:r>
            <w:r>
              <w:rPr>
                <w:color w:val="000000"/>
                <w:sz w:val="24"/>
              </w:rPr>
              <w:t>年</w:t>
            </w:r>
          </w:p>
        </w:tc>
        <w:tc>
          <w:tcPr>
            <w:tcW w:w="0" w:type="auto"/>
            <w:vAlign w:val="center"/>
          </w:tcPr>
          <w:p w:rsidR="00CF3555" w:rsidRDefault="00EA4BDD">
            <w:pPr>
              <w:jc w:val="left"/>
            </w:pPr>
            <w:r>
              <w:rPr>
                <w:color w:val="000000"/>
                <w:sz w:val="24"/>
              </w:rPr>
              <w:t>硕士研究生，具有基金从业资格。曾任古根海姆投资管理公司全球宏观策略师，中国平安人寿保险总部投资管理中心策略经理，上海国泰君安证券资产管理有限公司研究发展部大类资产配置高级研究员。</w:t>
            </w:r>
          </w:p>
        </w:tc>
      </w:tr>
    </w:tbl>
    <w:p w:rsidR="00CF3555" w:rsidRDefault="00EA4BDD">
      <w:pPr>
        <w:autoSpaceDE w:val="0"/>
        <w:autoSpaceDN w:val="0"/>
        <w:adjustRightInd w:val="0"/>
        <w:spacing w:line="360" w:lineRule="auto"/>
        <w:ind w:firstLineChars="200" w:firstLine="480"/>
        <w:jc w:val="left"/>
        <w:rPr>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A47E47" w:rsidRPr="00A67563" w:rsidRDefault="0040617F" w:rsidP="00120EAF">
      <w:pPr>
        <w:autoSpaceDE w:val="0"/>
        <w:autoSpaceDN w:val="0"/>
        <w:adjustRightInd w:val="0"/>
        <w:spacing w:line="360" w:lineRule="auto"/>
        <w:ind w:firstLineChars="200" w:firstLine="480"/>
        <w:jc w:val="left"/>
        <w:rPr>
          <w:color w:val="000000" w:themeColor="text1"/>
          <w:sz w:val="24"/>
        </w:rPr>
      </w:pPr>
      <w:r w:rsidRPr="006506EF">
        <w:rPr>
          <w:color w:val="000000"/>
          <w:sz w:val="24"/>
        </w:rPr>
        <w:t>2.</w:t>
      </w:r>
      <w:r w:rsidRPr="006506EF">
        <w:rPr>
          <w:color w:val="000000"/>
          <w:sz w:val="24"/>
        </w:rPr>
        <w:t>证券从业的含义遵从《证券业从业人员资格管理办法》的相关规定。</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F077D2" w:rsidRPr="00A67563">
        <w:rPr>
          <w:b/>
          <w:color w:val="000000" w:themeColor="text1"/>
          <w:kern w:val="0"/>
          <w:sz w:val="24"/>
        </w:rPr>
        <w:t>2</w:t>
      </w:r>
      <w:r w:rsidR="00A32FDA" w:rsidRPr="00A67563">
        <w:rPr>
          <w:b/>
          <w:color w:val="000000" w:themeColor="text1"/>
          <w:kern w:val="0"/>
          <w:sz w:val="24"/>
        </w:rPr>
        <w:t xml:space="preserve"> </w:t>
      </w:r>
      <w:r w:rsidRPr="00A67563">
        <w:rPr>
          <w:b/>
          <w:color w:val="000000" w:themeColor="text1"/>
          <w:kern w:val="0"/>
          <w:sz w:val="24"/>
        </w:rPr>
        <w:t>境外投资顾问为本基金提供投资建议的主要成员简介</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本基金没有聘请境外投资顾问。</w:t>
      </w:r>
    </w:p>
    <w:p w:rsidR="00FB47E0" w:rsidRPr="00A67563" w:rsidRDefault="00FB47E0" w:rsidP="008B6A4A">
      <w:pPr>
        <w:autoSpaceDE w:val="0"/>
        <w:autoSpaceDN w:val="0"/>
        <w:adjustRightInd w:val="0"/>
        <w:spacing w:line="360" w:lineRule="auto"/>
        <w:jc w:val="left"/>
        <w:rPr>
          <w:color w:val="000000" w:themeColor="text1"/>
          <w:kern w:val="0"/>
          <w:sz w:val="24"/>
        </w:rPr>
      </w:pPr>
    </w:p>
    <w:p w:rsidR="0008610C" w:rsidRDefault="0076518F" w:rsidP="0008610C">
      <w:pPr>
        <w:autoSpaceDE w:val="0"/>
        <w:autoSpaceDN w:val="0"/>
        <w:adjustRightInd w:val="0"/>
        <w:spacing w:line="360" w:lineRule="auto"/>
        <w:jc w:val="left"/>
        <w:rPr>
          <w:b/>
          <w:color w:val="000000"/>
          <w:kern w:val="0"/>
          <w:sz w:val="24"/>
        </w:rPr>
      </w:pPr>
      <w:r w:rsidRPr="00A67563">
        <w:rPr>
          <w:b/>
          <w:color w:val="000000" w:themeColor="text1"/>
          <w:kern w:val="0"/>
          <w:sz w:val="24"/>
        </w:rPr>
        <w:t>4.</w:t>
      </w:r>
      <w:r w:rsidR="00A32FDA" w:rsidRPr="00A67563">
        <w:rPr>
          <w:b/>
          <w:color w:val="000000" w:themeColor="text1"/>
          <w:kern w:val="0"/>
          <w:sz w:val="24"/>
        </w:rPr>
        <w:t>3</w:t>
      </w:r>
      <w:r w:rsidR="0008610C">
        <w:rPr>
          <w:rFonts w:hint="eastAsia"/>
          <w:b/>
          <w:color w:val="000000"/>
          <w:kern w:val="0"/>
          <w:sz w:val="24"/>
        </w:rPr>
        <w:t>报告期内本基金运作遵规守信情况说明</w:t>
      </w:r>
    </w:p>
    <w:p w:rsidR="00363E15" w:rsidRPr="00A67563" w:rsidRDefault="00363E15" w:rsidP="00636CF5">
      <w:pPr>
        <w:spacing w:line="360" w:lineRule="auto"/>
        <w:ind w:firstLineChars="200" w:firstLine="480"/>
        <w:rPr>
          <w:color w:val="000000" w:themeColor="text1"/>
          <w:sz w:val="24"/>
        </w:rPr>
      </w:pPr>
      <w:r w:rsidRPr="00A67563">
        <w:rPr>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6518F" w:rsidRPr="00A67563" w:rsidRDefault="0076518F" w:rsidP="00A70E23">
      <w:pPr>
        <w:autoSpaceDE w:val="0"/>
        <w:autoSpaceDN w:val="0"/>
        <w:adjustRightInd w:val="0"/>
        <w:spacing w:line="360" w:lineRule="auto"/>
        <w:jc w:val="left"/>
        <w:rPr>
          <w:color w:val="000000" w:themeColor="text1"/>
          <w:kern w:val="0"/>
          <w:sz w:val="24"/>
        </w:rPr>
      </w:pPr>
    </w:p>
    <w:p w:rsidR="0076518F" w:rsidRPr="00A67563" w:rsidRDefault="0076518F" w:rsidP="00A70E2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A32FDA" w:rsidRPr="00A67563">
        <w:rPr>
          <w:b/>
          <w:color w:val="000000" w:themeColor="text1"/>
          <w:kern w:val="0"/>
          <w:sz w:val="24"/>
        </w:rPr>
        <w:t>4</w:t>
      </w:r>
      <w:r w:rsidRPr="00A67563">
        <w:rPr>
          <w:b/>
          <w:color w:val="000000" w:themeColor="text1"/>
          <w:kern w:val="0"/>
          <w:sz w:val="24"/>
        </w:rPr>
        <w:t xml:space="preserve"> </w:t>
      </w:r>
      <w:r w:rsidRPr="00A67563">
        <w:rPr>
          <w:b/>
          <w:color w:val="000000" w:themeColor="text1"/>
          <w:kern w:val="0"/>
          <w:sz w:val="24"/>
        </w:rPr>
        <w:t>公平交易专项说明</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4.1</w:t>
      </w:r>
      <w:r w:rsidRPr="00A67563">
        <w:rPr>
          <w:color w:val="000000" w:themeColor="text1"/>
          <w:sz w:val="24"/>
        </w:rPr>
        <w:t>公平交易制度的执行情况</w:t>
      </w:r>
    </w:p>
    <w:p w:rsidR="00AB42E2" w:rsidRPr="00A67563" w:rsidRDefault="001F3C28" w:rsidP="00797DD2">
      <w:pPr>
        <w:spacing w:line="360" w:lineRule="auto"/>
        <w:ind w:firstLineChars="200" w:firstLine="480"/>
        <w:rPr>
          <w:color w:val="000000" w:themeColor="text1"/>
          <w:sz w:val="24"/>
        </w:rPr>
      </w:pPr>
      <w:r w:rsidRPr="00A67563">
        <w:rPr>
          <w:color w:val="000000" w:themeColor="text1"/>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w:t>
      </w:r>
      <w:r w:rsidRPr="00A67563">
        <w:rPr>
          <w:color w:val="000000" w:themeColor="text1"/>
          <w:sz w:val="24"/>
        </w:rPr>
        <w:t>.</w:t>
      </w:r>
      <w:r w:rsidR="00A32FDA" w:rsidRPr="00A67563">
        <w:rPr>
          <w:color w:val="000000" w:themeColor="text1"/>
          <w:sz w:val="24"/>
        </w:rPr>
        <w:t>2</w:t>
      </w:r>
      <w:r w:rsidRPr="00A67563">
        <w:rPr>
          <w:color w:val="000000" w:themeColor="text1"/>
          <w:sz w:val="24"/>
        </w:rPr>
        <w:t>异常交易行为的专项说明</w:t>
      </w:r>
    </w:p>
    <w:p w:rsidR="00CF3555" w:rsidRDefault="00EA4BDD">
      <w:pPr>
        <w:spacing w:line="360" w:lineRule="auto"/>
        <w:ind w:firstLineChars="200" w:firstLine="480"/>
        <w:rPr>
          <w:color w:val="000000" w:themeColor="text1"/>
          <w:sz w:val="24"/>
        </w:rPr>
      </w:pPr>
      <w:r>
        <w:rPr>
          <w:color w:val="000000" w:themeColor="text1"/>
          <w:sz w:val="24"/>
        </w:rPr>
        <w:t>本报告期内，公司旗下所有投资组合参与的交易所公开竞价交易中，同日反向交易成交较少的单边交易量超过该证券当日成交量的</w:t>
      </w:r>
      <w:r>
        <w:rPr>
          <w:color w:val="000000" w:themeColor="text1"/>
          <w:sz w:val="24"/>
        </w:rPr>
        <w:t>5%</w:t>
      </w:r>
      <w:r>
        <w:rPr>
          <w:color w:val="000000" w:themeColor="text1"/>
          <w:sz w:val="24"/>
        </w:rPr>
        <w:t>的交易共</w:t>
      </w:r>
      <w:r>
        <w:rPr>
          <w:color w:val="000000" w:themeColor="text1"/>
          <w:sz w:val="24"/>
        </w:rPr>
        <w:t>28</w:t>
      </w:r>
      <w:r>
        <w:rPr>
          <w:color w:val="000000" w:themeColor="text1"/>
          <w:sz w:val="24"/>
        </w:rPr>
        <w:t>次，其中</w:t>
      </w:r>
      <w:r>
        <w:rPr>
          <w:color w:val="000000" w:themeColor="text1"/>
          <w:sz w:val="24"/>
        </w:rPr>
        <w:t>27</w:t>
      </w:r>
      <w:r>
        <w:rPr>
          <w:color w:val="000000" w:themeColor="text1"/>
          <w:sz w:val="24"/>
        </w:rPr>
        <w:t>次为指数量化投资组合因投资策略需要和其他组合发生的反向交易，</w:t>
      </w:r>
      <w:r>
        <w:rPr>
          <w:color w:val="000000" w:themeColor="text1"/>
          <w:sz w:val="24"/>
        </w:rPr>
        <w:t>1</w:t>
      </w:r>
      <w:r>
        <w:rPr>
          <w:color w:val="000000" w:themeColor="text1"/>
          <w:sz w:val="24"/>
        </w:rPr>
        <w:t>次为不同基金经理管理的基金因投资策略不同而发生的反向交易，有关基金经</w:t>
      </w:r>
      <w:r>
        <w:rPr>
          <w:color w:val="000000" w:themeColor="text1"/>
          <w:sz w:val="24"/>
        </w:rPr>
        <w:t>理按规定履行了审批程序。</w:t>
      </w:r>
    </w:p>
    <w:p w:rsidR="001F3C28" w:rsidRPr="00A67563" w:rsidRDefault="001F3C28" w:rsidP="00797DD2">
      <w:pPr>
        <w:spacing w:line="360" w:lineRule="auto"/>
        <w:ind w:firstLineChars="200" w:firstLine="480"/>
        <w:rPr>
          <w:color w:val="000000" w:themeColor="text1"/>
          <w:sz w:val="24"/>
        </w:rPr>
      </w:pPr>
      <w:r w:rsidRPr="00A67563">
        <w:rPr>
          <w:color w:val="000000" w:themeColor="text1"/>
          <w:sz w:val="24"/>
        </w:rPr>
        <w:t>本报告期内，未发现本基金有可能导致不公平交易和利益输送的异常交易。</w:t>
      </w:r>
    </w:p>
    <w:p w:rsidR="0076518F" w:rsidRPr="00A67563" w:rsidRDefault="0076518F" w:rsidP="00A70E23">
      <w:pPr>
        <w:autoSpaceDE w:val="0"/>
        <w:autoSpaceDN w:val="0"/>
        <w:adjustRightInd w:val="0"/>
        <w:spacing w:line="360" w:lineRule="auto"/>
        <w:jc w:val="left"/>
        <w:rPr>
          <w:color w:val="000000" w:themeColor="text1"/>
          <w:kern w:val="0"/>
          <w:sz w:val="24"/>
        </w:rPr>
      </w:pPr>
    </w:p>
    <w:p w:rsidR="0067094A" w:rsidRDefault="0076518F" w:rsidP="0067094A">
      <w:pPr>
        <w:autoSpaceDE w:val="0"/>
        <w:autoSpaceDN w:val="0"/>
        <w:adjustRightInd w:val="0"/>
        <w:spacing w:line="360" w:lineRule="auto"/>
        <w:jc w:val="left"/>
        <w:rPr>
          <w:sz w:val="24"/>
        </w:rPr>
      </w:pPr>
      <w:r w:rsidRPr="00A67563">
        <w:rPr>
          <w:b/>
          <w:color w:val="000000" w:themeColor="text1"/>
          <w:kern w:val="0"/>
          <w:sz w:val="24"/>
        </w:rPr>
        <w:t>4.</w:t>
      </w:r>
      <w:r w:rsidR="00A32FDA" w:rsidRPr="00A67563">
        <w:rPr>
          <w:b/>
          <w:color w:val="000000" w:themeColor="text1"/>
          <w:kern w:val="0"/>
          <w:sz w:val="24"/>
        </w:rPr>
        <w:t>5</w:t>
      </w:r>
      <w:r w:rsidRPr="00A67563">
        <w:rPr>
          <w:b/>
          <w:color w:val="000000" w:themeColor="text1"/>
          <w:kern w:val="0"/>
          <w:sz w:val="24"/>
        </w:rPr>
        <w:t xml:space="preserve"> </w:t>
      </w:r>
      <w:r w:rsidR="0067094A">
        <w:rPr>
          <w:rFonts w:hint="eastAsia"/>
          <w:b/>
          <w:color w:val="000000"/>
          <w:kern w:val="0"/>
          <w:sz w:val="24"/>
        </w:rPr>
        <w:t>报告期内基金的投资策略和业绩表现说明</w:t>
      </w:r>
    </w:p>
    <w:p w:rsidR="00CF3555" w:rsidRDefault="00EA4BDD">
      <w:pPr>
        <w:spacing w:line="360" w:lineRule="auto"/>
        <w:ind w:firstLineChars="200" w:firstLine="480"/>
        <w:rPr>
          <w:color w:val="000000" w:themeColor="text1"/>
          <w:sz w:val="24"/>
        </w:rPr>
      </w:pPr>
      <w:r>
        <w:rPr>
          <w:color w:val="000000" w:themeColor="text1"/>
          <w:sz w:val="24"/>
        </w:rPr>
        <w:t>四季度中美贸易争端得到阶段性的平息，全球央行持续推动资产负债表的扩张以及全球经济触底回升的迹象推动风险偏好的反弹。全球中长端债券收益率的上行对黄金形成了部分下跌的压力，然而，在美联储重新扩张资产负债表，短端利率依然保持稳定的环境下，美元开始走弱，推动黄金在年底重拾上升势头。</w:t>
      </w:r>
    </w:p>
    <w:p w:rsidR="00CF3555" w:rsidRDefault="00EA4BDD">
      <w:pPr>
        <w:spacing w:line="360" w:lineRule="auto"/>
        <w:ind w:firstLineChars="200" w:firstLine="480"/>
        <w:rPr>
          <w:color w:val="000000" w:themeColor="text1"/>
          <w:sz w:val="24"/>
        </w:rPr>
      </w:pPr>
      <w:r>
        <w:rPr>
          <w:color w:val="000000" w:themeColor="text1"/>
          <w:sz w:val="24"/>
        </w:rPr>
        <w:t>本基金在四季度黄金下跌后逐渐提升黄金与金矿股基金的仓位水平，在年末黄金的上涨中取得较好的回报。</w:t>
      </w:r>
    </w:p>
    <w:p w:rsidR="00FD7298" w:rsidRPr="00A67563" w:rsidRDefault="0067094A" w:rsidP="00F47E2F">
      <w:pPr>
        <w:spacing w:line="360" w:lineRule="auto"/>
        <w:ind w:firstLineChars="200" w:firstLine="480"/>
        <w:rPr>
          <w:color w:val="000000" w:themeColor="text1"/>
          <w:sz w:val="24"/>
        </w:rPr>
      </w:pPr>
      <w:r w:rsidRPr="00F47E2F">
        <w:rPr>
          <w:color w:val="000000" w:themeColor="text1"/>
          <w:sz w:val="24"/>
        </w:rPr>
        <w:t>截至报告期末，本基金</w:t>
      </w:r>
      <w:r w:rsidRPr="00F47E2F">
        <w:rPr>
          <w:color w:val="000000" w:themeColor="text1"/>
          <w:sz w:val="24"/>
        </w:rPr>
        <w:t>A</w:t>
      </w:r>
      <w:r w:rsidRPr="00F47E2F">
        <w:rPr>
          <w:color w:val="000000" w:themeColor="text1"/>
          <w:sz w:val="24"/>
        </w:rPr>
        <w:t>类基金份额净值为</w:t>
      </w:r>
      <w:r w:rsidRPr="00F47E2F">
        <w:rPr>
          <w:color w:val="000000" w:themeColor="text1"/>
          <w:sz w:val="24"/>
        </w:rPr>
        <w:t>0.855</w:t>
      </w:r>
      <w:r w:rsidRPr="00F47E2F">
        <w:rPr>
          <w:color w:val="000000" w:themeColor="text1"/>
          <w:sz w:val="24"/>
        </w:rPr>
        <w:t>元，本报告期份额净值增长率为</w:t>
      </w:r>
      <w:r w:rsidRPr="00F47E2F">
        <w:rPr>
          <w:color w:val="000000" w:themeColor="text1"/>
          <w:sz w:val="24"/>
        </w:rPr>
        <w:t>6.74%</w:t>
      </w:r>
      <w:r w:rsidRPr="00F47E2F">
        <w:rPr>
          <w:color w:val="000000" w:themeColor="text1"/>
          <w:sz w:val="24"/>
        </w:rPr>
        <w:t>，同期业绩比较基准收益率为</w:t>
      </w:r>
      <w:r w:rsidRPr="00F47E2F">
        <w:rPr>
          <w:color w:val="000000" w:themeColor="text1"/>
          <w:sz w:val="24"/>
        </w:rPr>
        <w:t>3.47%</w:t>
      </w:r>
      <w:r w:rsidRPr="00F47E2F">
        <w:rPr>
          <w:color w:val="000000" w:themeColor="text1"/>
          <w:sz w:val="24"/>
        </w:rPr>
        <w:t>；</w:t>
      </w:r>
      <w:r w:rsidRPr="00F47E2F">
        <w:rPr>
          <w:color w:val="000000" w:themeColor="text1"/>
          <w:sz w:val="24"/>
        </w:rPr>
        <w:t>C</w:t>
      </w:r>
      <w:r w:rsidRPr="00F47E2F">
        <w:rPr>
          <w:color w:val="000000" w:themeColor="text1"/>
          <w:sz w:val="24"/>
        </w:rPr>
        <w:t>类基金份额净值为</w:t>
      </w:r>
      <w:r w:rsidRPr="00F47E2F">
        <w:rPr>
          <w:color w:val="000000" w:themeColor="text1"/>
          <w:sz w:val="24"/>
        </w:rPr>
        <w:t>0.855</w:t>
      </w:r>
      <w:r w:rsidRPr="00F47E2F">
        <w:rPr>
          <w:color w:val="000000" w:themeColor="text1"/>
          <w:sz w:val="24"/>
        </w:rPr>
        <w:t>元，本报告期份额净值增长率为</w:t>
      </w:r>
      <w:r w:rsidRPr="00F47E2F">
        <w:rPr>
          <w:color w:val="000000" w:themeColor="text1"/>
          <w:sz w:val="24"/>
        </w:rPr>
        <w:t>6.21%</w:t>
      </w:r>
      <w:r w:rsidRPr="00F47E2F">
        <w:rPr>
          <w:color w:val="000000" w:themeColor="text1"/>
          <w:sz w:val="24"/>
        </w:rPr>
        <w:t>，同期业绩比较基准收益率为</w:t>
      </w:r>
      <w:r w:rsidRPr="00F47E2F">
        <w:rPr>
          <w:color w:val="000000" w:themeColor="text1"/>
          <w:sz w:val="24"/>
        </w:rPr>
        <w:t>5.86%</w:t>
      </w:r>
      <w:r w:rsidRPr="00F47E2F">
        <w:rPr>
          <w:color w:val="000000" w:themeColor="text1"/>
          <w:sz w:val="24"/>
        </w:rPr>
        <w:t>。</w:t>
      </w:r>
    </w:p>
    <w:p w:rsidR="00C736BB" w:rsidRPr="00A67563" w:rsidRDefault="00C736BB" w:rsidP="00A70E23">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§5  </w:t>
      </w:r>
      <w:r w:rsidRPr="00A67563">
        <w:rPr>
          <w:color w:val="000000" w:themeColor="text1"/>
          <w:kern w:val="0"/>
          <w:sz w:val="24"/>
          <w:szCs w:val="24"/>
        </w:rPr>
        <w:t>投资组合报告</w:t>
      </w: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5.1 </w:t>
      </w:r>
      <w:r w:rsidRPr="00A67563">
        <w:rPr>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67563" w:rsidTr="00592EFF">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序号</w:t>
            </w:r>
          </w:p>
        </w:tc>
        <w:tc>
          <w:tcPr>
            <w:tcW w:w="4253"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项目</w:t>
            </w:r>
          </w:p>
        </w:tc>
        <w:tc>
          <w:tcPr>
            <w:tcW w:w="2835"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金额</w:t>
            </w:r>
            <w:r w:rsidRPr="00A67563">
              <w:rPr>
                <w:color w:val="000000" w:themeColor="text1"/>
                <w:sz w:val="24"/>
              </w:rPr>
              <w:t>(</w:t>
            </w:r>
            <w:r w:rsidR="002655D4" w:rsidRPr="00A67563">
              <w:rPr>
                <w:color w:val="000000" w:themeColor="text1"/>
                <w:sz w:val="24"/>
              </w:rPr>
              <w:t>人民币</w:t>
            </w:r>
            <w:r w:rsidRPr="00A67563">
              <w:rPr>
                <w:color w:val="000000" w:themeColor="text1"/>
                <w:sz w:val="24"/>
              </w:rPr>
              <w:t>元</w:t>
            </w:r>
            <w:r w:rsidRPr="00A67563">
              <w:rPr>
                <w:color w:val="000000" w:themeColor="text1"/>
                <w:sz w:val="24"/>
              </w:rPr>
              <w:t>)</w:t>
            </w:r>
          </w:p>
        </w:tc>
        <w:tc>
          <w:tcPr>
            <w:tcW w:w="1559"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占基金总资产的比例</w:t>
            </w: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1</w:t>
            </w: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权益投资</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其中：</w:t>
            </w:r>
            <w:r w:rsidR="00E462F4" w:rsidRPr="00A67563">
              <w:rPr>
                <w:color w:val="000000" w:themeColor="text1"/>
                <w:sz w:val="24"/>
              </w:rPr>
              <w:t>普通股</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firstLineChars="300" w:firstLine="720"/>
              <w:rPr>
                <w:color w:val="000000" w:themeColor="text1"/>
                <w:sz w:val="24"/>
              </w:rPr>
            </w:pPr>
            <w:r w:rsidRPr="00A67563">
              <w:rPr>
                <w:color w:val="000000" w:themeColor="text1"/>
                <w:sz w:val="24"/>
              </w:rPr>
              <w:t>存托凭证</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优先股</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房地产信托</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2</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基金投资</w:t>
            </w:r>
          </w:p>
        </w:tc>
        <w:tc>
          <w:tcPr>
            <w:tcW w:w="2835"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344,380,599.43</w:t>
            </w:r>
          </w:p>
        </w:tc>
        <w:tc>
          <w:tcPr>
            <w:tcW w:w="1559"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88.74</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3</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固定收益投资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其中：债券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utoSpaceDE w:val="0"/>
              <w:autoSpaceDN w:val="0"/>
              <w:adjustRightInd w:val="0"/>
              <w:spacing w:before="29" w:line="360" w:lineRule="auto"/>
              <w:ind w:left="17" w:firstLineChars="300" w:firstLine="720"/>
              <w:rPr>
                <w:color w:val="000000" w:themeColor="text1"/>
                <w:sz w:val="24"/>
              </w:rPr>
            </w:pPr>
            <w:r w:rsidRPr="00A67563">
              <w:rPr>
                <w:color w:val="000000" w:themeColor="text1"/>
                <w:sz w:val="24"/>
              </w:rPr>
              <w:t>资产支持证券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4</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金融衍生品投资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其中：远期</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Del="00455464"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期货</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期权</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298" w:firstLine="715"/>
              <w:rPr>
                <w:color w:val="000000" w:themeColor="text1"/>
                <w:sz w:val="24"/>
              </w:rPr>
            </w:pPr>
            <w:r w:rsidRPr="00A67563">
              <w:rPr>
                <w:color w:val="000000" w:themeColor="text1"/>
                <w:sz w:val="24"/>
              </w:rPr>
              <w:t>权证</w:t>
            </w:r>
          </w:p>
        </w:tc>
        <w:tc>
          <w:tcPr>
            <w:tcW w:w="2835"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5</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买入返售金融资产</w:t>
            </w:r>
          </w:p>
        </w:tc>
        <w:tc>
          <w:tcPr>
            <w:tcW w:w="2835"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其中：买断式回购的买入返售金融资产</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6</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货币市场工具</w:t>
            </w:r>
          </w:p>
        </w:tc>
        <w:tc>
          <w:tcPr>
            <w:tcW w:w="2835"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7</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银行存款和结算备付金合计</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41,451,777.35</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10.68</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8</w:t>
            </w:r>
          </w:p>
        </w:tc>
        <w:tc>
          <w:tcPr>
            <w:tcW w:w="4253" w:type="dxa"/>
            <w:shd w:val="clear" w:color="auto" w:fill="auto"/>
            <w:vAlign w:val="center"/>
          </w:tcPr>
          <w:p w:rsidR="00E462F4" w:rsidRPr="00A67563" w:rsidRDefault="001457F4" w:rsidP="00797DD2">
            <w:pPr>
              <w:rPr>
                <w:color w:val="000000" w:themeColor="text1"/>
                <w:sz w:val="24"/>
              </w:rPr>
            </w:pPr>
            <w:r>
              <w:rPr>
                <w:color w:val="000000" w:themeColor="text1"/>
                <w:sz w:val="24"/>
              </w:rPr>
              <w:t>其他</w:t>
            </w:r>
            <w:r w:rsidR="00E462F4" w:rsidRPr="00A67563">
              <w:rPr>
                <w:color w:val="000000" w:themeColor="text1"/>
                <w:sz w:val="24"/>
              </w:rPr>
              <w:t>资产</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2,253,252.71</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0.58</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9</w:t>
            </w:r>
          </w:p>
        </w:tc>
        <w:tc>
          <w:tcPr>
            <w:tcW w:w="4253" w:type="dxa"/>
            <w:shd w:val="clear" w:color="auto" w:fill="auto"/>
            <w:vAlign w:val="center"/>
          </w:tcPr>
          <w:p w:rsidR="00E462F4" w:rsidRPr="00A67563" w:rsidRDefault="00E462F4" w:rsidP="00797DD2">
            <w:pPr>
              <w:rPr>
                <w:color w:val="000000" w:themeColor="text1"/>
                <w:sz w:val="24"/>
              </w:rPr>
            </w:pPr>
            <w:r w:rsidRPr="00A67563">
              <w:rPr>
                <w:color w:val="000000" w:themeColor="text1"/>
                <w:sz w:val="24"/>
              </w:rPr>
              <w:t>合计</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388,085,629.49</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100.00</w:t>
            </w:r>
          </w:p>
        </w:tc>
      </w:tr>
    </w:tbl>
    <w:p w:rsidR="00F512C0" w:rsidRPr="00A67563" w:rsidRDefault="00F512C0" w:rsidP="00363E15">
      <w:pPr>
        <w:autoSpaceDE w:val="0"/>
        <w:autoSpaceDN w:val="0"/>
        <w:adjustRightInd w:val="0"/>
        <w:spacing w:line="360" w:lineRule="auto"/>
        <w:jc w:val="left"/>
        <w:rPr>
          <w:color w:val="000000" w:themeColor="text1"/>
          <w:sz w:val="24"/>
        </w:rPr>
      </w:pPr>
    </w:p>
    <w:p w:rsidR="0076518F" w:rsidRPr="00A67563" w:rsidRDefault="00A82C02"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2</w:t>
      </w:r>
      <w:r w:rsidRPr="00A67563">
        <w:rPr>
          <w:b/>
          <w:color w:val="000000" w:themeColor="text1"/>
          <w:kern w:val="0"/>
          <w:sz w:val="24"/>
        </w:rPr>
        <w:t xml:space="preserve"> </w:t>
      </w:r>
      <w:r w:rsidR="0076518F" w:rsidRPr="00A67563">
        <w:rPr>
          <w:b/>
          <w:color w:val="000000" w:themeColor="text1"/>
          <w:kern w:val="0"/>
          <w:sz w:val="24"/>
        </w:rPr>
        <w:t>报告期末在各个国家（地区）证券市场的股票及存托凭证投资分布</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76518F" w:rsidRPr="00A67563" w:rsidRDefault="0076518F" w:rsidP="008B6A4A">
      <w:pPr>
        <w:autoSpaceDE w:val="0"/>
        <w:autoSpaceDN w:val="0"/>
        <w:adjustRightInd w:val="0"/>
        <w:spacing w:line="360" w:lineRule="auto"/>
        <w:jc w:val="left"/>
        <w:rPr>
          <w:color w:val="000000" w:themeColor="text1"/>
          <w:kern w:val="0"/>
          <w:sz w:val="24"/>
        </w:rPr>
      </w:pPr>
    </w:p>
    <w:p w:rsidR="00C37E98"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3</w:t>
      </w:r>
      <w:r w:rsidR="0076518F" w:rsidRPr="00A67563">
        <w:rPr>
          <w:b/>
          <w:color w:val="000000" w:themeColor="text1"/>
          <w:kern w:val="0"/>
          <w:sz w:val="24"/>
        </w:rPr>
        <w:t xml:space="preserve"> </w:t>
      </w:r>
      <w:r w:rsidR="0076518F" w:rsidRPr="00A67563">
        <w:rPr>
          <w:b/>
          <w:color w:val="000000" w:themeColor="text1"/>
          <w:kern w:val="0"/>
          <w:sz w:val="24"/>
        </w:rPr>
        <w:t>报告期末按行业分类的股票及存托凭证投资组合</w:t>
      </w:r>
    </w:p>
    <w:p w:rsidR="005B6AC7" w:rsidRPr="00A67563" w:rsidRDefault="000A521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0A521D" w:rsidRPr="00A67563" w:rsidRDefault="000A521D" w:rsidP="008B6A4A">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4</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报告期末按公允价值占基金资产净值比例大小排序的前十名股票及存托凭证投资明细</w:t>
      </w:r>
    </w:p>
    <w:p w:rsidR="00B62914" w:rsidRPr="00A67563" w:rsidRDefault="00E73C41"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521EDE" w:rsidRPr="00A67563" w:rsidRDefault="00521EDE" w:rsidP="00890172">
      <w:pPr>
        <w:autoSpaceDE w:val="0"/>
        <w:autoSpaceDN w:val="0"/>
        <w:adjustRightInd w:val="0"/>
        <w:spacing w:before="29" w:line="360" w:lineRule="auto"/>
        <w:ind w:left="15"/>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5</w:t>
      </w:r>
      <w:r w:rsidR="0076518F" w:rsidRPr="00A67563">
        <w:rPr>
          <w:b/>
          <w:color w:val="000000" w:themeColor="text1"/>
          <w:kern w:val="0"/>
          <w:sz w:val="24"/>
        </w:rPr>
        <w:t xml:space="preserve"> </w:t>
      </w:r>
      <w:r w:rsidR="0076518F" w:rsidRPr="00A67563">
        <w:rPr>
          <w:b/>
          <w:color w:val="000000" w:themeColor="text1"/>
          <w:kern w:val="0"/>
          <w:sz w:val="24"/>
        </w:rPr>
        <w:t>报告期末按债券信用等级分类的债券投资组合</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6</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的前五名债券投资明细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7</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的前十名资产支持证券投资明细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本基金本报告期末未持有资产支持证券。</w:t>
      </w:r>
    </w:p>
    <w:p w:rsidR="005B6AC7" w:rsidRPr="00A67563" w:rsidRDefault="005B6AC7" w:rsidP="00521EDE">
      <w:pPr>
        <w:autoSpaceDE w:val="0"/>
        <w:autoSpaceDN w:val="0"/>
        <w:adjustRightInd w:val="0"/>
        <w:spacing w:before="29" w:line="360" w:lineRule="auto"/>
        <w:ind w:left="15"/>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5.8</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的前五名金融衍生品投资明细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本基金本报告期末未持有金融衍生品。</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22A61"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5.9</w:t>
      </w:r>
      <w:r w:rsidR="0076518F" w:rsidRPr="00A67563">
        <w:rPr>
          <w:b/>
          <w:color w:val="000000" w:themeColor="text1"/>
          <w:kern w:val="0"/>
          <w:sz w:val="24"/>
        </w:rPr>
        <w:t>报告期末按公允价值占基金资产净值比例大小排序的前十名基金投资明细</w:t>
      </w:r>
    </w:p>
    <w:tbl>
      <w:tblPr>
        <w:tblStyle w:val="af7"/>
        <w:tblW w:w="0" w:type="auto"/>
        <w:tblInd w:w="15" w:type="dxa"/>
        <w:tblLook w:val="04A0" w:firstRow="1" w:lastRow="0" w:firstColumn="1" w:lastColumn="0" w:noHBand="0" w:noVBand="1"/>
      </w:tblPr>
      <w:tblGrid>
        <w:gridCol w:w="1184"/>
        <w:gridCol w:w="1185"/>
        <w:gridCol w:w="1185"/>
        <w:gridCol w:w="1185"/>
        <w:gridCol w:w="1185"/>
        <w:gridCol w:w="1331"/>
        <w:gridCol w:w="1258"/>
      </w:tblGrid>
      <w:tr w:rsidR="008277FF" w:rsidRPr="00A67563" w:rsidTr="00797DD2">
        <w:tc>
          <w:tcPr>
            <w:tcW w:w="1215"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序号</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基金名称</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基金类型</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运作方式</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管理人</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公允价值</w:t>
            </w:r>
          </w:p>
          <w:p w:rsidR="00017739" w:rsidRPr="00A67563" w:rsidRDefault="00017739" w:rsidP="00797DD2">
            <w:pPr>
              <w:spacing w:line="360" w:lineRule="auto"/>
              <w:jc w:val="center"/>
              <w:rPr>
                <w:color w:val="000000" w:themeColor="text1"/>
                <w:sz w:val="24"/>
              </w:rPr>
            </w:pPr>
            <w:r w:rsidRPr="00A67563">
              <w:rPr>
                <w:color w:val="000000" w:themeColor="text1"/>
                <w:sz w:val="24"/>
              </w:rPr>
              <w:t>（人民币元）</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占基金资产净值比例</w:t>
            </w:r>
            <w:r w:rsidRPr="00A67563">
              <w:rPr>
                <w:color w:val="000000" w:themeColor="text1"/>
                <w:sz w:val="24"/>
              </w:rPr>
              <w:t>(%)</w:t>
            </w:r>
          </w:p>
        </w:tc>
      </w:tr>
      <w:tr w:rsidR="00CF3555">
        <w:tc>
          <w:tcPr>
            <w:tcW w:w="0" w:type="auto"/>
            <w:vAlign w:val="center"/>
          </w:tcPr>
          <w:p w:rsidR="00CF3555" w:rsidRDefault="00EA4BDD">
            <w:pPr>
              <w:jc w:val="center"/>
            </w:pPr>
            <w:r>
              <w:rPr>
                <w:color w:val="000000" w:themeColor="text1"/>
                <w:sz w:val="24"/>
              </w:rPr>
              <w:t>1</w:t>
            </w:r>
          </w:p>
        </w:tc>
        <w:tc>
          <w:tcPr>
            <w:tcW w:w="0" w:type="auto"/>
            <w:vAlign w:val="center"/>
          </w:tcPr>
          <w:p w:rsidR="00CF3555" w:rsidRDefault="00EA4BDD">
            <w:pPr>
              <w:jc w:val="center"/>
            </w:pPr>
            <w:r>
              <w:rPr>
                <w:color w:val="000000" w:themeColor="text1"/>
                <w:sz w:val="24"/>
              </w:rPr>
              <w:t>iShares MSCI Global Gold Miners ETF</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 xml:space="preserve">BlackRock </w:t>
            </w:r>
            <w:r>
              <w:rPr>
                <w:color w:val="000000" w:themeColor="text1"/>
                <w:sz w:val="24"/>
              </w:rPr>
              <w:t>Fund Advisors</w:t>
            </w:r>
          </w:p>
        </w:tc>
        <w:tc>
          <w:tcPr>
            <w:tcW w:w="0" w:type="auto"/>
            <w:vAlign w:val="center"/>
          </w:tcPr>
          <w:p w:rsidR="00CF3555" w:rsidRDefault="00EA4BDD">
            <w:pPr>
              <w:jc w:val="right"/>
            </w:pPr>
            <w:r>
              <w:rPr>
                <w:color w:val="000000" w:themeColor="text1"/>
                <w:sz w:val="24"/>
              </w:rPr>
              <w:t>66,949,809.72</w:t>
            </w:r>
          </w:p>
        </w:tc>
        <w:tc>
          <w:tcPr>
            <w:tcW w:w="0" w:type="auto"/>
            <w:vAlign w:val="center"/>
          </w:tcPr>
          <w:p w:rsidR="00CF3555" w:rsidRDefault="00EA4BDD">
            <w:pPr>
              <w:jc w:val="right"/>
            </w:pPr>
            <w:r>
              <w:rPr>
                <w:color w:val="000000" w:themeColor="text1"/>
                <w:sz w:val="24"/>
              </w:rPr>
              <w:t>18.25</w:t>
            </w:r>
          </w:p>
        </w:tc>
      </w:tr>
      <w:tr w:rsidR="00CF3555">
        <w:tc>
          <w:tcPr>
            <w:tcW w:w="0" w:type="auto"/>
            <w:vAlign w:val="center"/>
          </w:tcPr>
          <w:p w:rsidR="00CF3555" w:rsidRDefault="00EA4BDD">
            <w:pPr>
              <w:jc w:val="center"/>
            </w:pPr>
            <w:r>
              <w:rPr>
                <w:color w:val="000000" w:themeColor="text1"/>
                <w:sz w:val="24"/>
              </w:rPr>
              <w:t>2</w:t>
            </w:r>
          </w:p>
        </w:tc>
        <w:tc>
          <w:tcPr>
            <w:tcW w:w="0" w:type="auto"/>
            <w:vAlign w:val="center"/>
          </w:tcPr>
          <w:p w:rsidR="00CF3555" w:rsidRDefault="00EA4BDD">
            <w:pPr>
              <w:jc w:val="center"/>
            </w:pPr>
            <w:r>
              <w:rPr>
                <w:color w:val="000000" w:themeColor="text1"/>
                <w:sz w:val="24"/>
              </w:rPr>
              <w:t>VanEck Vectors Gold Miners ETF</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Van Eck Associates Corp</w:t>
            </w:r>
          </w:p>
        </w:tc>
        <w:tc>
          <w:tcPr>
            <w:tcW w:w="0" w:type="auto"/>
            <w:vAlign w:val="center"/>
          </w:tcPr>
          <w:p w:rsidR="00CF3555" w:rsidRDefault="00EA4BDD">
            <w:pPr>
              <w:jc w:val="right"/>
            </w:pPr>
            <w:r>
              <w:rPr>
                <w:color w:val="000000" w:themeColor="text1"/>
                <w:sz w:val="24"/>
              </w:rPr>
              <w:t>61,731,792.17</w:t>
            </w:r>
          </w:p>
        </w:tc>
        <w:tc>
          <w:tcPr>
            <w:tcW w:w="0" w:type="auto"/>
            <w:vAlign w:val="center"/>
          </w:tcPr>
          <w:p w:rsidR="00CF3555" w:rsidRDefault="00EA4BDD">
            <w:pPr>
              <w:jc w:val="right"/>
            </w:pPr>
            <w:r>
              <w:rPr>
                <w:color w:val="000000" w:themeColor="text1"/>
                <w:sz w:val="24"/>
              </w:rPr>
              <w:t>16.83</w:t>
            </w:r>
          </w:p>
        </w:tc>
      </w:tr>
      <w:tr w:rsidR="00CF3555">
        <w:tc>
          <w:tcPr>
            <w:tcW w:w="0" w:type="auto"/>
            <w:vAlign w:val="center"/>
          </w:tcPr>
          <w:p w:rsidR="00CF3555" w:rsidRDefault="00EA4BDD">
            <w:pPr>
              <w:jc w:val="center"/>
            </w:pPr>
            <w:r>
              <w:rPr>
                <w:color w:val="000000" w:themeColor="text1"/>
                <w:sz w:val="24"/>
              </w:rPr>
              <w:t>3</w:t>
            </w:r>
          </w:p>
        </w:tc>
        <w:tc>
          <w:tcPr>
            <w:tcW w:w="0" w:type="auto"/>
            <w:vAlign w:val="center"/>
          </w:tcPr>
          <w:p w:rsidR="00CF3555" w:rsidRDefault="00EA4BDD">
            <w:pPr>
              <w:jc w:val="center"/>
            </w:pPr>
            <w:r>
              <w:rPr>
                <w:color w:val="000000" w:themeColor="text1"/>
                <w:sz w:val="24"/>
              </w:rPr>
              <w:t>SPDR Gold MiniShares Trust</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World Gold Trust Services LLC</w:t>
            </w:r>
          </w:p>
        </w:tc>
        <w:tc>
          <w:tcPr>
            <w:tcW w:w="0" w:type="auto"/>
            <w:vAlign w:val="center"/>
          </w:tcPr>
          <w:p w:rsidR="00CF3555" w:rsidRDefault="00EA4BDD">
            <w:pPr>
              <w:jc w:val="right"/>
            </w:pPr>
            <w:r>
              <w:rPr>
                <w:color w:val="000000" w:themeColor="text1"/>
                <w:sz w:val="24"/>
              </w:rPr>
              <w:t>56,829,929.80</w:t>
            </w:r>
          </w:p>
        </w:tc>
        <w:tc>
          <w:tcPr>
            <w:tcW w:w="0" w:type="auto"/>
            <w:vAlign w:val="center"/>
          </w:tcPr>
          <w:p w:rsidR="00CF3555" w:rsidRDefault="00EA4BDD">
            <w:pPr>
              <w:jc w:val="right"/>
            </w:pPr>
            <w:r>
              <w:rPr>
                <w:color w:val="000000" w:themeColor="text1"/>
                <w:sz w:val="24"/>
              </w:rPr>
              <w:t>15.49</w:t>
            </w:r>
          </w:p>
        </w:tc>
      </w:tr>
      <w:tr w:rsidR="00CF3555">
        <w:tc>
          <w:tcPr>
            <w:tcW w:w="0" w:type="auto"/>
            <w:vAlign w:val="center"/>
          </w:tcPr>
          <w:p w:rsidR="00CF3555" w:rsidRDefault="00EA4BDD">
            <w:pPr>
              <w:jc w:val="center"/>
            </w:pPr>
            <w:r>
              <w:rPr>
                <w:color w:val="000000" w:themeColor="text1"/>
                <w:sz w:val="24"/>
              </w:rPr>
              <w:t>4</w:t>
            </w:r>
          </w:p>
        </w:tc>
        <w:tc>
          <w:tcPr>
            <w:tcW w:w="0" w:type="auto"/>
            <w:vAlign w:val="center"/>
          </w:tcPr>
          <w:p w:rsidR="00CF3555" w:rsidRDefault="00EA4BDD">
            <w:pPr>
              <w:jc w:val="center"/>
            </w:pPr>
            <w:r>
              <w:rPr>
                <w:color w:val="000000" w:themeColor="text1"/>
                <w:sz w:val="24"/>
              </w:rPr>
              <w:t>SPDR Gold Shares</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 xml:space="preserve">World Gold Trust </w:t>
            </w:r>
            <w:r>
              <w:rPr>
                <w:color w:val="000000" w:themeColor="text1"/>
                <w:sz w:val="24"/>
              </w:rPr>
              <w:t>Services LLC</w:t>
            </w:r>
          </w:p>
        </w:tc>
        <w:tc>
          <w:tcPr>
            <w:tcW w:w="0" w:type="auto"/>
            <w:vAlign w:val="center"/>
          </w:tcPr>
          <w:p w:rsidR="00CF3555" w:rsidRDefault="00EA4BDD">
            <w:pPr>
              <w:jc w:val="right"/>
            </w:pPr>
            <w:r>
              <w:rPr>
                <w:color w:val="000000" w:themeColor="text1"/>
                <w:sz w:val="24"/>
              </w:rPr>
              <w:t>41,161,958.88</w:t>
            </w:r>
          </w:p>
        </w:tc>
        <w:tc>
          <w:tcPr>
            <w:tcW w:w="0" w:type="auto"/>
            <w:vAlign w:val="center"/>
          </w:tcPr>
          <w:p w:rsidR="00CF3555" w:rsidRDefault="00EA4BDD">
            <w:pPr>
              <w:jc w:val="right"/>
            </w:pPr>
            <w:r>
              <w:rPr>
                <w:color w:val="000000" w:themeColor="text1"/>
                <w:sz w:val="24"/>
              </w:rPr>
              <w:t>11.22</w:t>
            </w:r>
          </w:p>
        </w:tc>
      </w:tr>
      <w:tr w:rsidR="00CF3555">
        <w:tc>
          <w:tcPr>
            <w:tcW w:w="0" w:type="auto"/>
            <w:vAlign w:val="center"/>
          </w:tcPr>
          <w:p w:rsidR="00CF3555" w:rsidRDefault="00EA4BDD">
            <w:pPr>
              <w:jc w:val="center"/>
            </w:pPr>
            <w:r>
              <w:rPr>
                <w:color w:val="000000" w:themeColor="text1"/>
                <w:sz w:val="24"/>
              </w:rPr>
              <w:t>5</w:t>
            </w:r>
          </w:p>
        </w:tc>
        <w:tc>
          <w:tcPr>
            <w:tcW w:w="0" w:type="auto"/>
            <w:vAlign w:val="center"/>
          </w:tcPr>
          <w:p w:rsidR="00CF3555" w:rsidRDefault="00EA4BDD">
            <w:pPr>
              <w:jc w:val="center"/>
            </w:pPr>
            <w:r>
              <w:rPr>
                <w:color w:val="000000" w:themeColor="text1"/>
                <w:sz w:val="24"/>
              </w:rPr>
              <w:t>iShares Gold Trust</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BlackRock Fund Advisors</w:t>
            </w:r>
          </w:p>
        </w:tc>
        <w:tc>
          <w:tcPr>
            <w:tcW w:w="0" w:type="auto"/>
            <w:vAlign w:val="center"/>
          </w:tcPr>
          <w:p w:rsidR="00CF3555" w:rsidRDefault="00EA4BDD">
            <w:pPr>
              <w:jc w:val="right"/>
            </w:pPr>
            <w:r>
              <w:rPr>
                <w:color w:val="000000" w:themeColor="text1"/>
                <w:sz w:val="24"/>
              </w:rPr>
              <w:t>41,112,284.85</w:t>
            </w:r>
          </w:p>
        </w:tc>
        <w:tc>
          <w:tcPr>
            <w:tcW w:w="0" w:type="auto"/>
            <w:vAlign w:val="center"/>
          </w:tcPr>
          <w:p w:rsidR="00CF3555" w:rsidRDefault="00EA4BDD">
            <w:pPr>
              <w:jc w:val="right"/>
            </w:pPr>
            <w:r>
              <w:rPr>
                <w:color w:val="000000" w:themeColor="text1"/>
                <w:sz w:val="24"/>
              </w:rPr>
              <w:t>11.21</w:t>
            </w:r>
          </w:p>
        </w:tc>
      </w:tr>
      <w:tr w:rsidR="00CF3555">
        <w:tc>
          <w:tcPr>
            <w:tcW w:w="0" w:type="auto"/>
            <w:vAlign w:val="center"/>
          </w:tcPr>
          <w:p w:rsidR="00CF3555" w:rsidRDefault="00EA4BDD">
            <w:pPr>
              <w:jc w:val="center"/>
            </w:pPr>
            <w:r>
              <w:rPr>
                <w:color w:val="000000" w:themeColor="text1"/>
                <w:sz w:val="24"/>
              </w:rPr>
              <w:t>6</w:t>
            </w:r>
          </w:p>
        </w:tc>
        <w:tc>
          <w:tcPr>
            <w:tcW w:w="0" w:type="auto"/>
            <w:vAlign w:val="center"/>
          </w:tcPr>
          <w:p w:rsidR="00CF3555" w:rsidRDefault="00EA4BDD">
            <w:pPr>
              <w:jc w:val="center"/>
            </w:pPr>
            <w:r>
              <w:rPr>
                <w:color w:val="000000" w:themeColor="text1"/>
                <w:sz w:val="24"/>
              </w:rPr>
              <w:t>Sprott Gold Miners ETF</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ALPS Advisors Inc</w:t>
            </w:r>
          </w:p>
        </w:tc>
        <w:tc>
          <w:tcPr>
            <w:tcW w:w="0" w:type="auto"/>
            <w:vAlign w:val="center"/>
          </w:tcPr>
          <w:p w:rsidR="00CF3555" w:rsidRDefault="00EA4BDD">
            <w:pPr>
              <w:jc w:val="right"/>
            </w:pPr>
            <w:r>
              <w:rPr>
                <w:color w:val="000000" w:themeColor="text1"/>
                <w:sz w:val="24"/>
              </w:rPr>
              <w:t>28,094,686.58</w:t>
            </w:r>
          </w:p>
        </w:tc>
        <w:tc>
          <w:tcPr>
            <w:tcW w:w="0" w:type="auto"/>
            <w:vAlign w:val="center"/>
          </w:tcPr>
          <w:p w:rsidR="00CF3555" w:rsidRDefault="00EA4BDD">
            <w:pPr>
              <w:jc w:val="right"/>
            </w:pPr>
            <w:r>
              <w:rPr>
                <w:color w:val="000000" w:themeColor="text1"/>
                <w:sz w:val="24"/>
              </w:rPr>
              <w:t>7.66</w:t>
            </w:r>
          </w:p>
        </w:tc>
      </w:tr>
      <w:tr w:rsidR="00CF3555">
        <w:tc>
          <w:tcPr>
            <w:tcW w:w="0" w:type="auto"/>
            <w:vAlign w:val="center"/>
          </w:tcPr>
          <w:p w:rsidR="00CF3555" w:rsidRDefault="00EA4BDD">
            <w:pPr>
              <w:jc w:val="center"/>
            </w:pPr>
            <w:r>
              <w:rPr>
                <w:color w:val="000000" w:themeColor="text1"/>
                <w:sz w:val="24"/>
              </w:rPr>
              <w:t>7</w:t>
            </w:r>
          </w:p>
        </w:tc>
        <w:tc>
          <w:tcPr>
            <w:tcW w:w="0" w:type="auto"/>
            <w:vAlign w:val="center"/>
          </w:tcPr>
          <w:p w:rsidR="00CF3555" w:rsidRDefault="00EA4BDD">
            <w:pPr>
              <w:jc w:val="center"/>
            </w:pPr>
            <w:r>
              <w:rPr>
                <w:color w:val="000000" w:themeColor="text1"/>
                <w:sz w:val="24"/>
              </w:rPr>
              <w:t>INVESTEC GS GLOBAL GOLD-I</w:t>
            </w:r>
          </w:p>
        </w:tc>
        <w:tc>
          <w:tcPr>
            <w:tcW w:w="0" w:type="auto"/>
            <w:vAlign w:val="center"/>
          </w:tcPr>
          <w:p w:rsidR="00CF3555" w:rsidRDefault="00EA4BDD">
            <w:pPr>
              <w:jc w:val="center"/>
            </w:pPr>
            <w:r>
              <w:rPr>
                <w:color w:val="000000" w:themeColor="text1"/>
                <w:sz w:val="24"/>
              </w:rPr>
              <w:t>SICAV</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Investec Asset Management Luxembourg SA</w:t>
            </w:r>
          </w:p>
        </w:tc>
        <w:tc>
          <w:tcPr>
            <w:tcW w:w="0" w:type="auto"/>
            <w:vAlign w:val="center"/>
          </w:tcPr>
          <w:p w:rsidR="00CF3555" w:rsidRDefault="00EA4BDD">
            <w:pPr>
              <w:jc w:val="right"/>
            </w:pPr>
            <w:r>
              <w:rPr>
                <w:color w:val="000000" w:themeColor="text1"/>
                <w:sz w:val="24"/>
              </w:rPr>
              <w:t>14,716,577.34</w:t>
            </w:r>
          </w:p>
        </w:tc>
        <w:tc>
          <w:tcPr>
            <w:tcW w:w="0" w:type="auto"/>
            <w:vAlign w:val="center"/>
          </w:tcPr>
          <w:p w:rsidR="00CF3555" w:rsidRDefault="00EA4BDD">
            <w:pPr>
              <w:jc w:val="right"/>
            </w:pPr>
            <w:r>
              <w:rPr>
                <w:color w:val="000000" w:themeColor="text1"/>
                <w:sz w:val="24"/>
              </w:rPr>
              <w:t>4.01</w:t>
            </w:r>
          </w:p>
        </w:tc>
      </w:tr>
      <w:tr w:rsidR="00CF3555">
        <w:tc>
          <w:tcPr>
            <w:tcW w:w="0" w:type="auto"/>
            <w:vAlign w:val="center"/>
          </w:tcPr>
          <w:p w:rsidR="00CF3555" w:rsidRDefault="00EA4BDD">
            <w:pPr>
              <w:jc w:val="center"/>
            </w:pPr>
            <w:r>
              <w:rPr>
                <w:color w:val="000000" w:themeColor="text1"/>
                <w:sz w:val="24"/>
              </w:rPr>
              <w:t>8</w:t>
            </w:r>
          </w:p>
        </w:tc>
        <w:tc>
          <w:tcPr>
            <w:tcW w:w="0" w:type="auto"/>
            <w:vAlign w:val="center"/>
          </w:tcPr>
          <w:p w:rsidR="00CF3555" w:rsidRDefault="00EA4BDD">
            <w:pPr>
              <w:jc w:val="center"/>
            </w:pPr>
            <w:r>
              <w:rPr>
                <w:color w:val="000000" w:themeColor="text1"/>
                <w:sz w:val="24"/>
              </w:rPr>
              <w:t>Sprott Junior Gold Miners ETF</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ALPS Advisors Inc</w:t>
            </w:r>
          </w:p>
        </w:tc>
        <w:tc>
          <w:tcPr>
            <w:tcW w:w="0" w:type="auto"/>
            <w:vAlign w:val="center"/>
          </w:tcPr>
          <w:p w:rsidR="00CF3555" w:rsidRDefault="00EA4BDD">
            <w:pPr>
              <w:jc w:val="right"/>
            </w:pPr>
            <w:r>
              <w:rPr>
                <w:color w:val="000000" w:themeColor="text1"/>
                <w:sz w:val="24"/>
              </w:rPr>
              <w:t>12,817,814.83</w:t>
            </w:r>
          </w:p>
        </w:tc>
        <w:tc>
          <w:tcPr>
            <w:tcW w:w="0" w:type="auto"/>
            <w:vAlign w:val="center"/>
          </w:tcPr>
          <w:p w:rsidR="00CF3555" w:rsidRDefault="00EA4BDD">
            <w:pPr>
              <w:jc w:val="right"/>
            </w:pPr>
            <w:r>
              <w:rPr>
                <w:color w:val="000000" w:themeColor="text1"/>
                <w:sz w:val="24"/>
              </w:rPr>
              <w:t>3.49</w:t>
            </w:r>
          </w:p>
        </w:tc>
      </w:tr>
      <w:tr w:rsidR="00CF3555">
        <w:tc>
          <w:tcPr>
            <w:tcW w:w="0" w:type="auto"/>
            <w:vAlign w:val="center"/>
          </w:tcPr>
          <w:p w:rsidR="00CF3555" w:rsidRDefault="00EA4BDD">
            <w:pPr>
              <w:jc w:val="center"/>
            </w:pPr>
            <w:r>
              <w:rPr>
                <w:color w:val="000000" w:themeColor="text1"/>
                <w:sz w:val="24"/>
              </w:rPr>
              <w:t>9</w:t>
            </w:r>
          </w:p>
        </w:tc>
        <w:tc>
          <w:tcPr>
            <w:tcW w:w="0" w:type="auto"/>
            <w:vAlign w:val="center"/>
          </w:tcPr>
          <w:p w:rsidR="00CF3555" w:rsidRDefault="00EA4BDD">
            <w:pPr>
              <w:jc w:val="center"/>
            </w:pPr>
            <w:r>
              <w:rPr>
                <w:color w:val="000000" w:themeColor="text1"/>
                <w:sz w:val="24"/>
              </w:rPr>
              <w:t>VanEck Vectors Junior Gold Miners ETF</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Van Eck Associates Corp</w:t>
            </w:r>
          </w:p>
        </w:tc>
        <w:tc>
          <w:tcPr>
            <w:tcW w:w="0" w:type="auto"/>
            <w:vAlign w:val="center"/>
          </w:tcPr>
          <w:p w:rsidR="00CF3555" w:rsidRDefault="00EA4BDD">
            <w:pPr>
              <w:jc w:val="right"/>
            </w:pPr>
            <w:r>
              <w:rPr>
                <w:color w:val="000000" w:themeColor="text1"/>
                <w:sz w:val="24"/>
              </w:rPr>
              <w:t>11,714,147.90</w:t>
            </w:r>
          </w:p>
        </w:tc>
        <w:tc>
          <w:tcPr>
            <w:tcW w:w="0" w:type="auto"/>
            <w:vAlign w:val="center"/>
          </w:tcPr>
          <w:p w:rsidR="00CF3555" w:rsidRDefault="00EA4BDD">
            <w:pPr>
              <w:jc w:val="right"/>
            </w:pPr>
            <w:r>
              <w:rPr>
                <w:color w:val="000000" w:themeColor="text1"/>
                <w:sz w:val="24"/>
              </w:rPr>
              <w:t>3.19</w:t>
            </w:r>
          </w:p>
        </w:tc>
      </w:tr>
      <w:tr w:rsidR="00CF3555">
        <w:tc>
          <w:tcPr>
            <w:tcW w:w="0" w:type="auto"/>
            <w:vAlign w:val="center"/>
          </w:tcPr>
          <w:p w:rsidR="00CF3555" w:rsidRDefault="00EA4BDD">
            <w:pPr>
              <w:jc w:val="center"/>
            </w:pPr>
            <w:r>
              <w:rPr>
                <w:color w:val="000000" w:themeColor="text1"/>
                <w:sz w:val="24"/>
              </w:rPr>
              <w:t>10</w:t>
            </w:r>
          </w:p>
        </w:tc>
        <w:tc>
          <w:tcPr>
            <w:tcW w:w="0" w:type="auto"/>
            <w:vAlign w:val="center"/>
          </w:tcPr>
          <w:p w:rsidR="00CF3555" w:rsidRDefault="00EA4BDD">
            <w:pPr>
              <w:jc w:val="center"/>
            </w:pPr>
            <w:r>
              <w:rPr>
                <w:color w:val="000000" w:themeColor="text1"/>
                <w:sz w:val="24"/>
              </w:rPr>
              <w:t>Direxion Daily Junior Gold Miners Index Bull 3x Shares</w:t>
            </w:r>
          </w:p>
        </w:tc>
        <w:tc>
          <w:tcPr>
            <w:tcW w:w="0" w:type="auto"/>
            <w:vAlign w:val="center"/>
          </w:tcPr>
          <w:p w:rsidR="00CF3555" w:rsidRDefault="00EA4BDD">
            <w:pPr>
              <w:jc w:val="center"/>
            </w:pPr>
            <w:r>
              <w:rPr>
                <w:color w:val="000000" w:themeColor="text1"/>
                <w:sz w:val="24"/>
              </w:rPr>
              <w:t>ETF</w:t>
            </w:r>
          </w:p>
        </w:tc>
        <w:tc>
          <w:tcPr>
            <w:tcW w:w="0" w:type="auto"/>
            <w:vAlign w:val="center"/>
          </w:tcPr>
          <w:p w:rsidR="00CF3555" w:rsidRDefault="00EA4BDD">
            <w:pPr>
              <w:jc w:val="center"/>
            </w:pPr>
            <w:r>
              <w:rPr>
                <w:color w:val="000000" w:themeColor="text1"/>
                <w:sz w:val="24"/>
              </w:rPr>
              <w:t>开放式</w:t>
            </w:r>
          </w:p>
        </w:tc>
        <w:tc>
          <w:tcPr>
            <w:tcW w:w="0" w:type="auto"/>
            <w:vAlign w:val="center"/>
          </w:tcPr>
          <w:p w:rsidR="00CF3555" w:rsidRDefault="00EA4BDD">
            <w:pPr>
              <w:jc w:val="center"/>
            </w:pPr>
            <w:r>
              <w:rPr>
                <w:color w:val="000000" w:themeColor="text1"/>
                <w:sz w:val="24"/>
              </w:rPr>
              <w:t>Rafferty Asset Management LLC</w:t>
            </w:r>
          </w:p>
        </w:tc>
        <w:tc>
          <w:tcPr>
            <w:tcW w:w="0" w:type="auto"/>
            <w:vAlign w:val="center"/>
          </w:tcPr>
          <w:p w:rsidR="00CF3555" w:rsidRDefault="00EA4BDD">
            <w:pPr>
              <w:jc w:val="right"/>
            </w:pPr>
            <w:r>
              <w:rPr>
                <w:color w:val="000000" w:themeColor="text1"/>
                <w:sz w:val="24"/>
              </w:rPr>
              <w:t>5,577,884.40</w:t>
            </w:r>
          </w:p>
        </w:tc>
        <w:tc>
          <w:tcPr>
            <w:tcW w:w="0" w:type="auto"/>
            <w:vAlign w:val="center"/>
          </w:tcPr>
          <w:p w:rsidR="00CF3555" w:rsidRDefault="00EA4BDD">
            <w:pPr>
              <w:jc w:val="right"/>
            </w:pPr>
            <w:r>
              <w:rPr>
                <w:color w:val="000000" w:themeColor="text1"/>
                <w:sz w:val="24"/>
              </w:rPr>
              <w:t>1.52</w:t>
            </w:r>
          </w:p>
        </w:tc>
      </w:tr>
    </w:tbl>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55EA7"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76518F" w:rsidRPr="00A67563">
        <w:rPr>
          <w:b/>
          <w:color w:val="000000" w:themeColor="text1"/>
          <w:kern w:val="0"/>
          <w:sz w:val="24"/>
        </w:rPr>
        <w:t>.</w:t>
      </w:r>
      <w:r w:rsidRPr="00A67563">
        <w:rPr>
          <w:b/>
          <w:color w:val="000000" w:themeColor="text1"/>
          <w:kern w:val="0"/>
          <w:sz w:val="24"/>
        </w:rPr>
        <w:t>10</w:t>
      </w:r>
      <w:r w:rsidR="0076518F" w:rsidRPr="00A67563">
        <w:rPr>
          <w:b/>
          <w:color w:val="000000" w:themeColor="text1"/>
          <w:kern w:val="0"/>
          <w:sz w:val="24"/>
        </w:rPr>
        <w:t xml:space="preserve"> </w:t>
      </w:r>
      <w:r w:rsidR="0076518F" w:rsidRPr="00A67563">
        <w:rPr>
          <w:b/>
          <w:color w:val="000000" w:themeColor="text1"/>
          <w:kern w:val="0"/>
          <w:sz w:val="24"/>
        </w:rPr>
        <w:t>投资组合报告附注</w:t>
      </w:r>
    </w:p>
    <w:p w:rsidR="00B55EA7" w:rsidRPr="00A67563" w:rsidRDefault="00B55EA7" w:rsidP="000E3F11">
      <w:pPr>
        <w:widowControl/>
        <w:spacing w:line="360" w:lineRule="auto"/>
        <w:ind w:left="120" w:hangingChars="50" w:hanging="120"/>
        <w:rPr>
          <w:color w:val="000000" w:themeColor="text1"/>
          <w:sz w:val="24"/>
        </w:rPr>
      </w:pPr>
      <w:r w:rsidRPr="00A67563">
        <w:rPr>
          <w:color w:val="000000" w:themeColor="text1"/>
          <w:sz w:val="24"/>
        </w:rPr>
        <w:t>5.10.1</w:t>
      </w:r>
      <w:r w:rsidRPr="00A67563">
        <w:rPr>
          <w:color w:val="000000" w:themeColor="text1"/>
          <w:sz w:val="24"/>
        </w:rPr>
        <w:t>本基金投资的前十名证券的发行主体本期没有出现被监管部门立案调查，或在报告编制日前一年内受到公开谴责、处罚的情形。</w:t>
      </w:r>
    </w:p>
    <w:p w:rsidR="00B55EA7" w:rsidRPr="00A67563" w:rsidRDefault="00B55EA7" w:rsidP="00B55EA7">
      <w:pPr>
        <w:widowControl/>
        <w:spacing w:line="360" w:lineRule="auto"/>
        <w:rPr>
          <w:color w:val="000000" w:themeColor="text1"/>
          <w:sz w:val="24"/>
        </w:rPr>
      </w:pPr>
      <w:r w:rsidRPr="00A67563">
        <w:rPr>
          <w:color w:val="000000" w:themeColor="text1"/>
          <w:sz w:val="24"/>
        </w:rPr>
        <w:t>5.10.2</w:t>
      </w:r>
      <w:r w:rsidRPr="00A67563">
        <w:rPr>
          <w:color w:val="000000" w:themeColor="text1"/>
          <w:sz w:val="24"/>
        </w:rPr>
        <w:t>本基金投资的前十名股票没有超出基金合同规定的备选股票库。</w:t>
      </w:r>
    </w:p>
    <w:p w:rsidR="0076518F" w:rsidRPr="00A67563" w:rsidRDefault="008C71EB"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.3</w:t>
      </w:r>
      <w:r w:rsidR="0076518F" w:rsidRPr="00A67563">
        <w:rPr>
          <w:b/>
          <w:color w:val="000000" w:themeColor="text1"/>
          <w:kern w:val="0"/>
          <w:sz w:val="24"/>
        </w:rPr>
        <w:t>其他</w:t>
      </w:r>
      <w:r w:rsidR="00B26CF4">
        <w:rPr>
          <w:rFonts w:hint="eastAsia"/>
          <w:b/>
          <w:color w:val="000000" w:themeColor="text1"/>
          <w:kern w:val="0"/>
          <w:sz w:val="24"/>
        </w:rPr>
        <w:t>各项</w:t>
      </w:r>
      <w:r w:rsidR="0076518F" w:rsidRPr="00A67563">
        <w:rPr>
          <w:b/>
          <w:color w:val="000000" w:themeColor="text1"/>
          <w:kern w:val="0"/>
          <w:sz w:val="24"/>
        </w:rPr>
        <w:t>资产构成</w:t>
      </w:r>
    </w:p>
    <w:tbl>
      <w:tblPr>
        <w:tblStyle w:val="af7"/>
        <w:tblW w:w="0" w:type="auto"/>
        <w:tblInd w:w="15" w:type="dxa"/>
        <w:tblLayout w:type="fixed"/>
        <w:tblLook w:val="04A0" w:firstRow="1" w:lastRow="0" w:firstColumn="1" w:lastColumn="0" w:noHBand="0" w:noVBand="1"/>
      </w:tblPr>
      <w:tblGrid>
        <w:gridCol w:w="802"/>
        <w:gridCol w:w="2903"/>
        <w:gridCol w:w="4808"/>
      </w:tblGrid>
      <w:tr w:rsidR="008277FF" w:rsidRPr="00A67563" w:rsidTr="004C05F3">
        <w:tc>
          <w:tcPr>
            <w:tcW w:w="802"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序号</w:t>
            </w:r>
          </w:p>
        </w:tc>
        <w:tc>
          <w:tcPr>
            <w:tcW w:w="2903"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名称</w:t>
            </w:r>
          </w:p>
        </w:tc>
        <w:tc>
          <w:tcPr>
            <w:tcW w:w="4808"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金额</w:t>
            </w:r>
            <w:r w:rsidRPr="00A67563">
              <w:rPr>
                <w:color w:val="000000" w:themeColor="text1"/>
                <w:kern w:val="0"/>
                <w:sz w:val="24"/>
              </w:rPr>
              <w:t>(</w:t>
            </w:r>
            <w:r w:rsidR="00C42431" w:rsidRPr="00A67563">
              <w:rPr>
                <w:color w:val="000000" w:themeColor="text1"/>
                <w:kern w:val="0"/>
                <w:sz w:val="24"/>
              </w:rPr>
              <w:t>人民币</w:t>
            </w:r>
            <w:r w:rsidRPr="00A67563">
              <w:rPr>
                <w:color w:val="000000" w:themeColor="text1"/>
                <w:kern w:val="0"/>
                <w:sz w:val="24"/>
              </w:rPr>
              <w:t>元</w:t>
            </w: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kern w:val="0"/>
                <w:sz w:val="24"/>
              </w:rPr>
            </w:pPr>
            <w:r w:rsidRPr="00A67563">
              <w:rPr>
                <w:color w:val="000000" w:themeColor="text1"/>
                <w:sz w:val="24"/>
              </w:rPr>
              <w:t>1</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存出保证金</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2</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应收证券清算款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3</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应收股利</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4</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应收利息</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6,939.82</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5</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应收申购款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2,246,312.89</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6</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其他应收款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7</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sz w:val="24"/>
              </w:rPr>
            </w:pPr>
            <w:r w:rsidRPr="00A67563">
              <w:rPr>
                <w:color w:val="000000" w:themeColor="text1"/>
                <w:sz w:val="24"/>
              </w:rPr>
              <w:t>待摊费用</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sz w:val="24"/>
              </w:rPr>
            </w:pPr>
            <w:r w:rsidRPr="00A67563">
              <w:rPr>
                <w:color w:val="000000" w:themeColor="text1"/>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8</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9</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合计</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2,253,252.71</w:t>
            </w:r>
          </w:p>
        </w:tc>
      </w:tr>
    </w:tbl>
    <w:p w:rsidR="00A22D4B" w:rsidRPr="00A67563" w:rsidRDefault="00A22D4B" w:rsidP="00EC4BA3">
      <w:pPr>
        <w:autoSpaceDE w:val="0"/>
        <w:autoSpaceDN w:val="0"/>
        <w:adjustRightInd w:val="0"/>
        <w:spacing w:line="360" w:lineRule="auto"/>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.4</w:t>
      </w:r>
      <w:r w:rsidR="0076518F" w:rsidRPr="00A67563">
        <w:rPr>
          <w:b/>
          <w:color w:val="000000" w:themeColor="text1"/>
          <w:kern w:val="0"/>
          <w:sz w:val="24"/>
        </w:rPr>
        <w:t>报告期末持有的处于转股期的可转换债券明细</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本基金本报告期末未持有处于转股期的可转换债券。</w:t>
      </w:r>
    </w:p>
    <w:p w:rsidR="009E3391" w:rsidRPr="00A67563" w:rsidRDefault="009E3391" w:rsidP="002236BC">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 xml:space="preserve">.5 </w:t>
      </w:r>
      <w:r w:rsidR="0076518F" w:rsidRPr="00A67563">
        <w:rPr>
          <w:b/>
          <w:color w:val="000000" w:themeColor="text1"/>
          <w:kern w:val="0"/>
          <w:sz w:val="24"/>
        </w:rPr>
        <w:t>报告期末前十名股票中存在流通受限情况的说明</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本基金本报告期末未持有股票。</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§6  </w:t>
      </w:r>
      <w:r w:rsidRPr="00A67563">
        <w:rPr>
          <w:color w:val="000000" w:themeColor="text1"/>
          <w:kern w:val="0"/>
          <w:sz w:val="24"/>
          <w:szCs w:val="24"/>
        </w:rPr>
        <w:t>开放式基金份额变动</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单位：份</w:t>
      </w:r>
    </w:p>
    <w:tbl>
      <w:tblPr>
        <w:tblW w:w="8634" w:type="dxa"/>
        <w:jc w:val="center"/>
        <w:tblLayout w:type="fixed"/>
        <w:tblLook w:val="0000" w:firstRow="0" w:lastRow="0" w:firstColumn="0" w:lastColumn="0" w:noHBand="0" w:noVBand="0"/>
      </w:tblPr>
      <w:tblGrid>
        <w:gridCol w:w="3900"/>
        <w:gridCol w:w="2367"/>
        <w:gridCol w:w="2367"/>
      </w:tblGrid>
      <w:tr w:rsidR="0022505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484,852,555.58</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44,774,057.98</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610,006.59</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100,923,226.30</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156,187.72</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428,703,387.26</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453,818.87</w:t>
            </w:r>
          </w:p>
        </w:tc>
      </w:tr>
    </w:tbl>
    <w:p w:rsidR="00322A5E" w:rsidRPr="00A67563" w:rsidRDefault="00322A5E" w:rsidP="002D6955">
      <w:pPr>
        <w:autoSpaceDE w:val="0"/>
        <w:autoSpaceDN w:val="0"/>
        <w:adjustRightInd w:val="0"/>
        <w:spacing w:line="360" w:lineRule="auto"/>
        <w:jc w:val="left"/>
        <w:rPr>
          <w:color w:val="000000" w:themeColor="text1"/>
          <w:sz w:val="24"/>
        </w:rPr>
      </w:pPr>
      <w:r w:rsidRPr="00A67563">
        <w:rPr>
          <w:color w:val="000000" w:themeColor="text1"/>
          <w:sz w:val="24"/>
        </w:rPr>
        <w:t>注：本基金</w:t>
      </w:r>
      <w:r w:rsidRPr="00A67563">
        <w:rPr>
          <w:color w:val="000000" w:themeColor="text1"/>
          <w:sz w:val="24"/>
        </w:rPr>
        <w:t>A</w:t>
      </w:r>
      <w:r w:rsidRPr="00A67563">
        <w:rPr>
          <w:color w:val="000000" w:themeColor="text1"/>
          <w:sz w:val="24"/>
        </w:rPr>
        <w:t>类人民币份额由原易方达黄金主题（</w:t>
      </w:r>
      <w:r w:rsidRPr="00A67563">
        <w:rPr>
          <w:color w:val="000000" w:themeColor="text1"/>
          <w:sz w:val="24"/>
        </w:rPr>
        <w:t>QDII-LOF-FOF</w:t>
      </w:r>
      <w:r w:rsidRPr="00A67563">
        <w:rPr>
          <w:color w:val="000000" w:themeColor="text1"/>
          <w:sz w:val="24"/>
        </w:rPr>
        <w:t>）变更而来，并于</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11</w:t>
      </w:r>
      <w:r w:rsidRPr="00A67563">
        <w:rPr>
          <w:color w:val="000000" w:themeColor="text1"/>
          <w:sz w:val="24"/>
        </w:rPr>
        <w:t>日起增设</w:t>
      </w:r>
      <w:r w:rsidRPr="00A67563">
        <w:rPr>
          <w:color w:val="000000" w:themeColor="text1"/>
          <w:sz w:val="24"/>
        </w:rPr>
        <w:t>A</w:t>
      </w:r>
      <w:r w:rsidRPr="00A67563">
        <w:rPr>
          <w:color w:val="000000" w:themeColor="text1"/>
          <w:sz w:val="24"/>
        </w:rPr>
        <w:t>类美元份额、</w:t>
      </w:r>
      <w:r w:rsidRPr="00A67563">
        <w:rPr>
          <w:color w:val="000000" w:themeColor="text1"/>
          <w:sz w:val="24"/>
        </w:rPr>
        <w:t>C</w:t>
      </w:r>
      <w:r w:rsidRPr="00A67563">
        <w:rPr>
          <w:color w:val="000000" w:themeColor="text1"/>
          <w:sz w:val="24"/>
        </w:rPr>
        <w:t>类人民币份额及</w:t>
      </w:r>
      <w:r w:rsidRPr="00A67563">
        <w:rPr>
          <w:color w:val="000000" w:themeColor="text1"/>
          <w:sz w:val="24"/>
        </w:rPr>
        <w:t>C</w:t>
      </w:r>
      <w:r w:rsidRPr="00A67563">
        <w:rPr>
          <w:color w:val="000000" w:themeColor="text1"/>
          <w:sz w:val="24"/>
        </w:rPr>
        <w:t>类美元份额，本报告期的相关数据按实际存续期计算。易方达黄金主题（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份额变动含</w:t>
      </w:r>
      <w:r w:rsidRPr="00A67563">
        <w:rPr>
          <w:color w:val="000000" w:themeColor="text1"/>
          <w:sz w:val="24"/>
        </w:rPr>
        <w:t>A</w:t>
      </w:r>
      <w:r w:rsidRPr="00A67563">
        <w:rPr>
          <w:color w:val="000000" w:themeColor="text1"/>
          <w:sz w:val="24"/>
        </w:rPr>
        <w:t>类人民币份额及</w:t>
      </w:r>
      <w:r w:rsidRPr="00A67563">
        <w:rPr>
          <w:color w:val="000000" w:themeColor="text1"/>
          <w:sz w:val="24"/>
        </w:rPr>
        <w:t>A</w:t>
      </w:r>
      <w:r w:rsidRPr="00A67563">
        <w:rPr>
          <w:color w:val="000000" w:themeColor="text1"/>
          <w:sz w:val="24"/>
        </w:rPr>
        <w:t>类美元份额；易方达黄金主题（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份额变动含</w:t>
      </w:r>
      <w:r w:rsidRPr="00A67563">
        <w:rPr>
          <w:color w:val="000000" w:themeColor="text1"/>
          <w:sz w:val="24"/>
        </w:rPr>
        <w:t>C</w:t>
      </w:r>
      <w:r w:rsidRPr="00A67563">
        <w:rPr>
          <w:color w:val="000000" w:themeColor="text1"/>
          <w:sz w:val="24"/>
        </w:rPr>
        <w:t>类人民币份额及</w:t>
      </w:r>
      <w:r w:rsidRPr="00A67563">
        <w:rPr>
          <w:color w:val="000000" w:themeColor="text1"/>
          <w:sz w:val="24"/>
        </w:rPr>
        <w:t>C</w:t>
      </w:r>
      <w:r w:rsidRPr="00A67563">
        <w:rPr>
          <w:color w:val="000000" w:themeColor="text1"/>
          <w:sz w:val="24"/>
        </w:rPr>
        <w:t>类美元份额。</w:t>
      </w:r>
    </w:p>
    <w:p w:rsidR="00BB5F3D" w:rsidRPr="00A67563" w:rsidRDefault="00BB5F3D" w:rsidP="00775284">
      <w:pPr>
        <w:pStyle w:val="1"/>
        <w:tabs>
          <w:tab w:val="center" w:pos="4156"/>
          <w:tab w:val="right" w:pos="8312"/>
        </w:tabs>
        <w:spacing w:beforeLines="100" w:before="312" w:afterLines="100" w:after="312" w:line="360" w:lineRule="auto"/>
        <w:jc w:val="center"/>
        <w:rPr>
          <w:color w:val="000000" w:themeColor="text1"/>
          <w:sz w:val="24"/>
        </w:rPr>
      </w:pPr>
      <w:r w:rsidRPr="00A67563">
        <w:rPr>
          <w:color w:val="000000" w:themeColor="text1"/>
          <w:kern w:val="0"/>
          <w:sz w:val="24"/>
          <w:szCs w:val="24"/>
        </w:rPr>
        <w:t xml:space="preserve">§7  </w:t>
      </w:r>
      <w:r w:rsidRPr="00A67563">
        <w:rPr>
          <w:color w:val="000000" w:themeColor="text1"/>
          <w:sz w:val="24"/>
          <w:szCs w:val="24"/>
        </w:rPr>
        <w:t>基金管理人运用固有资金投资本基金</w:t>
      </w:r>
      <w:r w:rsidR="00775284">
        <w:rPr>
          <w:rFonts w:hint="eastAsia"/>
          <w:color w:val="000000"/>
          <w:kern w:val="0"/>
          <w:sz w:val="24"/>
        </w:rPr>
        <w:t>交易明细</w:t>
      </w:r>
    </w:p>
    <w:p w:rsidR="005E64DA" w:rsidRPr="00A67563" w:rsidRDefault="00BB5F3D" w:rsidP="00E2281D">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本报告期内基金管理人未运用固有资金申购、赎回、买卖本基金份额。</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w:t>
      </w:r>
      <w:r w:rsidR="002711AA" w:rsidRPr="00A67563">
        <w:rPr>
          <w:color w:val="000000" w:themeColor="text1"/>
          <w:kern w:val="0"/>
          <w:sz w:val="24"/>
          <w:szCs w:val="24"/>
        </w:rPr>
        <w:t>8</w:t>
      </w:r>
      <w:r w:rsidR="00BD7FC1" w:rsidRPr="00A67563">
        <w:rPr>
          <w:bCs w:val="0"/>
          <w:color w:val="000000" w:themeColor="text1"/>
          <w:kern w:val="2"/>
          <w:sz w:val="24"/>
          <w:szCs w:val="24"/>
        </w:rPr>
        <w:t xml:space="preserve">  </w:t>
      </w:r>
      <w:r w:rsidRPr="00A67563">
        <w:rPr>
          <w:color w:val="000000" w:themeColor="text1"/>
          <w:kern w:val="0"/>
          <w:sz w:val="24"/>
          <w:szCs w:val="24"/>
        </w:rPr>
        <w:t>备查文件目录</w:t>
      </w: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1</w:t>
      </w:r>
      <w:r w:rsidR="008975BC" w:rsidRPr="00A67563">
        <w:rPr>
          <w:b/>
          <w:bCs/>
          <w:color w:val="000000" w:themeColor="text1"/>
          <w:kern w:val="0"/>
          <w:sz w:val="24"/>
        </w:rPr>
        <w:t xml:space="preserve"> </w:t>
      </w:r>
      <w:r w:rsidR="008975BC" w:rsidRPr="00A67563">
        <w:rPr>
          <w:b/>
          <w:bCs/>
          <w:color w:val="000000" w:themeColor="text1"/>
          <w:kern w:val="0"/>
          <w:sz w:val="24"/>
        </w:rPr>
        <w:t>备查文件目录</w:t>
      </w:r>
    </w:p>
    <w:p w:rsidR="00CF3555" w:rsidRDefault="00EA4BDD">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中国证监会核准易方达黄金主题证券投资基金（</w:t>
      </w:r>
      <w:r>
        <w:rPr>
          <w:color w:val="000000" w:themeColor="text1"/>
          <w:sz w:val="24"/>
        </w:rPr>
        <w:t>LOF</w:t>
      </w:r>
      <w:r>
        <w:rPr>
          <w:color w:val="000000" w:themeColor="text1"/>
          <w:sz w:val="24"/>
        </w:rPr>
        <w:t>）募集的文件；</w:t>
      </w:r>
    </w:p>
    <w:p w:rsidR="00CF3555" w:rsidRDefault="00EA4BDD">
      <w:pPr>
        <w:spacing w:line="360" w:lineRule="auto"/>
        <w:ind w:firstLineChars="200" w:firstLine="480"/>
        <w:rPr>
          <w:color w:val="000000" w:themeColor="text1"/>
          <w:sz w:val="24"/>
        </w:rPr>
      </w:pPr>
      <w:r>
        <w:rPr>
          <w:color w:val="000000" w:themeColor="text1"/>
          <w:sz w:val="24"/>
        </w:rPr>
        <w:t>2.</w:t>
      </w:r>
      <w:r>
        <w:rPr>
          <w:color w:val="000000" w:themeColor="text1"/>
          <w:sz w:val="24"/>
        </w:rPr>
        <w:t>《易方达黄金主题证券投资基金（</w:t>
      </w:r>
      <w:r>
        <w:rPr>
          <w:color w:val="000000" w:themeColor="text1"/>
          <w:sz w:val="24"/>
        </w:rPr>
        <w:t>LOF</w:t>
      </w:r>
      <w:r>
        <w:rPr>
          <w:color w:val="000000" w:themeColor="text1"/>
          <w:sz w:val="24"/>
        </w:rPr>
        <w:t>）基金合同》；</w:t>
      </w:r>
    </w:p>
    <w:p w:rsidR="00CF3555" w:rsidRDefault="00EA4BDD">
      <w:pPr>
        <w:spacing w:line="360" w:lineRule="auto"/>
        <w:ind w:firstLineChars="200" w:firstLine="480"/>
        <w:rPr>
          <w:color w:val="000000" w:themeColor="text1"/>
          <w:sz w:val="24"/>
        </w:rPr>
      </w:pPr>
      <w:r>
        <w:rPr>
          <w:color w:val="000000" w:themeColor="text1"/>
          <w:sz w:val="24"/>
        </w:rPr>
        <w:t>3.</w:t>
      </w:r>
      <w:r>
        <w:rPr>
          <w:color w:val="000000" w:themeColor="text1"/>
          <w:sz w:val="24"/>
        </w:rPr>
        <w:t>《易方达黄金主题证券投资基金（</w:t>
      </w:r>
      <w:r>
        <w:rPr>
          <w:color w:val="000000" w:themeColor="text1"/>
          <w:sz w:val="24"/>
        </w:rPr>
        <w:t>LOF</w:t>
      </w:r>
      <w:r>
        <w:rPr>
          <w:color w:val="000000" w:themeColor="text1"/>
          <w:sz w:val="24"/>
        </w:rPr>
        <w:t>）托管协议》；</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 xml:space="preserve">4. </w:t>
      </w:r>
      <w:r w:rsidRPr="00A67563">
        <w:rPr>
          <w:color w:val="000000" w:themeColor="text1"/>
          <w:sz w:val="24"/>
        </w:rPr>
        <w:t>基金管理人业务资格批件和营业执照。</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2</w:t>
      </w:r>
      <w:r w:rsidR="008975BC" w:rsidRPr="00A67563">
        <w:rPr>
          <w:b/>
          <w:bCs/>
          <w:color w:val="000000" w:themeColor="text1"/>
          <w:kern w:val="0"/>
          <w:sz w:val="24"/>
        </w:rPr>
        <w:t xml:space="preserve"> </w:t>
      </w:r>
      <w:r w:rsidR="008975BC" w:rsidRPr="00A67563">
        <w:rPr>
          <w:b/>
          <w:bCs/>
          <w:color w:val="000000" w:themeColor="text1"/>
          <w:kern w:val="0"/>
          <w:sz w:val="24"/>
        </w:rPr>
        <w:t>存放地点</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广州市天河区珠江新城珠江东路</w:t>
      </w:r>
      <w:r w:rsidRPr="00A67563">
        <w:rPr>
          <w:color w:val="000000" w:themeColor="text1"/>
          <w:sz w:val="24"/>
        </w:rPr>
        <w:t>30</w:t>
      </w:r>
      <w:r w:rsidRPr="00A67563">
        <w:rPr>
          <w:color w:val="000000" w:themeColor="text1"/>
          <w:sz w:val="24"/>
        </w:rPr>
        <w:t>号广州银行大厦</w:t>
      </w:r>
      <w:r w:rsidRPr="00A67563">
        <w:rPr>
          <w:color w:val="000000" w:themeColor="text1"/>
          <w:sz w:val="24"/>
        </w:rPr>
        <w:t>40-43</w:t>
      </w:r>
      <w:r w:rsidRPr="00A67563">
        <w:rPr>
          <w:color w:val="000000" w:themeColor="text1"/>
          <w:sz w:val="24"/>
        </w:rPr>
        <w:t>楼。</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3</w:t>
      </w:r>
      <w:r w:rsidR="008975BC" w:rsidRPr="00A67563">
        <w:rPr>
          <w:b/>
          <w:bCs/>
          <w:color w:val="000000" w:themeColor="text1"/>
          <w:kern w:val="0"/>
          <w:sz w:val="24"/>
        </w:rPr>
        <w:t xml:space="preserve"> </w:t>
      </w:r>
      <w:r w:rsidR="008975BC" w:rsidRPr="00A67563">
        <w:rPr>
          <w:b/>
          <w:bCs/>
          <w:color w:val="000000" w:themeColor="text1"/>
          <w:kern w:val="0"/>
          <w:sz w:val="24"/>
        </w:rPr>
        <w:t>查阅方式</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投资者可在营业时间免费查阅，也可按工本费购买复印件。</w:t>
      </w:r>
    </w:p>
    <w:p w:rsidR="0076518F" w:rsidRPr="00A67563" w:rsidRDefault="0076518F" w:rsidP="008B6A4A">
      <w:pPr>
        <w:spacing w:line="360" w:lineRule="auto"/>
        <w:ind w:firstLineChars="200" w:firstLine="480"/>
        <w:rPr>
          <w:color w:val="000000" w:themeColor="text1"/>
          <w:sz w:val="24"/>
        </w:rPr>
      </w:pPr>
    </w:p>
    <w:p w:rsidR="008A2EC6" w:rsidRPr="00A67563" w:rsidRDefault="008A2EC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76518F" w:rsidRPr="00A67563" w:rsidRDefault="0076518F" w:rsidP="008B6A4A">
      <w:pPr>
        <w:spacing w:line="360" w:lineRule="auto"/>
        <w:ind w:firstLineChars="200" w:firstLine="480"/>
        <w:rPr>
          <w:color w:val="000000" w:themeColor="text1"/>
          <w:sz w:val="24"/>
        </w:rPr>
      </w:pPr>
    </w:p>
    <w:p w:rsidR="008975BC" w:rsidRPr="00A67563" w:rsidRDefault="008975BC" w:rsidP="000C7596">
      <w:pPr>
        <w:spacing w:line="360" w:lineRule="auto"/>
        <w:jc w:val="right"/>
        <w:rPr>
          <w:b/>
          <w:bCs/>
          <w:color w:val="000000" w:themeColor="text1"/>
          <w:sz w:val="24"/>
        </w:rPr>
      </w:pPr>
      <w:r w:rsidRPr="00A67563">
        <w:rPr>
          <w:b/>
          <w:bCs/>
          <w:color w:val="000000" w:themeColor="text1"/>
          <w:sz w:val="24"/>
        </w:rPr>
        <w:t>易方达基金管理有限公司</w:t>
      </w:r>
    </w:p>
    <w:p w:rsidR="0076518F" w:rsidRPr="00A67563" w:rsidRDefault="00623556" w:rsidP="000C7596">
      <w:pPr>
        <w:spacing w:line="360" w:lineRule="auto"/>
        <w:jc w:val="right"/>
        <w:rPr>
          <w:b/>
          <w:bCs/>
          <w:color w:val="000000" w:themeColor="text1"/>
          <w:sz w:val="24"/>
        </w:rPr>
      </w:pPr>
      <w:r w:rsidRPr="00A67563">
        <w:rPr>
          <w:b/>
          <w:bCs/>
          <w:color w:val="000000" w:themeColor="text1"/>
          <w:sz w:val="24"/>
        </w:rPr>
        <w:t>二〇二〇年一月十八日</w:t>
      </w:r>
    </w:p>
    <w:sectPr w:rsidR="0076518F" w:rsidRPr="00A67563"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3A" w:rsidRDefault="0056133A">
      <w:r>
        <w:separator/>
      </w:r>
    </w:p>
  </w:endnote>
  <w:endnote w:type="continuationSeparator" w:id="0">
    <w:p w:rsidR="0056133A" w:rsidRDefault="0056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1D0DB0" w:rsidRDefault="00845292" w:rsidP="00B918B8">
    <w:pPr>
      <w:pStyle w:val="a6"/>
      <w:jc w:val="center"/>
    </w:pPr>
    <w:r>
      <w:rPr>
        <w:rFonts w:hint="eastAsia"/>
        <w:kern w:val="0"/>
        <w:szCs w:val="21"/>
      </w:rPr>
      <w:t>第</w:t>
    </w:r>
    <w:r w:rsidR="00C2458C">
      <w:rPr>
        <w:kern w:val="0"/>
        <w:szCs w:val="21"/>
      </w:rPr>
      <w:fldChar w:fldCharType="begin"/>
    </w:r>
    <w:r>
      <w:rPr>
        <w:kern w:val="0"/>
        <w:szCs w:val="21"/>
      </w:rPr>
      <w:instrText xml:space="preserve"> PAGE </w:instrText>
    </w:r>
    <w:r w:rsidR="00C2458C">
      <w:rPr>
        <w:kern w:val="0"/>
        <w:szCs w:val="21"/>
      </w:rPr>
      <w:fldChar w:fldCharType="separate"/>
    </w:r>
    <w:r w:rsidR="00EA4BDD">
      <w:rPr>
        <w:noProof/>
        <w:kern w:val="0"/>
        <w:szCs w:val="21"/>
      </w:rPr>
      <w:t>1</w:t>
    </w:r>
    <w:r w:rsidR="00C2458C">
      <w:rPr>
        <w:kern w:val="0"/>
        <w:szCs w:val="21"/>
      </w:rPr>
      <w:fldChar w:fldCharType="end"/>
    </w:r>
    <w:r>
      <w:rPr>
        <w:rFonts w:hint="eastAsia"/>
        <w:kern w:val="0"/>
        <w:szCs w:val="21"/>
      </w:rPr>
      <w:t>页共</w:t>
    </w:r>
    <w:r w:rsidR="00C2458C">
      <w:rPr>
        <w:kern w:val="0"/>
        <w:szCs w:val="21"/>
      </w:rPr>
      <w:fldChar w:fldCharType="begin"/>
    </w:r>
    <w:r>
      <w:rPr>
        <w:kern w:val="0"/>
        <w:szCs w:val="21"/>
      </w:rPr>
      <w:instrText xml:space="preserve"> NUMPAGES </w:instrText>
    </w:r>
    <w:r w:rsidR="00C2458C">
      <w:rPr>
        <w:kern w:val="0"/>
        <w:szCs w:val="21"/>
      </w:rPr>
      <w:fldChar w:fldCharType="separate"/>
    </w:r>
    <w:r w:rsidR="00EA4BDD">
      <w:rPr>
        <w:noProof/>
        <w:kern w:val="0"/>
        <w:szCs w:val="21"/>
      </w:rPr>
      <w:t>1</w:t>
    </w:r>
    <w:r w:rsidR="00C2458C">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end"/>
    </w:r>
  </w:p>
  <w:p w:rsidR="00845292" w:rsidRDefault="008452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separate"/>
    </w:r>
    <w:r w:rsidR="00EA4BDD">
      <w:rPr>
        <w:rStyle w:val="a7"/>
        <w:noProof/>
      </w:rPr>
      <w:t>2</w:t>
    </w:r>
    <w:r>
      <w:rPr>
        <w:rStyle w:val="a7"/>
      </w:rPr>
      <w:fldChar w:fldCharType="end"/>
    </w:r>
  </w:p>
  <w:p w:rsidR="00845292" w:rsidRDefault="0084529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3A" w:rsidRDefault="0056133A">
      <w:r>
        <w:separator/>
      </w:r>
    </w:p>
  </w:footnote>
  <w:footnote w:type="continuationSeparator" w:id="0">
    <w:p w:rsidR="0056133A" w:rsidRDefault="0056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6669C9" w:rsidRDefault="00845292" w:rsidP="001D1356">
    <w:pPr>
      <w:pStyle w:val="a9"/>
      <w:pBdr>
        <w:bottom w:val="single" w:sz="6" w:space="0" w:color="auto"/>
      </w:pBdr>
      <w:jc w:val="right"/>
    </w:pPr>
    <w:r w:rsidRPr="006669C9">
      <w:t>易方达黄金主题证券投资基金（</w:t>
    </w:r>
    <w:r w:rsidRPr="006669C9">
      <w:t>LOF</w:t>
    </w:r>
    <w:r w:rsidRPr="006669C9">
      <w:t>）</w:t>
    </w:r>
    <w:r w:rsidRPr="006669C9">
      <w:t>2019</w:t>
    </w:r>
    <w:r w:rsidRPr="006669C9">
      <w:t>年第</w:t>
    </w:r>
    <w:r w:rsidRPr="006669C9">
      <w:t>4</w:t>
    </w:r>
    <w:r w:rsidRPr="006669C9">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D4F"/>
    <w:rsid w:val="00011E10"/>
    <w:rsid w:val="00011EB5"/>
    <w:rsid w:val="00017581"/>
    <w:rsid w:val="00017739"/>
    <w:rsid w:val="00020583"/>
    <w:rsid w:val="00021DD4"/>
    <w:rsid w:val="0002303F"/>
    <w:rsid w:val="00023BE7"/>
    <w:rsid w:val="00026BFF"/>
    <w:rsid w:val="000306F0"/>
    <w:rsid w:val="0003091A"/>
    <w:rsid w:val="00037FCF"/>
    <w:rsid w:val="00041AB5"/>
    <w:rsid w:val="000421B8"/>
    <w:rsid w:val="00042C9C"/>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610C"/>
    <w:rsid w:val="000876A0"/>
    <w:rsid w:val="00087CF7"/>
    <w:rsid w:val="00094876"/>
    <w:rsid w:val="00095912"/>
    <w:rsid w:val="00095CE0"/>
    <w:rsid w:val="000965F7"/>
    <w:rsid w:val="000965FC"/>
    <w:rsid w:val="00096933"/>
    <w:rsid w:val="00097230"/>
    <w:rsid w:val="000A09BE"/>
    <w:rsid w:val="000A457E"/>
    <w:rsid w:val="000A521D"/>
    <w:rsid w:val="000A549A"/>
    <w:rsid w:val="000A55BD"/>
    <w:rsid w:val="000A72F2"/>
    <w:rsid w:val="000B0C56"/>
    <w:rsid w:val="000B3274"/>
    <w:rsid w:val="000B3E43"/>
    <w:rsid w:val="000C11E0"/>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EAF"/>
    <w:rsid w:val="00120FAF"/>
    <w:rsid w:val="0012150F"/>
    <w:rsid w:val="00121683"/>
    <w:rsid w:val="0012304E"/>
    <w:rsid w:val="00123B10"/>
    <w:rsid w:val="001248EF"/>
    <w:rsid w:val="001257C7"/>
    <w:rsid w:val="00126DDF"/>
    <w:rsid w:val="001270BF"/>
    <w:rsid w:val="00127BAC"/>
    <w:rsid w:val="001326FC"/>
    <w:rsid w:val="00142A56"/>
    <w:rsid w:val="00143B45"/>
    <w:rsid w:val="00144DF5"/>
    <w:rsid w:val="001457F4"/>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4DA0"/>
    <w:rsid w:val="00186199"/>
    <w:rsid w:val="0018734E"/>
    <w:rsid w:val="001928F7"/>
    <w:rsid w:val="00194537"/>
    <w:rsid w:val="00194F40"/>
    <w:rsid w:val="001A21A9"/>
    <w:rsid w:val="001A2E94"/>
    <w:rsid w:val="001A59D8"/>
    <w:rsid w:val="001A5FA6"/>
    <w:rsid w:val="001B28D0"/>
    <w:rsid w:val="001B2F0C"/>
    <w:rsid w:val="001C37F6"/>
    <w:rsid w:val="001C46E1"/>
    <w:rsid w:val="001C5C03"/>
    <w:rsid w:val="001C6288"/>
    <w:rsid w:val="001C7D5D"/>
    <w:rsid w:val="001D0F6A"/>
    <w:rsid w:val="001D1356"/>
    <w:rsid w:val="001D21BC"/>
    <w:rsid w:val="001D2AF9"/>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166D"/>
    <w:rsid w:val="002224FF"/>
    <w:rsid w:val="00222E8C"/>
    <w:rsid w:val="002236BC"/>
    <w:rsid w:val="00223DBB"/>
    <w:rsid w:val="00225051"/>
    <w:rsid w:val="002273CA"/>
    <w:rsid w:val="00232846"/>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58B5"/>
    <w:rsid w:val="00276834"/>
    <w:rsid w:val="002774F0"/>
    <w:rsid w:val="00280566"/>
    <w:rsid w:val="00281DBD"/>
    <w:rsid w:val="00284519"/>
    <w:rsid w:val="0028459B"/>
    <w:rsid w:val="00284C5F"/>
    <w:rsid w:val="00285ABF"/>
    <w:rsid w:val="002873F0"/>
    <w:rsid w:val="00291151"/>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50D"/>
    <w:rsid w:val="002B27FF"/>
    <w:rsid w:val="002B3A0A"/>
    <w:rsid w:val="002B4320"/>
    <w:rsid w:val="002B6793"/>
    <w:rsid w:val="002C042C"/>
    <w:rsid w:val="002C1726"/>
    <w:rsid w:val="002C21A6"/>
    <w:rsid w:val="002C2678"/>
    <w:rsid w:val="002C26D5"/>
    <w:rsid w:val="002C5777"/>
    <w:rsid w:val="002D31BB"/>
    <w:rsid w:val="002D32E3"/>
    <w:rsid w:val="002D6955"/>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649D"/>
    <w:rsid w:val="003371D0"/>
    <w:rsid w:val="003376D5"/>
    <w:rsid w:val="003407A5"/>
    <w:rsid w:val="00341188"/>
    <w:rsid w:val="0034147B"/>
    <w:rsid w:val="00345F56"/>
    <w:rsid w:val="00350238"/>
    <w:rsid w:val="003508B0"/>
    <w:rsid w:val="0035109C"/>
    <w:rsid w:val="00351F0A"/>
    <w:rsid w:val="003526A6"/>
    <w:rsid w:val="0035432B"/>
    <w:rsid w:val="00356D17"/>
    <w:rsid w:val="003570F4"/>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7F"/>
    <w:rsid w:val="004061D9"/>
    <w:rsid w:val="004066FC"/>
    <w:rsid w:val="00407C10"/>
    <w:rsid w:val="004113B4"/>
    <w:rsid w:val="00414827"/>
    <w:rsid w:val="00416C10"/>
    <w:rsid w:val="00420007"/>
    <w:rsid w:val="00421C77"/>
    <w:rsid w:val="00424EF3"/>
    <w:rsid w:val="004261BD"/>
    <w:rsid w:val="004268BB"/>
    <w:rsid w:val="00431047"/>
    <w:rsid w:val="00431B86"/>
    <w:rsid w:val="004339D9"/>
    <w:rsid w:val="004408EC"/>
    <w:rsid w:val="00441E6A"/>
    <w:rsid w:val="00443C8F"/>
    <w:rsid w:val="00450AA3"/>
    <w:rsid w:val="00452481"/>
    <w:rsid w:val="004567C5"/>
    <w:rsid w:val="00457804"/>
    <w:rsid w:val="00462B61"/>
    <w:rsid w:val="00464283"/>
    <w:rsid w:val="004646BF"/>
    <w:rsid w:val="00464744"/>
    <w:rsid w:val="004665E3"/>
    <w:rsid w:val="00466B17"/>
    <w:rsid w:val="004705EB"/>
    <w:rsid w:val="004721EF"/>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6C8B"/>
    <w:rsid w:val="00497079"/>
    <w:rsid w:val="00497E38"/>
    <w:rsid w:val="004A0BD6"/>
    <w:rsid w:val="004A1493"/>
    <w:rsid w:val="004A1BBA"/>
    <w:rsid w:val="004A3039"/>
    <w:rsid w:val="004A3E3C"/>
    <w:rsid w:val="004B0E6D"/>
    <w:rsid w:val="004B16E8"/>
    <w:rsid w:val="004B254D"/>
    <w:rsid w:val="004B327C"/>
    <w:rsid w:val="004B38A1"/>
    <w:rsid w:val="004B3F56"/>
    <w:rsid w:val="004B6250"/>
    <w:rsid w:val="004B76B1"/>
    <w:rsid w:val="004C0057"/>
    <w:rsid w:val="004C0541"/>
    <w:rsid w:val="004C05F3"/>
    <w:rsid w:val="004C2C46"/>
    <w:rsid w:val="004C30D5"/>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0D90"/>
    <w:rsid w:val="00521EDE"/>
    <w:rsid w:val="00525E59"/>
    <w:rsid w:val="005318CC"/>
    <w:rsid w:val="005346F1"/>
    <w:rsid w:val="005349B1"/>
    <w:rsid w:val="005374BC"/>
    <w:rsid w:val="00543367"/>
    <w:rsid w:val="00543BFA"/>
    <w:rsid w:val="0054649D"/>
    <w:rsid w:val="00547D9C"/>
    <w:rsid w:val="00547DA1"/>
    <w:rsid w:val="00550511"/>
    <w:rsid w:val="0055513C"/>
    <w:rsid w:val="00560C94"/>
    <w:rsid w:val="0056133A"/>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929"/>
    <w:rsid w:val="005A2C0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6CF5"/>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9C9"/>
    <w:rsid w:val="0066726C"/>
    <w:rsid w:val="006674BD"/>
    <w:rsid w:val="006676A0"/>
    <w:rsid w:val="00670857"/>
    <w:rsid w:val="0067094A"/>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0BCB"/>
    <w:rsid w:val="006E34B7"/>
    <w:rsid w:val="006F4CD8"/>
    <w:rsid w:val="00700B57"/>
    <w:rsid w:val="00701F44"/>
    <w:rsid w:val="00703E8A"/>
    <w:rsid w:val="007058F8"/>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093C"/>
    <w:rsid w:val="00763925"/>
    <w:rsid w:val="00764A94"/>
    <w:rsid w:val="0076518F"/>
    <w:rsid w:val="007651E5"/>
    <w:rsid w:val="007670DC"/>
    <w:rsid w:val="0077111A"/>
    <w:rsid w:val="00772721"/>
    <w:rsid w:val="00775284"/>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4CD3"/>
    <w:rsid w:val="007F5F52"/>
    <w:rsid w:val="007F768B"/>
    <w:rsid w:val="007F77C6"/>
    <w:rsid w:val="008003A1"/>
    <w:rsid w:val="008006B7"/>
    <w:rsid w:val="00800FDB"/>
    <w:rsid w:val="00801249"/>
    <w:rsid w:val="00802081"/>
    <w:rsid w:val="00806461"/>
    <w:rsid w:val="0081096D"/>
    <w:rsid w:val="00810EAD"/>
    <w:rsid w:val="00811833"/>
    <w:rsid w:val="008118B6"/>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1E07"/>
    <w:rsid w:val="00872CE4"/>
    <w:rsid w:val="00877B62"/>
    <w:rsid w:val="00877D98"/>
    <w:rsid w:val="00881015"/>
    <w:rsid w:val="008810B0"/>
    <w:rsid w:val="008819B6"/>
    <w:rsid w:val="00881AAC"/>
    <w:rsid w:val="0088256A"/>
    <w:rsid w:val="008836B7"/>
    <w:rsid w:val="008841D3"/>
    <w:rsid w:val="00884359"/>
    <w:rsid w:val="00887C7E"/>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C17"/>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3250"/>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C77A0"/>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5A8D"/>
    <w:rsid w:val="00A36AB5"/>
    <w:rsid w:val="00A37DDA"/>
    <w:rsid w:val="00A411D1"/>
    <w:rsid w:val="00A41566"/>
    <w:rsid w:val="00A421B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67563"/>
    <w:rsid w:val="00A7076E"/>
    <w:rsid w:val="00A707A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A7F64"/>
    <w:rsid w:val="00AB2DFA"/>
    <w:rsid w:val="00AB3012"/>
    <w:rsid w:val="00AB321C"/>
    <w:rsid w:val="00AB3DEF"/>
    <w:rsid w:val="00AB42E2"/>
    <w:rsid w:val="00AB688F"/>
    <w:rsid w:val="00AB75EA"/>
    <w:rsid w:val="00AB7AA2"/>
    <w:rsid w:val="00AC3EB9"/>
    <w:rsid w:val="00AC4BC1"/>
    <w:rsid w:val="00AC588F"/>
    <w:rsid w:val="00AC5E4B"/>
    <w:rsid w:val="00AD04BD"/>
    <w:rsid w:val="00AD1A03"/>
    <w:rsid w:val="00AD7214"/>
    <w:rsid w:val="00AE1066"/>
    <w:rsid w:val="00AE19D8"/>
    <w:rsid w:val="00AE4518"/>
    <w:rsid w:val="00AE5D7F"/>
    <w:rsid w:val="00AE79F0"/>
    <w:rsid w:val="00AE7D44"/>
    <w:rsid w:val="00AF4FE7"/>
    <w:rsid w:val="00AF65C5"/>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26B91"/>
    <w:rsid w:val="00B26CF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5A18"/>
    <w:rsid w:val="00BC76D5"/>
    <w:rsid w:val="00BD18B8"/>
    <w:rsid w:val="00BD30C8"/>
    <w:rsid w:val="00BD31D1"/>
    <w:rsid w:val="00BD3EB4"/>
    <w:rsid w:val="00BD5C65"/>
    <w:rsid w:val="00BD7FC1"/>
    <w:rsid w:val="00BE01CA"/>
    <w:rsid w:val="00BE4973"/>
    <w:rsid w:val="00BE6018"/>
    <w:rsid w:val="00BF1DD5"/>
    <w:rsid w:val="00BF1F57"/>
    <w:rsid w:val="00BF3EA0"/>
    <w:rsid w:val="00BF4086"/>
    <w:rsid w:val="00BF426C"/>
    <w:rsid w:val="00BF460D"/>
    <w:rsid w:val="00BF58D0"/>
    <w:rsid w:val="00BF7D6A"/>
    <w:rsid w:val="00C00EFD"/>
    <w:rsid w:val="00C013E1"/>
    <w:rsid w:val="00C01611"/>
    <w:rsid w:val="00C01C01"/>
    <w:rsid w:val="00C02C6D"/>
    <w:rsid w:val="00C02D59"/>
    <w:rsid w:val="00C030B6"/>
    <w:rsid w:val="00C03284"/>
    <w:rsid w:val="00C04855"/>
    <w:rsid w:val="00C050D7"/>
    <w:rsid w:val="00C05B5F"/>
    <w:rsid w:val="00C0667A"/>
    <w:rsid w:val="00C104CC"/>
    <w:rsid w:val="00C130C1"/>
    <w:rsid w:val="00C147DA"/>
    <w:rsid w:val="00C152FE"/>
    <w:rsid w:val="00C16739"/>
    <w:rsid w:val="00C22CCE"/>
    <w:rsid w:val="00C23BA2"/>
    <w:rsid w:val="00C2458C"/>
    <w:rsid w:val="00C25D0C"/>
    <w:rsid w:val="00C32AF2"/>
    <w:rsid w:val="00C33204"/>
    <w:rsid w:val="00C338EB"/>
    <w:rsid w:val="00C33E2E"/>
    <w:rsid w:val="00C3465D"/>
    <w:rsid w:val="00C379E9"/>
    <w:rsid w:val="00C37E98"/>
    <w:rsid w:val="00C42431"/>
    <w:rsid w:val="00C439FB"/>
    <w:rsid w:val="00C43F23"/>
    <w:rsid w:val="00C442A1"/>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5216"/>
    <w:rsid w:val="00CE2741"/>
    <w:rsid w:val="00CE3C13"/>
    <w:rsid w:val="00CE4499"/>
    <w:rsid w:val="00CE5277"/>
    <w:rsid w:val="00CE6358"/>
    <w:rsid w:val="00CE7FC6"/>
    <w:rsid w:val="00CF0C6C"/>
    <w:rsid w:val="00CF2D54"/>
    <w:rsid w:val="00CF3555"/>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46CA6"/>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318"/>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81D"/>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4BDD"/>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53EA"/>
    <w:rsid w:val="00EE79A6"/>
    <w:rsid w:val="00EE7FB4"/>
    <w:rsid w:val="00EF0A46"/>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47E2F"/>
    <w:rsid w:val="00F512C0"/>
    <w:rsid w:val="00F51C16"/>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76A66"/>
    <w:rsid w:val="00F813A0"/>
    <w:rsid w:val="00F82E6B"/>
    <w:rsid w:val="00F951CF"/>
    <w:rsid w:val="00F976E0"/>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081DEFF-A442-4695-A556-75477ED7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uiPriority w:val="99"/>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uiPriority w:val="99"/>
    <w:rsid w:val="00C503D3"/>
    <w:rPr>
      <w:kern w:val="2"/>
      <w:sz w:val="24"/>
    </w:rPr>
  </w:style>
  <w:style w:type="character" w:styleId="af8">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648">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73522549">
      <w:bodyDiv w:val="1"/>
      <w:marLeft w:val="0"/>
      <w:marRight w:val="0"/>
      <w:marTop w:val="0"/>
      <w:marBottom w:val="0"/>
      <w:divBdr>
        <w:top w:val="none" w:sz="0" w:space="0" w:color="auto"/>
        <w:left w:val="none" w:sz="0" w:space="0" w:color="auto"/>
        <w:bottom w:val="none" w:sz="0" w:space="0" w:color="auto"/>
        <w:right w:val="none" w:sz="0" w:space="0" w:color="auto"/>
      </w:divBdr>
    </w:div>
    <w:div w:id="496727229">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6400731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509335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776706476">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 w:id="20364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0</TotalTime>
  <Pages>5</Pages>
  <Words>1208</Words>
  <Characters>6890</Characters>
  <Application>Microsoft Office Word</Application>
  <DocSecurity>4</DocSecurity>
  <Lines>57</Lines>
  <Paragraphs>16</Paragraphs>
  <ScaleCrop>false</ScaleCrop>
  <Company>TRT. Ltd. Co.</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2020-01-13T02:45:00Z</dcterms:created>
  <dcterms:modified xsi:type="dcterms:W3CDTF">2020-01-13T02:45:00Z</dcterms:modified>
</cp:coreProperties>
</file>