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易方达策略成长二号混合型证券投资基金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45430D" w:rsidRDefault="00814DC7">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5430D" w:rsidRDefault="00814DC7">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5430D" w:rsidRDefault="00814DC7">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5430D" w:rsidRDefault="00814DC7">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5430D" w:rsidRDefault="00814DC7">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易方达策略成长二号混合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112002</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112002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2006</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16</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1,072,107,888.05</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本基金通过投资兼具较高内在价值和良好成长性的股票，积极把握股票市场波动所带来的获利机会，努力为基金份额持有人追求较高的中长期资本增值。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本基金投资的总体原则是在价值区域内把握波动，在波动中实现研究的</w:t>
            </w:r>
            <w:r w:rsidRPr="00232B03">
              <w:rPr>
                <w:color w:val="000000"/>
                <w:kern w:val="0"/>
                <w:sz w:val="24"/>
                <w:szCs w:val="24"/>
              </w:rPr>
              <w:t>“</w:t>
            </w:r>
            <w:r w:rsidRPr="00232B03">
              <w:rPr>
                <w:color w:val="000000"/>
                <w:kern w:val="0"/>
                <w:sz w:val="24"/>
                <w:szCs w:val="24"/>
              </w:rPr>
              <w:t>溢价</w:t>
            </w:r>
            <w:r w:rsidRPr="00232B03">
              <w:rPr>
                <w:color w:val="000000"/>
                <w:kern w:val="0"/>
                <w:sz w:val="24"/>
                <w:szCs w:val="24"/>
              </w:rPr>
              <w:t>”</w:t>
            </w:r>
            <w:r w:rsidRPr="00232B03">
              <w:rPr>
                <w:color w:val="000000"/>
                <w:kern w:val="0"/>
                <w:sz w:val="24"/>
                <w:szCs w:val="24"/>
              </w:rPr>
              <w:t>。基金采取相对稳定的资产配置策略，避免因过于主动的仓位调整带来额</w:t>
            </w:r>
            <w:r w:rsidRPr="00232B03">
              <w:rPr>
                <w:color w:val="000000"/>
                <w:kern w:val="0"/>
                <w:sz w:val="24"/>
                <w:szCs w:val="24"/>
              </w:rPr>
              <w:lastRenderedPageBreak/>
              <w:t>外的风险。同时，以雄厚的研究力量为依托，通过以价值成长比率（</w:t>
            </w:r>
            <w:r w:rsidRPr="00232B03">
              <w:rPr>
                <w:color w:val="000000"/>
                <w:kern w:val="0"/>
                <w:sz w:val="24"/>
                <w:szCs w:val="24"/>
              </w:rPr>
              <w:t>PEG</w:t>
            </w:r>
            <w:r w:rsidRPr="00232B03">
              <w:rPr>
                <w:color w:val="000000"/>
                <w:kern w:val="0"/>
                <w:sz w:val="24"/>
                <w:szCs w:val="24"/>
              </w:rPr>
              <w:t>）为核心的系统方法筛选出兼具较高内在价值及良好成长性的股票，并通过对相关行业和上市公司成长率变化的动态预测，积极把握行业</w:t>
            </w:r>
            <w:r w:rsidRPr="00232B03">
              <w:rPr>
                <w:color w:val="000000"/>
                <w:kern w:val="0"/>
                <w:sz w:val="24"/>
                <w:szCs w:val="24"/>
              </w:rPr>
              <w:t>/</w:t>
            </w:r>
            <w:r w:rsidRPr="00232B03">
              <w:rPr>
                <w:color w:val="000000"/>
                <w:kern w:val="0"/>
                <w:sz w:val="24"/>
                <w:szCs w:val="24"/>
              </w:rPr>
              <w:t>板块、个股的市场波动所带来的获利机会，为基金持有人追求较高的当期收益及长期资本增值。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上证</w:t>
            </w:r>
            <w:r w:rsidRPr="00232B03">
              <w:rPr>
                <w:color w:val="000000"/>
                <w:kern w:val="0"/>
                <w:sz w:val="24"/>
                <w:szCs w:val="24"/>
              </w:rPr>
              <w:t>A</w:t>
            </w:r>
            <w:r w:rsidRPr="00232B03">
              <w:rPr>
                <w:color w:val="000000"/>
                <w:kern w:val="0"/>
                <w:sz w:val="24"/>
                <w:szCs w:val="24"/>
              </w:rPr>
              <w:t>指收益率</w:t>
            </w:r>
            <w:r w:rsidRPr="00232B03">
              <w:rPr>
                <w:color w:val="000000"/>
                <w:kern w:val="0"/>
                <w:sz w:val="24"/>
                <w:szCs w:val="24"/>
              </w:rPr>
              <w:t>×75</w:t>
            </w:r>
            <w:r w:rsidRPr="00232B03">
              <w:rPr>
                <w:color w:val="000000"/>
                <w:kern w:val="0"/>
                <w:sz w:val="24"/>
                <w:szCs w:val="24"/>
              </w:rPr>
              <w:t>％</w:t>
            </w:r>
            <w:r w:rsidRPr="00232B03">
              <w:rPr>
                <w:color w:val="000000"/>
                <w:kern w:val="0"/>
                <w:sz w:val="24"/>
                <w:szCs w:val="24"/>
              </w:rPr>
              <w:t>+</w:t>
            </w:r>
            <w:r w:rsidRPr="00232B03">
              <w:rPr>
                <w:color w:val="000000"/>
                <w:kern w:val="0"/>
                <w:sz w:val="24"/>
                <w:szCs w:val="24"/>
              </w:rPr>
              <w:t>上证国债指数收益率</w:t>
            </w:r>
            <w:r w:rsidRPr="00232B03">
              <w:rPr>
                <w:color w:val="000000"/>
                <w:kern w:val="0"/>
                <w:sz w:val="24"/>
                <w:szCs w:val="24"/>
              </w:rPr>
              <w:t>×25</w:t>
            </w:r>
            <w:r w:rsidRPr="00232B03">
              <w:rPr>
                <w:color w:val="000000"/>
                <w:kern w:val="0"/>
                <w:sz w:val="24"/>
                <w:szCs w:val="24"/>
              </w:rPr>
              <w:t>％</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71,951,228.44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21,106,260.18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0.0193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1,096,616,327.32</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1.023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45430D" w:rsidRDefault="00814DC7">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45430D">
        <w:tc>
          <w:tcPr>
            <w:tcW w:w="0" w:type="auto"/>
            <w:vAlign w:val="center"/>
          </w:tcPr>
          <w:p w:rsidR="0045430D" w:rsidRDefault="00814DC7">
            <w:pPr>
              <w:jc w:val="left"/>
            </w:pPr>
            <w:r>
              <w:rPr>
                <w:color w:val="000000"/>
                <w:kern w:val="0"/>
                <w:sz w:val="24"/>
                <w:szCs w:val="24"/>
              </w:rPr>
              <w:t>过去三个月</w:t>
            </w:r>
          </w:p>
        </w:tc>
        <w:tc>
          <w:tcPr>
            <w:tcW w:w="0" w:type="auto"/>
            <w:vAlign w:val="center"/>
          </w:tcPr>
          <w:p w:rsidR="0045430D" w:rsidRDefault="00814DC7">
            <w:pPr>
              <w:jc w:val="center"/>
            </w:pPr>
            <w:r>
              <w:rPr>
                <w:color w:val="000000"/>
                <w:kern w:val="0"/>
                <w:sz w:val="24"/>
                <w:szCs w:val="24"/>
              </w:rPr>
              <w:t>1.99%</w:t>
            </w:r>
          </w:p>
        </w:tc>
        <w:tc>
          <w:tcPr>
            <w:tcW w:w="0" w:type="auto"/>
            <w:vAlign w:val="center"/>
          </w:tcPr>
          <w:p w:rsidR="0045430D" w:rsidRDefault="00814DC7">
            <w:pPr>
              <w:jc w:val="center"/>
            </w:pPr>
            <w:r>
              <w:rPr>
                <w:color w:val="000000"/>
                <w:kern w:val="0"/>
                <w:sz w:val="24"/>
                <w:szCs w:val="24"/>
              </w:rPr>
              <w:t>0.96%</w:t>
            </w:r>
          </w:p>
        </w:tc>
        <w:tc>
          <w:tcPr>
            <w:tcW w:w="0" w:type="auto"/>
            <w:vAlign w:val="center"/>
          </w:tcPr>
          <w:p w:rsidR="0045430D" w:rsidRDefault="00814DC7">
            <w:pPr>
              <w:jc w:val="center"/>
            </w:pPr>
            <w:r>
              <w:rPr>
                <w:color w:val="000000"/>
                <w:kern w:val="0"/>
                <w:sz w:val="24"/>
                <w:szCs w:val="24"/>
              </w:rPr>
              <w:t>4.01%</w:t>
            </w:r>
          </w:p>
        </w:tc>
        <w:tc>
          <w:tcPr>
            <w:tcW w:w="0" w:type="auto"/>
            <w:vAlign w:val="center"/>
          </w:tcPr>
          <w:p w:rsidR="0045430D" w:rsidRDefault="00814DC7">
            <w:pPr>
              <w:jc w:val="center"/>
            </w:pPr>
            <w:r>
              <w:rPr>
                <w:color w:val="000000"/>
                <w:kern w:val="0"/>
                <w:sz w:val="24"/>
                <w:szCs w:val="24"/>
              </w:rPr>
              <w:t>0.51%</w:t>
            </w:r>
          </w:p>
        </w:tc>
        <w:tc>
          <w:tcPr>
            <w:tcW w:w="0" w:type="auto"/>
            <w:vAlign w:val="center"/>
          </w:tcPr>
          <w:p w:rsidR="0045430D" w:rsidRDefault="00814DC7">
            <w:pPr>
              <w:jc w:val="center"/>
            </w:pPr>
            <w:r>
              <w:rPr>
                <w:color w:val="000000"/>
                <w:kern w:val="0"/>
                <w:sz w:val="24"/>
                <w:szCs w:val="24"/>
              </w:rPr>
              <w:t>-2.02%</w:t>
            </w:r>
          </w:p>
        </w:tc>
        <w:tc>
          <w:tcPr>
            <w:tcW w:w="0" w:type="auto"/>
            <w:vAlign w:val="center"/>
          </w:tcPr>
          <w:p w:rsidR="0045430D" w:rsidRDefault="00814DC7">
            <w:pPr>
              <w:jc w:val="center"/>
            </w:pPr>
            <w:r>
              <w:rPr>
                <w:color w:val="000000"/>
                <w:kern w:val="0"/>
                <w:sz w:val="24"/>
                <w:szCs w:val="24"/>
              </w:rPr>
              <w:t>0.45%</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易方达策略成长二号混合型证券投资基金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2006</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16</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814DC7"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218.42%</w:t>
      </w:r>
      <w:r w:rsidRPr="006C56AA">
        <w:rPr>
          <w:color w:val="000000"/>
          <w:sz w:val="24"/>
          <w:szCs w:val="24"/>
        </w:rPr>
        <w:t>，同期业绩比较基准收益率为</w:t>
      </w:r>
      <w:r w:rsidRPr="006C56AA">
        <w:rPr>
          <w:color w:val="000000"/>
          <w:sz w:val="24"/>
          <w:szCs w:val="24"/>
        </w:rPr>
        <w:t>83.22%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45430D">
        <w:tc>
          <w:tcPr>
            <w:tcW w:w="0" w:type="auto"/>
            <w:vAlign w:val="center"/>
          </w:tcPr>
          <w:p w:rsidR="0045430D" w:rsidRDefault="00814DC7">
            <w:pPr>
              <w:jc w:val="center"/>
            </w:pPr>
            <w:r>
              <w:rPr>
                <w:color w:val="000000"/>
                <w:sz w:val="24"/>
              </w:rPr>
              <w:t>梁裕宁</w:t>
            </w:r>
          </w:p>
        </w:tc>
        <w:tc>
          <w:tcPr>
            <w:tcW w:w="0" w:type="auto"/>
            <w:vAlign w:val="center"/>
          </w:tcPr>
          <w:p w:rsidR="0045430D" w:rsidRDefault="00814DC7">
            <w:pPr>
              <w:jc w:val="center"/>
            </w:pPr>
            <w:r>
              <w:rPr>
                <w:color w:val="000000"/>
                <w:sz w:val="24"/>
              </w:rPr>
              <w:t>本基金的基金经理、易方达策略成长证券投资基金的基金经理</w:t>
            </w:r>
          </w:p>
        </w:tc>
        <w:tc>
          <w:tcPr>
            <w:tcW w:w="0" w:type="auto"/>
            <w:vAlign w:val="center"/>
          </w:tcPr>
          <w:p w:rsidR="0045430D" w:rsidRDefault="00814DC7">
            <w:pPr>
              <w:jc w:val="center"/>
            </w:pPr>
            <w:r>
              <w:rPr>
                <w:color w:val="000000"/>
                <w:sz w:val="24"/>
              </w:rPr>
              <w:t>2017-02-17</w:t>
            </w:r>
          </w:p>
        </w:tc>
        <w:tc>
          <w:tcPr>
            <w:tcW w:w="0" w:type="auto"/>
            <w:vAlign w:val="center"/>
          </w:tcPr>
          <w:p w:rsidR="0045430D" w:rsidRDefault="00814DC7">
            <w:pPr>
              <w:jc w:val="center"/>
            </w:pPr>
            <w:r>
              <w:rPr>
                <w:color w:val="000000"/>
                <w:sz w:val="24"/>
              </w:rPr>
              <w:t>-</w:t>
            </w:r>
          </w:p>
        </w:tc>
        <w:tc>
          <w:tcPr>
            <w:tcW w:w="0" w:type="auto"/>
            <w:vAlign w:val="center"/>
          </w:tcPr>
          <w:p w:rsidR="0045430D" w:rsidRDefault="00814DC7">
            <w:pPr>
              <w:jc w:val="center"/>
            </w:pPr>
            <w:r>
              <w:rPr>
                <w:color w:val="000000"/>
                <w:sz w:val="24"/>
              </w:rPr>
              <w:t>9</w:t>
            </w:r>
            <w:r>
              <w:rPr>
                <w:color w:val="000000"/>
                <w:sz w:val="24"/>
              </w:rPr>
              <w:t>年</w:t>
            </w:r>
          </w:p>
        </w:tc>
        <w:tc>
          <w:tcPr>
            <w:tcW w:w="0" w:type="auto"/>
            <w:vAlign w:val="center"/>
          </w:tcPr>
          <w:p w:rsidR="0045430D" w:rsidRDefault="00814DC7">
            <w:r>
              <w:rPr>
                <w:color w:val="000000"/>
                <w:sz w:val="24"/>
              </w:rPr>
              <w:t>硕士研究生，具有基金从业资格。曾任普华永道会计师事务所高级审计师，中山华通五金制品有限公司总裁助理，</w:t>
            </w:r>
            <w:r>
              <w:rPr>
                <w:color w:val="000000"/>
                <w:sz w:val="24"/>
              </w:rPr>
              <w:t xml:space="preserve">QQ Distinction Pty </w:t>
            </w:r>
            <w:r>
              <w:rPr>
                <w:color w:val="000000"/>
                <w:sz w:val="24"/>
              </w:rPr>
              <w:t>Ltd</w:t>
            </w:r>
            <w:r>
              <w:rPr>
                <w:color w:val="000000"/>
                <w:sz w:val="24"/>
              </w:rPr>
              <w:t>董事、财务负责人，易方达基金管理有限公司研究部行业研究员、投资经理兼行业研究员、易方达瑞享灵活配置混合型证券投资基金基金经理。</w:t>
            </w:r>
          </w:p>
        </w:tc>
      </w:tr>
    </w:tbl>
    <w:p w:rsidR="0045430D" w:rsidRDefault="00814DC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45430D" w:rsidRDefault="00814DC7">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45430D" w:rsidRDefault="00814DC7">
      <w:pPr>
        <w:spacing w:line="360" w:lineRule="auto"/>
        <w:ind w:firstLineChars="200" w:firstLine="480"/>
        <w:rPr>
          <w:color w:val="000000"/>
          <w:sz w:val="24"/>
          <w:szCs w:val="24"/>
        </w:rPr>
      </w:pPr>
      <w:r>
        <w:rPr>
          <w:color w:val="000000"/>
          <w:sz w:val="24"/>
          <w:szCs w:val="24"/>
        </w:rPr>
        <w:t>2019</w:t>
      </w:r>
      <w:r>
        <w:rPr>
          <w:color w:val="000000"/>
          <w:sz w:val="24"/>
          <w:szCs w:val="24"/>
        </w:rPr>
        <w:t>年四季度，国内</w:t>
      </w:r>
      <w:r>
        <w:rPr>
          <w:color w:val="000000"/>
          <w:sz w:val="24"/>
          <w:szCs w:val="24"/>
        </w:rPr>
        <w:t>CPI</w:t>
      </w:r>
      <w:r>
        <w:rPr>
          <w:color w:val="000000"/>
          <w:sz w:val="24"/>
          <w:szCs w:val="24"/>
        </w:rPr>
        <w:t>受猪肉价格影响不断上涨，但为了应对经济增长速度放缓，国内货币政策持续释放宽松信号，向实体经济释放流动性以降低中小企业融资成本方向明确。市场受货币政策宽松预期影响，风险偏好有所提升。四季度，上证指数上涨</w:t>
      </w:r>
      <w:r>
        <w:rPr>
          <w:color w:val="000000"/>
          <w:sz w:val="24"/>
          <w:szCs w:val="24"/>
        </w:rPr>
        <w:t>4.99%</w:t>
      </w:r>
      <w:r>
        <w:rPr>
          <w:color w:val="000000"/>
          <w:sz w:val="24"/>
          <w:szCs w:val="24"/>
        </w:rPr>
        <w:t>，区间振幅</w:t>
      </w:r>
      <w:r>
        <w:rPr>
          <w:color w:val="000000"/>
          <w:sz w:val="24"/>
          <w:szCs w:val="24"/>
        </w:rPr>
        <w:t>6.69%</w:t>
      </w:r>
      <w:r>
        <w:rPr>
          <w:color w:val="000000"/>
          <w:sz w:val="24"/>
          <w:szCs w:val="24"/>
        </w:rPr>
        <w:t>；创业板指数上涨</w:t>
      </w:r>
      <w:r>
        <w:rPr>
          <w:color w:val="000000"/>
          <w:sz w:val="24"/>
          <w:szCs w:val="24"/>
        </w:rPr>
        <w:t>10.48%</w:t>
      </w:r>
      <w:r>
        <w:rPr>
          <w:color w:val="000000"/>
          <w:sz w:val="24"/>
          <w:szCs w:val="24"/>
        </w:rPr>
        <w:t>，区间振幅</w:t>
      </w:r>
      <w:r>
        <w:rPr>
          <w:color w:val="000000"/>
          <w:sz w:val="24"/>
          <w:szCs w:val="24"/>
        </w:rPr>
        <w:t>12.67%</w:t>
      </w:r>
      <w:r>
        <w:rPr>
          <w:color w:val="000000"/>
          <w:sz w:val="24"/>
          <w:szCs w:val="24"/>
        </w:rPr>
        <w:t>。</w:t>
      </w:r>
    </w:p>
    <w:p w:rsidR="0045430D" w:rsidRDefault="00814DC7">
      <w:pPr>
        <w:spacing w:line="360" w:lineRule="auto"/>
        <w:ind w:firstLineChars="200" w:firstLine="480"/>
        <w:rPr>
          <w:color w:val="000000"/>
          <w:sz w:val="24"/>
          <w:szCs w:val="24"/>
        </w:rPr>
      </w:pPr>
      <w:r>
        <w:rPr>
          <w:color w:val="000000"/>
          <w:sz w:val="24"/>
          <w:szCs w:val="24"/>
        </w:rPr>
        <w:t>由于前期悲观的经济预期逐步兑现，尽管通胀较高但货币政策仍然加码，投资者侧重点从业绩确定性向标的弹性倾斜，估值处于较低分位的行业及个股出现大面积估值修复行情。四季度中信一级行业指数中除国防军工外，其他所</w:t>
      </w:r>
      <w:r>
        <w:rPr>
          <w:color w:val="000000"/>
          <w:sz w:val="24"/>
          <w:szCs w:val="24"/>
        </w:rPr>
        <w:t>有行业均取得正收益，建筑建材、家电、电子元器件、传媒、汽车、轻工制造、房地产、有色金属等行业单季度涨幅均超过</w:t>
      </w:r>
      <w:r>
        <w:rPr>
          <w:color w:val="000000"/>
          <w:sz w:val="24"/>
          <w:szCs w:val="24"/>
        </w:rPr>
        <w:t>10%</w:t>
      </w:r>
      <w:r>
        <w:rPr>
          <w:color w:val="000000"/>
          <w:sz w:val="24"/>
          <w:szCs w:val="24"/>
        </w:rPr>
        <w:t>，其中建筑建材作为低估值分位行业单季度涨幅更超过</w:t>
      </w:r>
      <w:r>
        <w:rPr>
          <w:color w:val="000000"/>
          <w:sz w:val="24"/>
          <w:szCs w:val="24"/>
        </w:rPr>
        <w:t>20%</w:t>
      </w:r>
      <w:r>
        <w:rPr>
          <w:color w:val="000000"/>
          <w:sz w:val="24"/>
          <w:szCs w:val="24"/>
        </w:rPr>
        <w:t>。相反，食品饮料、农林牧渔等前期涨幅较大的高估值、高确定性行业在四季度涨幅较小。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基于长期回报考虑，本基金四季度维持以医药生物、食品饮料、电子等高确定性、高盈利行业作为主要配置品种。由于优质资产估值一直较高，在四季度未能享受到过多估值修复带来的弹性，整体表现跑输基准。</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1.023</w:t>
      </w:r>
      <w:r w:rsidRPr="006C56AA">
        <w:rPr>
          <w:color w:val="000000"/>
          <w:sz w:val="24"/>
          <w:szCs w:val="24"/>
        </w:rPr>
        <w:t>元，本报告期份额净值增长率为</w:t>
      </w:r>
      <w:r w:rsidRPr="006C56AA">
        <w:rPr>
          <w:color w:val="000000"/>
          <w:sz w:val="24"/>
          <w:szCs w:val="24"/>
        </w:rPr>
        <w:t>1.99%</w:t>
      </w:r>
      <w:r w:rsidRPr="006C56AA">
        <w:rPr>
          <w:color w:val="000000"/>
          <w:sz w:val="24"/>
          <w:szCs w:val="24"/>
        </w:rPr>
        <w:t>，同期业绩比较基准收益率为</w:t>
      </w:r>
      <w:r w:rsidRPr="006C56AA">
        <w:rPr>
          <w:color w:val="000000"/>
          <w:sz w:val="24"/>
          <w:szCs w:val="24"/>
        </w:rPr>
        <w:t>4.01%</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1,032,905,048.66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1,032,905,048.66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93.31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3,381,657.95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3,381,657.95</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0.31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64,169,913.13</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5.80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6,540,220.47</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1,106,996,840.21</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32,294,169.60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2.94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3,538,458.00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0.32</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797,111,893.56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72.69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16,998,941.00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43,960,061.25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56,623,943.21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5.16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128,920.00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27,816,488.00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2.54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30,352,711.00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2.77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16,538,985.00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7,533,900.00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1,032,905,048.66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94.19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45430D">
        <w:tc>
          <w:tcPr>
            <w:tcW w:w="0" w:type="auto"/>
            <w:vAlign w:val="center"/>
          </w:tcPr>
          <w:p w:rsidR="0045430D" w:rsidRDefault="00814DC7">
            <w:pPr>
              <w:jc w:val="center"/>
            </w:pPr>
            <w:r>
              <w:rPr>
                <w:color w:val="000000"/>
                <w:kern w:val="0"/>
                <w:sz w:val="24"/>
                <w:szCs w:val="24"/>
              </w:rPr>
              <w:t>1</w:t>
            </w:r>
          </w:p>
        </w:tc>
        <w:tc>
          <w:tcPr>
            <w:tcW w:w="0" w:type="auto"/>
            <w:vAlign w:val="center"/>
          </w:tcPr>
          <w:p w:rsidR="0045430D" w:rsidRDefault="00814DC7">
            <w:pPr>
              <w:jc w:val="center"/>
            </w:pPr>
            <w:r>
              <w:rPr>
                <w:color w:val="000000"/>
                <w:kern w:val="0"/>
                <w:sz w:val="24"/>
                <w:szCs w:val="24"/>
              </w:rPr>
              <w:t>600276</w:t>
            </w:r>
          </w:p>
        </w:tc>
        <w:tc>
          <w:tcPr>
            <w:tcW w:w="0" w:type="auto"/>
            <w:vAlign w:val="center"/>
          </w:tcPr>
          <w:p w:rsidR="0045430D" w:rsidRDefault="00814DC7">
            <w:pPr>
              <w:jc w:val="center"/>
            </w:pPr>
            <w:r>
              <w:rPr>
                <w:color w:val="000000"/>
                <w:kern w:val="0"/>
                <w:sz w:val="24"/>
                <w:szCs w:val="24"/>
              </w:rPr>
              <w:t>恒瑞医药</w:t>
            </w:r>
          </w:p>
        </w:tc>
        <w:tc>
          <w:tcPr>
            <w:tcW w:w="0" w:type="auto"/>
            <w:vAlign w:val="center"/>
          </w:tcPr>
          <w:p w:rsidR="0045430D" w:rsidRDefault="00814DC7">
            <w:pPr>
              <w:jc w:val="right"/>
            </w:pPr>
            <w:r>
              <w:rPr>
                <w:color w:val="000000"/>
                <w:kern w:val="0"/>
                <w:sz w:val="24"/>
                <w:szCs w:val="24"/>
              </w:rPr>
              <w:t>897,060</w:t>
            </w:r>
          </w:p>
        </w:tc>
        <w:tc>
          <w:tcPr>
            <w:tcW w:w="0" w:type="auto"/>
            <w:vAlign w:val="center"/>
          </w:tcPr>
          <w:p w:rsidR="0045430D" w:rsidRDefault="00814DC7">
            <w:pPr>
              <w:jc w:val="right"/>
            </w:pPr>
            <w:r>
              <w:rPr>
                <w:color w:val="000000"/>
                <w:kern w:val="0"/>
                <w:sz w:val="24"/>
                <w:szCs w:val="24"/>
              </w:rPr>
              <w:t>78,510,691.20</w:t>
            </w:r>
          </w:p>
        </w:tc>
        <w:tc>
          <w:tcPr>
            <w:tcW w:w="0" w:type="auto"/>
            <w:vAlign w:val="center"/>
          </w:tcPr>
          <w:p w:rsidR="0045430D" w:rsidRDefault="00814DC7">
            <w:pPr>
              <w:jc w:val="right"/>
            </w:pPr>
            <w:r>
              <w:rPr>
                <w:color w:val="000000"/>
                <w:kern w:val="0"/>
                <w:sz w:val="24"/>
                <w:szCs w:val="24"/>
              </w:rPr>
              <w:t>7.16</w:t>
            </w:r>
          </w:p>
        </w:tc>
      </w:tr>
      <w:tr w:rsidR="0045430D">
        <w:tc>
          <w:tcPr>
            <w:tcW w:w="0" w:type="auto"/>
            <w:vAlign w:val="center"/>
          </w:tcPr>
          <w:p w:rsidR="0045430D" w:rsidRDefault="00814DC7">
            <w:pPr>
              <w:jc w:val="center"/>
            </w:pPr>
            <w:r>
              <w:rPr>
                <w:color w:val="000000"/>
                <w:kern w:val="0"/>
                <w:sz w:val="24"/>
                <w:szCs w:val="24"/>
              </w:rPr>
              <w:t>2</w:t>
            </w:r>
          </w:p>
        </w:tc>
        <w:tc>
          <w:tcPr>
            <w:tcW w:w="0" w:type="auto"/>
            <w:vAlign w:val="center"/>
          </w:tcPr>
          <w:p w:rsidR="0045430D" w:rsidRDefault="00814DC7">
            <w:pPr>
              <w:jc w:val="center"/>
            </w:pPr>
            <w:r>
              <w:rPr>
                <w:color w:val="000000"/>
                <w:kern w:val="0"/>
                <w:sz w:val="24"/>
                <w:szCs w:val="24"/>
              </w:rPr>
              <w:t>000858</w:t>
            </w:r>
          </w:p>
        </w:tc>
        <w:tc>
          <w:tcPr>
            <w:tcW w:w="0" w:type="auto"/>
            <w:vAlign w:val="center"/>
          </w:tcPr>
          <w:p w:rsidR="0045430D" w:rsidRDefault="00814DC7">
            <w:pPr>
              <w:jc w:val="center"/>
            </w:pPr>
            <w:r>
              <w:rPr>
                <w:color w:val="000000"/>
                <w:kern w:val="0"/>
                <w:sz w:val="24"/>
                <w:szCs w:val="24"/>
              </w:rPr>
              <w:t>五粮液</w:t>
            </w:r>
          </w:p>
        </w:tc>
        <w:tc>
          <w:tcPr>
            <w:tcW w:w="0" w:type="auto"/>
            <w:vAlign w:val="center"/>
          </w:tcPr>
          <w:p w:rsidR="0045430D" w:rsidRDefault="00814DC7">
            <w:pPr>
              <w:jc w:val="right"/>
            </w:pPr>
            <w:r>
              <w:rPr>
                <w:color w:val="000000"/>
                <w:kern w:val="0"/>
                <w:sz w:val="24"/>
                <w:szCs w:val="24"/>
              </w:rPr>
              <w:t>444,886</w:t>
            </w:r>
          </w:p>
        </w:tc>
        <w:tc>
          <w:tcPr>
            <w:tcW w:w="0" w:type="auto"/>
            <w:vAlign w:val="center"/>
          </w:tcPr>
          <w:p w:rsidR="0045430D" w:rsidRDefault="00814DC7">
            <w:pPr>
              <w:jc w:val="right"/>
            </w:pPr>
            <w:r>
              <w:rPr>
                <w:color w:val="000000"/>
                <w:kern w:val="0"/>
                <w:sz w:val="24"/>
                <w:szCs w:val="24"/>
              </w:rPr>
              <w:t>59,174,286.86</w:t>
            </w:r>
          </w:p>
        </w:tc>
        <w:tc>
          <w:tcPr>
            <w:tcW w:w="0" w:type="auto"/>
            <w:vAlign w:val="center"/>
          </w:tcPr>
          <w:p w:rsidR="0045430D" w:rsidRDefault="00814DC7">
            <w:pPr>
              <w:jc w:val="right"/>
            </w:pPr>
            <w:r>
              <w:rPr>
                <w:color w:val="000000"/>
                <w:kern w:val="0"/>
                <w:sz w:val="24"/>
                <w:szCs w:val="24"/>
              </w:rPr>
              <w:t>5.40</w:t>
            </w:r>
          </w:p>
        </w:tc>
      </w:tr>
      <w:tr w:rsidR="0045430D">
        <w:tc>
          <w:tcPr>
            <w:tcW w:w="0" w:type="auto"/>
            <w:vAlign w:val="center"/>
          </w:tcPr>
          <w:p w:rsidR="0045430D" w:rsidRDefault="00814DC7">
            <w:pPr>
              <w:jc w:val="center"/>
            </w:pPr>
            <w:r>
              <w:rPr>
                <w:color w:val="000000"/>
                <w:kern w:val="0"/>
                <w:sz w:val="24"/>
                <w:szCs w:val="24"/>
              </w:rPr>
              <w:t>3</w:t>
            </w:r>
          </w:p>
        </w:tc>
        <w:tc>
          <w:tcPr>
            <w:tcW w:w="0" w:type="auto"/>
            <w:vAlign w:val="center"/>
          </w:tcPr>
          <w:p w:rsidR="0045430D" w:rsidRDefault="00814DC7">
            <w:pPr>
              <w:jc w:val="center"/>
            </w:pPr>
            <w:r>
              <w:rPr>
                <w:color w:val="000000"/>
                <w:kern w:val="0"/>
                <w:sz w:val="24"/>
                <w:szCs w:val="24"/>
              </w:rPr>
              <w:t>300628</w:t>
            </w:r>
          </w:p>
        </w:tc>
        <w:tc>
          <w:tcPr>
            <w:tcW w:w="0" w:type="auto"/>
            <w:vAlign w:val="center"/>
          </w:tcPr>
          <w:p w:rsidR="0045430D" w:rsidRDefault="00814DC7">
            <w:pPr>
              <w:jc w:val="center"/>
            </w:pPr>
            <w:r>
              <w:rPr>
                <w:color w:val="000000"/>
                <w:kern w:val="0"/>
                <w:sz w:val="24"/>
                <w:szCs w:val="24"/>
              </w:rPr>
              <w:t>亿联网络</w:t>
            </w:r>
          </w:p>
        </w:tc>
        <w:tc>
          <w:tcPr>
            <w:tcW w:w="0" w:type="auto"/>
            <w:vAlign w:val="center"/>
          </w:tcPr>
          <w:p w:rsidR="0045430D" w:rsidRDefault="00814DC7">
            <w:pPr>
              <w:jc w:val="right"/>
            </w:pPr>
            <w:r>
              <w:rPr>
                <w:color w:val="000000"/>
                <w:kern w:val="0"/>
                <w:sz w:val="24"/>
                <w:szCs w:val="24"/>
              </w:rPr>
              <w:t>734,938</w:t>
            </w:r>
          </w:p>
        </w:tc>
        <w:tc>
          <w:tcPr>
            <w:tcW w:w="0" w:type="auto"/>
            <w:vAlign w:val="center"/>
          </w:tcPr>
          <w:p w:rsidR="0045430D" w:rsidRDefault="00814DC7">
            <w:pPr>
              <w:jc w:val="right"/>
            </w:pPr>
            <w:r>
              <w:rPr>
                <w:color w:val="000000"/>
                <w:kern w:val="0"/>
                <w:sz w:val="24"/>
                <w:szCs w:val="24"/>
              </w:rPr>
              <w:t>53,216,860.58</w:t>
            </w:r>
          </w:p>
        </w:tc>
        <w:tc>
          <w:tcPr>
            <w:tcW w:w="0" w:type="auto"/>
            <w:vAlign w:val="center"/>
          </w:tcPr>
          <w:p w:rsidR="0045430D" w:rsidRDefault="00814DC7">
            <w:pPr>
              <w:jc w:val="right"/>
            </w:pPr>
            <w:r>
              <w:rPr>
                <w:color w:val="000000"/>
                <w:kern w:val="0"/>
                <w:sz w:val="24"/>
                <w:szCs w:val="24"/>
              </w:rPr>
              <w:t>4.85</w:t>
            </w:r>
          </w:p>
        </w:tc>
      </w:tr>
      <w:tr w:rsidR="0045430D">
        <w:tc>
          <w:tcPr>
            <w:tcW w:w="0" w:type="auto"/>
            <w:vAlign w:val="center"/>
          </w:tcPr>
          <w:p w:rsidR="0045430D" w:rsidRDefault="00814DC7">
            <w:pPr>
              <w:jc w:val="center"/>
            </w:pPr>
            <w:r>
              <w:rPr>
                <w:color w:val="000000"/>
                <w:kern w:val="0"/>
                <w:sz w:val="24"/>
                <w:szCs w:val="24"/>
              </w:rPr>
              <w:t>4</w:t>
            </w:r>
          </w:p>
        </w:tc>
        <w:tc>
          <w:tcPr>
            <w:tcW w:w="0" w:type="auto"/>
            <w:vAlign w:val="center"/>
          </w:tcPr>
          <w:p w:rsidR="0045430D" w:rsidRDefault="00814DC7">
            <w:pPr>
              <w:jc w:val="center"/>
            </w:pPr>
            <w:r>
              <w:rPr>
                <w:color w:val="000000"/>
                <w:kern w:val="0"/>
                <w:sz w:val="24"/>
                <w:szCs w:val="24"/>
              </w:rPr>
              <w:t>600009</w:t>
            </w:r>
          </w:p>
        </w:tc>
        <w:tc>
          <w:tcPr>
            <w:tcW w:w="0" w:type="auto"/>
            <w:vAlign w:val="center"/>
          </w:tcPr>
          <w:p w:rsidR="0045430D" w:rsidRDefault="00814DC7">
            <w:pPr>
              <w:jc w:val="center"/>
            </w:pPr>
            <w:r>
              <w:rPr>
                <w:color w:val="000000"/>
                <w:kern w:val="0"/>
                <w:sz w:val="24"/>
                <w:szCs w:val="24"/>
              </w:rPr>
              <w:t>上海机场</w:t>
            </w:r>
          </w:p>
        </w:tc>
        <w:tc>
          <w:tcPr>
            <w:tcW w:w="0" w:type="auto"/>
            <w:vAlign w:val="center"/>
          </w:tcPr>
          <w:p w:rsidR="0045430D" w:rsidRDefault="00814DC7">
            <w:pPr>
              <w:jc w:val="right"/>
            </w:pPr>
            <w:r>
              <w:rPr>
                <w:color w:val="000000"/>
                <w:kern w:val="0"/>
                <w:sz w:val="24"/>
                <w:szCs w:val="24"/>
              </w:rPr>
              <w:t>558,223</w:t>
            </w:r>
          </w:p>
        </w:tc>
        <w:tc>
          <w:tcPr>
            <w:tcW w:w="0" w:type="auto"/>
            <w:vAlign w:val="center"/>
          </w:tcPr>
          <w:p w:rsidR="0045430D" w:rsidRDefault="00814DC7">
            <w:pPr>
              <w:jc w:val="right"/>
            </w:pPr>
            <w:r>
              <w:rPr>
                <w:color w:val="000000"/>
                <w:kern w:val="0"/>
                <w:sz w:val="24"/>
                <w:szCs w:val="24"/>
              </w:rPr>
              <w:t>43,960,061.25</w:t>
            </w:r>
          </w:p>
        </w:tc>
        <w:tc>
          <w:tcPr>
            <w:tcW w:w="0" w:type="auto"/>
            <w:vAlign w:val="center"/>
          </w:tcPr>
          <w:p w:rsidR="0045430D" w:rsidRDefault="00814DC7">
            <w:pPr>
              <w:jc w:val="right"/>
            </w:pPr>
            <w:r>
              <w:rPr>
                <w:color w:val="000000"/>
                <w:kern w:val="0"/>
                <w:sz w:val="24"/>
                <w:szCs w:val="24"/>
              </w:rPr>
              <w:t>4.01</w:t>
            </w:r>
          </w:p>
        </w:tc>
      </w:tr>
      <w:tr w:rsidR="0045430D">
        <w:tc>
          <w:tcPr>
            <w:tcW w:w="0" w:type="auto"/>
            <w:vAlign w:val="center"/>
          </w:tcPr>
          <w:p w:rsidR="0045430D" w:rsidRDefault="00814DC7">
            <w:pPr>
              <w:jc w:val="center"/>
            </w:pPr>
            <w:r>
              <w:rPr>
                <w:color w:val="000000"/>
                <w:kern w:val="0"/>
                <w:sz w:val="24"/>
                <w:szCs w:val="24"/>
              </w:rPr>
              <w:t>5</w:t>
            </w:r>
          </w:p>
        </w:tc>
        <w:tc>
          <w:tcPr>
            <w:tcW w:w="0" w:type="auto"/>
            <w:vAlign w:val="center"/>
          </w:tcPr>
          <w:p w:rsidR="0045430D" w:rsidRDefault="00814DC7">
            <w:pPr>
              <w:jc w:val="center"/>
            </w:pPr>
            <w:r>
              <w:rPr>
                <w:color w:val="000000"/>
                <w:kern w:val="0"/>
                <w:sz w:val="24"/>
                <w:szCs w:val="24"/>
              </w:rPr>
              <w:t>000651</w:t>
            </w:r>
          </w:p>
        </w:tc>
        <w:tc>
          <w:tcPr>
            <w:tcW w:w="0" w:type="auto"/>
            <w:vAlign w:val="center"/>
          </w:tcPr>
          <w:p w:rsidR="0045430D" w:rsidRDefault="00814DC7">
            <w:pPr>
              <w:jc w:val="center"/>
            </w:pPr>
            <w:r>
              <w:rPr>
                <w:color w:val="000000"/>
                <w:kern w:val="0"/>
                <w:sz w:val="24"/>
                <w:szCs w:val="24"/>
              </w:rPr>
              <w:t>格力电器</w:t>
            </w:r>
          </w:p>
        </w:tc>
        <w:tc>
          <w:tcPr>
            <w:tcW w:w="0" w:type="auto"/>
            <w:vAlign w:val="center"/>
          </w:tcPr>
          <w:p w:rsidR="0045430D" w:rsidRDefault="00814DC7">
            <w:pPr>
              <w:jc w:val="right"/>
            </w:pPr>
            <w:r>
              <w:rPr>
                <w:color w:val="000000"/>
                <w:kern w:val="0"/>
                <w:sz w:val="24"/>
                <w:szCs w:val="24"/>
              </w:rPr>
              <w:t>634,900</w:t>
            </w:r>
          </w:p>
        </w:tc>
        <w:tc>
          <w:tcPr>
            <w:tcW w:w="0" w:type="auto"/>
            <w:vAlign w:val="center"/>
          </w:tcPr>
          <w:p w:rsidR="0045430D" w:rsidRDefault="00814DC7">
            <w:pPr>
              <w:jc w:val="right"/>
            </w:pPr>
            <w:r>
              <w:rPr>
                <w:color w:val="000000"/>
                <w:kern w:val="0"/>
                <w:sz w:val="24"/>
                <w:szCs w:val="24"/>
              </w:rPr>
              <w:t>41,636,742.00</w:t>
            </w:r>
          </w:p>
        </w:tc>
        <w:tc>
          <w:tcPr>
            <w:tcW w:w="0" w:type="auto"/>
            <w:vAlign w:val="center"/>
          </w:tcPr>
          <w:p w:rsidR="0045430D" w:rsidRDefault="00814DC7">
            <w:pPr>
              <w:jc w:val="right"/>
            </w:pPr>
            <w:r>
              <w:rPr>
                <w:color w:val="000000"/>
                <w:kern w:val="0"/>
                <w:sz w:val="24"/>
                <w:szCs w:val="24"/>
              </w:rPr>
              <w:t>3.80</w:t>
            </w:r>
          </w:p>
        </w:tc>
      </w:tr>
      <w:tr w:rsidR="0045430D">
        <w:tc>
          <w:tcPr>
            <w:tcW w:w="0" w:type="auto"/>
            <w:vAlign w:val="center"/>
          </w:tcPr>
          <w:p w:rsidR="0045430D" w:rsidRDefault="00814DC7">
            <w:pPr>
              <w:jc w:val="center"/>
            </w:pPr>
            <w:r>
              <w:rPr>
                <w:color w:val="000000"/>
                <w:kern w:val="0"/>
                <w:sz w:val="24"/>
                <w:szCs w:val="24"/>
              </w:rPr>
              <w:t>6</w:t>
            </w:r>
          </w:p>
        </w:tc>
        <w:tc>
          <w:tcPr>
            <w:tcW w:w="0" w:type="auto"/>
            <w:vAlign w:val="center"/>
          </w:tcPr>
          <w:p w:rsidR="0045430D" w:rsidRDefault="00814DC7">
            <w:pPr>
              <w:jc w:val="center"/>
            </w:pPr>
            <w:r>
              <w:rPr>
                <w:color w:val="000000"/>
                <w:kern w:val="0"/>
                <w:sz w:val="24"/>
                <w:szCs w:val="24"/>
              </w:rPr>
              <w:t>600066</w:t>
            </w:r>
          </w:p>
        </w:tc>
        <w:tc>
          <w:tcPr>
            <w:tcW w:w="0" w:type="auto"/>
            <w:vAlign w:val="center"/>
          </w:tcPr>
          <w:p w:rsidR="0045430D" w:rsidRDefault="00814DC7">
            <w:pPr>
              <w:jc w:val="center"/>
            </w:pPr>
            <w:r>
              <w:rPr>
                <w:color w:val="000000"/>
                <w:kern w:val="0"/>
                <w:sz w:val="24"/>
                <w:szCs w:val="24"/>
              </w:rPr>
              <w:t>宇通客车</w:t>
            </w:r>
          </w:p>
        </w:tc>
        <w:tc>
          <w:tcPr>
            <w:tcW w:w="0" w:type="auto"/>
            <w:vAlign w:val="center"/>
          </w:tcPr>
          <w:p w:rsidR="0045430D" w:rsidRDefault="00814DC7">
            <w:pPr>
              <w:jc w:val="right"/>
            </w:pPr>
            <w:r>
              <w:rPr>
                <w:color w:val="000000"/>
                <w:kern w:val="0"/>
                <w:sz w:val="24"/>
                <w:szCs w:val="24"/>
              </w:rPr>
              <w:t>2,673,900</w:t>
            </w:r>
          </w:p>
        </w:tc>
        <w:tc>
          <w:tcPr>
            <w:tcW w:w="0" w:type="auto"/>
            <w:vAlign w:val="center"/>
          </w:tcPr>
          <w:p w:rsidR="0045430D" w:rsidRDefault="00814DC7">
            <w:pPr>
              <w:jc w:val="right"/>
            </w:pPr>
            <w:r>
              <w:rPr>
                <w:color w:val="000000"/>
                <w:kern w:val="0"/>
                <w:sz w:val="24"/>
                <w:szCs w:val="24"/>
              </w:rPr>
              <w:t>38,103,075.00</w:t>
            </w:r>
          </w:p>
        </w:tc>
        <w:tc>
          <w:tcPr>
            <w:tcW w:w="0" w:type="auto"/>
            <w:vAlign w:val="center"/>
          </w:tcPr>
          <w:p w:rsidR="0045430D" w:rsidRDefault="00814DC7">
            <w:pPr>
              <w:jc w:val="right"/>
            </w:pPr>
            <w:r>
              <w:rPr>
                <w:color w:val="000000"/>
                <w:kern w:val="0"/>
                <w:sz w:val="24"/>
                <w:szCs w:val="24"/>
              </w:rPr>
              <w:t>3.47</w:t>
            </w:r>
          </w:p>
        </w:tc>
      </w:tr>
      <w:tr w:rsidR="0045430D">
        <w:tc>
          <w:tcPr>
            <w:tcW w:w="0" w:type="auto"/>
            <w:vAlign w:val="center"/>
          </w:tcPr>
          <w:p w:rsidR="0045430D" w:rsidRDefault="00814DC7">
            <w:pPr>
              <w:jc w:val="center"/>
            </w:pPr>
            <w:r>
              <w:rPr>
                <w:color w:val="000000"/>
                <w:kern w:val="0"/>
                <w:sz w:val="24"/>
                <w:szCs w:val="24"/>
              </w:rPr>
              <w:t>7</w:t>
            </w:r>
          </w:p>
        </w:tc>
        <w:tc>
          <w:tcPr>
            <w:tcW w:w="0" w:type="auto"/>
            <w:vAlign w:val="center"/>
          </w:tcPr>
          <w:p w:rsidR="0045430D" w:rsidRDefault="00814DC7">
            <w:pPr>
              <w:jc w:val="center"/>
            </w:pPr>
            <w:r>
              <w:rPr>
                <w:color w:val="000000"/>
                <w:kern w:val="0"/>
                <w:sz w:val="24"/>
                <w:szCs w:val="24"/>
              </w:rPr>
              <w:t>600183</w:t>
            </w:r>
          </w:p>
        </w:tc>
        <w:tc>
          <w:tcPr>
            <w:tcW w:w="0" w:type="auto"/>
            <w:vAlign w:val="center"/>
          </w:tcPr>
          <w:p w:rsidR="0045430D" w:rsidRDefault="00814DC7">
            <w:pPr>
              <w:jc w:val="center"/>
            </w:pPr>
            <w:r>
              <w:rPr>
                <w:color w:val="000000"/>
                <w:kern w:val="0"/>
                <w:sz w:val="24"/>
                <w:szCs w:val="24"/>
              </w:rPr>
              <w:t>生益科技</w:t>
            </w:r>
          </w:p>
        </w:tc>
        <w:tc>
          <w:tcPr>
            <w:tcW w:w="0" w:type="auto"/>
            <w:vAlign w:val="center"/>
          </w:tcPr>
          <w:p w:rsidR="0045430D" w:rsidRDefault="00814DC7">
            <w:pPr>
              <w:jc w:val="right"/>
            </w:pPr>
            <w:r>
              <w:rPr>
                <w:color w:val="000000"/>
                <w:kern w:val="0"/>
                <w:sz w:val="24"/>
                <w:szCs w:val="24"/>
              </w:rPr>
              <w:t>1,693,000</w:t>
            </w:r>
          </w:p>
        </w:tc>
        <w:tc>
          <w:tcPr>
            <w:tcW w:w="0" w:type="auto"/>
            <w:vAlign w:val="center"/>
          </w:tcPr>
          <w:p w:rsidR="0045430D" w:rsidRDefault="00814DC7">
            <w:pPr>
              <w:jc w:val="right"/>
            </w:pPr>
            <w:r>
              <w:rPr>
                <w:color w:val="000000"/>
                <w:kern w:val="0"/>
                <w:sz w:val="24"/>
                <w:szCs w:val="24"/>
              </w:rPr>
              <w:t>35,417,560.00</w:t>
            </w:r>
          </w:p>
        </w:tc>
        <w:tc>
          <w:tcPr>
            <w:tcW w:w="0" w:type="auto"/>
            <w:vAlign w:val="center"/>
          </w:tcPr>
          <w:p w:rsidR="0045430D" w:rsidRDefault="00814DC7">
            <w:pPr>
              <w:jc w:val="right"/>
            </w:pPr>
            <w:r>
              <w:rPr>
                <w:color w:val="000000"/>
                <w:kern w:val="0"/>
                <w:sz w:val="24"/>
                <w:szCs w:val="24"/>
              </w:rPr>
              <w:t>3.23</w:t>
            </w:r>
          </w:p>
        </w:tc>
      </w:tr>
      <w:tr w:rsidR="0045430D">
        <w:tc>
          <w:tcPr>
            <w:tcW w:w="0" w:type="auto"/>
            <w:vAlign w:val="center"/>
          </w:tcPr>
          <w:p w:rsidR="0045430D" w:rsidRDefault="00814DC7">
            <w:pPr>
              <w:jc w:val="center"/>
            </w:pPr>
            <w:r>
              <w:rPr>
                <w:color w:val="000000"/>
                <w:kern w:val="0"/>
                <w:sz w:val="24"/>
                <w:szCs w:val="24"/>
              </w:rPr>
              <w:t>8</w:t>
            </w:r>
          </w:p>
        </w:tc>
        <w:tc>
          <w:tcPr>
            <w:tcW w:w="0" w:type="auto"/>
            <w:vAlign w:val="center"/>
          </w:tcPr>
          <w:p w:rsidR="0045430D" w:rsidRDefault="00814DC7">
            <w:pPr>
              <w:jc w:val="center"/>
            </w:pPr>
            <w:r>
              <w:rPr>
                <w:color w:val="000000"/>
                <w:kern w:val="0"/>
                <w:sz w:val="24"/>
                <w:szCs w:val="24"/>
              </w:rPr>
              <w:t>603806</w:t>
            </w:r>
          </w:p>
        </w:tc>
        <w:tc>
          <w:tcPr>
            <w:tcW w:w="0" w:type="auto"/>
            <w:vAlign w:val="center"/>
          </w:tcPr>
          <w:p w:rsidR="0045430D" w:rsidRDefault="00814DC7">
            <w:pPr>
              <w:jc w:val="center"/>
            </w:pPr>
            <w:r>
              <w:rPr>
                <w:color w:val="000000"/>
                <w:kern w:val="0"/>
                <w:sz w:val="24"/>
                <w:szCs w:val="24"/>
              </w:rPr>
              <w:t>福斯特</w:t>
            </w:r>
          </w:p>
        </w:tc>
        <w:tc>
          <w:tcPr>
            <w:tcW w:w="0" w:type="auto"/>
            <w:vAlign w:val="center"/>
          </w:tcPr>
          <w:p w:rsidR="0045430D" w:rsidRDefault="00814DC7">
            <w:pPr>
              <w:jc w:val="right"/>
            </w:pPr>
            <w:r>
              <w:rPr>
                <w:color w:val="000000"/>
                <w:kern w:val="0"/>
                <w:sz w:val="24"/>
                <w:szCs w:val="24"/>
              </w:rPr>
              <w:t>718,310</w:t>
            </w:r>
          </w:p>
        </w:tc>
        <w:tc>
          <w:tcPr>
            <w:tcW w:w="0" w:type="auto"/>
            <w:vAlign w:val="center"/>
          </w:tcPr>
          <w:p w:rsidR="0045430D" w:rsidRDefault="00814DC7">
            <w:pPr>
              <w:jc w:val="right"/>
            </w:pPr>
            <w:r>
              <w:rPr>
                <w:color w:val="000000"/>
                <w:kern w:val="0"/>
                <w:sz w:val="24"/>
                <w:szCs w:val="24"/>
              </w:rPr>
              <w:t>34,909,866.00</w:t>
            </w:r>
          </w:p>
        </w:tc>
        <w:tc>
          <w:tcPr>
            <w:tcW w:w="0" w:type="auto"/>
            <w:vAlign w:val="center"/>
          </w:tcPr>
          <w:p w:rsidR="0045430D" w:rsidRDefault="00814DC7">
            <w:pPr>
              <w:jc w:val="right"/>
            </w:pPr>
            <w:r>
              <w:rPr>
                <w:color w:val="000000"/>
                <w:kern w:val="0"/>
                <w:sz w:val="24"/>
                <w:szCs w:val="24"/>
              </w:rPr>
              <w:t>3.18</w:t>
            </w:r>
          </w:p>
        </w:tc>
      </w:tr>
      <w:tr w:rsidR="0045430D">
        <w:tc>
          <w:tcPr>
            <w:tcW w:w="0" w:type="auto"/>
            <w:vAlign w:val="center"/>
          </w:tcPr>
          <w:p w:rsidR="0045430D" w:rsidRDefault="00814DC7">
            <w:pPr>
              <w:jc w:val="center"/>
            </w:pPr>
            <w:r>
              <w:rPr>
                <w:color w:val="000000"/>
                <w:kern w:val="0"/>
                <w:sz w:val="24"/>
                <w:szCs w:val="24"/>
              </w:rPr>
              <w:t>9</w:t>
            </w:r>
          </w:p>
        </w:tc>
        <w:tc>
          <w:tcPr>
            <w:tcW w:w="0" w:type="auto"/>
            <w:vAlign w:val="center"/>
          </w:tcPr>
          <w:p w:rsidR="0045430D" w:rsidRDefault="00814DC7">
            <w:pPr>
              <w:jc w:val="center"/>
            </w:pPr>
            <w:r>
              <w:rPr>
                <w:color w:val="000000"/>
                <w:kern w:val="0"/>
                <w:sz w:val="24"/>
                <w:szCs w:val="24"/>
              </w:rPr>
              <w:t>603288</w:t>
            </w:r>
          </w:p>
        </w:tc>
        <w:tc>
          <w:tcPr>
            <w:tcW w:w="0" w:type="auto"/>
            <w:vAlign w:val="center"/>
          </w:tcPr>
          <w:p w:rsidR="0045430D" w:rsidRDefault="00814DC7">
            <w:pPr>
              <w:jc w:val="center"/>
            </w:pPr>
            <w:r>
              <w:rPr>
                <w:color w:val="000000"/>
                <w:kern w:val="0"/>
                <w:sz w:val="24"/>
                <w:szCs w:val="24"/>
              </w:rPr>
              <w:t>海天味业</w:t>
            </w:r>
          </w:p>
        </w:tc>
        <w:tc>
          <w:tcPr>
            <w:tcW w:w="0" w:type="auto"/>
            <w:vAlign w:val="center"/>
          </w:tcPr>
          <w:p w:rsidR="0045430D" w:rsidRDefault="00814DC7">
            <w:pPr>
              <w:jc w:val="right"/>
            </w:pPr>
            <w:r>
              <w:rPr>
                <w:color w:val="000000"/>
                <w:kern w:val="0"/>
                <w:sz w:val="24"/>
                <w:szCs w:val="24"/>
              </w:rPr>
              <w:t>305,659</w:t>
            </w:r>
          </w:p>
        </w:tc>
        <w:tc>
          <w:tcPr>
            <w:tcW w:w="0" w:type="auto"/>
            <w:vAlign w:val="center"/>
          </w:tcPr>
          <w:p w:rsidR="0045430D" w:rsidRDefault="00814DC7">
            <w:pPr>
              <w:jc w:val="right"/>
            </w:pPr>
            <w:r>
              <w:rPr>
                <w:color w:val="000000"/>
                <w:kern w:val="0"/>
                <w:sz w:val="24"/>
                <w:szCs w:val="24"/>
              </w:rPr>
              <w:t>32,861,399.09</w:t>
            </w:r>
          </w:p>
        </w:tc>
        <w:tc>
          <w:tcPr>
            <w:tcW w:w="0" w:type="auto"/>
            <w:vAlign w:val="center"/>
          </w:tcPr>
          <w:p w:rsidR="0045430D" w:rsidRDefault="00814DC7">
            <w:pPr>
              <w:jc w:val="right"/>
            </w:pPr>
            <w:r>
              <w:rPr>
                <w:color w:val="000000"/>
                <w:kern w:val="0"/>
                <w:sz w:val="24"/>
                <w:szCs w:val="24"/>
              </w:rPr>
              <w:t>3.00</w:t>
            </w:r>
          </w:p>
        </w:tc>
      </w:tr>
      <w:tr w:rsidR="0045430D">
        <w:tc>
          <w:tcPr>
            <w:tcW w:w="0" w:type="auto"/>
            <w:vAlign w:val="center"/>
          </w:tcPr>
          <w:p w:rsidR="0045430D" w:rsidRDefault="00814DC7">
            <w:pPr>
              <w:jc w:val="center"/>
            </w:pPr>
            <w:r>
              <w:rPr>
                <w:color w:val="000000"/>
                <w:kern w:val="0"/>
                <w:sz w:val="24"/>
                <w:szCs w:val="24"/>
              </w:rPr>
              <w:t>10</w:t>
            </w:r>
          </w:p>
        </w:tc>
        <w:tc>
          <w:tcPr>
            <w:tcW w:w="0" w:type="auto"/>
            <w:vAlign w:val="center"/>
          </w:tcPr>
          <w:p w:rsidR="0045430D" w:rsidRDefault="00814DC7">
            <w:pPr>
              <w:jc w:val="center"/>
            </w:pPr>
            <w:r>
              <w:rPr>
                <w:color w:val="000000"/>
                <w:kern w:val="0"/>
                <w:sz w:val="24"/>
                <w:szCs w:val="24"/>
              </w:rPr>
              <w:t>300498</w:t>
            </w:r>
          </w:p>
        </w:tc>
        <w:tc>
          <w:tcPr>
            <w:tcW w:w="0" w:type="auto"/>
            <w:vAlign w:val="center"/>
          </w:tcPr>
          <w:p w:rsidR="0045430D" w:rsidRDefault="00814DC7">
            <w:pPr>
              <w:jc w:val="center"/>
            </w:pPr>
            <w:r>
              <w:rPr>
                <w:color w:val="000000"/>
                <w:kern w:val="0"/>
                <w:sz w:val="24"/>
                <w:szCs w:val="24"/>
              </w:rPr>
              <w:t>温氏股份</w:t>
            </w:r>
          </w:p>
        </w:tc>
        <w:tc>
          <w:tcPr>
            <w:tcW w:w="0" w:type="auto"/>
            <w:vAlign w:val="center"/>
          </w:tcPr>
          <w:p w:rsidR="0045430D" w:rsidRDefault="00814DC7">
            <w:pPr>
              <w:jc w:val="right"/>
            </w:pPr>
            <w:r>
              <w:rPr>
                <w:color w:val="000000"/>
                <w:kern w:val="0"/>
                <w:sz w:val="24"/>
                <w:szCs w:val="24"/>
              </w:rPr>
              <w:t>961,136</w:t>
            </w:r>
          </w:p>
        </w:tc>
        <w:tc>
          <w:tcPr>
            <w:tcW w:w="0" w:type="auto"/>
            <w:vAlign w:val="center"/>
          </w:tcPr>
          <w:p w:rsidR="0045430D" w:rsidRDefault="00814DC7">
            <w:pPr>
              <w:jc w:val="right"/>
            </w:pPr>
            <w:r>
              <w:rPr>
                <w:color w:val="000000"/>
                <w:kern w:val="0"/>
                <w:sz w:val="24"/>
                <w:szCs w:val="24"/>
              </w:rPr>
              <w:t>32,294,169.60</w:t>
            </w:r>
          </w:p>
        </w:tc>
        <w:tc>
          <w:tcPr>
            <w:tcW w:w="0" w:type="auto"/>
            <w:vAlign w:val="center"/>
          </w:tcPr>
          <w:p w:rsidR="0045430D" w:rsidRDefault="00814DC7">
            <w:pPr>
              <w:jc w:val="right"/>
            </w:pPr>
            <w:r>
              <w:rPr>
                <w:color w:val="000000"/>
                <w:kern w:val="0"/>
                <w:sz w:val="24"/>
                <w:szCs w:val="24"/>
              </w:rPr>
              <w:t>2.94</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3,381,657.95</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3,381,657.95</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45430D">
        <w:tc>
          <w:tcPr>
            <w:tcW w:w="0" w:type="auto"/>
            <w:vAlign w:val="center"/>
          </w:tcPr>
          <w:p w:rsidR="0045430D" w:rsidRDefault="00814DC7">
            <w:pPr>
              <w:jc w:val="center"/>
            </w:pPr>
            <w:r>
              <w:rPr>
                <w:color w:val="000000"/>
                <w:kern w:val="0"/>
                <w:sz w:val="24"/>
                <w:szCs w:val="24"/>
              </w:rPr>
              <w:t>1</w:t>
            </w:r>
          </w:p>
        </w:tc>
        <w:tc>
          <w:tcPr>
            <w:tcW w:w="0" w:type="auto"/>
            <w:vAlign w:val="center"/>
          </w:tcPr>
          <w:p w:rsidR="0045430D" w:rsidRDefault="00814DC7">
            <w:pPr>
              <w:jc w:val="center"/>
            </w:pPr>
            <w:r>
              <w:rPr>
                <w:color w:val="000000"/>
                <w:kern w:val="0"/>
                <w:sz w:val="24"/>
                <w:szCs w:val="24"/>
              </w:rPr>
              <w:t>113551</w:t>
            </w:r>
          </w:p>
        </w:tc>
        <w:tc>
          <w:tcPr>
            <w:tcW w:w="0" w:type="auto"/>
            <w:vAlign w:val="center"/>
          </w:tcPr>
          <w:p w:rsidR="0045430D" w:rsidRDefault="00814DC7">
            <w:pPr>
              <w:jc w:val="center"/>
            </w:pPr>
            <w:r>
              <w:rPr>
                <w:color w:val="000000"/>
                <w:kern w:val="0"/>
                <w:sz w:val="24"/>
                <w:szCs w:val="24"/>
              </w:rPr>
              <w:t>福特转债</w:t>
            </w:r>
          </w:p>
        </w:tc>
        <w:tc>
          <w:tcPr>
            <w:tcW w:w="0" w:type="auto"/>
            <w:vAlign w:val="center"/>
          </w:tcPr>
          <w:p w:rsidR="0045430D" w:rsidRDefault="00814DC7">
            <w:pPr>
              <w:jc w:val="right"/>
            </w:pPr>
            <w:r>
              <w:rPr>
                <w:color w:val="000000"/>
                <w:kern w:val="0"/>
                <w:sz w:val="24"/>
                <w:szCs w:val="24"/>
              </w:rPr>
              <w:t>17,340</w:t>
            </w:r>
          </w:p>
        </w:tc>
        <w:tc>
          <w:tcPr>
            <w:tcW w:w="0" w:type="auto"/>
            <w:vAlign w:val="center"/>
          </w:tcPr>
          <w:p w:rsidR="0045430D" w:rsidRDefault="00814DC7">
            <w:pPr>
              <w:jc w:val="right"/>
            </w:pPr>
            <w:r>
              <w:rPr>
                <w:color w:val="000000"/>
                <w:kern w:val="0"/>
                <w:sz w:val="24"/>
                <w:szCs w:val="24"/>
              </w:rPr>
              <w:t>2,235,126.00</w:t>
            </w:r>
          </w:p>
        </w:tc>
        <w:tc>
          <w:tcPr>
            <w:tcW w:w="0" w:type="auto"/>
            <w:vAlign w:val="center"/>
          </w:tcPr>
          <w:p w:rsidR="0045430D" w:rsidRDefault="00814DC7">
            <w:pPr>
              <w:jc w:val="right"/>
            </w:pPr>
            <w:r>
              <w:rPr>
                <w:color w:val="000000"/>
                <w:kern w:val="0"/>
                <w:sz w:val="24"/>
                <w:szCs w:val="24"/>
              </w:rPr>
              <w:t>0.20</w:t>
            </w:r>
          </w:p>
        </w:tc>
      </w:tr>
      <w:tr w:rsidR="0045430D">
        <w:tc>
          <w:tcPr>
            <w:tcW w:w="0" w:type="auto"/>
            <w:vAlign w:val="center"/>
          </w:tcPr>
          <w:p w:rsidR="0045430D" w:rsidRDefault="00814DC7">
            <w:pPr>
              <w:jc w:val="center"/>
            </w:pPr>
            <w:r>
              <w:rPr>
                <w:color w:val="000000"/>
                <w:kern w:val="0"/>
                <w:sz w:val="24"/>
                <w:szCs w:val="24"/>
              </w:rPr>
              <w:t>2</w:t>
            </w:r>
          </w:p>
        </w:tc>
        <w:tc>
          <w:tcPr>
            <w:tcW w:w="0" w:type="auto"/>
            <w:vAlign w:val="center"/>
          </w:tcPr>
          <w:p w:rsidR="0045430D" w:rsidRDefault="00814DC7">
            <w:pPr>
              <w:jc w:val="center"/>
            </w:pPr>
            <w:r>
              <w:rPr>
                <w:color w:val="000000"/>
                <w:kern w:val="0"/>
                <w:sz w:val="24"/>
                <w:szCs w:val="24"/>
              </w:rPr>
              <w:t>113552</w:t>
            </w:r>
          </w:p>
        </w:tc>
        <w:tc>
          <w:tcPr>
            <w:tcW w:w="0" w:type="auto"/>
            <w:vAlign w:val="center"/>
          </w:tcPr>
          <w:p w:rsidR="0045430D" w:rsidRDefault="00814DC7">
            <w:pPr>
              <w:jc w:val="center"/>
            </w:pPr>
            <w:r>
              <w:rPr>
                <w:color w:val="000000"/>
                <w:kern w:val="0"/>
                <w:sz w:val="24"/>
                <w:szCs w:val="24"/>
              </w:rPr>
              <w:t>克来转债</w:t>
            </w:r>
          </w:p>
        </w:tc>
        <w:tc>
          <w:tcPr>
            <w:tcW w:w="0" w:type="auto"/>
            <w:vAlign w:val="center"/>
          </w:tcPr>
          <w:p w:rsidR="0045430D" w:rsidRDefault="00814DC7">
            <w:pPr>
              <w:jc w:val="right"/>
            </w:pPr>
            <w:r>
              <w:rPr>
                <w:color w:val="000000"/>
                <w:kern w:val="0"/>
                <w:sz w:val="24"/>
                <w:szCs w:val="24"/>
              </w:rPr>
              <w:t>3,730</w:t>
            </w:r>
          </w:p>
        </w:tc>
        <w:tc>
          <w:tcPr>
            <w:tcW w:w="0" w:type="auto"/>
            <w:vAlign w:val="center"/>
          </w:tcPr>
          <w:p w:rsidR="0045430D" w:rsidRDefault="00814DC7">
            <w:pPr>
              <w:jc w:val="right"/>
            </w:pPr>
            <w:r>
              <w:rPr>
                <w:color w:val="000000"/>
                <w:kern w:val="0"/>
                <w:sz w:val="24"/>
                <w:szCs w:val="24"/>
              </w:rPr>
              <w:t>462,445.40</w:t>
            </w:r>
          </w:p>
        </w:tc>
        <w:tc>
          <w:tcPr>
            <w:tcW w:w="0" w:type="auto"/>
            <w:vAlign w:val="center"/>
          </w:tcPr>
          <w:p w:rsidR="0045430D" w:rsidRDefault="00814DC7">
            <w:pPr>
              <w:jc w:val="right"/>
            </w:pPr>
            <w:r>
              <w:rPr>
                <w:color w:val="000000"/>
                <w:kern w:val="0"/>
                <w:sz w:val="24"/>
                <w:szCs w:val="24"/>
              </w:rPr>
              <w:t>0.04</w:t>
            </w:r>
          </w:p>
        </w:tc>
      </w:tr>
      <w:tr w:rsidR="0045430D">
        <w:tc>
          <w:tcPr>
            <w:tcW w:w="0" w:type="auto"/>
            <w:vAlign w:val="center"/>
          </w:tcPr>
          <w:p w:rsidR="0045430D" w:rsidRDefault="00814DC7">
            <w:pPr>
              <w:jc w:val="center"/>
            </w:pPr>
            <w:r>
              <w:rPr>
                <w:color w:val="000000"/>
                <w:kern w:val="0"/>
                <w:sz w:val="24"/>
                <w:szCs w:val="24"/>
              </w:rPr>
              <w:t>3</w:t>
            </w:r>
          </w:p>
        </w:tc>
        <w:tc>
          <w:tcPr>
            <w:tcW w:w="0" w:type="auto"/>
            <w:vAlign w:val="center"/>
          </w:tcPr>
          <w:p w:rsidR="0045430D" w:rsidRDefault="00814DC7">
            <w:pPr>
              <w:jc w:val="center"/>
            </w:pPr>
            <w:r>
              <w:rPr>
                <w:color w:val="000000"/>
                <w:kern w:val="0"/>
                <w:sz w:val="24"/>
                <w:szCs w:val="24"/>
              </w:rPr>
              <w:t>113553</w:t>
            </w:r>
          </w:p>
        </w:tc>
        <w:tc>
          <w:tcPr>
            <w:tcW w:w="0" w:type="auto"/>
            <w:vAlign w:val="center"/>
          </w:tcPr>
          <w:p w:rsidR="0045430D" w:rsidRDefault="00814DC7">
            <w:pPr>
              <w:jc w:val="center"/>
            </w:pPr>
            <w:r>
              <w:rPr>
                <w:color w:val="000000"/>
                <w:kern w:val="0"/>
                <w:sz w:val="24"/>
                <w:szCs w:val="24"/>
              </w:rPr>
              <w:t>金牌转债</w:t>
            </w:r>
          </w:p>
        </w:tc>
        <w:tc>
          <w:tcPr>
            <w:tcW w:w="0" w:type="auto"/>
            <w:vAlign w:val="center"/>
          </w:tcPr>
          <w:p w:rsidR="0045430D" w:rsidRDefault="00814DC7">
            <w:pPr>
              <w:jc w:val="right"/>
            </w:pPr>
            <w:r>
              <w:rPr>
                <w:color w:val="000000"/>
                <w:kern w:val="0"/>
                <w:sz w:val="24"/>
                <w:szCs w:val="24"/>
              </w:rPr>
              <w:t>4,200</w:t>
            </w:r>
          </w:p>
        </w:tc>
        <w:tc>
          <w:tcPr>
            <w:tcW w:w="0" w:type="auto"/>
            <w:vAlign w:val="center"/>
          </w:tcPr>
          <w:p w:rsidR="0045430D" w:rsidRDefault="00814DC7">
            <w:pPr>
              <w:jc w:val="right"/>
            </w:pPr>
            <w:r>
              <w:rPr>
                <w:color w:val="000000"/>
                <w:kern w:val="0"/>
                <w:sz w:val="24"/>
                <w:szCs w:val="24"/>
              </w:rPr>
              <w:t>419,988.95</w:t>
            </w:r>
          </w:p>
        </w:tc>
        <w:tc>
          <w:tcPr>
            <w:tcW w:w="0" w:type="auto"/>
            <w:vAlign w:val="center"/>
          </w:tcPr>
          <w:p w:rsidR="0045430D" w:rsidRDefault="00814DC7">
            <w:pPr>
              <w:jc w:val="right"/>
            </w:pPr>
            <w:r>
              <w:rPr>
                <w:color w:val="000000"/>
                <w:kern w:val="0"/>
                <w:sz w:val="24"/>
                <w:szCs w:val="24"/>
              </w:rPr>
              <w:t>0.04</w:t>
            </w:r>
          </w:p>
        </w:tc>
      </w:tr>
      <w:tr w:rsidR="0045430D">
        <w:tc>
          <w:tcPr>
            <w:tcW w:w="0" w:type="auto"/>
            <w:vAlign w:val="center"/>
          </w:tcPr>
          <w:p w:rsidR="0045430D" w:rsidRDefault="00814DC7">
            <w:pPr>
              <w:jc w:val="center"/>
            </w:pPr>
            <w:r>
              <w:rPr>
                <w:color w:val="000000"/>
                <w:kern w:val="0"/>
                <w:sz w:val="24"/>
                <w:szCs w:val="24"/>
              </w:rPr>
              <w:t>4</w:t>
            </w:r>
          </w:p>
        </w:tc>
        <w:tc>
          <w:tcPr>
            <w:tcW w:w="0" w:type="auto"/>
            <w:vAlign w:val="center"/>
          </w:tcPr>
          <w:p w:rsidR="0045430D" w:rsidRDefault="00814DC7">
            <w:pPr>
              <w:jc w:val="center"/>
            </w:pPr>
            <w:r>
              <w:rPr>
                <w:color w:val="000000"/>
                <w:kern w:val="0"/>
                <w:sz w:val="24"/>
                <w:szCs w:val="24"/>
              </w:rPr>
              <w:t>110062</w:t>
            </w:r>
          </w:p>
        </w:tc>
        <w:tc>
          <w:tcPr>
            <w:tcW w:w="0" w:type="auto"/>
            <w:vAlign w:val="center"/>
          </w:tcPr>
          <w:p w:rsidR="0045430D" w:rsidRDefault="00814DC7">
            <w:pPr>
              <w:jc w:val="center"/>
            </w:pPr>
            <w:r>
              <w:rPr>
                <w:color w:val="000000"/>
                <w:kern w:val="0"/>
                <w:sz w:val="24"/>
                <w:szCs w:val="24"/>
              </w:rPr>
              <w:t>烽火转债</w:t>
            </w:r>
          </w:p>
        </w:tc>
        <w:tc>
          <w:tcPr>
            <w:tcW w:w="0" w:type="auto"/>
            <w:vAlign w:val="center"/>
          </w:tcPr>
          <w:p w:rsidR="0045430D" w:rsidRDefault="00814DC7">
            <w:pPr>
              <w:jc w:val="right"/>
            </w:pPr>
            <w:r>
              <w:rPr>
                <w:color w:val="000000"/>
                <w:kern w:val="0"/>
                <w:sz w:val="24"/>
                <w:szCs w:val="24"/>
              </w:rPr>
              <w:t>2,080</w:t>
            </w:r>
          </w:p>
        </w:tc>
        <w:tc>
          <w:tcPr>
            <w:tcW w:w="0" w:type="auto"/>
            <w:vAlign w:val="center"/>
          </w:tcPr>
          <w:p w:rsidR="0045430D" w:rsidRDefault="00814DC7">
            <w:pPr>
              <w:jc w:val="right"/>
            </w:pPr>
            <w:r>
              <w:rPr>
                <w:color w:val="000000"/>
                <w:kern w:val="0"/>
                <w:sz w:val="24"/>
                <w:szCs w:val="24"/>
              </w:rPr>
              <w:t>264,097.60</w:t>
            </w:r>
          </w:p>
        </w:tc>
        <w:tc>
          <w:tcPr>
            <w:tcW w:w="0" w:type="auto"/>
            <w:vAlign w:val="center"/>
          </w:tcPr>
          <w:p w:rsidR="0045430D" w:rsidRDefault="00814DC7">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137,331.68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6,224,112.54</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15,215.02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163,561.23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6,540,220.47</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1,107,222,853.42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13,325,097.96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48,440,063.33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1,072,107,888.05</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45430D" w:rsidRDefault="00814DC7">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中国证监会核准易方达策略成长二号混合型证券投资基金募集的文件；</w:t>
      </w:r>
    </w:p>
    <w:p w:rsidR="0045430D" w:rsidRDefault="00814DC7">
      <w:pPr>
        <w:spacing w:line="360" w:lineRule="auto"/>
        <w:ind w:firstLineChars="200" w:firstLine="480"/>
        <w:rPr>
          <w:color w:val="000000"/>
          <w:sz w:val="24"/>
          <w:szCs w:val="24"/>
        </w:rPr>
      </w:pPr>
      <w:r>
        <w:rPr>
          <w:color w:val="000000"/>
          <w:sz w:val="24"/>
          <w:szCs w:val="24"/>
        </w:rPr>
        <w:t>2.</w:t>
      </w:r>
      <w:r>
        <w:rPr>
          <w:color w:val="000000"/>
          <w:sz w:val="24"/>
          <w:szCs w:val="24"/>
        </w:rPr>
        <w:t>《易方达策略成长二号混合型证券投资基金基金合同》；</w:t>
      </w:r>
    </w:p>
    <w:p w:rsidR="0045430D" w:rsidRDefault="00814DC7">
      <w:pPr>
        <w:spacing w:line="360" w:lineRule="auto"/>
        <w:ind w:firstLineChars="200" w:firstLine="480"/>
        <w:rPr>
          <w:color w:val="000000"/>
          <w:sz w:val="24"/>
          <w:szCs w:val="24"/>
        </w:rPr>
      </w:pPr>
      <w:r>
        <w:rPr>
          <w:color w:val="000000"/>
          <w:sz w:val="24"/>
          <w:szCs w:val="24"/>
        </w:rPr>
        <w:t>3.</w:t>
      </w:r>
      <w:r>
        <w:rPr>
          <w:color w:val="000000"/>
          <w:sz w:val="24"/>
          <w:szCs w:val="24"/>
        </w:rPr>
        <w:t>《易方达策略成长二号混合型证券投资基金托管协议》；</w:t>
      </w:r>
    </w:p>
    <w:p w:rsidR="0045430D" w:rsidRDefault="00814DC7">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14DC7">
      <w:rPr>
        <w:rStyle w:val="a7"/>
        <w:noProof/>
      </w:rPr>
      <w:t>1</w:t>
    </w:r>
    <w:r>
      <w:rPr>
        <w:rStyle w:val="a7"/>
      </w:rPr>
      <w:fldChar w:fldCharType="end"/>
    </w:r>
    <w:r>
      <w:rPr>
        <w:rStyle w:val="a7"/>
        <w:rFonts w:hint="eastAsia"/>
      </w:rPr>
      <w:t>页共</w:t>
    </w:r>
    <w:r w:rsidR="00814DC7">
      <w:fldChar w:fldCharType="begin"/>
    </w:r>
    <w:r w:rsidR="00814DC7">
      <w:instrText xml:space="preserve"> NUMPAGES  \* Arabic  \* MERGEFORMAT </w:instrText>
    </w:r>
    <w:r w:rsidR="00814DC7">
      <w:fldChar w:fldCharType="separate"/>
    </w:r>
    <w:r w:rsidR="00814DC7" w:rsidRPr="00814DC7">
      <w:rPr>
        <w:rStyle w:val="a7"/>
        <w:noProof/>
      </w:rPr>
      <w:t>1</w:t>
    </w:r>
    <w:r w:rsidR="00814DC7">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14DC7">
      <w:rPr>
        <w:rStyle w:val="a7"/>
        <w:noProof/>
      </w:rPr>
      <w:t>2</w:t>
    </w:r>
    <w:r>
      <w:rPr>
        <w:rStyle w:val="a7"/>
      </w:rPr>
      <w:fldChar w:fldCharType="end"/>
    </w:r>
    <w:r>
      <w:rPr>
        <w:rStyle w:val="a7"/>
        <w:rFonts w:hint="eastAsia"/>
      </w:rPr>
      <w:t>页共</w:t>
    </w:r>
    <w:fldSimple w:instr=" NUMPAGES  \* Arabic  \* MERGEFORMAT ">
      <w:r w:rsidR="00814DC7" w:rsidRPr="00814DC7">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易方达策略成长二号混合型证券投资基金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5430D"/>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4DC7"/>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5372-A59D-465F-A821-D03A9F04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5305</Characters>
  <Application>Microsoft Office Word</Application>
  <DocSecurity>4</DocSecurity>
  <Lines>44</Lines>
  <Paragraphs>12</Paragraphs>
  <ScaleCrop>false</ScaleCrop>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