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易方达科讯混合型证券投资基金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交通银行股份有限公司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875A6A" w:rsidRDefault="00467FAE">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75A6A" w:rsidRDefault="00467FAE">
      <w:pPr>
        <w:spacing w:line="360" w:lineRule="auto"/>
        <w:ind w:firstLineChars="200" w:firstLine="480"/>
        <w:rPr>
          <w:color w:val="000000"/>
          <w:sz w:val="24"/>
          <w:szCs w:val="24"/>
        </w:rPr>
      </w:pPr>
      <w:r>
        <w:rPr>
          <w:color w:val="000000"/>
          <w:sz w:val="24"/>
          <w:szCs w:val="24"/>
        </w:rPr>
        <w:t>基金托管人交通银行股份有限公司根据本基金合同规定，于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75A6A" w:rsidRDefault="00467FAE">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75A6A" w:rsidRDefault="00467FAE">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75A6A" w:rsidRDefault="00467FAE">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易方达科讯混合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110029</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110029</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2007</w:t>
            </w:r>
            <w:r w:rsidRPr="00232B03">
              <w:rPr>
                <w:color w:val="000000"/>
                <w:kern w:val="0"/>
                <w:sz w:val="24"/>
                <w:szCs w:val="24"/>
              </w:rPr>
              <w:t>年</w:t>
            </w:r>
            <w:r w:rsidRPr="00232B03">
              <w:rPr>
                <w:color w:val="000000"/>
                <w:kern w:val="0"/>
                <w:sz w:val="24"/>
                <w:szCs w:val="24"/>
              </w:rPr>
              <w:t>12</w:t>
            </w:r>
            <w:r w:rsidRPr="00232B03">
              <w:rPr>
                <w:color w:val="000000"/>
                <w:kern w:val="0"/>
                <w:sz w:val="24"/>
                <w:szCs w:val="24"/>
              </w:rPr>
              <w:t>月</w:t>
            </w:r>
            <w:r w:rsidRPr="00232B03">
              <w:rPr>
                <w:color w:val="000000"/>
                <w:kern w:val="0"/>
                <w:sz w:val="24"/>
                <w:szCs w:val="24"/>
              </w:rPr>
              <w:t>18</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3,899,778,602.26</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根据市场环境变化，综合运用多种投资策略，追求基金资产的长期稳健增值。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本基金综合运用多种投资策略，把握多种投资机会。股票投资策略方面，一般情况下以优势企业策略和成长策略为主，辅以行业周期策略、绝对价值策略、突发事件</w:t>
            </w:r>
            <w:r w:rsidRPr="00232B03">
              <w:rPr>
                <w:color w:val="000000"/>
                <w:kern w:val="0"/>
                <w:sz w:val="24"/>
                <w:szCs w:val="24"/>
              </w:rPr>
              <w:t>/</w:t>
            </w:r>
            <w:r w:rsidRPr="00232B03">
              <w:rPr>
                <w:color w:val="000000"/>
                <w:kern w:val="0"/>
                <w:sz w:val="24"/>
                <w:szCs w:val="24"/>
              </w:rPr>
              <w:t>收购兼并策略以及新兴技术策略。在特定的市场情况下，后四种策略中一种或多种的</w:t>
            </w:r>
            <w:r w:rsidRPr="00232B03">
              <w:rPr>
                <w:color w:val="000000"/>
                <w:kern w:val="0"/>
                <w:sz w:val="24"/>
                <w:szCs w:val="24"/>
              </w:rPr>
              <w:lastRenderedPageBreak/>
              <w:t>资金容量较大、不确定性较小、收益预期较高时，也可成为主策略。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沪深</w:t>
            </w:r>
            <w:r w:rsidRPr="00232B03">
              <w:rPr>
                <w:color w:val="000000"/>
                <w:kern w:val="0"/>
                <w:sz w:val="24"/>
                <w:szCs w:val="24"/>
              </w:rPr>
              <w:t>300</w:t>
            </w:r>
            <w:r w:rsidRPr="00232B03">
              <w:rPr>
                <w:color w:val="000000"/>
                <w:kern w:val="0"/>
                <w:sz w:val="24"/>
                <w:szCs w:val="24"/>
              </w:rPr>
              <w:t>指数收益率</w:t>
            </w:r>
            <w:r w:rsidRPr="00232B03">
              <w:rPr>
                <w:color w:val="000000"/>
                <w:kern w:val="0"/>
                <w:sz w:val="24"/>
                <w:szCs w:val="24"/>
              </w:rPr>
              <w:t>×80%+</w:t>
            </w:r>
            <w:r w:rsidRPr="00232B03">
              <w:rPr>
                <w:color w:val="000000"/>
                <w:kern w:val="0"/>
                <w:sz w:val="24"/>
                <w:szCs w:val="24"/>
              </w:rPr>
              <w:t>中债总指数收益率</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本基金是混合基金，理论上其风险收益水平高于债券基金和货币市场基金，低于股票基金。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交通银行股份有限公司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330,374,559.91</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458,031,524.37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0.1127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4,748,188,542.14</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1.2176</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875A6A" w:rsidRDefault="00467FAE">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所述基金业绩指标不包括持有人交易基金的各项费用，计入费用后实际收益水平要低于所列数字。</w:t>
      </w:r>
    </w:p>
    <w:p w:rsidR="00875A6A" w:rsidRDefault="00467FAE">
      <w:pPr>
        <w:spacing w:line="360" w:lineRule="auto"/>
        <w:ind w:firstLineChars="200" w:firstLine="480"/>
        <w:rPr>
          <w:color w:val="000000"/>
          <w:sz w:val="24"/>
          <w:szCs w:val="24"/>
        </w:rPr>
      </w:pPr>
      <w:r>
        <w:rPr>
          <w:color w:val="000000"/>
          <w:sz w:val="24"/>
        </w:rPr>
        <w:t>2.</w:t>
      </w:r>
      <w:r>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32B03" w:rsidRDefault="00392044" w:rsidP="00232B03">
      <w:pPr>
        <w:spacing w:line="360" w:lineRule="auto"/>
        <w:ind w:firstLineChars="200" w:firstLine="480"/>
        <w:rPr>
          <w:color w:val="000000"/>
          <w:sz w:val="24"/>
          <w:szCs w:val="24"/>
        </w:rPr>
      </w:pPr>
      <w:r w:rsidRPr="006506EF">
        <w:rPr>
          <w:color w:val="000000"/>
          <w:sz w:val="24"/>
        </w:rPr>
        <w:t>3.</w:t>
      </w:r>
      <w:r w:rsidRPr="006506EF">
        <w:rPr>
          <w:color w:val="000000"/>
          <w:sz w:val="24"/>
        </w:rPr>
        <w:t>本基金已于</w:t>
      </w:r>
      <w:r w:rsidRPr="006506EF">
        <w:rPr>
          <w:color w:val="000000"/>
          <w:sz w:val="24"/>
        </w:rPr>
        <w:t>2008</w:t>
      </w:r>
      <w:r w:rsidRPr="006506EF">
        <w:rPr>
          <w:color w:val="000000"/>
          <w:sz w:val="24"/>
        </w:rPr>
        <w:t>年</w:t>
      </w:r>
      <w:r w:rsidRPr="006506EF">
        <w:rPr>
          <w:color w:val="000000"/>
          <w:sz w:val="24"/>
        </w:rPr>
        <w:t>1</w:t>
      </w:r>
      <w:r w:rsidRPr="006506EF">
        <w:rPr>
          <w:color w:val="000000"/>
          <w:sz w:val="24"/>
        </w:rPr>
        <w:t>月</w:t>
      </w:r>
      <w:r w:rsidRPr="006506EF">
        <w:rPr>
          <w:color w:val="000000"/>
          <w:sz w:val="24"/>
        </w:rPr>
        <w:t>4</w:t>
      </w:r>
      <w:r w:rsidRPr="006506EF">
        <w:rPr>
          <w:color w:val="000000"/>
          <w:sz w:val="24"/>
        </w:rPr>
        <w:t>日对原基金科讯退市时的基金份额进行了拆分，基金拆分比例为</w:t>
      </w:r>
      <w:r w:rsidRPr="006506EF">
        <w:rPr>
          <w:color w:val="000000"/>
          <w:sz w:val="24"/>
        </w:rPr>
        <w:t>1</w:t>
      </w:r>
      <w:r w:rsidRPr="006506EF">
        <w:rPr>
          <w:color w:val="000000"/>
          <w:sz w:val="24"/>
        </w:rPr>
        <w:t>：</w:t>
      </w:r>
      <w:r w:rsidRPr="006506EF">
        <w:rPr>
          <w:color w:val="000000"/>
          <w:sz w:val="24"/>
        </w:rPr>
        <w:t>2.825206742</w:t>
      </w:r>
      <w:r w:rsidRPr="006506EF">
        <w:rPr>
          <w:color w:val="000000"/>
          <w:sz w:val="24"/>
        </w:rPr>
        <w:t>。</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875A6A">
        <w:tc>
          <w:tcPr>
            <w:tcW w:w="0" w:type="auto"/>
            <w:vAlign w:val="center"/>
          </w:tcPr>
          <w:p w:rsidR="00875A6A" w:rsidRDefault="00467FAE">
            <w:pPr>
              <w:jc w:val="left"/>
            </w:pPr>
            <w:r>
              <w:rPr>
                <w:color w:val="000000"/>
                <w:kern w:val="0"/>
                <w:sz w:val="24"/>
                <w:szCs w:val="24"/>
              </w:rPr>
              <w:t>过去三个月</w:t>
            </w:r>
          </w:p>
        </w:tc>
        <w:tc>
          <w:tcPr>
            <w:tcW w:w="0" w:type="auto"/>
            <w:vAlign w:val="center"/>
          </w:tcPr>
          <w:p w:rsidR="00875A6A" w:rsidRDefault="00467FAE">
            <w:pPr>
              <w:jc w:val="center"/>
            </w:pPr>
            <w:r>
              <w:rPr>
                <w:color w:val="000000"/>
                <w:kern w:val="0"/>
                <w:sz w:val="24"/>
                <w:szCs w:val="24"/>
              </w:rPr>
              <w:t>10.27%</w:t>
            </w:r>
          </w:p>
        </w:tc>
        <w:tc>
          <w:tcPr>
            <w:tcW w:w="0" w:type="auto"/>
            <w:vAlign w:val="center"/>
          </w:tcPr>
          <w:p w:rsidR="00875A6A" w:rsidRDefault="00467FAE">
            <w:pPr>
              <w:jc w:val="center"/>
            </w:pPr>
            <w:r>
              <w:rPr>
                <w:color w:val="000000"/>
                <w:kern w:val="0"/>
                <w:sz w:val="24"/>
                <w:szCs w:val="24"/>
              </w:rPr>
              <w:t>1.03%</w:t>
            </w:r>
          </w:p>
        </w:tc>
        <w:tc>
          <w:tcPr>
            <w:tcW w:w="0" w:type="auto"/>
            <w:vAlign w:val="center"/>
          </w:tcPr>
          <w:p w:rsidR="00875A6A" w:rsidRDefault="00467FAE">
            <w:pPr>
              <w:jc w:val="center"/>
            </w:pPr>
            <w:r>
              <w:rPr>
                <w:color w:val="000000"/>
                <w:kern w:val="0"/>
                <w:sz w:val="24"/>
                <w:szCs w:val="24"/>
              </w:rPr>
              <w:t>6.09%</w:t>
            </w:r>
          </w:p>
        </w:tc>
        <w:tc>
          <w:tcPr>
            <w:tcW w:w="0" w:type="auto"/>
            <w:vAlign w:val="center"/>
          </w:tcPr>
          <w:p w:rsidR="00875A6A" w:rsidRDefault="00467FAE">
            <w:pPr>
              <w:jc w:val="center"/>
            </w:pPr>
            <w:r>
              <w:rPr>
                <w:color w:val="000000"/>
                <w:kern w:val="0"/>
                <w:sz w:val="24"/>
                <w:szCs w:val="24"/>
              </w:rPr>
              <w:t>0.59%</w:t>
            </w:r>
          </w:p>
        </w:tc>
        <w:tc>
          <w:tcPr>
            <w:tcW w:w="0" w:type="auto"/>
            <w:vAlign w:val="center"/>
          </w:tcPr>
          <w:p w:rsidR="00875A6A" w:rsidRDefault="00467FAE">
            <w:pPr>
              <w:jc w:val="center"/>
            </w:pPr>
            <w:r>
              <w:rPr>
                <w:color w:val="000000"/>
                <w:kern w:val="0"/>
                <w:sz w:val="24"/>
                <w:szCs w:val="24"/>
              </w:rPr>
              <w:t>4.18%</w:t>
            </w:r>
          </w:p>
        </w:tc>
        <w:tc>
          <w:tcPr>
            <w:tcW w:w="0" w:type="auto"/>
            <w:vAlign w:val="center"/>
          </w:tcPr>
          <w:p w:rsidR="00875A6A" w:rsidRDefault="00467FAE">
            <w:pPr>
              <w:jc w:val="center"/>
            </w:pPr>
            <w:r>
              <w:rPr>
                <w:color w:val="000000"/>
                <w:kern w:val="0"/>
                <w:sz w:val="24"/>
                <w:szCs w:val="24"/>
              </w:rPr>
              <w:t>0.44%</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自基金转型以来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易方达科讯混合型证券投资基金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2007</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18</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467FAE"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875A6A" w:rsidRDefault="00467FAE">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本基金由原基金科讯于</w:t>
      </w:r>
      <w:r>
        <w:rPr>
          <w:color w:val="000000"/>
          <w:sz w:val="24"/>
          <w:szCs w:val="24"/>
        </w:rPr>
        <w:t>2007</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日转型而来。</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2.</w:t>
      </w:r>
      <w:r w:rsidRPr="006C56AA">
        <w:rPr>
          <w:color w:val="000000"/>
          <w:sz w:val="24"/>
          <w:szCs w:val="24"/>
        </w:rPr>
        <w:t>自基金转型至报告期末，基金份额净值增长率为</w:t>
      </w:r>
      <w:r w:rsidRPr="006C56AA">
        <w:rPr>
          <w:color w:val="000000"/>
          <w:sz w:val="24"/>
          <w:szCs w:val="24"/>
        </w:rPr>
        <w:t>60.53%</w:t>
      </w:r>
      <w:r w:rsidRPr="006C56AA">
        <w:rPr>
          <w:color w:val="000000"/>
          <w:sz w:val="24"/>
          <w:szCs w:val="24"/>
        </w:rPr>
        <w:t>，同期业绩比较基准收益率为</w:t>
      </w:r>
      <w:r w:rsidRPr="006C56AA">
        <w:rPr>
          <w:color w:val="000000"/>
          <w:sz w:val="24"/>
          <w:szCs w:val="24"/>
        </w:rPr>
        <w:t>-9.50%</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875A6A">
        <w:tc>
          <w:tcPr>
            <w:tcW w:w="0" w:type="auto"/>
            <w:vAlign w:val="center"/>
          </w:tcPr>
          <w:p w:rsidR="00875A6A" w:rsidRDefault="00467FAE">
            <w:pPr>
              <w:jc w:val="center"/>
            </w:pPr>
            <w:r>
              <w:rPr>
                <w:color w:val="000000"/>
                <w:sz w:val="24"/>
              </w:rPr>
              <w:t>陈皓</w:t>
            </w:r>
          </w:p>
        </w:tc>
        <w:tc>
          <w:tcPr>
            <w:tcW w:w="0" w:type="auto"/>
            <w:vAlign w:val="center"/>
          </w:tcPr>
          <w:p w:rsidR="00875A6A" w:rsidRDefault="00467FAE">
            <w:pPr>
              <w:jc w:val="center"/>
            </w:pPr>
            <w:r>
              <w:rPr>
                <w:color w:val="000000"/>
                <w:sz w:val="24"/>
              </w:rPr>
              <w:t>本基金的基金经理、易方达新经济灵活配置混合型证券投资基金的基金经理、易方达平稳增长证券投资基金的基金经理、易方达科翔混合型证券投资基金的基金经理、易方达科融混合型证券投资基金的基金经理、易方达国防军工混合型证券投资基金的基金经理、投资一部总经理</w:t>
            </w:r>
          </w:p>
        </w:tc>
        <w:tc>
          <w:tcPr>
            <w:tcW w:w="0" w:type="auto"/>
            <w:vAlign w:val="center"/>
          </w:tcPr>
          <w:p w:rsidR="00875A6A" w:rsidRDefault="00467FAE">
            <w:pPr>
              <w:jc w:val="center"/>
            </w:pPr>
            <w:r>
              <w:rPr>
                <w:color w:val="000000"/>
                <w:sz w:val="24"/>
              </w:rPr>
              <w:t>2018-12-11</w:t>
            </w:r>
          </w:p>
        </w:tc>
        <w:tc>
          <w:tcPr>
            <w:tcW w:w="0" w:type="auto"/>
            <w:vAlign w:val="center"/>
          </w:tcPr>
          <w:p w:rsidR="00875A6A" w:rsidRDefault="00467FAE">
            <w:pPr>
              <w:jc w:val="center"/>
            </w:pPr>
            <w:r>
              <w:rPr>
                <w:color w:val="000000"/>
                <w:sz w:val="24"/>
              </w:rPr>
              <w:t>-</w:t>
            </w:r>
          </w:p>
        </w:tc>
        <w:tc>
          <w:tcPr>
            <w:tcW w:w="0" w:type="auto"/>
            <w:vAlign w:val="center"/>
          </w:tcPr>
          <w:p w:rsidR="00875A6A" w:rsidRDefault="00467FAE">
            <w:pPr>
              <w:jc w:val="center"/>
            </w:pPr>
            <w:r>
              <w:rPr>
                <w:color w:val="000000"/>
                <w:sz w:val="24"/>
              </w:rPr>
              <w:t>12</w:t>
            </w:r>
            <w:r>
              <w:rPr>
                <w:color w:val="000000"/>
                <w:sz w:val="24"/>
              </w:rPr>
              <w:t>年</w:t>
            </w:r>
          </w:p>
        </w:tc>
        <w:tc>
          <w:tcPr>
            <w:tcW w:w="0" w:type="auto"/>
            <w:vAlign w:val="center"/>
          </w:tcPr>
          <w:p w:rsidR="00875A6A" w:rsidRDefault="00467FAE">
            <w:r>
              <w:rPr>
                <w:color w:val="000000"/>
                <w:sz w:val="24"/>
              </w:rPr>
              <w:t>硕士研究生，具有基金从业资格。曾任易方达基金管理有限公司研究部行业研究员、基金经理助理兼行业研究员、基金投资部基金经理助理、投资一部总经理助理、投资一部副总经理、投资经理、易方达价值精选混合型证券投资基金基金经理、易方达供给改革灵活配置混合型证券投资基金基金经理。</w:t>
            </w:r>
          </w:p>
        </w:tc>
      </w:tr>
      <w:tr w:rsidR="00875A6A">
        <w:tc>
          <w:tcPr>
            <w:tcW w:w="0" w:type="auto"/>
            <w:vAlign w:val="center"/>
          </w:tcPr>
          <w:p w:rsidR="00875A6A" w:rsidRDefault="00467FAE">
            <w:pPr>
              <w:jc w:val="center"/>
            </w:pPr>
            <w:r>
              <w:rPr>
                <w:color w:val="000000"/>
                <w:sz w:val="24"/>
              </w:rPr>
              <w:t>刘健维</w:t>
            </w:r>
          </w:p>
        </w:tc>
        <w:tc>
          <w:tcPr>
            <w:tcW w:w="0" w:type="auto"/>
            <w:vAlign w:val="center"/>
          </w:tcPr>
          <w:p w:rsidR="00875A6A" w:rsidRDefault="00467FAE">
            <w:pPr>
              <w:jc w:val="center"/>
            </w:pPr>
            <w:r>
              <w:rPr>
                <w:color w:val="000000"/>
                <w:sz w:val="24"/>
              </w:rPr>
              <w:t>本基金的基金经理</w:t>
            </w:r>
          </w:p>
        </w:tc>
        <w:tc>
          <w:tcPr>
            <w:tcW w:w="0" w:type="auto"/>
            <w:vAlign w:val="center"/>
          </w:tcPr>
          <w:p w:rsidR="00875A6A" w:rsidRDefault="00467FAE">
            <w:pPr>
              <w:jc w:val="center"/>
            </w:pPr>
            <w:r>
              <w:rPr>
                <w:color w:val="000000"/>
                <w:sz w:val="24"/>
              </w:rPr>
              <w:t>2019-07-12</w:t>
            </w:r>
          </w:p>
        </w:tc>
        <w:tc>
          <w:tcPr>
            <w:tcW w:w="0" w:type="auto"/>
            <w:vAlign w:val="center"/>
          </w:tcPr>
          <w:p w:rsidR="00875A6A" w:rsidRDefault="00467FAE">
            <w:pPr>
              <w:jc w:val="center"/>
            </w:pPr>
            <w:r>
              <w:rPr>
                <w:color w:val="000000"/>
                <w:sz w:val="24"/>
              </w:rPr>
              <w:t>-</w:t>
            </w:r>
          </w:p>
        </w:tc>
        <w:tc>
          <w:tcPr>
            <w:tcW w:w="0" w:type="auto"/>
            <w:vAlign w:val="center"/>
          </w:tcPr>
          <w:p w:rsidR="00875A6A" w:rsidRDefault="00467FAE">
            <w:pPr>
              <w:jc w:val="center"/>
            </w:pPr>
            <w:r>
              <w:rPr>
                <w:color w:val="000000"/>
                <w:sz w:val="24"/>
              </w:rPr>
              <w:t>5</w:t>
            </w:r>
            <w:r>
              <w:rPr>
                <w:color w:val="000000"/>
                <w:sz w:val="24"/>
              </w:rPr>
              <w:t>年</w:t>
            </w:r>
          </w:p>
        </w:tc>
        <w:tc>
          <w:tcPr>
            <w:tcW w:w="0" w:type="auto"/>
            <w:vAlign w:val="center"/>
          </w:tcPr>
          <w:p w:rsidR="00875A6A" w:rsidRDefault="00467FAE">
            <w:r>
              <w:rPr>
                <w:color w:val="000000"/>
                <w:sz w:val="24"/>
              </w:rPr>
              <w:t>硕士研究生，具有基金从业资格。曾任广发基金管理有限公司研究部研究员，国泰基金管理有限公司研究部研究员，易方达基金管理有限公司行业研究员、易方达科讯混合型证券投资基金基金经理助理。</w:t>
            </w:r>
          </w:p>
        </w:tc>
      </w:tr>
    </w:tbl>
    <w:p w:rsidR="00875A6A" w:rsidRDefault="00467FAE">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875A6A" w:rsidRDefault="00467FAE">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875A6A" w:rsidRDefault="00467FAE">
      <w:pPr>
        <w:spacing w:line="360" w:lineRule="auto"/>
        <w:ind w:firstLineChars="200" w:firstLine="480"/>
        <w:rPr>
          <w:color w:val="000000"/>
          <w:sz w:val="24"/>
          <w:szCs w:val="24"/>
        </w:rPr>
      </w:pPr>
      <w:r>
        <w:rPr>
          <w:color w:val="000000"/>
          <w:sz w:val="24"/>
          <w:szCs w:val="24"/>
        </w:rPr>
        <w:t>2019</w:t>
      </w:r>
      <w:r>
        <w:rPr>
          <w:color w:val="000000"/>
          <w:sz w:val="24"/>
          <w:szCs w:val="24"/>
        </w:rPr>
        <w:t>年四季度市场整体上涨幅度较大，上证指数上涨</w:t>
      </w:r>
      <w:r>
        <w:rPr>
          <w:color w:val="000000"/>
          <w:sz w:val="24"/>
          <w:szCs w:val="24"/>
        </w:rPr>
        <w:t>4.99%</w:t>
      </w:r>
      <w:r>
        <w:rPr>
          <w:color w:val="000000"/>
          <w:sz w:val="24"/>
          <w:szCs w:val="24"/>
        </w:rPr>
        <w:t>，创业板指数上涨</w:t>
      </w:r>
      <w:r>
        <w:rPr>
          <w:color w:val="000000"/>
          <w:sz w:val="24"/>
          <w:szCs w:val="24"/>
        </w:rPr>
        <w:t>10.48%</w:t>
      </w:r>
      <w:r>
        <w:rPr>
          <w:color w:val="000000"/>
          <w:sz w:val="24"/>
          <w:szCs w:val="24"/>
        </w:rPr>
        <w:t>，同期中证</w:t>
      </w:r>
      <w:r>
        <w:rPr>
          <w:color w:val="000000"/>
          <w:sz w:val="24"/>
          <w:szCs w:val="24"/>
        </w:rPr>
        <w:t>500</w:t>
      </w:r>
      <w:r>
        <w:rPr>
          <w:color w:val="000000"/>
          <w:sz w:val="24"/>
          <w:szCs w:val="24"/>
        </w:rPr>
        <w:t>指数上涨</w:t>
      </w:r>
      <w:r>
        <w:rPr>
          <w:color w:val="000000"/>
          <w:sz w:val="24"/>
          <w:szCs w:val="24"/>
        </w:rPr>
        <w:t>6.61%</w:t>
      </w:r>
      <w:r>
        <w:rPr>
          <w:color w:val="000000"/>
          <w:sz w:val="24"/>
          <w:szCs w:val="24"/>
        </w:rPr>
        <w:t>。代表新兴成长板块的创业版指数表现最好，大盘蓝筹板块相对涨幅不大。新兴成长领域中，高新电子板块在国产替代加速和下游需求改善催化下延续了三季度的强势表现，低估值、低预期的传媒板块在云游戏、直播等新兴应用刺激下获得了较大涨幅，以医药、白酒为代表的消费板块整体表现较差。</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本基金四季度采取了比较积极的投资策略，维持了较高股票仓位运行，增加了对传媒板块以及估值吸引力较大的地产板块的配置，减持了部分消费企业以及估值较高的半导体个股，取得了较大超额收益。</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1.2176</w:t>
      </w:r>
      <w:r w:rsidRPr="006C56AA">
        <w:rPr>
          <w:color w:val="000000"/>
          <w:sz w:val="24"/>
          <w:szCs w:val="24"/>
        </w:rPr>
        <w:t>元，本报告期份额净值增长率为</w:t>
      </w:r>
      <w:r w:rsidRPr="006C56AA">
        <w:rPr>
          <w:color w:val="000000"/>
          <w:sz w:val="24"/>
          <w:szCs w:val="24"/>
        </w:rPr>
        <w:t>10.27%</w:t>
      </w:r>
      <w:r w:rsidRPr="006C56AA">
        <w:rPr>
          <w:color w:val="000000"/>
          <w:sz w:val="24"/>
          <w:szCs w:val="24"/>
        </w:rPr>
        <w:t>，同期业绩比较基准收益率为</w:t>
      </w:r>
      <w:r w:rsidRPr="006C56AA">
        <w:rPr>
          <w:color w:val="000000"/>
          <w:sz w:val="24"/>
          <w:szCs w:val="24"/>
        </w:rPr>
        <w:t>6.09%</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4,313,674,801.48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90.05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4,313,674,801.48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90.05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187,178,281.80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3.91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187,178,281.80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3.91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257,504,954.23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5.38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32,112,819.20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0.67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4,790,470,856.71</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18,171,937.00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0.38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31,672,875.00</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0.67</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2,672,706,274.69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56.29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5,824,710.00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79,141,200.80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180,414,500.20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3.80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530,271,789.91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11.17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295,855,873.65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6.23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361,853,265.80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7.62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63,027,691.87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74,728,104.52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4,313,674,801.48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90.85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875A6A">
        <w:tc>
          <w:tcPr>
            <w:tcW w:w="0" w:type="auto"/>
            <w:vAlign w:val="center"/>
          </w:tcPr>
          <w:p w:rsidR="00875A6A" w:rsidRDefault="00467FAE">
            <w:pPr>
              <w:jc w:val="center"/>
            </w:pPr>
            <w:r>
              <w:rPr>
                <w:color w:val="000000"/>
                <w:kern w:val="0"/>
                <w:sz w:val="24"/>
                <w:szCs w:val="24"/>
              </w:rPr>
              <w:t>1</w:t>
            </w:r>
          </w:p>
        </w:tc>
        <w:tc>
          <w:tcPr>
            <w:tcW w:w="0" w:type="auto"/>
            <w:vAlign w:val="center"/>
          </w:tcPr>
          <w:p w:rsidR="00875A6A" w:rsidRDefault="00467FAE">
            <w:pPr>
              <w:jc w:val="center"/>
            </w:pPr>
            <w:r>
              <w:rPr>
                <w:color w:val="000000"/>
                <w:kern w:val="0"/>
                <w:sz w:val="24"/>
                <w:szCs w:val="24"/>
              </w:rPr>
              <w:t>300476</w:t>
            </w:r>
          </w:p>
        </w:tc>
        <w:tc>
          <w:tcPr>
            <w:tcW w:w="0" w:type="auto"/>
            <w:vAlign w:val="center"/>
          </w:tcPr>
          <w:p w:rsidR="00875A6A" w:rsidRDefault="00467FAE">
            <w:pPr>
              <w:jc w:val="center"/>
            </w:pPr>
            <w:r>
              <w:rPr>
                <w:color w:val="000000"/>
                <w:kern w:val="0"/>
                <w:sz w:val="24"/>
                <w:szCs w:val="24"/>
              </w:rPr>
              <w:t>胜宏科技</w:t>
            </w:r>
          </w:p>
        </w:tc>
        <w:tc>
          <w:tcPr>
            <w:tcW w:w="0" w:type="auto"/>
            <w:vAlign w:val="center"/>
          </w:tcPr>
          <w:p w:rsidR="00875A6A" w:rsidRDefault="00467FAE">
            <w:pPr>
              <w:jc w:val="right"/>
            </w:pPr>
            <w:r>
              <w:rPr>
                <w:color w:val="000000"/>
                <w:kern w:val="0"/>
                <w:sz w:val="24"/>
                <w:szCs w:val="24"/>
              </w:rPr>
              <w:t>19,248,347</w:t>
            </w:r>
          </w:p>
        </w:tc>
        <w:tc>
          <w:tcPr>
            <w:tcW w:w="0" w:type="auto"/>
            <w:vAlign w:val="center"/>
          </w:tcPr>
          <w:p w:rsidR="00875A6A" w:rsidRDefault="00467FAE">
            <w:pPr>
              <w:jc w:val="right"/>
            </w:pPr>
            <w:r>
              <w:rPr>
                <w:color w:val="000000"/>
                <w:kern w:val="0"/>
                <w:sz w:val="24"/>
                <w:szCs w:val="24"/>
              </w:rPr>
              <w:t>313,940,539.57</w:t>
            </w:r>
          </w:p>
        </w:tc>
        <w:tc>
          <w:tcPr>
            <w:tcW w:w="0" w:type="auto"/>
            <w:vAlign w:val="center"/>
          </w:tcPr>
          <w:p w:rsidR="00875A6A" w:rsidRDefault="00467FAE">
            <w:pPr>
              <w:jc w:val="right"/>
            </w:pPr>
            <w:r>
              <w:rPr>
                <w:color w:val="000000"/>
                <w:kern w:val="0"/>
                <w:sz w:val="24"/>
                <w:szCs w:val="24"/>
              </w:rPr>
              <w:t>6.61</w:t>
            </w:r>
          </w:p>
        </w:tc>
      </w:tr>
      <w:tr w:rsidR="00875A6A">
        <w:tc>
          <w:tcPr>
            <w:tcW w:w="0" w:type="auto"/>
            <w:vAlign w:val="center"/>
          </w:tcPr>
          <w:p w:rsidR="00875A6A" w:rsidRDefault="00467FAE">
            <w:pPr>
              <w:jc w:val="center"/>
            </w:pPr>
            <w:r>
              <w:rPr>
                <w:color w:val="000000"/>
                <w:kern w:val="0"/>
                <w:sz w:val="24"/>
                <w:szCs w:val="24"/>
              </w:rPr>
              <w:t>2</w:t>
            </w:r>
          </w:p>
        </w:tc>
        <w:tc>
          <w:tcPr>
            <w:tcW w:w="0" w:type="auto"/>
            <w:vAlign w:val="center"/>
          </w:tcPr>
          <w:p w:rsidR="00875A6A" w:rsidRDefault="00467FAE">
            <w:pPr>
              <w:jc w:val="center"/>
            </w:pPr>
            <w:r>
              <w:rPr>
                <w:color w:val="000000"/>
                <w:kern w:val="0"/>
                <w:sz w:val="24"/>
                <w:szCs w:val="24"/>
              </w:rPr>
              <w:t>000002</w:t>
            </w:r>
          </w:p>
        </w:tc>
        <w:tc>
          <w:tcPr>
            <w:tcW w:w="0" w:type="auto"/>
            <w:vAlign w:val="center"/>
          </w:tcPr>
          <w:p w:rsidR="00875A6A" w:rsidRDefault="00467FAE">
            <w:pPr>
              <w:jc w:val="center"/>
            </w:pPr>
            <w:r>
              <w:rPr>
                <w:color w:val="000000"/>
                <w:kern w:val="0"/>
                <w:sz w:val="24"/>
                <w:szCs w:val="24"/>
              </w:rPr>
              <w:t>万科</w:t>
            </w:r>
            <w:r>
              <w:rPr>
                <w:color w:val="000000"/>
                <w:kern w:val="0"/>
                <w:sz w:val="24"/>
                <w:szCs w:val="24"/>
              </w:rPr>
              <w:t>A</w:t>
            </w:r>
          </w:p>
        </w:tc>
        <w:tc>
          <w:tcPr>
            <w:tcW w:w="0" w:type="auto"/>
            <w:vAlign w:val="center"/>
          </w:tcPr>
          <w:p w:rsidR="00875A6A" w:rsidRDefault="00467FAE">
            <w:pPr>
              <w:jc w:val="right"/>
            </w:pPr>
            <w:r>
              <w:rPr>
                <w:color w:val="000000"/>
                <w:kern w:val="0"/>
                <w:sz w:val="24"/>
                <w:szCs w:val="24"/>
              </w:rPr>
              <w:t>7,272,100</w:t>
            </w:r>
          </w:p>
        </w:tc>
        <w:tc>
          <w:tcPr>
            <w:tcW w:w="0" w:type="auto"/>
            <w:vAlign w:val="center"/>
          </w:tcPr>
          <w:p w:rsidR="00875A6A" w:rsidRDefault="00467FAE">
            <w:pPr>
              <w:jc w:val="right"/>
            </w:pPr>
            <w:r>
              <w:rPr>
                <w:color w:val="000000"/>
                <w:kern w:val="0"/>
                <w:sz w:val="24"/>
                <w:szCs w:val="24"/>
              </w:rPr>
              <w:t>234,016,178.00</w:t>
            </w:r>
          </w:p>
        </w:tc>
        <w:tc>
          <w:tcPr>
            <w:tcW w:w="0" w:type="auto"/>
            <w:vAlign w:val="center"/>
          </w:tcPr>
          <w:p w:rsidR="00875A6A" w:rsidRDefault="00467FAE">
            <w:pPr>
              <w:jc w:val="right"/>
            </w:pPr>
            <w:r>
              <w:rPr>
                <w:color w:val="000000"/>
                <w:kern w:val="0"/>
                <w:sz w:val="24"/>
                <w:szCs w:val="24"/>
              </w:rPr>
              <w:t>4.93</w:t>
            </w:r>
          </w:p>
        </w:tc>
      </w:tr>
      <w:tr w:rsidR="00875A6A">
        <w:tc>
          <w:tcPr>
            <w:tcW w:w="0" w:type="auto"/>
            <w:vAlign w:val="center"/>
          </w:tcPr>
          <w:p w:rsidR="00875A6A" w:rsidRDefault="00467FAE">
            <w:pPr>
              <w:jc w:val="center"/>
            </w:pPr>
            <w:r>
              <w:rPr>
                <w:color w:val="000000"/>
                <w:kern w:val="0"/>
                <w:sz w:val="24"/>
                <w:szCs w:val="24"/>
              </w:rPr>
              <w:t>3</w:t>
            </w:r>
          </w:p>
        </w:tc>
        <w:tc>
          <w:tcPr>
            <w:tcW w:w="0" w:type="auto"/>
            <w:vAlign w:val="center"/>
          </w:tcPr>
          <w:p w:rsidR="00875A6A" w:rsidRDefault="00467FAE">
            <w:pPr>
              <w:jc w:val="center"/>
            </w:pPr>
            <w:r>
              <w:rPr>
                <w:color w:val="000000"/>
                <w:kern w:val="0"/>
                <w:sz w:val="24"/>
                <w:szCs w:val="24"/>
              </w:rPr>
              <w:t>002384</w:t>
            </w:r>
          </w:p>
        </w:tc>
        <w:tc>
          <w:tcPr>
            <w:tcW w:w="0" w:type="auto"/>
            <w:vAlign w:val="center"/>
          </w:tcPr>
          <w:p w:rsidR="00875A6A" w:rsidRDefault="00467FAE">
            <w:pPr>
              <w:jc w:val="center"/>
            </w:pPr>
            <w:r>
              <w:rPr>
                <w:color w:val="000000"/>
                <w:kern w:val="0"/>
                <w:sz w:val="24"/>
                <w:szCs w:val="24"/>
              </w:rPr>
              <w:t>东山精密</w:t>
            </w:r>
          </w:p>
        </w:tc>
        <w:tc>
          <w:tcPr>
            <w:tcW w:w="0" w:type="auto"/>
            <w:vAlign w:val="center"/>
          </w:tcPr>
          <w:p w:rsidR="00875A6A" w:rsidRDefault="00467FAE">
            <w:pPr>
              <w:jc w:val="right"/>
            </w:pPr>
            <w:r>
              <w:rPr>
                <w:color w:val="000000"/>
                <w:kern w:val="0"/>
                <w:sz w:val="24"/>
                <w:szCs w:val="24"/>
              </w:rPr>
              <w:t>6,167,123</w:t>
            </w:r>
          </w:p>
        </w:tc>
        <w:tc>
          <w:tcPr>
            <w:tcW w:w="0" w:type="auto"/>
            <w:vAlign w:val="center"/>
          </w:tcPr>
          <w:p w:rsidR="00875A6A" w:rsidRDefault="00467FAE">
            <w:pPr>
              <w:jc w:val="right"/>
            </w:pPr>
            <w:r>
              <w:rPr>
                <w:color w:val="000000"/>
                <w:kern w:val="0"/>
                <w:sz w:val="24"/>
                <w:szCs w:val="24"/>
              </w:rPr>
              <w:t>142,462,897.45</w:t>
            </w:r>
          </w:p>
        </w:tc>
        <w:tc>
          <w:tcPr>
            <w:tcW w:w="0" w:type="auto"/>
            <w:vAlign w:val="center"/>
          </w:tcPr>
          <w:p w:rsidR="00875A6A" w:rsidRDefault="00467FAE">
            <w:pPr>
              <w:jc w:val="right"/>
            </w:pPr>
            <w:r>
              <w:rPr>
                <w:color w:val="000000"/>
                <w:kern w:val="0"/>
                <w:sz w:val="24"/>
                <w:szCs w:val="24"/>
              </w:rPr>
              <w:t>3.00</w:t>
            </w:r>
          </w:p>
        </w:tc>
      </w:tr>
      <w:tr w:rsidR="00875A6A">
        <w:tc>
          <w:tcPr>
            <w:tcW w:w="0" w:type="auto"/>
            <w:vAlign w:val="center"/>
          </w:tcPr>
          <w:p w:rsidR="00875A6A" w:rsidRDefault="00467FAE">
            <w:pPr>
              <w:jc w:val="center"/>
            </w:pPr>
            <w:r>
              <w:rPr>
                <w:color w:val="000000"/>
                <w:kern w:val="0"/>
                <w:sz w:val="24"/>
                <w:szCs w:val="24"/>
              </w:rPr>
              <w:t>4</w:t>
            </w:r>
          </w:p>
        </w:tc>
        <w:tc>
          <w:tcPr>
            <w:tcW w:w="0" w:type="auto"/>
            <w:vAlign w:val="center"/>
          </w:tcPr>
          <w:p w:rsidR="00875A6A" w:rsidRDefault="00467FAE">
            <w:pPr>
              <w:jc w:val="center"/>
            </w:pPr>
            <w:r>
              <w:rPr>
                <w:color w:val="000000"/>
                <w:kern w:val="0"/>
                <w:sz w:val="24"/>
                <w:szCs w:val="24"/>
              </w:rPr>
              <w:t>002396</w:t>
            </w:r>
          </w:p>
        </w:tc>
        <w:tc>
          <w:tcPr>
            <w:tcW w:w="0" w:type="auto"/>
            <w:vAlign w:val="center"/>
          </w:tcPr>
          <w:p w:rsidR="00875A6A" w:rsidRDefault="00467FAE">
            <w:pPr>
              <w:jc w:val="center"/>
            </w:pPr>
            <w:r>
              <w:rPr>
                <w:color w:val="000000"/>
                <w:kern w:val="0"/>
                <w:sz w:val="24"/>
                <w:szCs w:val="24"/>
              </w:rPr>
              <w:t>星网锐捷</w:t>
            </w:r>
          </w:p>
        </w:tc>
        <w:tc>
          <w:tcPr>
            <w:tcW w:w="0" w:type="auto"/>
            <w:vAlign w:val="center"/>
          </w:tcPr>
          <w:p w:rsidR="00875A6A" w:rsidRDefault="00467FAE">
            <w:pPr>
              <w:jc w:val="right"/>
            </w:pPr>
            <w:r>
              <w:rPr>
                <w:color w:val="000000"/>
                <w:kern w:val="0"/>
                <w:sz w:val="24"/>
                <w:szCs w:val="24"/>
              </w:rPr>
              <w:t>3,743,115</w:t>
            </w:r>
          </w:p>
        </w:tc>
        <w:tc>
          <w:tcPr>
            <w:tcW w:w="0" w:type="auto"/>
            <w:vAlign w:val="center"/>
          </w:tcPr>
          <w:p w:rsidR="00875A6A" w:rsidRDefault="00467FAE">
            <w:pPr>
              <w:jc w:val="right"/>
            </w:pPr>
            <w:r>
              <w:rPr>
                <w:color w:val="000000"/>
                <w:kern w:val="0"/>
                <w:sz w:val="24"/>
                <w:szCs w:val="24"/>
              </w:rPr>
              <w:t>133,105,169.40</w:t>
            </w:r>
          </w:p>
        </w:tc>
        <w:tc>
          <w:tcPr>
            <w:tcW w:w="0" w:type="auto"/>
            <w:vAlign w:val="center"/>
          </w:tcPr>
          <w:p w:rsidR="00875A6A" w:rsidRDefault="00467FAE">
            <w:pPr>
              <w:jc w:val="right"/>
            </w:pPr>
            <w:r>
              <w:rPr>
                <w:color w:val="000000"/>
                <w:kern w:val="0"/>
                <w:sz w:val="24"/>
                <w:szCs w:val="24"/>
              </w:rPr>
              <w:t>2.80</w:t>
            </w:r>
          </w:p>
        </w:tc>
      </w:tr>
      <w:tr w:rsidR="00875A6A">
        <w:tc>
          <w:tcPr>
            <w:tcW w:w="0" w:type="auto"/>
            <w:vAlign w:val="center"/>
          </w:tcPr>
          <w:p w:rsidR="00875A6A" w:rsidRDefault="00467FAE">
            <w:pPr>
              <w:jc w:val="center"/>
            </w:pPr>
            <w:r>
              <w:rPr>
                <w:color w:val="000000"/>
                <w:kern w:val="0"/>
                <w:sz w:val="24"/>
                <w:szCs w:val="24"/>
              </w:rPr>
              <w:t>5</w:t>
            </w:r>
          </w:p>
        </w:tc>
        <w:tc>
          <w:tcPr>
            <w:tcW w:w="0" w:type="auto"/>
            <w:vAlign w:val="center"/>
          </w:tcPr>
          <w:p w:rsidR="00875A6A" w:rsidRDefault="00467FAE">
            <w:pPr>
              <w:jc w:val="center"/>
            </w:pPr>
            <w:r>
              <w:rPr>
                <w:color w:val="000000"/>
                <w:kern w:val="0"/>
                <w:sz w:val="24"/>
                <w:szCs w:val="24"/>
              </w:rPr>
              <w:t>600004</w:t>
            </w:r>
          </w:p>
        </w:tc>
        <w:tc>
          <w:tcPr>
            <w:tcW w:w="0" w:type="auto"/>
            <w:vAlign w:val="center"/>
          </w:tcPr>
          <w:p w:rsidR="00875A6A" w:rsidRDefault="00467FAE">
            <w:pPr>
              <w:jc w:val="center"/>
            </w:pPr>
            <w:r>
              <w:rPr>
                <w:color w:val="000000"/>
                <w:kern w:val="0"/>
                <w:sz w:val="24"/>
                <w:szCs w:val="24"/>
              </w:rPr>
              <w:t>白云机场</w:t>
            </w:r>
          </w:p>
        </w:tc>
        <w:tc>
          <w:tcPr>
            <w:tcW w:w="0" w:type="auto"/>
            <w:vAlign w:val="center"/>
          </w:tcPr>
          <w:p w:rsidR="00875A6A" w:rsidRDefault="00467FAE">
            <w:pPr>
              <w:jc w:val="right"/>
            </w:pPr>
            <w:r>
              <w:rPr>
                <w:color w:val="000000"/>
                <w:kern w:val="0"/>
                <w:sz w:val="24"/>
                <w:szCs w:val="24"/>
              </w:rPr>
              <w:t>7,488,596</w:t>
            </w:r>
          </w:p>
        </w:tc>
        <w:tc>
          <w:tcPr>
            <w:tcW w:w="0" w:type="auto"/>
            <w:vAlign w:val="center"/>
          </w:tcPr>
          <w:p w:rsidR="00875A6A" w:rsidRDefault="00467FAE">
            <w:pPr>
              <w:jc w:val="right"/>
            </w:pPr>
            <w:r>
              <w:rPr>
                <w:color w:val="000000"/>
                <w:kern w:val="0"/>
                <w:sz w:val="24"/>
                <w:szCs w:val="24"/>
              </w:rPr>
              <w:t>130,676,000.20</w:t>
            </w:r>
          </w:p>
        </w:tc>
        <w:tc>
          <w:tcPr>
            <w:tcW w:w="0" w:type="auto"/>
            <w:vAlign w:val="center"/>
          </w:tcPr>
          <w:p w:rsidR="00875A6A" w:rsidRDefault="00467FAE">
            <w:pPr>
              <w:jc w:val="right"/>
            </w:pPr>
            <w:r>
              <w:rPr>
                <w:color w:val="000000"/>
                <w:kern w:val="0"/>
                <w:sz w:val="24"/>
                <w:szCs w:val="24"/>
              </w:rPr>
              <w:t>2.75</w:t>
            </w:r>
          </w:p>
        </w:tc>
      </w:tr>
      <w:tr w:rsidR="00875A6A">
        <w:tc>
          <w:tcPr>
            <w:tcW w:w="0" w:type="auto"/>
            <w:vAlign w:val="center"/>
          </w:tcPr>
          <w:p w:rsidR="00875A6A" w:rsidRDefault="00467FAE">
            <w:pPr>
              <w:jc w:val="center"/>
            </w:pPr>
            <w:r>
              <w:rPr>
                <w:color w:val="000000"/>
                <w:kern w:val="0"/>
                <w:sz w:val="24"/>
                <w:szCs w:val="24"/>
              </w:rPr>
              <w:t>6</w:t>
            </w:r>
          </w:p>
        </w:tc>
        <w:tc>
          <w:tcPr>
            <w:tcW w:w="0" w:type="auto"/>
            <w:vAlign w:val="center"/>
          </w:tcPr>
          <w:p w:rsidR="00875A6A" w:rsidRDefault="00467FAE">
            <w:pPr>
              <w:jc w:val="center"/>
            </w:pPr>
            <w:r>
              <w:rPr>
                <w:color w:val="000000"/>
                <w:kern w:val="0"/>
                <w:sz w:val="24"/>
                <w:szCs w:val="24"/>
              </w:rPr>
              <w:t>600519</w:t>
            </w:r>
          </w:p>
        </w:tc>
        <w:tc>
          <w:tcPr>
            <w:tcW w:w="0" w:type="auto"/>
            <w:vAlign w:val="center"/>
          </w:tcPr>
          <w:p w:rsidR="00875A6A" w:rsidRDefault="00467FAE">
            <w:pPr>
              <w:jc w:val="center"/>
            </w:pPr>
            <w:r>
              <w:rPr>
                <w:color w:val="000000"/>
                <w:kern w:val="0"/>
                <w:sz w:val="24"/>
                <w:szCs w:val="24"/>
              </w:rPr>
              <w:t>贵州茅台</w:t>
            </w:r>
          </w:p>
        </w:tc>
        <w:tc>
          <w:tcPr>
            <w:tcW w:w="0" w:type="auto"/>
            <w:vAlign w:val="center"/>
          </w:tcPr>
          <w:p w:rsidR="00875A6A" w:rsidRDefault="00467FAE">
            <w:pPr>
              <w:jc w:val="right"/>
            </w:pPr>
            <w:r>
              <w:rPr>
                <w:color w:val="000000"/>
                <w:kern w:val="0"/>
                <w:sz w:val="24"/>
                <w:szCs w:val="24"/>
              </w:rPr>
              <w:t>106,200</w:t>
            </w:r>
          </w:p>
        </w:tc>
        <w:tc>
          <w:tcPr>
            <w:tcW w:w="0" w:type="auto"/>
            <w:vAlign w:val="center"/>
          </w:tcPr>
          <w:p w:rsidR="00875A6A" w:rsidRDefault="00467FAE">
            <w:pPr>
              <w:jc w:val="right"/>
            </w:pPr>
            <w:r>
              <w:rPr>
                <w:color w:val="000000"/>
                <w:kern w:val="0"/>
                <w:sz w:val="24"/>
                <w:szCs w:val="24"/>
              </w:rPr>
              <w:t>125,634,600.00</w:t>
            </w:r>
          </w:p>
        </w:tc>
        <w:tc>
          <w:tcPr>
            <w:tcW w:w="0" w:type="auto"/>
            <w:vAlign w:val="center"/>
          </w:tcPr>
          <w:p w:rsidR="00875A6A" w:rsidRDefault="00467FAE">
            <w:pPr>
              <w:jc w:val="right"/>
            </w:pPr>
            <w:r>
              <w:rPr>
                <w:color w:val="000000"/>
                <w:kern w:val="0"/>
                <w:sz w:val="24"/>
                <w:szCs w:val="24"/>
              </w:rPr>
              <w:t>2.65</w:t>
            </w:r>
          </w:p>
        </w:tc>
      </w:tr>
      <w:tr w:rsidR="00875A6A">
        <w:tc>
          <w:tcPr>
            <w:tcW w:w="0" w:type="auto"/>
            <w:vAlign w:val="center"/>
          </w:tcPr>
          <w:p w:rsidR="00875A6A" w:rsidRDefault="00467FAE">
            <w:pPr>
              <w:jc w:val="center"/>
            </w:pPr>
            <w:r>
              <w:rPr>
                <w:color w:val="000000"/>
                <w:kern w:val="0"/>
                <w:sz w:val="24"/>
                <w:szCs w:val="24"/>
              </w:rPr>
              <w:t>7</w:t>
            </w:r>
          </w:p>
        </w:tc>
        <w:tc>
          <w:tcPr>
            <w:tcW w:w="0" w:type="auto"/>
            <w:vAlign w:val="center"/>
          </w:tcPr>
          <w:p w:rsidR="00875A6A" w:rsidRDefault="00467FAE">
            <w:pPr>
              <w:jc w:val="center"/>
            </w:pPr>
            <w:r>
              <w:rPr>
                <w:color w:val="000000"/>
                <w:kern w:val="0"/>
                <w:sz w:val="24"/>
                <w:szCs w:val="24"/>
              </w:rPr>
              <w:t>601166</w:t>
            </w:r>
          </w:p>
        </w:tc>
        <w:tc>
          <w:tcPr>
            <w:tcW w:w="0" w:type="auto"/>
            <w:vAlign w:val="center"/>
          </w:tcPr>
          <w:p w:rsidR="00875A6A" w:rsidRDefault="00467FAE">
            <w:pPr>
              <w:jc w:val="center"/>
            </w:pPr>
            <w:r>
              <w:rPr>
                <w:color w:val="000000"/>
                <w:kern w:val="0"/>
                <w:sz w:val="24"/>
                <w:szCs w:val="24"/>
              </w:rPr>
              <w:t>兴业银行</w:t>
            </w:r>
          </w:p>
        </w:tc>
        <w:tc>
          <w:tcPr>
            <w:tcW w:w="0" w:type="auto"/>
            <w:vAlign w:val="center"/>
          </w:tcPr>
          <w:p w:rsidR="00875A6A" w:rsidRDefault="00467FAE">
            <w:pPr>
              <w:jc w:val="right"/>
            </w:pPr>
            <w:r>
              <w:rPr>
                <w:color w:val="000000"/>
                <w:kern w:val="0"/>
                <w:sz w:val="24"/>
                <w:szCs w:val="24"/>
              </w:rPr>
              <w:t>6,329,614</w:t>
            </w:r>
          </w:p>
        </w:tc>
        <w:tc>
          <w:tcPr>
            <w:tcW w:w="0" w:type="auto"/>
            <w:vAlign w:val="center"/>
          </w:tcPr>
          <w:p w:rsidR="00875A6A" w:rsidRDefault="00467FAE">
            <w:pPr>
              <w:jc w:val="right"/>
            </w:pPr>
            <w:r>
              <w:rPr>
                <w:color w:val="000000"/>
                <w:kern w:val="0"/>
                <w:sz w:val="24"/>
                <w:szCs w:val="24"/>
              </w:rPr>
              <w:t>125,326,357.20</w:t>
            </w:r>
          </w:p>
        </w:tc>
        <w:tc>
          <w:tcPr>
            <w:tcW w:w="0" w:type="auto"/>
            <w:vAlign w:val="center"/>
          </w:tcPr>
          <w:p w:rsidR="00875A6A" w:rsidRDefault="00467FAE">
            <w:pPr>
              <w:jc w:val="right"/>
            </w:pPr>
            <w:r>
              <w:rPr>
                <w:color w:val="000000"/>
                <w:kern w:val="0"/>
                <w:sz w:val="24"/>
                <w:szCs w:val="24"/>
              </w:rPr>
              <w:t>2.64</w:t>
            </w:r>
          </w:p>
        </w:tc>
      </w:tr>
      <w:tr w:rsidR="00875A6A">
        <w:tc>
          <w:tcPr>
            <w:tcW w:w="0" w:type="auto"/>
            <w:vAlign w:val="center"/>
          </w:tcPr>
          <w:p w:rsidR="00875A6A" w:rsidRDefault="00467FAE">
            <w:pPr>
              <w:jc w:val="center"/>
            </w:pPr>
            <w:r>
              <w:rPr>
                <w:color w:val="000000"/>
                <w:kern w:val="0"/>
                <w:sz w:val="24"/>
                <w:szCs w:val="24"/>
              </w:rPr>
              <w:t>8</w:t>
            </w:r>
          </w:p>
        </w:tc>
        <w:tc>
          <w:tcPr>
            <w:tcW w:w="0" w:type="auto"/>
            <w:vAlign w:val="center"/>
          </w:tcPr>
          <w:p w:rsidR="00875A6A" w:rsidRDefault="00467FAE">
            <w:pPr>
              <w:jc w:val="center"/>
            </w:pPr>
            <w:r>
              <w:rPr>
                <w:color w:val="000000"/>
                <w:kern w:val="0"/>
                <w:sz w:val="24"/>
                <w:szCs w:val="24"/>
              </w:rPr>
              <w:t>002025</w:t>
            </w:r>
          </w:p>
        </w:tc>
        <w:tc>
          <w:tcPr>
            <w:tcW w:w="0" w:type="auto"/>
            <w:vAlign w:val="center"/>
          </w:tcPr>
          <w:p w:rsidR="00875A6A" w:rsidRDefault="00467FAE">
            <w:pPr>
              <w:jc w:val="center"/>
            </w:pPr>
            <w:r>
              <w:rPr>
                <w:color w:val="000000"/>
                <w:kern w:val="0"/>
                <w:sz w:val="24"/>
                <w:szCs w:val="24"/>
              </w:rPr>
              <w:t>航天电器</w:t>
            </w:r>
          </w:p>
        </w:tc>
        <w:tc>
          <w:tcPr>
            <w:tcW w:w="0" w:type="auto"/>
            <w:vAlign w:val="center"/>
          </w:tcPr>
          <w:p w:rsidR="00875A6A" w:rsidRDefault="00467FAE">
            <w:pPr>
              <w:jc w:val="right"/>
            </w:pPr>
            <w:r>
              <w:rPr>
                <w:color w:val="000000"/>
                <w:kern w:val="0"/>
                <w:sz w:val="24"/>
                <w:szCs w:val="24"/>
              </w:rPr>
              <w:t>3,973,605</w:t>
            </w:r>
          </w:p>
        </w:tc>
        <w:tc>
          <w:tcPr>
            <w:tcW w:w="0" w:type="auto"/>
            <w:vAlign w:val="center"/>
          </w:tcPr>
          <w:p w:rsidR="00875A6A" w:rsidRDefault="00467FAE">
            <w:pPr>
              <w:jc w:val="right"/>
            </w:pPr>
            <w:r>
              <w:rPr>
                <w:color w:val="000000"/>
                <w:kern w:val="0"/>
                <w:sz w:val="24"/>
                <w:szCs w:val="24"/>
              </w:rPr>
              <w:t>105,578,684.85</w:t>
            </w:r>
          </w:p>
        </w:tc>
        <w:tc>
          <w:tcPr>
            <w:tcW w:w="0" w:type="auto"/>
            <w:vAlign w:val="center"/>
          </w:tcPr>
          <w:p w:rsidR="00875A6A" w:rsidRDefault="00467FAE">
            <w:pPr>
              <w:jc w:val="right"/>
            </w:pPr>
            <w:r>
              <w:rPr>
                <w:color w:val="000000"/>
                <w:kern w:val="0"/>
                <w:sz w:val="24"/>
                <w:szCs w:val="24"/>
              </w:rPr>
              <w:t>2.22</w:t>
            </w:r>
          </w:p>
        </w:tc>
      </w:tr>
      <w:tr w:rsidR="00875A6A">
        <w:tc>
          <w:tcPr>
            <w:tcW w:w="0" w:type="auto"/>
            <w:vAlign w:val="center"/>
          </w:tcPr>
          <w:p w:rsidR="00875A6A" w:rsidRDefault="00467FAE">
            <w:pPr>
              <w:jc w:val="center"/>
            </w:pPr>
            <w:r>
              <w:rPr>
                <w:color w:val="000000"/>
                <w:kern w:val="0"/>
                <w:sz w:val="24"/>
                <w:szCs w:val="24"/>
              </w:rPr>
              <w:t>9</w:t>
            </w:r>
          </w:p>
        </w:tc>
        <w:tc>
          <w:tcPr>
            <w:tcW w:w="0" w:type="auto"/>
            <w:vAlign w:val="center"/>
          </w:tcPr>
          <w:p w:rsidR="00875A6A" w:rsidRDefault="00467FAE">
            <w:pPr>
              <w:jc w:val="center"/>
            </w:pPr>
            <w:r>
              <w:rPr>
                <w:color w:val="000000"/>
                <w:kern w:val="0"/>
                <w:sz w:val="24"/>
                <w:szCs w:val="24"/>
              </w:rPr>
              <w:t>002332</w:t>
            </w:r>
          </w:p>
        </w:tc>
        <w:tc>
          <w:tcPr>
            <w:tcW w:w="0" w:type="auto"/>
            <w:vAlign w:val="center"/>
          </w:tcPr>
          <w:p w:rsidR="00875A6A" w:rsidRDefault="00467FAE">
            <w:pPr>
              <w:jc w:val="center"/>
            </w:pPr>
            <w:r>
              <w:rPr>
                <w:color w:val="000000"/>
                <w:kern w:val="0"/>
                <w:sz w:val="24"/>
                <w:szCs w:val="24"/>
              </w:rPr>
              <w:t>仙琚制药</w:t>
            </w:r>
          </w:p>
        </w:tc>
        <w:tc>
          <w:tcPr>
            <w:tcW w:w="0" w:type="auto"/>
            <w:vAlign w:val="center"/>
          </w:tcPr>
          <w:p w:rsidR="00875A6A" w:rsidRDefault="00467FAE">
            <w:pPr>
              <w:jc w:val="right"/>
            </w:pPr>
            <w:r>
              <w:rPr>
                <w:color w:val="000000"/>
                <w:kern w:val="0"/>
                <w:sz w:val="24"/>
                <w:szCs w:val="24"/>
              </w:rPr>
              <w:t>10,685,300</w:t>
            </w:r>
          </w:p>
        </w:tc>
        <w:tc>
          <w:tcPr>
            <w:tcW w:w="0" w:type="auto"/>
            <w:vAlign w:val="center"/>
          </w:tcPr>
          <w:p w:rsidR="00875A6A" w:rsidRDefault="00467FAE">
            <w:pPr>
              <w:jc w:val="right"/>
            </w:pPr>
            <w:r>
              <w:rPr>
                <w:color w:val="000000"/>
                <w:kern w:val="0"/>
                <w:sz w:val="24"/>
                <w:szCs w:val="24"/>
              </w:rPr>
              <w:t>105,463,911.00</w:t>
            </w:r>
          </w:p>
        </w:tc>
        <w:tc>
          <w:tcPr>
            <w:tcW w:w="0" w:type="auto"/>
            <w:vAlign w:val="center"/>
          </w:tcPr>
          <w:p w:rsidR="00875A6A" w:rsidRDefault="00467FAE">
            <w:pPr>
              <w:jc w:val="right"/>
            </w:pPr>
            <w:r>
              <w:rPr>
                <w:color w:val="000000"/>
                <w:kern w:val="0"/>
                <w:sz w:val="24"/>
                <w:szCs w:val="24"/>
              </w:rPr>
              <w:t>2.22</w:t>
            </w:r>
          </w:p>
        </w:tc>
      </w:tr>
      <w:tr w:rsidR="00875A6A">
        <w:tc>
          <w:tcPr>
            <w:tcW w:w="0" w:type="auto"/>
            <w:vAlign w:val="center"/>
          </w:tcPr>
          <w:p w:rsidR="00875A6A" w:rsidRDefault="00467FAE">
            <w:pPr>
              <w:jc w:val="center"/>
            </w:pPr>
            <w:r>
              <w:rPr>
                <w:color w:val="000000"/>
                <w:kern w:val="0"/>
                <w:sz w:val="24"/>
                <w:szCs w:val="24"/>
              </w:rPr>
              <w:t>10</w:t>
            </w:r>
          </w:p>
        </w:tc>
        <w:tc>
          <w:tcPr>
            <w:tcW w:w="0" w:type="auto"/>
            <w:vAlign w:val="center"/>
          </w:tcPr>
          <w:p w:rsidR="00875A6A" w:rsidRDefault="00467FAE">
            <w:pPr>
              <w:jc w:val="center"/>
            </w:pPr>
            <w:r>
              <w:rPr>
                <w:color w:val="000000"/>
                <w:kern w:val="0"/>
                <w:sz w:val="24"/>
                <w:szCs w:val="24"/>
              </w:rPr>
              <w:t>002156</w:t>
            </w:r>
          </w:p>
        </w:tc>
        <w:tc>
          <w:tcPr>
            <w:tcW w:w="0" w:type="auto"/>
            <w:vAlign w:val="center"/>
          </w:tcPr>
          <w:p w:rsidR="00875A6A" w:rsidRDefault="00467FAE">
            <w:pPr>
              <w:jc w:val="center"/>
            </w:pPr>
            <w:r>
              <w:rPr>
                <w:color w:val="000000"/>
                <w:kern w:val="0"/>
                <w:sz w:val="24"/>
                <w:szCs w:val="24"/>
              </w:rPr>
              <w:t>通富微电</w:t>
            </w:r>
          </w:p>
        </w:tc>
        <w:tc>
          <w:tcPr>
            <w:tcW w:w="0" w:type="auto"/>
            <w:vAlign w:val="center"/>
          </w:tcPr>
          <w:p w:rsidR="00875A6A" w:rsidRDefault="00467FAE">
            <w:pPr>
              <w:jc w:val="right"/>
            </w:pPr>
            <w:r>
              <w:rPr>
                <w:color w:val="000000"/>
                <w:kern w:val="0"/>
                <w:sz w:val="24"/>
                <w:szCs w:val="24"/>
              </w:rPr>
              <w:t>6,002,929</w:t>
            </w:r>
          </w:p>
        </w:tc>
        <w:tc>
          <w:tcPr>
            <w:tcW w:w="0" w:type="auto"/>
            <w:vAlign w:val="center"/>
          </w:tcPr>
          <w:p w:rsidR="00875A6A" w:rsidRDefault="00467FAE">
            <w:pPr>
              <w:jc w:val="right"/>
            </w:pPr>
            <w:r>
              <w:rPr>
                <w:color w:val="000000"/>
                <w:kern w:val="0"/>
                <w:sz w:val="24"/>
                <w:szCs w:val="24"/>
              </w:rPr>
              <w:t>98,748,182.05</w:t>
            </w:r>
          </w:p>
        </w:tc>
        <w:tc>
          <w:tcPr>
            <w:tcW w:w="0" w:type="auto"/>
            <w:vAlign w:val="center"/>
          </w:tcPr>
          <w:p w:rsidR="00875A6A" w:rsidRDefault="00467FAE">
            <w:pPr>
              <w:jc w:val="right"/>
            </w:pPr>
            <w:r>
              <w:rPr>
                <w:color w:val="000000"/>
                <w:kern w:val="0"/>
                <w:sz w:val="24"/>
                <w:szCs w:val="24"/>
              </w:rPr>
              <w:t>2.08</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170,311,000.00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3.59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170,311,000.00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3.59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16,867,281.80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0.36</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187,178,281.80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3.94</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875A6A">
        <w:tc>
          <w:tcPr>
            <w:tcW w:w="0" w:type="auto"/>
            <w:vAlign w:val="center"/>
          </w:tcPr>
          <w:p w:rsidR="00875A6A" w:rsidRDefault="00467FAE">
            <w:pPr>
              <w:jc w:val="center"/>
            </w:pPr>
            <w:r>
              <w:rPr>
                <w:color w:val="000000"/>
                <w:kern w:val="0"/>
                <w:sz w:val="24"/>
                <w:szCs w:val="24"/>
              </w:rPr>
              <w:t>1</w:t>
            </w:r>
          </w:p>
        </w:tc>
        <w:tc>
          <w:tcPr>
            <w:tcW w:w="0" w:type="auto"/>
            <w:vAlign w:val="center"/>
          </w:tcPr>
          <w:p w:rsidR="00875A6A" w:rsidRDefault="00467FAE">
            <w:pPr>
              <w:jc w:val="center"/>
            </w:pPr>
            <w:r>
              <w:rPr>
                <w:color w:val="000000"/>
                <w:kern w:val="0"/>
                <w:sz w:val="24"/>
                <w:szCs w:val="24"/>
              </w:rPr>
              <w:t>190304</w:t>
            </w:r>
          </w:p>
        </w:tc>
        <w:tc>
          <w:tcPr>
            <w:tcW w:w="0" w:type="auto"/>
            <w:vAlign w:val="center"/>
          </w:tcPr>
          <w:p w:rsidR="00875A6A" w:rsidRDefault="00467FAE">
            <w:pPr>
              <w:jc w:val="center"/>
            </w:pPr>
            <w:r>
              <w:rPr>
                <w:color w:val="000000"/>
                <w:kern w:val="0"/>
                <w:sz w:val="24"/>
                <w:szCs w:val="24"/>
              </w:rPr>
              <w:t>19</w:t>
            </w:r>
            <w:r>
              <w:rPr>
                <w:color w:val="000000"/>
                <w:kern w:val="0"/>
                <w:sz w:val="24"/>
                <w:szCs w:val="24"/>
              </w:rPr>
              <w:t>进出</w:t>
            </w:r>
            <w:r>
              <w:rPr>
                <w:color w:val="000000"/>
                <w:kern w:val="0"/>
                <w:sz w:val="24"/>
                <w:szCs w:val="24"/>
              </w:rPr>
              <w:t>04</w:t>
            </w:r>
          </w:p>
        </w:tc>
        <w:tc>
          <w:tcPr>
            <w:tcW w:w="0" w:type="auto"/>
            <w:vAlign w:val="center"/>
          </w:tcPr>
          <w:p w:rsidR="00875A6A" w:rsidRDefault="00467FAE">
            <w:pPr>
              <w:jc w:val="right"/>
            </w:pPr>
            <w:r>
              <w:rPr>
                <w:color w:val="000000"/>
                <w:kern w:val="0"/>
                <w:sz w:val="24"/>
                <w:szCs w:val="24"/>
              </w:rPr>
              <w:t>900,000</w:t>
            </w:r>
          </w:p>
        </w:tc>
        <w:tc>
          <w:tcPr>
            <w:tcW w:w="0" w:type="auto"/>
            <w:vAlign w:val="center"/>
          </w:tcPr>
          <w:p w:rsidR="00875A6A" w:rsidRDefault="00467FAE">
            <w:pPr>
              <w:jc w:val="right"/>
            </w:pPr>
            <w:r>
              <w:rPr>
                <w:color w:val="000000"/>
                <w:kern w:val="0"/>
                <w:sz w:val="24"/>
                <w:szCs w:val="24"/>
              </w:rPr>
              <w:t>90,153,000.00</w:t>
            </w:r>
          </w:p>
        </w:tc>
        <w:tc>
          <w:tcPr>
            <w:tcW w:w="0" w:type="auto"/>
            <w:vAlign w:val="center"/>
          </w:tcPr>
          <w:p w:rsidR="00875A6A" w:rsidRDefault="00467FAE">
            <w:pPr>
              <w:jc w:val="right"/>
            </w:pPr>
            <w:r>
              <w:rPr>
                <w:color w:val="000000"/>
                <w:kern w:val="0"/>
                <w:sz w:val="24"/>
                <w:szCs w:val="24"/>
              </w:rPr>
              <w:t>1.90</w:t>
            </w:r>
          </w:p>
        </w:tc>
      </w:tr>
      <w:tr w:rsidR="00875A6A">
        <w:tc>
          <w:tcPr>
            <w:tcW w:w="0" w:type="auto"/>
            <w:vAlign w:val="center"/>
          </w:tcPr>
          <w:p w:rsidR="00875A6A" w:rsidRDefault="00467FAE">
            <w:pPr>
              <w:jc w:val="center"/>
            </w:pPr>
            <w:r>
              <w:rPr>
                <w:color w:val="000000"/>
                <w:kern w:val="0"/>
                <w:sz w:val="24"/>
                <w:szCs w:val="24"/>
              </w:rPr>
              <w:t>2</w:t>
            </w:r>
          </w:p>
        </w:tc>
        <w:tc>
          <w:tcPr>
            <w:tcW w:w="0" w:type="auto"/>
            <w:vAlign w:val="center"/>
          </w:tcPr>
          <w:p w:rsidR="00875A6A" w:rsidRDefault="00467FAE">
            <w:pPr>
              <w:jc w:val="center"/>
            </w:pPr>
            <w:r>
              <w:rPr>
                <w:color w:val="000000"/>
                <w:kern w:val="0"/>
                <w:sz w:val="24"/>
                <w:szCs w:val="24"/>
              </w:rPr>
              <w:t>190402</w:t>
            </w:r>
          </w:p>
        </w:tc>
        <w:tc>
          <w:tcPr>
            <w:tcW w:w="0" w:type="auto"/>
            <w:vAlign w:val="center"/>
          </w:tcPr>
          <w:p w:rsidR="00875A6A" w:rsidRDefault="00467FAE">
            <w:pPr>
              <w:jc w:val="center"/>
            </w:pPr>
            <w:r>
              <w:rPr>
                <w:color w:val="000000"/>
                <w:kern w:val="0"/>
                <w:sz w:val="24"/>
                <w:szCs w:val="24"/>
              </w:rPr>
              <w:t>19</w:t>
            </w:r>
            <w:r>
              <w:rPr>
                <w:color w:val="000000"/>
                <w:kern w:val="0"/>
                <w:sz w:val="24"/>
                <w:szCs w:val="24"/>
              </w:rPr>
              <w:t>农发</w:t>
            </w:r>
            <w:r>
              <w:rPr>
                <w:color w:val="000000"/>
                <w:kern w:val="0"/>
                <w:sz w:val="24"/>
                <w:szCs w:val="24"/>
              </w:rPr>
              <w:t>02</w:t>
            </w:r>
          </w:p>
        </w:tc>
        <w:tc>
          <w:tcPr>
            <w:tcW w:w="0" w:type="auto"/>
            <w:vAlign w:val="center"/>
          </w:tcPr>
          <w:p w:rsidR="00875A6A" w:rsidRDefault="00467FAE">
            <w:pPr>
              <w:jc w:val="right"/>
            </w:pPr>
            <w:r>
              <w:rPr>
                <w:color w:val="000000"/>
                <w:kern w:val="0"/>
                <w:sz w:val="24"/>
                <w:szCs w:val="24"/>
              </w:rPr>
              <w:t>500,000</w:t>
            </w:r>
          </w:p>
        </w:tc>
        <w:tc>
          <w:tcPr>
            <w:tcW w:w="0" w:type="auto"/>
            <w:vAlign w:val="center"/>
          </w:tcPr>
          <w:p w:rsidR="00875A6A" w:rsidRDefault="00467FAE">
            <w:pPr>
              <w:jc w:val="right"/>
            </w:pPr>
            <w:r>
              <w:rPr>
                <w:color w:val="000000"/>
                <w:kern w:val="0"/>
                <w:sz w:val="24"/>
                <w:szCs w:val="24"/>
              </w:rPr>
              <w:t>50,035,000.00</w:t>
            </w:r>
          </w:p>
        </w:tc>
        <w:tc>
          <w:tcPr>
            <w:tcW w:w="0" w:type="auto"/>
            <w:vAlign w:val="center"/>
          </w:tcPr>
          <w:p w:rsidR="00875A6A" w:rsidRDefault="00467FAE">
            <w:pPr>
              <w:jc w:val="right"/>
            </w:pPr>
            <w:r>
              <w:rPr>
                <w:color w:val="000000"/>
                <w:kern w:val="0"/>
                <w:sz w:val="24"/>
                <w:szCs w:val="24"/>
              </w:rPr>
              <w:t>1.05</w:t>
            </w:r>
          </w:p>
        </w:tc>
      </w:tr>
      <w:tr w:rsidR="00875A6A">
        <w:tc>
          <w:tcPr>
            <w:tcW w:w="0" w:type="auto"/>
            <w:vAlign w:val="center"/>
          </w:tcPr>
          <w:p w:rsidR="00875A6A" w:rsidRDefault="00467FAE">
            <w:pPr>
              <w:jc w:val="center"/>
            </w:pPr>
            <w:r>
              <w:rPr>
                <w:color w:val="000000"/>
                <w:kern w:val="0"/>
                <w:sz w:val="24"/>
                <w:szCs w:val="24"/>
              </w:rPr>
              <w:t>3</w:t>
            </w:r>
          </w:p>
        </w:tc>
        <w:tc>
          <w:tcPr>
            <w:tcW w:w="0" w:type="auto"/>
            <w:vAlign w:val="center"/>
          </w:tcPr>
          <w:p w:rsidR="00875A6A" w:rsidRDefault="00467FAE">
            <w:pPr>
              <w:jc w:val="center"/>
            </w:pPr>
            <w:r>
              <w:rPr>
                <w:color w:val="000000"/>
                <w:kern w:val="0"/>
                <w:sz w:val="24"/>
                <w:szCs w:val="24"/>
              </w:rPr>
              <w:t>150415</w:t>
            </w:r>
          </w:p>
        </w:tc>
        <w:tc>
          <w:tcPr>
            <w:tcW w:w="0" w:type="auto"/>
            <w:vAlign w:val="center"/>
          </w:tcPr>
          <w:p w:rsidR="00875A6A" w:rsidRDefault="00467FAE">
            <w:pPr>
              <w:jc w:val="center"/>
            </w:pPr>
            <w:r>
              <w:rPr>
                <w:color w:val="000000"/>
                <w:kern w:val="0"/>
                <w:sz w:val="24"/>
                <w:szCs w:val="24"/>
              </w:rPr>
              <w:t>15</w:t>
            </w:r>
            <w:r>
              <w:rPr>
                <w:color w:val="000000"/>
                <w:kern w:val="0"/>
                <w:sz w:val="24"/>
                <w:szCs w:val="24"/>
              </w:rPr>
              <w:t>农发</w:t>
            </w:r>
            <w:r>
              <w:rPr>
                <w:color w:val="000000"/>
                <w:kern w:val="0"/>
                <w:sz w:val="24"/>
                <w:szCs w:val="24"/>
              </w:rPr>
              <w:t>15</w:t>
            </w:r>
          </w:p>
        </w:tc>
        <w:tc>
          <w:tcPr>
            <w:tcW w:w="0" w:type="auto"/>
            <w:vAlign w:val="center"/>
          </w:tcPr>
          <w:p w:rsidR="00875A6A" w:rsidRDefault="00467FAE">
            <w:pPr>
              <w:jc w:val="right"/>
            </w:pPr>
            <w:r>
              <w:rPr>
                <w:color w:val="000000"/>
                <w:kern w:val="0"/>
                <w:sz w:val="24"/>
                <w:szCs w:val="24"/>
              </w:rPr>
              <w:t>200,000</w:t>
            </w:r>
          </w:p>
        </w:tc>
        <w:tc>
          <w:tcPr>
            <w:tcW w:w="0" w:type="auto"/>
            <w:vAlign w:val="center"/>
          </w:tcPr>
          <w:p w:rsidR="00875A6A" w:rsidRDefault="00467FAE">
            <w:pPr>
              <w:jc w:val="right"/>
            </w:pPr>
            <w:r>
              <w:rPr>
                <w:color w:val="000000"/>
                <w:kern w:val="0"/>
                <w:sz w:val="24"/>
                <w:szCs w:val="24"/>
              </w:rPr>
              <w:t>20,118,000.00</w:t>
            </w:r>
          </w:p>
        </w:tc>
        <w:tc>
          <w:tcPr>
            <w:tcW w:w="0" w:type="auto"/>
            <w:vAlign w:val="center"/>
          </w:tcPr>
          <w:p w:rsidR="00875A6A" w:rsidRDefault="00467FAE">
            <w:pPr>
              <w:jc w:val="right"/>
            </w:pPr>
            <w:r>
              <w:rPr>
                <w:color w:val="000000"/>
                <w:kern w:val="0"/>
                <w:sz w:val="24"/>
                <w:szCs w:val="24"/>
              </w:rPr>
              <w:t>0.42</w:t>
            </w:r>
          </w:p>
        </w:tc>
      </w:tr>
      <w:tr w:rsidR="00875A6A">
        <w:tc>
          <w:tcPr>
            <w:tcW w:w="0" w:type="auto"/>
            <w:vAlign w:val="center"/>
          </w:tcPr>
          <w:p w:rsidR="00875A6A" w:rsidRDefault="00467FAE">
            <w:pPr>
              <w:jc w:val="center"/>
            </w:pPr>
            <w:r>
              <w:rPr>
                <w:color w:val="000000"/>
                <w:kern w:val="0"/>
                <w:sz w:val="24"/>
                <w:szCs w:val="24"/>
              </w:rPr>
              <w:t>4</w:t>
            </w:r>
          </w:p>
        </w:tc>
        <w:tc>
          <w:tcPr>
            <w:tcW w:w="0" w:type="auto"/>
            <w:vAlign w:val="center"/>
          </w:tcPr>
          <w:p w:rsidR="00875A6A" w:rsidRDefault="00467FAE">
            <w:pPr>
              <w:jc w:val="center"/>
            </w:pPr>
            <w:r>
              <w:rPr>
                <w:color w:val="000000"/>
                <w:kern w:val="0"/>
                <w:sz w:val="24"/>
                <w:szCs w:val="24"/>
              </w:rPr>
              <w:t>128083</w:t>
            </w:r>
          </w:p>
        </w:tc>
        <w:tc>
          <w:tcPr>
            <w:tcW w:w="0" w:type="auto"/>
            <w:vAlign w:val="center"/>
          </w:tcPr>
          <w:p w:rsidR="00875A6A" w:rsidRDefault="00467FAE">
            <w:pPr>
              <w:jc w:val="center"/>
            </w:pPr>
            <w:r>
              <w:rPr>
                <w:color w:val="000000"/>
                <w:kern w:val="0"/>
                <w:sz w:val="24"/>
                <w:szCs w:val="24"/>
              </w:rPr>
              <w:t>新北转债</w:t>
            </w:r>
          </w:p>
        </w:tc>
        <w:tc>
          <w:tcPr>
            <w:tcW w:w="0" w:type="auto"/>
            <w:vAlign w:val="center"/>
          </w:tcPr>
          <w:p w:rsidR="00875A6A" w:rsidRDefault="00467FAE">
            <w:pPr>
              <w:jc w:val="right"/>
            </w:pPr>
            <w:r>
              <w:rPr>
                <w:color w:val="000000"/>
                <w:kern w:val="0"/>
                <w:sz w:val="24"/>
                <w:szCs w:val="24"/>
              </w:rPr>
              <w:t>103,731</w:t>
            </w:r>
          </w:p>
        </w:tc>
        <w:tc>
          <w:tcPr>
            <w:tcW w:w="0" w:type="auto"/>
            <w:vAlign w:val="center"/>
          </w:tcPr>
          <w:p w:rsidR="00875A6A" w:rsidRDefault="00467FAE">
            <w:pPr>
              <w:jc w:val="right"/>
            </w:pPr>
            <w:r>
              <w:rPr>
                <w:color w:val="000000"/>
                <w:kern w:val="0"/>
                <w:sz w:val="24"/>
                <w:szCs w:val="24"/>
              </w:rPr>
              <w:t>12,361,623.27</w:t>
            </w:r>
          </w:p>
        </w:tc>
        <w:tc>
          <w:tcPr>
            <w:tcW w:w="0" w:type="auto"/>
            <w:vAlign w:val="center"/>
          </w:tcPr>
          <w:p w:rsidR="00875A6A" w:rsidRDefault="00467FAE">
            <w:pPr>
              <w:jc w:val="right"/>
            </w:pPr>
            <w:r>
              <w:rPr>
                <w:color w:val="000000"/>
                <w:kern w:val="0"/>
                <w:sz w:val="24"/>
                <w:szCs w:val="24"/>
              </w:rPr>
              <w:t>0.26</w:t>
            </w:r>
          </w:p>
        </w:tc>
      </w:tr>
      <w:tr w:rsidR="00875A6A">
        <w:tc>
          <w:tcPr>
            <w:tcW w:w="0" w:type="auto"/>
            <w:vAlign w:val="center"/>
          </w:tcPr>
          <w:p w:rsidR="00875A6A" w:rsidRDefault="00467FAE">
            <w:pPr>
              <w:jc w:val="center"/>
            </w:pPr>
            <w:r>
              <w:rPr>
                <w:color w:val="000000"/>
                <w:kern w:val="0"/>
                <w:sz w:val="24"/>
                <w:szCs w:val="24"/>
              </w:rPr>
              <w:t>5</w:t>
            </w:r>
          </w:p>
        </w:tc>
        <w:tc>
          <w:tcPr>
            <w:tcW w:w="0" w:type="auto"/>
            <w:vAlign w:val="center"/>
          </w:tcPr>
          <w:p w:rsidR="00875A6A" w:rsidRDefault="00467FAE">
            <w:pPr>
              <w:jc w:val="center"/>
            </w:pPr>
            <w:r>
              <w:rPr>
                <w:color w:val="000000"/>
                <w:kern w:val="0"/>
                <w:sz w:val="24"/>
                <w:szCs w:val="24"/>
              </w:rPr>
              <w:t>130208</w:t>
            </w:r>
          </w:p>
        </w:tc>
        <w:tc>
          <w:tcPr>
            <w:tcW w:w="0" w:type="auto"/>
            <w:vAlign w:val="center"/>
          </w:tcPr>
          <w:p w:rsidR="00875A6A" w:rsidRDefault="00467FAE">
            <w:pPr>
              <w:jc w:val="center"/>
            </w:pPr>
            <w:r>
              <w:rPr>
                <w:color w:val="000000"/>
                <w:kern w:val="0"/>
                <w:sz w:val="24"/>
                <w:szCs w:val="24"/>
              </w:rPr>
              <w:t>13</w:t>
            </w:r>
            <w:r>
              <w:rPr>
                <w:color w:val="000000"/>
                <w:kern w:val="0"/>
                <w:sz w:val="24"/>
                <w:szCs w:val="24"/>
              </w:rPr>
              <w:t>国开</w:t>
            </w:r>
            <w:r>
              <w:rPr>
                <w:color w:val="000000"/>
                <w:kern w:val="0"/>
                <w:sz w:val="24"/>
                <w:szCs w:val="24"/>
              </w:rPr>
              <w:t>08</w:t>
            </w:r>
          </w:p>
        </w:tc>
        <w:tc>
          <w:tcPr>
            <w:tcW w:w="0" w:type="auto"/>
            <w:vAlign w:val="center"/>
          </w:tcPr>
          <w:p w:rsidR="00875A6A" w:rsidRDefault="00467FAE">
            <w:pPr>
              <w:jc w:val="right"/>
            </w:pPr>
            <w:r>
              <w:rPr>
                <w:color w:val="000000"/>
                <w:kern w:val="0"/>
                <w:sz w:val="24"/>
                <w:szCs w:val="24"/>
              </w:rPr>
              <w:t>100,000</w:t>
            </w:r>
          </w:p>
        </w:tc>
        <w:tc>
          <w:tcPr>
            <w:tcW w:w="0" w:type="auto"/>
            <w:vAlign w:val="center"/>
          </w:tcPr>
          <w:p w:rsidR="00875A6A" w:rsidRDefault="00467FAE">
            <w:pPr>
              <w:jc w:val="right"/>
            </w:pPr>
            <w:r>
              <w:rPr>
                <w:color w:val="000000"/>
                <w:kern w:val="0"/>
                <w:sz w:val="24"/>
                <w:szCs w:val="24"/>
              </w:rPr>
              <w:t>10,005,000.00</w:t>
            </w:r>
          </w:p>
        </w:tc>
        <w:tc>
          <w:tcPr>
            <w:tcW w:w="0" w:type="auto"/>
            <w:vAlign w:val="center"/>
          </w:tcPr>
          <w:p w:rsidR="00875A6A" w:rsidRDefault="00467FAE">
            <w:pPr>
              <w:jc w:val="right"/>
            </w:pPr>
            <w:r>
              <w:rPr>
                <w:color w:val="000000"/>
                <w:kern w:val="0"/>
                <w:sz w:val="24"/>
                <w:szCs w:val="24"/>
              </w:rPr>
              <w:t>0.21</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兴业银行（代码：601166）为易方达科讯混合型证券投资基金的前十大重仓证券之一。2019年7月8日，中国银行保险监督管理委员会上海监管局针对兴业银行股份有限公司信用卡中心的如下违法违规行为作出责令改正、并处罚款40万元的行政处罚决定：1、2016年1月至2018年1月在为部分客户办理信用卡业务时未遵守总授信额度管理制度；2、2016年至2018年8月对部分信用卡申请人资信水平调查严重不尽职的违法违规行为。</w:t>
      </w:r>
    </w:p>
    <w:p w:rsidR="00875A6A" w:rsidRDefault="00467FAE">
      <w:pPr>
        <w:spacing w:line="360" w:lineRule="auto"/>
        <w:rPr>
          <w:rFonts w:ascii="宋体" w:hAnsi="宋体"/>
          <w:color w:val="000000"/>
          <w:sz w:val="24"/>
          <w:szCs w:val="24"/>
        </w:rPr>
      </w:pPr>
      <w:r>
        <w:rPr>
          <w:rFonts w:ascii="宋体" w:hAnsi="宋体"/>
          <w:color w:val="000000"/>
          <w:sz w:val="24"/>
          <w:szCs w:val="24"/>
        </w:rPr>
        <w:t>万科</w:t>
      </w:r>
      <w:r>
        <w:rPr>
          <w:rFonts w:ascii="宋体" w:hAnsi="宋体"/>
          <w:color w:val="000000"/>
          <w:sz w:val="24"/>
          <w:szCs w:val="24"/>
        </w:rPr>
        <w:t>A</w:t>
      </w:r>
      <w:r>
        <w:rPr>
          <w:rFonts w:ascii="宋体" w:hAnsi="宋体"/>
          <w:color w:val="000000"/>
          <w:sz w:val="24"/>
          <w:szCs w:val="24"/>
        </w:rPr>
        <w:t>（代码：</w:t>
      </w:r>
      <w:r>
        <w:rPr>
          <w:rFonts w:ascii="宋体" w:hAnsi="宋体"/>
          <w:color w:val="000000"/>
          <w:sz w:val="24"/>
          <w:szCs w:val="24"/>
        </w:rPr>
        <w:t>000002</w:t>
      </w:r>
      <w:r>
        <w:rPr>
          <w:rFonts w:ascii="宋体" w:hAnsi="宋体"/>
          <w:color w:val="000000"/>
          <w:sz w:val="24"/>
          <w:szCs w:val="24"/>
        </w:rPr>
        <w:t>）为易方达科讯混合型证券投资基金的前十大重仓证券之一。</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w:t>
      </w:r>
      <w:r>
        <w:rPr>
          <w:rFonts w:ascii="宋体" w:hAnsi="宋体"/>
          <w:color w:val="000000"/>
          <w:sz w:val="24"/>
          <w:szCs w:val="24"/>
        </w:rPr>
        <w:t>26</w:t>
      </w:r>
      <w:r>
        <w:rPr>
          <w:rFonts w:ascii="宋体" w:hAnsi="宋体"/>
          <w:color w:val="000000"/>
          <w:sz w:val="24"/>
          <w:szCs w:val="24"/>
        </w:rPr>
        <w:t>日，国家外汇管理局深圳市分局对万科企业股份有限公司违反外汇登记管理规定的行为，作出警告并罚款</w:t>
      </w:r>
      <w:r>
        <w:rPr>
          <w:rFonts w:ascii="宋体" w:hAnsi="宋体"/>
          <w:color w:val="000000"/>
          <w:sz w:val="24"/>
          <w:szCs w:val="24"/>
        </w:rPr>
        <w:t>5</w:t>
      </w:r>
      <w:r>
        <w:rPr>
          <w:rFonts w:ascii="宋体" w:hAnsi="宋体"/>
          <w:color w:val="000000"/>
          <w:sz w:val="24"/>
          <w:szCs w:val="24"/>
        </w:rPr>
        <w:t>万元的处罚决定。</w:t>
      </w:r>
    </w:p>
    <w:p w:rsidR="00875A6A" w:rsidRDefault="00467FAE">
      <w:pPr>
        <w:spacing w:line="360" w:lineRule="auto"/>
        <w:rPr>
          <w:rFonts w:ascii="宋体" w:hAnsi="宋体"/>
          <w:color w:val="000000"/>
          <w:sz w:val="24"/>
          <w:szCs w:val="24"/>
        </w:rPr>
      </w:pPr>
      <w:r>
        <w:rPr>
          <w:rFonts w:ascii="宋体" w:hAnsi="宋体"/>
          <w:color w:val="000000"/>
          <w:sz w:val="24"/>
          <w:szCs w:val="24"/>
        </w:rPr>
        <w:t>本基金投资兴业银行、万科</w:t>
      </w:r>
      <w:r>
        <w:rPr>
          <w:rFonts w:ascii="宋体" w:hAnsi="宋体"/>
          <w:color w:val="000000"/>
          <w:sz w:val="24"/>
          <w:szCs w:val="24"/>
        </w:rPr>
        <w:t>A</w:t>
      </w:r>
      <w:r>
        <w:rPr>
          <w:rFonts w:ascii="宋体" w:hAnsi="宋体"/>
          <w:color w:val="000000"/>
          <w:sz w:val="24"/>
          <w:szCs w:val="24"/>
        </w:rPr>
        <w:t>的投资决策程序符合公司投资制度的规定。</w:t>
      </w:r>
    </w:p>
    <w:p w:rsidR="00875A6A" w:rsidRDefault="00467FAE">
      <w:pPr>
        <w:spacing w:line="360" w:lineRule="auto"/>
        <w:rPr>
          <w:rFonts w:ascii="宋体" w:hAnsi="宋体"/>
          <w:color w:val="000000"/>
          <w:sz w:val="24"/>
          <w:szCs w:val="24"/>
        </w:rPr>
      </w:pPr>
      <w:r>
        <w:rPr>
          <w:rFonts w:ascii="宋体" w:hAnsi="宋体"/>
          <w:color w:val="000000"/>
          <w:sz w:val="24"/>
          <w:szCs w:val="24"/>
        </w:rPr>
        <w:t>除兴业银行、万科</w:t>
      </w:r>
      <w:r>
        <w:rPr>
          <w:rFonts w:ascii="宋体" w:hAnsi="宋体"/>
          <w:color w:val="000000"/>
          <w:sz w:val="24"/>
          <w:szCs w:val="24"/>
        </w:rPr>
        <w:t>A</w:t>
      </w:r>
      <w:r>
        <w:rPr>
          <w:rFonts w:ascii="宋体" w:hAnsi="宋体"/>
          <w:color w:val="000000"/>
          <w:sz w:val="24"/>
          <w:szCs w:val="24"/>
        </w:rPr>
        <w:t>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1,129,338.59</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25,747,579.67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3,143,040.50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2,092,860.44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32,112,819.20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875A6A">
        <w:tc>
          <w:tcPr>
            <w:tcW w:w="0" w:type="auto"/>
            <w:vAlign w:val="center"/>
          </w:tcPr>
          <w:p w:rsidR="00875A6A" w:rsidRDefault="00467FAE">
            <w:pPr>
              <w:jc w:val="center"/>
            </w:pPr>
            <w:r>
              <w:rPr>
                <w:color w:val="000000"/>
                <w:kern w:val="0"/>
                <w:sz w:val="24"/>
                <w:szCs w:val="24"/>
              </w:rPr>
              <w:t>1</w:t>
            </w:r>
          </w:p>
        </w:tc>
        <w:tc>
          <w:tcPr>
            <w:tcW w:w="0" w:type="auto"/>
            <w:vAlign w:val="center"/>
          </w:tcPr>
          <w:p w:rsidR="00875A6A" w:rsidRDefault="00467FAE">
            <w:pPr>
              <w:jc w:val="center"/>
            </w:pPr>
            <w:r>
              <w:rPr>
                <w:color w:val="000000"/>
                <w:kern w:val="0"/>
                <w:sz w:val="24"/>
                <w:szCs w:val="24"/>
              </w:rPr>
              <w:t>128028</w:t>
            </w:r>
          </w:p>
        </w:tc>
        <w:tc>
          <w:tcPr>
            <w:tcW w:w="0" w:type="auto"/>
            <w:vAlign w:val="center"/>
          </w:tcPr>
          <w:p w:rsidR="00875A6A" w:rsidRDefault="00467FAE">
            <w:pPr>
              <w:jc w:val="center"/>
            </w:pPr>
            <w:r>
              <w:rPr>
                <w:color w:val="000000"/>
                <w:kern w:val="0"/>
                <w:sz w:val="24"/>
                <w:szCs w:val="24"/>
              </w:rPr>
              <w:t>赣锋转债</w:t>
            </w:r>
          </w:p>
        </w:tc>
        <w:tc>
          <w:tcPr>
            <w:tcW w:w="0" w:type="auto"/>
            <w:vAlign w:val="center"/>
          </w:tcPr>
          <w:p w:rsidR="00875A6A" w:rsidRDefault="00467FAE">
            <w:pPr>
              <w:jc w:val="right"/>
            </w:pPr>
            <w:r>
              <w:rPr>
                <w:color w:val="000000"/>
                <w:kern w:val="0"/>
                <w:sz w:val="24"/>
                <w:szCs w:val="24"/>
              </w:rPr>
              <w:t>2,422,134.78</w:t>
            </w:r>
          </w:p>
        </w:tc>
        <w:tc>
          <w:tcPr>
            <w:tcW w:w="0" w:type="auto"/>
            <w:vAlign w:val="center"/>
          </w:tcPr>
          <w:p w:rsidR="00875A6A" w:rsidRDefault="00467FAE">
            <w:pPr>
              <w:jc w:val="right"/>
            </w:pPr>
            <w:r>
              <w:rPr>
                <w:color w:val="000000"/>
                <w:kern w:val="0"/>
                <w:sz w:val="24"/>
                <w:szCs w:val="24"/>
              </w:rPr>
              <w:t>0.05</w:t>
            </w:r>
          </w:p>
        </w:tc>
      </w:tr>
      <w:tr w:rsidR="00875A6A">
        <w:tc>
          <w:tcPr>
            <w:tcW w:w="0" w:type="auto"/>
            <w:vAlign w:val="center"/>
          </w:tcPr>
          <w:p w:rsidR="00875A6A" w:rsidRDefault="00467FAE">
            <w:pPr>
              <w:jc w:val="center"/>
            </w:pPr>
            <w:r>
              <w:rPr>
                <w:color w:val="000000"/>
                <w:kern w:val="0"/>
                <w:sz w:val="24"/>
                <w:szCs w:val="24"/>
              </w:rPr>
              <w:t>2</w:t>
            </w:r>
          </w:p>
        </w:tc>
        <w:tc>
          <w:tcPr>
            <w:tcW w:w="0" w:type="auto"/>
            <w:vAlign w:val="center"/>
          </w:tcPr>
          <w:p w:rsidR="00875A6A" w:rsidRDefault="00467FAE">
            <w:pPr>
              <w:jc w:val="center"/>
            </w:pPr>
            <w:r>
              <w:rPr>
                <w:color w:val="000000"/>
                <w:kern w:val="0"/>
                <w:sz w:val="24"/>
                <w:szCs w:val="24"/>
              </w:rPr>
              <w:t>123019</w:t>
            </w:r>
          </w:p>
        </w:tc>
        <w:tc>
          <w:tcPr>
            <w:tcW w:w="0" w:type="auto"/>
            <w:vAlign w:val="center"/>
          </w:tcPr>
          <w:p w:rsidR="00875A6A" w:rsidRDefault="00467FAE">
            <w:pPr>
              <w:jc w:val="center"/>
            </w:pPr>
            <w:r>
              <w:rPr>
                <w:color w:val="000000"/>
                <w:kern w:val="0"/>
                <w:sz w:val="24"/>
                <w:szCs w:val="24"/>
              </w:rPr>
              <w:t>中来转债</w:t>
            </w:r>
          </w:p>
        </w:tc>
        <w:tc>
          <w:tcPr>
            <w:tcW w:w="0" w:type="auto"/>
            <w:vAlign w:val="center"/>
          </w:tcPr>
          <w:p w:rsidR="00875A6A" w:rsidRDefault="00467FAE">
            <w:pPr>
              <w:jc w:val="right"/>
            </w:pPr>
            <w:r>
              <w:rPr>
                <w:color w:val="000000"/>
                <w:kern w:val="0"/>
                <w:sz w:val="24"/>
                <w:szCs w:val="24"/>
              </w:rPr>
              <w:t>647,065.30</w:t>
            </w:r>
          </w:p>
        </w:tc>
        <w:tc>
          <w:tcPr>
            <w:tcW w:w="0" w:type="auto"/>
            <w:vAlign w:val="center"/>
          </w:tcPr>
          <w:p w:rsidR="00875A6A" w:rsidRDefault="00467FAE">
            <w:pPr>
              <w:jc w:val="right"/>
            </w:pPr>
            <w:r>
              <w:rPr>
                <w:color w:val="000000"/>
                <w:kern w:val="0"/>
                <w:sz w:val="24"/>
                <w:szCs w:val="24"/>
              </w:rPr>
              <w:t>0.01</w:t>
            </w:r>
          </w:p>
        </w:tc>
      </w:tr>
      <w:tr w:rsidR="00875A6A">
        <w:tc>
          <w:tcPr>
            <w:tcW w:w="0" w:type="auto"/>
            <w:vAlign w:val="center"/>
          </w:tcPr>
          <w:p w:rsidR="00875A6A" w:rsidRDefault="00467FAE">
            <w:pPr>
              <w:jc w:val="center"/>
            </w:pPr>
            <w:r>
              <w:rPr>
                <w:color w:val="000000"/>
                <w:kern w:val="0"/>
                <w:sz w:val="24"/>
                <w:szCs w:val="24"/>
              </w:rPr>
              <w:t>3</w:t>
            </w:r>
          </w:p>
        </w:tc>
        <w:tc>
          <w:tcPr>
            <w:tcW w:w="0" w:type="auto"/>
            <w:vAlign w:val="center"/>
          </w:tcPr>
          <w:p w:rsidR="00875A6A" w:rsidRDefault="00467FAE">
            <w:pPr>
              <w:jc w:val="center"/>
            </w:pPr>
            <w:r>
              <w:rPr>
                <w:color w:val="000000"/>
                <w:kern w:val="0"/>
                <w:sz w:val="24"/>
                <w:szCs w:val="24"/>
              </w:rPr>
              <w:t>128061</w:t>
            </w:r>
          </w:p>
        </w:tc>
        <w:tc>
          <w:tcPr>
            <w:tcW w:w="0" w:type="auto"/>
            <w:vAlign w:val="center"/>
          </w:tcPr>
          <w:p w:rsidR="00875A6A" w:rsidRDefault="00467FAE">
            <w:pPr>
              <w:jc w:val="center"/>
            </w:pPr>
            <w:r>
              <w:rPr>
                <w:color w:val="000000"/>
                <w:kern w:val="0"/>
                <w:sz w:val="24"/>
                <w:szCs w:val="24"/>
              </w:rPr>
              <w:t>启明转债</w:t>
            </w:r>
          </w:p>
        </w:tc>
        <w:tc>
          <w:tcPr>
            <w:tcW w:w="0" w:type="auto"/>
            <w:vAlign w:val="center"/>
          </w:tcPr>
          <w:p w:rsidR="00875A6A" w:rsidRDefault="00467FAE">
            <w:pPr>
              <w:jc w:val="right"/>
            </w:pPr>
            <w:r>
              <w:rPr>
                <w:color w:val="000000"/>
                <w:kern w:val="0"/>
                <w:sz w:val="24"/>
                <w:szCs w:val="24"/>
              </w:rPr>
              <w:t>589,290.25</w:t>
            </w:r>
          </w:p>
        </w:tc>
        <w:tc>
          <w:tcPr>
            <w:tcW w:w="0" w:type="auto"/>
            <w:vAlign w:val="center"/>
          </w:tcPr>
          <w:p w:rsidR="00875A6A" w:rsidRDefault="00467FAE">
            <w:pPr>
              <w:jc w:val="right"/>
            </w:pPr>
            <w:r>
              <w:rPr>
                <w:color w:val="000000"/>
                <w:kern w:val="0"/>
                <w:sz w:val="24"/>
                <w:szCs w:val="24"/>
              </w:rPr>
              <w:t>0.01</w:t>
            </w:r>
          </w:p>
        </w:tc>
      </w:tr>
      <w:tr w:rsidR="00875A6A">
        <w:tc>
          <w:tcPr>
            <w:tcW w:w="0" w:type="auto"/>
            <w:vAlign w:val="center"/>
          </w:tcPr>
          <w:p w:rsidR="00875A6A" w:rsidRDefault="00467FAE">
            <w:pPr>
              <w:jc w:val="center"/>
            </w:pPr>
            <w:r>
              <w:rPr>
                <w:color w:val="000000"/>
                <w:kern w:val="0"/>
                <w:sz w:val="24"/>
                <w:szCs w:val="24"/>
              </w:rPr>
              <w:t>4</w:t>
            </w:r>
          </w:p>
        </w:tc>
        <w:tc>
          <w:tcPr>
            <w:tcW w:w="0" w:type="auto"/>
            <w:vAlign w:val="center"/>
          </w:tcPr>
          <w:p w:rsidR="00875A6A" w:rsidRDefault="00467FAE">
            <w:pPr>
              <w:jc w:val="center"/>
            </w:pPr>
            <w:r>
              <w:rPr>
                <w:color w:val="000000"/>
                <w:kern w:val="0"/>
                <w:sz w:val="24"/>
                <w:szCs w:val="24"/>
              </w:rPr>
              <w:t>113021</w:t>
            </w:r>
          </w:p>
        </w:tc>
        <w:tc>
          <w:tcPr>
            <w:tcW w:w="0" w:type="auto"/>
            <w:vAlign w:val="center"/>
          </w:tcPr>
          <w:p w:rsidR="00875A6A" w:rsidRDefault="00467FAE">
            <w:pPr>
              <w:jc w:val="center"/>
            </w:pPr>
            <w:r>
              <w:rPr>
                <w:color w:val="000000"/>
                <w:kern w:val="0"/>
                <w:sz w:val="24"/>
                <w:szCs w:val="24"/>
              </w:rPr>
              <w:t>中信转债</w:t>
            </w:r>
          </w:p>
        </w:tc>
        <w:tc>
          <w:tcPr>
            <w:tcW w:w="0" w:type="auto"/>
            <w:vAlign w:val="center"/>
          </w:tcPr>
          <w:p w:rsidR="00875A6A" w:rsidRDefault="00467FAE">
            <w:pPr>
              <w:jc w:val="right"/>
            </w:pPr>
            <w:r>
              <w:rPr>
                <w:color w:val="000000"/>
                <w:kern w:val="0"/>
                <w:sz w:val="24"/>
                <w:szCs w:val="24"/>
              </w:rPr>
              <w:t>1,131.40</w:t>
            </w:r>
          </w:p>
        </w:tc>
        <w:tc>
          <w:tcPr>
            <w:tcW w:w="0" w:type="auto"/>
            <w:vAlign w:val="center"/>
          </w:tcPr>
          <w:p w:rsidR="00875A6A" w:rsidRDefault="00467FAE">
            <w:pPr>
              <w:jc w:val="right"/>
            </w:pPr>
            <w:r>
              <w:rPr>
                <w:color w:val="000000"/>
                <w:kern w:val="0"/>
                <w:sz w:val="24"/>
                <w:szCs w:val="24"/>
              </w:rPr>
              <w:t>0.00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875A6A">
        <w:tc>
          <w:tcPr>
            <w:tcW w:w="0" w:type="auto"/>
            <w:vAlign w:val="center"/>
          </w:tcPr>
          <w:p w:rsidR="00875A6A" w:rsidRDefault="00467FAE">
            <w:pPr>
              <w:jc w:val="center"/>
            </w:pPr>
            <w:r>
              <w:rPr>
                <w:color w:val="000000"/>
                <w:kern w:val="0"/>
                <w:sz w:val="24"/>
                <w:szCs w:val="24"/>
              </w:rPr>
              <w:t>1</w:t>
            </w:r>
          </w:p>
        </w:tc>
        <w:tc>
          <w:tcPr>
            <w:tcW w:w="0" w:type="auto"/>
            <w:vAlign w:val="center"/>
          </w:tcPr>
          <w:p w:rsidR="00875A6A" w:rsidRDefault="00467FAE">
            <w:pPr>
              <w:jc w:val="center"/>
            </w:pPr>
            <w:r>
              <w:rPr>
                <w:color w:val="000000"/>
                <w:kern w:val="0"/>
                <w:sz w:val="24"/>
                <w:szCs w:val="24"/>
              </w:rPr>
              <w:t>002384</w:t>
            </w:r>
          </w:p>
        </w:tc>
        <w:tc>
          <w:tcPr>
            <w:tcW w:w="0" w:type="auto"/>
            <w:vAlign w:val="center"/>
          </w:tcPr>
          <w:p w:rsidR="00875A6A" w:rsidRDefault="00467FAE">
            <w:pPr>
              <w:jc w:val="center"/>
            </w:pPr>
            <w:r>
              <w:rPr>
                <w:color w:val="000000"/>
                <w:kern w:val="0"/>
                <w:sz w:val="24"/>
                <w:szCs w:val="24"/>
              </w:rPr>
              <w:t>东山精密</w:t>
            </w:r>
          </w:p>
        </w:tc>
        <w:tc>
          <w:tcPr>
            <w:tcW w:w="0" w:type="auto"/>
            <w:vAlign w:val="center"/>
          </w:tcPr>
          <w:p w:rsidR="00875A6A" w:rsidRDefault="00467FAE">
            <w:pPr>
              <w:jc w:val="right"/>
            </w:pPr>
            <w:r>
              <w:rPr>
                <w:color w:val="000000"/>
                <w:kern w:val="0"/>
                <w:sz w:val="24"/>
                <w:szCs w:val="24"/>
              </w:rPr>
              <w:t>6,639,000.00</w:t>
            </w:r>
          </w:p>
        </w:tc>
        <w:tc>
          <w:tcPr>
            <w:tcW w:w="0" w:type="auto"/>
            <w:vAlign w:val="center"/>
          </w:tcPr>
          <w:p w:rsidR="00875A6A" w:rsidRDefault="00467FAE">
            <w:pPr>
              <w:jc w:val="right"/>
            </w:pPr>
            <w:r>
              <w:rPr>
                <w:color w:val="000000"/>
                <w:kern w:val="0"/>
                <w:sz w:val="24"/>
                <w:szCs w:val="24"/>
              </w:rPr>
              <w:t>0.14</w:t>
            </w:r>
          </w:p>
        </w:tc>
        <w:tc>
          <w:tcPr>
            <w:tcW w:w="0" w:type="auto"/>
            <w:vAlign w:val="center"/>
          </w:tcPr>
          <w:p w:rsidR="00875A6A" w:rsidRDefault="00467FAE">
            <w:pPr>
              <w:jc w:val="right"/>
            </w:pPr>
            <w:r>
              <w:rPr>
                <w:color w:val="000000"/>
                <w:kern w:val="0"/>
                <w:sz w:val="24"/>
                <w:szCs w:val="24"/>
              </w:rPr>
              <w:t>大宗交易流通受限</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注：根据《深圳</w:t>
      </w:r>
      <w:r w:rsidRPr="006C56AA">
        <w:rPr>
          <w:color w:val="000000"/>
          <w:sz w:val="24"/>
          <w:szCs w:val="24"/>
        </w:rPr>
        <w:t>/</w:t>
      </w:r>
      <w:r w:rsidRPr="006C56AA">
        <w:rPr>
          <w:color w:val="000000"/>
          <w:sz w:val="24"/>
          <w:szCs w:val="24"/>
        </w:rPr>
        <w:t>上海证券交易所上市公司股东及董事、监事、高级管理人员减持股份实施细则》，大股东减持或者特定股东减持，采取大宗交易方式的，在任意连续</w:t>
      </w:r>
      <w:r w:rsidRPr="006C56AA">
        <w:rPr>
          <w:color w:val="000000"/>
          <w:sz w:val="24"/>
          <w:szCs w:val="24"/>
        </w:rPr>
        <w:t>90</w:t>
      </w:r>
      <w:r w:rsidRPr="006C56AA">
        <w:rPr>
          <w:color w:val="000000"/>
          <w:sz w:val="24"/>
          <w:szCs w:val="24"/>
        </w:rPr>
        <w:t>日内，减持股份的总数不得超过公司股份总数的</w:t>
      </w:r>
      <w:r w:rsidRPr="006C56AA">
        <w:rPr>
          <w:color w:val="000000"/>
          <w:sz w:val="24"/>
          <w:szCs w:val="24"/>
        </w:rPr>
        <w:t>2%</w:t>
      </w:r>
      <w:r w:rsidRPr="006C56AA">
        <w:rPr>
          <w:color w:val="000000"/>
          <w:sz w:val="24"/>
          <w:szCs w:val="24"/>
        </w:rPr>
        <w:t>；前款交易的受让方在受让后</w:t>
      </w:r>
      <w:r w:rsidRPr="006C56AA">
        <w:rPr>
          <w:color w:val="000000"/>
          <w:sz w:val="24"/>
          <w:szCs w:val="24"/>
        </w:rPr>
        <w:t>6</w:t>
      </w:r>
      <w:r w:rsidRPr="006C56AA">
        <w:rPr>
          <w:color w:val="000000"/>
          <w:sz w:val="24"/>
          <w:szCs w:val="24"/>
        </w:rPr>
        <w:t>个月内，不得转让所受让的股份。</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4,154,297,335.47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119,111,944.76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373,630,677.97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3,899,778,602.26</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875A6A" w:rsidRDefault="00467FAE">
      <w:pPr>
        <w:spacing w:line="360" w:lineRule="auto"/>
        <w:ind w:firstLineChars="200" w:firstLine="480"/>
        <w:rPr>
          <w:color w:val="000000"/>
          <w:sz w:val="24"/>
          <w:szCs w:val="24"/>
        </w:rPr>
      </w:pPr>
      <w:r>
        <w:rPr>
          <w:color w:val="000000"/>
          <w:sz w:val="24"/>
          <w:szCs w:val="24"/>
        </w:rPr>
        <w:t>1.</w:t>
      </w:r>
      <w:r>
        <w:rPr>
          <w:color w:val="000000"/>
          <w:sz w:val="24"/>
          <w:szCs w:val="24"/>
        </w:rPr>
        <w:t>中国证监会《关于核准科讯证券投资基金基金份额持有人大会决议的批复》（证监基金字</w:t>
      </w:r>
      <w:r>
        <w:rPr>
          <w:color w:val="000000"/>
          <w:sz w:val="24"/>
          <w:szCs w:val="24"/>
        </w:rPr>
        <w:t>[2007]330</w:t>
      </w:r>
      <w:r>
        <w:rPr>
          <w:color w:val="000000"/>
          <w:sz w:val="24"/>
          <w:szCs w:val="24"/>
        </w:rPr>
        <w:t>号）；</w:t>
      </w:r>
    </w:p>
    <w:p w:rsidR="00875A6A" w:rsidRDefault="00467FAE">
      <w:pPr>
        <w:spacing w:line="360" w:lineRule="auto"/>
        <w:ind w:firstLineChars="200" w:firstLine="480"/>
        <w:rPr>
          <w:color w:val="000000"/>
          <w:sz w:val="24"/>
          <w:szCs w:val="24"/>
        </w:rPr>
      </w:pPr>
      <w:r>
        <w:rPr>
          <w:color w:val="000000"/>
          <w:sz w:val="24"/>
          <w:szCs w:val="24"/>
        </w:rPr>
        <w:t>2.</w:t>
      </w:r>
      <w:r>
        <w:rPr>
          <w:color w:val="000000"/>
          <w:sz w:val="24"/>
          <w:szCs w:val="24"/>
        </w:rPr>
        <w:t>《易方达科讯混合型证券投资基金基金合同》；</w:t>
      </w:r>
    </w:p>
    <w:p w:rsidR="00875A6A" w:rsidRDefault="00467FAE">
      <w:pPr>
        <w:spacing w:line="360" w:lineRule="auto"/>
        <w:ind w:firstLineChars="200" w:firstLine="480"/>
        <w:rPr>
          <w:color w:val="000000"/>
          <w:sz w:val="24"/>
          <w:szCs w:val="24"/>
        </w:rPr>
      </w:pPr>
      <w:r>
        <w:rPr>
          <w:color w:val="000000"/>
          <w:sz w:val="24"/>
          <w:szCs w:val="24"/>
        </w:rPr>
        <w:t>3.</w:t>
      </w:r>
      <w:r>
        <w:rPr>
          <w:color w:val="000000"/>
          <w:sz w:val="24"/>
          <w:szCs w:val="24"/>
        </w:rPr>
        <w:t>《易方达科讯混合型证券投资基金托管协议》；</w:t>
      </w:r>
    </w:p>
    <w:p w:rsidR="00875A6A" w:rsidRDefault="00467FAE">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467FAE">
      <w:rPr>
        <w:rStyle w:val="a7"/>
        <w:noProof/>
      </w:rPr>
      <w:t>1</w:t>
    </w:r>
    <w:r>
      <w:rPr>
        <w:rStyle w:val="a7"/>
      </w:rPr>
      <w:fldChar w:fldCharType="end"/>
    </w:r>
    <w:r>
      <w:rPr>
        <w:rStyle w:val="a7"/>
        <w:rFonts w:hint="eastAsia"/>
      </w:rPr>
      <w:t>页共</w:t>
    </w:r>
    <w:r w:rsidR="00467FAE">
      <w:fldChar w:fldCharType="begin"/>
    </w:r>
    <w:r w:rsidR="00467FAE">
      <w:instrText xml:space="preserve"> NUMPAGES  \* Arabic  \* MERGEFORMAT </w:instrText>
    </w:r>
    <w:r w:rsidR="00467FAE">
      <w:fldChar w:fldCharType="separate"/>
    </w:r>
    <w:r w:rsidR="00467FAE" w:rsidRPr="00467FAE">
      <w:rPr>
        <w:rStyle w:val="a7"/>
        <w:noProof/>
      </w:rPr>
      <w:t>1</w:t>
    </w:r>
    <w:r w:rsidR="00467FAE">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467FAE">
      <w:rPr>
        <w:rStyle w:val="a7"/>
        <w:noProof/>
      </w:rPr>
      <w:t>2</w:t>
    </w:r>
    <w:r>
      <w:rPr>
        <w:rStyle w:val="a7"/>
      </w:rPr>
      <w:fldChar w:fldCharType="end"/>
    </w:r>
    <w:r>
      <w:rPr>
        <w:rStyle w:val="a7"/>
        <w:rFonts w:hint="eastAsia"/>
      </w:rPr>
      <w:t>页共</w:t>
    </w:r>
    <w:fldSimple w:instr=" NUMPAGES  \* Arabic  \* MERGEFORMAT ">
      <w:r w:rsidR="00467FAE" w:rsidRPr="00467FAE">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易方达科讯混合型证券投资基金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67FAE"/>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5A6A"/>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1C9E-CA03-433D-BC3C-232608EB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6031</Characters>
  <Application>Microsoft Office Word</Application>
  <DocSecurity>4</DocSecurity>
  <Lines>50</Lines>
  <Paragraphs>14</Paragraphs>
  <ScaleCrop>false</ScaleCrop>
  <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2020-01-13T02:42:00Z</dcterms:created>
  <dcterms:modified xsi:type="dcterms:W3CDTF">2020-01-13T02:42:00Z</dcterms:modified>
</cp:coreProperties>
</file>