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FC7F43" w:rsidRPr="00D3639B" w:rsidRDefault="00FC7F4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D3639B" w:rsidRDefault="002D2A00"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易方达创业板交易型开放式指数证券投资基金联接基金</w:t>
      </w:r>
    </w:p>
    <w:p w:rsidR="002D2A00" w:rsidRPr="00D3639B" w:rsidRDefault="002D2A00"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2019</w:t>
      </w:r>
      <w:r w:rsidRPr="00D3639B">
        <w:rPr>
          <w:rFonts w:eastAsiaTheme="minorEastAsia"/>
          <w:b/>
          <w:color w:val="000000" w:themeColor="text1"/>
          <w:sz w:val="36"/>
          <w:szCs w:val="36"/>
        </w:rPr>
        <w:t>年第</w:t>
      </w:r>
      <w:r w:rsidRPr="00D3639B">
        <w:rPr>
          <w:rFonts w:eastAsiaTheme="minorEastAsia"/>
          <w:b/>
          <w:color w:val="000000" w:themeColor="text1"/>
          <w:sz w:val="36"/>
          <w:szCs w:val="36"/>
        </w:rPr>
        <w:t>4</w:t>
      </w:r>
      <w:r w:rsidRPr="00D3639B">
        <w:rPr>
          <w:rFonts w:eastAsiaTheme="minorEastAsia"/>
          <w:b/>
          <w:color w:val="000000" w:themeColor="text1"/>
          <w:sz w:val="36"/>
          <w:szCs w:val="36"/>
        </w:rPr>
        <w:t>季度报告</w:t>
      </w:r>
    </w:p>
    <w:p w:rsidR="009A2283" w:rsidRPr="00D3639B" w:rsidRDefault="00121533" w:rsidP="00FC13C8">
      <w:pPr>
        <w:spacing w:line="360" w:lineRule="auto"/>
        <w:jc w:val="center"/>
        <w:rPr>
          <w:rFonts w:eastAsiaTheme="minorEastAsia"/>
          <w:b/>
          <w:color w:val="000000" w:themeColor="text1"/>
          <w:sz w:val="36"/>
          <w:szCs w:val="36"/>
        </w:rPr>
      </w:pPr>
      <w:r w:rsidRPr="00D3639B">
        <w:rPr>
          <w:rFonts w:eastAsiaTheme="minorEastAsia"/>
          <w:b/>
          <w:color w:val="000000" w:themeColor="text1"/>
          <w:sz w:val="36"/>
          <w:szCs w:val="36"/>
        </w:rPr>
        <w:t>2019</w:t>
      </w:r>
      <w:r w:rsidRPr="00D3639B">
        <w:rPr>
          <w:rFonts w:eastAsiaTheme="minorEastAsia"/>
          <w:b/>
          <w:color w:val="000000" w:themeColor="text1"/>
          <w:sz w:val="36"/>
          <w:szCs w:val="36"/>
        </w:rPr>
        <w:t>年</w:t>
      </w:r>
      <w:r w:rsidRPr="00D3639B">
        <w:rPr>
          <w:rFonts w:eastAsiaTheme="minorEastAsia"/>
          <w:b/>
          <w:color w:val="000000" w:themeColor="text1"/>
          <w:sz w:val="36"/>
          <w:szCs w:val="36"/>
        </w:rPr>
        <w:t>12</w:t>
      </w:r>
      <w:r w:rsidRPr="00D3639B">
        <w:rPr>
          <w:rFonts w:eastAsiaTheme="minorEastAsia"/>
          <w:b/>
          <w:color w:val="000000" w:themeColor="text1"/>
          <w:sz w:val="36"/>
          <w:szCs w:val="36"/>
        </w:rPr>
        <w:t>月</w:t>
      </w:r>
      <w:r w:rsidRPr="00D3639B">
        <w:rPr>
          <w:rFonts w:eastAsiaTheme="minorEastAsia"/>
          <w:b/>
          <w:color w:val="000000" w:themeColor="text1"/>
          <w:sz w:val="36"/>
          <w:szCs w:val="36"/>
        </w:rPr>
        <w:t>31</w:t>
      </w:r>
      <w:r w:rsidRPr="00D3639B">
        <w:rPr>
          <w:rFonts w:eastAsiaTheme="minorEastAsia"/>
          <w:b/>
          <w:color w:val="000000" w:themeColor="text1"/>
          <w:sz w:val="36"/>
          <w:szCs w:val="36"/>
        </w:rPr>
        <w:t>日</w:t>
      </w: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E27360">
      <w:pPr>
        <w:spacing w:line="360" w:lineRule="auto"/>
        <w:jc w:val="center"/>
        <w:rPr>
          <w:rFonts w:eastAsiaTheme="minorEastAsia"/>
          <w:b/>
          <w:color w:val="000000" w:themeColor="text1"/>
          <w:szCs w:val="21"/>
        </w:rPr>
      </w:pPr>
    </w:p>
    <w:p w:rsidR="00E27360" w:rsidRPr="00D3639B" w:rsidRDefault="00E27360" w:rsidP="00E27360">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jc w:val="center"/>
        <w:rPr>
          <w:rFonts w:eastAsiaTheme="minorEastAsia"/>
          <w:b/>
          <w:color w:val="000000" w:themeColor="text1"/>
          <w:szCs w:val="21"/>
        </w:rPr>
      </w:pPr>
    </w:p>
    <w:p w:rsidR="009A2283" w:rsidRPr="00D3639B" w:rsidRDefault="009A2283" w:rsidP="009A2283">
      <w:pPr>
        <w:spacing w:line="360" w:lineRule="auto"/>
        <w:rPr>
          <w:rFonts w:eastAsiaTheme="minorEastAsia"/>
          <w:b/>
          <w:color w:val="000000" w:themeColor="text1"/>
          <w:szCs w:val="21"/>
        </w:rPr>
      </w:pPr>
    </w:p>
    <w:p w:rsidR="009A2283" w:rsidRPr="00D3639B" w:rsidRDefault="009A2283" w:rsidP="004B54B8">
      <w:pPr>
        <w:spacing w:line="360" w:lineRule="auto"/>
        <w:ind w:firstLineChars="900" w:firstLine="2168"/>
        <w:rPr>
          <w:rFonts w:eastAsiaTheme="minorEastAsia"/>
          <w:b/>
          <w:color w:val="000000" w:themeColor="text1"/>
          <w:sz w:val="24"/>
        </w:rPr>
      </w:pPr>
      <w:r w:rsidRPr="00D3639B">
        <w:rPr>
          <w:rFonts w:eastAsiaTheme="minorEastAsia"/>
          <w:b/>
          <w:color w:val="000000" w:themeColor="text1"/>
          <w:sz w:val="24"/>
        </w:rPr>
        <w:t>基金管理人：</w:t>
      </w:r>
      <w:r w:rsidR="00BF377F" w:rsidRPr="00D3639B">
        <w:rPr>
          <w:rFonts w:eastAsiaTheme="minorEastAsia"/>
          <w:b/>
          <w:color w:val="000000" w:themeColor="text1"/>
          <w:sz w:val="24"/>
        </w:rPr>
        <w:t>易方达基金管理有限公司</w:t>
      </w:r>
    </w:p>
    <w:p w:rsidR="009A2283" w:rsidRPr="00D3639B" w:rsidRDefault="009A2283" w:rsidP="004B54B8">
      <w:pPr>
        <w:spacing w:line="360" w:lineRule="auto"/>
        <w:ind w:firstLineChars="900" w:firstLine="2168"/>
        <w:rPr>
          <w:rFonts w:eastAsiaTheme="minorEastAsia"/>
          <w:b/>
          <w:color w:val="000000" w:themeColor="text1"/>
          <w:sz w:val="24"/>
        </w:rPr>
      </w:pPr>
      <w:r w:rsidRPr="00D3639B">
        <w:rPr>
          <w:rFonts w:eastAsiaTheme="minorEastAsia"/>
          <w:b/>
          <w:color w:val="000000" w:themeColor="text1"/>
          <w:sz w:val="24"/>
        </w:rPr>
        <w:t>基金托管人：</w:t>
      </w:r>
      <w:r w:rsidR="00BF377F" w:rsidRPr="00D3639B">
        <w:rPr>
          <w:rFonts w:eastAsiaTheme="minorEastAsia"/>
          <w:b/>
          <w:color w:val="000000" w:themeColor="text1"/>
          <w:sz w:val="24"/>
        </w:rPr>
        <w:t>中国工商银行股份有限公司</w:t>
      </w:r>
    </w:p>
    <w:p w:rsidR="009A2283" w:rsidRPr="00D3639B" w:rsidRDefault="009A2283" w:rsidP="004B54B8">
      <w:pPr>
        <w:spacing w:line="360" w:lineRule="auto"/>
        <w:ind w:firstLineChars="900" w:firstLine="2168"/>
        <w:rPr>
          <w:rFonts w:eastAsiaTheme="minorEastAsia"/>
          <w:color w:val="000000" w:themeColor="text1"/>
          <w:sz w:val="24"/>
        </w:rPr>
        <w:sectPr w:rsidR="009A2283" w:rsidRPr="00D3639B" w:rsidSect="00F7094A">
          <w:headerReference w:type="default" r:id="rId8"/>
          <w:footerReference w:type="default" r:id="rId9"/>
          <w:pgSz w:w="11926" w:h="15840"/>
          <w:pgMar w:top="1418" w:right="1418" w:bottom="851" w:left="1418" w:header="851" w:footer="992" w:gutter="0"/>
          <w:cols w:space="720"/>
          <w:noEndnote/>
        </w:sectPr>
      </w:pPr>
      <w:r w:rsidRPr="00D3639B">
        <w:rPr>
          <w:rFonts w:eastAsiaTheme="minorEastAsia"/>
          <w:b/>
          <w:color w:val="000000" w:themeColor="text1"/>
          <w:sz w:val="24"/>
        </w:rPr>
        <w:t>报告送出日期：</w:t>
      </w:r>
      <w:r w:rsidR="00D04410" w:rsidRPr="00D3639B">
        <w:rPr>
          <w:rFonts w:eastAsiaTheme="minorEastAsia"/>
          <w:b/>
          <w:color w:val="000000" w:themeColor="text1"/>
          <w:sz w:val="24"/>
        </w:rPr>
        <w:t>二〇二〇年一月十八日</w:t>
      </w:r>
    </w:p>
    <w:p w:rsidR="009238DB" w:rsidRPr="00B34368" w:rsidRDefault="009238DB" w:rsidP="00C544B8">
      <w:pPr>
        <w:pStyle w:val="1"/>
        <w:spacing w:beforeLines="100" w:before="312" w:afterLines="100" w:after="312" w:line="360" w:lineRule="auto"/>
        <w:jc w:val="center"/>
        <w:rPr>
          <w:rFonts w:eastAsiaTheme="minorEastAsia"/>
          <w:b w:val="0"/>
          <w:color w:val="000000" w:themeColor="text1"/>
          <w:kern w:val="0"/>
          <w:sz w:val="24"/>
          <w:szCs w:val="24"/>
        </w:rPr>
      </w:pPr>
      <w:r w:rsidRPr="00B34368">
        <w:rPr>
          <w:rFonts w:eastAsiaTheme="minorEastAsia"/>
          <w:color w:val="000000" w:themeColor="text1"/>
          <w:kern w:val="0"/>
          <w:sz w:val="24"/>
          <w:szCs w:val="24"/>
        </w:rPr>
        <w:lastRenderedPageBreak/>
        <w:t xml:space="preserve">§1  </w:t>
      </w:r>
      <w:r w:rsidRPr="00B34368">
        <w:rPr>
          <w:rFonts w:eastAsiaTheme="minorEastAsia" w:hAnsiTheme="minorEastAsia"/>
          <w:color w:val="000000" w:themeColor="text1"/>
          <w:kern w:val="0"/>
          <w:sz w:val="24"/>
          <w:szCs w:val="24"/>
        </w:rPr>
        <w:t>重要提示</w:t>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基金托管人中国工商银行股份有限公司根据本基金合同规定，于</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16</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基金</w:t>
      </w:r>
      <w:r>
        <w:rPr>
          <w:rFonts w:eastAsiaTheme="minorEastAsia"/>
          <w:color w:val="000000" w:themeColor="text1"/>
          <w:sz w:val="24"/>
        </w:rPr>
        <w:t>的过往业绩并不代表其未来表现。投资有风险，投资者在作出投资决策前应仔细阅读本基金的招募说明书。</w:t>
      </w:r>
      <w:r>
        <w:rPr>
          <w:rFonts w:eastAsiaTheme="minorEastAsia"/>
          <w:color w:val="000000" w:themeColor="text1"/>
          <w:sz w:val="24"/>
        </w:rPr>
        <w:t xml:space="preserve"> </w:t>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9238DB" w:rsidRPr="00B34368" w:rsidRDefault="00267DA9"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本报告期自</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10</w:t>
      </w:r>
      <w:r w:rsidRPr="00B34368">
        <w:rPr>
          <w:rFonts w:eastAsiaTheme="minorEastAsia"/>
          <w:color w:val="000000" w:themeColor="text1"/>
          <w:sz w:val="24"/>
        </w:rPr>
        <w:t>月</w:t>
      </w:r>
      <w:r w:rsidRPr="00B34368">
        <w:rPr>
          <w:rFonts w:eastAsiaTheme="minorEastAsia"/>
          <w:color w:val="000000" w:themeColor="text1"/>
          <w:sz w:val="24"/>
        </w:rPr>
        <w:t>1</w:t>
      </w:r>
      <w:r w:rsidRPr="00B34368">
        <w:rPr>
          <w:rFonts w:eastAsiaTheme="minorEastAsia"/>
          <w:color w:val="000000" w:themeColor="text1"/>
          <w:sz w:val="24"/>
        </w:rPr>
        <w:t>日起至</w:t>
      </w:r>
      <w:r w:rsidRPr="00B34368">
        <w:rPr>
          <w:rFonts w:eastAsiaTheme="minorEastAsia"/>
          <w:color w:val="000000" w:themeColor="text1"/>
          <w:sz w:val="24"/>
        </w:rPr>
        <w:t>12</w:t>
      </w:r>
      <w:r w:rsidRPr="00B34368">
        <w:rPr>
          <w:rFonts w:eastAsiaTheme="minorEastAsia"/>
          <w:color w:val="000000" w:themeColor="text1"/>
          <w:sz w:val="24"/>
        </w:rPr>
        <w:t>月</w:t>
      </w:r>
      <w:r w:rsidRPr="00B34368">
        <w:rPr>
          <w:rFonts w:eastAsiaTheme="minorEastAsia"/>
          <w:color w:val="000000" w:themeColor="text1"/>
          <w:sz w:val="24"/>
        </w:rPr>
        <w:t>31</w:t>
      </w:r>
      <w:r w:rsidRPr="00B34368">
        <w:rPr>
          <w:rFonts w:eastAsiaTheme="minorEastAsia"/>
          <w:color w:val="000000" w:themeColor="text1"/>
          <w:sz w:val="24"/>
        </w:rPr>
        <w:t>日止。</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§2  </w:t>
      </w:r>
      <w:r w:rsidRPr="00B34368">
        <w:rPr>
          <w:rFonts w:eastAsiaTheme="minorEastAsia" w:hAnsiTheme="minorEastAsia"/>
          <w:color w:val="000000" w:themeColor="text1"/>
          <w:kern w:val="0"/>
          <w:sz w:val="24"/>
          <w:szCs w:val="24"/>
        </w:rPr>
        <w:t>基金产品概况</w:t>
      </w:r>
    </w:p>
    <w:p w:rsidR="002C32ED" w:rsidRPr="00B34368" w:rsidRDefault="002C32ED" w:rsidP="002C32ED">
      <w:pPr>
        <w:pStyle w:val="2"/>
        <w:keepNext w:val="0"/>
        <w:keepLines w:val="0"/>
        <w:spacing w:before="0" w:after="0"/>
        <w:rPr>
          <w:rFonts w:ascii="Times New Roman" w:eastAsiaTheme="minorEastAsia" w:hAnsi="Times New Roman" w:cs="Times New Roman"/>
          <w:color w:val="000000" w:themeColor="text1"/>
          <w:szCs w:val="24"/>
        </w:rPr>
      </w:pPr>
      <w:bookmarkStart w:id="1" w:name="_Toc245193810"/>
      <w:r w:rsidRPr="00B34368">
        <w:rPr>
          <w:rFonts w:ascii="Times New Roman" w:eastAsiaTheme="minorEastAsia" w:hAnsi="Times New Roman" w:cs="Times New Roman"/>
          <w:color w:val="000000" w:themeColor="text1"/>
          <w:szCs w:val="24"/>
        </w:rPr>
        <w:t>2.1</w:t>
      </w:r>
      <w:r w:rsidRPr="00B34368">
        <w:rPr>
          <w:rFonts w:ascii="Times New Roman" w:eastAsiaTheme="minorEastAsia" w:hAnsiTheme="minorEastAsia" w:cs="Times New Roman"/>
          <w:color w:val="000000" w:themeColor="text1"/>
          <w:szCs w:val="24"/>
        </w:rPr>
        <w:t>基金产品概况</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基金简称</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易方达创业板</w:t>
            </w:r>
            <w:r w:rsidRPr="00B34368">
              <w:rPr>
                <w:rFonts w:eastAsiaTheme="minorEastAsia"/>
                <w:color w:val="000000" w:themeColor="text1"/>
                <w:kern w:val="0"/>
                <w:sz w:val="24"/>
              </w:rPr>
              <w:t>ETF</w:t>
            </w:r>
            <w:r w:rsidRPr="00B34368">
              <w:rPr>
                <w:rFonts w:eastAsiaTheme="minorEastAsia"/>
                <w:color w:val="000000" w:themeColor="text1"/>
                <w:kern w:val="0"/>
                <w:sz w:val="24"/>
              </w:rPr>
              <w:t>联接</w:t>
            </w:r>
          </w:p>
        </w:tc>
      </w:tr>
      <w:tr w:rsidR="00D3639B" w:rsidRPr="00B34368" w:rsidTr="00AA7EBD">
        <w:tc>
          <w:tcPr>
            <w:tcW w:w="2835" w:type="dxa"/>
          </w:tcPr>
          <w:p w:rsidR="00B95753" w:rsidRPr="00B34368" w:rsidRDefault="00B95753"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基金主代码</w:t>
            </w:r>
          </w:p>
        </w:tc>
        <w:tc>
          <w:tcPr>
            <w:tcW w:w="5479" w:type="dxa"/>
            <w:gridSpan w:val="2"/>
            <w:tcBorders>
              <w:bottom w:val="single" w:sz="4" w:space="0" w:color="auto"/>
            </w:tcBorders>
          </w:tcPr>
          <w:p w:rsidR="00B95753" w:rsidRPr="00B34368" w:rsidRDefault="00B95753" w:rsidP="00E205AA">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110026</w:t>
            </w:r>
          </w:p>
        </w:tc>
      </w:tr>
      <w:tr w:rsidR="00D3639B" w:rsidRPr="00B34368" w:rsidTr="00AA7EBD">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基金运作方式</w:t>
            </w:r>
          </w:p>
        </w:tc>
        <w:tc>
          <w:tcPr>
            <w:tcW w:w="5479" w:type="dxa"/>
            <w:gridSpan w:val="2"/>
            <w:tcBorders>
              <w:top w:val="single" w:sz="4" w:space="0" w:color="auto"/>
            </w:tcBorders>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契约型开放式</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基金合同生效日</w:t>
            </w:r>
          </w:p>
        </w:tc>
        <w:tc>
          <w:tcPr>
            <w:tcW w:w="5479" w:type="dxa"/>
            <w:gridSpan w:val="2"/>
          </w:tcPr>
          <w:p w:rsidR="00A6200E" w:rsidRPr="00B34368" w:rsidRDefault="00121533" w:rsidP="00121533">
            <w:pPr>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2011</w:t>
            </w:r>
            <w:r w:rsidRPr="00B34368">
              <w:rPr>
                <w:rFonts w:eastAsiaTheme="minorEastAsia"/>
                <w:color w:val="000000" w:themeColor="text1"/>
                <w:kern w:val="0"/>
                <w:sz w:val="24"/>
              </w:rPr>
              <w:t>年</w:t>
            </w:r>
            <w:r w:rsidRPr="00B34368">
              <w:rPr>
                <w:rFonts w:eastAsiaTheme="minorEastAsia"/>
                <w:color w:val="000000" w:themeColor="text1"/>
                <w:kern w:val="0"/>
                <w:sz w:val="24"/>
              </w:rPr>
              <w:t>9</w:t>
            </w:r>
            <w:r w:rsidRPr="00B34368">
              <w:rPr>
                <w:rFonts w:eastAsiaTheme="minorEastAsia"/>
                <w:color w:val="000000" w:themeColor="text1"/>
                <w:kern w:val="0"/>
                <w:sz w:val="24"/>
              </w:rPr>
              <w:t>月</w:t>
            </w:r>
            <w:r w:rsidRPr="00B34368">
              <w:rPr>
                <w:rFonts w:eastAsiaTheme="minorEastAsia"/>
                <w:color w:val="000000" w:themeColor="text1"/>
                <w:kern w:val="0"/>
                <w:sz w:val="24"/>
              </w:rPr>
              <w:t>20</w:t>
            </w:r>
            <w:r w:rsidRPr="00B34368">
              <w:rPr>
                <w:rFonts w:eastAsiaTheme="minorEastAsia"/>
                <w:color w:val="000000" w:themeColor="text1"/>
                <w:kern w:val="0"/>
                <w:sz w:val="24"/>
              </w:rPr>
              <w:t>日</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报告期末基金份额总额</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2,795,296,967.50</w:t>
            </w:r>
            <w:r w:rsidR="0060758A" w:rsidRPr="00B34368">
              <w:rPr>
                <w:rFonts w:eastAsiaTheme="minorEastAsia" w:hAnsiTheme="minorEastAsia"/>
                <w:color w:val="000000" w:themeColor="text1"/>
                <w:kern w:val="0"/>
                <w:sz w:val="24"/>
              </w:rPr>
              <w:t>份</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投资目标</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紧密跟踪业绩比较基准，追求跟踪偏离度及跟踪误差的最小化。</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投资策略</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本基金为创业板</w:t>
            </w:r>
            <w:r w:rsidRPr="00B34368">
              <w:rPr>
                <w:rFonts w:eastAsiaTheme="minorEastAsia"/>
                <w:color w:val="000000" w:themeColor="text1"/>
                <w:kern w:val="0"/>
                <w:sz w:val="24"/>
              </w:rPr>
              <w:t>ETF</w:t>
            </w:r>
            <w:r w:rsidRPr="00B34368">
              <w:rPr>
                <w:rFonts w:eastAsiaTheme="minorEastAsia"/>
                <w:color w:val="000000" w:themeColor="text1"/>
                <w:kern w:val="0"/>
                <w:sz w:val="24"/>
              </w:rPr>
              <w:t>的联接基金。创业板</w:t>
            </w:r>
            <w:r w:rsidRPr="00B34368">
              <w:rPr>
                <w:rFonts w:eastAsiaTheme="minorEastAsia"/>
                <w:color w:val="000000" w:themeColor="text1"/>
                <w:kern w:val="0"/>
                <w:sz w:val="24"/>
              </w:rPr>
              <w:t>ETF</w:t>
            </w:r>
            <w:r w:rsidRPr="00B34368">
              <w:rPr>
                <w:rFonts w:eastAsiaTheme="minorEastAsia"/>
                <w:color w:val="000000" w:themeColor="text1"/>
                <w:kern w:val="0"/>
                <w:sz w:val="24"/>
              </w:rPr>
              <w:t>是采用完全复制法实现对创业板指数紧密跟踪的全被动指数基金，本基金主要通过投资于创业板</w:t>
            </w:r>
            <w:r w:rsidRPr="00B34368">
              <w:rPr>
                <w:rFonts w:eastAsiaTheme="minorEastAsia"/>
                <w:color w:val="000000" w:themeColor="text1"/>
                <w:kern w:val="0"/>
                <w:sz w:val="24"/>
              </w:rPr>
              <w:t>ETF</w:t>
            </w:r>
            <w:r w:rsidRPr="00B34368">
              <w:rPr>
                <w:rFonts w:eastAsiaTheme="minorEastAsia"/>
                <w:color w:val="000000" w:themeColor="text1"/>
                <w:kern w:val="0"/>
                <w:sz w:val="24"/>
              </w:rPr>
              <w:t>实现对业绩比较基准的紧密跟踪，力争将日均跟踪偏离度控制在</w:t>
            </w:r>
            <w:r w:rsidRPr="00B34368">
              <w:rPr>
                <w:rFonts w:eastAsiaTheme="minorEastAsia"/>
                <w:color w:val="000000" w:themeColor="text1"/>
                <w:kern w:val="0"/>
                <w:sz w:val="24"/>
              </w:rPr>
              <w:t>0.35%</w:t>
            </w:r>
            <w:r w:rsidRPr="00B34368">
              <w:rPr>
                <w:rFonts w:eastAsiaTheme="minorEastAsia"/>
                <w:color w:val="000000" w:themeColor="text1"/>
                <w:kern w:val="0"/>
                <w:sz w:val="24"/>
              </w:rPr>
              <w:t>以内，年化跟踪误差控制在</w:t>
            </w:r>
            <w:r w:rsidRPr="00B34368">
              <w:rPr>
                <w:rFonts w:eastAsiaTheme="minorEastAsia"/>
                <w:color w:val="000000" w:themeColor="text1"/>
                <w:kern w:val="0"/>
                <w:sz w:val="24"/>
              </w:rPr>
              <w:t>4%</w:t>
            </w:r>
            <w:r w:rsidRPr="00B34368">
              <w:rPr>
                <w:rFonts w:eastAsiaTheme="minorEastAsia"/>
                <w:color w:val="000000" w:themeColor="text1"/>
                <w:kern w:val="0"/>
                <w:sz w:val="24"/>
              </w:rPr>
              <w:lastRenderedPageBreak/>
              <w:t>以内。在投资运作过程中，本基金将在综合考虑合规、风险、效率、成本等因素的基础上，决定采用实物申赎的方式或证券二级市场交易的方式进行创业板</w:t>
            </w:r>
            <w:r w:rsidRPr="00B34368">
              <w:rPr>
                <w:rFonts w:eastAsiaTheme="minorEastAsia"/>
                <w:color w:val="000000" w:themeColor="text1"/>
                <w:kern w:val="0"/>
                <w:sz w:val="24"/>
              </w:rPr>
              <w:t>ETF</w:t>
            </w:r>
            <w:r w:rsidRPr="00B34368">
              <w:rPr>
                <w:rFonts w:eastAsiaTheme="minorEastAsia"/>
                <w:color w:val="000000" w:themeColor="text1"/>
                <w:kern w:val="0"/>
                <w:sz w:val="24"/>
              </w:rPr>
              <w:t>的买卖。本基金可以参与股指期货交易，但必须根据风险管理的原则，以套期保值为目的。</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lastRenderedPageBreak/>
              <w:t>业绩比较基准</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创业板指数收益率</w:t>
            </w:r>
            <w:r w:rsidRPr="00B34368">
              <w:rPr>
                <w:rFonts w:eastAsiaTheme="minorEastAsia"/>
                <w:color w:val="000000" w:themeColor="text1"/>
                <w:kern w:val="0"/>
                <w:sz w:val="24"/>
              </w:rPr>
              <w:t>X95%+</w:t>
            </w:r>
            <w:r w:rsidRPr="00B34368">
              <w:rPr>
                <w:rFonts w:eastAsiaTheme="minorEastAsia"/>
                <w:color w:val="000000" w:themeColor="text1"/>
                <w:kern w:val="0"/>
                <w:sz w:val="24"/>
              </w:rPr>
              <w:t>活期存款利率</w:t>
            </w:r>
            <w:r w:rsidRPr="00B34368">
              <w:rPr>
                <w:rFonts w:eastAsiaTheme="minorEastAsia"/>
                <w:color w:val="000000" w:themeColor="text1"/>
                <w:kern w:val="0"/>
                <w:sz w:val="24"/>
              </w:rPr>
              <w:t>(</w:t>
            </w:r>
            <w:r w:rsidRPr="00B34368">
              <w:rPr>
                <w:rFonts w:eastAsiaTheme="minorEastAsia"/>
                <w:color w:val="000000" w:themeColor="text1"/>
                <w:kern w:val="0"/>
                <w:sz w:val="24"/>
              </w:rPr>
              <w:t>税后</w:t>
            </w:r>
            <w:r w:rsidRPr="00B34368">
              <w:rPr>
                <w:rFonts w:eastAsiaTheme="minorEastAsia"/>
                <w:color w:val="000000" w:themeColor="text1"/>
                <w:kern w:val="0"/>
                <w:sz w:val="24"/>
              </w:rPr>
              <w:t>)X5%</w:t>
            </w:r>
          </w:p>
        </w:tc>
      </w:tr>
      <w:tr w:rsidR="00D3639B" w:rsidRPr="00B34368" w:rsidTr="009A045B">
        <w:tc>
          <w:tcPr>
            <w:tcW w:w="2835" w:type="dxa"/>
          </w:tcPr>
          <w:p w:rsidR="00846C2B" w:rsidRPr="00B34368" w:rsidRDefault="00846C2B"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风险收益特征</w:t>
            </w:r>
          </w:p>
        </w:tc>
        <w:tc>
          <w:tcPr>
            <w:tcW w:w="5479" w:type="dxa"/>
            <w:gridSpan w:val="2"/>
          </w:tcPr>
          <w:p w:rsidR="00846C2B" w:rsidRPr="00B34368" w:rsidRDefault="00846C2B"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本基金为创业板</w:t>
            </w:r>
            <w:r w:rsidRPr="00B34368">
              <w:rPr>
                <w:rFonts w:eastAsiaTheme="minorEastAsia"/>
                <w:color w:val="000000" w:themeColor="text1"/>
                <w:kern w:val="0"/>
                <w:sz w:val="24"/>
              </w:rPr>
              <w:t>ETF</w:t>
            </w:r>
            <w:r w:rsidRPr="00B34368">
              <w:rPr>
                <w:rFonts w:eastAsiaTheme="minorEastAsia"/>
                <w:color w:val="000000" w:themeColor="text1"/>
                <w:kern w:val="0"/>
                <w:sz w:val="24"/>
              </w:rPr>
              <w:t>的联接基金，其预期风险收益水平高于混合型基金、债券基金和货币市场基金；本基金主要通过投资创业板</w:t>
            </w:r>
            <w:r w:rsidRPr="00B34368">
              <w:rPr>
                <w:rFonts w:eastAsiaTheme="minorEastAsia"/>
                <w:color w:val="000000" w:themeColor="text1"/>
                <w:kern w:val="0"/>
                <w:sz w:val="24"/>
              </w:rPr>
              <w:t>ETF</w:t>
            </w:r>
            <w:r w:rsidRPr="00B34368">
              <w:rPr>
                <w:rFonts w:eastAsiaTheme="minorEastAsia"/>
                <w:color w:val="000000" w:themeColor="text1"/>
                <w:kern w:val="0"/>
                <w:sz w:val="24"/>
              </w:rPr>
              <w:t>追踪业绩比较基准，具有与业绩比较基准相似的风险收益特征。</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基金管理人</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易方达基金管理有限公司</w:t>
            </w:r>
          </w:p>
        </w:tc>
      </w:tr>
      <w:tr w:rsidR="00D3639B" w:rsidRPr="00B34368" w:rsidTr="00950413">
        <w:tc>
          <w:tcPr>
            <w:tcW w:w="2835" w:type="dxa"/>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kern w:val="0"/>
                <w:sz w:val="24"/>
              </w:rPr>
              <w:t>基金托管人</w:t>
            </w:r>
          </w:p>
        </w:tc>
        <w:tc>
          <w:tcPr>
            <w:tcW w:w="5479" w:type="dxa"/>
            <w:gridSpan w:val="2"/>
          </w:tcPr>
          <w:p w:rsidR="00A6200E" w:rsidRPr="00B34368" w:rsidRDefault="00A6200E" w:rsidP="00E205AA">
            <w:pPr>
              <w:adjustRightInd w:val="0"/>
              <w:spacing w:before="29" w:line="360" w:lineRule="auto"/>
              <w:ind w:left="17"/>
              <w:jc w:val="left"/>
              <w:rPr>
                <w:rFonts w:eastAsiaTheme="minorEastAsia"/>
                <w:color w:val="000000" w:themeColor="text1"/>
                <w:sz w:val="24"/>
              </w:rPr>
            </w:pPr>
            <w:r w:rsidRPr="00B34368">
              <w:rPr>
                <w:rFonts w:eastAsiaTheme="minorEastAsia"/>
                <w:color w:val="000000" w:themeColor="text1"/>
                <w:kern w:val="0"/>
                <w:sz w:val="24"/>
              </w:rPr>
              <w:t>中国工商银行股份有限公司</w:t>
            </w:r>
          </w:p>
        </w:tc>
      </w:tr>
      <w:tr w:rsidR="00D3639B" w:rsidRPr="00B34368" w:rsidTr="00950413">
        <w:tc>
          <w:tcPr>
            <w:tcW w:w="2835" w:type="dxa"/>
          </w:tcPr>
          <w:p w:rsidR="00950413" w:rsidRPr="00B34368" w:rsidRDefault="00075E4E" w:rsidP="00E205AA">
            <w:pPr>
              <w:adjustRightInd w:val="0"/>
              <w:spacing w:before="29" w:line="360" w:lineRule="auto"/>
              <w:ind w:left="17"/>
              <w:jc w:val="left"/>
              <w:rPr>
                <w:rFonts w:eastAsiaTheme="minorEastAsia"/>
                <w:color w:val="000000" w:themeColor="text1"/>
                <w:kern w:val="0"/>
                <w:sz w:val="24"/>
              </w:rPr>
            </w:pPr>
            <w:r>
              <w:rPr>
                <w:rFonts w:eastAsiaTheme="minorEastAsia" w:hAnsiTheme="minorEastAsia"/>
                <w:color w:val="000000" w:themeColor="text1"/>
                <w:sz w:val="24"/>
              </w:rPr>
              <w:t>下属</w:t>
            </w:r>
            <w:r>
              <w:rPr>
                <w:rFonts w:eastAsiaTheme="minorEastAsia" w:hAnsiTheme="minorEastAsia" w:hint="eastAsia"/>
                <w:color w:val="000000" w:themeColor="text1"/>
                <w:sz w:val="24"/>
              </w:rPr>
              <w:t>分</w:t>
            </w:r>
            <w:r w:rsidR="00950413" w:rsidRPr="00B34368">
              <w:rPr>
                <w:rFonts w:eastAsiaTheme="minorEastAsia" w:hAnsiTheme="minorEastAsia"/>
                <w:color w:val="000000" w:themeColor="text1"/>
                <w:sz w:val="24"/>
              </w:rPr>
              <w:t>级基金的基金简称</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易方达创业板</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p>
        </w:tc>
        <w:tc>
          <w:tcPr>
            <w:tcW w:w="2740"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易方达创业板</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p>
        </w:tc>
      </w:tr>
      <w:tr w:rsidR="00D3639B" w:rsidRPr="00B34368" w:rsidTr="00950413">
        <w:tc>
          <w:tcPr>
            <w:tcW w:w="2835" w:type="dxa"/>
          </w:tcPr>
          <w:p w:rsidR="00950413" w:rsidRPr="00B34368" w:rsidRDefault="00950413"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下属</w:t>
            </w:r>
            <w:r w:rsidR="00075E4E">
              <w:rPr>
                <w:rFonts w:eastAsiaTheme="minorEastAsia" w:hAnsiTheme="minorEastAsia" w:hint="eastAsia"/>
                <w:color w:val="000000" w:themeColor="text1"/>
                <w:sz w:val="24"/>
              </w:rPr>
              <w:t>分</w:t>
            </w:r>
            <w:r w:rsidRPr="00B34368">
              <w:rPr>
                <w:rFonts w:eastAsiaTheme="minorEastAsia" w:hAnsiTheme="minorEastAsia"/>
                <w:color w:val="000000" w:themeColor="text1"/>
                <w:sz w:val="24"/>
              </w:rPr>
              <w:t>级基金的交易代码</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110026</w:t>
            </w:r>
          </w:p>
        </w:tc>
        <w:tc>
          <w:tcPr>
            <w:tcW w:w="2740" w:type="dxa"/>
            <w:vAlign w:val="center"/>
          </w:tcPr>
          <w:p w:rsidR="00950413" w:rsidRPr="00B34368" w:rsidRDefault="00FE7FBD" w:rsidP="00950413">
            <w:pPr>
              <w:jc w:val="left"/>
              <w:rPr>
                <w:rFonts w:eastAsiaTheme="minorEastAsia"/>
                <w:color w:val="000000" w:themeColor="text1"/>
                <w:sz w:val="24"/>
              </w:rPr>
            </w:pPr>
            <w:r w:rsidRPr="00B34368">
              <w:rPr>
                <w:rFonts w:eastAsiaTheme="minorEastAsia"/>
                <w:color w:val="000000" w:themeColor="text1"/>
                <w:sz w:val="24"/>
              </w:rPr>
              <w:t>004744</w:t>
            </w:r>
          </w:p>
        </w:tc>
      </w:tr>
      <w:tr w:rsidR="00D3639B" w:rsidRPr="00B34368" w:rsidTr="00950413">
        <w:tc>
          <w:tcPr>
            <w:tcW w:w="2835" w:type="dxa"/>
          </w:tcPr>
          <w:p w:rsidR="00950413" w:rsidRPr="00B34368" w:rsidRDefault="00950413" w:rsidP="00E205AA">
            <w:pPr>
              <w:adjustRightInd w:val="0"/>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报告期末下属</w:t>
            </w:r>
            <w:r w:rsidR="00075E4E">
              <w:rPr>
                <w:rFonts w:eastAsiaTheme="minorEastAsia" w:hAnsiTheme="minorEastAsia" w:hint="eastAsia"/>
                <w:color w:val="000000" w:themeColor="text1"/>
                <w:sz w:val="24"/>
              </w:rPr>
              <w:t>分</w:t>
            </w:r>
            <w:r w:rsidRPr="00B34368">
              <w:rPr>
                <w:rFonts w:eastAsiaTheme="minorEastAsia" w:hAnsiTheme="minorEastAsia"/>
                <w:color w:val="000000" w:themeColor="text1"/>
                <w:sz w:val="24"/>
              </w:rPr>
              <w:t>级基金的份额总额</w:t>
            </w:r>
          </w:p>
        </w:tc>
        <w:tc>
          <w:tcPr>
            <w:tcW w:w="2739" w:type="dxa"/>
            <w:vAlign w:val="center"/>
          </w:tcPr>
          <w:p w:rsidR="00950413" w:rsidRPr="00B34368" w:rsidRDefault="00950413" w:rsidP="00950413">
            <w:pPr>
              <w:jc w:val="left"/>
              <w:rPr>
                <w:rFonts w:eastAsiaTheme="minorEastAsia"/>
                <w:color w:val="000000" w:themeColor="text1"/>
                <w:sz w:val="24"/>
              </w:rPr>
            </w:pPr>
            <w:r w:rsidRPr="00B34368">
              <w:rPr>
                <w:rFonts w:eastAsiaTheme="minorEastAsia"/>
                <w:color w:val="000000" w:themeColor="text1"/>
                <w:sz w:val="24"/>
              </w:rPr>
              <w:t>2,281,950,838.89</w:t>
            </w:r>
            <w:r w:rsidR="00D305C9" w:rsidRPr="00B34368">
              <w:rPr>
                <w:rFonts w:eastAsiaTheme="minorEastAsia" w:hAnsiTheme="minorEastAsia"/>
                <w:color w:val="000000" w:themeColor="text1"/>
                <w:kern w:val="0"/>
                <w:sz w:val="24"/>
              </w:rPr>
              <w:t>份</w:t>
            </w:r>
          </w:p>
        </w:tc>
        <w:tc>
          <w:tcPr>
            <w:tcW w:w="2740" w:type="dxa"/>
            <w:vAlign w:val="center"/>
          </w:tcPr>
          <w:p w:rsidR="00950413" w:rsidRPr="00B34368" w:rsidRDefault="00FE7FBD" w:rsidP="00950413">
            <w:pPr>
              <w:jc w:val="left"/>
              <w:rPr>
                <w:rFonts w:eastAsiaTheme="minorEastAsia"/>
                <w:color w:val="000000" w:themeColor="text1"/>
                <w:sz w:val="24"/>
              </w:rPr>
            </w:pPr>
            <w:r w:rsidRPr="00B34368">
              <w:rPr>
                <w:rFonts w:eastAsiaTheme="minorEastAsia"/>
                <w:color w:val="000000" w:themeColor="text1"/>
                <w:sz w:val="24"/>
              </w:rPr>
              <w:t>513,346,128.61</w:t>
            </w:r>
            <w:r w:rsidR="00D305C9" w:rsidRPr="00B34368">
              <w:rPr>
                <w:rFonts w:eastAsiaTheme="minorEastAsia" w:hAnsiTheme="minorEastAsia"/>
                <w:color w:val="000000" w:themeColor="text1"/>
                <w:kern w:val="0"/>
                <w:sz w:val="24"/>
              </w:rPr>
              <w:t>份</w:t>
            </w:r>
          </w:p>
        </w:tc>
      </w:tr>
    </w:tbl>
    <w:p w:rsidR="002C32ED" w:rsidRPr="00B34368" w:rsidRDefault="00A6200E"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注：自</w:t>
      </w:r>
      <w:r w:rsidRPr="00B34368">
        <w:rPr>
          <w:rFonts w:eastAsiaTheme="minorEastAsia"/>
          <w:color w:val="000000" w:themeColor="text1"/>
          <w:sz w:val="24"/>
        </w:rPr>
        <w:t>2017</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2</w:t>
      </w:r>
      <w:r w:rsidRPr="00B34368">
        <w:rPr>
          <w:rFonts w:eastAsiaTheme="minorEastAsia"/>
          <w:color w:val="000000" w:themeColor="text1"/>
          <w:sz w:val="24"/>
        </w:rPr>
        <w:t>日起，本基金增设</w:t>
      </w:r>
      <w:r w:rsidRPr="00B34368">
        <w:rPr>
          <w:rFonts w:eastAsiaTheme="minorEastAsia"/>
          <w:color w:val="000000" w:themeColor="text1"/>
          <w:sz w:val="24"/>
        </w:rPr>
        <w:t>C</w:t>
      </w:r>
      <w:r w:rsidRPr="00B34368">
        <w:rPr>
          <w:rFonts w:eastAsiaTheme="minorEastAsia"/>
          <w:color w:val="000000" w:themeColor="text1"/>
          <w:sz w:val="24"/>
        </w:rPr>
        <w:t>类份额类别，份额首次确认日为</w:t>
      </w:r>
      <w:r w:rsidRPr="00B34368">
        <w:rPr>
          <w:rFonts w:eastAsiaTheme="minorEastAsia"/>
          <w:color w:val="000000" w:themeColor="text1"/>
          <w:sz w:val="24"/>
        </w:rPr>
        <w:t>2017</w:t>
      </w:r>
      <w:r w:rsidRPr="00B34368">
        <w:rPr>
          <w:rFonts w:eastAsiaTheme="minorEastAsia"/>
          <w:color w:val="000000" w:themeColor="text1"/>
          <w:sz w:val="24"/>
        </w:rPr>
        <w:t>年</w:t>
      </w:r>
      <w:r w:rsidRPr="00B34368">
        <w:rPr>
          <w:rFonts w:eastAsiaTheme="minorEastAsia"/>
          <w:color w:val="000000" w:themeColor="text1"/>
          <w:sz w:val="24"/>
        </w:rPr>
        <w:t>6</w:t>
      </w:r>
      <w:r w:rsidRPr="00B34368">
        <w:rPr>
          <w:rFonts w:eastAsiaTheme="minorEastAsia"/>
          <w:color w:val="000000" w:themeColor="text1"/>
          <w:sz w:val="24"/>
        </w:rPr>
        <w:t>月</w:t>
      </w:r>
      <w:r w:rsidRPr="00B34368">
        <w:rPr>
          <w:rFonts w:eastAsiaTheme="minorEastAsia"/>
          <w:color w:val="000000" w:themeColor="text1"/>
          <w:sz w:val="24"/>
        </w:rPr>
        <w:t>5</w:t>
      </w:r>
      <w:r w:rsidRPr="00B34368">
        <w:rPr>
          <w:rFonts w:eastAsiaTheme="minorEastAsia"/>
          <w:color w:val="000000" w:themeColor="text1"/>
          <w:sz w:val="24"/>
        </w:rPr>
        <w:t>日。</w:t>
      </w:r>
    </w:p>
    <w:p w:rsidR="002C32ED" w:rsidRPr="00B34368" w:rsidRDefault="002C32ED" w:rsidP="00C544B8">
      <w:pPr>
        <w:pStyle w:val="2"/>
        <w:keepNext w:val="0"/>
        <w:keepLines w:val="0"/>
        <w:spacing w:beforeLines="100" w:before="312" w:after="0"/>
        <w:rPr>
          <w:rFonts w:ascii="Times New Roman" w:eastAsiaTheme="minorEastAsia" w:hAnsi="Times New Roman" w:cs="Times New Roman"/>
          <w:color w:val="000000" w:themeColor="text1"/>
          <w:szCs w:val="24"/>
        </w:rPr>
      </w:pPr>
      <w:r w:rsidRPr="00B34368">
        <w:rPr>
          <w:rFonts w:ascii="Times New Roman" w:eastAsiaTheme="minorEastAsia" w:hAnsi="Times New Roman" w:cs="Times New Roman"/>
          <w:color w:val="000000" w:themeColor="text1"/>
          <w:szCs w:val="24"/>
        </w:rPr>
        <w:t>2.1.1</w:t>
      </w:r>
      <w:r w:rsidRPr="00B34368">
        <w:rPr>
          <w:rFonts w:ascii="Times New Roman" w:eastAsiaTheme="minorEastAsia" w:hAnsiTheme="minorEastAsia" w:cs="Times New Roman"/>
          <w:color w:val="000000" w:themeColor="text1"/>
          <w:szCs w:val="24"/>
        </w:rPr>
        <w:t>目标基金基本情况</w:t>
      </w:r>
    </w:p>
    <w:tbl>
      <w:tblPr>
        <w:tblW w:w="8460" w:type="dxa"/>
        <w:tblInd w:w="108" w:type="dxa"/>
        <w:tblLayout w:type="fixed"/>
        <w:tblLook w:val="0000" w:firstRow="0" w:lastRow="0" w:firstColumn="0" w:lastColumn="0" w:noHBand="0" w:noVBand="0"/>
      </w:tblPr>
      <w:tblGrid>
        <w:gridCol w:w="2724"/>
        <w:gridCol w:w="5736"/>
      </w:tblGrid>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易方达创业板交易型开放式指数证券投资基金</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159915</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交易型开放式（</w:t>
            </w:r>
            <w:r w:rsidRPr="00B34368">
              <w:rPr>
                <w:rFonts w:eastAsiaTheme="minorEastAsia"/>
                <w:color w:val="000000" w:themeColor="text1"/>
                <w:sz w:val="24"/>
              </w:rPr>
              <w:t>ETF</w:t>
            </w:r>
            <w:r w:rsidRPr="00B34368">
              <w:rPr>
                <w:rFonts w:eastAsiaTheme="minorEastAsia"/>
                <w:color w:val="000000" w:themeColor="text1"/>
                <w:sz w:val="24"/>
              </w:rPr>
              <w:t>）</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2011</w:t>
            </w:r>
            <w:r w:rsidRPr="00B34368">
              <w:rPr>
                <w:rFonts w:eastAsiaTheme="minorEastAsia"/>
                <w:color w:val="000000" w:themeColor="text1"/>
                <w:sz w:val="24"/>
              </w:rPr>
              <w:t>年</w:t>
            </w:r>
            <w:r w:rsidRPr="00B34368">
              <w:rPr>
                <w:rFonts w:eastAsiaTheme="minorEastAsia"/>
                <w:color w:val="000000" w:themeColor="text1"/>
                <w:sz w:val="24"/>
              </w:rPr>
              <w:t>9</w:t>
            </w:r>
            <w:r w:rsidRPr="00B34368">
              <w:rPr>
                <w:rFonts w:eastAsiaTheme="minorEastAsia"/>
                <w:color w:val="000000" w:themeColor="text1"/>
                <w:sz w:val="24"/>
              </w:rPr>
              <w:t>月</w:t>
            </w:r>
            <w:r w:rsidRPr="00B34368">
              <w:rPr>
                <w:rFonts w:eastAsiaTheme="minorEastAsia"/>
                <w:color w:val="000000" w:themeColor="text1"/>
                <w:sz w:val="24"/>
              </w:rPr>
              <w:t>20</w:t>
            </w:r>
            <w:r w:rsidRPr="00B34368">
              <w:rPr>
                <w:rFonts w:eastAsiaTheme="minorEastAsia"/>
                <w:color w:val="000000" w:themeColor="text1"/>
                <w:sz w:val="24"/>
              </w:rPr>
              <w:t>日</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深圳证券交易所</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2011</w:t>
            </w:r>
            <w:r w:rsidRPr="00B34368">
              <w:rPr>
                <w:rFonts w:eastAsiaTheme="minorEastAsia"/>
                <w:color w:val="000000" w:themeColor="text1"/>
                <w:sz w:val="24"/>
              </w:rPr>
              <w:t>年</w:t>
            </w:r>
            <w:r w:rsidRPr="00B34368">
              <w:rPr>
                <w:rFonts w:eastAsiaTheme="minorEastAsia"/>
                <w:color w:val="000000" w:themeColor="text1"/>
                <w:sz w:val="24"/>
              </w:rPr>
              <w:t>12</w:t>
            </w:r>
            <w:r w:rsidRPr="00B34368">
              <w:rPr>
                <w:rFonts w:eastAsiaTheme="minorEastAsia"/>
                <w:color w:val="000000" w:themeColor="text1"/>
                <w:sz w:val="24"/>
              </w:rPr>
              <w:t>月</w:t>
            </w:r>
            <w:r w:rsidRPr="00B34368">
              <w:rPr>
                <w:rFonts w:eastAsiaTheme="minorEastAsia"/>
                <w:color w:val="000000" w:themeColor="text1"/>
                <w:sz w:val="24"/>
              </w:rPr>
              <w:t>9</w:t>
            </w:r>
            <w:r w:rsidRPr="00B34368">
              <w:rPr>
                <w:rFonts w:eastAsiaTheme="minorEastAsia"/>
                <w:color w:val="000000" w:themeColor="text1"/>
                <w:sz w:val="24"/>
              </w:rPr>
              <w:t>日</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易方达基金管理有限公司</w:t>
            </w:r>
          </w:p>
        </w:tc>
      </w:tr>
      <w:tr w:rsidR="00D3639B" w:rsidRPr="00B34368" w:rsidTr="005472A0">
        <w:tc>
          <w:tcPr>
            <w:tcW w:w="2724"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中国工商银行股份有限公司</w:t>
            </w:r>
          </w:p>
        </w:tc>
      </w:tr>
    </w:tbl>
    <w:p w:rsidR="002C32ED" w:rsidRPr="00B34368" w:rsidRDefault="002C32ED" w:rsidP="00C544B8">
      <w:pPr>
        <w:pStyle w:val="2"/>
        <w:keepNext w:val="0"/>
        <w:keepLines w:val="0"/>
        <w:spacing w:beforeLines="100" w:before="312" w:after="0"/>
        <w:rPr>
          <w:rFonts w:ascii="Times New Roman" w:eastAsiaTheme="minorEastAsia" w:hAnsi="Times New Roman" w:cs="Times New Roman"/>
          <w:color w:val="000000" w:themeColor="text1"/>
          <w:szCs w:val="24"/>
        </w:rPr>
      </w:pPr>
      <w:r w:rsidRPr="00B34368">
        <w:rPr>
          <w:rFonts w:ascii="Times New Roman" w:eastAsiaTheme="minorEastAsia" w:hAnsi="Times New Roman" w:cs="Times New Roman"/>
          <w:color w:val="000000" w:themeColor="text1"/>
          <w:szCs w:val="24"/>
        </w:rPr>
        <w:t>2.1.2</w:t>
      </w:r>
      <w:r w:rsidRPr="00B34368">
        <w:rPr>
          <w:rFonts w:ascii="Times New Roman" w:eastAsiaTheme="minorEastAsia" w:hAnsiTheme="minorEastAsia" w:cs="Times New Roman"/>
          <w:color w:val="000000" w:themeColor="text1"/>
          <w:szCs w:val="24"/>
        </w:rPr>
        <w:t>目标基金产品说明</w:t>
      </w:r>
    </w:p>
    <w:tbl>
      <w:tblPr>
        <w:tblW w:w="8460" w:type="dxa"/>
        <w:tblInd w:w="108" w:type="dxa"/>
        <w:tblLook w:val="0000" w:firstRow="0" w:lastRow="0" w:firstColumn="0" w:lastColumn="0" w:noHBand="0" w:noVBand="0"/>
      </w:tblPr>
      <w:tblGrid>
        <w:gridCol w:w="2820"/>
        <w:gridCol w:w="5640"/>
      </w:tblGrid>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紧密跟踪标的指数，追求跟踪偏离度及跟踪误差的最小化。</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本基金采取完全复制法进行投资，即按照创业板指数的成份股组成及权重构建股票投资组合。但是当指数编制方法变更、成份股发生变更、成份股权重由于自由流通量调整而发生变化、成份股派发现金股息、配股及增发、股票长期停牌、市场流动性不足等情况发生时，基金管理人将对投资组合进行优化，尽量降低跟踪误差。本基金力争将日均跟踪偏离度控制在</w:t>
            </w:r>
            <w:r w:rsidRPr="00B34368">
              <w:rPr>
                <w:rFonts w:eastAsiaTheme="minorEastAsia"/>
                <w:color w:val="000000" w:themeColor="text1"/>
                <w:sz w:val="24"/>
              </w:rPr>
              <w:t>0.2%</w:t>
            </w:r>
            <w:r w:rsidRPr="00B34368">
              <w:rPr>
                <w:rFonts w:eastAsiaTheme="minorEastAsia"/>
                <w:color w:val="000000" w:themeColor="text1"/>
                <w:sz w:val="24"/>
              </w:rPr>
              <w:t>以内，年化跟踪误差控制在</w:t>
            </w:r>
            <w:r w:rsidRPr="00B34368">
              <w:rPr>
                <w:rFonts w:eastAsiaTheme="minorEastAsia"/>
                <w:color w:val="000000" w:themeColor="text1"/>
                <w:sz w:val="24"/>
              </w:rPr>
              <w:t>2%</w:t>
            </w:r>
            <w:r w:rsidRPr="00B34368">
              <w:rPr>
                <w:rFonts w:eastAsiaTheme="minorEastAsia"/>
                <w:color w:val="000000" w:themeColor="text1"/>
                <w:sz w:val="24"/>
              </w:rPr>
              <w:t>以内。</w:t>
            </w:r>
            <w:r w:rsidRPr="00B34368">
              <w:rPr>
                <w:rFonts w:eastAsiaTheme="minorEastAsia"/>
                <w:color w:val="000000" w:themeColor="text1"/>
                <w:sz w:val="24"/>
              </w:rPr>
              <w:t xml:space="preserve"> </w:t>
            </w:r>
            <w:r w:rsidRPr="00B34368">
              <w:rPr>
                <w:rFonts w:eastAsiaTheme="minorEastAsia"/>
                <w:color w:val="000000" w:themeColor="text1"/>
                <w:sz w:val="24"/>
              </w:rPr>
              <w:t>本基金可以参与股指期货交易，但必须根据风险管理的原则，以套期保值为目的。</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创业板指数</w:t>
            </w:r>
          </w:p>
        </w:tc>
      </w:tr>
      <w:tr w:rsidR="00D3639B" w:rsidRPr="00B34368" w:rsidTr="005472A0">
        <w:tc>
          <w:tcPr>
            <w:tcW w:w="282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2C32ED" w:rsidRPr="00B34368" w:rsidRDefault="002C32ED" w:rsidP="005472A0">
            <w:pPr>
              <w:jc w:val="left"/>
              <w:rPr>
                <w:rFonts w:eastAsiaTheme="minorEastAsia"/>
                <w:color w:val="000000" w:themeColor="text1"/>
                <w:sz w:val="24"/>
              </w:rPr>
            </w:pPr>
            <w:r w:rsidRPr="00B34368">
              <w:rPr>
                <w:rFonts w:eastAsiaTheme="minorEastAsia"/>
                <w:color w:val="000000" w:themeColor="text1"/>
                <w:sz w:val="24"/>
              </w:rPr>
              <w:t>本基金属股票型基金，预期风险与收益水平高于混合基金、债券基金与货币市场基金。本基金为指数型基金，采用完全复制法跟踪标的指数的表现，具有与标的指数相似的风险收益特征。</w:t>
            </w:r>
          </w:p>
        </w:tc>
      </w:tr>
    </w:tbl>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§3  </w:t>
      </w:r>
      <w:r w:rsidRPr="00B34368">
        <w:rPr>
          <w:rFonts w:eastAsiaTheme="minorEastAsia" w:hAnsiTheme="minorEastAsia"/>
          <w:color w:val="000000" w:themeColor="text1"/>
          <w:kern w:val="0"/>
          <w:sz w:val="24"/>
          <w:szCs w:val="24"/>
        </w:rPr>
        <w:t>主要财务指标和基金净值表现</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3.1 </w:t>
      </w:r>
      <w:r w:rsidRPr="00B34368">
        <w:rPr>
          <w:rFonts w:eastAsiaTheme="minorEastAsia" w:hAnsiTheme="minorEastAsia"/>
          <w:b/>
          <w:color w:val="000000" w:themeColor="text1"/>
          <w:kern w:val="0"/>
          <w:sz w:val="24"/>
        </w:rPr>
        <w:t>主要财务指标</w:t>
      </w:r>
    </w:p>
    <w:p w:rsidR="009238DB" w:rsidRPr="00B34368" w:rsidRDefault="009238DB" w:rsidP="00E27360">
      <w:pPr>
        <w:autoSpaceDE w:val="0"/>
        <w:autoSpaceDN w:val="0"/>
        <w:adjustRightInd w:val="0"/>
        <w:spacing w:before="29" w:line="288" w:lineRule="auto"/>
        <w:ind w:left="15" w:right="480"/>
        <w:jc w:val="right"/>
        <w:rPr>
          <w:rFonts w:eastAsiaTheme="minorEastAsia"/>
          <w:color w:val="000000" w:themeColor="text1"/>
          <w:kern w:val="0"/>
          <w:sz w:val="24"/>
        </w:rPr>
      </w:pPr>
      <w:r w:rsidRPr="00B34368">
        <w:rPr>
          <w:rFonts w:eastAsiaTheme="minorEastAsia" w:hAnsi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D3639B" w:rsidRPr="00B34368" w:rsidTr="008B5312">
        <w:tc>
          <w:tcPr>
            <w:tcW w:w="3402" w:type="dxa"/>
            <w:vMerge w:val="restart"/>
            <w:vAlign w:val="center"/>
          </w:tcPr>
          <w:p w:rsidR="009E549D" w:rsidRPr="00B34368" w:rsidRDefault="009E549D" w:rsidP="00E205AA">
            <w:pPr>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主要财务指标</w:t>
            </w:r>
          </w:p>
        </w:tc>
        <w:tc>
          <w:tcPr>
            <w:tcW w:w="4962" w:type="dxa"/>
            <w:gridSpan w:val="2"/>
            <w:vAlign w:val="center"/>
          </w:tcPr>
          <w:p w:rsidR="002976E5"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报告期</w:t>
            </w:r>
          </w:p>
          <w:p w:rsidR="009E549D"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10</w:t>
            </w:r>
            <w:r w:rsidRPr="00B34368">
              <w:rPr>
                <w:rFonts w:eastAsiaTheme="minorEastAsia"/>
                <w:color w:val="000000" w:themeColor="text1"/>
                <w:sz w:val="24"/>
              </w:rPr>
              <w:t>月</w:t>
            </w:r>
            <w:r w:rsidRPr="00B34368">
              <w:rPr>
                <w:rFonts w:eastAsiaTheme="minorEastAsia"/>
                <w:color w:val="000000" w:themeColor="text1"/>
                <w:sz w:val="24"/>
              </w:rPr>
              <w:t>1</w:t>
            </w:r>
            <w:r w:rsidRPr="00B34368">
              <w:rPr>
                <w:rFonts w:eastAsiaTheme="minorEastAsia"/>
                <w:color w:val="000000" w:themeColor="text1"/>
                <w:sz w:val="24"/>
              </w:rPr>
              <w:t>日</w:t>
            </w:r>
            <w:r w:rsidRPr="00B34368">
              <w:rPr>
                <w:rFonts w:eastAsiaTheme="minorEastAsia"/>
                <w:color w:val="000000" w:themeColor="text1"/>
                <w:sz w:val="24"/>
              </w:rPr>
              <w:t>-2019</w:t>
            </w:r>
            <w:r w:rsidRPr="00B34368">
              <w:rPr>
                <w:rFonts w:eastAsiaTheme="minorEastAsia"/>
                <w:color w:val="000000" w:themeColor="text1"/>
                <w:sz w:val="24"/>
              </w:rPr>
              <w:t>年</w:t>
            </w:r>
            <w:r w:rsidRPr="00B34368">
              <w:rPr>
                <w:rFonts w:eastAsiaTheme="minorEastAsia"/>
                <w:color w:val="000000" w:themeColor="text1"/>
                <w:sz w:val="24"/>
              </w:rPr>
              <w:t>12</w:t>
            </w:r>
            <w:r w:rsidRPr="00B34368">
              <w:rPr>
                <w:rFonts w:eastAsiaTheme="minorEastAsia"/>
                <w:color w:val="000000" w:themeColor="text1"/>
                <w:sz w:val="24"/>
              </w:rPr>
              <w:t>月</w:t>
            </w:r>
            <w:r w:rsidRPr="00B34368">
              <w:rPr>
                <w:rFonts w:eastAsiaTheme="minorEastAsia"/>
                <w:color w:val="000000" w:themeColor="text1"/>
                <w:sz w:val="24"/>
              </w:rPr>
              <w:t>31</w:t>
            </w:r>
            <w:r w:rsidRPr="00B34368">
              <w:rPr>
                <w:rFonts w:eastAsiaTheme="minorEastAsia"/>
                <w:color w:val="000000" w:themeColor="text1"/>
                <w:sz w:val="24"/>
              </w:rPr>
              <w:t>日</w:t>
            </w:r>
            <w:r w:rsidRPr="00B34368">
              <w:rPr>
                <w:rFonts w:eastAsiaTheme="minorEastAsia"/>
                <w:color w:val="000000" w:themeColor="text1"/>
                <w:sz w:val="24"/>
              </w:rPr>
              <w:t>)</w:t>
            </w:r>
          </w:p>
        </w:tc>
      </w:tr>
      <w:tr w:rsidR="00D3639B" w:rsidRPr="00B34368" w:rsidTr="008B5312">
        <w:tc>
          <w:tcPr>
            <w:tcW w:w="3402" w:type="dxa"/>
            <w:vMerge/>
            <w:vAlign w:val="center"/>
          </w:tcPr>
          <w:p w:rsidR="009E549D" w:rsidRPr="00B34368" w:rsidRDefault="009E549D" w:rsidP="00E205AA">
            <w:pPr>
              <w:adjustRightInd w:val="0"/>
              <w:spacing w:before="29" w:line="360" w:lineRule="auto"/>
              <w:ind w:left="17"/>
              <w:jc w:val="center"/>
              <w:rPr>
                <w:rFonts w:eastAsiaTheme="minorEastAsia"/>
                <w:color w:val="000000" w:themeColor="text1"/>
                <w:kern w:val="0"/>
                <w:sz w:val="24"/>
              </w:rPr>
            </w:pPr>
          </w:p>
        </w:tc>
        <w:tc>
          <w:tcPr>
            <w:tcW w:w="2481" w:type="dxa"/>
            <w:vAlign w:val="center"/>
          </w:tcPr>
          <w:p w:rsidR="009E549D" w:rsidRPr="00B34368" w:rsidRDefault="009E549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易方达创业板</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p>
        </w:tc>
        <w:tc>
          <w:tcPr>
            <w:tcW w:w="2481" w:type="dxa"/>
            <w:vAlign w:val="center"/>
          </w:tcPr>
          <w:p w:rsidR="009E549D" w:rsidRPr="00B34368" w:rsidRDefault="00FE7FBD" w:rsidP="00E205AA">
            <w:pPr>
              <w:adjustRightInd w:val="0"/>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易方达创业板</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p>
        </w:tc>
      </w:tr>
      <w:tr w:rsidR="00D3639B" w:rsidRPr="00B34368" w:rsidTr="00973B57">
        <w:tc>
          <w:tcPr>
            <w:tcW w:w="3402" w:type="dxa"/>
          </w:tcPr>
          <w:p w:rsidR="005F293E" w:rsidRPr="00B34368" w:rsidRDefault="005F293E" w:rsidP="00973B57">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1.</w:t>
            </w:r>
            <w:r w:rsidRPr="00B34368">
              <w:rPr>
                <w:rFonts w:eastAsiaTheme="minorEastAsia" w:hAnsiTheme="minorEastAsia"/>
                <w:color w:val="000000" w:themeColor="text1"/>
                <w:kern w:val="0"/>
                <w:sz w:val="24"/>
              </w:rPr>
              <w:t>本期已实现收益</w:t>
            </w:r>
          </w:p>
        </w:tc>
        <w:tc>
          <w:tcPr>
            <w:tcW w:w="2481" w:type="dxa"/>
            <w:vAlign w:val="bottom"/>
          </w:tcPr>
          <w:p w:rsidR="005F293E" w:rsidRPr="00B34368" w:rsidRDefault="005F293E" w:rsidP="00973B57">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90,901,591.42</w:t>
            </w:r>
          </w:p>
        </w:tc>
        <w:tc>
          <w:tcPr>
            <w:tcW w:w="2481" w:type="dxa"/>
            <w:vAlign w:val="bottom"/>
          </w:tcPr>
          <w:p w:rsidR="005F293E" w:rsidRPr="00B34368" w:rsidRDefault="00FE7FBD" w:rsidP="0037768B">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24,697,736.53</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2.</w:t>
            </w:r>
            <w:r w:rsidRPr="00B34368">
              <w:rPr>
                <w:rFonts w:eastAsiaTheme="minorEastAsia" w:hAnsiTheme="minorEastAsia"/>
                <w:color w:val="000000" w:themeColor="text1"/>
                <w:kern w:val="0"/>
                <w:sz w:val="24"/>
              </w:rPr>
              <w:t>本期利润</w:t>
            </w:r>
          </w:p>
        </w:tc>
        <w:tc>
          <w:tcPr>
            <w:tcW w:w="2481" w:type="dxa"/>
            <w:vAlign w:val="bottom"/>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394,459,072.35</w:t>
            </w:r>
          </w:p>
        </w:tc>
        <w:tc>
          <w:tcPr>
            <w:tcW w:w="2481" w:type="dxa"/>
            <w:vAlign w:val="bottom"/>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118,095,257.75</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3.</w:t>
            </w:r>
            <w:r w:rsidRPr="00B34368">
              <w:rPr>
                <w:rFonts w:eastAsiaTheme="minorEastAsia" w:hAnsiTheme="minorEastAsia"/>
                <w:color w:val="000000" w:themeColor="text1"/>
                <w:kern w:val="0"/>
                <w:sz w:val="24"/>
              </w:rPr>
              <w:t>加权平均基金份额本期利润</w:t>
            </w:r>
          </w:p>
        </w:tc>
        <w:tc>
          <w:tcPr>
            <w:tcW w:w="2481" w:type="dxa"/>
            <w:vAlign w:val="bottom"/>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0.1655</w:t>
            </w:r>
          </w:p>
        </w:tc>
        <w:tc>
          <w:tcPr>
            <w:tcW w:w="2481" w:type="dxa"/>
            <w:vAlign w:val="bottom"/>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0.1687</w:t>
            </w:r>
          </w:p>
        </w:tc>
      </w:tr>
      <w:tr w:rsidR="00D3639B" w:rsidRPr="00B34368" w:rsidTr="009A5C1D">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4.</w:t>
            </w:r>
            <w:r w:rsidRPr="00B34368">
              <w:rPr>
                <w:rFonts w:eastAsiaTheme="minorEastAsia" w:hAnsiTheme="minorEastAsia"/>
                <w:color w:val="000000" w:themeColor="text1"/>
                <w:kern w:val="0"/>
                <w:sz w:val="24"/>
              </w:rPr>
              <w:t>期末基金资产净值</w:t>
            </w:r>
          </w:p>
        </w:tc>
        <w:tc>
          <w:tcPr>
            <w:tcW w:w="2481" w:type="dxa"/>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4,231,476,278.06</w:t>
            </w:r>
          </w:p>
        </w:tc>
        <w:tc>
          <w:tcPr>
            <w:tcW w:w="2481" w:type="dxa"/>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946,352,289.02</w:t>
            </w:r>
          </w:p>
        </w:tc>
      </w:tr>
      <w:tr w:rsidR="00D3639B" w:rsidRPr="00B34368" w:rsidTr="009A5C1D">
        <w:trPr>
          <w:trHeight w:val="158"/>
        </w:trPr>
        <w:tc>
          <w:tcPr>
            <w:tcW w:w="3402" w:type="dxa"/>
          </w:tcPr>
          <w:p w:rsidR="005F293E" w:rsidRPr="00B34368" w:rsidRDefault="005F293E" w:rsidP="00E205AA">
            <w:pPr>
              <w:adjustRightInd w:val="0"/>
              <w:spacing w:before="29" w:line="360" w:lineRule="auto"/>
              <w:ind w:left="17"/>
              <w:rPr>
                <w:rFonts w:eastAsiaTheme="minorEastAsia"/>
                <w:color w:val="000000" w:themeColor="text1"/>
                <w:kern w:val="0"/>
                <w:sz w:val="24"/>
              </w:rPr>
            </w:pPr>
            <w:r w:rsidRPr="00B34368">
              <w:rPr>
                <w:rFonts w:eastAsiaTheme="minorEastAsia"/>
                <w:color w:val="000000" w:themeColor="text1"/>
                <w:kern w:val="0"/>
                <w:sz w:val="24"/>
              </w:rPr>
              <w:t>5.</w:t>
            </w:r>
            <w:r w:rsidRPr="00B34368">
              <w:rPr>
                <w:rFonts w:eastAsiaTheme="minorEastAsia" w:hAnsiTheme="minorEastAsia"/>
                <w:color w:val="000000" w:themeColor="text1"/>
                <w:kern w:val="0"/>
                <w:sz w:val="24"/>
              </w:rPr>
              <w:t>期末基金份额净值</w:t>
            </w:r>
          </w:p>
        </w:tc>
        <w:tc>
          <w:tcPr>
            <w:tcW w:w="2481" w:type="dxa"/>
          </w:tcPr>
          <w:p w:rsidR="005F293E" w:rsidRPr="00B34368" w:rsidRDefault="005F293E"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1.8543</w:t>
            </w:r>
          </w:p>
        </w:tc>
        <w:tc>
          <w:tcPr>
            <w:tcW w:w="2481" w:type="dxa"/>
          </w:tcPr>
          <w:p w:rsidR="005F293E" w:rsidRPr="00B34368" w:rsidRDefault="00FE7FBD" w:rsidP="004A67B0">
            <w:pPr>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1.8435</w:t>
            </w:r>
          </w:p>
        </w:tc>
      </w:tr>
    </w:tbl>
    <w:p w:rsidR="00BE6341" w:rsidRDefault="00225C3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所述基金业绩指标不包括持有人认购或交易基金的各项费用，计入费用后实际收益水平要低于所列数字。</w:t>
      </w:r>
    </w:p>
    <w:p w:rsidR="009238DB" w:rsidRPr="00B34368" w:rsidRDefault="005E01A3"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2.</w:t>
      </w:r>
      <w:r w:rsidRPr="00B34368">
        <w:rPr>
          <w:rFonts w:eastAsiaTheme="minorEastAsia"/>
          <w:color w:val="000000" w:themeColor="text1"/>
          <w:sz w:val="24"/>
        </w:rPr>
        <w:t>本期已实现收益指基金本期利息收入、投资收益、其他收入（不含公允价值变动收益）扣除相关费用后的余额，本期利润为本期已实现收益加上本期公允价值变动收益。</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3.2 </w:t>
      </w:r>
      <w:r w:rsidRPr="00B34368">
        <w:rPr>
          <w:rFonts w:eastAsiaTheme="minorEastAsia" w:hAnsiTheme="minorEastAsia"/>
          <w:b/>
          <w:color w:val="000000" w:themeColor="text1"/>
          <w:kern w:val="0"/>
          <w:sz w:val="24"/>
        </w:rPr>
        <w:t>基金净值表现</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3.2.1</w:t>
      </w:r>
      <w:r w:rsidRPr="00B34368">
        <w:rPr>
          <w:rFonts w:eastAsiaTheme="minorEastAsia" w:hAnsiTheme="minorEastAsia"/>
          <w:b/>
          <w:color w:val="000000" w:themeColor="text1"/>
          <w:kern w:val="0"/>
          <w:sz w:val="24"/>
        </w:rPr>
        <w:t>本报告期基金份额净值增长率及其与同期业绩比较基准收益率的比较</w:t>
      </w:r>
    </w:p>
    <w:p w:rsidR="009238DB" w:rsidRPr="00B34368" w:rsidRDefault="00A5643A" w:rsidP="00FC13C8">
      <w:pPr>
        <w:spacing w:line="360" w:lineRule="auto"/>
        <w:rPr>
          <w:rFonts w:eastAsiaTheme="minorEastAsia"/>
          <w:b/>
          <w:color w:val="000000" w:themeColor="text1"/>
          <w:sz w:val="24"/>
        </w:rPr>
      </w:pPr>
      <w:r w:rsidRPr="00B34368">
        <w:rPr>
          <w:rFonts w:eastAsiaTheme="minorEastAsia"/>
          <w:b/>
          <w:color w:val="000000" w:themeColor="text1"/>
          <w:kern w:val="0"/>
          <w:sz w:val="24"/>
        </w:rPr>
        <w:t>易方达创业板</w:t>
      </w:r>
      <w:r w:rsidRPr="00B34368">
        <w:rPr>
          <w:rFonts w:eastAsiaTheme="minorEastAsia"/>
          <w:b/>
          <w:color w:val="000000" w:themeColor="text1"/>
          <w:kern w:val="0"/>
          <w:sz w:val="24"/>
        </w:rPr>
        <w:t>ETF</w:t>
      </w:r>
      <w:r w:rsidRPr="00B34368">
        <w:rPr>
          <w:rFonts w:eastAsiaTheme="minorEastAsia"/>
          <w:b/>
          <w:color w:val="000000" w:themeColor="text1"/>
          <w:kern w:val="0"/>
          <w:sz w:val="24"/>
        </w:rPr>
        <w:t>联接</w:t>
      </w:r>
      <w:r w:rsidRPr="00B34368">
        <w:rPr>
          <w:rFonts w:eastAsiaTheme="minorEastAsia"/>
          <w:b/>
          <w:color w:val="000000" w:themeColor="text1"/>
          <w:kern w:val="0"/>
          <w:sz w:val="24"/>
        </w:rPr>
        <w:t>A</w:t>
      </w:r>
      <w:r w:rsidR="009238DB" w:rsidRPr="00B34368">
        <w:rPr>
          <w:rFonts w:eastAsiaTheme="minorEastAsia" w:hAnsiTheme="minorEastAsia"/>
          <w:b/>
          <w:color w:val="000000" w:themeColor="text1"/>
          <w:sz w:val="24"/>
        </w:rPr>
        <w:t>：</w:t>
      </w:r>
    </w:p>
    <w:tbl>
      <w:tblPr>
        <w:tblStyle w:val="af2"/>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3639B" w:rsidRPr="00B34368" w:rsidTr="00975D18">
        <w:tc>
          <w:tcPr>
            <w:tcW w:w="1290"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阶段</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净值增长率①</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净值增长率标准差②</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业绩比较基准收益率标准差④</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①－③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②－④</w:t>
            </w:r>
          </w:p>
        </w:tc>
      </w:tr>
      <w:tr w:rsidR="00BE6341">
        <w:tc>
          <w:tcPr>
            <w:tcW w:w="0" w:type="auto"/>
            <w:vAlign w:val="center"/>
          </w:tcPr>
          <w:p w:rsidR="00BE6341" w:rsidRDefault="00225C31">
            <w:pPr>
              <w:jc w:val="left"/>
            </w:pPr>
            <w:r>
              <w:rPr>
                <w:rFonts w:eastAsiaTheme="minorEastAsia"/>
                <w:color w:val="000000" w:themeColor="text1"/>
                <w:sz w:val="24"/>
              </w:rPr>
              <w:t>过去三个月</w:t>
            </w:r>
          </w:p>
        </w:tc>
        <w:tc>
          <w:tcPr>
            <w:tcW w:w="0" w:type="auto"/>
            <w:vAlign w:val="center"/>
          </w:tcPr>
          <w:p w:rsidR="00BE6341" w:rsidRDefault="00225C31">
            <w:pPr>
              <w:jc w:val="right"/>
            </w:pPr>
            <w:r>
              <w:rPr>
                <w:rFonts w:eastAsiaTheme="minorEastAsia"/>
                <w:color w:val="000000" w:themeColor="text1"/>
                <w:sz w:val="24"/>
              </w:rPr>
              <w:t>9.79%</w:t>
            </w:r>
          </w:p>
        </w:tc>
        <w:tc>
          <w:tcPr>
            <w:tcW w:w="0" w:type="auto"/>
            <w:vAlign w:val="center"/>
          </w:tcPr>
          <w:p w:rsidR="00BE6341" w:rsidRDefault="00225C31">
            <w:pPr>
              <w:jc w:val="right"/>
            </w:pPr>
            <w:r>
              <w:rPr>
                <w:rFonts w:eastAsiaTheme="minorEastAsia"/>
                <w:color w:val="000000" w:themeColor="text1"/>
                <w:sz w:val="24"/>
              </w:rPr>
              <w:t>1.03%</w:t>
            </w:r>
          </w:p>
        </w:tc>
        <w:tc>
          <w:tcPr>
            <w:tcW w:w="0" w:type="auto"/>
            <w:vAlign w:val="center"/>
          </w:tcPr>
          <w:p w:rsidR="00BE6341" w:rsidRDefault="00225C31">
            <w:pPr>
              <w:jc w:val="right"/>
            </w:pPr>
            <w:r>
              <w:rPr>
                <w:rFonts w:eastAsiaTheme="minorEastAsia"/>
                <w:color w:val="000000" w:themeColor="text1"/>
                <w:sz w:val="24"/>
              </w:rPr>
              <w:t>9.95%</w:t>
            </w:r>
          </w:p>
        </w:tc>
        <w:tc>
          <w:tcPr>
            <w:tcW w:w="0" w:type="auto"/>
            <w:vAlign w:val="center"/>
          </w:tcPr>
          <w:p w:rsidR="00BE6341" w:rsidRDefault="00225C31">
            <w:pPr>
              <w:jc w:val="right"/>
            </w:pPr>
            <w:r>
              <w:rPr>
                <w:rFonts w:eastAsiaTheme="minorEastAsia"/>
                <w:color w:val="000000" w:themeColor="text1"/>
                <w:sz w:val="24"/>
              </w:rPr>
              <w:t>1.03%</w:t>
            </w:r>
          </w:p>
        </w:tc>
        <w:tc>
          <w:tcPr>
            <w:tcW w:w="0" w:type="auto"/>
            <w:vAlign w:val="center"/>
          </w:tcPr>
          <w:p w:rsidR="00BE6341" w:rsidRDefault="00225C31">
            <w:pPr>
              <w:jc w:val="right"/>
            </w:pPr>
            <w:r>
              <w:rPr>
                <w:rFonts w:eastAsiaTheme="minorEastAsia"/>
                <w:color w:val="000000" w:themeColor="text1"/>
                <w:sz w:val="24"/>
              </w:rPr>
              <w:t>-0.16%</w:t>
            </w:r>
          </w:p>
        </w:tc>
        <w:tc>
          <w:tcPr>
            <w:tcW w:w="0" w:type="auto"/>
            <w:vAlign w:val="center"/>
          </w:tcPr>
          <w:p w:rsidR="00BE6341" w:rsidRDefault="00225C31">
            <w:pPr>
              <w:jc w:val="right"/>
            </w:pPr>
            <w:r>
              <w:rPr>
                <w:rFonts w:eastAsiaTheme="minorEastAsia"/>
                <w:color w:val="000000" w:themeColor="text1"/>
                <w:sz w:val="24"/>
              </w:rPr>
              <w:t>0.00%</w:t>
            </w:r>
          </w:p>
        </w:tc>
      </w:tr>
    </w:tbl>
    <w:p w:rsidR="009238DB" w:rsidRPr="00B34368" w:rsidRDefault="00FE7FBD" w:rsidP="00C544B8">
      <w:pPr>
        <w:adjustRightInd w:val="0"/>
        <w:spacing w:beforeLines="100" w:before="312" w:line="360" w:lineRule="auto"/>
        <w:rPr>
          <w:rFonts w:eastAsiaTheme="minorEastAsia"/>
          <w:b/>
          <w:color w:val="000000" w:themeColor="text1"/>
          <w:kern w:val="0"/>
          <w:sz w:val="24"/>
        </w:rPr>
      </w:pPr>
      <w:r w:rsidRPr="00B34368">
        <w:rPr>
          <w:rFonts w:eastAsiaTheme="minorEastAsia"/>
          <w:b/>
          <w:color w:val="000000" w:themeColor="text1"/>
          <w:kern w:val="0"/>
          <w:sz w:val="24"/>
        </w:rPr>
        <w:t>易方达创业板</w:t>
      </w:r>
      <w:r w:rsidRPr="00B34368">
        <w:rPr>
          <w:rFonts w:eastAsiaTheme="minorEastAsia"/>
          <w:b/>
          <w:color w:val="000000" w:themeColor="text1"/>
          <w:kern w:val="0"/>
          <w:sz w:val="24"/>
        </w:rPr>
        <w:t>ETF</w:t>
      </w:r>
      <w:r w:rsidRPr="00B34368">
        <w:rPr>
          <w:rFonts w:eastAsiaTheme="minorEastAsia"/>
          <w:b/>
          <w:color w:val="000000" w:themeColor="text1"/>
          <w:kern w:val="0"/>
          <w:sz w:val="24"/>
        </w:rPr>
        <w:t>联接</w:t>
      </w:r>
      <w:r w:rsidRPr="00B34368">
        <w:rPr>
          <w:rFonts w:eastAsiaTheme="minorEastAsia"/>
          <w:b/>
          <w:color w:val="000000" w:themeColor="text1"/>
          <w:kern w:val="0"/>
          <w:sz w:val="24"/>
        </w:rPr>
        <w:t>C</w:t>
      </w:r>
      <w:r w:rsidR="009238DB" w:rsidRPr="00B34368">
        <w:rPr>
          <w:rFonts w:eastAsiaTheme="minorEastAsia" w:hAnsiTheme="minorEastAsia"/>
          <w:b/>
          <w:color w:val="000000" w:themeColor="text1"/>
          <w:kern w:val="0"/>
          <w:sz w:val="24"/>
        </w:rPr>
        <w:t>：</w:t>
      </w:r>
    </w:p>
    <w:tbl>
      <w:tblPr>
        <w:tblStyle w:val="af2"/>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3639B" w:rsidRPr="00B34368" w:rsidTr="00975D18">
        <w:tc>
          <w:tcPr>
            <w:tcW w:w="1290"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阶段</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highlight w:val="green"/>
              </w:rPr>
            </w:pPr>
            <w:r w:rsidRPr="00B34368">
              <w:rPr>
                <w:rFonts w:eastAsiaTheme="minorEastAsia" w:hAnsiTheme="minorEastAsia"/>
                <w:color w:val="000000" w:themeColor="text1"/>
                <w:sz w:val="24"/>
              </w:rPr>
              <w:t>净值增长率①</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highlight w:val="green"/>
              </w:rPr>
            </w:pPr>
            <w:r w:rsidRPr="00B34368">
              <w:rPr>
                <w:rFonts w:eastAsiaTheme="minorEastAsia" w:hAnsiTheme="minorEastAsia"/>
                <w:color w:val="000000" w:themeColor="text1"/>
                <w:sz w:val="24"/>
              </w:rPr>
              <w:t>净值增长率标准差②</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业绩比较基准收益率标准差④</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①－③</w:t>
            </w:r>
          </w:p>
        </w:tc>
        <w:tc>
          <w:tcPr>
            <w:tcW w:w="1291" w:type="dxa"/>
            <w:vAlign w:val="center"/>
          </w:tcPr>
          <w:p w:rsidR="00685FFC" w:rsidRPr="00B34368" w:rsidRDefault="00685FFC" w:rsidP="009A045B">
            <w:pPr>
              <w:snapToGrid w:val="0"/>
              <w:spacing w:line="288" w:lineRule="auto"/>
              <w:jc w:val="center"/>
              <w:rPr>
                <w:rFonts w:eastAsiaTheme="minorEastAsia"/>
                <w:color w:val="000000" w:themeColor="text1"/>
                <w:sz w:val="24"/>
              </w:rPr>
            </w:pPr>
            <w:r w:rsidRPr="00B34368">
              <w:rPr>
                <w:rFonts w:eastAsiaTheme="minorEastAsia" w:hAnsiTheme="minorEastAsia"/>
                <w:color w:val="000000" w:themeColor="text1"/>
                <w:sz w:val="24"/>
              </w:rPr>
              <w:t>②－④</w:t>
            </w:r>
          </w:p>
        </w:tc>
      </w:tr>
      <w:tr w:rsidR="00BE6341">
        <w:tc>
          <w:tcPr>
            <w:tcW w:w="0" w:type="auto"/>
            <w:vAlign w:val="center"/>
          </w:tcPr>
          <w:p w:rsidR="00BE6341" w:rsidRDefault="00225C31">
            <w:pPr>
              <w:jc w:val="left"/>
            </w:pPr>
            <w:r>
              <w:rPr>
                <w:rFonts w:eastAsiaTheme="minorEastAsia"/>
                <w:color w:val="000000" w:themeColor="text1"/>
                <w:sz w:val="24"/>
              </w:rPr>
              <w:t>过去三个月</w:t>
            </w:r>
          </w:p>
        </w:tc>
        <w:tc>
          <w:tcPr>
            <w:tcW w:w="0" w:type="auto"/>
            <w:vAlign w:val="center"/>
          </w:tcPr>
          <w:p w:rsidR="00BE6341" w:rsidRDefault="00225C31">
            <w:pPr>
              <w:jc w:val="right"/>
            </w:pPr>
            <w:r>
              <w:rPr>
                <w:rFonts w:eastAsiaTheme="minorEastAsia"/>
                <w:color w:val="000000" w:themeColor="text1"/>
                <w:sz w:val="24"/>
              </w:rPr>
              <w:t>9.70%</w:t>
            </w:r>
          </w:p>
        </w:tc>
        <w:tc>
          <w:tcPr>
            <w:tcW w:w="0" w:type="auto"/>
            <w:vAlign w:val="center"/>
          </w:tcPr>
          <w:p w:rsidR="00BE6341" w:rsidRDefault="00225C31">
            <w:pPr>
              <w:jc w:val="right"/>
            </w:pPr>
            <w:r>
              <w:rPr>
                <w:rFonts w:eastAsiaTheme="minorEastAsia"/>
                <w:color w:val="000000" w:themeColor="text1"/>
                <w:sz w:val="24"/>
              </w:rPr>
              <w:t>1.03%</w:t>
            </w:r>
          </w:p>
        </w:tc>
        <w:tc>
          <w:tcPr>
            <w:tcW w:w="0" w:type="auto"/>
            <w:vAlign w:val="center"/>
          </w:tcPr>
          <w:p w:rsidR="00BE6341" w:rsidRDefault="00225C31">
            <w:pPr>
              <w:jc w:val="right"/>
            </w:pPr>
            <w:r>
              <w:rPr>
                <w:rFonts w:eastAsiaTheme="minorEastAsia"/>
                <w:color w:val="000000" w:themeColor="text1"/>
                <w:sz w:val="24"/>
              </w:rPr>
              <w:t>9.95%</w:t>
            </w:r>
          </w:p>
        </w:tc>
        <w:tc>
          <w:tcPr>
            <w:tcW w:w="0" w:type="auto"/>
            <w:vAlign w:val="center"/>
          </w:tcPr>
          <w:p w:rsidR="00BE6341" w:rsidRDefault="00225C31">
            <w:pPr>
              <w:jc w:val="right"/>
            </w:pPr>
            <w:r>
              <w:rPr>
                <w:rFonts w:eastAsiaTheme="minorEastAsia"/>
                <w:color w:val="000000" w:themeColor="text1"/>
                <w:sz w:val="24"/>
              </w:rPr>
              <w:t>1.03%</w:t>
            </w:r>
          </w:p>
        </w:tc>
        <w:tc>
          <w:tcPr>
            <w:tcW w:w="0" w:type="auto"/>
            <w:vAlign w:val="center"/>
          </w:tcPr>
          <w:p w:rsidR="00BE6341" w:rsidRDefault="00225C31">
            <w:pPr>
              <w:jc w:val="right"/>
            </w:pPr>
            <w:r>
              <w:rPr>
                <w:rFonts w:eastAsiaTheme="minorEastAsia"/>
                <w:color w:val="000000" w:themeColor="text1"/>
                <w:sz w:val="24"/>
              </w:rPr>
              <w:t>-0.25%</w:t>
            </w:r>
          </w:p>
        </w:tc>
        <w:tc>
          <w:tcPr>
            <w:tcW w:w="0" w:type="auto"/>
            <w:vAlign w:val="center"/>
          </w:tcPr>
          <w:p w:rsidR="00BE6341" w:rsidRDefault="00225C31">
            <w:pPr>
              <w:jc w:val="right"/>
            </w:pPr>
            <w:r>
              <w:rPr>
                <w:rFonts w:eastAsiaTheme="minorEastAsia"/>
                <w:color w:val="000000" w:themeColor="text1"/>
                <w:sz w:val="24"/>
              </w:rPr>
              <w:t>0.00%</w:t>
            </w:r>
          </w:p>
        </w:tc>
      </w:tr>
    </w:tbl>
    <w:p w:rsidR="009238DB" w:rsidRPr="00B34368" w:rsidRDefault="009238DB" w:rsidP="00C544B8">
      <w:pPr>
        <w:spacing w:beforeLines="100" w:before="312" w:line="360" w:lineRule="auto"/>
        <w:rPr>
          <w:rFonts w:eastAsiaTheme="minorEastAsia"/>
          <w:b/>
          <w:color w:val="000000" w:themeColor="text1"/>
          <w:kern w:val="0"/>
          <w:sz w:val="24"/>
        </w:rPr>
      </w:pPr>
      <w:r w:rsidRPr="00B34368">
        <w:rPr>
          <w:rFonts w:eastAsiaTheme="minorEastAsia"/>
          <w:b/>
          <w:color w:val="000000" w:themeColor="text1"/>
          <w:kern w:val="0"/>
          <w:sz w:val="24"/>
        </w:rPr>
        <w:t>3.2.2</w:t>
      </w:r>
      <w:r w:rsidRPr="00B34368">
        <w:rPr>
          <w:rFonts w:eastAsiaTheme="minorEastAsia" w:hAnsiTheme="minorEastAsia"/>
          <w:b/>
          <w:color w:val="000000" w:themeColor="text1"/>
          <w:kern w:val="0"/>
          <w:sz w:val="24"/>
        </w:rPr>
        <w:t xml:space="preserve">　</w:t>
      </w:r>
      <w:r w:rsidR="00FE0C8B" w:rsidRPr="00B34368">
        <w:rPr>
          <w:rStyle w:val="af6"/>
          <w:rFonts w:eastAsiaTheme="minorEastAsia"/>
          <w:color w:val="000000" w:themeColor="text1"/>
          <w:sz w:val="24"/>
          <w:shd w:val="clear" w:color="auto" w:fill="FFFFFF"/>
        </w:rPr>
        <w:t>自基金合同生效以来</w:t>
      </w:r>
      <w:r w:rsidR="00BF57BE" w:rsidRPr="00B34368">
        <w:rPr>
          <w:rFonts w:eastAsiaTheme="minorEastAsia" w:hAnsiTheme="minorEastAsia"/>
          <w:b/>
          <w:color w:val="000000" w:themeColor="text1"/>
          <w:sz w:val="24"/>
        </w:rPr>
        <w:t>基金累计净值增长率变动及其与同期业绩比较基准收益率变动的比较</w:t>
      </w:r>
    </w:p>
    <w:p w:rsidR="009A045B" w:rsidRPr="00B34368" w:rsidRDefault="009A045B" w:rsidP="00FC13C8">
      <w:pPr>
        <w:spacing w:line="360" w:lineRule="auto"/>
        <w:jc w:val="center"/>
        <w:rPr>
          <w:rFonts w:eastAsiaTheme="minorEastAsia"/>
          <w:color w:val="000000" w:themeColor="text1"/>
          <w:sz w:val="24"/>
        </w:rPr>
      </w:pPr>
      <w:r w:rsidRPr="00B34368">
        <w:rPr>
          <w:rFonts w:eastAsiaTheme="minorEastAsia"/>
          <w:color w:val="000000" w:themeColor="text1"/>
          <w:sz w:val="24"/>
        </w:rPr>
        <w:t>易方达创业板交易型开放式指数证券投资基金联接基金</w:t>
      </w:r>
    </w:p>
    <w:p w:rsidR="00F84D52" w:rsidRDefault="00022396" w:rsidP="00F84D52">
      <w:pPr>
        <w:pStyle w:val="a5"/>
        <w:snapToGrid w:val="0"/>
        <w:spacing w:line="360" w:lineRule="auto"/>
        <w:ind w:firstLine="480"/>
        <w:jc w:val="center"/>
        <w:rPr>
          <w:rFonts w:ascii="Times New Roman" w:eastAsiaTheme="minorEastAsia" w:hAnsi="Times New Roman"/>
          <w:color w:val="000000" w:themeColor="text1"/>
          <w:sz w:val="24"/>
          <w:szCs w:val="24"/>
        </w:rPr>
      </w:pPr>
      <w:r w:rsidRPr="00B34368">
        <w:rPr>
          <w:rFonts w:ascii="Times New Roman" w:eastAsiaTheme="minorEastAsia" w:hAnsiTheme="minorEastAsia"/>
          <w:color w:val="000000" w:themeColor="text1"/>
          <w:sz w:val="24"/>
          <w:szCs w:val="24"/>
        </w:rPr>
        <w:t>累计净值增长率与业绩比较基准收益率的历史走势对比图</w:t>
      </w:r>
    </w:p>
    <w:p w:rsidR="00F84D52" w:rsidRDefault="0042785F" w:rsidP="00F84D52">
      <w:pPr>
        <w:snapToGrid w:val="0"/>
        <w:spacing w:line="360" w:lineRule="auto"/>
        <w:rPr>
          <w:rFonts w:eastAsiaTheme="minorEastAsia" w:hAnsiTheme="minorEastAsia"/>
          <w:color w:val="000000" w:themeColor="text1"/>
          <w:sz w:val="24"/>
        </w:rPr>
      </w:pPr>
      <w:r w:rsidRPr="00B34368">
        <w:rPr>
          <w:rFonts w:eastAsiaTheme="minorEastAsia"/>
          <w:color w:val="000000" w:themeColor="text1"/>
          <w:sz w:val="24"/>
        </w:rPr>
        <w:t>易方达创业板</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r w:rsidR="009238DB" w:rsidRPr="00B34368">
        <w:rPr>
          <w:rFonts w:eastAsiaTheme="minorEastAsia" w:hAnsiTheme="minorEastAsia"/>
          <w:color w:val="000000" w:themeColor="text1"/>
          <w:sz w:val="24"/>
        </w:rPr>
        <w:t>：</w:t>
      </w:r>
    </w:p>
    <w:p w:rsidR="009238DB" w:rsidRPr="00F84D52" w:rsidRDefault="00F84D52" w:rsidP="00937445">
      <w:pPr>
        <w:pStyle w:val="a5"/>
        <w:snapToGrid w:val="0"/>
        <w:spacing w:line="360" w:lineRule="auto"/>
        <w:jc w:val="center"/>
        <w:rPr>
          <w:rFonts w:ascii="Times New Roman" w:hAnsi="Times New Roman"/>
          <w:sz w:val="24"/>
          <w:szCs w:val="24"/>
        </w:rPr>
      </w:pPr>
      <w:r w:rsidRPr="00F84D52">
        <w:rPr>
          <w:rFonts w:ascii="Times New Roman" w:hAnsi="Times New Roman"/>
          <w:sz w:val="24"/>
          <w:szCs w:val="24"/>
        </w:rPr>
        <w:t>（</w:t>
      </w:r>
      <w:r w:rsidRPr="00F84D52">
        <w:rPr>
          <w:rFonts w:ascii="Times New Roman" w:hAnsi="Times New Roman"/>
          <w:sz w:val="24"/>
          <w:szCs w:val="24"/>
        </w:rPr>
        <w:t>2011</w:t>
      </w:r>
      <w:r w:rsidRPr="00F84D52">
        <w:rPr>
          <w:rFonts w:ascii="Times New Roman" w:hAnsi="Times New Roman"/>
          <w:sz w:val="24"/>
          <w:szCs w:val="24"/>
        </w:rPr>
        <w:t>年</w:t>
      </w:r>
      <w:r w:rsidRPr="00F84D52">
        <w:rPr>
          <w:rFonts w:ascii="Times New Roman" w:hAnsi="Times New Roman"/>
          <w:sz w:val="24"/>
          <w:szCs w:val="24"/>
        </w:rPr>
        <w:t>9</w:t>
      </w:r>
      <w:r w:rsidRPr="00F84D52">
        <w:rPr>
          <w:rFonts w:ascii="Times New Roman" w:hAnsi="Times New Roman"/>
          <w:sz w:val="24"/>
          <w:szCs w:val="24"/>
        </w:rPr>
        <w:t>月</w:t>
      </w:r>
      <w:r w:rsidRPr="00F84D52">
        <w:rPr>
          <w:rFonts w:ascii="Times New Roman" w:hAnsi="Times New Roman"/>
          <w:sz w:val="24"/>
          <w:szCs w:val="24"/>
        </w:rPr>
        <w:t>20</w:t>
      </w:r>
      <w:r w:rsidRPr="00F84D52">
        <w:rPr>
          <w:rFonts w:ascii="Times New Roman" w:hAnsi="Times New Roman"/>
          <w:sz w:val="24"/>
          <w:szCs w:val="24"/>
        </w:rPr>
        <w:t>日至</w:t>
      </w:r>
      <w:r w:rsidRPr="00F84D52">
        <w:rPr>
          <w:rFonts w:ascii="Times New Roman" w:hAnsi="Times New Roman"/>
          <w:sz w:val="24"/>
          <w:szCs w:val="24"/>
        </w:rPr>
        <w:t>2019</w:t>
      </w:r>
      <w:r w:rsidRPr="00F84D52">
        <w:rPr>
          <w:rFonts w:ascii="Times New Roman" w:hAnsi="Times New Roman"/>
          <w:sz w:val="24"/>
          <w:szCs w:val="24"/>
        </w:rPr>
        <w:t>年</w:t>
      </w:r>
      <w:r w:rsidRPr="00F84D52">
        <w:rPr>
          <w:rFonts w:ascii="Times New Roman" w:hAnsi="Times New Roman"/>
          <w:sz w:val="24"/>
          <w:szCs w:val="24"/>
        </w:rPr>
        <w:t>12</w:t>
      </w:r>
      <w:r w:rsidRPr="00F84D52">
        <w:rPr>
          <w:rFonts w:ascii="Times New Roman" w:hAnsi="Times New Roman"/>
          <w:sz w:val="24"/>
          <w:szCs w:val="24"/>
        </w:rPr>
        <w:t>月</w:t>
      </w:r>
      <w:r w:rsidRPr="00F84D52">
        <w:rPr>
          <w:rFonts w:ascii="Times New Roman" w:hAnsi="Times New Roman"/>
          <w:sz w:val="24"/>
          <w:szCs w:val="24"/>
        </w:rPr>
        <w:t>31</w:t>
      </w:r>
      <w:r w:rsidRPr="00F84D52">
        <w:rPr>
          <w:rFonts w:ascii="Times New Roman" w:hAnsi="Times New Roman"/>
          <w:sz w:val="24"/>
          <w:szCs w:val="24"/>
        </w:rPr>
        <w:t>日）</w:t>
      </w:r>
    </w:p>
    <w:p w:rsidR="00FC7F43" w:rsidRPr="00B34368" w:rsidRDefault="006F5B4C" w:rsidP="00FC7F43">
      <w:pPr>
        <w:pStyle w:val="20"/>
        <w:spacing w:line="288" w:lineRule="auto"/>
        <w:ind w:firstLineChars="0" w:firstLine="0"/>
        <w:jc w:val="center"/>
        <w:rPr>
          <w:rFonts w:ascii="Times New Roman" w:eastAsiaTheme="minorEastAsia" w:hAnsi="Times New Roman"/>
          <w:color w:val="000000" w:themeColor="text1"/>
        </w:rPr>
      </w:pPr>
      <w:r w:rsidRPr="00B34368">
        <w:rPr>
          <w:rFonts w:ascii="Times New Roman" w:eastAsiaTheme="minorEastAsia" w:hAnsi="Times New Roman"/>
          <w:noProof/>
          <w:color w:val="000000" w:themeColor="text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F84D52" w:rsidRDefault="00FE7FBD" w:rsidP="00F84D52">
      <w:pPr>
        <w:snapToGrid w:val="0"/>
        <w:spacing w:beforeLines="100" w:before="312" w:line="360" w:lineRule="auto"/>
        <w:rPr>
          <w:rFonts w:eastAsiaTheme="minorEastAsia" w:hAnsiTheme="minorEastAsia"/>
          <w:color w:val="000000" w:themeColor="text1"/>
          <w:sz w:val="24"/>
        </w:rPr>
      </w:pPr>
      <w:r w:rsidRPr="00B34368">
        <w:rPr>
          <w:rFonts w:eastAsiaTheme="minorEastAsia"/>
          <w:color w:val="000000" w:themeColor="text1"/>
          <w:sz w:val="24"/>
        </w:rPr>
        <w:t>易方达创业板</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r w:rsidR="0042785F" w:rsidRPr="00B34368">
        <w:rPr>
          <w:rFonts w:eastAsiaTheme="minorEastAsia" w:hAnsiTheme="minorEastAsia"/>
          <w:color w:val="000000" w:themeColor="text1"/>
          <w:sz w:val="24"/>
        </w:rPr>
        <w:t>：</w:t>
      </w:r>
    </w:p>
    <w:p w:rsidR="009238DB" w:rsidRPr="00F84D52" w:rsidRDefault="00F84D52" w:rsidP="00937445">
      <w:pPr>
        <w:pStyle w:val="a5"/>
        <w:snapToGrid w:val="0"/>
        <w:spacing w:line="360" w:lineRule="auto"/>
        <w:jc w:val="center"/>
        <w:rPr>
          <w:rFonts w:ascii="Times New Roman" w:hAnsi="Times New Roman"/>
          <w:sz w:val="24"/>
          <w:szCs w:val="24"/>
        </w:rPr>
      </w:pPr>
      <w:r w:rsidRPr="00F84D52">
        <w:rPr>
          <w:rFonts w:ascii="Times New Roman" w:hAnsi="Times New Roman"/>
          <w:sz w:val="24"/>
          <w:szCs w:val="24"/>
        </w:rPr>
        <w:t>（</w:t>
      </w:r>
      <w:r w:rsidRPr="00F84D52">
        <w:rPr>
          <w:rFonts w:ascii="Times New Roman" w:hAnsi="Times New Roman"/>
          <w:sz w:val="24"/>
          <w:szCs w:val="24"/>
        </w:rPr>
        <w:t>2017</w:t>
      </w:r>
      <w:r w:rsidRPr="00F84D52">
        <w:rPr>
          <w:rFonts w:ascii="Times New Roman" w:hAnsi="Times New Roman"/>
          <w:sz w:val="24"/>
          <w:szCs w:val="24"/>
        </w:rPr>
        <w:t>年</w:t>
      </w:r>
      <w:r w:rsidRPr="00F84D52">
        <w:rPr>
          <w:rFonts w:ascii="Times New Roman" w:hAnsi="Times New Roman"/>
          <w:sz w:val="24"/>
          <w:szCs w:val="24"/>
        </w:rPr>
        <w:t>6</w:t>
      </w:r>
      <w:r w:rsidRPr="00F84D52">
        <w:rPr>
          <w:rFonts w:ascii="Times New Roman" w:hAnsi="Times New Roman"/>
          <w:sz w:val="24"/>
          <w:szCs w:val="24"/>
        </w:rPr>
        <w:t>月</w:t>
      </w:r>
      <w:r w:rsidRPr="00F84D52">
        <w:rPr>
          <w:rFonts w:ascii="Times New Roman" w:hAnsi="Times New Roman"/>
          <w:sz w:val="24"/>
          <w:szCs w:val="24"/>
        </w:rPr>
        <w:t>5</w:t>
      </w:r>
      <w:r w:rsidRPr="00F84D52">
        <w:rPr>
          <w:rFonts w:ascii="Times New Roman" w:hAnsi="Times New Roman"/>
          <w:sz w:val="24"/>
          <w:szCs w:val="24"/>
        </w:rPr>
        <w:t>日至</w:t>
      </w:r>
      <w:r w:rsidRPr="00F84D52">
        <w:rPr>
          <w:rFonts w:ascii="Times New Roman" w:hAnsi="Times New Roman"/>
          <w:sz w:val="24"/>
          <w:szCs w:val="24"/>
        </w:rPr>
        <w:t>2019</w:t>
      </w:r>
      <w:r w:rsidRPr="00F84D52">
        <w:rPr>
          <w:rFonts w:ascii="Times New Roman" w:hAnsi="Times New Roman"/>
          <w:sz w:val="24"/>
          <w:szCs w:val="24"/>
        </w:rPr>
        <w:t>年</w:t>
      </w:r>
      <w:r w:rsidRPr="00F84D52">
        <w:rPr>
          <w:rFonts w:ascii="Times New Roman" w:hAnsi="Times New Roman"/>
          <w:sz w:val="24"/>
          <w:szCs w:val="24"/>
        </w:rPr>
        <w:t>12</w:t>
      </w:r>
      <w:r w:rsidRPr="00F84D52">
        <w:rPr>
          <w:rFonts w:ascii="Times New Roman" w:hAnsi="Times New Roman"/>
          <w:sz w:val="24"/>
          <w:szCs w:val="24"/>
        </w:rPr>
        <w:t>月</w:t>
      </w:r>
      <w:r w:rsidRPr="00F84D52">
        <w:rPr>
          <w:rFonts w:ascii="Times New Roman" w:hAnsi="Times New Roman"/>
          <w:sz w:val="24"/>
          <w:szCs w:val="24"/>
        </w:rPr>
        <w:t>31</w:t>
      </w:r>
      <w:r w:rsidRPr="00F84D52">
        <w:rPr>
          <w:rFonts w:ascii="Times New Roman" w:hAnsi="Times New Roman"/>
          <w:sz w:val="24"/>
          <w:szCs w:val="24"/>
        </w:rPr>
        <w:t>日）</w:t>
      </w:r>
    </w:p>
    <w:p w:rsidR="00FC7F43" w:rsidRPr="00B34368" w:rsidRDefault="00B70229" w:rsidP="00FC7F43">
      <w:pPr>
        <w:pStyle w:val="20"/>
        <w:spacing w:line="288" w:lineRule="auto"/>
        <w:ind w:firstLineChars="0" w:firstLine="0"/>
        <w:jc w:val="center"/>
        <w:rPr>
          <w:rFonts w:ascii="Times New Roman" w:eastAsiaTheme="minorEastAsia" w:hAnsi="Times New Roman"/>
          <w:color w:val="000000" w:themeColor="text1"/>
        </w:rPr>
      </w:pPr>
      <w:r w:rsidRPr="00B34368">
        <w:rPr>
          <w:rFonts w:ascii="Times New Roman" w:eastAsiaTheme="minorEastAsia" w:hAnsi="Times New Roman"/>
          <w:noProof/>
          <w:color w:val="000000" w:themeColor="text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自</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w:t>
      </w:r>
      <w:r>
        <w:rPr>
          <w:rFonts w:eastAsiaTheme="minorEastAsia"/>
          <w:color w:val="000000" w:themeColor="text1"/>
          <w:sz w:val="24"/>
        </w:rPr>
        <w:t>2</w:t>
      </w:r>
      <w:r>
        <w:rPr>
          <w:rFonts w:eastAsiaTheme="minorEastAsia"/>
          <w:color w:val="000000" w:themeColor="text1"/>
          <w:sz w:val="24"/>
        </w:rPr>
        <w:t>日起，本基金增设</w:t>
      </w:r>
      <w:r>
        <w:rPr>
          <w:rFonts w:eastAsiaTheme="minorEastAsia"/>
          <w:color w:val="000000" w:themeColor="text1"/>
          <w:sz w:val="24"/>
        </w:rPr>
        <w:t>C</w:t>
      </w:r>
      <w:r>
        <w:rPr>
          <w:rFonts w:eastAsiaTheme="minorEastAsia"/>
          <w:color w:val="000000" w:themeColor="text1"/>
          <w:sz w:val="24"/>
        </w:rPr>
        <w:t>类份额类别，份额首次确认日为</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w:t>
      </w:r>
      <w:r>
        <w:rPr>
          <w:rFonts w:eastAsiaTheme="minorEastAsia"/>
          <w:color w:val="000000" w:themeColor="text1"/>
          <w:sz w:val="24"/>
        </w:rPr>
        <w:t>5</w:t>
      </w:r>
      <w:r>
        <w:rPr>
          <w:rFonts w:eastAsiaTheme="minorEastAsia"/>
          <w:color w:val="000000" w:themeColor="text1"/>
          <w:sz w:val="24"/>
        </w:rPr>
        <w:t>日，增设当期的相关数据和指标按实际存续期计算。</w:t>
      </w:r>
    </w:p>
    <w:p w:rsidR="00973B57" w:rsidRPr="00B34368" w:rsidRDefault="00757FD7"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2.</w:t>
      </w:r>
      <w:r w:rsidRPr="00B34368">
        <w:rPr>
          <w:rFonts w:eastAsiaTheme="minorEastAsia"/>
          <w:color w:val="000000" w:themeColor="text1"/>
          <w:sz w:val="24"/>
        </w:rPr>
        <w:t>自基金合同生效至报告期末，</w:t>
      </w:r>
      <w:r w:rsidRPr="00B34368">
        <w:rPr>
          <w:rFonts w:eastAsiaTheme="minorEastAsia"/>
          <w:color w:val="000000" w:themeColor="text1"/>
          <w:sz w:val="24"/>
        </w:rPr>
        <w:t>A</w:t>
      </w:r>
      <w:r w:rsidRPr="00B34368">
        <w:rPr>
          <w:rFonts w:eastAsiaTheme="minorEastAsia"/>
          <w:color w:val="000000" w:themeColor="text1"/>
          <w:sz w:val="24"/>
        </w:rPr>
        <w:t>类基金份额净值增长率为</w:t>
      </w:r>
      <w:r w:rsidRPr="00B34368">
        <w:rPr>
          <w:rFonts w:eastAsiaTheme="minorEastAsia"/>
          <w:color w:val="000000" w:themeColor="text1"/>
          <w:sz w:val="24"/>
        </w:rPr>
        <w:t>85.43%</w:t>
      </w:r>
      <w:r w:rsidRPr="00B34368">
        <w:rPr>
          <w:rFonts w:eastAsiaTheme="minorEastAsia"/>
          <w:color w:val="000000" w:themeColor="text1"/>
          <w:sz w:val="24"/>
        </w:rPr>
        <w:t>，同期业绩比较基准收益率为</w:t>
      </w:r>
      <w:r w:rsidRPr="00B34368">
        <w:rPr>
          <w:rFonts w:eastAsiaTheme="minorEastAsia"/>
          <w:color w:val="000000" w:themeColor="text1"/>
          <w:sz w:val="24"/>
        </w:rPr>
        <w:t>106.90%</w:t>
      </w:r>
      <w:r w:rsidRPr="00B34368">
        <w:rPr>
          <w:rFonts w:eastAsiaTheme="minorEastAsia"/>
          <w:color w:val="000000" w:themeColor="text1"/>
          <w:sz w:val="24"/>
        </w:rPr>
        <w:t>。</w:t>
      </w:r>
      <w:r w:rsidRPr="00B34368">
        <w:rPr>
          <w:rFonts w:eastAsiaTheme="minorEastAsia"/>
          <w:color w:val="000000" w:themeColor="text1"/>
          <w:sz w:val="24"/>
        </w:rPr>
        <w:t>C</w:t>
      </w:r>
      <w:r w:rsidRPr="00B34368">
        <w:rPr>
          <w:rFonts w:eastAsiaTheme="minorEastAsia"/>
          <w:color w:val="000000" w:themeColor="text1"/>
          <w:sz w:val="24"/>
        </w:rPr>
        <w:t>类基金份额净值增长率为</w:t>
      </w:r>
      <w:r w:rsidRPr="00B34368">
        <w:rPr>
          <w:rFonts w:eastAsiaTheme="minorEastAsia"/>
          <w:color w:val="000000" w:themeColor="text1"/>
          <w:sz w:val="24"/>
        </w:rPr>
        <w:t>1.88%</w:t>
      </w:r>
      <w:r w:rsidRPr="00B34368">
        <w:rPr>
          <w:rFonts w:eastAsiaTheme="minorEastAsia"/>
          <w:color w:val="000000" w:themeColor="text1"/>
          <w:sz w:val="24"/>
        </w:rPr>
        <w:t>，同期业绩比较基准收益率为</w:t>
      </w:r>
      <w:r w:rsidRPr="00B34368">
        <w:rPr>
          <w:rFonts w:eastAsiaTheme="minorEastAsia"/>
          <w:color w:val="000000" w:themeColor="text1"/>
          <w:sz w:val="24"/>
        </w:rPr>
        <w:t>3.27%</w:t>
      </w:r>
      <w:r w:rsidRPr="00B34368">
        <w:rPr>
          <w:rFonts w:eastAsiaTheme="minorEastAsia"/>
          <w:color w:val="000000" w:themeColor="text1"/>
          <w:sz w:val="24"/>
        </w:rPr>
        <w:t>。</w:t>
      </w:r>
    </w:p>
    <w:p w:rsidR="00E561F9" w:rsidRPr="00B34368" w:rsidRDefault="00E561F9" w:rsidP="00E561F9">
      <w:pPr>
        <w:tabs>
          <w:tab w:val="left" w:pos="1800"/>
        </w:tabs>
        <w:spacing w:line="288" w:lineRule="auto"/>
        <w:rPr>
          <w:rFonts w:eastAsiaTheme="minorEastAsia"/>
          <w:color w:val="000000" w:themeColor="text1"/>
          <w:sz w:val="24"/>
        </w:rPr>
      </w:pP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§4  </w:t>
      </w:r>
      <w:r w:rsidRPr="00B34368">
        <w:rPr>
          <w:rFonts w:eastAsiaTheme="minorEastAsia" w:hAnsiTheme="minorEastAsia"/>
          <w:color w:val="000000" w:themeColor="text1"/>
          <w:kern w:val="0"/>
          <w:sz w:val="24"/>
          <w:szCs w:val="24"/>
        </w:rPr>
        <w:t>管理人报告</w:t>
      </w:r>
    </w:p>
    <w:p w:rsidR="00C544B8" w:rsidRDefault="009238DB" w:rsidP="00C544B8">
      <w:pPr>
        <w:autoSpaceDE w:val="0"/>
        <w:autoSpaceDN w:val="0"/>
        <w:adjustRightInd w:val="0"/>
        <w:spacing w:line="360" w:lineRule="auto"/>
        <w:jc w:val="left"/>
        <w:rPr>
          <w:rFonts w:ascii="宋体" w:cs="Arial"/>
          <w:b/>
          <w:color w:val="000000"/>
          <w:kern w:val="0"/>
          <w:sz w:val="24"/>
        </w:rPr>
      </w:pPr>
      <w:r w:rsidRPr="00B34368">
        <w:rPr>
          <w:rFonts w:eastAsiaTheme="minorEastAsia"/>
          <w:b/>
          <w:color w:val="000000" w:themeColor="text1"/>
          <w:kern w:val="0"/>
          <w:sz w:val="24"/>
        </w:rPr>
        <w:t xml:space="preserve">4.1 </w:t>
      </w:r>
      <w:r w:rsidRPr="00B34368">
        <w:rPr>
          <w:rFonts w:eastAsiaTheme="minorEastAsia" w:hAnsiTheme="minorEastAsia"/>
          <w:b/>
          <w:color w:val="000000" w:themeColor="text1"/>
          <w:kern w:val="0"/>
          <w:sz w:val="24"/>
        </w:rPr>
        <w:t>基金经理（或基金经理小组）简介</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832"/>
        <w:gridCol w:w="851"/>
        <w:gridCol w:w="850"/>
        <w:gridCol w:w="851"/>
        <w:gridCol w:w="2975"/>
      </w:tblGrid>
      <w:tr w:rsidR="00C544B8" w:rsidTr="00C544B8">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职务</w:t>
            </w:r>
          </w:p>
        </w:tc>
        <w:tc>
          <w:tcPr>
            <w:tcW w:w="1701" w:type="dxa"/>
            <w:gridSpan w:val="2"/>
            <w:tcBorders>
              <w:top w:val="single" w:sz="4" w:space="0" w:color="auto"/>
              <w:left w:val="single" w:sz="4" w:space="0" w:color="auto"/>
              <w:bottom w:val="single" w:sz="4" w:space="0" w:color="auto"/>
              <w:right w:val="single" w:sz="4" w:space="0" w:color="auto"/>
            </w:tcBorders>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任本基金的基金经理期限</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证券从业年限</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说明</w:t>
            </w:r>
          </w:p>
        </w:tc>
      </w:tr>
      <w:tr w:rsidR="00C544B8" w:rsidTr="00C544B8">
        <w:trPr>
          <w:cantSplit/>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任职日期</w:t>
            </w:r>
          </w:p>
        </w:tc>
        <w:tc>
          <w:tcPr>
            <w:tcW w:w="850" w:type="dxa"/>
            <w:tcBorders>
              <w:top w:val="single" w:sz="4" w:space="0" w:color="auto"/>
              <w:left w:val="single" w:sz="4" w:space="0" w:color="auto"/>
              <w:bottom w:val="single" w:sz="4" w:space="0" w:color="auto"/>
              <w:right w:val="single" w:sz="4" w:space="0" w:color="auto"/>
            </w:tcBorders>
            <w:vAlign w:val="center"/>
            <w:hideMark/>
          </w:tcPr>
          <w:p w:rsidR="00C544B8" w:rsidRDefault="00C544B8">
            <w:pPr>
              <w:autoSpaceDE w:val="0"/>
              <w:autoSpaceDN w:val="0"/>
              <w:adjustRightInd w:val="0"/>
              <w:spacing w:before="29" w:line="288" w:lineRule="auto"/>
              <w:ind w:left="15"/>
              <w:jc w:val="center"/>
              <w:rPr>
                <w:color w:val="000000"/>
                <w:kern w:val="0"/>
                <w:sz w:val="24"/>
              </w:rPr>
            </w:pPr>
            <w:r>
              <w:rPr>
                <w:rFonts w:hint="eastAsia"/>
                <w:color w:val="000000"/>
                <w:kern w:val="0"/>
                <w:sz w:val="24"/>
              </w:rPr>
              <w:t>离任日期</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544B8" w:rsidRDefault="00C544B8">
            <w:pPr>
              <w:widowControl/>
              <w:jc w:val="left"/>
              <w:rPr>
                <w:color w:val="000000"/>
                <w:kern w:val="0"/>
                <w:sz w:val="24"/>
              </w:rPr>
            </w:pPr>
          </w:p>
        </w:tc>
      </w:tr>
      <w:tr w:rsidR="00BE6341">
        <w:tc>
          <w:tcPr>
            <w:tcW w:w="0" w:type="auto"/>
            <w:vAlign w:val="center"/>
          </w:tcPr>
          <w:p w:rsidR="00BE6341" w:rsidRDefault="00225C31">
            <w:pPr>
              <w:jc w:val="center"/>
            </w:pPr>
            <w:r>
              <w:rPr>
                <w:color w:val="000000"/>
                <w:sz w:val="24"/>
              </w:rPr>
              <w:t>成曦</w:t>
            </w:r>
          </w:p>
        </w:tc>
        <w:tc>
          <w:tcPr>
            <w:tcW w:w="0" w:type="auto"/>
            <w:vAlign w:val="center"/>
          </w:tcPr>
          <w:p w:rsidR="00BE6341" w:rsidRDefault="00225C31">
            <w:pPr>
              <w:jc w:val="center"/>
            </w:pPr>
            <w:r>
              <w:rPr>
                <w:color w:val="000000"/>
                <w:sz w:val="24"/>
              </w:rPr>
              <w:t>本基金的基金经理、易方达中小板指数证券投资基金（</w:t>
            </w:r>
            <w:r>
              <w:rPr>
                <w:color w:val="000000"/>
                <w:sz w:val="24"/>
              </w:rPr>
              <w:t>LOF</w:t>
            </w:r>
            <w:r>
              <w:rPr>
                <w:color w:val="000000"/>
                <w:sz w:val="24"/>
              </w:rPr>
              <w:t>）（原易方达中小板指数分级证券投资基金）的基金经理、易方达原油证券投资基金（</w:t>
            </w:r>
            <w:r>
              <w:rPr>
                <w:color w:val="000000"/>
                <w:sz w:val="24"/>
              </w:rPr>
              <w:t>QDII</w:t>
            </w:r>
            <w:r>
              <w:rPr>
                <w:color w:val="000000"/>
                <w:sz w:val="24"/>
              </w:rPr>
              <w:t>）的基金经理、易方达银行指数分级证券投资基金的基金经理、易方达生物科技指数分级证券投资基金的基金经理、易方达深证</w:t>
            </w:r>
            <w:r>
              <w:rPr>
                <w:color w:val="000000"/>
                <w:sz w:val="24"/>
              </w:rPr>
              <w:t>100</w:t>
            </w:r>
            <w:r>
              <w:rPr>
                <w:color w:val="000000"/>
                <w:sz w:val="24"/>
              </w:rPr>
              <w:t>交易型开放式指数证券投资基金联接基金的基金经理、易方达深证</w:t>
            </w:r>
            <w:r>
              <w:rPr>
                <w:color w:val="000000"/>
                <w:sz w:val="24"/>
              </w:rPr>
              <w:t>100</w:t>
            </w:r>
            <w:r>
              <w:rPr>
                <w:color w:val="000000"/>
                <w:sz w:val="24"/>
              </w:rPr>
              <w:t>交易型开放式指数基金的基金经理、易方达上证</w:t>
            </w:r>
            <w:r>
              <w:rPr>
                <w:color w:val="000000"/>
                <w:sz w:val="24"/>
              </w:rPr>
              <w:t>50</w:t>
            </w:r>
            <w:r>
              <w:rPr>
                <w:color w:val="000000"/>
                <w:sz w:val="24"/>
              </w:rPr>
              <w:t>交易型开放式指数证券投资基金发起式联接基金的基金经理、易方达上证</w:t>
            </w:r>
            <w:r>
              <w:rPr>
                <w:color w:val="000000"/>
                <w:sz w:val="24"/>
              </w:rPr>
              <w:t>50</w:t>
            </w:r>
            <w:r>
              <w:rPr>
                <w:color w:val="000000"/>
                <w:sz w:val="24"/>
              </w:rPr>
              <w:t>交易型开放式指数证券投资基金的基金经理、易方达纳斯达克</w:t>
            </w:r>
            <w:r>
              <w:rPr>
                <w:color w:val="000000"/>
                <w:sz w:val="24"/>
              </w:rPr>
              <w:t>100</w:t>
            </w:r>
            <w:r>
              <w:rPr>
                <w:color w:val="000000"/>
                <w:sz w:val="24"/>
              </w:rPr>
              <w:t>指数证券投资基金（</w:t>
            </w:r>
            <w:r>
              <w:rPr>
                <w:color w:val="000000"/>
                <w:sz w:val="24"/>
              </w:rPr>
              <w:t>LOF</w:t>
            </w:r>
            <w:r>
              <w:rPr>
                <w:color w:val="000000"/>
                <w:sz w:val="24"/>
              </w:rPr>
              <w:t>）的基金经理、易方达恒生中国企业交易型开放式指数证券投资基金联接基金的基金经理、易方达恒生中国企业交易型开放式指数证券投资基金的基金经理、易方达创业板交易型开放式指数证券投资基金的基金经理、易方达并购重组指数分级证券投资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股国际通交易型开放式指数证券投资基金发起式联接基金的基金经理、易方达</w:t>
            </w:r>
            <w:r>
              <w:rPr>
                <w:color w:val="000000"/>
                <w:sz w:val="24"/>
              </w:rPr>
              <w:t>MSCI</w:t>
            </w:r>
            <w:r>
              <w:rPr>
                <w:color w:val="000000"/>
                <w:sz w:val="24"/>
              </w:rPr>
              <w:t>中国</w:t>
            </w:r>
            <w:r>
              <w:rPr>
                <w:color w:val="000000"/>
                <w:sz w:val="24"/>
              </w:rPr>
              <w:t>A</w:t>
            </w:r>
            <w:r>
              <w:rPr>
                <w:color w:val="000000"/>
                <w:sz w:val="24"/>
              </w:rPr>
              <w:t>股国际通交易型开放式指数证券投资基金的基金经理</w:t>
            </w:r>
          </w:p>
        </w:tc>
        <w:tc>
          <w:tcPr>
            <w:tcW w:w="0" w:type="auto"/>
            <w:vAlign w:val="center"/>
          </w:tcPr>
          <w:p w:rsidR="00BE6341" w:rsidRDefault="00225C31">
            <w:pPr>
              <w:jc w:val="center"/>
            </w:pPr>
            <w:r>
              <w:rPr>
                <w:color w:val="000000"/>
                <w:sz w:val="24"/>
              </w:rPr>
              <w:t>2016-05-07</w:t>
            </w:r>
          </w:p>
        </w:tc>
        <w:tc>
          <w:tcPr>
            <w:tcW w:w="0" w:type="auto"/>
            <w:vAlign w:val="center"/>
          </w:tcPr>
          <w:p w:rsidR="00BE6341" w:rsidRDefault="00225C31">
            <w:pPr>
              <w:jc w:val="center"/>
            </w:pPr>
            <w:r>
              <w:rPr>
                <w:color w:val="000000"/>
                <w:sz w:val="24"/>
              </w:rPr>
              <w:t>-</w:t>
            </w:r>
          </w:p>
        </w:tc>
        <w:tc>
          <w:tcPr>
            <w:tcW w:w="0" w:type="auto"/>
            <w:vAlign w:val="center"/>
          </w:tcPr>
          <w:p w:rsidR="00BE6341" w:rsidRDefault="00225C31">
            <w:pPr>
              <w:jc w:val="center"/>
            </w:pPr>
            <w:r>
              <w:rPr>
                <w:color w:val="000000"/>
                <w:sz w:val="24"/>
              </w:rPr>
              <w:t>11</w:t>
            </w:r>
            <w:r>
              <w:rPr>
                <w:color w:val="000000"/>
                <w:sz w:val="24"/>
              </w:rPr>
              <w:t>年</w:t>
            </w:r>
          </w:p>
        </w:tc>
        <w:tc>
          <w:tcPr>
            <w:tcW w:w="0" w:type="auto"/>
            <w:vAlign w:val="center"/>
          </w:tcPr>
          <w:p w:rsidR="00BE6341" w:rsidRDefault="00225C31">
            <w:r>
              <w:rPr>
                <w:color w:val="000000"/>
                <w:sz w:val="24"/>
              </w:rPr>
              <w:t>硕士研究生，具有基金从业资格。曾任华泰联合证券资产管理部研究员，易方达基金管理有限公司</w:t>
            </w:r>
            <w:r>
              <w:rPr>
                <w:color w:val="000000"/>
                <w:sz w:val="24"/>
              </w:rPr>
              <w:t>集中交易室交易员、指数与量化投资部指数基金运作专员、基金经理助理、易方达深证成指交易型开放式指数证券投资基金基金经理、易方达深证成指交易型开放式指数证券投资基金联接基金基金经理。</w:t>
            </w:r>
          </w:p>
        </w:tc>
      </w:tr>
      <w:tr w:rsidR="00BE6341">
        <w:tc>
          <w:tcPr>
            <w:tcW w:w="0" w:type="auto"/>
            <w:vAlign w:val="center"/>
          </w:tcPr>
          <w:p w:rsidR="00BE6341" w:rsidRDefault="00225C31">
            <w:pPr>
              <w:jc w:val="center"/>
            </w:pPr>
            <w:r>
              <w:rPr>
                <w:color w:val="000000"/>
                <w:sz w:val="24"/>
              </w:rPr>
              <w:t>刘树荣</w:t>
            </w:r>
          </w:p>
        </w:tc>
        <w:tc>
          <w:tcPr>
            <w:tcW w:w="0" w:type="auto"/>
            <w:vAlign w:val="center"/>
          </w:tcPr>
          <w:p w:rsidR="00BE6341" w:rsidRDefault="00225C31">
            <w:pPr>
              <w:jc w:val="center"/>
            </w:pPr>
            <w:r>
              <w:rPr>
                <w:color w:val="000000"/>
                <w:sz w:val="24"/>
              </w:rPr>
              <w:t>本基金的基金经理、易方达中证</w:t>
            </w:r>
            <w:r>
              <w:rPr>
                <w:color w:val="000000"/>
                <w:sz w:val="24"/>
              </w:rPr>
              <w:t>800</w:t>
            </w:r>
            <w:r>
              <w:rPr>
                <w:color w:val="000000"/>
                <w:sz w:val="24"/>
              </w:rPr>
              <w:t>交易型开放式指数证券投资基金发起式联接基金的基金经理、易方达中证</w:t>
            </w:r>
            <w:r>
              <w:rPr>
                <w:color w:val="000000"/>
                <w:sz w:val="24"/>
              </w:rPr>
              <w:t>800</w:t>
            </w:r>
            <w:r>
              <w:rPr>
                <w:color w:val="000000"/>
                <w:sz w:val="24"/>
              </w:rPr>
              <w:t>交易型开放式指数证券投资基金的基金经理、易方达中小板指数证券投资基金（</w:t>
            </w:r>
            <w:r>
              <w:rPr>
                <w:color w:val="000000"/>
                <w:sz w:val="24"/>
              </w:rPr>
              <w:t>LOF</w:t>
            </w:r>
            <w:r>
              <w:rPr>
                <w:color w:val="000000"/>
                <w:sz w:val="24"/>
              </w:rPr>
              <w:t>）（原易方达中小板指数分级证券投资基金）的基金经理、易方达银行指数分级证券投资基金的基金经理、易方达香港恒生综合小型股指数证券投资基金（</w:t>
            </w:r>
            <w:r>
              <w:rPr>
                <w:color w:val="000000"/>
                <w:sz w:val="24"/>
              </w:rPr>
              <w:t>LOF</w:t>
            </w:r>
            <w:r>
              <w:rPr>
                <w:color w:val="000000"/>
                <w:sz w:val="24"/>
              </w:rPr>
              <w:t>）的基金经理、易方达生物科技指数分级证券投资基金的基金经理、易方达深证</w:t>
            </w:r>
            <w:r>
              <w:rPr>
                <w:color w:val="000000"/>
                <w:sz w:val="24"/>
              </w:rPr>
              <w:t>100</w:t>
            </w:r>
            <w:r>
              <w:rPr>
                <w:color w:val="000000"/>
                <w:sz w:val="24"/>
              </w:rPr>
              <w:t>交易型开放式指数证券投资基金联接基金的基金经理、易方达深证</w:t>
            </w:r>
            <w:r>
              <w:rPr>
                <w:color w:val="000000"/>
                <w:sz w:val="24"/>
              </w:rPr>
              <w:t>100</w:t>
            </w:r>
            <w:r>
              <w:rPr>
                <w:color w:val="000000"/>
                <w:sz w:val="24"/>
              </w:rPr>
              <w:t>交易型开放式指数基金的基金经理、易方达上证中盘交易</w:t>
            </w:r>
            <w:r>
              <w:rPr>
                <w:color w:val="000000"/>
                <w:sz w:val="24"/>
              </w:rPr>
              <w:t>型开放式指数证券投资基金联接基金的基金经理、易方达上证中盘交易型开放式指数证券投资基金的基金经理、易方达创业板交易型开放式指数证券投资基金的基金经理、易方达并购重组指数分级证券投资基金的基金经理、易方达标普医疗保健指数证券投资基金（</w:t>
            </w:r>
            <w:r>
              <w:rPr>
                <w:color w:val="000000"/>
                <w:sz w:val="24"/>
              </w:rPr>
              <w:t>LOF</w:t>
            </w:r>
            <w:r>
              <w:rPr>
                <w:color w:val="000000"/>
                <w:sz w:val="24"/>
              </w:rPr>
              <w:t>）的基金经理、易方达标普信息科技指数证券投资基金（</w:t>
            </w:r>
            <w:r>
              <w:rPr>
                <w:color w:val="000000"/>
                <w:sz w:val="24"/>
              </w:rPr>
              <w:t>LOF</w:t>
            </w:r>
            <w:r>
              <w:rPr>
                <w:color w:val="000000"/>
                <w:sz w:val="24"/>
              </w:rPr>
              <w:t>）的基金经理、易方达标普生物科技指数证券投资基金（</w:t>
            </w:r>
            <w:r>
              <w:rPr>
                <w:color w:val="000000"/>
                <w:sz w:val="24"/>
              </w:rPr>
              <w:t>LOF</w:t>
            </w:r>
            <w:r>
              <w:rPr>
                <w:color w:val="000000"/>
                <w:sz w:val="24"/>
              </w:rPr>
              <w:t>）的基金经理、易方达标普</w:t>
            </w:r>
            <w:r>
              <w:rPr>
                <w:color w:val="000000"/>
                <w:sz w:val="24"/>
              </w:rPr>
              <w:t>500</w:t>
            </w:r>
            <w:r>
              <w:rPr>
                <w:color w:val="000000"/>
                <w:sz w:val="24"/>
              </w:rPr>
              <w:t>指数证券投资基金（</w:t>
            </w:r>
            <w:r>
              <w:rPr>
                <w:color w:val="000000"/>
                <w:sz w:val="24"/>
              </w:rPr>
              <w:t>LOF</w:t>
            </w:r>
            <w:r>
              <w:rPr>
                <w:color w:val="000000"/>
                <w:sz w:val="24"/>
              </w:rPr>
              <w:t>）的基金经理</w:t>
            </w:r>
          </w:p>
        </w:tc>
        <w:tc>
          <w:tcPr>
            <w:tcW w:w="0" w:type="auto"/>
            <w:vAlign w:val="center"/>
          </w:tcPr>
          <w:p w:rsidR="00BE6341" w:rsidRDefault="00225C31">
            <w:pPr>
              <w:jc w:val="center"/>
            </w:pPr>
            <w:r>
              <w:rPr>
                <w:color w:val="000000"/>
                <w:sz w:val="24"/>
              </w:rPr>
              <w:t>2017-07-18</w:t>
            </w:r>
          </w:p>
        </w:tc>
        <w:tc>
          <w:tcPr>
            <w:tcW w:w="0" w:type="auto"/>
            <w:vAlign w:val="center"/>
          </w:tcPr>
          <w:p w:rsidR="00BE6341" w:rsidRDefault="00225C31">
            <w:pPr>
              <w:jc w:val="center"/>
            </w:pPr>
            <w:r>
              <w:rPr>
                <w:color w:val="000000"/>
                <w:sz w:val="24"/>
              </w:rPr>
              <w:t>-</w:t>
            </w:r>
          </w:p>
        </w:tc>
        <w:tc>
          <w:tcPr>
            <w:tcW w:w="0" w:type="auto"/>
            <w:vAlign w:val="center"/>
          </w:tcPr>
          <w:p w:rsidR="00BE6341" w:rsidRDefault="00225C31">
            <w:pPr>
              <w:jc w:val="center"/>
            </w:pPr>
            <w:r>
              <w:rPr>
                <w:color w:val="000000"/>
                <w:sz w:val="24"/>
              </w:rPr>
              <w:t>12</w:t>
            </w:r>
            <w:r>
              <w:rPr>
                <w:color w:val="000000"/>
                <w:sz w:val="24"/>
              </w:rPr>
              <w:t>年</w:t>
            </w:r>
          </w:p>
        </w:tc>
        <w:tc>
          <w:tcPr>
            <w:tcW w:w="0" w:type="auto"/>
            <w:vAlign w:val="center"/>
          </w:tcPr>
          <w:p w:rsidR="00BE6341" w:rsidRDefault="00225C31">
            <w:r>
              <w:rPr>
                <w:color w:val="000000"/>
                <w:sz w:val="24"/>
              </w:rPr>
              <w:t>硕士研究生，具有基金从业资格。曾任招商银行资产托管部基金会计</w:t>
            </w:r>
            <w:r>
              <w:rPr>
                <w:color w:val="000000"/>
                <w:sz w:val="24"/>
              </w:rPr>
              <w:t>，易方达基金管理有限公司核算部基金核算专员、指数与量化投资部运作支持专员、基金经理助理、易方达深证成指交易型开放式指数证券投资基金基金经理、易方达深证成指交易型开放式指数证券投资基金联接基金基金经理。</w:t>
            </w:r>
          </w:p>
        </w:tc>
      </w:tr>
    </w:tbl>
    <w:p w:rsidR="00BE6341" w:rsidRDefault="00225C31">
      <w:pPr>
        <w:autoSpaceDE w:val="0"/>
        <w:autoSpaceDN w:val="0"/>
        <w:adjustRightInd w:val="0"/>
        <w:spacing w:line="360" w:lineRule="auto"/>
        <w:ind w:firstLineChars="200" w:firstLine="480"/>
        <w:jc w:val="left"/>
        <w:rPr>
          <w:rFonts w:eastAsiaTheme="minorEastAsia"/>
          <w:color w:val="000000" w:themeColor="text1"/>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5C7D00" w:rsidRPr="00B34368" w:rsidRDefault="00C544B8" w:rsidP="00547A9A">
      <w:pPr>
        <w:autoSpaceDE w:val="0"/>
        <w:autoSpaceDN w:val="0"/>
        <w:adjustRightInd w:val="0"/>
        <w:spacing w:line="360" w:lineRule="auto"/>
        <w:ind w:firstLineChars="200" w:firstLine="480"/>
        <w:jc w:val="left"/>
        <w:rPr>
          <w:rFonts w:eastAsiaTheme="minorEastAsia"/>
          <w:color w:val="000000" w:themeColor="text1"/>
          <w:sz w:val="24"/>
        </w:rPr>
      </w:pPr>
      <w:r>
        <w:rPr>
          <w:color w:val="000000"/>
          <w:sz w:val="24"/>
        </w:rPr>
        <w:t>2.</w:t>
      </w:r>
      <w:r>
        <w:rPr>
          <w:color w:val="000000"/>
          <w:sz w:val="24"/>
        </w:rPr>
        <w:t>证券从业的含义遵从《证券业从业人员资格管理办法》的相关规定。</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4.2</w:t>
      </w:r>
      <w:r w:rsidR="00B34368" w:rsidRPr="00B34368">
        <w:rPr>
          <w:rFonts w:eastAsiaTheme="minorEastAsia" w:hAnsiTheme="minorEastAsia"/>
          <w:b/>
          <w:color w:val="000000" w:themeColor="text1"/>
          <w:kern w:val="0"/>
          <w:sz w:val="24"/>
        </w:rPr>
        <w:t>管理人对</w:t>
      </w:r>
      <w:r w:rsidRPr="00B34368">
        <w:rPr>
          <w:rFonts w:eastAsiaTheme="minorEastAsia" w:hAnsiTheme="minorEastAsia"/>
          <w:b/>
          <w:color w:val="000000" w:themeColor="text1"/>
          <w:kern w:val="0"/>
          <w:sz w:val="24"/>
        </w:rPr>
        <w:t>报告期内本基金运作遵规守信情况</w:t>
      </w:r>
      <w:r w:rsidR="002F7889" w:rsidRPr="002F7889">
        <w:rPr>
          <w:rFonts w:eastAsiaTheme="minorEastAsia" w:hAnsiTheme="minorEastAsia"/>
          <w:b/>
          <w:color w:val="000000" w:themeColor="text1"/>
          <w:kern w:val="0"/>
          <w:sz w:val="24"/>
        </w:rPr>
        <w:t>的</w:t>
      </w:r>
      <w:r w:rsidRPr="00B34368">
        <w:rPr>
          <w:rFonts w:eastAsiaTheme="minorEastAsia" w:hAnsiTheme="minorEastAsia"/>
          <w:b/>
          <w:color w:val="000000" w:themeColor="text1"/>
          <w:kern w:val="0"/>
          <w:sz w:val="24"/>
        </w:rPr>
        <w:t>说明</w:t>
      </w:r>
    </w:p>
    <w:p w:rsidR="009238DB"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4.3 </w:t>
      </w:r>
      <w:r w:rsidRPr="00B34368">
        <w:rPr>
          <w:rFonts w:eastAsiaTheme="minorEastAsia" w:hAnsiTheme="minorEastAsia"/>
          <w:b/>
          <w:color w:val="000000" w:themeColor="text1"/>
          <w:kern w:val="0"/>
          <w:sz w:val="24"/>
        </w:rPr>
        <w:t>公平交易专项说明</w:t>
      </w:r>
    </w:p>
    <w:p w:rsidR="00D15733" w:rsidRPr="00B34368" w:rsidRDefault="00D15733" w:rsidP="00FC13C8">
      <w:pPr>
        <w:spacing w:line="360" w:lineRule="auto"/>
        <w:rPr>
          <w:rFonts w:eastAsiaTheme="minorEastAsia"/>
          <w:color w:val="000000" w:themeColor="text1"/>
          <w:sz w:val="24"/>
        </w:rPr>
      </w:pPr>
      <w:r w:rsidRPr="00B34368">
        <w:rPr>
          <w:rFonts w:eastAsiaTheme="minorEastAsia"/>
          <w:color w:val="000000" w:themeColor="text1"/>
          <w:sz w:val="24"/>
        </w:rPr>
        <w:t xml:space="preserve">4.3.1 </w:t>
      </w:r>
      <w:r w:rsidRPr="00B34368">
        <w:rPr>
          <w:rFonts w:eastAsiaTheme="minorEastAsia" w:hAnsiTheme="minorEastAsia"/>
          <w:color w:val="000000" w:themeColor="text1"/>
          <w:sz w:val="24"/>
        </w:rPr>
        <w:t>公平交易制度的执行情况</w:t>
      </w:r>
    </w:p>
    <w:p w:rsidR="00D15733"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B34368">
        <w:rPr>
          <w:rFonts w:eastAsiaTheme="minorEastAsia"/>
          <w:color w:val="000000" w:themeColor="text1"/>
          <w:sz w:val="24"/>
        </w:rPr>
        <w:t>“</w:t>
      </w:r>
      <w:r w:rsidRPr="00B34368">
        <w:rPr>
          <w:rFonts w:eastAsiaTheme="minorEastAsia"/>
          <w:color w:val="000000" w:themeColor="text1"/>
          <w:sz w:val="24"/>
        </w:rPr>
        <w:t>时间优先、价格优先</w:t>
      </w:r>
      <w:r w:rsidRPr="00B34368">
        <w:rPr>
          <w:rFonts w:eastAsiaTheme="minorEastAsia"/>
          <w:color w:val="000000" w:themeColor="text1"/>
          <w:sz w:val="24"/>
        </w:rPr>
        <w:t>”</w:t>
      </w:r>
      <w:r w:rsidRPr="00B34368">
        <w:rPr>
          <w:rFonts w:eastAsiaTheme="minorEastAsia"/>
          <w:color w:val="000000" w:themeColor="text1"/>
          <w:sz w:val="24"/>
        </w:rPr>
        <w:t>作为执行指令的基本原则，通过投资交易系统中的公平交易模块，以尽可能确保公平对待各投资组合。本报告期内，公平交易制度总体执行情况良好。</w:t>
      </w:r>
    </w:p>
    <w:p w:rsidR="00D15733" w:rsidRPr="00B34368" w:rsidRDefault="00D15733" w:rsidP="00FC13C8">
      <w:pPr>
        <w:spacing w:line="360" w:lineRule="auto"/>
        <w:rPr>
          <w:rFonts w:eastAsiaTheme="minorEastAsia"/>
          <w:color w:val="000000" w:themeColor="text1"/>
          <w:sz w:val="24"/>
        </w:rPr>
      </w:pPr>
      <w:r w:rsidRPr="00B34368">
        <w:rPr>
          <w:rFonts w:eastAsiaTheme="minorEastAsia"/>
          <w:color w:val="000000" w:themeColor="text1"/>
          <w:sz w:val="24"/>
        </w:rPr>
        <w:t>4.3.</w:t>
      </w:r>
      <w:r w:rsidR="005B6047" w:rsidRPr="00B34368">
        <w:rPr>
          <w:rFonts w:eastAsiaTheme="minorEastAsia"/>
          <w:color w:val="000000" w:themeColor="text1"/>
          <w:sz w:val="24"/>
        </w:rPr>
        <w:t>2</w:t>
      </w:r>
      <w:r w:rsidRPr="00B34368">
        <w:rPr>
          <w:rFonts w:eastAsiaTheme="minorEastAsia"/>
          <w:color w:val="000000" w:themeColor="text1"/>
          <w:sz w:val="24"/>
        </w:rPr>
        <w:t xml:space="preserve"> </w:t>
      </w:r>
      <w:r w:rsidRPr="00B34368">
        <w:rPr>
          <w:rFonts w:eastAsiaTheme="minorEastAsia" w:hAnsiTheme="minorEastAsia"/>
          <w:color w:val="000000" w:themeColor="text1"/>
          <w:sz w:val="24"/>
        </w:rPr>
        <w:t>异常交易行为的专项说明</w:t>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本报告期内，公司旗下所有投资组合参与的交易所公开竞价交易中，同日反向交</w:t>
      </w:r>
      <w:r>
        <w:rPr>
          <w:rFonts w:eastAsiaTheme="minorEastAsia"/>
          <w:color w:val="000000" w:themeColor="text1"/>
          <w:sz w:val="24"/>
        </w:rPr>
        <w:t>易成交较少的单边交易量超过该证券当日成交量的</w:t>
      </w:r>
      <w:r>
        <w:rPr>
          <w:rFonts w:eastAsiaTheme="minorEastAsia"/>
          <w:color w:val="000000" w:themeColor="text1"/>
          <w:sz w:val="24"/>
        </w:rPr>
        <w:t>5%</w:t>
      </w:r>
      <w:r>
        <w:rPr>
          <w:rFonts w:eastAsiaTheme="minorEastAsia"/>
          <w:color w:val="000000" w:themeColor="text1"/>
          <w:sz w:val="24"/>
        </w:rPr>
        <w:t>的交易共</w:t>
      </w:r>
      <w:r>
        <w:rPr>
          <w:rFonts w:eastAsiaTheme="minorEastAsia"/>
          <w:color w:val="000000" w:themeColor="text1"/>
          <w:sz w:val="24"/>
        </w:rPr>
        <w:t>28</w:t>
      </w:r>
      <w:r>
        <w:rPr>
          <w:rFonts w:eastAsiaTheme="minorEastAsia"/>
          <w:color w:val="000000" w:themeColor="text1"/>
          <w:sz w:val="24"/>
        </w:rPr>
        <w:t>次，其中</w:t>
      </w:r>
      <w:r>
        <w:rPr>
          <w:rFonts w:eastAsiaTheme="minorEastAsia"/>
          <w:color w:val="000000" w:themeColor="text1"/>
          <w:sz w:val="24"/>
        </w:rPr>
        <w:t>27</w:t>
      </w:r>
      <w:r>
        <w:rPr>
          <w:rFonts w:eastAsiaTheme="minorEastAsia"/>
          <w:color w:val="000000" w:themeColor="text1"/>
          <w:sz w:val="24"/>
        </w:rPr>
        <w:t>次为指数量化投资组合因投资策略需要和其他组合发生的反向交易，</w:t>
      </w:r>
      <w:r>
        <w:rPr>
          <w:rFonts w:eastAsiaTheme="minorEastAsia"/>
          <w:color w:val="000000" w:themeColor="text1"/>
          <w:sz w:val="24"/>
        </w:rPr>
        <w:t>1</w:t>
      </w:r>
      <w:r>
        <w:rPr>
          <w:rFonts w:eastAsiaTheme="minorEastAsia"/>
          <w:color w:val="000000" w:themeColor="text1"/>
          <w:sz w:val="24"/>
        </w:rPr>
        <w:t>次为不同基金经理管理的基金因投资策略不同而发生的反向交易，有关基金经理按规定履行了审批程序。</w:t>
      </w:r>
    </w:p>
    <w:p w:rsidR="009238DB"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本报告期内，未发现本基金有可能导致不公平交易和利益输送的异常交易。</w:t>
      </w:r>
    </w:p>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4.4 </w:t>
      </w:r>
      <w:r w:rsidRPr="00B34368">
        <w:rPr>
          <w:rFonts w:eastAsiaTheme="minorEastAsia" w:hAnsiTheme="minorEastAsia"/>
          <w:b/>
          <w:color w:val="000000" w:themeColor="text1"/>
          <w:kern w:val="0"/>
          <w:sz w:val="24"/>
        </w:rPr>
        <w:t>报告期内基金的投资策略和业绩表现说明</w:t>
      </w:r>
    </w:p>
    <w:p w:rsidR="00952A72" w:rsidRPr="00B34368" w:rsidRDefault="00952A72" w:rsidP="00FC13C8">
      <w:pPr>
        <w:spacing w:line="360" w:lineRule="auto"/>
        <w:rPr>
          <w:rFonts w:eastAsiaTheme="minorEastAsia"/>
          <w:color w:val="000000" w:themeColor="text1"/>
          <w:sz w:val="24"/>
        </w:rPr>
      </w:pPr>
      <w:r w:rsidRPr="00B34368">
        <w:rPr>
          <w:rFonts w:eastAsiaTheme="minorEastAsia"/>
          <w:color w:val="000000" w:themeColor="text1"/>
          <w:sz w:val="24"/>
        </w:rPr>
        <w:t>4.4.1</w:t>
      </w:r>
      <w:r w:rsidRPr="00B34368">
        <w:rPr>
          <w:rFonts w:eastAsiaTheme="minorEastAsia" w:hAnsiTheme="minorEastAsia"/>
          <w:color w:val="000000" w:themeColor="text1"/>
          <w:sz w:val="24"/>
        </w:rPr>
        <w:t>报告期内基金投资策略和运作分析</w:t>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本基金跟踪的标的指数为创业板指，创业板指由深圳创业板块中市值大、流动性好、最具代表性的</w:t>
      </w:r>
      <w:r>
        <w:rPr>
          <w:rFonts w:eastAsiaTheme="minorEastAsia"/>
          <w:color w:val="000000" w:themeColor="text1"/>
          <w:sz w:val="24"/>
        </w:rPr>
        <w:t>100</w:t>
      </w:r>
      <w:r>
        <w:rPr>
          <w:rFonts w:eastAsiaTheme="minorEastAsia"/>
          <w:color w:val="000000" w:themeColor="text1"/>
          <w:sz w:val="24"/>
        </w:rPr>
        <w:t>只股票组成。综合反映创业板中最具影响力龙头企业的整体状况，集中体现了业绩高成长，新产业集中的创业板特征。本基金主要采取完全复制法，即完全按照标的指数的成份股组成及其权重构建基金股票投资组合，并根据标的指数成份股及其权重的变动而进行相应调整。</w:t>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年第四季度，市场分化较大。受益于转型升级的电子，医药生物，家电等行业高度景气，二级市场价格表现也较好。前三季度表现较好的消费行业出现了一定回调。整体来看，市场核心权重股业</w:t>
      </w:r>
      <w:r>
        <w:rPr>
          <w:rFonts w:eastAsiaTheme="minorEastAsia"/>
          <w:color w:val="000000" w:themeColor="text1"/>
          <w:sz w:val="24"/>
        </w:rPr>
        <w:t>绩基本符合预期，估值有所消化，促进市场的稳定上行。</w:t>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报告期内，国内主要宏观经济数据虽然处在低位震荡中，但从</w:t>
      </w:r>
      <w:r>
        <w:rPr>
          <w:rFonts w:eastAsiaTheme="minorEastAsia"/>
          <w:color w:val="000000" w:themeColor="text1"/>
          <w:sz w:val="24"/>
        </w:rPr>
        <w:t>11</w:t>
      </w:r>
      <w:r>
        <w:rPr>
          <w:rFonts w:eastAsiaTheme="minorEastAsia"/>
          <w:color w:val="000000" w:themeColor="text1"/>
          <w:sz w:val="24"/>
        </w:rPr>
        <w:t>月起</w:t>
      </w:r>
      <w:r>
        <w:rPr>
          <w:rFonts w:eastAsiaTheme="minorEastAsia"/>
          <w:color w:val="000000" w:themeColor="text1"/>
          <w:sz w:val="24"/>
        </w:rPr>
        <w:t>PMI</w:t>
      </w:r>
      <w:r>
        <w:rPr>
          <w:rFonts w:eastAsiaTheme="minorEastAsia"/>
          <w:color w:val="000000" w:themeColor="text1"/>
          <w:sz w:val="24"/>
        </w:rPr>
        <w:t>数据有所回升，库存去化加快，采购量和新订单回升较快，反映出经济增速有企稳回升迹象。三季度以来的稳增长政策起到效果，基建也企稳回升；此外，贸易摩擦缓和背景下的企业信心有所恢复，同时叠加海外经济增速企稳，因此外需有所改善，出口随之提升。</w:t>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当前市场中周期龙头普遍折价，在经济波动逐渐收敛的背景下，该类股票有望迎来估值修复行情。与此同时，科技成长类股票估值普遍较高，需要持续的业绩增长来消化估值，在此</w:t>
      </w:r>
      <w:r>
        <w:rPr>
          <w:rFonts w:eastAsiaTheme="minorEastAsia"/>
          <w:color w:val="000000" w:themeColor="text1"/>
          <w:sz w:val="24"/>
        </w:rPr>
        <w:t>过程中，具备核心竞争力、现金流改善的优质资产值得重点关注。</w:t>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创业板指数是典型的成长指数，目前成分股平均市值远高于创业板板块平均市值，可视作创业板板块中的优质蓝筹组合。其权重前</w:t>
      </w:r>
      <w:r>
        <w:rPr>
          <w:rFonts w:eastAsiaTheme="minorEastAsia"/>
          <w:color w:val="000000" w:themeColor="text1"/>
          <w:sz w:val="24"/>
        </w:rPr>
        <w:t>4</w:t>
      </w:r>
      <w:r>
        <w:rPr>
          <w:rFonts w:eastAsiaTheme="minorEastAsia"/>
          <w:color w:val="000000" w:themeColor="text1"/>
          <w:sz w:val="24"/>
        </w:rPr>
        <w:t>个行业分别为电子、传媒、医药生物、计算机，合计超过</w:t>
      </w:r>
      <w:r>
        <w:rPr>
          <w:rFonts w:eastAsiaTheme="minorEastAsia"/>
          <w:color w:val="000000" w:themeColor="text1"/>
          <w:sz w:val="24"/>
        </w:rPr>
        <w:t>60%</w:t>
      </w:r>
      <w:r>
        <w:rPr>
          <w:rFonts w:eastAsiaTheme="minorEastAsia"/>
          <w:color w:val="000000" w:themeColor="text1"/>
          <w:sz w:val="24"/>
        </w:rPr>
        <w:t>。</w:t>
      </w:r>
    </w:p>
    <w:p w:rsidR="00952A72" w:rsidRPr="00B34368" w:rsidRDefault="00323F25"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基金运作层面，报告期内，本基金严守基金合同认真对待投资者申购、赎回以及成分股调整事项，保障基金的正常运作，基金跟踪误差以及日均偏离度等指标控制在合同规定范围之内。</w:t>
      </w:r>
    </w:p>
    <w:p w:rsidR="00952A72" w:rsidRPr="00B34368" w:rsidRDefault="00952A72" w:rsidP="00FC13C8">
      <w:pPr>
        <w:spacing w:line="360" w:lineRule="auto"/>
        <w:rPr>
          <w:rFonts w:eastAsiaTheme="minorEastAsia"/>
          <w:color w:val="000000" w:themeColor="text1"/>
          <w:sz w:val="24"/>
        </w:rPr>
      </w:pPr>
      <w:r w:rsidRPr="00B34368">
        <w:rPr>
          <w:rFonts w:eastAsiaTheme="minorEastAsia"/>
          <w:color w:val="000000" w:themeColor="text1"/>
          <w:sz w:val="24"/>
        </w:rPr>
        <w:t>4.4.2</w:t>
      </w:r>
      <w:r w:rsidRPr="00B34368">
        <w:rPr>
          <w:rFonts w:eastAsiaTheme="minorEastAsia" w:hAnsiTheme="minorEastAsia"/>
          <w:color w:val="000000" w:themeColor="text1"/>
          <w:sz w:val="24"/>
        </w:rPr>
        <w:t>报告期内基金的业绩表现</w:t>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截至报告期末，本基金</w:t>
      </w:r>
      <w:r>
        <w:rPr>
          <w:rFonts w:eastAsiaTheme="minorEastAsia"/>
          <w:color w:val="000000" w:themeColor="text1"/>
          <w:sz w:val="24"/>
        </w:rPr>
        <w:t>A</w:t>
      </w:r>
      <w:r>
        <w:rPr>
          <w:rFonts w:eastAsiaTheme="minorEastAsia"/>
          <w:color w:val="000000" w:themeColor="text1"/>
          <w:sz w:val="24"/>
        </w:rPr>
        <w:t>类基金份额净值为</w:t>
      </w:r>
      <w:r>
        <w:rPr>
          <w:rFonts w:eastAsiaTheme="minorEastAsia"/>
          <w:color w:val="000000" w:themeColor="text1"/>
          <w:sz w:val="24"/>
        </w:rPr>
        <w:t>1.8543</w:t>
      </w:r>
      <w:r>
        <w:rPr>
          <w:rFonts w:eastAsiaTheme="minorEastAsia"/>
          <w:color w:val="000000" w:themeColor="text1"/>
          <w:sz w:val="24"/>
        </w:rPr>
        <w:t>元，本报告期份额净值增长率为</w:t>
      </w:r>
      <w:r>
        <w:rPr>
          <w:rFonts w:eastAsiaTheme="minorEastAsia"/>
          <w:color w:val="000000" w:themeColor="text1"/>
          <w:sz w:val="24"/>
        </w:rPr>
        <w:t>9.79%</w:t>
      </w:r>
      <w:r>
        <w:rPr>
          <w:rFonts w:eastAsiaTheme="minorEastAsia"/>
          <w:color w:val="000000" w:themeColor="text1"/>
          <w:sz w:val="24"/>
        </w:rPr>
        <w:t>；</w:t>
      </w:r>
      <w:r>
        <w:rPr>
          <w:rFonts w:eastAsiaTheme="minorEastAsia"/>
          <w:color w:val="000000" w:themeColor="text1"/>
          <w:sz w:val="24"/>
        </w:rPr>
        <w:t>C</w:t>
      </w:r>
      <w:r>
        <w:rPr>
          <w:rFonts w:eastAsiaTheme="minorEastAsia"/>
          <w:color w:val="000000" w:themeColor="text1"/>
          <w:sz w:val="24"/>
        </w:rPr>
        <w:t>类基金份额净值为</w:t>
      </w:r>
      <w:r>
        <w:rPr>
          <w:rFonts w:eastAsiaTheme="minorEastAsia"/>
          <w:color w:val="000000" w:themeColor="text1"/>
          <w:sz w:val="24"/>
        </w:rPr>
        <w:t>1.8435</w:t>
      </w:r>
      <w:r>
        <w:rPr>
          <w:rFonts w:eastAsiaTheme="minorEastAsia"/>
          <w:color w:val="000000" w:themeColor="text1"/>
          <w:sz w:val="24"/>
        </w:rPr>
        <w:t>元，本报告期份额净值增长率为</w:t>
      </w:r>
      <w:r>
        <w:rPr>
          <w:rFonts w:eastAsiaTheme="minorEastAsia"/>
          <w:color w:val="000000" w:themeColor="text1"/>
          <w:sz w:val="24"/>
        </w:rPr>
        <w:t>9.70%</w:t>
      </w:r>
      <w:r>
        <w:rPr>
          <w:rFonts w:eastAsiaTheme="minorEastAsia"/>
          <w:color w:val="000000" w:themeColor="text1"/>
          <w:sz w:val="24"/>
        </w:rPr>
        <w:t>；同期业绩比较基准收益率为</w:t>
      </w:r>
      <w:r>
        <w:rPr>
          <w:rFonts w:eastAsiaTheme="minorEastAsia"/>
          <w:color w:val="000000" w:themeColor="text1"/>
          <w:sz w:val="24"/>
        </w:rPr>
        <w:t>9.95%</w:t>
      </w:r>
      <w:r>
        <w:rPr>
          <w:rFonts w:eastAsiaTheme="minorEastAsia"/>
          <w:color w:val="000000" w:themeColor="text1"/>
          <w:sz w:val="24"/>
        </w:rPr>
        <w:t>。</w:t>
      </w:r>
    </w:p>
    <w:p w:rsidR="008129C0" w:rsidRPr="00F405D4" w:rsidRDefault="00323F25" w:rsidP="00F405D4">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本报告期，本基金日跟踪偏离度的均值为</w:t>
      </w:r>
      <w:r w:rsidRPr="00B34368">
        <w:rPr>
          <w:rFonts w:eastAsiaTheme="minorEastAsia"/>
          <w:color w:val="000000" w:themeColor="text1"/>
          <w:sz w:val="24"/>
        </w:rPr>
        <w:t>0.01%</w:t>
      </w:r>
      <w:r w:rsidRPr="00B34368">
        <w:rPr>
          <w:rFonts w:eastAsiaTheme="minorEastAsia"/>
          <w:color w:val="000000" w:themeColor="text1"/>
          <w:sz w:val="24"/>
        </w:rPr>
        <w:t>，年化跟踪误差</w:t>
      </w:r>
      <w:r w:rsidRPr="00B34368">
        <w:rPr>
          <w:rFonts w:eastAsiaTheme="minorEastAsia"/>
          <w:color w:val="000000" w:themeColor="text1"/>
          <w:sz w:val="24"/>
        </w:rPr>
        <w:t>0.23%</w:t>
      </w:r>
      <w:r w:rsidRPr="00B34368">
        <w:rPr>
          <w:rFonts w:eastAsiaTheme="minorEastAsia"/>
          <w:color w:val="000000" w:themeColor="text1"/>
          <w:sz w:val="24"/>
        </w:rPr>
        <w:t>，在合同规定的控制范围之内。</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§5  </w:t>
      </w:r>
      <w:r w:rsidRPr="00B34368">
        <w:rPr>
          <w:rFonts w:eastAsiaTheme="minorEastAsia" w:hAnsiTheme="minorEastAsia"/>
          <w:color w:val="000000" w:themeColor="text1"/>
          <w:kern w:val="0"/>
          <w:sz w:val="24"/>
          <w:szCs w:val="24"/>
        </w:rPr>
        <w:t>投资组合报告</w:t>
      </w:r>
    </w:p>
    <w:p w:rsidR="009238DB" w:rsidRPr="00B34368" w:rsidRDefault="009238DB" w:rsidP="00FC13C8">
      <w:pPr>
        <w:autoSpaceDE w:val="0"/>
        <w:autoSpaceDN w:val="0"/>
        <w:adjustRightInd w:val="0"/>
        <w:spacing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5.1 </w:t>
      </w:r>
      <w:r w:rsidRPr="00B34368">
        <w:rPr>
          <w:rFonts w:eastAsiaTheme="minorEastAsia" w:hAnsiTheme="minorEastAsia"/>
          <w:b/>
          <w:color w:val="000000" w:themeColor="text1"/>
          <w:kern w:val="0"/>
          <w:sz w:val="24"/>
        </w:rPr>
        <w:t>报告期末基金资产组合情况</w:t>
      </w:r>
    </w:p>
    <w:tbl>
      <w:tblPr>
        <w:tblStyle w:val="af2"/>
        <w:tblW w:w="0" w:type="auto"/>
        <w:tblInd w:w="108" w:type="dxa"/>
        <w:tblLayout w:type="fixed"/>
        <w:tblLook w:val="04A0" w:firstRow="1" w:lastRow="0" w:firstColumn="1" w:lastColumn="0" w:noHBand="0" w:noVBand="1"/>
      </w:tblPr>
      <w:tblGrid>
        <w:gridCol w:w="720"/>
        <w:gridCol w:w="3357"/>
        <w:gridCol w:w="2694"/>
        <w:gridCol w:w="1757"/>
      </w:tblGrid>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3357"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项目</w:t>
            </w:r>
          </w:p>
        </w:tc>
        <w:tc>
          <w:tcPr>
            <w:tcW w:w="2694"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金额</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占基金总资产的比例</w:t>
            </w:r>
            <w:r w:rsidRPr="00B34368">
              <w:rPr>
                <w:rFonts w:eastAsiaTheme="minorEastAsia"/>
                <w:color w:val="000000" w:themeColor="text1"/>
                <w:sz w:val="24"/>
              </w:rPr>
              <w:t>(%)</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1</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权益投资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21,093,855.96</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0.40</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其中：股票</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21,093,855.96</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0.40</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基金投资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4,869,892,660.77</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92.96</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3</w:t>
            </w: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固定收益投资</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950,783.52</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0.02</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其中：债券</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950,783.52</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0.02</w:t>
            </w:r>
          </w:p>
        </w:tc>
      </w:tr>
      <w:tr w:rsidR="00D3639B" w:rsidRPr="00B34368" w:rsidTr="00975D18">
        <w:tc>
          <w:tcPr>
            <w:tcW w:w="720" w:type="dxa"/>
            <w:vAlign w:val="center"/>
          </w:tcPr>
          <w:p w:rsidR="00B20F47" w:rsidRPr="00B34368" w:rsidRDefault="00B20F47" w:rsidP="00A3193E">
            <w:pPr>
              <w:spacing w:before="29" w:line="360" w:lineRule="auto"/>
              <w:ind w:left="17"/>
              <w:jc w:val="center"/>
              <w:rPr>
                <w:rFonts w:eastAsiaTheme="minorEastAsia"/>
                <w:color w:val="000000" w:themeColor="text1"/>
                <w:sz w:val="24"/>
              </w:rPr>
            </w:pPr>
          </w:p>
        </w:tc>
        <w:tc>
          <w:tcPr>
            <w:tcW w:w="3357" w:type="dxa"/>
            <w:vAlign w:val="center"/>
          </w:tcPr>
          <w:p w:rsidR="00B20F47" w:rsidRPr="00B34368" w:rsidRDefault="00B20F47" w:rsidP="00B34368">
            <w:pPr>
              <w:autoSpaceDE w:val="0"/>
              <w:autoSpaceDN w:val="0"/>
              <w:adjustRightInd w:val="0"/>
              <w:spacing w:before="29" w:line="360" w:lineRule="auto"/>
              <w:ind w:left="17" w:firstLineChars="300" w:firstLine="720"/>
              <w:jc w:val="left"/>
              <w:rPr>
                <w:rFonts w:eastAsiaTheme="minorEastAsia"/>
                <w:color w:val="000000" w:themeColor="text1"/>
                <w:sz w:val="24"/>
              </w:rPr>
            </w:pPr>
            <w:r w:rsidRPr="00B34368">
              <w:rPr>
                <w:rFonts w:eastAsiaTheme="minorEastAsia" w:hAnsiTheme="minorEastAsia"/>
                <w:color w:val="000000" w:themeColor="text1"/>
                <w:sz w:val="24"/>
              </w:rPr>
              <w:t>资产支持证券</w:t>
            </w:r>
          </w:p>
        </w:tc>
        <w:tc>
          <w:tcPr>
            <w:tcW w:w="2694"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20F47" w:rsidRPr="00B34368" w:rsidRDefault="00B20F47"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tcPr>
          <w:p w:rsidR="00B007B6" w:rsidRPr="00B34368" w:rsidRDefault="00B007B6" w:rsidP="00DD272F">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4</w:t>
            </w:r>
          </w:p>
        </w:tc>
        <w:tc>
          <w:tcPr>
            <w:tcW w:w="3357" w:type="dxa"/>
          </w:tcPr>
          <w:p w:rsidR="00B007B6" w:rsidRPr="00B34368" w:rsidRDefault="00B007B6" w:rsidP="00DD272F">
            <w:pPr>
              <w:spacing w:before="29" w:line="360" w:lineRule="auto"/>
              <w:ind w:leftChars="50" w:left="105"/>
              <w:rPr>
                <w:rFonts w:eastAsiaTheme="minorEastAsia"/>
                <w:color w:val="000000" w:themeColor="text1"/>
                <w:sz w:val="24"/>
              </w:rPr>
            </w:pPr>
            <w:r w:rsidRPr="00B34368">
              <w:rPr>
                <w:rFonts w:eastAsiaTheme="minorEastAsia" w:hAnsiTheme="minorEastAsia"/>
                <w:color w:val="000000" w:themeColor="text1"/>
                <w:sz w:val="24"/>
              </w:rPr>
              <w:t>贵金属投资</w:t>
            </w:r>
          </w:p>
        </w:tc>
        <w:tc>
          <w:tcPr>
            <w:tcW w:w="2694" w:type="dxa"/>
            <w:vAlign w:val="center"/>
          </w:tcPr>
          <w:p w:rsidR="00B007B6" w:rsidRPr="00B34368" w:rsidRDefault="00B007B6" w:rsidP="00DD272F">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DD272F">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5</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金融衍生品投资</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6</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买入返售金融资产</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其中：买断式回购的买入返售金融资产</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720" w:type="dxa"/>
            <w:vAlign w:val="center"/>
          </w:tcPr>
          <w:p w:rsidR="00B007B6" w:rsidRPr="00B34368" w:rsidRDefault="00B007B6" w:rsidP="00A3193E">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7</w:t>
            </w:r>
          </w:p>
        </w:tc>
        <w:tc>
          <w:tcPr>
            <w:tcW w:w="3357" w:type="dxa"/>
            <w:vAlign w:val="center"/>
          </w:tcPr>
          <w:p w:rsidR="00B007B6" w:rsidRPr="00B34368" w:rsidRDefault="00B007B6" w:rsidP="00A3193E">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银行存款和结算备付金合计</w:t>
            </w:r>
          </w:p>
        </w:tc>
        <w:tc>
          <w:tcPr>
            <w:tcW w:w="2694"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324,426,034.14</w:t>
            </w:r>
          </w:p>
        </w:tc>
        <w:tc>
          <w:tcPr>
            <w:tcW w:w="1757" w:type="dxa"/>
            <w:vAlign w:val="center"/>
          </w:tcPr>
          <w:p w:rsidR="00B007B6" w:rsidRPr="00B34368" w:rsidRDefault="00B007B6" w:rsidP="00A3193E">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6.19</w:t>
            </w:r>
          </w:p>
        </w:tc>
      </w:tr>
      <w:tr w:rsidR="00D3639B" w:rsidRPr="00B34368" w:rsidTr="00975D18">
        <w:tc>
          <w:tcPr>
            <w:tcW w:w="720" w:type="dxa"/>
            <w:vAlign w:val="center"/>
          </w:tcPr>
          <w:p w:rsidR="00B007B6" w:rsidRPr="00B34368" w:rsidRDefault="00B007B6" w:rsidP="00B007B6">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8</w:t>
            </w:r>
          </w:p>
        </w:tc>
        <w:tc>
          <w:tcPr>
            <w:tcW w:w="3357" w:type="dxa"/>
            <w:vAlign w:val="center"/>
          </w:tcPr>
          <w:p w:rsidR="00B007B6" w:rsidRPr="00B34368" w:rsidRDefault="00E57CD3" w:rsidP="00A3193E">
            <w:pPr>
              <w:jc w:val="left"/>
              <w:rPr>
                <w:rFonts w:eastAsiaTheme="minorEastAsia"/>
                <w:color w:val="000000" w:themeColor="text1"/>
                <w:sz w:val="24"/>
              </w:rPr>
            </w:pPr>
            <w:r>
              <w:rPr>
                <w:rFonts w:eastAsiaTheme="minorEastAsia" w:hAnsiTheme="minorEastAsia"/>
                <w:color w:val="000000" w:themeColor="text1"/>
                <w:sz w:val="24"/>
              </w:rPr>
              <w:t>其他</w:t>
            </w:r>
            <w:r w:rsidR="00B007B6" w:rsidRPr="00B34368">
              <w:rPr>
                <w:rFonts w:eastAsiaTheme="minorEastAsia" w:hAnsiTheme="minorEastAsia"/>
                <w:color w:val="000000" w:themeColor="text1"/>
                <w:sz w:val="24"/>
              </w:rPr>
              <w:t>资产</w:t>
            </w:r>
          </w:p>
        </w:tc>
        <w:tc>
          <w:tcPr>
            <w:tcW w:w="2694"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22,204,541.22</w:t>
            </w:r>
          </w:p>
        </w:tc>
        <w:tc>
          <w:tcPr>
            <w:tcW w:w="1757"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0.42</w:t>
            </w:r>
          </w:p>
        </w:tc>
      </w:tr>
      <w:tr w:rsidR="00D3639B" w:rsidRPr="00B34368" w:rsidTr="00975D18">
        <w:tc>
          <w:tcPr>
            <w:tcW w:w="720" w:type="dxa"/>
            <w:vAlign w:val="center"/>
          </w:tcPr>
          <w:p w:rsidR="00B007B6" w:rsidRPr="00B34368" w:rsidRDefault="00B007B6" w:rsidP="00B007B6">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9</w:t>
            </w:r>
          </w:p>
        </w:tc>
        <w:tc>
          <w:tcPr>
            <w:tcW w:w="3357" w:type="dxa"/>
            <w:vAlign w:val="center"/>
          </w:tcPr>
          <w:p w:rsidR="00B007B6" w:rsidRPr="00B34368" w:rsidRDefault="00B007B6" w:rsidP="00A3193E">
            <w:pPr>
              <w:jc w:val="left"/>
              <w:rPr>
                <w:rFonts w:eastAsiaTheme="minorEastAsia"/>
                <w:color w:val="000000" w:themeColor="text1"/>
                <w:sz w:val="24"/>
              </w:rPr>
            </w:pPr>
            <w:r w:rsidRPr="00B34368">
              <w:rPr>
                <w:rFonts w:eastAsiaTheme="minorEastAsia" w:hAnsiTheme="minorEastAsia"/>
                <w:color w:val="000000" w:themeColor="text1"/>
                <w:sz w:val="24"/>
              </w:rPr>
              <w:t>合计</w:t>
            </w:r>
          </w:p>
        </w:tc>
        <w:tc>
          <w:tcPr>
            <w:tcW w:w="2694"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5,238,567,875.61</w:t>
            </w:r>
          </w:p>
        </w:tc>
        <w:tc>
          <w:tcPr>
            <w:tcW w:w="1757" w:type="dxa"/>
            <w:vAlign w:val="center"/>
          </w:tcPr>
          <w:p w:rsidR="00B007B6" w:rsidRPr="00B34368" w:rsidRDefault="00B007B6" w:rsidP="00A3193E">
            <w:pPr>
              <w:jc w:val="right"/>
              <w:rPr>
                <w:rFonts w:eastAsiaTheme="minorEastAsia"/>
                <w:color w:val="000000" w:themeColor="text1"/>
                <w:sz w:val="24"/>
              </w:rPr>
            </w:pPr>
            <w:r w:rsidRPr="00B34368">
              <w:rPr>
                <w:rFonts w:eastAsiaTheme="minorEastAsia"/>
                <w:color w:val="000000" w:themeColor="text1"/>
                <w:sz w:val="24"/>
              </w:rPr>
              <w:t>100.00</w:t>
            </w:r>
          </w:p>
        </w:tc>
      </w:tr>
    </w:tbl>
    <w:p w:rsidR="0040218E" w:rsidRPr="00B34368" w:rsidRDefault="0040218E"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5.2</w:t>
      </w:r>
      <w:r w:rsidRPr="00B34368">
        <w:rPr>
          <w:rFonts w:eastAsiaTheme="minorEastAsia" w:hAnsiTheme="minorEastAsia"/>
          <w:b/>
          <w:color w:val="000000" w:themeColor="text1"/>
          <w:kern w:val="0"/>
          <w:sz w:val="24"/>
        </w:rPr>
        <w:t>期末投资目标基金明细</w:t>
      </w:r>
    </w:p>
    <w:tbl>
      <w:tblPr>
        <w:tblStyle w:val="af2"/>
        <w:tblW w:w="0" w:type="auto"/>
        <w:tblInd w:w="108" w:type="dxa"/>
        <w:tblLook w:val="04A0" w:firstRow="1" w:lastRow="0" w:firstColumn="1" w:lastColumn="0" w:noHBand="0" w:noVBand="1"/>
      </w:tblPr>
      <w:tblGrid>
        <w:gridCol w:w="1194"/>
        <w:gridCol w:w="1195"/>
        <w:gridCol w:w="1195"/>
        <w:gridCol w:w="1195"/>
        <w:gridCol w:w="1195"/>
        <w:gridCol w:w="1489"/>
        <w:gridCol w:w="1465"/>
      </w:tblGrid>
      <w:tr w:rsidR="00D3639B" w:rsidRPr="00B34368" w:rsidTr="00975D18">
        <w:tc>
          <w:tcPr>
            <w:tcW w:w="1215"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基金名称</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基金类型</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运作方式</w:t>
            </w:r>
          </w:p>
        </w:tc>
        <w:tc>
          <w:tcPr>
            <w:tcW w:w="1216"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管理人</w:t>
            </w:r>
          </w:p>
        </w:tc>
        <w:tc>
          <w:tcPr>
            <w:tcW w:w="1217"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公允价值</w:t>
            </w:r>
            <w:r w:rsidR="00A22E07" w:rsidRPr="00B34368">
              <w:rPr>
                <w:rFonts w:eastAsiaTheme="minorEastAsia" w:hAnsiTheme="minorEastAsia"/>
                <w:color w:val="000000" w:themeColor="text1"/>
                <w:sz w:val="24"/>
              </w:rPr>
              <w:t>（元）</w:t>
            </w:r>
          </w:p>
        </w:tc>
        <w:tc>
          <w:tcPr>
            <w:tcW w:w="1217" w:type="dxa"/>
            <w:vAlign w:val="center"/>
          </w:tcPr>
          <w:p w:rsidR="0040218E" w:rsidRPr="00B34368" w:rsidRDefault="0040218E" w:rsidP="00782E9C">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占基金资产净值比例（</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w:t>
            </w:r>
          </w:p>
        </w:tc>
      </w:tr>
      <w:tr w:rsidR="00BE6341">
        <w:tc>
          <w:tcPr>
            <w:tcW w:w="0" w:type="auto"/>
            <w:vAlign w:val="center"/>
          </w:tcPr>
          <w:p w:rsidR="00BE6341" w:rsidRDefault="00225C31">
            <w:pPr>
              <w:jc w:val="center"/>
            </w:pPr>
            <w:r>
              <w:rPr>
                <w:rFonts w:eastAsiaTheme="minorEastAsia"/>
                <w:color w:val="000000" w:themeColor="text1"/>
                <w:sz w:val="24"/>
              </w:rPr>
              <w:t>1</w:t>
            </w:r>
          </w:p>
        </w:tc>
        <w:tc>
          <w:tcPr>
            <w:tcW w:w="0" w:type="auto"/>
            <w:vAlign w:val="center"/>
          </w:tcPr>
          <w:p w:rsidR="00BE6341" w:rsidRDefault="00225C31">
            <w:pPr>
              <w:jc w:val="center"/>
            </w:pPr>
            <w:r>
              <w:rPr>
                <w:rFonts w:eastAsiaTheme="minorEastAsia"/>
                <w:color w:val="000000" w:themeColor="text1"/>
                <w:sz w:val="24"/>
              </w:rPr>
              <w:t>易方达创业板交易型开放式指数证券投资基金</w:t>
            </w:r>
          </w:p>
        </w:tc>
        <w:tc>
          <w:tcPr>
            <w:tcW w:w="0" w:type="auto"/>
            <w:vAlign w:val="center"/>
          </w:tcPr>
          <w:p w:rsidR="00BE6341" w:rsidRDefault="00225C31">
            <w:pPr>
              <w:jc w:val="center"/>
            </w:pPr>
            <w:r>
              <w:rPr>
                <w:rFonts w:eastAsiaTheme="minorEastAsia"/>
                <w:color w:val="000000" w:themeColor="text1"/>
                <w:sz w:val="24"/>
              </w:rPr>
              <w:t>股票型</w:t>
            </w:r>
          </w:p>
        </w:tc>
        <w:tc>
          <w:tcPr>
            <w:tcW w:w="0" w:type="auto"/>
            <w:vAlign w:val="center"/>
          </w:tcPr>
          <w:p w:rsidR="00BE6341" w:rsidRDefault="00225C31">
            <w:pPr>
              <w:jc w:val="center"/>
            </w:pPr>
            <w:r>
              <w:rPr>
                <w:rFonts w:eastAsiaTheme="minorEastAsia"/>
                <w:color w:val="000000" w:themeColor="text1"/>
                <w:sz w:val="24"/>
              </w:rPr>
              <w:t>交易型开放式（</w:t>
            </w:r>
            <w:r>
              <w:rPr>
                <w:rFonts w:eastAsiaTheme="minorEastAsia"/>
                <w:color w:val="000000" w:themeColor="text1"/>
                <w:sz w:val="24"/>
              </w:rPr>
              <w:t>ETF</w:t>
            </w:r>
            <w:r>
              <w:rPr>
                <w:rFonts w:eastAsiaTheme="minorEastAsia"/>
                <w:color w:val="000000" w:themeColor="text1"/>
                <w:sz w:val="24"/>
              </w:rPr>
              <w:t>）</w:t>
            </w:r>
          </w:p>
        </w:tc>
        <w:tc>
          <w:tcPr>
            <w:tcW w:w="0" w:type="auto"/>
            <w:vAlign w:val="center"/>
          </w:tcPr>
          <w:p w:rsidR="00BE6341" w:rsidRDefault="00225C31">
            <w:pPr>
              <w:jc w:val="center"/>
            </w:pPr>
            <w:r>
              <w:rPr>
                <w:rFonts w:eastAsiaTheme="minorEastAsia"/>
                <w:color w:val="000000" w:themeColor="text1"/>
                <w:sz w:val="24"/>
              </w:rPr>
              <w:t>易方达基金管理有限公司</w:t>
            </w:r>
          </w:p>
        </w:tc>
        <w:tc>
          <w:tcPr>
            <w:tcW w:w="0" w:type="auto"/>
            <w:vAlign w:val="center"/>
          </w:tcPr>
          <w:p w:rsidR="00BE6341" w:rsidRDefault="00225C31">
            <w:pPr>
              <w:jc w:val="right"/>
            </w:pPr>
            <w:r>
              <w:rPr>
                <w:rFonts w:eastAsiaTheme="minorEastAsia"/>
                <w:color w:val="000000" w:themeColor="text1"/>
                <w:sz w:val="24"/>
              </w:rPr>
              <w:t>4,869,892,660.77</w:t>
            </w:r>
          </w:p>
        </w:tc>
        <w:tc>
          <w:tcPr>
            <w:tcW w:w="0" w:type="auto"/>
            <w:vAlign w:val="center"/>
          </w:tcPr>
          <w:p w:rsidR="00BE6341" w:rsidRDefault="00225C31">
            <w:pPr>
              <w:jc w:val="right"/>
            </w:pPr>
            <w:r>
              <w:rPr>
                <w:rFonts w:eastAsiaTheme="minorEastAsia"/>
                <w:color w:val="000000" w:themeColor="text1"/>
                <w:sz w:val="24"/>
              </w:rPr>
              <w:t>94.05</w:t>
            </w:r>
          </w:p>
        </w:tc>
      </w:tr>
    </w:tbl>
    <w:p w:rsidR="0054389B" w:rsidRPr="00B34368" w:rsidRDefault="0054389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 xml:space="preserve">5.3 </w:t>
      </w:r>
      <w:r w:rsidRPr="00B34368">
        <w:rPr>
          <w:rFonts w:eastAsiaTheme="minorEastAsia" w:hAnsiTheme="minorEastAsia"/>
          <w:b/>
          <w:color w:val="000000" w:themeColor="text1"/>
          <w:kern w:val="0"/>
          <w:sz w:val="24"/>
        </w:rPr>
        <w:t>报告期末按行业分类的股票投资组合</w:t>
      </w:r>
    </w:p>
    <w:p w:rsidR="0054389B" w:rsidRPr="00B34368" w:rsidRDefault="0054389B" w:rsidP="0054389B">
      <w:pPr>
        <w:rPr>
          <w:rFonts w:eastAsiaTheme="minorEastAsia"/>
          <w:b/>
          <w:sz w:val="24"/>
        </w:rPr>
      </w:pPr>
      <w:r w:rsidRPr="00B34368">
        <w:rPr>
          <w:rFonts w:eastAsiaTheme="minorEastAsia"/>
          <w:b/>
          <w:color w:val="000000" w:themeColor="text1"/>
          <w:kern w:val="0"/>
          <w:sz w:val="24"/>
        </w:rPr>
        <w:t>5.3.1</w:t>
      </w:r>
      <w:r w:rsidRPr="00B34368">
        <w:rPr>
          <w:rFonts w:eastAsiaTheme="minorEastAsia" w:hAnsiTheme="minorEastAsia"/>
          <w:b/>
          <w:color w:val="000000" w:themeColor="text1"/>
          <w:kern w:val="0"/>
          <w:sz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3135"/>
        <w:gridCol w:w="1365"/>
      </w:tblGrid>
      <w:tr w:rsidR="00D3639B" w:rsidRPr="00B34368" w:rsidTr="00975D1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行业类别</w:t>
            </w:r>
          </w:p>
        </w:tc>
        <w:tc>
          <w:tcPr>
            <w:tcW w:w="3135" w:type="dxa"/>
            <w:tcBorders>
              <w:top w:val="single" w:sz="4" w:space="0" w:color="000000"/>
              <w:left w:val="single" w:sz="4" w:space="0" w:color="auto"/>
              <w:bottom w:val="single" w:sz="4" w:space="0" w:color="000000"/>
              <w:right w:val="single" w:sz="4" w:space="0" w:color="000000"/>
            </w:tcBorders>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公允价值（元）</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农、林、牧、渔业</w:t>
            </w:r>
          </w:p>
        </w:tc>
        <w:tc>
          <w:tcPr>
            <w:tcW w:w="3135" w:type="dxa"/>
            <w:tcBorders>
              <w:top w:val="single" w:sz="4" w:space="0" w:color="000000"/>
              <w:left w:val="single" w:sz="4" w:space="0" w:color="auto"/>
              <w:bottom w:val="single" w:sz="4" w:space="0" w:color="000000"/>
              <w:right w:val="single" w:sz="4" w:space="0" w:color="000000"/>
            </w:tcBorders>
            <w:vAlign w:val="center"/>
          </w:tcPr>
          <w:p w:rsidR="005F458B" w:rsidRPr="00B34368" w:rsidRDefault="005F458B" w:rsidP="00724F6D">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1,766,580.00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F458B" w:rsidRPr="00B34368" w:rsidRDefault="005F458B" w:rsidP="00724F6D">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0.03</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采矿业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p w:rsidR="005F458B" w:rsidRPr="00B34368" w:rsidRDefault="005F458B" w:rsidP="00724F6D">
            <w:pPr>
              <w:jc w:val="right"/>
              <w:rPr>
                <w:rFonts w:eastAsiaTheme="minorEastAsia"/>
                <w:color w:val="000000" w:themeColor="text1"/>
                <w:sz w:val="24"/>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p w:rsidR="005F458B" w:rsidRPr="00B34368" w:rsidRDefault="005F458B" w:rsidP="00724F6D">
            <w:pPr>
              <w:jc w:val="right"/>
              <w:rPr>
                <w:rFonts w:eastAsiaTheme="minorEastAsia"/>
                <w:color w:val="000000" w:themeColor="text1"/>
                <w:sz w:val="24"/>
              </w:rPr>
            </w:pP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制造业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10,255,990.58</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0.20</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电力、热力、燃气及水生产和供应业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1,987,241.74</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0.04</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建筑业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批发和零售业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交通运输、仓储和邮政业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住宿和餐饮业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信息传输、软件和信息技术服务业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3,288,000.60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0.06</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金融业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1,020,319.00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0.02</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房地产业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租赁和商务服务业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132,775.00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0.00</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724F6D">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科学研究和技术服务业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422,373.00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0.01</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水利、环境和公共设施管理业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176,058.04</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0.00</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居民服务、修理和其他服务业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教育</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卫生和社会工作</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1,180,736.20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0.02</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文化、体育和娱乐业</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863,781.80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0.02</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r w:rsidRPr="00B34368">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综合</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5F458B" w:rsidRPr="00B34368" w:rsidRDefault="005F458B" w:rsidP="00724F6D">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F458B" w:rsidRPr="00B34368" w:rsidRDefault="005F458B" w:rsidP="00975D18">
            <w:pPr>
              <w:adjustRightInd w:val="0"/>
              <w:snapToGrid w:val="0"/>
              <w:spacing w:line="400" w:lineRule="exact"/>
              <w:rPr>
                <w:rFonts w:eastAsiaTheme="minorEastAsia"/>
                <w:color w:val="000000" w:themeColor="text1"/>
                <w:sz w:val="24"/>
              </w:rPr>
            </w:pPr>
            <w:r w:rsidRPr="00B34368">
              <w:rPr>
                <w:rFonts w:eastAsiaTheme="minorEastAsia" w:hAnsiTheme="minorEastAsia"/>
                <w:color w:val="000000" w:themeColor="text1"/>
                <w:sz w:val="24"/>
              </w:rPr>
              <w:t>合计</w:t>
            </w:r>
          </w:p>
        </w:tc>
        <w:tc>
          <w:tcPr>
            <w:tcW w:w="3135" w:type="dxa"/>
            <w:tcBorders>
              <w:top w:val="single" w:sz="4" w:space="0" w:color="000000"/>
              <w:left w:val="single" w:sz="4" w:space="0" w:color="auto"/>
              <w:bottom w:val="single" w:sz="4" w:space="0" w:color="000000"/>
              <w:right w:val="single" w:sz="4" w:space="0" w:color="000000"/>
            </w:tcBorders>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21,093,855.96</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5F458B" w:rsidRPr="00B34368" w:rsidRDefault="005F458B" w:rsidP="00724F6D">
            <w:pPr>
              <w:jc w:val="right"/>
              <w:rPr>
                <w:rFonts w:eastAsiaTheme="minorEastAsia"/>
                <w:color w:val="000000" w:themeColor="text1"/>
                <w:sz w:val="24"/>
              </w:rPr>
            </w:pPr>
            <w:r w:rsidRPr="00B34368">
              <w:rPr>
                <w:rFonts w:eastAsiaTheme="minorEastAsia"/>
                <w:color w:val="000000" w:themeColor="text1"/>
                <w:sz w:val="24"/>
              </w:rPr>
              <w:t>0.41</w:t>
            </w:r>
          </w:p>
        </w:tc>
      </w:tr>
    </w:tbl>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4</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报告期末按公允价值占基金资产净值比例大小排序的前十名股票投资明细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D3639B" w:rsidRPr="00B34368" w:rsidTr="00975D18">
        <w:tc>
          <w:tcPr>
            <w:tcW w:w="817"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1276"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股票代码</w:t>
            </w:r>
          </w:p>
        </w:tc>
        <w:tc>
          <w:tcPr>
            <w:tcW w:w="1701"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股票名称</w:t>
            </w:r>
          </w:p>
        </w:tc>
        <w:tc>
          <w:tcPr>
            <w:tcW w:w="1276"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数量</w:t>
            </w:r>
            <w:r w:rsidRPr="00B34368">
              <w:rPr>
                <w:rFonts w:eastAsiaTheme="minorEastAsia"/>
                <w:color w:val="000000" w:themeColor="text1"/>
                <w:sz w:val="24"/>
              </w:rPr>
              <w:t>(</w:t>
            </w:r>
            <w:r w:rsidRPr="00B34368">
              <w:rPr>
                <w:rFonts w:eastAsiaTheme="minorEastAsia" w:hAnsiTheme="minorEastAsia"/>
                <w:color w:val="000000" w:themeColor="text1"/>
                <w:sz w:val="24"/>
              </w:rPr>
              <w:t>股</w:t>
            </w:r>
            <w:r w:rsidRPr="00B34368">
              <w:rPr>
                <w:rFonts w:eastAsiaTheme="minorEastAsia"/>
                <w:color w:val="000000" w:themeColor="text1"/>
                <w:sz w:val="24"/>
              </w:rPr>
              <w:t>)</w:t>
            </w:r>
          </w:p>
        </w:tc>
        <w:tc>
          <w:tcPr>
            <w:tcW w:w="1842" w:type="dxa"/>
            <w:vAlign w:val="center"/>
          </w:tcPr>
          <w:p w:rsidR="000871DB" w:rsidRPr="00B34368" w:rsidRDefault="000871DB" w:rsidP="000871DB">
            <w:pPr>
              <w:autoSpaceDE w:val="0"/>
              <w:autoSpaceDN w:val="0"/>
              <w:adjustRightInd w:val="0"/>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公允价值</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1616" w:type="dxa"/>
            <w:vAlign w:val="center"/>
          </w:tcPr>
          <w:p w:rsidR="000871DB" w:rsidRPr="00B34368" w:rsidRDefault="000871DB" w:rsidP="000871DB">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r w:rsidRPr="00B34368">
              <w:rPr>
                <w:rFonts w:eastAsiaTheme="minorEastAsia"/>
                <w:color w:val="000000" w:themeColor="text1"/>
                <w:sz w:val="24"/>
              </w:rPr>
              <w:t>(</w:t>
            </w:r>
            <w:r w:rsidRPr="00B34368">
              <w:rPr>
                <w:rFonts w:eastAsiaTheme="minorEastAsia" w:hAnsiTheme="minorEastAsia"/>
                <w:color w:val="000000" w:themeColor="text1"/>
                <w:sz w:val="24"/>
              </w:rPr>
              <w:t>％</w:t>
            </w:r>
            <w:r w:rsidRPr="00B34368">
              <w:rPr>
                <w:rFonts w:eastAsiaTheme="minorEastAsia"/>
                <w:color w:val="000000" w:themeColor="text1"/>
                <w:sz w:val="24"/>
              </w:rPr>
              <w:t>)</w:t>
            </w:r>
          </w:p>
        </w:tc>
      </w:tr>
      <w:tr w:rsidR="00BE6341">
        <w:tc>
          <w:tcPr>
            <w:tcW w:w="0" w:type="auto"/>
            <w:vAlign w:val="center"/>
          </w:tcPr>
          <w:p w:rsidR="00BE6341" w:rsidRDefault="00225C31">
            <w:pPr>
              <w:jc w:val="center"/>
            </w:pPr>
            <w:r>
              <w:rPr>
                <w:rFonts w:eastAsiaTheme="minorEastAsia"/>
                <w:color w:val="000000" w:themeColor="text1"/>
                <w:sz w:val="24"/>
              </w:rPr>
              <w:t>1</w:t>
            </w:r>
          </w:p>
        </w:tc>
        <w:tc>
          <w:tcPr>
            <w:tcW w:w="0" w:type="auto"/>
            <w:vAlign w:val="center"/>
          </w:tcPr>
          <w:p w:rsidR="00BE6341" w:rsidRDefault="00225C31">
            <w:pPr>
              <w:jc w:val="center"/>
            </w:pPr>
            <w:r>
              <w:rPr>
                <w:rFonts w:eastAsiaTheme="minorEastAsia"/>
                <w:color w:val="000000" w:themeColor="text1"/>
                <w:sz w:val="24"/>
              </w:rPr>
              <w:t>003816</w:t>
            </w:r>
          </w:p>
        </w:tc>
        <w:tc>
          <w:tcPr>
            <w:tcW w:w="0" w:type="auto"/>
            <w:vAlign w:val="center"/>
          </w:tcPr>
          <w:p w:rsidR="00BE6341" w:rsidRDefault="00225C31">
            <w:pPr>
              <w:jc w:val="center"/>
            </w:pPr>
            <w:r>
              <w:rPr>
                <w:rFonts w:eastAsiaTheme="minorEastAsia"/>
                <w:color w:val="000000" w:themeColor="text1"/>
                <w:sz w:val="24"/>
              </w:rPr>
              <w:t>中国广核</w:t>
            </w:r>
          </w:p>
        </w:tc>
        <w:tc>
          <w:tcPr>
            <w:tcW w:w="0" w:type="auto"/>
            <w:vAlign w:val="center"/>
          </w:tcPr>
          <w:p w:rsidR="00BE6341" w:rsidRDefault="00225C31">
            <w:pPr>
              <w:jc w:val="right"/>
            </w:pPr>
            <w:r>
              <w:rPr>
                <w:rFonts w:eastAsiaTheme="minorEastAsia"/>
                <w:color w:val="000000" w:themeColor="text1"/>
                <w:sz w:val="24"/>
              </w:rPr>
              <w:t>562,958</w:t>
            </w:r>
          </w:p>
        </w:tc>
        <w:tc>
          <w:tcPr>
            <w:tcW w:w="0" w:type="auto"/>
            <w:vAlign w:val="center"/>
          </w:tcPr>
          <w:p w:rsidR="00BE6341" w:rsidRDefault="00225C31">
            <w:pPr>
              <w:jc w:val="right"/>
            </w:pPr>
            <w:r>
              <w:rPr>
                <w:rFonts w:eastAsiaTheme="minorEastAsia"/>
                <w:color w:val="000000" w:themeColor="text1"/>
                <w:sz w:val="24"/>
              </w:rPr>
              <w:t>1,987,241.74</w:t>
            </w:r>
          </w:p>
        </w:tc>
        <w:tc>
          <w:tcPr>
            <w:tcW w:w="0" w:type="auto"/>
            <w:vAlign w:val="center"/>
          </w:tcPr>
          <w:p w:rsidR="00BE6341" w:rsidRDefault="00225C31">
            <w:pPr>
              <w:jc w:val="right"/>
            </w:pPr>
            <w:r>
              <w:rPr>
                <w:rFonts w:eastAsiaTheme="minorEastAsia"/>
                <w:color w:val="000000" w:themeColor="text1"/>
                <w:sz w:val="24"/>
              </w:rPr>
              <w:t>0.04</w:t>
            </w:r>
          </w:p>
        </w:tc>
      </w:tr>
      <w:tr w:rsidR="00BE6341">
        <w:tc>
          <w:tcPr>
            <w:tcW w:w="0" w:type="auto"/>
            <w:vAlign w:val="center"/>
          </w:tcPr>
          <w:p w:rsidR="00BE6341" w:rsidRDefault="00225C31">
            <w:pPr>
              <w:jc w:val="center"/>
            </w:pPr>
            <w:r>
              <w:rPr>
                <w:rFonts w:eastAsiaTheme="minorEastAsia"/>
                <w:color w:val="000000" w:themeColor="text1"/>
                <w:sz w:val="24"/>
              </w:rPr>
              <w:t>2</w:t>
            </w:r>
          </w:p>
        </w:tc>
        <w:tc>
          <w:tcPr>
            <w:tcW w:w="0" w:type="auto"/>
            <w:vAlign w:val="center"/>
          </w:tcPr>
          <w:p w:rsidR="00BE6341" w:rsidRDefault="00225C31">
            <w:pPr>
              <w:jc w:val="center"/>
            </w:pPr>
            <w:r>
              <w:rPr>
                <w:rFonts w:eastAsiaTheme="minorEastAsia"/>
                <w:color w:val="000000" w:themeColor="text1"/>
                <w:sz w:val="24"/>
              </w:rPr>
              <w:t>300498</w:t>
            </w:r>
          </w:p>
        </w:tc>
        <w:tc>
          <w:tcPr>
            <w:tcW w:w="0" w:type="auto"/>
            <w:vAlign w:val="center"/>
          </w:tcPr>
          <w:p w:rsidR="00BE6341" w:rsidRDefault="00225C31">
            <w:pPr>
              <w:jc w:val="center"/>
            </w:pPr>
            <w:r>
              <w:rPr>
                <w:rFonts w:eastAsiaTheme="minorEastAsia"/>
                <w:color w:val="000000" w:themeColor="text1"/>
                <w:sz w:val="24"/>
              </w:rPr>
              <w:t>温氏股份</w:t>
            </w:r>
          </w:p>
        </w:tc>
        <w:tc>
          <w:tcPr>
            <w:tcW w:w="0" w:type="auto"/>
            <w:vAlign w:val="center"/>
          </w:tcPr>
          <w:p w:rsidR="00BE6341" w:rsidRDefault="00225C31">
            <w:pPr>
              <w:jc w:val="right"/>
            </w:pPr>
            <w:r>
              <w:rPr>
                <w:rFonts w:eastAsiaTheme="minorEastAsia"/>
                <w:color w:val="000000" w:themeColor="text1"/>
                <w:sz w:val="24"/>
              </w:rPr>
              <w:t>52,400</w:t>
            </w:r>
          </w:p>
        </w:tc>
        <w:tc>
          <w:tcPr>
            <w:tcW w:w="0" w:type="auto"/>
            <w:vAlign w:val="center"/>
          </w:tcPr>
          <w:p w:rsidR="00BE6341" w:rsidRDefault="00225C31">
            <w:pPr>
              <w:jc w:val="right"/>
            </w:pPr>
            <w:r>
              <w:rPr>
                <w:rFonts w:eastAsiaTheme="minorEastAsia"/>
                <w:color w:val="000000" w:themeColor="text1"/>
                <w:sz w:val="24"/>
              </w:rPr>
              <w:t>1,760,640.00</w:t>
            </w:r>
          </w:p>
        </w:tc>
        <w:tc>
          <w:tcPr>
            <w:tcW w:w="0" w:type="auto"/>
            <w:vAlign w:val="center"/>
          </w:tcPr>
          <w:p w:rsidR="00BE6341" w:rsidRDefault="00225C31">
            <w:pPr>
              <w:jc w:val="right"/>
            </w:pPr>
            <w:r>
              <w:rPr>
                <w:rFonts w:eastAsiaTheme="minorEastAsia"/>
                <w:color w:val="000000" w:themeColor="text1"/>
                <w:sz w:val="24"/>
              </w:rPr>
              <w:t>0.03</w:t>
            </w:r>
          </w:p>
        </w:tc>
      </w:tr>
      <w:tr w:rsidR="00BE6341">
        <w:tc>
          <w:tcPr>
            <w:tcW w:w="0" w:type="auto"/>
            <w:vAlign w:val="center"/>
          </w:tcPr>
          <w:p w:rsidR="00BE6341" w:rsidRDefault="00225C31">
            <w:pPr>
              <w:jc w:val="center"/>
            </w:pPr>
            <w:r>
              <w:rPr>
                <w:rFonts w:eastAsiaTheme="minorEastAsia"/>
                <w:color w:val="000000" w:themeColor="text1"/>
                <w:sz w:val="24"/>
              </w:rPr>
              <w:t>3</w:t>
            </w:r>
          </w:p>
        </w:tc>
        <w:tc>
          <w:tcPr>
            <w:tcW w:w="0" w:type="auto"/>
            <w:vAlign w:val="center"/>
          </w:tcPr>
          <w:p w:rsidR="00BE6341" w:rsidRDefault="00225C31">
            <w:pPr>
              <w:jc w:val="center"/>
            </w:pPr>
            <w:r>
              <w:rPr>
                <w:rFonts w:eastAsiaTheme="minorEastAsia"/>
                <w:color w:val="000000" w:themeColor="text1"/>
                <w:sz w:val="24"/>
              </w:rPr>
              <w:t>300750</w:t>
            </w:r>
          </w:p>
        </w:tc>
        <w:tc>
          <w:tcPr>
            <w:tcW w:w="0" w:type="auto"/>
            <w:vAlign w:val="center"/>
          </w:tcPr>
          <w:p w:rsidR="00BE6341" w:rsidRDefault="00225C31">
            <w:pPr>
              <w:jc w:val="center"/>
            </w:pPr>
            <w:r>
              <w:rPr>
                <w:rFonts w:eastAsiaTheme="minorEastAsia"/>
                <w:color w:val="000000" w:themeColor="text1"/>
                <w:sz w:val="24"/>
              </w:rPr>
              <w:t>宁德时代</w:t>
            </w:r>
          </w:p>
        </w:tc>
        <w:tc>
          <w:tcPr>
            <w:tcW w:w="0" w:type="auto"/>
            <w:vAlign w:val="center"/>
          </w:tcPr>
          <w:p w:rsidR="00BE6341" w:rsidRDefault="00225C31">
            <w:pPr>
              <w:jc w:val="right"/>
            </w:pPr>
            <w:r>
              <w:rPr>
                <w:rFonts w:eastAsiaTheme="minorEastAsia"/>
                <w:color w:val="000000" w:themeColor="text1"/>
                <w:sz w:val="24"/>
              </w:rPr>
              <w:t>10,500</w:t>
            </w:r>
          </w:p>
        </w:tc>
        <w:tc>
          <w:tcPr>
            <w:tcW w:w="0" w:type="auto"/>
            <w:vAlign w:val="center"/>
          </w:tcPr>
          <w:p w:rsidR="00BE6341" w:rsidRDefault="00225C31">
            <w:pPr>
              <w:jc w:val="right"/>
            </w:pPr>
            <w:r>
              <w:rPr>
                <w:rFonts w:eastAsiaTheme="minorEastAsia"/>
                <w:color w:val="000000" w:themeColor="text1"/>
                <w:sz w:val="24"/>
              </w:rPr>
              <w:t>1,117,200.00</w:t>
            </w:r>
          </w:p>
        </w:tc>
        <w:tc>
          <w:tcPr>
            <w:tcW w:w="0" w:type="auto"/>
            <w:vAlign w:val="center"/>
          </w:tcPr>
          <w:p w:rsidR="00BE6341" w:rsidRDefault="00225C31">
            <w:pPr>
              <w:jc w:val="right"/>
            </w:pPr>
            <w:r>
              <w:rPr>
                <w:rFonts w:eastAsiaTheme="minorEastAsia"/>
                <w:color w:val="000000" w:themeColor="text1"/>
                <w:sz w:val="24"/>
              </w:rPr>
              <w:t>0.02</w:t>
            </w:r>
          </w:p>
        </w:tc>
      </w:tr>
      <w:tr w:rsidR="00BE6341">
        <w:tc>
          <w:tcPr>
            <w:tcW w:w="0" w:type="auto"/>
            <w:vAlign w:val="center"/>
          </w:tcPr>
          <w:p w:rsidR="00BE6341" w:rsidRDefault="00225C31">
            <w:pPr>
              <w:jc w:val="center"/>
            </w:pPr>
            <w:r>
              <w:rPr>
                <w:rFonts w:eastAsiaTheme="minorEastAsia"/>
                <w:color w:val="000000" w:themeColor="text1"/>
                <w:sz w:val="24"/>
              </w:rPr>
              <w:t>4</w:t>
            </w:r>
          </w:p>
        </w:tc>
        <w:tc>
          <w:tcPr>
            <w:tcW w:w="0" w:type="auto"/>
            <w:vAlign w:val="center"/>
          </w:tcPr>
          <w:p w:rsidR="00BE6341" w:rsidRDefault="00225C31">
            <w:pPr>
              <w:jc w:val="center"/>
            </w:pPr>
            <w:r>
              <w:rPr>
                <w:rFonts w:eastAsiaTheme="minorEastAsia"/>
                <w:color w:val="000000" w:themeColor="text1"/>
                <w:sz w:val="24"/>
              </w:rPr>
              <w:t>300059</w:t>
            </w:r>
          </w:p>
        </w:tc>
        <w:tc>
          <w:tcPr>
            <w:tcW w:w="0" w:type="auto"/>
            <w:vAlign w:val="center"/>
          </w:tcPr>
          <w:p w:rsidR="00BE6341" w:rsidRDefault="00225C31">
            <w:pPr>
              <w:jc w:val="center"/>
            </w:pPr>
            <w:r>
              <w:rPr>
                <w:rFonts w:eastAsiaTheme="minorEastAsia"/>
                <w:color w:val="000000" w:themeColor="text1"/>
                <w:sz w:val="24"/>
              </w:rPr>
              <w:t>东方财富</w:t>
            </w:r>
          </w:p>
        </w:tc>
        <w:tc>
          <w:tcPr>
            <w:tcW w:w="0" w:type="auto"/>
            <w:vAlign w:val="center"/>
          </w:tcPr>
          <w:p w:rsidR="00BE6341" w:rsidRDefault="00225C31">
            <w:pPr>
              <w:jc w:val="right"/>
            </w:pPr>
            <w:r>
              <w:rPr>
                <w:rFonts w:eastAsiaTheme="minorEastAsia"/>
                <w:color w:val="000000" w:themeColor="text1"/>
                <w:sz w:val="24"/>
              </w:rPr>
              <w:t>64,700</w:t>
            </w:r>
          </w:p>
        </w:tc>
        <w:tc>
          <w:tcPr>
            <w:tcW w:w="0" w:type="auto"/>
            <w:vAlign w:val="center"/>
          </w:tcPr>
          <w:p w:rsidR="00BE6341" w:rsidRDefault="00225C31">
            <w:pPr>
              <w:jc w:val="right"/>
            </w:pPr>
            <w:r>
              <w:rPr>
                <w:rFonts w:eastAsiaTheme="minorEastAsia"/>
                <w:color w:val="000000" w:themeColor="text1"/>
                <w:sz w:val="24"/>
              </w:rPr>
              <w:t>1,020,319.00</w:t>
            </w:r>
          </w:p>
        </w:tc>
        <w:tc>
          <w:tcPr>
            <w:tcW w:w="0" w:type="auto"/>
            <w:vAlign w:val="center"/>
          </w:tcPr>
          <w:p w:rsidR="00BE6341" w:rsidRDefault="00225C31">
            <w:pPr>
              <w:jc w:val="right"/>
            </w:pPr>
            <w:r>
              <w:rPr>
                <w:rFonts w:eastAsiaTheme="minorEastAsia"/>
                <w:color w:val="000000" w:themeColor="text1"/>
                <w:sz w:val="24"/>
              </w:rPr>
              <w:t>0.02</w:t>
            </w:r>
          </w:p>
        </w:tc>
      </w:tr>
      <w:tr w:rsidR="00BE6341">
        <w:tc>
          <w:tcPr>
            <w:tcW w:w="0" w:type="auto"/>
            <w:vAlign w:val="center"/>
          </w:tcPr>
          <w:p w:rsidR="00BE6341" w:rsidRDefault="00225C31">
            <w:pPr>
              <w:jc w:val="center"/>
            </w:pPr>
            <w:r>
              <w:rPr>
                <w:rFonts w:eastAsiaTheme="minorEastAsia"/>
                <w:color w:val="000000" w:themeColor="text1"/>
                <w:sz w:val="24"/>
              </w:rPr>
              <w:t>5</w:t>
            </w:r>
          </w:p>
        </w:tc>
        <w:tc>
          <w:tcPr>
            <w:tcW w:w="0" w:type="auto"/>
            <w:vAlign w:val="center"/>
          </w:tcPr>
          <w:p w:rsidR="00BE6341" w:rsidRDefault="00225C31">
            <w:pPr>
              <w:jc w:val="center"/>
            </w:pPr>
            <w:r>
              <w:rPr>
                <w:rFonts w:eastAsiaTheme="minorEastAsia"/>
                <w:color w:val="000000" w:themeColor="text1"/>
                <w:sz w:val="24"/>
              </w:rPr>
              <w:t>300015</w:t>
            </w:r>
          </w:p>
        </w:tc>
        <w:tc>
          <w:tcPr>
            <w:tcW w:w="0" w:type="auto"/>
            <w:vAlign w:val="center"/>
          </w:tcPr>
          <w:p w:rsidR="00BE6341" w:rsidRDefault="00225C31">
            <w:pPr>
              <w:jc w:val="center"/>
            </w:pPr>
            <w:r>
              <w:rPr>
                <w:rFonts w:eastAsiaTheme="minorEastAsia"/>
                <w:color w:val="000000" w:themeColor="text1"/>
                <w:sz w:val="24"/>
              </w:rPr>
              <w:t>爱尔眼科</w:t>
            </w:r>
          </w:p>
        </w:tc>
        <w:tc>
          <w:tcPr>
            <w:tcW w:w="0" w:type="auto"/>
            <w:vAlign w:val="center"/>
          </w:tcPr>
          <w:p w:rsidR="00BE6341" w:rsidRDefault="00225C31">
            <w:pPr>
              <w:jc w:val="right"/>
            </w:pPr>
            <w:r>
              <w:rPr>
                <w:rFonts w:eastAsiaTheme="minorEastAsia"/>
                <w:color w:val="000000" w:themeColor="text1"/>
                <w:sz w:val="24"/>
              </w:rPr>
              <w:t>16,570</w:t>
            </w:r>
          </w:p>
        </w:tc>
        <w:tc>
          <w:tcPr>
            <w:tcW w:w="0" w:type="auto"/>
            <w:vAlign w:val="center"/>
          </w:tcPr>
          <w:p w:rsidR="00BE6341" w:rsidRDefault="00225C31">
            <w:pPr>
              <w:jc w:val="right"/>
            </w:pPr>
            <w:r>
              <w:rPr>
                <w:rFonts w:eastAsiaTheme="minorEastAsia"/>
                <w:color w:val="000000" w:themeColor="text1"/>
                <w:sz w:val="24"/>
              </w:rPr>
              <w:t>655,509.20</w:t>
            </w:r>
          </w:p>
        </w:tc>
        <w:tc>
          <w:tcPr>
            <w:tcW w:w="0" w:type="auto"/>
            <w:vAlign w:val="center"/>
          </w:tcPr>
          <w:p w:rsidR="00BE6341" w:rsidRDefault="00225C31">
            <w:pPr>
              <w:jc w:val="right"/>
            </w:pPr>
            <w:r>
              <w:rPr>
                <w:rFonts w:eastAsiaTheme="minorEastAsia"/>
                <w:color w:val="000000" w:themeColor="text1"/>
                <w:sz w:val="24"/>
              </w:rPr>
              <w:t>0.01</w:t>
            </w:r>
          </w:p>
        </w:tc>
      </w:tr>
      <w:tr w:rsidR="00BE6341">
        <w:tc>
          <w:tcPr>
            <w:tcW w:w="0" w:type="auto"/>
            <w:vAlign w:val="center"/>
          </w:tcPr>
          <w:p w:rsidR="00BE6341" w:rsidRDefault="00225C31">
            <w:pPr>
              <w:jc w:val="center"/>
            </w:pPr>
            <w:r>
              <w:rPr>
                <w:rFonts w:eastAsiaTheme="minorEastAsia"/>
                <w:color w:val="000000" w:themeColor="text1"/>
                <w:sz w:val="24"/>
              </w:rPr>
              <w:t>6</w:t>
            </w:r>
          </w:p>
        </w:tc>
        <w:tc>
          <w:tcPr>
            <w:tcW w:w="0" w:type="auto"/>
            <w:vAlign w:val="center"/>
          </w:tcPr>
          <w:p w:rsidR="00BE6341" w:rsidRDefault="00225C31">
            <w:pPr>
              <w:jc w:val="center"/>
            </w:pPr>
            <w:r>
              <w:rPr>
                <w:rFonts w:eastAsiaTheme="minorEastAsia"/>
                <w:color w:val="000000" w:themeColor="text1"/>
                <w:sz w:val="24"/>
              </w:rPr>
              <w:t>300142</w:t>
            </w:r>
          </w:p>
        </w:tc>
        <w:tc>
          <w:tcPr>
            <w:tcW w:w="0" w:type="auto"/>
            <w:vAlign w:val="center"/>
          </w:tcPr>
          <w:p w:rsidR="00BE6341" w:rsidRDefault="00225C31">
            <w:pPr>
              <w:jc w:val="center"/>
            </w:pPr>
            <w:r>
              <w:rPr>
                <w:rFonts w:eastAsiaTheme="minorEastAsia"/>
                <w:color w:val="000000" w:themeColor="text1"/>
                <w:sz w:val="24"/>
              </w:rPr>
              <w:t>沃森生物</w:t>
            </w:r>
          </w:p>
        </w:tc>
        <w:tc>
          <w:tcPr>
            <w:tcW w:w="0" w:type="auto"/>
            <w:vAlign w:val="center"/>
          </w:tcPr>
          <w:p w:rsidR="00BE6341" w:rsidRDefault="00225C31">
            <w:pPr>
              <w:jc w:val="right"/>
            </w:pPr>
            <w:r>
              <w:rPr>
                <w:rFonts w:eastAsiaTheme="minorEastAsia"/>
                <w:color w:val="000000" w:themeColor="text1"/>
                <w:sz w:val="24"/>
              </w:rPr>
              <w:t>16,100</w:t>
            </w:r>
          </w:p>
        </w:tc>
        <w:tc>
          <w:tcPr>
            <w:tcW w:w="0" w:type="auto"/>
            <w:vAlign w:val="center"/>
          </w:tcPr>
          <w:p w:rsidR="00BE6341" w:rsidRDefault="00225C31">
            <w:pPr>
              <w:jc w:val="right"/>
            </w:pPr>
            <w:r>
              <w:rPr>
                <w:rFonts w:eastAsiaTheme="minorEastAsia"/>
                <w:color w:val="000000" w:themeColor="text1"/>
                <w:sz w:val="24"/>
              </w:rPr>
              <w:t>522,284.00</w:t>
            </w:r>
          </w:p>
        </w:tc>
        <w:tc>
          <w:tcPr>
            <w:tcW w:w="0" w:type="auto"/>
            <w:vAlign w:val="center"/>
          </w:tcPr>
          <w:p w:rsidR="00BE6341" w:rsidRDefault="00225C31">
            <w:pPr>
              <w:jc w:val="right"/>
            </w:pPr>
            <w:r>
              <w:rPr>
                <w:rFonts w:eastAsiaTheme="minorEastAsia"/>
                <w:color w:val="000000" w:themeColor="text1"/>
                <w:sz w:val="24"/>
              </w:rPr>
              <w:t>0.01</w:t>
            </w:r>
          </w:p>
        </w:tc>
      </w:tr>
      <w:tr w:rsidR="00BE6341">
        <w:tc>
          <w:tcPr>
            <w:tcW w:w="0" w:type="auto"/>
            <w:vAlign w:val="center"/>
          </w:tcPr>
          <w:p w:rsidR="00BE6341" w:rsidRDefault="00225C31">
            <w:pPr>
              <w:jc w:val="center"/>
            </w:pPr>
            <w:r>
              <w:rPr>
                <w:rFonts w:eastAsiaTheme="minorEastAsia"/>
                <w:color w:val="000000" w:themeColor="text1"/>
                <w:sz w:val="24"/>
              </w:rPr>
              <w:t>7</w:t>
            </w:r>
          </w:p>
        </w:tc>
        <w:tc>
          <w:tcPr>
            <w:tcW w:w="0" w:type="auto"/>
            <w:vAlign w:val="center"/>
          </w:tcPr>
          <w:p w:rsidR="00BE6341" w:rsidRDefault="00225C31">
            <w:pPr>
              <w:jc w:val="center"/>
            </w:pPr>
            <w:r>
              <w:rPr>
                <w:rFonts w:eastAsiaTheme="minorEastAsia"/>
                <w:color w:val="000000" w:themeColor="text1"/>
                <w:sz w:val="24"/>
              </w:rPr>
              <w:t>300760</w:t>
            </w:r>
          </w:p>
        </w:tc>
        <w:tc>
          <w:tcPr>
            <w:tcW w:w="0" w:type="auto"/>
            <w:vAlign w:val="center"/>
          </w:tcPr>
          <w:p w:rsidR="00BE6341" w:rsidRDefault="00225C31">
            <w:pPr>
              <w:jc w:val="center"/>
            </w:pPr>
            <w:r>
              <w:rPr>
                <w:rFonts w:eastAsiaTheme="minorEastAsia"/>
                <w:color w:val="000000" w:themeColor="text1"/>
                <w:sz w:val="24"/>
              </w:rPr>
              <w:t>迈瑞医疗</w:t>
            </w:r>
          </w:p>
        </w:tc>
        <w:tc>
          <w:tcPr>
            <w:tcW w:w="0" w:type="auto"/>
            <w:vAlign w:val="center"/>
          </w:tcPr>
          <w:p w:rsidR="00BE6341" w:rsidRDefault="00225C31">
            <w:pPr>
              <w:jc w:val="right"/>
            </w:pPr>
            <w:r>
              <w:rPr>
                <w:rFonts w:eastAsiaTheme="minorEastAsia"/>
                <w:color w:val="000000" w:themeColor="text1"/>
                <w:sz w:val="24"/>
              </w:rPr>
              <w:t>2,700</w:t>
            </w:r>
          </w:p>
        </w:tc>
        <w:tc>
          <w:tcPr>
            <w:tcW w:w="0" w:type="auto"/>
            <w:vAlign w:val="center"/>
          </w:tcPr>
          <w:p w:rsidR="00BE6341" w:rsidRDefault="00225C31">
            <w:pPr>
              <w:jc w:val="right"/>
            </w:pPr>
            <w:r>
              <w:rPr>
                <w:rFonts w:eastAsiaTheme="minorEastAsia"/>
                <w:color w:val="000000" w:themeColor="text1"/>
                <w:sz w:val="24"/>
              </w:rPr>
              <w:t>491,130.00</w:t>
            </w:r>
          </w:p>
        </w:tc>
        <w:tc>
          <w:tcPr>
            <w:tcW w:w="0" w:type="auto"/>
            <w:vAlign w:val="center"/>
          </w:tcPr>
          <w:p w:rsidR="00BE6341" w:rsidRDefault="00225C31">
            <w:pPr>
              <w:jc w:val="right"/>
            </w:pPr>
            <w:r>
              <w:rPr>
                <w:rFonts w:eastAsiaTheme="minorEastAsia"/>
                <w:color w:val="000000" w:themeColor="text1"/>
                <w:sz w:val="24"/>
              </w:rPr>
              <w:t>0.01</w:t>
            </w:r>
          </w:p>
        </w:tc>
      </w:tr>
      <w:tr w:rsidR="00BE6341">
        <w:tc>
          <w:tcPr>
            <w:tcW w:w="0" w:type="auto"/>
            <w:vAlign w:val="center"/>
          </w:tcPr>
          <w:p w:rsidR="00BE6341" w:rsidRDefault="00225C31">
            <w:pPr>
              <w:jc w:val="center"/>
            </w:pPr>
            <w:r>
              <w:rPr>
                <w:rFonts w:eastAsiaTheme="minorEastAsia"/>
                <w:color w:val="000000" w:themeColor="text1"/>
                <w:sz w:val="24"/>
              </w:rPr>
              <w:t>8</w:t>
            </w:r>
          </w:p>
        </w:tc>
        <w:tc>
          <w:tcPr>
            <w:tcW w:w="0" w:type="auto"/>
            <w:vAlign w:val="center"/>
          </w:tcPr>
          <w:p w:rsidR="00BE6341" w:rsidRDefault="00225C31">
            <w:pPr>
              <w:jc w:val="center"/>
            </w:pPr>
            <w:r>
              <w:rPr>
                <w:rFonts w:eastAsiaTheme="minorEastAsia"/>
                <w:color w:val="000000" w:themeColor="text1"/>
                <w:sz w:val="24"/>
              </w:rPr>
              <w:t>300003</w:t>
            </w:r>
          </w:p>
        </w:tc>
        <w:tc>
          <w:tcPr>
            <w:tcW w:w="0" w:type="auto"/>
            <w:vAlign w:val="center"/>
          </w:tcPr>
          <w:p w:rsidR="00BE6341" w:rsidRDefault="00225C31">
            <w:pPr>
              <w:jc w:val="center"/>
            </w:pPr>
            <w:r>
              <w:rPr>
                <w:rFonts w:eastAsiaTheme="minorEastAsia"/>
                <w:color w:val="000000" w:themeColor="text1"/>
                <w:sz w:val="24"/>
              </w:rPr>
              <w:t>乐普医疗</w:t>
            </w:r>
          </w:p>
        </w:tc>
        <w:tc>
          <w:tcPr>
            <w:tcW w:w="0" w:type="auto"/>
            <w:vAlign w:val="center"/>
          </w:tcPr>
          <w:p w:rsidR="00BE6341" w:rsidRDefault="00225C31">
            <w:pPr>
              <w:jc w:val="right"/>
            </w:pPr>
            <w:r>
              <w:rPr>
                <w:rFonts w:eastAsiaTheme="minorEastAsia"/>
                <w:color w:val="000000" w:themeColor="text1"/>
                <w:sz w:val="24"/>
              </w:rPr>
              <w:t>14,600</w:t>
            </w:r>
          </w:p>
        </w:tc>
        <w:tc>
          <w:tcPr>
            <w:tcW w:w="0" w:type="auto"/>
            <w:vAlign w:val="center"/>
          </w:tcPr>
          <w:p w:rsidR="00BE6341" w:rsidRDefault="00225C31">
            <w:pPr>
              <w:jc w:val="right"/>
            </w:pPr>
            <w:r>
              <w:rPr>
                <w:rFonts w:eastAsiaTheme="minorEastAsia"/>
                <w:color w:val="000000" w:themeColor="text1"/>
                <w:sz w:val="24"/>
              </w:rPr>
              <w:t>482,968.00</w:t>
            </w:r>
          </w:p>
        </w:tc>
        <w:tc>
          <w:tcPr>
            <w:tcW w:w="0" w:type="auto"/>
            <w:vAlign w:val="center"/>
          </w:tcPr>
          <w:p w:rsidR="00BE6341" w:rsidRDefault="00225C31">
            <w:pPr>
              <w:jc w:val="right"/>
            </w:pPr>
            <w:r>
              <w:rPr>
                <w:rFonts w:eastAsiaTheme="minorEastAsia"/>
                <w:color w:val="000000" w:themeColor="text1"/>
                <w:sz w:val="24"/>
              </w:rPr>
              <w:t>0.01</w:t>
            </w:r>
          </w:p>
        </w:tc>
      </w:tr>
      <w:tr w:rsidR="00BE6341">
        <w:tc>
          <w:tcPr>
            <w:tcW w:w="0" w:type="auto"/>
            <w:vAlign w:val="center"/>
          </w:tcPr>
          <w:p w:rsidR="00BE6341" w:rsidRDefault="00225C31">
            <w:pPr>
              <w:jc w:val="center"/>
            </w:pPr>
            <w:r>
              <w:rPr>
                <w:rFonts w:eastAsiaTheme="minorEastAsia"/>
                <w:color w:val="000000" w:themeColor="text1"/>
                <w:sz w:val="24"/>
              </w:rPr>
              <w:t>9</w:t>
            </w:r>
          </w:p>
        </w:tc>
        <w:tc>
          <w:tcPr>
            <w:tcW w:w="0" w:type="auto"/>
            <w:vAlign w:val="center"/>
          </w:tcPr>
          <w:p w:rsidR="00BE6341" w:rsidRDefault="00225C31">
            <w:pPr>
              <w:jc w:val="center"/>
            </w:pPr>
            <w:r>
              <w:rPr>
                <w:rFonts w:eastAsiaTheme="minorEastAsia"/>
                <w:color w:val="000000" w:themeColor="text1"/>
                <w:sz w:val="24"/>
              </w:rPr>
              <w:t>300136</w:t>
            </w:r>
          </w:p>
        </w:tc>
        <w:tc>
          <w:tcPr>
            <w:tcW w:w="0" w:type="auto"/>
            <w:vAlign w:val="center"/>
          </w:tcPr>
          <w:p w:rsidR="00BE6341" w:rsidRDefault="00225C31">
            <w:pPr>
              <w:jc w:val="center"/>
            </w:pPr>
            <w:r>
              <w:rPr>
                <w:rFonts w:eastAsiaTheme="minorEastAsia"/>
                <w:color w:val="000000" w:themeColor="text1"/>
                <w:sz w:val="24"/>
              </w:rPr>
              <w:t>信维通信</w:t>
            </w:r>
          </w:p>
        </w:tc>
        <w:tc>
          <w:tcPr>
            <w:tcW w:w="0" w:type="auto"/>
            <w:vAlign w:val="center"/>
          </w:tcPr>
          <w:p w:rsidR="00BE6341" w:rsidRDefault="00225C31">
            <w:pPr>
              <w:jc w:val="right"/>
            </w:pPr>
            <w:r>
              <w:rPr>
                <w:rFonts w:eastAsiaTheme="minorEastAsia"/>
                <w:color w:val="000000" w:themeColor="text1"/>
                <w:sz w:val="24"/>
              </w:rPr>
              <w:t>10,500</w:t>
            </w:r>
          </w:p>
        </w:tc>
        <w:tc>
          <w:tcPr>
            <w:tcW w:w="0" w:type="auto"/>
            <w:vAlign w:val="center"/>
          </w:tcPr>
          <w:p w:rsidR="00BE6341" w:rsidRDefault="00225C31">
            <w:pPr>
              <w:jc w:val="right"/>
            </w:pPr>
            <w:r>
              <w:rPr>
                <w:rFonts w:eastAsiaTheme="minorEastAsia"/>
                <w:color w:val="000000" w:themeColor="text1"/>
                <w:sz w:val="24"/>
              </w:rPr>
              <w:t>476,490.00</w:t>
            </w:r>
          </w:p>
        </w:tc>
        <w:tc>
          <w:tcPr>
            <w:tcW w:w="0" w:type="auto"/>
            <w:vAlign w:val="center"/>
          </w:tcPr>
          <w:p w:rsidR="00BE6341" w:rsidRDefault="00225C31">
            <w:pPr>
              <w:jc w:val="right"/>
            </w:pPr>
            <w:r>
              <w:rPr>
                <w:rFonts w:eastAsiaTheme="minorEastAsia"/>
                <w:color w:val="000000" w:themeColor="text1"/>
                <w:sz w:val="24"/>
              </w:rPr>
              <w:t>0.01</w:t>
            </w:r>
          </w:p>
        </w:tc>
      </w:tr>
      <w:tr w:rsidR="00BE6341">
        <w:tc>
          <w:tcPr>
            <w:tcW w:w="0" w:type="auto"/>
            <w:vAlign w:val="center"/>
          </w:tcPr>
          <w:p w:rsidR="00BE6341" w:rsidRDefault="00225C31">
            <w:pPr>
              <w:jc w:val="center"/>
            </w:pPr>
            <w:r>
              <w:rPr>
                <w:rFonts w:eastAsiaTheme="minorEastAsia"/>
                <w:color w:val="000000" w:themeColor="text1"/>
                <w:sz w:val="24"/>
              </w:rPr>
              <w:t>10</w:t>
            </w:r>
          </w:p>
        </w:tc>
        <w:tc>
          <w:tcPr>
            <w:tcW w:w="0" w:type="auto"/>
            <w:vAlign w:val="center"/>
          </w:tcPr>
          <w:p w:rsidR="00BE6341" w:rsidRDefault="00225C31">
            <w:pPr>
              <w:jc w:val="center"/>
            </w:pPr>
            <w:r>
              <w:rPr>
                <w:rFonts w:eastAsiaTheme="minorEastAsia"/>
                <w:color w:val="000000" w:themeColor="text1"/>
                <w:sz w:val="24"/>
              </w:rPr>
              <w:t>300124</w:t>
            </w:r>
          </w:p>
        </w:tc>
        <w:tc>
          <w:tcPr>
            <w:tcW w:w="0" w:type="auto"/>
            <w:vAlign w:val="center"/>
          </w:tcPr>
          <w:p w:rsidR="00BE6341" w:rsidRDefault="00225C31">
            <w:pPr>
              <w:jc w:val="center"/>
            </w:pPr>
            <w:r>
              <w:rPr>
                <w:rFonts w:eastAsiaTheme="minorEastAsia"/>
                <w:color w:val="000000" w:themeColor="text1"/>
                <w:sz w:val="24"/>
              </w:rPr>
              <w:t>汇川技术</w:t>
            </w:r>
          </w:p>
        </w:tc>
        <w:tc>
          <w:tcPr>
            <w:tcW w:w="0" w:type="auto"/>
            <w:vAlign w:val="center"/>
          </w:tcPr>
          <w:p w:rsidR="00BE6341" w:rsidRDefault="00225C31">
            <w:pPr>
              <w:jc w:val="right"/>
            </w:pPr>
            <w:r>
              <w:rPr>
                <w:rFonts w:eastAsiaTheme="minorEastAsia"/>
                <w:color w:val="000000" w:themeColor="text1"/>
                <w:sz w:val="24"/>
              </w:rPr>
              <w:t>14,100</w:t>
            </w:r>
          </w:p>
        </w:tc>
        <w:tc>
          <w:tcPr>
            <w:tcW w:w="0" w:type="auto"/>
            <w:vAlign w:val="center"/>
          </w:tcPr>
          <w:p w:rsidR="00BE6341" w:rsidRDefault="00225C31">
            <w:pPr>
              <w:jc w:val="right"/>
            </w:pPr>
            <w:r>
              <w:rPr>
                <w:rFonts w:eastAsiaTheme="minorEastAsia"/>
                <w:color w:val="000000" w:themeColor="text1"/>
                <w:sz w:val="24"/>
              </w:rPr>
              <w:t>432,024.00</w:t>
            </w:r>
          </w:p>
        </w:tc>
        <w:tc>
          <w:tcPr>
            <w:tcW w:w="0" w:type="auto"/>
            <w:vAlign w:val="center"/>
          </w:tcPr>
          <w:p w:rsidR="00BE6341" w:rsidRDefault="00225C31">
            <w:pPr>
              <w:jc w:val="right"/>
            </w:pPr>
            <w:r>
              <w:rPr>
                <w:rFonts w:eastAsiaTheme="minorEastAsia"/>
                <w:color w:val="000000" w:themeColor="text1"/>
                <w:sz w:val="24"/>
              </w:rPr>
              <w:t>0.01</w:t>
            </w:r>
          </w:p>
        </w:tc>
      </w:tr>
    </w:tbl>
    <w:p w:rsidR="00F21B6D"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5</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报告期末按债券品种分类的债券投资组合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3260"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债券品种</w:t>
            </w:r>
          </w:p>
        </w:tc>
        <w:tc>
          <w:tcPr>
            <w:tcW w:w="2410"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公允价值</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r w:rsidRPr="00B34368">
              <w:rPr>
                <w:rFonts w:eastAsiaTheme="minorEastAsia"/>
                <w:color w:val="000000" w:themeColor="text1"/>
                <w:sz w:val="24"/>
              </w:rPr>
              <w:t>(</w:t>
            </w:r>
            <w:r w:rsidRPr="00B34368">
              <w:rPr>
                <w:rFonts w:eastAsiaTheme="minorEastAsia" w:hAnsiTheme="minorEastAsia"/>
                <w:color w:val="000000" w:themeColor="text1"/>
                <w:sz w:val="24"/>
              </w:rPr>
              <w:t>％</w:t>
            </w: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1</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国家债券</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2</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央行票据</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3</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金融债券</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其中：政策性金融债</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4</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企业债券</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5</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企业短期融资券</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6</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中期票据</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7</w:t>
            </w:r>
          </w:p>
        </w:tc>
        <w:tc>
          <w:tcPr>
            <w:tcW w:w="3260" w:type="dxa"/>
            <w:vAlign w:val="center"/>
          </w:tcPr>
          <w:p w:rsidR="00F21B6D" w:rsidRPr="00B34368" w:rsidRDefault="0054389B"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可转债（可交换债）</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950,783.52</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0.02</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8</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同业存单</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9</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其他</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F21B6D" w:rsidRPr="00B34368" w:rsidTr="008F6C49">
        <w:tc>
          <w:tcPr>
            <w:tcW w:w="817" w:type="dxa"/>
            <w:vAlign w:val="center"/>
          </w:tcPr>
          <w:p w:rsidR="00F21B6D" w:rsidRPr="00B34368" w:rsidRDefault="00F21B6D" w:rsidP="008F6C49">
            <w:pPr>
              <w:spacing w:before="29" w:line="360" w:lineRule="auto"/>
              <w:ind w:left="17"/>
              <w:jc w:val="center"/>
              <w:rPr>
                <w:rFonts w:eastAsiaTheme="minorEastAsia"/>
                <w:color w:val="000000" w:themeColor="text1"/>
                <w:sz w:val="24"/>
              </w:rPr>
            </w:pPr>
            <w:r w:rsidRPr="00B34368">
              <w:rPr>
                <w:rFonts w:eastAsiaTheme="minorEastAsia"/>
                <w:color w:val="000000" w:themeColor="text1"/>
                <w:sz w:val="24"/>
              </w:rPr>
              <w:t>10</w:t>
            </w:r>
          </w:p>
        </w:tc>
        <w:tc>
          <w:tcPr>
            <w:tcW w:w="3260" w:type="dxa"/>
            <w:vAlign w:val="center"/>
          </w:tcPr>
          <w:p w:rsidR="00F21B6D" w:rsidRPr="00B34368" w:rsidRDefault="00F21B6D" w:rsidP="008F6C49">
            <w:pPr>
              <w:spacing w:before="29" w:line="360" w:lineRule="auto"/>
              <w:ind w:left="17"/>
              <w:jc w:val="left"/>
              <w:rPr>
                <w:rFonts w:eastAsiaTheme="minorEastAsia"/>
                <w:color w:val="000000" w:themeColor="text1"/>
                <w:sz w:val="24"/>
              </w:rPr>
            </w:pPr>
            <w:r w:rsidRPr="00B34368">
              <w:rPr>
                <w:rFonts w:eastAsiaTheme="minorEastAsia" w:hAnsiTheme="minorEastAsia"/>
                <w:color w:val="000000" w:themeColor="text1"/>
                <w:sz w:val="24"/>
              </w:rPr>
              <w:t>合计</w:t>
            </w:r>
          </w:p>
        </w:tc>
        <w:tc>
          <w:tcPr>
            <w:tcW w:w="2410"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950,783.52</w:t>
            </w:r>
          </w:p>
        </w:tc>
        <w:tc>
          <w:tcPr>
            <w:tcW w:w="2041" w:type="dxa"/>
            <w:vAlign w:val="center"/>
          </w:tcPr>
          <w:p w:rsidR="00F21B6D" w:rsidRPr="00B34368" w:rsidRDefault="00F21B6D" w:rsidP="008F6C49">
            <w:pPr>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0.02</w:t>
            </w:r>
          </w:p>
        </w:tc>
      </w:tr>
    </w:tbl>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6</w:t>
      </w:r>
      <w:r w:rsidRPr="00B34368">
        <w:rPr>
          <w:rFonts w:eastAsiaTheme="minorEastAsia"/>
          <w:b/>
          <w:color w:val="000000" w:themeColor="text1"/>
          <w:kern w:val="0"/>
          <w:sz w:val="24"/>
        </w:rPr>
        <w:t xml:space="preserve"> </w:t>
      </w:r>
      <w:r w:rsidRPr="00B34368">
        <w:rPr>
          <w:rFonts w:eastAsiaTheme="minorEastAsia" w:hAnsiTheme="minorEastAsia"/>
          <w:b/>
          <w:color w:val="000000" w:themeColor="text1"/>
          <w:kern w:val="0"/>
          <w:sz w:val="24"/>
        </w:rPr>
        <w:t>报告期末按公允价值占基金资产净值比例大小排</w:t>
      </w:r>
      <w:r w:rsidR="00E15FD1" w:rsidRPr="00B34368">
        <w:rPr>
          <w:rFonts w:eastAsiaTheme="minorEastAsia" w:hAnsiTheme="minorEastAsia"/>
          <w:b/>
          <w:color w:val="000000" w:themeColor="text1"/>
          <w:kern w:val="0"/>
          <w:sz w:val="24"/>
        </w:rPr>
        <w:t>序</w:t>
      </w:r>
      <w:r w:rsidRPr="00B34368">
        <w:rPr>
          <w:rFonts w:eastAsiaTheme="minorEastAsia" w:hAnsiTheme="minorEastAsia"/>
          <w:b/>
          <w:color w:val="000000" w:themeColor="text1"/>
          <w:kern w:val="0"/>
          <w:sz w:val="24"/>
        </w:rPr>
        <w:t>的前五名债券投资明细</w:t>
      </w:r>
    </w:p>
    <w:tbl>
      <w:tblPr>
        <w:tblStyle w:val="af2"/>
        <w:tblW w:w="0" w:type="auto"/>
        <w:tblInd w:w="108" w:type="dxa"/>
        <w:tblLayout w:type="fixed"/>
        <w:tblLook w:val="04A0" w:firstRow="1" w:lastRow="0" w:firstColumn="1" w:lastColumn="0" w:noHBand="0" w:noVBand="1"/>
      </w:tblPr>
      <w:tblGrid>
        <w:gridCol w:w="1504"/>
        <w:gridCol w:w="1504"/>
        <w:gridCol w:w="1504"/>
        <w:gridCol w:w="1503"/>
        <w:gridCol w:w="1503"/>
        <w:gridCol w:w="1503"/>
      </w:tblGrid>
      <w:tr w:rsidR="00D3639B" w:rsidRPr="00B34368" w:rsidTr="00975D18">
        <w:tc>
          <w:tcPr>
            <w:tcW w:w="1504"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1504"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债券代码</w:t>
            </w:r>
          </w:p>
        </w:tc>
        <w:tc>
          <w:tcPr>
            <w:tcW w:w="1504"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债券名称</w:t>
            </w:r>
          </w:p>
        </w:tc>
        <w:tc>
          <w:tcPr>
            <w:tcW w:w="1503"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数量（张）</w:t>
            </w:r>
          </w:p>
        </w:tc>
        <w:tc>
          <w:tcPr>
            <w:tcW w:w="1503"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公允价值</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元</w:t>
            </w:r>
            <w:r w:rsidRPr="00B34368">
              <w:rPr>
                <w:rFonts w:eastAsiaTheme="minorEastAsia"/>
                <w:color w:val="000000" w:themeColor="text1"/>
                <w:kern w:val="0"/>
                <w:sz w:val="24"/>
              </w:rPr>
              <w:t>)</w:t>
            </w:r>
          </w:p>
        </w:tc>
        <w:tc>
          <w:tcPr>
            <w:tcW w:w="1503" w:type="dxa"/>
            <w:vAlign w:val="center"/>
          </w:tcPr>
          <w:p w:rsidR="00685FFC" w:rsidRPr="00B34368" w:rsidRDefault="00685FFC" w:rsidP="009A045B">
            <w:pPr>
              <w:autoSpaceDE w:val="0"/>
              <w:autoSpaceDN w:val="0"/>
              <w:adjustRightInd w:val="0"/>
              <w:spacing w:before="29" w:line="288" w:lineRule="auto"/>
              <w:ind w:left="15"/>
              <w:jc w:val="center"/>
              <w:rPr>
                <w:rFonts w:eastAsiaTheme="minorEastAsia"/>
                <w:color w:val="000000" w:themeColor="text1"/>
                <w:kern w:val="0"/>
                <w:sz w:val="24"/>
              </w:rPr>
            </w:pPr>
            <w:r w:rsidRPr="00B34368">
              <w:rPr>
                <w:rFonts w:eastAsiaTheme="minorEastAsia" w:hAnsiTheme="minorEastAsia"/>
                <w:color w:val="000000" w:themeColor="text1"/>
                <w:kern w:val="0"/>
                <w:sz w:val="24"/>
              </w:rPr>
              <w:t>占基金资产净值比</w:t>
            </w:r>
            <w:r w:rsidR="00334656" w:rsidRPr="00B34368">
              <w:rPr>
                <w:rFonts w:eastAsiaTheme="minorEastAsia" w:hAnsiTheme="minorEastAsia"/>
                <w:color w:val="000000" w:themeColor="text1"/>
                <w:kern w:val="0"/>
                <w:sz w:val="24"/>
              </w:rPr>
              <w:t>例</w:t>
            </w:r>
            <w:r w:rsidRPr="00B34368">
              <w:rPr>
                <w:rFonts w:eastAsiaTheme="minorEastAsia" w:hAnsiTheme="minorEastAsia"/>
                <w:color w:val="000000" w:themeColor="text1"/>
                <w:kern w:val="0"/>
                <w:sz w:val="24"/>
              </w:rPr>
              <w:t>（％）</w:t>
            </w:r>
          </w:p>
        </w:tc>
      </w:tr>
      <w:tr w:rsidR="00BE6341">
        <w:tc>
          <w:tcPr>
            <w:tcW w:w="0" w:type="auto"/>
            <w:vAlign w:val="center"/>
          </w:tcPr>
          <w:p w:rsidR="00BE6341" w:rsidRDefault="00225C31">
            <w:pPr>
              <w:jc w:val="center"/>
            </w:pPr>
            <w:r>
              <w:rPr>
                <w:rFonts w:eastAsiaTheme="minorEastAsia"/>
                <w:color w:val="000000" w:themeColor="text1"/>
                <w:sz w:val="24"/>
              </w:rPr>
              <w:t>1</w:t>
            </w:r>
          </w:p>
        </w:tc>
        <w:tc>
          <w:tcPr>
            <w:tcW w:w="0" w:type="auto"/>
            <w:vAlign w:val="center"/>
          </w:tcPr>
          <w:p w:rsidR="00BE6341" w:rsidRDefault="00225C31">
            <w:pPr>
              <w:jc w:val="center"/>
            </w:pPr>
            <w:r>
              <w:rPr>
                <w:rFonts w:eastAsiaTheme="minorEastAsia"/>
                <w:color w:val="000000" w:themeColor="text1"/>
                <w:sz w:val="24"/>
              </w:rPr>
              <w:t>128085</w:t>
            </w:r>
          </w:p>
        </w:tc>
        <w:tc>
          <w:tcPr>
            <w:tcW w:w="0" w:type="auto"/>
            <w:vAlign w:val="center"/>
          </w:tcPr>
          <w:p w:rsidR="00BE6341" w:rsidRDefault="00225C31">
            <w:pPr>
              <w:jc w:val="center"/>
            </w:pPr>
            <w:r>
              <w:rPr>
                <w:rFonts w:eastAsiaTheme="minorEastAsia"/>
                <w:color w:val="000000" w:themeColor="text1"/>
                <w:sz w:val="24"/>
              </w:rPr>
              <w:t>鸿达转债</w:t>
            </w:r>
          </w:p>
        </w:tc>
        <w:tc>
          <w:tcPr>
            <w:tcW w:w="0" w:type="auto"/>
            <w:vAlign w:val="center"/>
          </w:tcPr>
          <w:p w:rsidR="00BE6341" w:rsidRDefault="00225C31">
            <w:pPr>
              <w:jc w:val="right"/>
            </w:pPr>
            <w:r>
              <w:rPr>
                <w:rFonts w:eastAsiaTheme="minorEastAsia"/>
                <w:color w:val="000000" w:themeColor="text1"/>
                <w:sz w:val="24"/>
              </w:rPr>
              <w:t>3,040</w:t>
            </w:r>
          </w:p>
        </w:tc>
        <w:tc>
          <w:tcPr>
            <w:tcW w:w="0" w:type="auto"/>
            <w:vAlign w:val="center"/>
          </w:tcPr>
          <w:p w:rsidR="00BE6341" w:rsidRDefault="00225C31">
            <w:pPr>
              <w:jc w:val="right"/>
            </w:pPr>
            <w:r>
              <w:rPr>
                <w:rFonts w:eastAsiaTheme="minorEastAsia"/>
                <w:color w:val="000000" w:themeColor="text1"/>
                <w:sz w:val="24"/>
              </w:rPr>
              <w:t>303,994.67</w:t>
            </w:r>
          </w:p>
        </w:tc>
        <w:tc>
          <w:tcPr>
            <w:tcW w:w="0" w:type="auto"/>
            <w:vAlign w:val="center"/>
          </w:tcPr>
          <w:p w:rsidR="00BE6341" w:rsidRDefault="00225C31">
            <w:pPr>
              <w:jc w:val="right"/>
            </w:pPr>
            <w:r>
              <w:rPr>
                <w:rFonts w:eastAsiaTheme="minorEastAsia"/>
                <w:color w:val="000000" w:themeColor="text1"/>
                <w:sz w:val="24"/>
              </w:rPr>
              <w:t>0.01</w:t>
            </w:r>
          </w:p>
        </w:tc>
      </w:tr>
      <w:tr w:rsidR="00BE6341">
        <w:tc>
          <w:tcPr>
            <w:tcW w:w="0" w:type="auto"/>
            <w:vAlign w:val="center"/>
          </w:tcPr>
          <w:p w:rsidR="00BE6341" w:rsidRDefault="00225C31">
            <w:pPr>
              <w:jc w:val="center"/>
            </w:pPr>
            <w:r>
              <w:rPr>
                <w:rFonts w:eastAsiaTheme="minorEastAsia"/>
                <w:color w:val="000000" w:themeColor="text1"/>
                <w:sz w:val="24"/>
              </w:rPr>
              <w:t>2</w:t>
            </w:r>
          </w:p>
        </w:tc>
        <w:tc>
          <w:tcPr>
            <w:tcW w:w="0" w:type="auto"/>
            <w:vAlign w:val="center"/>
          </w:tcPr>
          <w:p w:rsidR="00BE6341" w:rsidRDefault="00225C31">
            <w:pPr>
              <w:jc w:val="center"/>
            </w:pPr>
            <w:r>
              <w:rPr>
                <w:rFonts w:eastAsiaTheme="minorEastAsia"/>
                <w:color w:val="000000" w:themeColor="text1"/>
                <w:sz w:val="24"/>
              </w:rPr>
              <w:t>128084</w:t>
            </w:r>
          </w:p>
        </w:tc>
        <w:tc>
          <w:tcPr>
            <w:tcW w:w="0" w:type="auto"/>
            <w:vAlign w:val="center"/>
          </w:tcPr>
          <w:p w:rsidR="00BE6341" w:rsidRDefault="00225C31">
            <w:pPr>
              <w:jc w:val="center"/>
            </w:pPr>
            <w:r>
              <w:rPr>
                <w:rFonts w:eastAsiaTheme="minorEastAsia"/>
                <w:color w:val="000000" w:themeColor="text1"/>
                <w:sz w:val="24"/>
              </w:rPr>
              <w:t>木森转债</w:t>
            </w:r>
          </w:p>
        </w:tc>
        <w:tc>
          <w:tcPr>
            <w:tcW w:w="0" w:type="auto"/>
            <w:vAlign w:val="center"/>
          </w:tcPr>
          <w:p w:rsidR="00BE6341" w:rsidRDefault="00225C31">
            <w:pPr>
              <w:jc w:val="right"/>
            </w:pPr>
            <w:r>
              <w:rPr>
                <w:rFonts w:eastAsiaTheme="minorEastAsia"/>
                <w:color w:val="000000" w:themeColor="text1"/>
                <w:sz w:val="24"/>
              </w:rPr>
              <w:t>2,360</w:t>
            </w:r>
          </w:p>
        </w:tc>
        <w:tc>
          <w:tcPr>
            <w:tcW w:w="0" w:type="auto"/>
            <w:vAlign w:val="center"/>
          </w:tcPr>
          <w:p w:rsidR="00BE6341" w:rsidRDefault="00225C31">
            <w:pPr>
              <w:jc w:val="right"/>
            </w:pPr>
            <w:r>
              <w:rPr>
                <w:rFonts w:eastAsiaTheme="minorEastAsia"/>
                <w:color w:val="000000" w:themeColor="text1"/>
                <w:sz w:val="24"/>
              </w:rPr>
              <w:t>235,995.86</w:t>
            </w:r>
          </w:p>
        </w:tc>
        <w:tc>
          <w:tcPr>
            <w:tcW w:w="0" w:type="auto"/>
            <w:vAlign w:val="center"/>
          </w:tcPr>
          <w:p w:rsidR="00BE6341" w:rsidRDefault="00225C31">
            <w:pPr>
              <w:jc w:val="right"/>
            </w:pPr>
            <w:r>
              <w:rPr>
                <w:rFonts w:eastAsiaTheme="minorEastAsia"/>
                <w:color w:val="000000" w:themeColor="text1"/>
                <w:sz w:val="24"/>
              </w:rPr>
              <w:t>0.00</w:t>
            </w:r>
          </w:p>
        </w:tc>
      </w:tr>
      <w:tr w:rsidR="00BE6341">
        <w:tc>
          <w:tcPr>
            <w:tcW w:w="0" w:type="auto"/>
            <w:vAlign w:val="center"/>
          </w:tcPr>
          <w:p w:rsidR="00BE6341" w:rsidRDefault="00225C31">
            <w:pPr>
              <w:jc w:val="center"/>
            </w:pPr>
            <w:r>
              <w:rPr>
                <w:rFonts w:eastAsiaTheme="minorEastAsia"/>
                <w:color w:val="000000" w:themeColor="text1"/>
                <w:sz w:val="24"/>
              </w:rPr>
              <w:t>3</w:t>
            </w:r>
          </w:p>
        </w:tc>
        <w:tc>
          <w:tcPr>
            <w:tcW w:w="0" w:type="auto"/>
            <w:vAlign w:val="center"/>
          </w:tcPr>
          <w:p w:rsidR="00BE6341" w:rsidRDefault="00225C31">
            <w:pPr>
              <w:jc w:val="center"/>
            </w:pPr>
            <w:r>
              <w:rPr>
                <w:rFonts w:eastAsiaTheme="minorEastAsia"/>
                <w:color w:val="000000" w:themeColor="text1"/>
                <w:sz w:val="24"/>
              </w:rPr>
              <w:t>113029</w:t>
            </w:r>
          </w:p>
        </w:tc>
        <w:tc>
          <w:tcPr>
            <w:tcW w:w="0" w:type="auto"/>
            <w:vAlign w:val="center"/>
          </w:tcPr>
          <w:p w:rsidR="00BE6341" w:rsidRDefault="00225C31">
            <w:pPr>
              <w:jc w:val="center"/>
            </w:pPr>
            <w:r>
              <w:rPr>
                <w:rFonts w:eastAsiaTheme="minorEastAsia"/>
                <w:color w:val="000000" w:themeColor="text1"/>
                <w:sz w:val="24"/>
              </w:rPr>
              <w:t>明阳转债</w:t>
            </w:r>
          </w:p>
        </w:tc>
        <w:tc>
          <w:tcPr>
            <w:tcW w:w="0" w:type="auto"/>
            <w:vAlign w:val="center"/>
          </w:tcPr>
          <w:p w:rsidR="00BE6341" w:rsidRDefault="00225C31">
            <w:pPr>
              <w:jc w:val="right"/>
            </w:pPr>
            <w:r>
              <w:rPr>
                <w:rFonts w:eastAsiaTheme="minorEastAsia"/>
                <w:color w:val="000000" w:themeColor="text1"/>
                <w:sz w:val="24"/>
              </w:rPr>
              <w:t>1,890</w:t>
            </w:r>
          </w:p>
        </w:tc>
        <w:tc>
          <w:tcPr>
            <w:tcW w:w="0" w:type="auto"/>
            <w:vAlign w:val="center"/>
          </w:tcPr>
          <w:p w:rsidR="00BE6341" w:rsidRDefault="00225C31">
            <w:pPr>
              <w:jc w:val="right"/>
            </w:pPr>
            <w:r>
              <w:rPr>
                <w:rFonts w:eastAsiaTheme="minorEastAsia"/>
                <w:color w:val="000000" w:themeColor="text1"/>
                <w:sz w:val="24"/>
              </w:rPr>
              <w:t>188,996.69</w:t>
            </w:r>
          </w:p>
        </w:tc>
        <w:tc>
          <w:tcPr>
            <w:tcW w:w="0" w:type="auto"/>
            <w:vAlign w:val="center"/>
          </w:tcPr>
          <w:p w:rsidR="00BE6341" w:rsidRDefault="00225C31">
            <w:pPr>
              <w:jc w:val="right"/>
            </w:pPr>
            <w:r>
              <w:rPr>
                <w:rFonts w:eastAsiaTheme="minorEastAsia"/>
                <w:color w:val="000000" w:themeColor="text1"/>
                <w:sz w:val="24"/>
              </w:rPr>
              <w:t>0.00</w:t>
            </w:r>
          </w:p>
        </w:tc>
      </w:tr>
      <w:tr w:rsidR="00BE6341">
        <w:tc>
          <w:tcPr>
            <w:tcW w:w="0" w:type="auto"/>
            <w:vAlign w:val="center"/>
          </w:tcPr>
          <w:p w:rsidR="00BE6341" w:rsidRDefault="00225C31">
            <w:pPr>
              <w:jc w:val="center"/>
            </w:pPr>
            <w:r>
              <w:rPr>
                <w:rFonts w:eastAsiaTheme="minorEastAsia"/>
                <w:color w:val="000000" w:themeColor="text1"/>
                <w:sz w:val="24"/>
              </w:rPr>
              <w:t>4</w:t>
            </w:r>
          </w:p>
        </w:tc>
        <w:tc>
          <w:tcPr>
            <w:tcW w:w="0" w:type="auto"/>
            <w:vAlign w:val="center"/>
          </w:tcPr>
          <w:p w:rsidR="00BE6341" w:rsidRDefault="00225C31">
            <w:pPr>
              <w:jc w:val="center"/>
            </w:pPr>
            <w:r>
              <w:rPr>
                <w:rFonts w:eastAsiaTheme="minorEastAsia"/>
                <w:color w:val="000000" w:themeColor="text1"/>
                <w:sz w:val="24"/>
              </w:rPr>
              <w:t>128086</w:t>
            </w:r>
          </w:p>
        </w:tc>
        <w:tc>
          <w:tcPr>
            <w:tcW w:w="0" w:type="auto"/>
            <w:vAlign w:val="center"/>
          </w:tcPr>
          <w:p w:rsidR="00BE6341" w:rsidRDefault="00225C31">
            <w:pPr>
              <w:jc w:val="center"/>
            </w:pPr>
            <w:r>
              <w:rPr>
                <w:rFonts w:eastAsiaTheme="minorEastAsia"/>
                <w:color w:val="000000" w:themeColor="text1"/>
                <w:sz w:val="24"/>
              </w:rPr>
              <w:t>国轩转债</w:t>
            </w:r>
          </w:p>
        </w:tc>
        <w:tc>
          <w:tcPr>
            <w:tcW w:w="0" w:type="auto"/>
            <w:vAlign w:val="center"/>
          </w:tcPr>
          <w:p w:rsidR="00BE6341" w:rsidRDefault="00225C31">
            <w:pPr>
              <w:jc w:val="right"/>
            </w:pPr>
            <w:r>
              <w:rPr>
                <w:rFonts w:eastAsiaTheme="minorEastAsia"/>
                <w:color w:val="000000" w:themeColor="text1"/>
                <w:sz w:val="24"/>
              </w:rPr>
              <w:t>1,830</w:t>
            </w:r>
          </w:p>
        </w:tc>
        <w:tc>
          <w:tcPr>
            <w:tcW w:w="0" w:type="auto"/>
            <w:vAlign w:val="center"/>
          </w:tcPr>
          <w:p w:rsidR="00BE6341" w:rsidRDefault="00225C31">
            <w:pPr>
              <w:jc w:val="right"/>
            </w:pPr>
            <w:r>
              <w:rPr>
                <w:rFonts w:eastAsiaTheme="minorEastAsia"/>
                <w:color w:val="000000" w:themeColor="text1"/>
                <w:sz w:val="24"/>
              </w:rPr>
              <w:t>182,996.79</w:t>
            </w:r>
          </w:p>
        </w:tc>
        <w:tc>
          <w:tcPr>
            <w:tcW w:w="0" w:type="auto"/>
            <w:vAlign w:val="center"/>
          </w:tcPr>
          <w:p w:rsidR="00BE6341" w:rsidRDefault="00225C31">
            <w:pPr>
              <w:jc w:val="right"/>
            </w:pPr>
            <w:r>
              <w:rPr>
                <w:rFonts w:eastAsiaTheme="minorEastAsia"/>
                <w:color w:val="000000" w:themeColor="text1"/>
                <w:sz w:val="24"/>
              </w:rPr>
              <w:t>0.00</w:t>
            </w:r>
          </w:p>
        </w:tc>
      </w:tr>
      <w:tr w:rsidR="00BE6341">
        <w:tc>
          <w:tcPr>
            <w:tcW w:w="0" w:type="auto"/>
            <w:vAlign w:val="center"/>
          </w:tcPr>
          <w:p w:rsidR="00BE6341" w:rsidRDefault="00225C31">
            <w:pPr>
              <w:jc w:val="center"/>
            </w:pPr>
            <w:r>
              <w:rPr>
                <w:rFonts w:eastAsiaTheme="minorEastAsia"/>
                <w:color w:val="000000" w:themeColor="text1"/>
                <w:sz w:val="24"/>
              </w:rPr>
              <w:t>5</w:t>
            </w:r>
          </w:p>
        </w:tc>
        <w:tc>
          <w:tcPr>
            <w:tcW w:w="0" w:type="auto"/>
            <w:vAlign w:val="center"/>
          </w:tcPr>
          <w:p w:rsidR="00BE6341" w:rsidRDefault="00225C31">
            <w:pPr>
              <w:jc w:val="center"/>
            </w:pPr>
            <w:r>
              <w:rPr>
                <w:rFonts w:eastAsiaTheme="minorEastAsia"/>
                <w:color w:val="000000" w:themeColor="text1"/>
                <w:sz w:val="24"/>
              </w:rPr>
              <w:t>113030</w:t>
            </w:r>
          </w:p>
        </w:tc>
        <w:tc>
          <w:tcPr>
            <w:tcW w:w="0" w:type="auto"/>
            <w:vAlign w:val="center"/>
          </w:tcPr>
          <w:p w:rsidR="00BE6341" w:rsidRDefault="00225C31">
            <w:pPr>
              <w:jc w:val="center"/>
            </w:pPr>
            <w:r>
              <w:rPr>
                <w:rFonts w:eastAsiaTheme="minorEastAsia"/>
                <w:color w:val="000000" w:themeColor="text1"/>
                <w:sz w:val="24"/>
              </w:rPr>
              <w:t>东风转债</w:t>
            </w:r>
          </w:p>
        </w:tc>
        <w:tc>
          <w:tcPr>
            <w:tcW w:w="0" w:type="auto"/>
            <w:vAlign w:val="center"/>
          </w:tcPr>
          <w:p w:rsidR="00BE6341" w:rsidRDefault="00225C31">
            <w:pPr>
              <w:jc w:val="right"/>
            </w:pPr>
            <w:r>
              <w:rPr>
                <w:rFonts w:eastAsiaTheme="minorEastAsia"/>
                <w:color w:val="000000" w:themeColor="text1"/>
                <w:sz w:val="24"/>
              </w:rPr>
              <w:t>280</w:t>
            </w:r>
          </w:p>
        </w:tc>
        <w:tc>
          <w:tcPr>
            <w:tcW w:w="0" w:type="auto"/>
            <w:vAlign w:val="center"/>
          </w:tcPr>
          <w:p w:rsidR="00BE6341" w:rsidRDefault="00225C31">
            <w:pPr>
              <w:jc w:val="right"/>
            </w:pPr>
            <w:r>
              <w:rPr>
                <w:rFonts w:eastAsiaTheme="minorEastAsia"/>
                <w:color w:val="000000" w:themeColor="text1"/>
                <w:sz w:val="24"/>
              </w:rPr>
              <w:t>27,999.51</w:t>
            </w:r>
          </w:p>
        </w:tc>
        <w:tc>
          <w:tcPr>
            <w:tcW w:w="0" w:type="auto"/>
            <w:vAlign w:val="center"/>
          </w:tcPr>
          <w:p w:rsidR="00BE6341" w:rsidRDefault="00225C31">
            <w:pPr>
              <w:jc w:val="right"/>
            </w:pPr>
            <w:r>
              <w:rPr>
                <w:rFonts w:eastAsiaTheme="minorEastAsia"/>
                <w:color w:val="000000" w:themeColor="text1"/>
                <w:sz w:val="24"/>
              </w:rPr>
              <w:t>0.00</w:t>
            </w:r>
          </w:p>
        </w:tc>
      </w:tr>
    </w:tbl>
    <w:p w:rsidR="009238DB" w:rsidRPr="00B34368" w:rsidRDefault="009238DB"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40218E" w:rsidRPr="00B34368">
        <w:rPr>
          <w:rFonts w:eastAsiaTheme="minorEastAsia"/>
          <w:b/>
          <w:color w:val="000000" w:themeColor="text1"/>
          <w:kern w:val="0"/>
          <w:sz w:val="24"/>
        </w:rPr>
        <w:t>7</w:t>
      </w:r>
      <w:r w:rsidRPr="00B34368">
        <w:rPr>
          <w:rFonts w:eastAsiaTheme="minorEastAsia" w:hAnsiTheme="minorEastAsia"/>
          <w:b/>
          <w:color w:val="000000" w:themeColor="text1"/>
          <w:kern w:val="0"/>
          <w:sz w:val="24"/>
        </w:rPr>
        <w:t xml:space="preserve">　报告期末按公允价值占基金资产净值比例大小排</w:t>
      </w:r>
      <w:r w:rsidR="00E15FD1" w:rsidRPr="00B34368">
        <w:rPr>
          <w:rFonts w:eastAsiaTheme="minorEastAsia" w:hAnsiTheme="minorEastAsia"/>
          <w:b/>
          <w:color w:val="000000" w:themeColor="text1"/>
          <w:kern w:val="0"/>
          <w:sz w:val="24"/>
        </w:rPr>
        <w:t>序</w:t>
      </w:r>
      <w:r w:rsidRPr="00B34368">
        <w:rPr>
          <w:rFonts w:eastAsiaTheme="minorEastAsia" w:hAnsiTheme="minorEastAsia"/>
          <w:b/>
          <w:color w:val="000000" w:themeColor="text1"/>
          <w:kern w:val="0"/>
          <w:sz w:val="24"/>
        </w:rPr>
        <w:t>的前十名资产支持证券投资明细</w:t>
      </w:r>
    </w:p>
    <w:p w:rsidR="009238DB" w:rsidRPr="00B34368" w:rsidRDefault="00C260A2"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本基金本报告期末未持有资产支持证券。</w:t>
      </w:r>
    </w:p>
    <w:p w:rsidR="00E15FD1" w:rsidRPr="00B34368" w:rsidRDefault="00E15FD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 xml:space="preserve">5.8 </w:t>
      </w:r>
      <w:r w:rsidRPr="00B34368">
        <w:rPr>
          <w:rFonts w:eastAsiaTheme="minorEastAsia" w:hAnsiTheme="minorEastAsia"/>
          <w:b/>
          <w:bCs/>
          <w:color w:val="000000" w:themeColor="text1"/>
          <w:kern w:val="0"/>
          <w:sz w:val="24"/>
        </w:rPr>
        <w:t>报告期末按公允价值占基金资产净值比例大小排序的前五名贵金属投资明细</w:t>
      </w:r>
    </w:p>
    <w:p w:rsidR="00E15FD1" w:rsidRPr="00B34368" w:rsidRDefault="00E15FD1" w:rsidP="00B34368">
      <w:pPr>
        <w:widowControl/>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本基金本报告期末未持有贵金属。</w:t>
      </w:r>
    </w:p>
    <w:p w:rsidR="009238DB"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w:t>
      </w:r>
      <w:r w:rsidR="009238DB" w:rsidRPr="00B34368">
        <w:rPr>
          <w:rFonts w:eastAsiaTheme="minorEastAsia"/>
          <w:b/>
          <w:color w:val="000000" w:themeColor="text1"/>
          <w:kern w:val="0"/>
          <w:sz w:val="24"/>
        </w:rPr>
        <w:t>.</w:t>
      </w:r>
      <w:r w:rsidRPr="00B34368">
        <w:rPr>
          <w:rFonts w:eastAsiaTheme="minorEastAsia"/>
          <w:b/>
          <w:color w:val="000000" w:themeColor="text1"/>
          <w:kern w:val="0"/>
          <w:sz w:val="24"/>
        </w:rPr>
        <w:t>9</w:t>
      </w:r>
      <w:r w:rsidR="009238DB" w:rsidRPr="00B34368">
        <w:rPr>
          <w:rFonts w:eastAsiaTheme="minorEastAsia"/>
          <w:b/>
          <w:color w:val="000000" w:themeColor="text1"/>
          <w:kern w:val="0"/>
          <w:sz w:val="24"/>
        </w:rPr>
        <w:t xml:space="preserve"> </w:t>
      </w:r>
      <w:r w:rsidR="009238DB" w:rsidRPr="00B34368">
        <w:rPr>
          <w:rFonts w:eastAsiaTheme="minorEastAsia" w:hAnsiTheme="minorEastAsia"/>
          <w:b/>
          <w:color w:val="000000" w:themeColor="text1"/>
          <w:kern w:val="0"/>
          <w:sz w:val="24"/>
        </w:rPr>
        <w:t>报告</w:t>
      </w:r>
      <w:r w:rsidR="009238DB" w:rsidRPr="00B34368">
        <w:rPr>
          <w:rFonts w:eastAsiaTheme="minorEastAsia" w:hAnsiTheme="minorEastAsia"/>
          <w:b/>
          <w:bCs/>
          <w:color w:val="000000" w:themeColor="text1"/>
          <w:kern w:val="0"/>
          <w:sz w:val="24"/>
        </w:rPr>
        <w:t>期末</w:t>
      </w:r>
      <w:r w:rsidR="009238DB" w:rsidRPr="00B34368">
        <w:rPr>
          <w:rFonts w:eastAsiaTheme="minorEastAsia" w:hAnsiTheme="minorEastAsia"/>
          <w:b/>
          <w:color w:val="000000" w:themeColor="text1"/>
          <w:kern w:val="0"/>
          <w:sz w:val="24"/>
        </w:rPr>
        <w:t>按公允价值占基金资产净值比例大小排</w:t>
      </w:r>
      <w:r w:rsidR="006B3FDB" w:rsidRPr="00B34368">
        <w:rPr>
          <w:rFonts w:eastAsiaTheme="minorEastAsia" w:hAnsiTheme="minorEastAsia"/>
          <w:b/>
          <w:color w:val="000000" w:themeColor="text1"/>
          <w:kern w:val="0"/>
          <w:sz w:val="24"/>
        </w:rPr>
        <w:t>序</w:t>
      </w:r>
      <w:r w:rsidR="009238DB" w:rsidRPr="00B34368">
        <w:rPr>
          <w:rFonts w:eastAsiaTheme="minorEastAsia" w:hAnsiTheme="minorEastAsia"/>
          <w:b/>
          <w:color w:val="000000" w:themeColor="text1"/>
          <w:kern w:val="0"/>
          <w:sz w:val="24"/>
        </w:rPr>
        <w:t>的前五名权证投资明细</w:t>
      </w:r>
    </w:p>
    <w:p w:rsidR="001D5CD0" w:rsidRPr="00B34368" w:rsidRDefault="00C260A2"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本基金本报告期末未持有权证。</w:t>
      </w:r>
    </w:p>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sz w:val="24"/>
        </w:rPr>
      </w:pPr>
      <w:r w:rsidRPr="00B34368">
        <w:rPr>
          <w:rFonts w:eastAsiaTheme="minorEastAsia"/>
          <w:b/>
          <w:color w:val="000000" w:themeColor="text1"/>
          <w:sz w:val="24"/>
        </w:rPr>
        <w:t xml:space="preserve">5.10 </w:t>
      </w:r>
      <w:r w:rsidRPr="00B34368">
        <w:rPr>
          <w:rFonts w:eastAsiaTheme="minorEastAsia" w:hAnsiTheme="minorEastAsia"/>
          <w:b/>
          <w:color w:val="000000" w:themeColor="text1"/>
          <w:sz w:val="24"/>
        </w:rPr>
        <w:t>报告期末本基金投资的股指期货交易情况说明</w:t>
      </w:r>
    </w:p>
    <w:p w:rsidR="001D5CD0" w:rsidRPr="00B34368" w:rsidRDefault="00D27EA0" w:rsidP="00D27EA0">
      <w:pPr>
        <w:spacing w:line="360" w:lineRule="auto"/>
        <w:ind w:firstLineChars="200" w:firstLine="480"/>
        <w:rPr>
          <w:rFonts w:eastAsiaTheme="minorEastAsia"/>
          <w:color w:val="000000" w:themeColor="text1"/>
          <w:sz w:val="24"/>
        </w:rPr>
      </w:pPr>
      <w:r w:rsidRPr="00D27EA0">
        <w:rPr>
          <w:rFonts w:eastAsiaTheme="minorEastAsia"/>
          <w:color w:val="000000" w:themeColor="text1"/>
          <w:sz w:val="24"/>
        </w:rPr>
        <w:t>本基金本报告期末未投资股指期货。</w:t>
      </w:r>
    </w:p>
    <w:p w:rsidR="001D5CD0" w:rsidRPr="00B34368" w:rsidRDefault="001D5CD0" w:rsidP="00C544B8">
      <w:pPr>
        <w:adjustRightInd w:val="0"/>
        <w:snapToGrid w:val="0"/>
        <w:spacing w:beforeLines="100" w:before="312" w:line="360" w:lineRule="auto"/>
        <w:rPr>
          <w:rFonts w:eastAsiaTheme="minorEastAsia"/>
          <w:b/>
          <w:color w:val="000000" w:themeColor="text1"/>
          <w:sz w:val="24"/>
        </w:rPr>
      </w:pPr>
      <w:r w:rsidRPr="00B34368">
        <w:rPr>
          <w:rFonts w:eastAsiaTheme="minorEastAsia"/>
          <w:b/>
          <w:color w:val="000000" w:themeColor="text1"/>
          <w:sz w:val="24"/>
        </w:rPr>
        <w:t>5.11</w:t>
      </w:r>
      <w:r w:rsidRPr="00B34368">
        <w:rPr>
          <w:rFonts w:eastAsiaTheme="minorEastAsia" w:hAnsiTheme="minorEastAsia"/>
          <w:b/>
          <w:color w:val="000000" w:themeColor="text1"/>
          <w:sz w:val="24"/>
        </w:rPr>
        <w:t>报告期末本基金投资的国债期货交易情况说明</w:t>
      </w:r>
    </w:p>
    <w:p w:rsidR="00985F0E" w:rsidRDefault="00985F0E" w:rsidP="00985F0E">
      <w:pPr>
        <w:spacing w:line="360" w:lineRule="auto"/>
        <w:ind w:firstLineChars="200" w:firstLine="480"/>
      </w:pPr>
      <w:r w:rsidRPr="00DF18FE">
        <w:rPr>
          <w:color w:val="000000"/>
          <w:sz w:val="24"/>
        </w:rPr>
        <w:t>本基金本报告期末未投资国债期货。</w:t>
      </w:r>
    </w:p>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5.12</w:t>
      </w:r>
      <w:r w:rsidRPr="00B34368">
        <w:rPr>
          <w:rFonts w:eastAsiaTheme="minorEastAsia" w:hAnsiTheme="minorEastAsia"/>
          <w:b/>
          <w:color w:val="000000" w:themeColor="text1"/>
          <w:kern w:val="0"/>
          <w:sz w:val="24"/>
        </w:rPr>
        <w:t>投资组合报告附注</w:t>
      </w:r>
    </w:p>
    <w:p w:rsidR="000C3452" w:rsidRPr="00B34368" w:rsidRDefault="000C3452" w:rsidP="000C3452">
      <w:pPr>
        <w:widowControl/>
        <w:spacing w:line="360" w:lineRule="auto"/>
        <w:rPr>
          <w:rFonts w:eastAsiaTheme="minorEastAsia"/>
          <w:color w:val="000000" w:themeColor="text1"/>
          <w:sz w:val="24"/>
        </w:rPr>
      </w:pPr>
      <w:r w:rsidRPr="00B34368">
        <w:rPr>
          <w:rFonts w:eastAsiaTheme="minorEastAsia"/>
          <w:color w:val="000000" w:themeColor="text1"/>
          <w:sz w:val="24"/>
        </w:rPr>
        <w:t>5.12.1</w:t>
      </w:r>
      <w:r w:rsidRPr="00B34368">
        <w:rPr>
          <w:rFonts w:eastAsiaTheme="minorEastAsia"/>
          <w:color w:val="000000" w:themeColor="text1"/>
          <w:sz w:val="24"/>
        </w:rPr>
        <w:t>本基金投资的前十名证券的发行主体本期没有出现被监管部门立案调查，或在报告编制日前一年内受到公开谴责、处罚的情形。</w:t>
      </w:r>
    </w:p>
    <w:p w:rsidR="000C3452" w:rsidRPr="00B34368" w:rsidRDefault="000C3452" w:rsidP="000C3452">
      <w:pPr>
        <w:widowControl/>
        <w:spacing w:line="360" w:lineRule="auto"/>
        <w:rPr>
          <w:rFonts w:eastAsiaTheme="minorEastAsia"/>
          <w:color w:val="000000" w:themeColor="text1"/>
          <w:sz w:val="24"/>
        </w:rPr>
      </w:pPr>
      <w:r w:rsidRPr="00B34368">
        <w:rPr>
          <w:rFonts w:eastAsiaTheme="minorEastAsia"/>
          <w:color w:val="000000" w:themeColor="text1"/>
          <w:sz w:val="24"/>
        </w:rPr>
        <w:t>5.12.2</w:t>
      </w:r>
      <w:r w:rsidRPr="00B34368">
        <w:rPr>
          <w:rFonts w:eastAsiaTheme="minorEastAsia"/>
          <w:color w:val="000000" w:themeColor="text1"/>
          <w:sz w:val="24"/>
        </w:rPr>
        <w:t>本基金投资的前十名股票没有超出基金合同规定的备选股票库。</w:t>
      </w:r>
    </w:p>
    <w:p w:rsidR="001D5CD0" w:rsidRPr="00B34368" w:rsidRDefault="001D5CD0" w:rsidP="001D5CD0">
      <w:pPr>
        <w:autoSpaceDE w:val="0"/>
        <w:autoSpaceDN w:val="0"/>
        <w:adjustRightInd w:val="0"/>
        <w:spacing w:line="360" w:lineRule="auto"/>
        <w:rPr>
          <w:rFonts w:eastAsiaTheme="minorEastAsia"/>
          <w:b/>
          <w:color w:val="000000" w:themeColor="text1"/>
          <w:kern w:val="0"/>
          <w:sz w:val="24"/>
        </w:rPr>
      </w:pPr>
      <w:r w:rsidRPr="00B34368">
        <w:rPr>
          <w:rFonts w:eastAsiaTheme="minorEastAsia"/>
          <w:b/>
          <w:color w:val="000000" w:themeColor="text1"/>
          <w:kern w:val="0"/>
          <w:sz w:val="24"/>
        </w:rPr>
        <w:t>5.12.3</w:t>
      </w:r>
      <w:r w:rsidRPr="00B34368">
        <w:rPr>
          <w:rFonts w:eastAsiaTheme="minorEastAsia" w:hAnsiTheme="minorEastAsia"/>
          <w:b/>
          <w:color w:val="000000" w:themeColor="text1"/>
          <w:kern w:val="0"/>
          <w:sz w:val="24"/>
        </w:rPr>
        <w:t>其他各项资产构成</w:t>
      </w:r>
    </w:p>
    <w:tbl>
      <w:tblPr>
        <w:tblStyle w:val="af2"/>
        <w:tblW w:w="0" w:type="auto"/>
        <w:tblInd w:w="108" w:type="dxa"/>
        <w:tblLook w:val="04A0" w:firstRow="1" w:lastRow="0" w:firstColumn="1" w:lastColumn="0" w:noHBand="0" w:noVBand="1"/>
      </w:tblPr>
      <w:tblGrid>
        <w:gridCol w:w="1235"/>
        <w:gridCol w:w="2761"/>
        <w:gridCol w:w="4808"/>
      </w:tblGrid>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序号</w:t>
            </w:r>
          </w:p>
        </w:tc>
        <w:tc>
          <w:tcPr>
            <w:tcW w:w="2761"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名称</w:t>
            </w:r>
          </w:p>
        </w:tc>
        <w:tc>
          <w:tcPr>
            <w:tcW w:w="4808" w:type="dxa"/>
            <w:vAlign w:val="center"/>
          </w:tcPr>
          <w:p w:rsidR="001D5CD0" w:rsidRPr="00B34368" w:rsidRDefault="001D5CD0" w:rsidP="00AE2AD2">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金额</w:t>
            </w:r>
            <w:r w:rsidRPr="00B34368">
              <w:rPr>
                <w:rFonts w:eastAsiaTheme="minorEastAsia"/>
                <w:color w:val="000000" w:themeColor="text1"/>
                <w:kern w:val="0"/>
                <w:sz w:val="24"/>
              </w:rPr>
              <w:t>(</w:t>
            </w:r>
            <w:r w:rsidRPr="00B34368">
              <w:rPr>
                <w:rFonts w:eastAsiaTheme="minorEastAsia" w:hAnsiTheme="minorEastAsia"/>
                <w:color w:val="000000" w:themeColor="text1"/>
                <w:kern w:val="0"/>
                <w:sz w:val="24"/>
              </w:rPr>
              <w:t>元</w:t>
            </w: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kern w:val="0"/>
                <w:sz w:val="24"/>
              </w:rPr>
            </w:pPr>
            <w:r w:rsidRPr="00B34368">
              <w:rPr>
                <w:rFonts w:eastAsiaTheme="minorEastAsia"/>
                <w:color w:val="000000" w:themeColor="text1"/>
                <w:sz w:val="24"/>
              </w:rPr>
              <w:t>1</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存出保证金</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781,131.89</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2</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应收证券清算款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3</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应收股利</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4</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应收利息</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56,557.54</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5</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应收申购款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21,348,401.89</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6</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其他应收款</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18,449.90</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7</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sz w:val="24"/>
              </w:rPr>
            </w:pPr>
            <w:r w:rsidRPr="00B34368">
              <w:rPr>
                <w:rFonts w:eastAsiaTheme="minorEastAsia" w:hAnsiTheme="minorEastAsia"/>
                <w:color w:val="000000" w:themeColor="text1"/>
                <w:sz w:val="24"/>
              </w:rPr>
              <w:t>待摊费用</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8</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其他</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w:t>
            </w:r>
          </w:p>
        </w:tc>
      </w:tr>
      <w:tr w:rsidR="00D3639B" w:rsidRPr="00B34368" w:rsidTr="00975D18">
        <w:tc>
          <w:tcPr>
            <w:tcW w:w="944" w:type="dxa"/>
            <w:vAlign w:val="center"/>
          </w:tcPr>
          <w:p w:rsidR="001D5CD0" w:rsidRPr="00B34368" w:rsidRDefault="001D5CD0" w:rsidP="00AE2AD2">
            <w:pPr>
              <w:autoSpaceDE w:val="0"/>
              <w:autoSpaceDN w:val="0"/>
              <w:adjustRightInd w:val="0"/>
              <w:spacing w:before="29" w:line="360" w:lineRule="auto"/>
              <w:ind w:left="15"/>
              <w:jc w:val="center"/>
              <w:rPr>
                <w:rFonts w:eastAsiaTheme="minorEastAsia"/>
                <w:color w:val="000000" w:themeColor="text1"/>
                <w:sz w:val="24"/>
              </w:rPr>
            </w:pPr>
            <w:r w:rsidRPr="00B34368">
              <w:rPr>
                <w:rFonts w:eastAsiaTheme="minorEastAsia"/>
                <w:color w:val="000000" w:themeColor="text1"/>
                <w:sz w:val="24"/>
              </w:rPr>
              <w:t>9</w:t>
            </w:r>
          </w:p>
        </w:tc>
        <w:tc>
          <w:tcPr>
            <w:tcW w:w="2761" w:type="dxa"/>
            <w:vAlign w:val="center"/>
          </w:tcPr>
          <w:p w:rsidR="001D5CD0" w:rsidRPr="00B34368" w:rsidRDefault="001D5CD0" w:rsidP="00AE2AD2">
            <w:pPr>
              <w:autoSpaceDE w:val="0"/>
              <w:autoSpaceDN w:val="0"/>
              <w:adjustRightInd w:val="0"/>
              <w:spacing w:before="29" w:line="360" w:lineRule="auto"/>
              <w:ind w:left="15"/>
              <w:jc w:val="left"/>
              <w:rPr>
                <w:rFonts w:eastAsiaTheme="minorEastAsia"/>
                <w:color w:val="000000" w:themeColor="text1"/>
                <w:kern w:val="0"/>
                <w:sz w:val="24"/>
              </w:rPr>
            </w:pPr>
            <w:r w:rsidRPr="00B34368">
              <w:rPr>
                <w:rFonts w:eastAsiaTheme="minorEastAsia" w:hAnsiTheme="minorEastAsia"/>
                <w:color w:val="000000" w:themeColor="text1"/>
                <w:kern w:val="0"/>
                <w:sz w:val="24"/>
              </w:rPr>
              <w:t>合计</w:t>
            </w:r>
          </w:p>
        </w:tc>
        <w:tc>
          <w:tcPr>
            <w:tcW w:w="4808" w:type="dxa"/>
            <w:vAlign w:val="center"/>
          </w:tcPr>
          <w:p w:rsidR="001D5CD0" w:rsidRPr="00B34368" w:rsidRDefault="001D5CD0" w:rsidP="00AE2AD2">
            <w:pPr>
              <w:autoSpaceDE w:val="0"/>
              <w:autoSpaceDN w:val="0"/>
              <w:adjustRightInd w:val="0"/>
              <w:spacing w:before="29" w:line="360" w:lineRule="auto"/>
              <w:ind w:left="15"/>
              <w:jc w:val="right"/>
              <w:rPr>
                <w:rFonts w:eastAsiaTheme="minorEastAsia"/>
                <w:color w:val="000000" w:themeColor="text1"/>
                <w:kern w:val="0"/>
                <w:sz w:val="24"/>
              </w:rPr>
            </w:pPr>
            <w:r w:rsidRPr="00B34368">
              <w:rPr>
                <w:rFonts w:eastAsiaTheme="minorEastAsia"/>
                <w:color w:val="000000" w:themeColor="text1"/>
                <w:kern w:val="0"/>
                <w:sz w:val="24"/>
              </w:rPr>
              <w:t>22,204,541.22</w:t>
            </w:r>
          </w:p>
        </w:tc>
      </w:tr>
    </w:tbl>
    <w:p w:rsidR="001D5CD0" w:rsidRPr="00B34368" w:rsidRDefault="001D5CD0" w:rsidP="00C544B8">
      <w:pPr>
        <w:autoSpaceDE w:val="0"/>
        <w:autoSpaceDN w:val="0"/>
        <w:adjustRightInd w:val="0"/>
        <w:spacing w:beforeLines="100" w:before="312" w:line="360" w:lineRule="auto"/>
        <w:jc w:val="left"/>
        <w:rPr>
          <w:rFonts w:eastAsiaTheme="minorEastAsia"/>
          <w:b/>
          <w:color w:val="000000" w:themeColor="text1"/>
          <w:kern w:val="0"/>
          <w:sz w:val="24"/>
        </w:rPr>
      </w:pPr>
      <w:r w:rsidRPr="00B34368">
        <w:rPr>
          <w:rFonts w:eastAsiaTheme="minorEastAsia"/>
          <w:b/>
          <w:color w:val="000000" w:themeColor="text1"/>
          <w:kern w:val="0"/>
          <w:sz w:val="24"/>
        </w:rPr>
        <w:t>5.12.4</w:t>
      </w:r>
      <w:r w:rsidRPr="00B34368">
        <w:rPr>
          <w:rFonts w:eastAsiaTheme="minorEastAsia" w:hAnsiTheme="minorEastAsia"/>
          <w:b/>
          <w:color w:val="000000" w:themeColor="text1"/>
          <w:kern w:val="0"/>
          <w:sz w:val="24"/>
        </w:rPr>
        <w:t>报告期末持有的处于转股期的可转换债券明细</w:t>
      </w:r>
    </w:p>
    <w:p w:rsidR="001D5CD0" w:rsidRPr="00B34368" w:rsidRDefault="001D5CD0"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本基金本报告期末未持有处于转股期的可转换债券。</w:t>
      </w:r>
    </w:p>
    <w:p w:rsidR="001D5CD0" w:rsidRPr="00B34368" w:rsidRDefault="001D5CD0" w:rsidP="00C544B8">
      <w:pPr>
        <w:autoSpaceDE w:val="0"/>
        <w:autoSpaceDN w:val="0"/>
        <w:adjustRightInd w:val="0"/>
        <w:spacing w:beforeLines="100" w:before="312" w:line="360" w:lineRule="auto"/>
        <w:jc w:val="left"/>
        <w:rPr>
          <w:rFonts w:eastAsiaTheme="minorEastAsia"/>
          <w:b/>
          <w:bCs/>
          <w:color w:val="000000" w:themeColor="text1"/>
          <w:sz w:val="24"/>
        </w:rPr>
      </w:pPr>
      <w:r w:rsidRPr="00B34368">
        <w:rPr>
          <w:rFonts w:eastAsiaTheme="minorEastAsia"/>
          <w:b/>
          <w:color w:val="000000" w:themeColor="text1"/>
          <w:kern w:val="0"/>
          <w:sz w:val="24"/>
        </w:rPr>
        <w:t>5.12.5</w:t>
      </w:r>
      <w:r w:rsidRPr="00B34368">
        <w:rPr>
          <w:rFonts w:eastAsiaTheme="minorEastAsia" w:hAnsiTheme="minorEastAsia"/>
          <w:b/>
          <w:bCs/>
          <w:color w:val="000000" w:themeColor="text1"/>
          <w:sz w:val="24"/>
        </w:rPr>
        <w:t>报告期末前十名股票中存在流通受限情况的说明</w:t>
      </w:r>
    </w:p>
    <w:tbl>
      <w:tblPr>
        <w:tblStyle w:val="af2"/>
        <w:tblW w:w="0" w:type="auto"/>
        <w:tblInd w:w="108" w:type="dxa"/>
        <w:tblLayout w:type="fixed"/>
        <w:tblLook w:val="04A0" w:firstRow="1" w:lastRow="0" w:firstColumn="1" w:lastColumn="0" w:noHBand="0" w:noVBand="1"/>
      </w:tblPr>
      <w:tblGrid>
        <w:gridCol w:w="1083"/>
        <w:gridCol w:w="1302"/>
        <w:gridCol w:w="1301"/>
        <w:gridCol w:w="1805"/>
        <w:gridCol w:w="1655"/>
        <w:gridCol w:w="1367"/>
      </w:tblGrid>
      <w:tr w:rsidR="00D3639B" w:rsidRPr="00B34368" w:rsidTr="00975D18">
        <w:tc>
          <w:tcPr>
            <w:tcW w:w="1083"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序号</w:t>
            </w:r>
          </w:p>
        </w:tc>
        <w:tc>
          <w:tcPr>
            <w:tcW w:w="1302"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股票代码</w:t>
            </w:r>
          </w:p>
        </w:tc>
        <w:tc>
          <w:tcPr>
            <w:tcW w:w="1301"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股票名称</w:t>
            </w:r>
          </w:p>
        </w:tc>
        <w:tc>
          <w:tcPr>
            <w:tcW w:w="1805"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流通受限部分的公允价值</w:t>
            </w:r>
            <w:r w:rsidRPr="00B34368">
              <w:rPr>
                <w:rFonts w:eastAsiaTheme="minorEastAsia"/>
                <w:color w:val="000000" w:themeColor="text1"/>
                <w:sz w:val="24"/>
              </w:rPr>
              <w:t>(</w:t>
            </w:r>
            <w:r w:rsidRPr="00B34368">
              <w:rPr>
                <w:rFonts w:eastAsiaTheme="minorEastAsia" w:hAnsiTheme="minorEastAsia"/>
                <w:color w:val="000000" w:themeColor="text1"/>
                <w:sz w:val="24"/>
              </w:rPr>
              <w:t>元</w:t>
            </w:r>
            <w:r w:rsidRPr="00B34368">
              <w:rPr>
                <w:rFonts w:eastAsiaTheme="minorEastAsia"/>
                <w:color w:val="000000" w:themeColor="text1"/>
                <w:sz w:val="24"/>
              </w:rPr>
              <w:t>)</w:t>
            </w:r>
          </w:p>
        </w:tc>
        <w:tc>
          <w:tcPr>
            <w:tcW w:w="1655"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占基金资产净值比例</w:t>
            </w:r>
            <w:r w:rsidRPr="00B34368">
              <w:rPr>
                <w:rFonts w:eastAsiaTheme="minorEastAsia"/>
                <w:color w:val="000000" w:themeColor="text1"/>
                <w:sz w:val="24"/>
              </w:rPr>
              <w:t>(%)</w:t>
            </w:r>
          </w:p>
        </w:tc>
        <w:tc>
          <w:tcPr>
            <w:tcW w:w="1367" w:type="dxa"/>
            <w:vAlign w:val="center"/>
          </w:tcPr>
          <w:p w:rsidR="001D5CD0" w:rsidRPr="00B34368" w:rsidRDefault="001D5CD0" w:rsidP="00AE2AD2">
            <w:pPr>
              <w:spacing w:before="29" w:line="360" w:lineRule="auto"/>
              <w:ind w:left="17"/>
              <w:jc w:val="center"/>
              <w:rPr>
                <w:rFonts w:eastAsiaTheme="minorEastAsia"/>
                <w:color w:val="000000" w:themeColor="text1"/>
                <w:sz w:val="24"/>
              </w:rPr>
            </w:pPr>
            <w:r w:rsidRPr="00B34368">
              <w:rPr>
                <w:rFonts w:eastAsiaTheme="minorEastAsia" w:hAnsiTheme="minorEastAsia"/>
                <w:color w:val="000000" w:themeColor="text1"/>
                <w:sz w:val="24"/>
              </w:rPr>
              <w:t>流通受限情况说明</w:t>
            </w:r>
          </w:p>
        </w:tc>
      </w:tr>
      <w:tr w:rsidR="00BE6341">
        <w:tc>
          <w:tcPr>
            <w:tcW w:w="0" w:type="auto"/>
            <w:vAlign w:val="center"/>
          </w:tcPr>
          <w:p w:rsidR="00BE6341" w:rsidRDefault="00225C31">
            <w:pPr>
              <w:jc w:val="center"/>
            </w:pPr>
            <w:r>
              <w:rPr>
                <w:rFonts w:eastAsiaTheme="minorEastAsia"/>
                <w:color w:val="000000" w:themeColor="text1"/>
                <w:sz w:val="24"/>
              </w:rPr>
              <w:t>1</w:t>
            </w:r>
          </w:p>
        </w:tc>
        <w:tc>
          <w:tcPr>
            <w:tcW w:w="0" w:type="auto"/>
            <w:vAlign w:val="center"/>
          </w:tcPr>
          <w:p w:rsidR="00BE6341" w:rsidRDefault="00225C31">
            <w:pPr>
              <w:jc w:val="center"/>
            </w:pPr>
            <w:r>
              <w:rPr>
                <w:rFonts w:eastAsiaTheme="minorEastAsia"/>
                <w:color w:val="000000" w:themeColor="text1"/>
                <w:sz w:val="24"/>
              </w:rPr>
              <w:t>003816</w:t>
            </w:r>
          </w:p>
        </w:tc>
        <w:tc>
          <w:tcPr>
            <w:tcW w:w="0" w:type="auto"/>
            <w:vAlign w:val="center"/>
          </w:tcPr>
          <w:p w:rsidR="00BE6341" w:rsidRDefault="00225C31">
            <w:pPr>
              <w:jc w:val="center"/>
            </w:pPr>
            <w:r>
              <w:rPr>
                <w:rFonts w:eastAsiaTheme="minorEastAsia"/>
                <w:color w:val="000000" w:themeColor="text1"/>
                <w:sz w:val="24"/>
              </w:rPr>
              <w:t>中国广核</w:t>
            </w:r>
          </w:p>
        </w:tc>
        <w:tc>
          <w:tcPr>
            <w:tcW w:w="0" w:type="auto"/>
            <w:vAlign w:val="center"/>
          </w:tcPr>
          <w:p w:rsidR="00BE6341" w:rsidRDefault="00225C31">
            <w:pPr>
              <w:jc w:val="right"/>
            </w:pPr>
            <w:r>
              <w:rPr>
                <w:rFonts w:eastAsiaTheme="minorEastAsia"/>
                <w:color w:val="000000" w:themeColor="text1"/>
                <w:sz w:val="24"/>
              </w:rPr>
              <w:t>1,987,241.74</w:t>
            </w:r>
          </w:p>
        </w:tc>
        <w:tc>
          <w:tcPr>
            <w:tcW w:w="0" w:type="auto"/>
            <w:vAlign w:val="center"/>
          </w:tcPr>
          <w:p w:rsidR="00BE6341" w:rsidRDefault="00225C31">
            <w:pPr>
              <w:jc w:val="right"/>
            </w:pPr>
            <w:r>
              <w:rPr>
                <w:rFonts w:eastAsiaTheme="minorEastAsia"/>
                <w:color w:val="000000" w:themeColor="text1"/>
                <w:sz w:val="24"/>
              </w:rPr>
              <w:t>0.04</w:t>
            </w:r>
          </w:p>
        </w:tc>
        <w:tc>
          <w:tcPr>
            <w:tcW w:w="0" w:type="auto"/>
            <w:vAlign w:val="center"/>
          </w:tcPr>
          <w:p w:rsidR="00BE6341" w:rsidRDefault="00225C31">
            <w:pPr>
              <w:jc w:val="right"/>
            </w:pPr>
            <w:r>
              <w:rPr>
                <w:rFonts w:eastAsiaTheme="minorEastAsia"/>
                <w:color w:val="000000" w:themeColor="text1"/>
                <w:sz w:val="24"/>
              </w:rPr>
              <w:t>新股流通受限</w:t>
            </w:r>
          </w:p>
        </w:tc>
      </w:tr>
    </w:tbl>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 xml:space="preserve">§6  </w:t>
      </w:r>
      <w:r w:rsidRPr="00B34368">
        <w:rPr>
          <w:rFonts w:eastAsiaTheme="minorEastAsia" w:hAnsiTheme="minorEastAsia"/>
          <w:color w:val="000000" w:themeColor="text1"/>
          <w:kern w:val="0"/>
          <w:sz w:val="24"/>
          <w:szCs w:val="24"/>
        </w:rPr>
        <w:t>开放式基金份额变动</w:t>
      </w:r>
    </w:p>
    <w:p w:rsidR="009238DB" w:rsidRPr="00B34368" w:rsidRDefault="009238DB" w:rsidP="00302187">
      <w:pPr>
        <w:autoSpaceDE w:val="0"/>
        <w:autoSpaceDN w:val="0"/>
        <w:adjustRightInd w:val="0"/>
        <w:spacing w:before="29" w:line="288" w:lineRule="auto"/>
        <w:ind w:left="15" w:right="480"/>
        <w:jc w:val="right"/>
        <w:rPr>
          <w:rFonts w:eastAsiaTheme="minorEastAsia"/>
          <w:color w:val="000000" w:themeColor="text1"/>
          <w:kern w:val="0"/>
          <w:sz w:val="24"/>
        </w:rPr>
      </w:pPr>
      <w:r w:rsidRPr="00B34368">
        <w:rPr>
          <w:rFonts w:eastAsiaTheme="minorEastAsia" w:hAnsiTheme="minorEastAsia"/>
          <w:color w:val="000000" w:themeColor="text1"/>
          <w:kern w:val="0"/>
          <w:sz w:val="24"/>
        </w:rPr>
        <w:t>单位：份</w:t>
      </w:r>
    </w:p>
    <w:tbl>
      <w:tblPr>
        <w:tblW w:w="0" w:type="auto"/>
        <w:tblInd w:w="108" w:type="dxa"/>
        <w:tblLayout w:type="fixed"/>
        <w:tblLook w:val="0000" w:firstRow="0" w:lastRow="0" w:firstColumn="0" w:lastColumn="0" w:noHBand="0" w:noVBand="0"/>
      </w:tblPr>
      <w:tblGrid>
        <w:gridCol w:w="3900"/>
        <w:gridCol w:w="2367"/>
        <w:gridCol w:w="2367"/>
      </w:tblGrid>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B84643">
            <w:pPr>
              <w:autoSpaceDE w:val="0"/>
              <w:autoSpaceDN w:val="0"/>
              <w:adjustRightInd w:val="0"/>
              <w:spacing w:before="29" w:line="360" w:lineRule="auto"/>
              <w:ind w:left="17"/>
              <w:jc w:val="center"/>
              <w:rPr>
                <w:rFonts w:eastAsiaTheme="minorEastAsia"/>
                <w:color w:val="000000" w:themeColor="text1"/>
                <w:kern w:val="0"/>
                <w:sz w:val="24"/>
              </w:rPr>
            </w:pPr>
            <w:r w:rsidRPr="00B34368">
              <w:rPr>
                <w:rFonts w:eastAsiaTheme="minorEastAsia" w:hAnsiTheme="minorEastAsia"/>
                <w:color w:val="000000" w:themeColor="text1"/>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易方达创业板</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易方达创业板</w:t>
            </w:r>
            <w:r w:rsidRPr="00B34368">
              <w:rPr>
                <w:rFonts w:eastAsiaTheme="minorEastAsia"/>
                <w:color w:val="000000" w:themeColor="text1"/>
                <w:sz w:val="24"/>
              </w:rPr>
              <w:t>ETF</w:t>
            </w:r>
            <w:r w:rsidRPr="00B34368">
              <w:rPr>
                <w:rFonts w:eastAsiaTheme="minorEastAsia"/>
                <w:color w:val="000000" w:themeColor="text1"/>
                <w:sz w:val="24"/>
              </w:rPr>
              <w:t>联接</w:t>
            </w:r>
            <w:r w:rsidRPr="00B34368">
              <w:rPr>
                <w:rFonts w:eastAsiaTheme="minorEastAsia"/>
                <w:color w:val="000000" w:themeColor="text1"/>
                <w:sz w:val="24"/>
              </w:rPr>
              <w:t>C</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2,447,821,909.76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1,022,423,126.45</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F72579"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本报告期</w:t>
            </w:r>
            <w:r w:rsidR="00936D40" w:rsidRPr="00B34368">
              <w:rPr>
                <w:rFonts w:eastAsiaTheme="minorEastAsia" w:hAnsiTheme="minorEastAsia"/>
                <w:color w:val="000000" w:themeColor="text1"/>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328,153,079.45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268,658,296.28</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减：</w:t>
            </w:r>
            <w:r w:rsidR="00F72579" w:rsidRPr="00B34368">
              <w:rPr>
                <w:rFonts w:eastAsiaTheme="minorEastAsia"/>
                <w:color w:val="000000" w:themeColor="text1"/>
                <w:kern w:val="0"/>
                <w:sz w:val="24"/>
              </w:rPr>
              <w:t>本报告期</w:t>
            </w:r>
            <w:r w:rsidRPr="00B34368">
              <w:rPr>
                <w:rFonts w:eastAsiaTheme="minorEastAsia" w:hAnsiTheme="minorEastAsia"/>
                <w:color w:val="000000" w:themeColor="text1"/>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494,024,150.32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777,735,294.12</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F72579"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color w:val="000000" w:themeColor="text1"/>
                <w:kern w:val="0"/>
                <w:sz w:val="24"/>
              </w:rPr>
              <w:t>本报告期</w:t>
            </w:r>
            <w:r w:rsidR="00936D40" w:rsidRPr="00B34368">
              <w:rPr>
                <w:rFonts w:eastAsiaTheme="minorEastAsia" w:hAnsiTheme="minorEastAsia"/>
                <w:color w:val="000000" w:themeColor="text1"/>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A1276C">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w:t>
            </w:r>
          </w:p>
        </w:tc>
      </w:tr>
      <w:tr w:rsidR="00D3639B" w:rsidRPr="00B34368" w:rsidTr="00975D18">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936D40" w:rsidP="00A1276C">
            <w:pPr>
              <w:autoSpaceDE w:val="0"/>
              <w:autoSpaceDN w:val="0"/>
              <w:adjustRightInd w:val="0"/>
              <w:spacing w:before="29" w:line="360" w:lineRule="auto"/>
              <w:ind w:left="17"/>
              <w:jc w:val="left"/>
              <w:rPr>
                <w:rFonts w:eastAsiaTheme="minorEastAsia"/>
                <w:color w:val="000000" w:themeColor="text1"/>
                <w:kern w:val="0"/>
                <w:sz w:val="24"/>
              </w:rPr>
            </w:pPr>
            <w:r w:rsidRPr="00B34368">
              <w:rPr>
                <w:rFonts w:eastAsiaTheme="minorEastAsia" w:hAnsiTheme="minorEastAsia"/>
                <w:color w:val="000000" w:themeColor="text1"/>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B57BCF">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2,281,950,838.89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B34368" w:rsidRDefault="0042785F" w:rsidP="00936D40">
            <w:pPr>
              <w:autoSpaceDE w:val="0"/>
              <w:autoSpaceDN w:val="0"/>
              <w:adjustRightInd w:val="0"/>
              <w:spacing w:before="29" w:line="360" w:lineRule="auto"/>
              <w:ind w:left="17"/>
              <w:jc w:val="right"/>
              <w:rPr>
                <w:rFonts w:eastAsiaTheme="minorEastAsia"/>
                <w:color w:val="000000" w:themeColor="text1"/>
                <w:sz w:val="24"/>
              </w:rPr>
            </w:pPr>
            <w:r w:rsidRPr="00B34368">
              <w:rPr>
                <w:rFonts w:eastAsiaTheme="minorEastAsia"/>
                <w:color w:val="000000" w:themeColor="text1"/>
                <w:sz w:val="24"/>
              </w:rPr>
              <w:t>513,346,128.61</w:t>
            </w:r>
          </w:p>
        </w:tc>
      </w:tr>
    </w:tbl>
    <w:p w:rsidR="00617125" w:rsidRPr="00B34368" w:rsidRDefault="00617125" w:rsidP="00C544B8">
      <w:pPr>
        <w:pStyle w:val="1"/>
        <w:tabs>
          <w:tab w:val="center" w:pos="4156"/>
          <w:tab w:val="right" w:pos="8312"/>
        </w:tabs>
        <w:spacing w:beforeLines="100" w:before="312" w:afterLines="100" w:after="312" w:line="360" w:lineRule="auto"/>
        <w:jc w:val="center"/>
        <w:rPr>
          <w:rFonts w:eastAsiaTheme="minorEastAsia"/>
          <w:color w:val="000000" w:themeColor="text1"/>
          <w:sz w:val="24"/>
          <w:szCs w:val="24"/>
        </w:rPr>
      </w:pPr>
      <w:r w:rsidRPr="00B34368">
        <w:rPr>
          <w:rFonts w:eastAsiaTheme="minorEastAsia"/>
          <w:color w:val="000000" w:themeColor="text1"/>
          <w:kern w:val="0"/>
          <w:sz w:val="24"/>
          <w:szCs w:val="24"/>
        </w:rPr>
        <w:t>§7</w:t>
      </w:r>
      <w:r w:rsidR="007661B8" w:rsidRPr="00B34368">
        <w:rPr>
          <w:rFonts w:eastAsiaTheme="minorEastAsia"/>
          <w:color w:val="000000" w:themeColor="text1"/>
          <w:kern w:val="0"/>
          <w:sz w:val="24"/>
          <w:szCs w:val="24"/>
        </w:rPr>
        <w:t xml:space="preserve">  </w:t>
      </w:r>
      <w:r w:rsidRPr="00B34368">
        <w:rPr>
          <w:rFonts w:eastAsiaTheme="minorEastAsia" w:hAnsiTheme="minorEastAsia"/>
          <w:color w:val="000000" w:themeColor="text1"/>
          <w:sz w:val="24"/>
          <w:szCs w:val="24"/>
        </w:rPr>
        <w:t>基金管理人运用固有资金投资本基金情况</w:t>
      </w:r>
    </w:p>
    <w:p w:rsidR="00617125" w:rsidRPr="00B34368" w:rsidRDefault="00617125" w:rsidP="00617125">
      <w:pPr>
        <w:spacing w:line="360" w:lineRule="auto"/>
        <w:jc w:val="left"/>
        <w:rPr>
          <w:rFonts w:eastAsiaTheme="minorEastAsia"/>
          <w:color w:val="000000" w:themeColor="text1"/>
          <w:sz w:val="24"/>
        </w:rPr>
      </w:pPr>
      <w:r w:rsidRPr="00B34368">
        <w:rPr>
          <w:rFonts w:eastAsiaTheme="minorEastAsia"/>
          <w:b/>
          <w:color w:val="000000" w:themeColor="text1"/>
          <w:sz w:val="24"/>
        </w:rPr>
        <w:t xml:space="preserve">7.1 </w:t>
      </w:r>
      <w:r w:rsidRPr="00B34368">
        <w:rPr>
          <w:rFonts w:eastAsiaTheme="minorEastAsia" w:hAnsiTheme="minorEastAsia"/>
          <w:b/>
          <w:color w:val="000000" w:themeColor="text1"/>
          <w:sz w:val="24"/>
        </w:rPr>
        <w:t>基金管理人持有本基金份额变动情况</w:t>
      </w:r>
    </w:p>
    <w:p w:rsidR="00617125" w:rsidRPr="00B34368" w:rsidRDefault="00A01C74" w:rsidP="00B34368">
      <w:pPr>
        <w:autoSpaceDE w:val="0"/>
        <w:autoSpaceDN w:val="0"/>
        <w:adjustRightInd w:val="0"/>
        <w:spacing w:line="360" w:lineRule="auto"/>
        <w:ind w:firstLineChars="200" w:firstLine="480"/>
        <w:jc w:val="left"/>
        <w:rPr>
          <w:rFonts w:eastAsiaTheme="minorEastAsia"/>
          <w:color w:val="000000" w:themeColor="text1"/>
          <w:sz w:val="24"/>
        </w:rPr>
      </w:pPr>
      <w:r w:rsidRPr="00DF18FE">
        <w:rPr>
          <w:color w:val="000000"/>
          <w:sz w:val="24"/>
        </w:rPr>
        <w:t>本报告期内基金管理人未持有本基金份额。</w:t>
      </w:r>
    </w:p>
    <w:p w:rsidR="00617125" w:rsidRPr="00B34368" w:rsidRDefault="00617125" w:rsidP="00C544B8">
      <w:pPr>
        <w:spacing w:beforeLines="100" w:before="312" w:line="360" w:lineRule="auto"/>
        <w:jc w:val="left"/>
        <w:rPr>
          <w:rFonts w:eastAsiaTheme="minorEastAsia"/>
          <w:color w:val="000000" w:themeColor="text1"/>
          <w:sz w:val="24"/>
        </w:rPr>
      </w:pPr>
      <w:r w:rsidRPr="00B34368">
        <w:rPr>
          <w:rFonts w:eastAsiaTheme="minorEastAsia"/>
          <w:b/>
          <w:color w:val="000000" w:themeColor="text1"/>
          <w:sz w:val="24"/>
        </w:rPr>
        <w:t xml:space="preserve">7.2 </w:t>
      </w:r>
      <w:r w:rsidRPr="00B34368">
        <w:rPr>
          <w:rFonts w:eastAsiaTheme="minorEastAsia" w:hAnsiTheme="minorEastAsia"/>
          <w:b/>
          <w:color w:val="000000" w:themeColor="text1"/>
          <w:sz w:val="24"/>
        </w:rPr>
        <w:t>基金管理人运用固有资金投资本基金交易明细</w:t>
      </w:r>
    </w:p>
    <w:p w:rsidR="00617125" w:rsidRPr="00B34368" w:rsidRDefault="00617125" w:rsidP="00B34368">
      <w:pPr>
        <w:autoSpaceDE w:val="0"/>
        <w:autoSpaceDN w:val="0"/>
        <w:adjustRightInd w:val="0"/>
        <w:spacing w:line="360" w:lineRule="auto"/>
        <w:ind w:firstLineChars="200" w:firstLine="480"/>
        <w:jc w:val="left"/>
        <w:rPr>
          <w:rFonts w:eastAsiaTheme="minorEastAsia"/>
          <w:color w:val="000000" w:themeColor="text1"/>
          <w:sz w:val="24"/>
        </w:rPr>
      </w:pPr>
      <w:r w:rsidRPr="00B34368">
        <w:rPr>
          <w:rFonts w:eastAsiaTheme="minorEastAsia"/>
          <w:color w:val="000000" w:themeColor="text1"/>
          <w:sz w:val="24"/>
        </w:rPr>
        <w:t>本报告期内基金管理人未运用固有资金申购、赎回、买卖本基金份额。</w:t>
      </w:r>
    </w:p>
    <w:p w:rsidR="009238DB" w:rsidRPr="00B34368" w:rsidRDefault="009238DB" w:rsidP="00C544B8">
      <w:pPr>
        <w:pStyle w:val="1"/>
        <w:spacing w:beforeLines="100" w:before="312" w:afterLines="100" w:after="312" w:line="360" w:lineRule="auto"/>
        <w:jc w:val="center"/>
        <w:rPr>
          <w:rFonts w:eastAsiaTheme="minorEastAsia"/>
          <w:color w:val="000000" w:themeColor="text1"/>
          <w:kern w:val="0"/>
          <w:sz w:val="24"/>
          <w:szCs w:val="24"/>
        </w:rPr>
      </w:pPr>
      <w:r w:rsidRPr="00B34368">
        <w:rPr>
          <w:rFonts w:eastAsiaTheme="minorEastAsia"/>
          <w:color w:val="000000" w:themeColor="text1"/>
          <w:kern w:val="0"/>
          <w:sz w:val="24"/>
          <w:szCs w:val="24"/>
        </w:rPr>
        <w:t>§</w:t>
      </w:r>
      <w:r w:rsidR="00A14399" w:rsidRPr="00B34368">
        <w:rPr>
          <w:rFonts w:eastAsiaTheme="minorEastAsia"/>
          <w:color w:val="000000" w:themeColor="text1"/>
          <w:kern w:val="0"/>
          <w:sz w:val="24"/>
          <w:szCs w:val="24"/>
        </w:rPr>
        <w:t>8</w:t>
      </w:r>
      <w:r w:rsidR="007661B8" w:rsidRPr="00B34368">
        <w:rPr>
          <w:rFonts w:eastAsiaTheme="minorEastAsia"/>
          <w:color w:val="000000" w:themeColor="text1"/>
          <w:kern w:val="0"/>
          <w:sz w:val="24"/>
          <w:szCs w:val="24"/>
        </w:rPr>
        <w:t xml:space="preserve">  </w:t>
      </w:r>
      <w:r w:rsidRPr="00B34368">
        <w:rPr>
          <w:rFonts w:eastAsiaTheme="minorEastAsia" w:hAnsiTheme="minorEastAsia"/>
          <w:color w:val="000000" w:themeColor="text1"/>
          <w:kern w:val="0"/>
          <w:sz w:val="24"/>
          <w:szCs w:val="24"/>
        </w:rPr>
        <w:t>备查文件目录</w:t>
      </w:r>
    </w:p>
    <w:p w:rsidR="00FB3C94" w:rsidRPr="00B34368" w:rsidRDefault="00A14399" w:rsidP="00FC13C8">
      <w:pPr>
        <w:autoSpaceDE w:val="0"/>
        <w:autoSpaceDN w:val="0"/>
        <w:adjustRightInd w:val="0"/>
        <w:spacing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8.</w:t>
      </w:r>
      <w:r w:rsidR="00D13A01" w:rsidRPr="00B34368">
        <w:rPr>
          <w:rFonts w:eastAsiaTheme="minorEastAsia"/>
          <w:b/>
          <w:bCs/>
          <w:color w:val="000000" w:themeColor="text1"/>
          <w:kern w:val="0"/>
          <w:sz w:val="24"/>
        </w:rPr>
        <w:t>1</w:t>
      </w:r>
      <w:r w:rsidR="00FB3C94" w:rsidRPr="00B34368">
        <w:rPr>
          <w:rFonts w:eastAsiaTheme="minorEastAsia" w:hAnsiTheme="minorEastAsia"/>
          <w:b/>
          <w:bCs/>
          <w:color w:val="000000" w:themeColor="text1"/>
          <w:kern w:val="0"/>
          <w:sz w:val="24"/>
        </w:rPr>
        <w:t>备查文件目录</w:t>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中国证监会核准易方达创业板交易型开放式指数证券投资基金联接基金募集的文件；</w:t>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《易方达创业板交易型开放式指数证券投资基金联接基金基金合同》；</w:t>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《易方达创业板交易型开放式指数证券投资基金联接基金托管协议》；</w:t>
      </w:r>
    </w:p>
    <w:p w:rsidR="00BE6341" w:rsidRDefault="00225C31">
      <w:pPr>
        <w:spacing w:line="360" w:lineRule="auto"/>
        <w:ind w:firstLineChars="200" w:firstLine="480"/>
        <w:rPr>
          <w:rFonts w:eastAsiaTheme="minorEastAsia"/>
          <w:color w:val="000000" w:themeColor="text1"/>
          <w:sz w:val="24"/>
        </w:rPr>
      </w:pPr>
      <w:r>
        <w:rPr>
          <w:rFonts w:eastAsiaTheme="minorEastAsia"/>
          <w:color w:val="000000" w:themeColor="text1"/>
          <w:sz w:val="24"/>
        </w:rPr>
        <w:t>4.</w:t>
      </w:r>
      <w:r>
        <w:rPr>
          <w:rFonts w:eastAsiaTheme="minorEastAsia"/>
          <w:color w:val="000000" w:themeColor="text1"/>
          <w:sz w:val="24"/>
        </w:rPr>
        <w:t>《易方达基金管理有限公司开放式基金业务规则》；</w:t>
      </w:r>
      <w:r>
        <w:rPr>
          <w:rFonts w:eastAsiaTheme="minorEastAsia"/>
          <w:color w:val="000000" w:themeColor="text1"/>
          <w:sz w:val="24"/>
        </w:rPr>
        <w:t xml:space="preserve"> </w:t>
      </w:r>
    </w:p>
    <w:p w:rsidR="00F11783"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5.</w:t>
      </w:r>
      <w:r w:rsidRPr="00B34368">
        <w:rPr>
          <w:rFonts w:eastAsiaTheme="minorEastAsia"/>
          <w:color w:val="000000" w:themeColor="text1"/>
          <w:sz w:val="24"/>
        </w:rPr>
        <w:t>基金管理人业务资格批件和营业执照。</w:t>
      </w:r>
    </w:p>
    <w:p w:rsidR="00FB3C94" w:rsidRPr="00B34368" w:rsidRDefault="00D13A0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8.2</w:t>
      </w:r>
      <w:r w:rsidR="00FB3C94" w:rsidRPr="00B34368">
        <w:rPr>
          <w:rFonts w:eastAsiaTheme="minorEastAsia" w:hAnsiTheme="minorEastAsia"/>
          <w:b/>
          <w:bCs/>
          <w:color w:val="000000" w:themeColor="text1"/>
          <w:kern w:val="0"/>
          <w:sz w:val="24"/>
        </w:rPr>
        <w:t>存放地点</w:t>
      </w:r>
    </w:p>
    <w:p w:rsidR="00F11783"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广州市天河区珠江新城珠江东路</w:t>
      </w:r>
      <w:r w:rsidRPr="00B34368">
        <w:rPr>
          <w:rFonts w:eastAsiaTheme="minorEastAsia"/>
          <w:color w:val="000000" w:themeColor="text1"/>
          <w:sz w:val="24"/>
        </w:rPr>
        <w:t>30</w:t>
      </w:r>
      <w:r w:rsidRPr="00B34368">
        <w:rPr>
          <w:rFonts w:eastAsiaTheme="minorEastAsia"/>
          <w:color w:val="000000" w:themeColor="text1"/>
          <w:sz w:val="24"/>
        </w:rPr>
        <w:t>号广州银行大厦</w:t>
      </w:r>
      <w:r w:rsidRPr="00B34368">
        <w:rPr>
          <w:rFonts w:eastAsiaTheme="minorEastAsia"/>
          <w:color w:val="000000" w:themeColor="text1"/>
          <w:sz w:val="24"/>
        </w:rPr>
        <w:t>40-43</w:t>
      </w:r>
      <w:r w:rsidRPr="00B34368">
        <w:rPr>
          <w:rFonts w:eastAsiaTheme="minorEastAsia"/>
          <w:color w:val="000000" w:themeColor="text1"/>
          <w:sz w:val="24"/>
        </w:rPr>
        <w:t>楼。</w:t>
      </w:r>
    </w:p>
    <w:p w:rsidR="00FB3C94" w:rsidRPr="00B34368" w:rsidRDefault="00D13A01" w:rsidP="00C544B8">
      <w:pPr>
        <w:autoSpaceDE w:val="0"/>
        <w:autoSpaceDN w:val="0"/>
        <w:adjustRightInd w:val="0"/>
        <w:spacing w:beforeLines="100" w:before="312" w:line="360" w:lineRule="auto"/>
        <w:jc w:val="left"/>
        <w:rPr>
          <w:rFonts w:eastAsiaTheme="minorEastAsia"/>
          <w:b/>
          <w:bCs/>
          <w:color w:val="000000" w:themeColor="text1"/>
          <w:kern w:val="0"/>
          <w:sz w:val="24"/>
        </w:rPr>
      </w:pPr>
      <w:r w:rsidRPr="00B34368">
        <w:rPr>
          <w:rFonts w:eastAsiaTheme="minorEastAsia"/>
          <w:b/>
          <w:bCs/>
          <w:color w:val="000000" w:themeColor="text1"/>
          <w:kern w:val="0"/>
          <w:sz w:val="24"/>
        </w:rPr>
        <w:t>8.3</w:t>
      </w:r>
      <w:r w:rsidR="00FB3C94" w:rsidRPr="00B34368">
        <w:rPr>
          <w:rFonts w:eastAsiaTheme="minorEastAsia" w:hAnsiTheme="minorEastAsia"/>
          <w:b/>
          <w:bCs/>
          <w:color w:val="000000" w:themeColor="text1"/>
          <w:kern w:val="0"/>
          <w:sz w:val="24"/>
        </w:rPr>
        <w:t>查阅方式</w:t>
      </w:r>
    </w:p>
    <w:p w:rsidR="00FB3C94" w:rsidRPr="00B34368" w:rsidRDefault="00FB3C94" w:rsidP="00B34368">
      <w:pPr>
        <w:spacing w:line="360" w:lineRule="auto"/>
        <w:ind w:firstLineChars="200" w:firstLine="480"/>
        <w:rPr>
          <w:rFonts w:eastAsiaTheme="minorEastAsia"/>
          <w:color w:val="000000" w:themeColor="text1"/>
          <w:sz w:val="24"/>
        </w:rPr>
      </w:pPr>
      <w:r w:rsidRPr="00B34368">
        <w:rPr>
          <w:rFonts w:eastAsiaTheme="minorEastAsia"/>
          <w:color w:val="000000" w:themeColor="text1"/>
          <w:sz w:val="24"/>
        </w:rPr>
        <w:t>投资者可在营业时间免费查阅，也可按工本费购买复印件。</w:t>
      </w:r>
    </w:p>
    <w:p w:rsidR="00FB3C94" w:rsidRPr="00B34368" w:rsidRDefault="00FB3C94" w:rsidP="00FB3C94">
      <w:pPr>
        <w:spacing w:line="360" w:lineRule="auto"/>
        <w:ind w:left="840"/>
        <w:jc w:val="right"/>
        <w:rPr>
          <w:rFonts w:eastAsiaTheme="minorEastAsia"/>
          <w:color w:val="000000" w:themeColor="text1"/>
          <w:sz w:val="24"/>
        </w:rPr>
      </w:pPr>
    </w:p>
    <w:p w:rsidR="00AF3AF9" w:rsidRPr="00B34368" w:rsidRDefault="00AF3AF9" w:rsidP="00053FFD">
      <w:pPr>
        <w:spacing w:line="360" w:lineRule="auto"/>
        <w:ind w:left="840"/>
        <w:jc w:val="center"/>
        <w:rPr>
          <w:rFonts w:eastAsiaTheme="minorEastAsia"/>
          <w:b/>
          <w:color w:val="000000" w:themeColor="text1"/>
          <w:sz w:val="24"/>
        </w:rPr>
      </w:pPr>
    </w:p>
    <w:p w:rsidR="00FB3C94" w:rsidRPr="00B34368" w:rsidRDefault="00FB3C94" w:rsidP="00B1493B">
      <w:pPr>
        <w:spacing w:line="360" w:lineRule="auto"/>
        <w:jc w:val="right"/>
        <w:rPr>
          <w:rFonts w:eastAsiaTheme="minorEastAsia"/>
          <w:b/>
          <w:bCs/>
          <w:color w:val="000000" w:themeColor="text1"/>
          <w:sz w:val="24"/>
        </w:rPr>
      </w:pPr>
      <w:r w:rsidRPr="00B34368">
        <w:rPr>
          <w:rFonts w:eastAsiaTheme="minorEastAsia"/>
          <w:b/>
          <w:bCs/>
          <w:color w:val="000000" w:themeColor="text1"/>
          <w:sz w:val="24"/>
        </w:rPr>
        <w:t>易方达基金管理有限公司</w:t>
      </w:r>
    </w:p>
    <w:p w:rsidR="009238DB" w:rsidRPr="00B34368" w:rsidRDefault="00D04410" w:rsidP="00B1493B">
      <w:pPr>
        <w:spacing w:line="360" w:lineRule="auto"/>
        <w:jc w:val="right"/>
        <w:rPr>
          <w:rFonts w:eastAsiaTheme="minorEastAsia"/>
          <w:b/>
          <w:bCs/>
          <w:color w:val="000000" w:themeColor="text1"/>
          <w:sz w:val="24"/>
        </w:rPr>
      </w:pPr>
      <w:r w:rsidRPr="00B34368">
        <w:rPr>
          <w:rFonts w:eastAsiaTheme="minorEastAsia"/>
          <w:b/>
          <w:bCs/>
          <w:color w:val="000000" w:themeColor="text1"/>
          <w:sz w:val="24"/>
        </w:rPr>
        <w:t>二〇二〇年一月十八日</w:t>
      </w:r>
    </w:p>
    <w:sectPr w:rsidR="009238DB" w:rsidRPr="00B34368" w:rsidSect="00A8324F">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E5" w:rsidRDefault="005142E5">
      <w:r>
        <w:separator/>
      </w:r>
    </w:p>
  </w:endnote>
  <w:endnote w:type="continuationSeparator" w:id="0">
    <w:p w:rsidR="005142E5" w:rsidRDefault="0051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EA55D2">
      <w:rPr>
        <w:kern w:val="0"/>
        <w:szCs w:val="21"/>
      </w:rPr>
      <w:fldChar w:fldCharType="begin"/>
    </w:r>
    <w:r>
      <w:rPr>
        <w:kern w:val="0"/>
        <w:szCs w:val="21"/>
      </w:rPr>
      <w:instrText xml:space="preserve"> PAGE </w:instrText>
    </w:r>
    <w:r w:rsidR="00EA55D2">
      <w:rPr>
        <w:kern w:val="0"/>
        <w:szCs w:val="21"/>
      </w:rPr>
      <w:fldChar w:fldCharType="separate"/>
    </w:r>
    <w:r w:rsidR="00225C31">
      <w:rPr>
        <w:noProof/>
        <w:kern w:val="0"/>
        <w:szCs w:val="21"/>
      </w:rPr>
      <w:t>1</w:t>
    </w:r>
    <w:r w:rsidR="00EA55D2">
      <w:rPr>
        <w:kern w:val="0"/>
        <w:szCs w:val="21"/>
      </w:rPr>
      <w:fldChar w:fldCharType="end"/>
    </w:r>
    <w:r>
      <w:rPr>
        <w:rFonts w:hint="eastAsia"/>
        <w:kern w:val="0"/>
        <w:szCs w:val="21"/>
      </w:rPr>
      <w:t>页共</w:t>
    </w:r>
    <w:r w:rsidR="00EA55D2">
      <w:rPr>
        <w:kern w:val="0"/>
        <w:szCs w:val="21"/>
      </w:rPr>
      <w:fldChar w:fldCharType="begin"/>
    </w:r>
    <w:r>
      <w:rPr>
        <w:kern w:val="0"/>
        <w:szCs w:val="21"/>
      </w:rPr>
      <w:instrText xml:space="preserve"> NUMPAGES </w:instrText>
    </w:r>
    <w:r w:rsidR="00EA55D2">
      <w:rPr>
        <w:kern w:val="0"/>
        <w:szCs w:val="21"/>
      </w:rPr>
      <w:fldChar w:fldCharType="separate"/>
    </w:r>
    <w:r w:rsidR="00225C31">
      <w:rPr>
        <w:noProof/>
        <w:kern w:val="0"/>
        <w:szCs w:val="21"/>
      </w:rPr>
      <w:t>1</w:t>
    </w:r>
    <w:r w:rsidR="00EA55D2">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EA55D2">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EA55D2">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separate"/>
    </w:r>
    <w:r w:rsidR="00225C31">
      <w:rPr>
        <w:rStyle w:val="a7"/>
        <w:noProof/>
      </w:rPr>
      <w:t>2</w: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E5" w:rsidRDefault="005142E5">
      <w:r>
        <w:separator/>
      </w:r>
    </w:p>
  </w:footnote>
  <w:footnote w:type="continuationSeparator" w:id="0">
    <w:p w:rsidR="005142E5" w:rsidRDefault="00514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7C1122" w:rsidP="001207F2">
    <w:pPr>
      <w:pStyle w:val="a9"/>
      <w:pBdr>
        <w:bottom w:val="single" w:sz="6" w:space="0" w:color="auto"/>
      </w:pBdr>
      <w:jc w:val="right"/>
    </w:pPr>
    <w:r>
      <w:rPr>
        <w:sz w:val="21"/>
        <w:szCs w:val="21"/>
      </w:rPr>
      <w:t>易方达创业板交易型开放式指数证券投资基金联接基金</w:t>
    </w:r>
    <w:r>
      <w:rPr>
        <w:sz w:val="21"/>
        <w:szCs w:val="21"/>
      </w:rPr>
      <w:t>2019</w:t>
    </w:r>
    <w:r>
      <w:rPr>
        <w:sz w:val="21"/>
        <w:szCs w:val="21"/>
      </w:rPr>
      <w:t>年第</w:t>
    </w:r>
    <w:r>
      <w:rPr>
        <w:sz w:val="21"/>
        <w:szCs w:val="21"/>
      </w:rPr>
      <w:t>4</w:t>
    </w:r>
    <w:r>
      <w:rPr>
        <w:sz w:val="21"/>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2791"/>
    <w:rsid w:val="0000403B"/>
    <w:rsid w:val="00007441"/>
    <w:rsid w:val="00007F1F"/>
    <w:rsid w:val="00010A83"/>
    <w:rsid w:val="000137C1"/>
    <w:rsid w:val="000142F4"/>
    <w:rsid w:val="00014851"/>
    <w:rsid w:val="0001579C"/>
    <w:rsid w:val="00016551"/>
    <w:rsid w:val="00016934"/>
    <w:rsid w:val="00020737"/>
    <w:rsid w:val="00020C27"/>
    <w:rsid w:val="000219D5"/>
    <w:rsid w:val="00022396"/>
    <w:rsid w:val="00023073"/>
    <w:rsid w:val="00023B97"/>
    <w:rsid w:val="00024836"/>
    <w:rsid w:val="00024FB8"/>
    <w:rsid w:val="000252D8"/>
    <w:rsid w:val="0003564A"/>
    <w:rsid w:val="00035B0C"/>
    <w:rsid w:val="00042065"/>
    <w:rsid w:val="00043FD2"/>
    <w:rsid w:val="00045BA9"/>
    <w:rsid w:val="00047D87"/>
    <w:rsid w:val="000510AB"/>
    <w:rsid w:val="00053FFD"/>
    <w:rsid w:val="00056D5C"/>
    <w:rsid w:val="00057507"/>
    <w:rsid w:val="00061B0B"/>
    <w:rsid w:val="00061E09"/>
    <w:rsid w:val="00062C69"/>
    <w:rsid w:val="00062DC5"/>
    <w:rsid w:val="00062E1F"/>
    <w:rsid w:val="00064601"/>
    <w:rsid w:val="00064AE3"/>
    <w:rsid w:val="0006750A"/>
    <w:rsid w:val="00075E4E"/>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1D"/>
    <w:rsid w:val="000C757F"/>
    <w:rsid w:val="000C7DD4"/>
    <w:rsid w:val="000D1164"/>
    <w:rsid w:val="000D1BBE"/>
    <w:rsid w:val="000D3773"/>
    <w:rsid w:val="000D4DE9"/>
    <w:rsid w:val="000D53FB"/>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0862"/>
    <w:rsid w:val="00121533"/>
    <w:rsid w:val="00121F00"/>
    <w:rsid w:val="0012304E"/>
    <w:rsid w:val="00123051"/>
    <w:rsid w:val="001257C7"/>
    <w:rsid w:val="00125E66"/>
    <w:rsid w:val="00126AC0"/>
    <w:rsid w:val="00126C2B"/>
    <w:rsid w:val="00127A01"/>
    <w:rsid w:val="00130D77"/>
    <w:rsid w:val="00131EF6"/>
    <w:rsid w:val="0013251D"/>
    <w:rsid w:val="00134734"/>
    <w:rsid w:val="00134CBE"/>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12"/>
    <w:rsid w:val="00176874"/>
    <w:rsid w:val="0017725A"/>
    <w:rsid w:val="0018052A"/>
    <w:rsid w:val="00180952"/>
    <w:rsid w:val="0018191A"/>
    <w:rsid w:val="001837D3"/>
    <w:rsid w:val="001857CB"/>
    <w:rsid w:val="00185B68"/>
    <w:rsid w:val="00186199"/>
    <w:rsid w:val="00194155"/>
    <w:rsid w:val="001A0417"/>
    <w:rsid w:val="001A0B71"/>
    <w:rsid w:val="001A1389"/>
    <w:rsid w:val="001A3016"/>
    <w:rsid w:val="001A3914"/>
    <w:rsid w:val="001A5FA6"/>
    <w:rsid w:val="001A78CC"/>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164B5"/>
    <w:rsid w:val="00221938"/>
    <w:rsid w:val="00222262"/>
    <w:rsid w:val="002230A8"/>
    <w:rsid w:val="00225C31"/>
    <w:rsid w:val="00225E1C"/>
    <w:rsid w:val="00227D20"/>
    <w:rsid w:val="00231BCE"/>
    <w:rsid w:val="00233CFB"/>
    <w:rsid w:val="002359EB"/>
    <w:rsid w:val="0023649E"/>
    <w:rsid w:val="00241740"/>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2F7889"/>
    <w:rsid w:val="00302187"/>
    <w:rsid w:val="003028D8"/>
    <w:rsid w:val="0030290F"/>
    <w:rsid w:val="00302DE9"/>
    <w:rsid w:val="0030385E"/>
    <w:rsid w:val="00303869"/>
    <w:rsid w:val="00303F1D"/>
    <w:rsid w:val="00305084"/>
    <w:rsid w:val="00311ABF"/>
    <w:rsid w:val="003123E9"/>
    <w:rsid w:val="00314A81"/>
    <w:rsid w:val="00314DD2"/>
    <w:rsid w:val="00315A7C"/>
    <w:rsid w:val="00317705"/>
    <w:rsid w:val="003204E9"/>
    <w:rsid w:val="003232AA"/>
    <w:rsid w:val="00323A10"/>
    <w:rsid w:val="00323E6A"/>
    <w:rsid w:val="00323F25"/>
    <w:rsid w:val="00324A71"/>
    <w:rsid w:val="003303E3"/>
    <w:rsid w:val="0033236C"/>
    <w:rsid w:val="00334656"/>
    <w:rsid w:val="00337A86"/>
    <w:rsid w:val="0034147B"/>
    <w:rsid w:val="00341889"/>
    <w:rsid w:val="003426CE"/>
    <w:rsid w:val="00343016"/>
    <w:rsid w:val="0034447B"/>
    <w:rsid w:val="00350C22"/>
    <w:rsid w:val="00351704"/>
    <w:rsid w:val="003570C8"/>
    <w:rsid w:val="00367770"/>
    <w:rsid w:val="00371424"/>
    <w:rsid w:val="00371FF4"/>
    <w:rsid w:val="00372209"/>
    <w:rsid w:val="00377160"/>
    <w:rsid w:val="003771ED"/>
    <w:rsid w:val="0037768B"/>
    <w:rsid w:val="00382E6F"/>
    <w:rsid w:val="00387C00"/>
    <w:rsid w:val="00397960"/>
    <w:rsid w:val="00397F75"/>
    <w:rsid w:val="003A2008"/>
    <w:rsid w:val="003A3BC4"/>
    <w:rsid w:val="003A4AA3"/>
    <w:rsid w:val="003B405E"/>
    <w:rsid w:val="003B4843"/>
    <w:rsid w:val="003B494E"/>
    <w:rsid w:val="003B560C"/>
    <w:rsid w:val="003C6E9E"/>
    <w:rsid w:val="003C792F"/>
    <w:rsid w:val="003D117A"/>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358D6"/>
    <w:rsid w:val="004408EC"/>
    <w:rsid w:val="00440F74"/>
    <w:rsid w:val="00441FEC"/>
    <w:rsid w:val="004425E8"/>
    <w:rsid w:val="0044280E"/>
    <w:rsid w:val="00443C8F"/>
    <w:rsid w:val="00447BC6"/>
    <w:rsid w:val="004501CE"/>
    <w:rsid w:val="00452481"/>
    <w:rsid w:val="00452B25"/>
    <w:rsid w:val="00453417"/>
    <w:rsid w:val="00454A0F"/>
    <w:rsid w:val="0046335D"/>
    <w:rsid w:val="00463C2C"/>
    <w:rsid w:val="00483271"/>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02A3"/>
    <w:rsid w:val="00502CD8"/>
    <w:rsid w:val="0050361C"/>
    <w:rsid w:val="0050527A"/>
    <w:rsid w:val="00506A40"/>
    <w:rsid w:val="0051064F"/>
    <w:rsid w:val="00513A0E"/>
    <w:rsid w:val="005142E5"/>
    <w:rsid w:val="00515D7B"/>
    <w:rsid w:val="00515F29"/>
    <w:rsid w:val="0052009E"/>
    <w:rsid w:val="00524880"/>
    <w:rsid w:val="00530161"/>
    <w:rsid w:val="005413D4"/>
    <w:rsid w:val="0054389B"/>
    <w:rsid w:val="005450F7"/>
    <w:rsid w:val="00545A0B"/>
    <w:rsid w:val="00545BED"/>
    <w:rsid w:val="0054672F"/>
    <w:rsid w:val="00547A9A"/>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694E"/>
    <w:rsid w:val="005875F9"/>
    <w:rsid w:val="00593A35"/>
    <w:rsid w:val="00593C74"/>
    <w:rsid w:val="00597D8B"/>
    <w:rsid w:val="005A46FF"/>
    <w:rsid w:val="005A557E"/>
    <w:rsid w:val="005A63FD"/>
    <w:rsid w:val="005B462A"/>
    <w:rsid w:val="005B5137"/>
    <w:rsid w:val="005B6047"/>
    <w:rsid w:val="005C0ED7"/>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321C"/>
    <w:rsid w:val="00613F44"/>
    <w:rsid w:val="006160BD"/>
    <w:rsid w:val="0061679A"/>
    <w:rsid w:val="00617125"/>
    <w:rsid w:val="00620EDB"/>
    <w:rsid w:val="0062386E"/>
    <w:rsid w:val="00623DB6"/>
    <w:rsid w:val="00624EDE"/>
    <w:rsid w:val="006253EF"/>
    <w:rsid w:val="00626075"/>
    <w:rsid w:val="0062680E"/>
    <w:rsid w:val="00631158"/>
    <w:rsid w:val="00632923"/>
    <w:rsid w:val="006341E6"/>
    <w:rsid w:val="00634439"/>
    <w:rsid w:val="006366C6"/>
    <w:rsid w:val="00636B55"/>
    <w:rsid w:val="00636EB1"/>
    <w:rsid w:val="006373D6"/>
    <w:rsid w:val="006403D4"/>
    <w:rsid w:val="00642CBC"/>
    <w:rsid w:val="00643760"/>
    <w:rsid w:val="0064454A"/>
    <w:rsid w:val="00645293"/>
    <w:rsid w:val="0064698F"/>
    <w:rsid w:val="00651B78"/>
    <w:rsid w:val="0065237A"/>
    <w:rsid w:val="00652FF5"/>
    <w:rsid w:val="00654382"/>
    <w:rsid w:val="00654758"/>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66FE"/>
    <w:rsid w:val="006C168D"/>
    <w:rsid w:val="006C4033"/>
    <w:rsid w:val="006C642C"/>
    <w:rsid w:val="006D3BC4"/>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4309"/>
    <w:rsid w:val="0071450F"/>
    <w:rsid w:val="00714C6F"/>
    <w:rsid w:val="0071681D"/>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B8"/>
    <w:rsid w:val="007661D4"/>
    <w:rsid w:val="007661FD"/>
    <w:rsid w:val="00766A7C"/>
    <w:rsid w:val="00767A27"/>
    <w:rsid w:val="0077111A"/>
    <w:rsid w:val="00775419"/>
    <w:rsid w:val="007763A5"/>
    <w:rsid w:val="0078008C"/>
    <w:rsid w:val="0078105B"/>
    <w:rsid w:val="00782390"/>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2FC8"/>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6D32"/>
    <w:rsid w:val="0086748F"/>
    <w:rsid w:val="00867B4D"/>
    <w:rsid w:val="00867CF3"/>
    <w:rsid w:val="00870278"/>
    <w:rsid w:val="00874AB5"/>
    <w:rsid w:val="008750A9"/>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DDD"/>
    <w:rsid w:val="008E58D6"/>
    <w:rsid w:val="008F1426"/>
    <w:rsid w:val="008F2125"/>
    <w:rsid w:val="008F23F4"/>
    <w:rsid w:val="008F61C4"/>
    <w:rsid w:val="008F7763"/>
    <w:rsid w:val="009007CB"/>
    <w:rsid w:val="009010F0"/>
    <w:rsid w:val="00901162"/>
    <w:rsid w:val="00901D46"/>
    <w:rsid w:val="009028E2"/>
    <w:rsid w:val="00903692"/>
    <w:rsid w:val="00904E07"/>
    <w:rsid w:val="00912BAF"/>
    <w:rsid w:val="00914EAB"/>
    <w:rsid w:val="0091541F"/>
    <w:rsid w:val="009165E9"/>
    <w:rsid w:val="00920D98"/>
    <w:rsid w:val="0092249B"/>
    <w:rsid w:val="00922D49"/>
    <w:rsid w:val="009238DB"/>
    <w:rsid w:val="00925E37"/>
    <w:rsid w:val="00925EDD"/>
    <w:rsid w:val="00930079"/>
    <w:rsid w:val="00930966"/>
    <w:rsid w:val="00932F64"/>
    <w:rsid w:val="00936075"/>
    <w:rsid w:val="00936D40"/>
    <w:rsid w:val="00937445"/>
    <w:rsid w:val="00937ABF"/>
    <w:rsid w:val="00937DB1"/>
    <w:rsid w:val="009407FE"/>
    <w:rsid w:val="009463CC"/>
    <w:rsid w:val="00950413"/>
    <w:rsid w:val="0095078E"/>
    <w:rsid w:val="00952404"/>
    <w:rsid w:val="00952A72"/>
    <w:rsid w:val="009530AC"/>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85F0E"/>
    <w:rsid w:val="00986963"/>
    <w:rsid w:val="00990ABB"/>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1C74"/>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2E07"/>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4368"/>
    <w:rsid w:val="00B37780"/>
    <w:rsid w:val="00B37813"/>
    <w:rsid w:val="00B37EEF"/>
    <w:rsid w:val="00B411CD"/>
    <w:rsid w:val="00B41ABB"/>
    <w:rsid w:val="00B41C1D"/>
    <w:rsid w:val="00B43917"/>
    <w:rsid w:val="00B43E1E"/>
    <w:rsid w:val="00B4515C"/>
    <w:rsid w:val="00B46220"/>
    <w:rsid w:val="00B464EA"/>
    <w:rsid w:val="00B47574"/>
    <w:rsid w:val="00B52BE7"/>
    <w:rsid w:val="00B5430C"/>
    <w:rsid w:val="00B56A90"/>
    <w:rsid w:val="00B5711C"/>
    <w:rsid w:val="00B57BCF"/>
    <w:rsid w:val="00B57E36"/>
    <w:rsid w:val="00B60209"/>
    <w:rsid w:val="00B606A3"/>
    <w:rsid w:val="00B65D6F"/>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A7532"/>
    <w:rsid w:val="00BB1013"/>
    <w:rsid w:val="00BB4515"/>
    <w:rsid w:val="00BB7B89"/>
    <w:rsid w:val="00BC1A9B"/>
    <w:rsid w:val="00BC2A22"/>
    <w:rsid w:val="00BC4986"/>
    <w:rsid w:val="00BC5E2E"/>
    <w:rsid w:val="00BC6379"/>
    <w:rsid w:val="00BC7EEF"/>
    <w:rsid w:val="00BD43BB"/>
    <w:rsid w:val="00BD7ADE"/>
    <w:rsid w:val="00BE1A85"/>
    <w:rsid w:val="00BE46ED"/>
    <w:rsid w:val="00BE4FD1"/>
    <w:rsid w:val="00BE634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2D18"/>
    <w:rsid w:val="00C544B8"/>
    <w:rsid w:val="00C559CE"/>
    <w:rsid w:val="00C55E19"/>
    <w:rsid w:val="00C563BF"/>
    <w:rsid w:val="00C57512"/>
    <w:rsid w:val="00C57607"/>
    <w:rsid w:val="00C61133"/>
    <w:rsid w:val="00C64009"/>
    <w:rsid w:val="00C7016D"/>
    <w:rsid w:val="00C767B3"/>
    <w:rsid w:val="00C76C07"/>
    <w:rsid w:val="00C80F23"/>
    <w:rsid w:val="00C835B4"/>
    <w:rsid w:val="00C850A3"/>
    <w:rsid w:val="00C87568"/>
    <w:rsid w:val="00C92451"/>
    <w:rsid w:val="00C9272C"/>
    <w:rsid w:val="00C97764"/>
    <w:rsid w:val="00C97C9B"/>
    <w:rsid w:val="00CA344C"/>
    <w:rsid w:val="00CB142D"/>
    <w:rsid w:val="00CB26C7"/>
    <w:rsid w:val="00CB29F6"/>
    <w:rsid w:val="00CB2BBF"/>
    <w:rsid w:val="00CB481C"/>
    <w:rsid w:val="00CB4C8C"/>
    <w:rsid w:val="00CB62E1"/>
    <w:rsid w:val="00CB6EFE"/>
    <w:rsid w:val="00CC16F9"/>
    <w:rsid w:val="00CC28A9"/>
    <w:rsid w:val="00CC4183"/>
    <w:rsid w:val="00CC6928"/>
    <w:rsid w:val="00CC70A4"/>
    <w:rsid w:val="00CD2BA8"/>
    <w:rsid w:val="00CD4A0C"/>
    <w:rsid w:val="00CD5CEF"/>
    <w:rsid w:val="00CE06EC"/>
    <w:rsid w:val="00CE1F8A"/>
    <w:rsid w:val="00CE592E"/>
    <w:rsid w:val="00CE5BC5"/>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27EA0"/>
    <w:rsid w:val="00D305C9"/>
    <w:rsid w:val="00D3194F"/>
    <w:rsid w:val="00D33751"/>
    <w:rsid w:val="00D3639B"/>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A0C95"/>
    <w:rsid w:val="00DA134E"/>
    <w:rsid w:val="00DA13F3"/>
    <w:rsid w:val="00DA2DE3"/>
    <w:rsid w:val="00DA47D9"/>
    <w:rsid w:val="00DA64AF"/>
    <w:rsid w:val="00DB1F4F"/>
    <w:rsid w:val="00DB2AC7"/>
    <w:rsid w:val="00DB704C"/>
    <w:rsid w:val="00DC693B"/>
    <w:rsid w:val="00DC7C77"/>
    <w:rsid w:val="00DD0F5D"/>
    <w:rsid w:val="00DD426D"/>
    <w:rsid w:val="00DD74FC"/>
    <w:rsid w:val="00DE117F"/>
    <w:rsid w:val="00DE1769"/>
    <w:rsid w:val="00DE1A17"/>
    <w:rsid w:val="00DE1D7B"/>
    <w:rsid w:val="00DE44C8"/>
    <w:rsid w:val="00DE64CC"/>
    <w:rsid w:val="00DE6AA9"/>
    <w:rsid w:val="00DE7B30"/>
    <w:rsid w:val="00DF20C7"/>
    <w:rsid w:val="00DF4D0C"/>
    <w:rsid w:val="00DF5C20"/>
    <w:rsid w:val="00DF7D81"/>
    <w:rsid w:val="00E02DEB"/>
    <w:rsid w:val="00E03486"/>
    <w:rsid w:val="00E0405A"/>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0A31"/>
    <w:rsid w:val="00E521E3"/>
    <w:rsid w:val="00E53B7A"/>
    <w:rsid w:val="00E550C9"/>
    <w:rsid w:val="00E55405"/>
    <w:rsid w:val="00E561F9"/>
    <w:rsid w:val="00E5645D"/>
    <w:rsid w:val="00E57CD3"/>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6A72"/>
    <w:rsid w:val="00E96B52"/>
    <w:rsid w:val="00EA01F7"/>
    <w:rsid w:val="00EA1D33"/>
    <w:rsid w:val="00EA1F5A"/>
    <w:rsid w:val="00EA375F"/>
    <w:rsid w:val="00EA55D2"/>
    <w:rsid w:val="00EA7104"/>
    <w:rsid w:val="00EA7533"/>
    <w:rsid w:val="00EB067F"/>
    <w:rsid w:val="00EB2419"/>
    <w:rsid w:val="00EB58F5"/>
    <w:rsid w:val="00EB6E6B"/>
    <w:rsid w:val="00EC010F"/>
    <w:rsid w:val="00EC2E3A"/>
    <w:rsid w:val="00EC3CCB"/>
    <w:rsid w:val="00EC5A74"/>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1B6D"/>
    <w:rsid w:val="00F22211"/>
    <w:rsid w:val="00F22341"/>
    <w:rsid w:val="00F24039"/>
    <w:rsid w:val="00F24E0E"/>
    <w:rsid w:val="00F26693"/>
    <w:rsid w:val="00F3477D"/>
    <w:rsid w:val="00F347FE"/>
    <w:rsid w:val="00F34859"/>
    <w:rsid w:val="00F356F7"/>
    <w:rsid w:val="00F40055"/>
    <w:rsid w:val="00F405D4"/>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74742"/>
    <w:rsid w:val="00F804B9"/>
    <w:rsid w:val="00F80AE2"/>
    <w:rsid w:val="00F83FF9"/>
    <w:rsid w:val="00F84D52"/>
    <w:rsid w:val="00F91B52"/>
    <w:rsid w:val="00F961A9"/>
    <w:rsid w:val="00F97478"/>
    <w:rsid w:val="00F97B71"/>
    <w:rsid w:val="00F97B9E"/>
    <w:rsid w:val="00FA0527"/>
    <w:rsid w:val="00FA085E"/>
    <w:rsid w:val="00FA0947"/>
    <w:rsid w:val="00FA2185"/>
    <w:rsid w:val="00FA2D49"/>
    <w:rsid w:val="00FA4B52"/>
    <w:rsid w:val="00FA4D4F"/>
    <w:rsid w:val="00FA4D5B"/>
    <w:rsid w:val="00FA54E8"/>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0C8B"/>
    <w:rsid w:val="00FE1E47"/>
    <w:rsid w:val="00FE275D"/>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72DF5A2-EBF3-499A-8563-FB1CA13D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uiPriority w:val="99"/>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uiPriority w:val="99"/>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uiPriority w:val="99"/>
    <w:rsid w:val="00D66685"/>
    <w:rPr>
      <w:kern w:val="2"/>
      <w:sz w:val="24"/>
    </w:rPr>
  </w:style>
  <w:style w:type="character" w:styleId="af6">
    <w:name w:val="Strong"/>
    <w:basedOn w:val="a1"/>
    <w:uiPriority w:val="22"/>
    <w:qFormat/>
    <w:rsid w:val="00FE0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6204035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042290413">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1105859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415663530">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049840325">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4B1FF-9E30-4091-BCA0-E743A15D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0</TotalTime>
  <Pages>5</Pages>
  <Words>1344</Words>
  <Characters>7661</Characters>
  <Application>Microsoft Office Word</Application>
  <DocSecurity>4</DocSecurity>
  <Lines>63</Lines>
  <Paragraphs>17</Paragraphs>
  <ScaleCrop>false</ScaleCrop>
  <Company>TRT. Ltd. Co.</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efunds</cp:lastModifiedBy>
  <cp:revision>2</cp:revision>
  <cp:lastPrinted>2007-07-19T00:46:00Z</cp:lastPrinted>
  <dcterms:created xsi:type="dcterms:W3CDTF">2020-01-13T02:41:00Z</dcterms:created>
  <dcterms:modified xsi:type="dcterms:W3CDTF">2020-01-13T02:41:00Z</dcterms:modified>
</cp:coreProperties>
</file>