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易方达科翔混合型证券投资基金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635591" w:rsidRDefault="00EB6E7E">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35591" w:rsidRDefault="00EB6E7E">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35591" w:rsidRDefault="00EB6E7E">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35591" w:rsidRDefault="00EB6E7E">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35591" w:rsidRDefault="00EB6E7E">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易方达科翔混合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110013</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110013</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2008</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13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1,038,975,149.69</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本基金主要投资于红利股，追求在有效控制风险的前提下，实现基金资产的长期稳健增值。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本基金基于定量与定性相结合的宏观及市场分析，确定组合中股票、债券、货币市场工具及其他金融工具的比例，追求更高收益，回避市场风险。</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80%×</w:t>
            </w:r>
            <w:r w:rsidRPr="00232B03">
              <w:rPr>
                <w:color w:val="000000"/>
                <w:kern w:val="0"/>
                <w:sz w:val="24"/>
                <w:szCs w:val="24"/>
              </w:rPr>
              <w:t>中证红利指数收益率＋中债总指数收益率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本基金为混合基金，理论上其风险收益水平高于债券基金和货币市场基金，低于股票基金。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265,401,172.45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341,426,102.64</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0.3159</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3,305,211,279.12</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3.181</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635591" w:rsidRDefault="00EB6E7E">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所述基金业绩指标不包括持有人交易基金的各项费用，计入费用后实际收益水平要低于所列数字。</w:t>
      </w:r>
    </w:p>
    <w:p w:rsidR="00635591" w:rsidRDefault="00EB6E7E">
      <w:pPr>
        <w:spacing w:line="360" w:lineRule="auto"/>
        <w:ind w:firstLineChars="200" w:firstLine="480"/>
        <w:rPr>
          <w:color w:val="000000"/>
          <w:sz w:val="24"/>
          <w:szCs w:val="24"/>
        </w:rPr>
      </w:pPr>
      <w:r>
        <w:rPr>
          <w:color w:val="000000"/>
          <w:sz w:val="24"/>
        </w:rPr>
        <w:t>2.</w:t>
      </w:r>
      <w:r>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32B03" w:rsidRDefault="00392044" w:rsidP="00232B03">
      <w:pPr>
        <w:spacing w:line="360" w:lineRule="auto"/>
        <w:ind w:firstLineChars="200" w:firstLine="480"/>
        <w:rPr>
          <w:color w:val="000000"/>
          <w:sz w:val="24"/>
          <w:szCs w:val="24"/>
        </w:rPr>
      </w:pPr>
      <w:r w:rsidRPr="006506EF">
        <w:rPr>
          <w:color w:val="000000"/>
          <w:sz w:val="24"/>
        </w:rPr>
        <w:t>3.</w:t>
      </w:r>
      <w:r w:rsidRPr="006506EF">
        <w:rPr>
          <w:color w:val="000000"/>
          <w:sz w:val="24"/>
        </w:rPr>
        <w:t>本基金已于</w:t>
      </w:r>
      <w:r w:rsidRPr="006506EF">
        <w:rPr>
          <w:color w:val="000000"/>
          <w:sz w:val="24"/>
        </w:rPr>
        <w:t>2008</w:t>
      </w:r>
      <w:r w:rsidRPr="006506EF">
        <w:rPr>
          <w:color w:val="000000"/>
          <w:sz w:val="24"/>
        </w:rPr>
        <w:t>年</w:t>
      </w:r>
      <w:r w:rsidRPr="006506EF">
        <w:rPr>
          <w:color w:val="000000"/>
          <w:sz w:val="24"/>
        </w:rPr>
        <w:t>12</w:t>
      </w:r>
      <w:r w:rsidRPr="006506EF">
        <w:rPr>
          <w:color w:val="000000"/>
          <w:sz w:val="24"/>
        </w:rPr>
        <w:t>月</w:t>
      </w:r>
      <w:r w:rsidRPr="006506EF">
        <w:rPr>
          <w:color w:val="000000"/>
          <w:sz w:val="24"/>
        </w:rPr>
        <w:t>12</w:t>
      </w:r>
      <w:r w:rsidRPr="006506EF">
        <w:rPr>
          <w:color w:val="000000"/>
          <w:sz w:val="24"/>
        </w:rPr>
        <w:t>日对原基金科翔退市时的基金份额进行了拆分，基金拆分比例为</w:t>
      </w:r>
      <w:r w:rsidRPr="006506EF">
        <w:rPr>
          <w:color w:val="000000"/>
          <w:sz w:val="24"/>
        </w:rPr>
        <w:t>1</w:t>
      </w:r>
      <w:r w:rsidRPr="006506EF">
        <w:rPr>
          <w:color w:val="000000"/>
          <w:sz w:val="24"/>
        </w:rPr>
        <w:t>：</w:t>
      </w:r>
      <w:r w:rsidRPr="006506EF">
        <w:rPr>
          <w:color w:val="000000"/>
          <w:sz w:val="24"/>
        </w:rPr>
        <w:t>1.340278796</w:t>
      </w:r>
      <w:r w:rsidRPr="006506EF">
        <w:rPr>
          <w:color w:val="000000"/>
          <w:sz w:val="24"/>
        </w:rPr>
        <w:t>。</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635591">
        <w:tc>
          <w:tcPr>
            <w:tcW w:w="0" w:type="auto"/>
            <w:vAlign w:val="center"/>
          </w:tcPr>
          <w:p w:rsidR="00635591" w:rsidRDefault="00EB6E7E">
            <w:pPr>
              <w:jc w:val="left"/>
            </w:pPr>
            <w:r>
              <w:rPr>
                <w:color w:val="000000"/>
                <w:kern w:val="0"/>
                <w:sz w:val="24"/>
                <w:szCs w:val="24"/>
              </w:rPr>
              <w:t>过去三个月</w:t>
            </w:r>
          </w:p>
        </w:tc>
        <w:tc>
          <w:tcPr>
            <w:tcW w:w="0" w:type="auto"/>
            <w:vAlign w:val="center"/>
          </w:tcPr>
          <w:p w:rsidR="00635591" w:rsidRDefault="00EB6E7E">
            <w:pPr>
              <w:jc w:val="center"/>
            </w:pPr>
            <w:r>
              <w:rPr>
                <w:color w:val="000000"/>
                <w:kern w:val="0"/>
                <w:sz w:val="24"/>
                <w:szCs w:val="24"/>
              </w:rPr>
              <w:t>11.31%</w:t>
            </w:r>
          </w:p>
        </w:tc>
        <w:tc>
          <w:tcPr>
            <w:tcW w:w="0" w:type="auto"/>
            <w:vAlign w:val="center"/>
          </w:tcPr>
          <w:p w:rsidR="00635591" w:rsidRDefault="00EB6E7E">
            <w:pPr>
              <w:jc w:val="center"/>
            </w:pPr>
            <w:r>
              <w:rPr>
                <w:color w:val="000000"/>
                <w:kern w:val="0"/>
                <w:sz w:val="24"/>
                <w:szCs w:val="24"/>
              </w:rPr>
              <w:t>1.08%</w:t>
            </w:r>
          </w:p>
        </w:tc>
        <w:tc>
          <w:tcPr>
            <w:tcW w:w="0" w:type="auto"/>
            <w:vAlign w:val="center"/>
          </w:tcPr>
          <w:p w:rsidR="00635591" w:rsidRDefault="00EB6E7E">
            <w:pPr>
              <w:jc w:val="center"/>
            </w:pPr>
            <w:r>
              <w:rPr>
                <w:color w:val="000000"/>
                <w:kern w:val="0"/>
                <w:sz w:val="24"/>
                <w:szCs w:val="24"/>
              </w:rPr>
              <w:t>4.88%</w:t>
            </w:r>
          </w:p>
        </w:tc>
        <w:tc>
          <w:tcPr>
            <w:tcW w:w="0" w:type="auto"/>
            <w:vAlign w:val="center"/>
          </w:tcPr>
          <w:p w:rsidR="00635591" w:rsidRDefault="00EB6E7E">
            <w:pPr>
              <w:jc w:val="center"/>
            </w:pPr>
            <w:r>
              <w:rPr>
                <w:color w:val="000000"/>
                <w:kern w:val="0"/>
                <w:sz w:val="24"/>
                <w:szCs w:val="24"/>
              </w:rPr>
              <w:t>0.56%</w:t>
            </w:r>
          </w:p>
        </w:tc>
        <w:tc>
          <w:tcPr>
            <w:tcW w:w="0" w:type="auto"/>
            <w:vAlign w:val="center"/>
          </w:tcPr>
          <w:p w:rsidR="00635591" w:rsidRDefault="00EB6E7E">
            <w:pPr>
              <w:jc w:val="center"/>
            </w:pPr>
            <w:r>
              <w:rPr>
                <w:color w:val="000000"/>
                <w:kern w:val="0"/>
                <w:sz w:val="24"/>
                <w:szCs w:val="24"/>
              </w:rPr>
              <w:t>6.43%</w:t>
            </w:r>
          </w:p>
        </w:tc>
        <w:tc>
          <w:tcPr>
            <w:tcW w:w="0" w:type="auto"/>
            <w:vAlign w:val="center"/>
          </w:tcPr>
          <w:p w:rsidR="00635591" w:rsidRDefault="00EB6E7E">
            <w:pPr>
              <w:jc w:val="center"/>
            </w:pPr>
            <w:r>
              <w:rPr>
                <w:color w:val="000000"/>
                <w:kern w:val="0"/>
                <w:sz w:val="24"/>
                <w:szCs w:val="24"/>
              </w:rPr>
              <w:t>0.52%</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易方达科翔混合型证券投资基金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2008</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13</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EB6E7E"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635591" w:rsidRDefault="00EB6E7E">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本基金由原基金科翔于</w:t>
      </w:r>
      <w:r>
        <w:rPr>
          <w:color w:val="000000"/>
          <w:sz w:val="24"/>
          <w:szCs w:val="24"/>
        </w:rPr>
        <w:t>2008</w:t>
      </w:r>
      <w:r>
        <w:rPr>
          <w:color w:val="000000"/>
          <w:sz w:val="24"/>
          <w:szCs w:val="24"/>
        </w:rPr>
        <w:t>年</w:t>
      </w:r>
      <w:r>
        <w:rPr>
          <w:color w:val="000000"/>
          <w:sz w:val="24"/>
          <w:szCs w:val="24"/>
        </w:rPr>
        <w:t>11</w:t>
      </w:r>
      <w:r>
        <w:rPr>
          <w:color w:val="000000"/>
          <w:sz w:val="24"/>
          <w:szCs w:val="24"/>
        </w:rPr>
        <w:t>月</w:t>
      </w:r>
      <w:r>
        <w:rPr>
          <w:color w:val="000000"/>
          <w:sz w:val="24"/>
          <w:szCs w:val="24"/>
        </w:rPr>
        <w:t>13</w:t>
      </w:r>
      <w:r>
        <w:rPr>
          <w:color w:val="000000"/>
          <w:sz w:val="24"/>
          <w:szCs w:val="24"/>
        </w:rPr>
        <w:t>日转型而来。</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2.</w:t>
      </w:r>
      <w:r w:rsidRPr="006C56AA">
        <w:rPr>
          <w:color w:val="000000"/>
          <w:sz w:val="24"/>
          <w:szCs w:val="24"/>
        </w:rPr>
        <w:t>自基金转型至报告期末，基金份额净值增长率为</w:t>
      </w:r>
      <w:r w:rsidRPr="006C56AA">
        <w:rPr>
          <w:color w:val="000000"/>
          <w:sz w:val="24"/>
          <w:szCs w:val="24"/>
        </w:rPr>
        <w:t>442.46%</w:t>
      </w:r>
      <w:r w:rsidRPr="006C56AA">
        <w:rPr>
          <w:color w:val="000000"/>
          <w:sz w:val="24"/>
          <w:szCs w:val="24"/>
        </w:rPr>
        <w:t>，同期业绩比较基准收益率为</w:t>
      </w:r>
      <w:r w:rsidRPr="006C56AA">
        <w:rPr>
          <w:color w:val="000000"/>
          <w:sz w:val="24"/>
          <w:szCs w:val="24"/>
        </w:rPr>
        <w:t>126.32%</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635591">
        <w:tc>
          <w:tcPr>
            <w:tcW w:w="0" w:type="auto"/>
            <w:vAlign w:val="center"/>
          </w:tcPr>
          <w:p w:rsidR="00635591" w:rsidRDefault="00EB6E7E">
            <w:pPr>
              <w:jc w:val="center"/>
            </w:pPr>
            <w:r>
              <w:rPr>
                <w:color w:val="000000"/>
                <w:sz w:val="24"/>
              </w:rPr>
              <w:t>陈皓</w:t>
            </w:r>
          </w:p>
        </w:tc>
        <w:tc>
          <w:tcPr>
            <w:tcW w:w="0" w:type="auto"/>
            <w:vAlign w:val="center"/>
          </w:tcPr>
          <w:p w:rsidR="00635591" w:rsidRDefault="00EB6E7E">
            <w:pPr>
              <w:jc w:val="center"/>
            </w:pPr>
            <w:r>
              <w:rPr>
                <w:color w:val="000000"/>
                <w:sz w:val="24"/>
              </w:rPr>
              <w:t>本基金的基金经理、易方达新经济灵活配置混合型证券投资基金的基金经理、易方达平稳增长证券投资基金的基金经理、易方达科讯混合型证券投资基金的基金经理、易方达科融混合型证券投资基金的基金经理、易方达国防军工混合型证券投资基金的基金经理、投资一部总经理</w:t>
            </w:r>
          </w:p>
        </w:tc>
        <w:tc>
          <w:tcPr>
            <w:tcW w:w="0" w:type="auto"/>
            <w:vAlign w:val="center"/>
          </w:tcPr>
          <w:p w:rsidR="00635591" w:rsidRDefault="00EB6E7E">
            <w:pPr>
              <w:jc w:val="center"/>
            </w:pPr>
            <w:r>
              <w:rPr>
                <w:color w:val="000000"/>
                <w:sz w:val="24"/>
              </w:rPr>
              <w:t>2014-05-10</w:t>
            </w:r>
          </w:p>
        </w:tc>
        <w:tc>
          <w:tcPr>
            <w:tcW w:w="0" w:type="auto"/>
            <w:vAlign w:val="center"/>
          </w:tcPr>
          <w:p w:rsidR="00635591" w:rsidRDefault="00EB6E7E">
            <w:pPr>
              <w:jc w:val="center"/>
            </w:pPr>
            <w:r>
              <w:rPr>
                <w:color w:val="000000"/>
                <w:sz w:val="24"/>
              </w:rPr>
              <w:t>-</w:t>
            </w:r>
          </w:p>
        </w:tc>
        <w:tc>
          <w:tcPr>
            <w:tcW w:w="0" w:type="auto"/>
            <w:vAlign w:val="center"/>
          </w:tcPr>
          <w:p w:rsidR="00635591" w:rsidRDefault="00EB6E7E">
            <w:pPr>
              <w:jc w:val="center"/>
            </w:pPr>
            <w:r>
              <w:rPr>
                <w:color w:val="000000"/>
                <w:sz w:val="24"/>
              </w:rPr>
              <w:t>12</w:t>
            </w:r>
            <w:r>
              <w:rPr>
                <w:color w:val="000000"/>
                <w:sz w:val="24"/>
              </w:rPr>
              <w:t>年</w:t>
            </w:r>
          </w:p>
        </w:tc>
        <w:tc>
          <w:tcPr>
            <w:tcW w:w="0" w:type="auto"/>
            <w:vAlign w:val="center"/>
          </w:tcPr>
          <w:p w:rsidR="00635591" w:rsidRDefault="00EB6E7E">
            <w:r>
              <w:rPr>
                <w:color w:val="000000"/>
                <w:sz w:val="24"/>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bl>
    <w:p w:rsidR="00635591" w:rsidRDefault="00EB6E7E">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635591" w:rsidRDefault="00EB6E7E">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635591" w:rsidRDefault="00EB6E7E">
      <w:pPr>
        <w:spacing w:line="360" w:lineRule="auto"/>
        <w:ind w:firstLineChars="200" w:firstLine="480"/>
        <w:rPr>
          <w:color w:val="000000"/>
          <w:sz w:val="24"/>
          <w:szCs w:val="24"/>
        </w:rPr>
      </w:pPr>
      <w:r>
        <w:rPr>
          <w:color w:val="000000"/>
          <w:sz w:val="24"/>
          <w:szCs w:val="24"/>
        </w:rPr>
        <w:t>2019</w:t>
      </w:r>
      <w:r>
        <w:rPr>
          <w:color w:val="000000"/>
          <w:sz w:val="24"/>
          <w:szCs w:val="24"/>
        </w:rPr>
        <w:t>年四季度上证指数上涨</w:t>
      </w:r>
      <w:r>
        <w:rPr>
          <w:color w:val="000000"/>
          <w:sz w:val="24"/>
          <w:szCs w:val="24"/>
        </w:rPr>
        <w:t>4.99%</w:t>
      </w:r>
      <w:r>
        <w:rPr>
          <w:color w:val="000000"/>
          <w:sz w:val="24"/>
          <w:szCs w:val="24"/>
        </w:rPr>
        <w:t>，创业板指数上涨</w:t>
      </w:r>
      <w:r>
        <w:rPr>
          <w:color w:val="000000"/>
          <w:sz w:val="24"/>
          <w:szCs w:val="24"/>
        </w:rPr>
        <w:t>10.48%</w:t>
      </w:r>
      <w:r>
        <w:rPr>
          <w:color w:val="000000"/>
          <w:sz w:val="24"/>
          <w:szCs w:val="24"/>
        </w:rPr>
        <w:t>，四季度市场整体上涨幅度较大，但有一定的结构分化，新兴成长板块的表现较好，而大盘蓝筹板块相对涨幅不大。高新电子板块在国产替代加速和下游需求改善催化下延续了三季度的强势表现，低估值、低预期的传媒板块在云游戏、直播等新兴应用刺激下获得了较大涨幅，以医药白酒为代表的消费板块整体表现较差。</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四季度采取了比较积极的投资策略，维持了较高股票仓位，增配一些处于预期底部、基本面有一定改善的传媒企业以及估值吸引力较大的地产板块个股，减持了部分消费企业以及估值较高的半导体个股，取得了较大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3.181</w:t>
      </w:r>
      <w:r w:rsidRPr="006C56AA">
        <w:rPr>
          <w:color w:val="000000"/>
          <w:sz w:val="24"/>
          <w:szCs w:val="24"/>
        </w:rPr>
        <w:t>元，本报告期份额净值增长率为</w:t>
      </w:r>
      <w:r w:rsidRPr="006C56AA">
        <w:rPr>
          <w:color w:val="000000"/>
          <w:sz w:val="24"/>
          <w:szCs w:val="24"/>
        </w:rPr>
        <w:t>11.31%</w:t>
      </w:r>
      <w:r w:rsidRPr="006C56AA">
        <w:rPr>
          <w:color w:val="000000"/>
          <w:sz w:val="24"/>
          <w:szCs w:val="24"/>
        </w:rPr>
        <w:t>，同期业绩比较基准收益率为</w:t>
      </w:r>
      <w:r w:rsidRPr="006C56AA">
        <w:rPr>
          <w:color w:val="000000"/>
          <w:sz w:val="24"/>
          <w:szCs w:val="24"/>
        </w:rPr>
        <w:t>4.88%</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2,967,903,958.09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88.62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2,967,903,958.09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88.62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145,854,132.13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145,854,132.13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203,591,289.62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6.08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31,756,655.30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0.95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3,349,106,035.14</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3,087,840.00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0.09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7,303,650.00</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0.22</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2,004,000,062.08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60.63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4,077,756.00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10,115,000.00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0.31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107,368,745.00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3.25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350,031,615.47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10.59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236,930,327.44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7.17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180,967,326.94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5.48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24,700,240.00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0.75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39,314,817.12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2,967,903,958.09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89.79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635591">
        <w:tc>
          <w:tcPr>
            <w:tcW w:w="0" w:type="auto"/>
            <w:vAlign w:val="center"/>
          </w:tcPr>
          <w:p w:rsidR="00635591" w:rsidRDefault="00EB6E7E">
            <w:pPr>
              <w:jc w:val="center"/>
            </w:pPr>
            <w:r>
              <w:rPr>
                <w:color w:val="000000"/>
                <w:kern w:val="0"/>
                <w:sz w:val="24"/>
                <w:szCs w:val="24"/>
              </w:rPr>
              <w:t>1</w:t>
            </w:r>
          </w:p>
        </w:tc>
        <w:tc>
          <w:tcPr>
            <w:tcW w:w="0" w:type="auto"/>
            <w:vAlign w:val="center"/>
          </w:tcPr>
          <w:p w:rsidR="00635591" w:rsidRDefault="00EB6E7E">
            <w:pPr>
              <w:jc w:val="center"/>
            </w:pPr>
            <w:r>
              <w:rPr>
                <w:color w:val="000000"/>
                <w:kern w:val="0"/>
                <w:sz w:val="24"/>
                <w:szCs w:val="24"/>
              </w:rPr>
              <w:t>300476</w:t>
            </w:r>
          </w:p>
        </w:tc>
        <w:tc>
          <w:tcPr>
            <w:tcW w:w="0" w:type="auto"/>
            <w:vAlign w:val="center"/>
          </w:tcPr>
          <w:p w:rsidR="00635591" w:rsidRDefault="00EB6E7E">
            <w:pPr>
              <w:jc w:val="center"/>
            </w:pPr>
            <w:r>
              <w:rPr>
                <w:color w:val="000000"/>
                <w:kern w:val="0"/>
                <w:sz w:val="24"/>
                <w:szCs w:val="24"/>
              </w:rPr>
              <w:t>胜宏科技</w:t>
            </w:r>
          </w:p>
        </w:tc>
        <w:tc>
          <w:tcPr>
            <w:tcW w:w="0" w:type="auto"/>
            <w:vAlign w:val="center"/>
          </w:tcPr>
          <w:p w:rsidR="00635591" w:rsidRDefault="00EB6E7E">
            <w:pPr>
              <w:jc w:val="right"/>
            </w:pPr>
            <w:r>
              <w:rPr>
                <w:color w:val="000000"/>
                <w:kern w:val="0"/>
                <w:sz w:val="24"/>
                <w:szCs w:val="24"/>
              </w:rPr>
              <w:t>13,972,512</w:t>
            </w:r>
          </w:p>
        </w:tc>
        <w:tc>
          <w:tcPr>
            <w:tcW w:w="0" w:type="auto"/>
            <w:vAlign w:val="center"/>
          </w:tcPr>
          <w:p w:rsidR="00635591" w:rsidRDefault="00EB6E7E">
            <w:pPr>
              <w:jc w:val="right"/>
            </w:pPr>
            <w:r>
              <w:rPr>
                <w:color w:val="000000"/>
                <w:kern w:val="0"/>
                <w:sz w:val="24"/>
                <w:szCs w:val="24"/>
              </w:rPr>
              <w:t>227,891,670.72</w:t>
            </w:r>
          </w:p>
        </w:tc>
        <w:tc>
          <w:tcPr>
            <w:tcW w:w="0" w:type="auto"/>
            <w:vAlign w:val="center"/>
          </w:tcPr>
          <w:p w:rsidR="00635591" w:rsidRDefault="00EB6E7E">
            <w:pPr>
              <w:jc w:val="right"/>
            </w:pPr>
            <w:r>
              <w:rPr>
                <w:color w:val="000000"/>
                <w:kern w:val="0"/>
                <w:sz w:val="24"/>
                <w:szCs w:val="24"/>
              </w:rPr>
              <w:t>6.89</w:t>
            </w:r>
          </w:p>
        </w:tc>
      </w:tr>
      <w:tr w:rsidR="00635591">
        <w:tc>
          <w:tcPr>
            <w:tcW w:w="0" w:type="auto"/>
            <w:vAlign w:val="center"/>
          </w:tcPr>
          <w:p w:rsidR="00635591" w:rsidRDefault="00EB6E7E">
            <w:pPr>
              <w:jc w:val="center"/>
            </w:pPr>
            <w:r>
              <w:rPr>
                <w:color w:val="000000"/>
                <w:kern w:val="0"/>
                <w:sz w:val="24"/>
                <w:szCs w:val="24"/>
              </w:rPr>
              <w:t>2</w:t>
            </w:r>
          </w:p>
        </w:tc>
        <w:tc>
          <w:tcPr>
            <w:tcW w:w="0" w:type="auto"/>
            <w:vAlign w:val="center"/>
          </w:tcPr>
          <w:p w:rsidR="00635591" w:rsidRDefault="00EB6E7E">
            <w:pPr>
              <w:jc w:val="center"/>
            </w:pPr>
            <w:r>
              <w:rPr>
                <w:color w:val="000000"/>
                <w:kern w:val="0"/>
                <w:sz w:val="24"/>
                <w:szCs w:val="24"/>
              </w:rPr>
              <w:t>002396</w:t>
            </w:r>
          </w:p>
        </w:tc>
        <w:tc>
          <w:tcPr>
            <w:tcW w:w="0" w:type="auto"/>
            <w:vAlign w:val="center"/>
          </w:tcPr>
          <w:p w:rsidR="00635591" w:rsidRDefault="00EB6E7E">
            <w:pPr>
              <w:jc w:val="center"/>
            </w:pPr>
            <w:r>
              <w:rPr>
                <w:color w:val="000000"/>
                <w:kern w:val="0"/>
                <w:sz w:val="24"/>
                <w:szCs w:val="24"/>
              </w:rPr>
              <w:t>星网锐捷</w:t>
            </w:r>
          </w:p>
        </w:tc>
        <w:tc>
          <w:tcPr>
            <w:tcW w:w="0" w:type="auto"/>
            <w:vAlign w:val="center"/>
          </w:tcPr>
          <w:p w:rsidR="00635591" w:rsidRDefault="00EB6E7E">
            <w:pPr>
              <w:jc w:val="right"/>
            </w:pPr>
            <w:r>
              <w:rPr>
                <w:color w:val="000000"/>
                <w:kern w:val="0"/>
                <w:sz w:val="24"/>
                <w:szCs w:val="24"/>
              </w:rPr>
              <w:t>4,319,700</w:t>
            </w:r>
          </w:p>
        </w:tc>
        <w:tc>
          <w:tcPr>
            <w:tcW w:w="0" w:type="auto"/>
            <w:vAlign w:val="center"/>
          </w:tcPr>
          <w:p w:rsidR="00635591" w:rsidRDefault="00EB6E7E">
            <w:pPr>
              <w:jc w:val="right"/>
            </w:pPr>
            <w:r>
              <w:rPr>
                <w:color w:val="000000"/>
                <w:kern w:val="0"/>
                <w:sz w:val="24"/>
                <w:szCs w:val="24"/>
              </w:rPr>
              <w:t>153,608,532.00</w:t>
            </w:r>
          </w:p>
        </w:tc>
        <w:tc>
          <w:tcPr>
            <w:tcW w:w="0" w:type="auto"/>
            <w:vAlign w:val="center"/>
          </w:tcPr>
          <w:p w:rsidR="00635591" w:rsidRDefault="00EB6E7E">
            <w:pPr>
              <w:jc w:val="right"/>
            </w:pPr>
            <w:r>
              <w:rPr>
                <w:color w:val="000000"/>
                <w:kern w:val="0"/>
                <w:sz w:val="24"/>
                <w:szCs w:val="24"/>
              </w:rPr>
              <w:t>4.65</w:t>
            </w:r>
          </w:p>
        </w:tc>
      </w:tr>
      <w:tr w:rsidR="00635591">
        <w:tc>
          <w:tcPr>
            <w:tcW w:w="0" w:type="auto"/>
            <w:vAlign w:val="center"/>
          </w:tcPr>
          <w:p w:rsidR="00635591" w:rsidRDefault="00EB6E7E">
            <w:pPr>
              <w:jc w:val="center"/>
            </w:pPr>
            <w:r>
              <w:rPr>
                <w:color w:val="000000"/>
                <w:kern w:val="0"/>
                <w:sz w:val="24"/>
                <w:szCs w:val="24"/>
              </w:rPr>
              <w:t>3</w:t>
            </w:r>
          </w:p>
        </w:tc>
        <w:tc>
          <w:tcPr>
            <w:tcW w:w="0" w:type="auto"/>
            <w:vAlign w:val="center"/>
          </w:tcPr>
          <w:p w:rsidR="00635591" w:rsidRDefault="00EB6E7E">
            <w:pPr>
              <w:jc w:val="center"/>
            </w:pPr>
            <w:r>
              <w:rPr>
                <w:color w:val="000000"/>
                <w:kern w:val="0"/>
                <w:sz w:val="24"/>
                <w:szCs w:val="24"/>
              </w:rPr>
              <w:t>000002</w:t>
            </w:r>
          </w:p>
        </w:tc>
        <w:tc>
          <w:tcPr>
            <w:tcW w:w="0" w:type="auto"/>
            <w:vAlign w:val="center"/>
          </w:tcPr>
          <w:p w:rsidR="00635591" w:rsidRDefault="00EB6E7E">
            <w:pPr>
              <w:jc w:val="center"/>
            </w:pPr>
            <w:r>
              <w:rPr>
                <w:color w:val="000000"/>
                <w:kern w:val="0"/>
                <w:sz w:val="24"/>
                <w:szCs w:val="24"/>
              </w:rPr>
              <w:t>万科</w:t>
            </w:r>
            <w:r>
              <w:rPr>
                <w:color w:val="000000"/>
                <w:kern w:val="0"/>
                <w:sz w:val="24"/>
                <w:szCs w:val="24"/>
              </w:rPr>
              <w:t>A</w:t>
            </w:r>
          </w:p>
        </w:tc>
        <w:tc>
          <w:tcPr>
            <w:tcW w:w="0" w:type="auto"/>
            <w:vAlign w:val="center"/>
          </w:tcPr>
          <w:p w:rsidR="00635591" w:rsidRDefault="00EB6E7E">
            <w:pPr>
              <w:jc w:val="right"/>
            </w:pPr>
            <w:r>
              <w:rPr>
                <w:color w:val="000000"/>
                <w:kern w:val="0"/>
                <w:sz w:val="24"/>
                <w:szCs w:val="24"/>
              </w:rPr>
              <w:t>4,019,133</w:t>
            </w:r>
          </w:p>
        </w:tc>
        <w:tc>
          <w:tcPr>
            <w:tcW w:w="0" w:type="auto"/>
            <w:vAlign w:val="center"/>
          </w:tcPr>
          <w:p w:rsidR="00635591" w:rsidRDefault="00EB6E7E">
            <w:pPr>
              <w:jc w:val="right"/>
            </w:pPr>
            <w:r>
              <w:rPr>
                <w:color w:val="000000"/>
                <w:kern w:val="0"/>
                <w:sz w:val="24"/>
                <w:szCs w:val="24"/>
              </w:rPr>
              <w:t>129,335,699.94</w:t>
            </w:r>
          </w:p>
        </w:tc>
        <w:tc>
          <w:tcPr>
            <w:tcW w:w="0" w:type="auto"/>
            <w:vAlign w:val="center"/>
          </w:tcPr>
          <w:p w:rsidR="00635591" w:rsidRDefault="00EB6E7E">
            <w:pPr>
              <w:jc w:val="right"/>
            </w:pPr>
            <w:r>
              <w:rPr>
                <w:color w:val="000000"/>
                <w:kern w:val="0"/>
                <w:sz w:val="24"/>
                <w:szCs w:val="24"/>
              </w:rPr>
              <w:t>3.91</w:t>
            </w:r>
          </w:p>
        </w:tc>
      </w:tr>
      <w:tr w:rsidR="00635591">
        <w:tc>
          <w:tcPr>
            <w:tcW w:w="0" w:type="auto"/>
            <w:vAlign w:val="center"/>
          </w:tcPr>
          <w:p w:rsidR="00635591" w:rsidRDefault="00EB6E7E">
            <w:pPr>
              <w:jc w:val="center"/>
            </w:pPr>
            <w:r>
              <w:rPr>
                <w:color w:val="000000"/>
                <w:kern w:val="0"/>
                <w:sz w:val="24"/>
                <w:szCs w:val="24"/>
              </w:rPr>
              <w:t>4</w:t>
            </w:r>
          </w:p>
        </w:tc>
        <w:tc>
          <w:tcPr>
            <w:tcW w:w="0" w:type="auto"/>
            <w:vAlign w:val="center"/>
          </w:tcPr>
          <w:p w:rsidR="00635591" w:rsidRDefault="00EB6E7E">
            <w:pPr>
              <w:jc w:val="center"/>
            </w:pPr>
            <w:r>
              <w:rPr>
                <w:color w:val="000000"/>
                <w:kern w:val="0"/>
                <w:sz w:val="24"/>
                <w:szCs w:val="24"/>
              </w:rPr>
              <w:t>002376</w:t>
            </w:r>
          </w:p>
        </w:tc>
        <w:tc>
          <w:tcPr>
            <w:tcW w:w="0" w:type="auto"/>
            <w:vAlign w:val="center"/>
          </w:tcPr>
          <w:p w:rsidR="00635591" w:rsidRDefault="00EB6E7E">
            <w:pPr>
              <w:jc w:val="center"/>
            </w:pPr>
            <w:r>
              <w:rPr>
                <w:color w:val="000000"/>
                <w:kern w:val="0"/>
                <w:sz w:val="24"/>
                <w:szCs w:val="24"/>
              </w:rPr>
              <w:t>新北洋</w:t>
            </w:r>
          </w:p>
        </w:tc>
        <w:tc>
          <w:tcPr>
            <w:tcW w:w="0" w:type="auto"/>
            <w:vAlign w:val="center"/>
          </w:tcPr>
          <w:p w:rsidR="00635591" w:rsidRDefault="00EB6E7E">
            <w:pPr>
              <w:jc w:val="right"/>
            </w:pPr>
            <w:r>
              <w:rPr>
                <w:color w:val="000000"/>
                <w:kern w:val="0"/>
                <w:sz w:val="24"/>
                <w:szCs w:val="24"/>
              </w:rPr>
              <w:t>8,700,000</w:t>
            </w:r>
          </w:p>
        </w:tc>
        <w:tc>
          <w:tcPr>
            <w:tcW w:w="0" w:type="auto"/>
            <w:vAlign w:val="center"/>
          </w:tcPr>
          <w:p w:rsidR="00635591" w:rsidRDefault="00EB6E7E">
            <w:pPr>
              <w:jc w:val="right"/>
            </w:pPr>
            <w:r>
              <w:rPr>
                <w:color w:val="000000"/>
                <w:kern w:val="0"/>
                <w:sz w:val="24"/>
                <w:szCs w:val="24"/>
              </w:rPr>
              <w:t>105,270,000.00</w:t>
            </w:r>
          </w:p>
        </w:tc>
        <w:tc>
          <w:tcPr>
            <w:tcW w:w="0" w:type="auto"/>
            <w:vAlign w:val="center"/>
          </w:tcPr>
          <w:p w:rsidR="00635591" w:rsidRDefault="00EB6E7E">
            <w:pPr>
              <w:jc w:val="right"/>
            </w:pPr>
            <w:r>
              <w:rPr>
                <w:color w:val="000000"/>
                <w:kern w:val="0"/>
                <w:sz w:val="24"/>
                <w:szCs w:val="24"/>
              </w:rPr>
              <w:t>3.18</w:t>
            </w:r>
          </w:p>
        </w:tc>
      </w:tr>
      <w:tr w:rsidR="00635591">
        <w:tc>
          <w:tcPr>
            <w:tcW w:w="0" w:type="auto"/>
            <w:vAlign w:val="center"/>
          </w:tcPr>
          <w:p w:rsidR="00635591" w:rsidRDefault="00EB6E7E">
            <w:pPr>
              <w:jc w:val="center"/>
            </w:pPr>
            <w:r>
              <w:rPr>
                <w:color w:val="000000"/>
                <w:kern w:val="0"/>
                <w:sz w:val="24"/>
                <w:szCs w:val="24"/>
              </w:rPr>
              <w:t>5</w:t>
            </w:r>
          </w:p>
        </w:tc>
        <w:tc>
          <w:tcPr>
            <w:tcW w:w="0" w:type="auto"/>
            <w:vAlign w:val="center"/>
          </w:tcPr>
          <w:p w:rsidR="00635591" w:rsidRDefault="00EB6E7E">
            <w:pPr>
              <w:jc w:val="center"/>
            </w:pPr>
            <w:r>
              <w:rPr>
                <w:color w:val="000000"/>
                <w:kern w:val="0"/>
                <w:sz w:val="24"/>
                <w:szCs w:val="24"/>
              </w:rPr>
              <w:t>601166</w:t>
            </w:r>
          </w:p>
        </w:tc>
        <w:tc>
          <w:tcPr>
            <w:tcW w:w="0" w:type="auto"/>
            <w:vAlign w:val="center"/>
          </w:tcPr>
          <w:p w:rsidR="00635591" w:rsidRDefault="00EB6E7E">
            <w:pPr>
              <w:jc w:val="center"/>
            </w:pPr>
            <w:r>
              <w:rPr>
                <w:color w:val="000000"/>
                <w:kern w:val="0"/>
                <w:sz w:val="24"/>
                <w:szCs w:val="24"/>
              </w:rPr>
              <w:t>兴业银行</w:t>
            </w:r>
          </w:p>
        </w:tc>
        <w:tc>
          <w:tcPr>
            <w:tcW w:w="0" w:type="auto"/>
            <w:vAlign w:val="center"/>
          </w:tcPr>
          <w:p w:rsidR="00635591" w:rsidRDefault="00EB6E7E">
            <w:pPr>
              <w:jc w:val="right"/>
            </w:pPr>
            <w:r>
              <w:rPr>
                <w:color w:val="000000"/>
                <w:kern w:val="0"/>
                <w:sz w:val="24"/>
                <w:szCs w:val="24"/>
              </w:rPr>
              <w:t>5,228,435</w:t>
            </w:r>
          </w:p>
        </w:tc>
        <w:tc>
          <w:tcPr>
            <w:tcW w:w="0" w:type="auto"/>
            <w:vAlign w:val="center"/>
          </w:tcPr>
          <w:p w:rsidR="00635591" w:rsidRDefault="00EB6E7E">
            <w:pPr>
              <w:jc w:val="right"/>
            </w:pPr>
            <w:r>
              <w:rPr>
                <w:color w:val="000000"/>
                <w:kern w:val="0"/>
                <w:sz w:val="24"/>
                <w:szCs w:val="24"/>
              </w:rPr>
              <w:t>103,523,013.00</w:t>
            </w:r>
          </w:p>
        </w:tc>
        <w:tc>
          <w:tcPr>
            <w:tcW w:w="0" w:type="auto"/>
            <w:vAlign w:val="center"/>
          </w:tcPr>
          <w:p w:rsidR="00635591" w:rsidRDefault="00EB6E7E">
            <w:pPr>
              <w:jc w:val="right"/>
            </w:pPr>
            <w:r>
              <w:rPr>
                <w:color w:val="000000"/>
                <w:kern w:val="0"/>
                <w:sz w:val="24"/>
                <w:szCs w:val="24"/>
              </w:rPr>
              <w:t>3.13</w:t>
            </w:r>
          </w:p>
        </w:tc>
      </w:tr>
      <w:tr w:rsidR="00635591">
        <w:tc>
          <w:tcPr>
            <w:tcW w:w="0" w:type="auto"/>
            <w:vAlign w:val="center"/>
          </w:tcPr>
          <w:p w:rsidR="00635591" w:rsidRDefault="00EB6E7E">
            <w:pPr>
              <w:jc w:val="center"/>
            </w:pPr>
            <w:r>
              <w:rPr>
                <w:color w:val="000000"/>
                <w:kern w:val="0"/>
                <w:sz w:val="24"/>
                <w:szCs w:val="24"/>
              </w:rPr>
              <w:t>6</w:t>
            </w:r>
          </w:p>
        </w:tc>
        <w:tc>
          <w:tcPr>
            <w:tcW w:w="0" w:type="auto"/>
            <w:vAlign w:val="center"/>
          </w:tcPr>
          <w:p w:rsidR="00635591" w:rsidRDefault="00EB6E7E">
            <w:pPr>
              <w:jc w:val="center"/>
            </w:pPr>
            <w:r>
              <w:rPr>
                <w:color w:val="000000"/>
                <w:kern w:val="0"/>
                <w:sz w:val="24"/>
                <w:szCs w:val="24"/>
              </w:rPr>
              <w:t>300773</w:t>
            </w:r>
          </w:p>
        </w:tc>
        <w:tc>
          <w:tcPr>
            <w:tcW w:w="0" w:type="auto"/>
            <w:vAlign w:val="center"/>
          </w:tcPr>
          <w:p w:rsidR="00635591" w:rsidRDefault="00EB6E7E">
            <w:pPr>
              <w:jc w:val="center"/>
            </w:pPr>
            <w:r>
              <w:rPr>
                <w:color w:val="000000"/>
                <w:kern w:val="0"/>
                <w:sz w:val="24"/>
                <w:szCs w:val="24"/>
              </w:rPr>
              <w:t>拉卡拉</w:t>
            </w:r>
          </w:p>
        </w:tc>
        <w:tc>
          <w:tcPr>
            <w:tcW w:w="0" w:type="auto"/>
            <w:vAlign w:val="center"/>
          </w:tcPr>
          <w:p w:rsidR="00635591" w:rsidRDefault="00EB6E7E">
            <w:pPr>
              <w:jc w:val="right"/>
            </w:pPr>
            <w:r>
              <w:rPr>
                <w:color w:val="000000"/>
                <w:kern w:val="0"/>
                <w:sz w:val="24"/>
                <w:szCs w:val="24"/>
              </w:rPr>
              <w:t>1,168,800</w:t>
            </w:r>
          </w:p>
        </w:tc>
        <w:tc>
          <w:tcPr>
            <w:tcW w:w="0" w:type="auto"/>
            <w:vAlign w:val="center"/>
          </w:tcPr>
          <w:p w:rsidR="00635591" w:rsidRDefault="00EB6E7E">
            <w:pPr>
              <w:jc w:val="right"/>
            </w:pPr>
            <w:r>
              <w:rPr>
                <w:color w:val="000000"/>
                <w:kern w:val="0"/>
                <w:sz w:val="24"/>
                <w:szCs w:val="24"/>
              </w:rPr>
              <w:t>91,715,736.00</w:t>
            </w:r>
          </w:p>
        </w:tc>
        <w:tc>
          <w:tcPr>
            <w:tcW w:w="0" w:type="auto"/>
            <w:vAlign w:val="center"/>
          </w:tcPr>
          <w:p w:rsidR="00635591" w:rsidRDefault="00EB6E7E">
            <w:pPr>
              <w:jc w:val="right"/>
            </w:pPr>
            <w:r>
              <w:rPr>
                <w:color w:val="000000"/>
                <w:kern w:val="0"/>
                <w:sz w:val="24"/>
                <w:szCs w:val="24"/>
              </w:rPr>
              <w:t>2.77</w:t>
            </w:r>
          </w:p>
        </w:tc>
      </w:tr>
      <w:tr w:rsidR="00635591">
        <w:tc>
          <w:tcPr>
            <w:tcW w:w="0" w:type="auto"/>
            <w:vAlign w:val="center"/>
          </w:tcPr>
          <w:p w:rsidR="00635591" w:rsidRDefault="00EB6E7E">
            <w:pPr>
              <w:jc w:val="center"/>
            </w:pPr>
            <w:r>
              <w:rPr>
                <w:color w:val="000000"/>
                <w:kern w:val="0"/>
                <w:sz w:val="24"/>
                <w:szCs w:val="24"/>
              </w:rPr>
              <w:t>7</w:t>
            </w:r>
          </w:p>
        </w:tc>
        <w:tc>
          <w:tcPr>
            <w:tcW w:w="0" w:type="auto"/>
            <w:vAlign w:val="center"/>
          </w:tcPr>
          <w:p w:rsidR="00635591" w:rsidRDefault="00EB6E7E">
            <w:pPr>
              <w:jc w:val="center"/>
            </w:pPr>
            <w:r>
              <w:rPr>
                <w:color w:val="000000"/>
                <w:kern w:val="0"/>
                <w:sz w:val="24"/>
                <w:szCs w:val="24"/>
              </w:rPr>
              <w:t>600004</w:t>
            </w:r>
          </w:p>
        </w:tc>
        <w:tc>
          <w:tcPr>
            <w:tcW w:w="0" w:type="auto"/>
            <w:vAlign w:val="center"/>
          </w:tcPr>
          <w:p w:rsidR="00635591" w:rsidRDefault="00EB6E7E">
            <w:pPr>
              <w:jc w:val="center"/>
            </w:pPr>
            <w:r>
              <w:rPr>
                <w:color w:val="000000"/>
                <w:kern w:val="0"/>
                <w:sz w:val="24"/>
                <w:szCs w:val="24"/>
              </w:rPr>
              <w:t>白云机场</w:t>
            </w:r>
          </w:p>
        </w:tc>
        <w:tc>
          <w:tcPr>
            <w:tcW w:w="0" w:type="auto"/>
            <w:vAlign w:val="center"/>
          </w:tcPr>
          <w:p w:rsidR="00635591" w:rsidRDefault="00EB6E7E">
            <w:pPr>
              <w:jc w:val="right"/>
            </w:pPr>
            <w:r>
              <w:rPr>
                <w:color w:val="000000"/>
                <w:kern w:val="0"/>
                <w:sz w:val="24"/>
                <w:szCs w:val="24"/>
              </w:rPr>
              <w:t>5,160,100</w:t>
            </w:r>
          </w:p>
        </w:tc>
        <w:tc>
          <w:tcPr>
            <w:tcW w:w="0" w:type="auto"/>
            <w:vAlign w:val="center"/>
          </w:tcPr>
          <w:p w:rsidR="00635591" w:rsidRDefault="00EB6E7E">
            <w:pPr>
              <w:jc w:val="right"/>
            </w:pPr>
            <w:r>
              <w:rPr>
                <w:color w:val="000000"/>
                <w:kern w:val="0"/>
                <w:sz w:val="24"/>
                <w:szCs w:val="24"/>
              </w:rPr>
              <w:t>90,043,745.00</w:t>
            </w:r>
          </w:p>
        </w:tc>
        <w:tc>
          <w:tcPr>
            <w:tcW w:w="0" w:type="auto"/>
            <w:vAlign w:val="center"/>
          </w:tcPr>
          <w:p w:rsidR="00635591" w:rsidRDefault="00EB6E7E">
            <w:pPr>
              <w:jc w:val="right"/>
            </w:pPr>
            <w:r>
              <w:rPr>
                <w:color w:val="000000"/>
                <w:kern w:val="0"/>
                <w:sz w:val="24"/>
                <w:szCs w:val="24"/>
              </w:rPr>
              <w:t>2.72</w:t>
            </w:r>
          </w:p>
        </w:tc>
      </w:tr>
      <w:tr w:rsidR="00635591">
        <w:tc>
          <w:tcPr>
            <w:tcW w:w="0" w:type="auto"/>
            <w:vAlign w:val="center"/>
          </w:tcPr>
          <w:p w:rsidR="00635591" w:rsidRDefault="00EB6E7E">
            <w:pPr>
              <w:jc w:val="center"/>
            </w:pPr>
            <w:r>
              <w:rPr>
                <w:color w:val="000000"/>
                <w:kern w:val="0"/>
                <w:sz w:val="24"/>
                <w:szCs w:val="24"/>
              </w:rPr>
              <w:t>8</w:t>
            </w:r>
          </w:p>
        </w:tc>
        <w:tc>
          <w:tcPr>
            <w:tcW w:w="0" w:type="auto"/>
            <w:vAlign w:val="center"/>
          </w:tcPr>
          <w:p w:rsidR="00635591" w:rsidRDefault="00EB6E7E">
            <w:pPr>
              <w:jc w:val="center"/>
            </w:pPr>
            <w:r>
              <w:rPr>
                <w:color w:val="000000"/>
                <w:kern w:val="0"/>
                <w:sz w:val="24"/>
                <w:szCs w:val="24"/>
              </w:rPr>
              <w:t>300628</w:t>
            </w:r>
          </w:p>
        </w:tc>
        <w:tc>
          <w:tcPr>
            <w:tcW w:w="0" w:type="auto"/>
            <w:vAlign w:val="center"/>
          </w:tcPr>
          <w:p w:rsidR="00635591" w:rsidRDefault="00EB6E7E">
            <w:pPr>
              <w:jc w:val="center"/>
            </w:pPr>
            <w:r>
              <w:rPr>
                <w:color w:val="000000"/>
                <w:kern w:val="0"/>
                <w:sz w:val="24"/>
                <w:szCs w:val="24"/>
              </w:rPr>
              <w:t>亿联网络</w:t>
            </w:r>
          </w:p>
        </w:tc>
        <w:tc>
          <w:tcPr>
            <w:tcW w:w="0" w:type="auto"/>
            <w:vAlign w:val="center"/>
          </w:tcPr>
          <w:p w:rsidR="00635591" w:rsidRDefault="00EB6E7E">
            <w:pPr>
              <w:jc w:val="right"/>
            </w:pPr>
            <w:r>
              <w:rPr>
                <w:color w:val="000000"/>
                <w:kern w:val="0"/>
                <w:sz w:val="24"/>
                <w:szCs w:val="24"/>
              </w:rPr>
              <w:t>1,200,000</w:t>
            </w:r>
          </w:p>
        </w:tc>
        <w:tc>
          <w:tcPr>
            <w:tcW w:w="0" w:type="auto"/>
            <w:vAlign w:val="center"/>
          </w:tcPr>
          <w:p w:rsidR="00635591" w:rsidRDefault="00EB6E7E">
            <w:pPr>
              <w:jc w:val="right"/>
            </w:pPr>
            <w:r>
              <w:rPr>
                <w:color w:val="000000"/>
                <w:kern w:val="0"/>
                <w:sz w:val="24"/>
                <w:szCs w:val="24"/>
              </w:rPr>
              <w:t>86,892,000.00</w:t>
            </w:r>
          </w:p>
        </w:tc>
        <w:tc>
          <w:tcPr>
            <w:tcW w:w="0" w:type="auto"/>
            <w:vAlign w:val="center"/>
          </w:tcPr>
          <w:p w:rsidR="00635591" w:rsidRDefault="00EB6E7E">
            <w:pPr>
              <w:jc w:val="right"/>
            </w:pPr>
            <w:r>
              <w:rPr>
                <w:color w:val="000000"/>
                <w:kern w:val="0"/>
                <w:sz w:val="24"/>
                <w:szCs w:val="24"/>
              </w:rPr>
              <w:t>2.63</w:t>
            </w:r>
          </w:p>
        </w:tc>
      </w:tr>
      <w:tr w:rsidR="00635591">
        <w:tc>
          <w:tcPr>
            <w:tcW w:w="0" w:type="auto"/>
            <w:vAlign w:val="center"/>
          </w:tcPr>
          <w:p w:rsidR="00635591" w:rsidRDefault="00EB6E7E">
            <w:pPr>
              <w:jc w:val="center"/>
            </w:pPr>
            <w:r>
              <w:rPr>
                <w:color w:val="000000"/>
                <w:kern w:val="0"/>
                <w:sz w:val="24"/>
                <w:szCs w:val="24"/>
              </w:rPr>
              <w:t>9</w:t>
            </w:r>
          </w:p>
        </w:tc>
        <w:tc>
          <w:tcPr>
            <w:tcW w:w="0" w:type="auto"/>
            <w:vAlign w:val="center"/>
          </w:tcPr>
          <w:p w:rsidR="00635591" w:rsidRDefault="00EB6E7E">
            <w:pPr>
              <w:jc w:val="center"/>
            </w:pPr>
            <w:r>
              <w:rPr>
                <w:color w:val="000000"/>
                <w:kern w:val="0"/>
                <w:sz w:val="24"/>
                <w:szCs w:val="24"/>
              </w:rPr>
              <w:t>002384</w:t>
            </w:r>
          </w:p>
        </w:tc>
        <w:tc>
          <w:tcPr>
            <w:tcW w:w="0" w:type="auto"/>
            <w:vAlign w:val="center"/>
          </w:tcPr>
          <w:p w:rsidR="00635591" w:rsidRDefault="00EB6E7E">
            <w:pPr>
              <w:jc w:val="center"/>
            </w:pPr>
            <w:r>
              <w:rPr>
                <w:color w:val="000000"/>
                <w:kern w:val="0"/>
                <w:sz w:val="24"/>
                <w:szCs w:val="24"/>
              </w:rPr>
              <w:t>东山精密</w:t>
            </w:r>
          </w:p>
        </w:tc>
        <w:tc>
          <w:tcPr>
            <w:tcW w:w="0" w:type="auto"/>
            <w:vAlign w:val="center"/>
          </w:tcPr>
          <w:p w:rsidR="00635591" w:rsidRDefault="00EB6E7E">
            <w:pPr>
              <w:jc w:val="right"/>
            </w:pPr>
            <w:r>
              <w:rPr>
                <w:color w:val="000000"/>
                <w:kern w:val="0"/>
                <w:sz w:val="24"/>
                <w:szCs w:val="24"/>
              </w:rPr>
              <w:t>3,664,900</w:t>
            </w:r>
          </w:p>
        </w:tc>
        <w:tc>
          <w:tcPr>
            <w:tcW w:w="0" w:type="auto"/>
            <w:vAlign w:val="center"/>
          </w:tcPr>
          <w:p w:rsidR="00635591" w:rsidRDefault="00EB6E7E">
            <w:pPr>
              <w:jc w:val="right"/>
            </w:pPr>
            <w:r>
              <w:rPr>
                <w:color w:val="000000"/>
                <w:kern w:val="0"/>
                <w:sz w:val="24"/>
                <w:szCs w:val="24"/>
              </w:rPr>
              <w:t>84,026,435.00</w:t>
            </w:r>
          </w:p>
        </w:tc>
        <w:tc>
          <w:tcPr>
            <w:tcW w:w="0" w:type="auto"/>
            <w:vAlign w:val="center"/>
          </w:tcPr>
          <w:p w:rsidR="00635591" w:rsidRDefault="00EB6E7E">
            <w:pPr>
              <w:jc w:val="right"/>
            </w:pPr>
            <w:r>
              <w:rPr>
                <w:color w:val="000000"/>
                <w:kern w:val="0"/>
                <w:sz w:val="24"/>
                <w:szCs w:val="24"/>
              </w:rPr>
              <w:t>2.54</w:t>
            </w:r>
          </w:p>
        </w:tc>
      </w:tr>
      <w:tr w:rsidR="00635591">
        <w:tc>
          <w:tcPr>
            <w:tcW w:w="0" w:type="auto"/>
            <w:vAlign w:val="center"/>
          </w:tcPr>
          <w:p w:rsidR="00635591" w:rsidRDefault="00EB6E7E">
            <w:pPr>
              <w:jc w:val="center"/>
            </w:pPr>
            <w:r>
              <w:rPr>
                <w:color w:val="000000"/>
                <w:kern w:val="0"/>
                <w:sz w:val="24"/>
                <w:szCs w:val="24"/>
              </w:rPr>
              <w:t>10</w:t>
            </w:r>
          </w:p>
        </w:tc>
        <w:tc>
          <w:tcPr>
            <w:tcW w:w="0" w:type="auto"/>
            <w:vAlign w:val="center"/>
          </w:tcPr>
          <w:p w:rsidR="00635591" w:rsidRDefault="00EB6E7E">
            <w:pPr>
              <w:jc w:val="center"/>
            </w:pPr>
            <w:r>
              <w:rPr>
                <w:color w:val="000000"/>
                <w:kern w:val="0"/>
                <w:sz w:val="24"/>
                <w:szCs w:val="24"/>
              </w:rPr>
              <w:t>300618</w:t>
            </w:r>
          </w:p>
        </w:tc>
        <w:tc>
          <w:tcPr>
            <w:tcW w:w="0" w:type="auto"/>
            <w:vAlign w:val="center"/>
          </w:tcPr>
          <w:p w:rsidR="00635591" w:rsidRDefault="00EB6E7E">
            <w:pPr>
              <w:jc w:val="center"/>
            </w:pPr>
            <w:r>
              <w:rPr>
                <w:color w:val="000000"/>
                <w:kern w:val="0"/>
                <w:sz w:val="24"/>
                <w:szCs w:val="24"/>
              </w:rPr>
              <w:t>寒锐钴业</w:t>
            </w:r>
          </w:p>
        </w:tc>
        <w:tc>
          <w:tcPr>
            <w:tcW w:w="0" w:type="auto"/>
            <w:vAlign w:val="center"/>
          </w:tcPr>
          <w:p w:rsidR="00635591" w:rsidRDefault="00EB6E7E">
            <w:pPr>
              <w:jc w:val="right"/>
            </w:pPr>
            <w:r>
              <w:rPr>
                <w:color w:val="000000"/>
                <w:kern w:val="0"/>
                <w:sz w:val="24"/>
                <w:szCs w:val="24"/>
              </w:rPr>
              <w:t>968,820</w:t>
            </w:r>
          </w:p>
        </w:tc>
        <w:tc>
          <w:tcPr>
            <w:tcW w:w="0" w:type="auto"/>
            <w:vAlign w:val="center"/>
          </w:tcPr>
          <w:p w:rsidR="00635591" w:rsidRDefault="00EB6E7E">
            <w:pPr>
              <w:jc w:val="right"/>
            </w:pPr>
            <w:r>
              <w:rPr>
                <w:color w:val="000000"/>
                <w:kern w:val="0"/>
                <w:sz w:val="24"/>
                <w:szCs w:val="24"/>
              </w:rPr>
              <w:t>79,821,079.80</w:t>
            </w:r>
          </w:p>
        </w:tc>
        <w:tc>
          <w:tcPr>
            <w:tcW w:w="0" w:type="auto"/>
            <w:vAlign w:val="center"/>
          </w:tcPr>
          <w:p w:rsidR="00635591" w:rsidRDefault="00EB6E7E">
            <w:pPr>
              <w:jc w:val="right"/>
            </w:pPr>
            <w:r>
              <w:rPr>
                <w:color w:val="000000"/>
                <w:kern w:val="0"/>
                <w:sz w:val="24"/>
                <w:szCs w:val="24"/>
              </w:rPr>
              <w:t>2.42</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130,152,000.00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3.94</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130,152,000.00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3.94</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15,702,132.13</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0.48</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145,854,132.13</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4.41</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635591">
        <w:tc>
          <w:tcPr>
            <w:tcW w:w="0" w:type="auto"/>
            <w:vAlign w:val="center"/>
          </w:tcPr>
          <w:p w:rsidR="00635591" w:rsidRDefault="00EB6E7E">
            <w:pPr>
              <w:jc w:val="center"/>
            </w:pPr>
            <w:r>
              <w:rPr>
                <w:color w:val="000000"/>
                <w:kern w:val="0"/>
                <w:sz w:val="24"/>
                <w:szCs w:val="24"/>
              </w:rPr>
              <w:t>1</w:t>
            </w:r>
          </w:p>
        </w:tc>
        <w:tc>
          <w:tcPr>
            <w:tcW w:w="0" w:type="auto"/>
            <w:vAlign w:val="center"/>
          </w:tcPr>
          <w:p w:rsidR="00635591" w:rsidRDefault="00EB6E7E">
            <w:pPr>
              <w:jc w:val="center"/>
            </w:pPr>
            <w:r>
              <w:rPr>
                <w:color w:val="000000"/>
                <w:kern w:val="0"/>
                <w:sz w:val="24"/>
                <w:szCs w:val="24"/>
              </w:rPr>
              <w:t>190304</w:t>
            </w:r>
          </w:p>
        </w:tc>
        <w:tc>
          <w:tcPr>
            <w:tcW w:w="0" w:type="auto"/>
            <w:vAlign w:val="center"/>
          </w:tcPr>
          <w:p w:rsidR="00635591" w:rsidRDefault="00EB6E7E">
            <w:pPr>
              <w:jc w:val="center"/>
            </w:pPr>
            <w:r>
              <w:rPr>
                <w:color w:val="000000"/>
                <w:kern w:val="0"/>
                <w:sz w:val="24"/>
                <w:szCs w:val="24"/>
              </w:rPr>
              <w:t>19</w:t>
            </w:r>
            <w:r>
              <w:rPr>
                <w:color w:val="000000"/>
                <w:kern w:val="0"/>
                <w:sz w:val="24"/>
                <w:szCs w:val="24"/>
              </w:rPr>
              <w:t>进出</w:t>
            </w:r>
            <w:r>
              <w:rPr>
                <w:color w:val="000000"/>
                <w:kern w:val="0"/>
                <w:sz w:val="24"/>
                <w:szCs w:val="24"/>
              </w:rPr>
              <w:t>04</w:t>
            </w:r>
          </w:p>
        </w:tc>
        <w:tc>
          <w:tcPr>
            <w:tcW w:w="0" w:type="auto"/>
            <w:vAlign w:val="center"/>
          </w:tcPr>
          <w:p w:rsidR="00635591" w:rsidRDefault="00EB6E7E">
            <w:pPr>
              <w:jc w:val="right"/>
            </w:pPr>
            <w:r>
              <w:rPr>
                <w:color w:val="000000"/>
                <w:kern w:val="0"/>
                <w:sz w:val="24"/>
                <w:szCs w:val="24"/>
              </w:rPr>
              <w:t>500,000</w:t>
            </w:r>
          </w:p>
        </w:tc>
        <w:tc>
          <w:tcPr>
            <w:tcW w:w="0" w:type="auto"/>
            <w:vAlign w:val="center"/>
          </w:tcPr>
          <w:p w:rsidR="00635591" w:rsidRDefault="00EB6E7E">
            <w:pPr>
              <w:jc w:val="right"/>
            </w:pPr>
            <w:r>
              <w:rPr>
                <w:color w:val="000000"/>
                <w:kern w:val="0"/>
                <w:sz w:val="24"/>
                <w:szCs w:val="24"/>
              </w:rPr>
              <w:t>50,085,000.00</w:t>
            </w:r>
          </w:p>
        </w:tc>
        <w:tc>
          <w:tcPr>
            <w:tcW w:w="0" w:type="auto"/>
            <w:vAlign w:val="center"/>
          </w:tcPr>
          <w:p w:rsidR="00635591" w:rsidRDefault="00EB6E7E">
            <w:pPr>
              <w:jc w:val="right"/>
            </w:pPr>
            <w:r>
              <w:rPr>
                <w:color w:val="000000"/>
                <w:kern w:val="0"/>
                <w:sz w:val="24"/>
                <w:szCs w:val="24"/>
              </w:rPr>
              <w:t>1.52</w:t>
            </w:r>
          </w:p>
        </w:tc>
      </w:tr>
      <w:tr w:rsidR="00635591">
        <w:tc>
          <w:tcPr>
            <w:tcW w:w="0" w:type="auto"/>
            <w:vAlign w:val="center"/>
          </w:tcPr>
          <w:p w:rsidR="00635591" w:rsidRDefault="00EB6E7E">
            <w:pPr>
              <w:jc w:val="center"/>
            </w:pPr>
            <w:r>
              <w:rPr>
                <w:color w:val="000000"/>
                <w:kern w:val="0"/>
                <w:sz w:val="24"/>
                <w:szCs w:val="24"/>
              </w:rPr>
              <w:t>2</w:t>
            </w:r>
          </w:p>
        </w:tc>
        <w:tc>
          <w:tcPr>
            <w:tcW w:w="0" w:type="auto"/>
            <w:vAlign w:val="center"/>
          </w:tcPr>
          <w:p w:rsidR="00635591" w:rsidRDefault="00EB6E7E">
            <w:pPr>
              <w:jc w:val="center"/>
            </w:pPr>
            <w:r>
              <w:rPr>
                <w:color w:val="000000"/>
                <w:kern w:val="0"/>
                <w:sz w:val="24"/>
                <w:szCs w:val="24"/>
              </w:rPr>
              <w:t>190302</w:t>
            </w:r>
          </w:p>
        </w:tc>
        <w:tc>
          <w:tcPr>
            <w:tcW w:w="0" w:type="auto"/>
            <w:vAlign w:val="center"/>
          </w:tcPr>
          <w:p w:rsidR="00635591" w:rsidRDefault="00EB6E7E">
            <w:pPr>
              <w:jc w:val="center"/>
            </w:pPr>
            <w:r>
              <w:rPr>
                <w:color w:val="000000"/>
                <w:kern w:val="0"/>
                <w:sz w:val="24"/>
                <w:szCs w:val="24"/>
              </w:rPr>
              <w:t>19</w:t>
            </w:r>
            <w:r>
              <w:rPr>
                <w:color w:val="000000"/>
                <w:kern w:val="0"/>
                <w:sz w:val="24"/>
                <w:szCs w:val="24"/>
              </w:rPr>
              <w:t>进出</w:t>
            </w:r>
            <w:r>
              <w:rPr>
                <w:color w:val="000000"/>
                <w:kern w:val="0"/>
                <w:sz w:val="24"/>
                <w:szCs w:val="24"/>
              </w:rPr>
              <w:t>02</w:t>
            </w:r>
          </w:p>
        </w:tc>
        <w:tc>
          <w:tcPr>
            <w:tcW w:w="0" w:type="auto"/>
            <w:vAlign w:val="center"/>
          </w:tcPr>
          <w:p w:rsidR="00635591" w:rsidRDefault="00EB6E7E">
            <w:pPr>
              <w:jc w:val="right"/>
            </w:pPr>
            <w:r>
              <w:rPr>
                <w:color w:val="000000"/>
                <w:kern w:val="0"/>
                <w:sz w:val="24"/>
                <w:szCs w:val="24"/>
              </w:rPr>
              <w:t>500,000</w:t>
            </w:r>
          </w:p>
        </w:tc>
        <w:tc>
          <w:tcPr>
            <w:tcW w:w="0" w:type="auto"/>
            <w:vAlign w:val="center"/>
          </w:tcPr>
          <w:p w:rsidR="00635591" w:rsidRDefault="00EB6E7E">
            <w:pPr>
              <w:jc w:val="right"/>
            </w:pPr>
            <w:r>
              <w:rPr>
                <w:color w:val="000000"/>
                <w:kern w:val="0"/>
                <w:sz w:val="24"/>
                <w:szCs w:val="24"/>
              </w:rPr>
              <w:t>50,050,000.00</w:t>
            </w:r>
          </w:p>
        </w:tc>
        <w:tc>
          <w:tcPr>
            <w:tcW w:w="0" w:type="auto"/>
            <w:vAlign w:val="center"/>
          </w:tcPr>
          <w:p w:rsidR="00635591" w:rsidRDefault="00EB6E7E">
            <w:pPr>
              <w:jc w:val="right"/>
            </w:pPr>
            <w:r>
              <w:rPr>
                <w:color w:val="000000"/>
                <w:kern w:val="0"/>
                <w:sz w:val="24"/>
                <w:szCs w:val="24"/>
              </w:rPr>
              <w:t>1.51</w:t>
            </w:r>
          </w:p>
        </w:tc>
      </w:tr>
      <w:tr w:rsidR="00635591">
        <w:tc>
          <w:tcPr>
            <w:tcW w:w="0" w:type="auto"/>
            <w:vAlign w:val="center"/>
          </w:tcPr>
          <w:p w:rsidR="00635591" w:rsidRDefault="00EB6E7E">
            <w:pPr>
              <w:jc w:val="center"/>
            </w:pPr>
            <w:r>
              <w:rPr>
                <w:color w:val="000000"/>
                <w:kern w:val="0"/>
                <w:sz w:val="24"/>
                <w:szCs w:val="24"/>
              </w:rPr>
              <w:t>3</w:t>
            </w:r>
          </w:p>
        </w:tc>
        <w:tc>
          <w:tcPr>
            <w:tcW w:w="0" w:type="auto"/>
            <w:vAlign w:val="center"/>
          </w:tcPr>
          <w:p w:rsidR="00635591" w:rsidRDefault="00EB6E7E">
            <w:pPr>
              <w:jc w:val="center"/>
            </w:pPr>
            <w:r>
              <w:rPr>
                <w:color w:val="000000"/>
                <w:kern w:val="0"/>
                <w:sz w:val="24"/>
                <w:szCs w:val="24"/>
              </w:rPr>
              <w:t>130208</w:t>
            </w:r>
          </w:p>
        </w:tc>
        <w:tc>
          <w:tcPr>
            <w:tcW w:w="0" w:type="auto"/>
            <w:vAlign w:val="center"/>
          </w:tcPr>
          <w:p w:rsidR="00635591" w:rsidRDefault="00EB6E7E">
            <w:pPr>
              <w:jc w:val="center"/>
            </w:pPr>
            <w:r>
              <w:rPr>
                <w:color w:val="000000"/>
                <w:kern w:val="0"/>
                <w:sz w:val="24"/>
                <w:szCs w:val="24"/>
              </w:rPr>
              <w:t>13</w:t>
            </w:r>
            <w:r>
              <w:rPr>
                <w:color w:val="000000"/>
                <w:kern w:val="0"/>
                <w:sz w:val="24"/>
                <w:szCs w:val="24"/>
              </w:rPr>
              <w:t>国开</w:t>
            </w:r>
            <w:r>
              <w:rPr>
                <w:color w:val="000000"/>
                <w:kern w:val="0"/>
                <w:sz w:val="24"/>
                <w:szCs w:val="24"/>
              </w:rPr>
              <w:t>08</w:t>
            </w:r>
          </w:p>
        </w:tc>
        <w:tc>
          <w:tcPr>
            <w:tcW w:w="0" w:type="auto"/>
            <w:vAlign w:val="center"/>
          </w:tcPr>
          <w:p w:rsidR="00635591" w:rsidRDefault="00EB6E7E">
            <w:pPr>
              <w:jc w:val="right"/>
            </w:pPr>
            <w:r>
              <w:rPr>
                <w:color w:val="000000"/>
                <w:kern w:val="0"/>
                <w:sz w:val="24"/>
                <w:szCs w:val="24"/>
              </w:rPr>
              <w:t>200,000</w:t>
            </w:r>
          </w:p>
        </w:tc>
        <w:tc>
          <w:tcPr>
            <w:tcW w:w="0" w:type="auto"/>
            <w:vAlign w:val="center"/>
          </w:tcPr>
          <w:p w:rsidR="00635591" w:rsidRDefault="00EB6E7E">
            <w:pPr>
              <w:jc w:val="right"/>
            </w:pPr>
            <w:r>
              <w:rPr>
                <w:color w:val="000000"/>
                <w:kern w:val="0"/>
                <w:sz w:val="24"/>
                <w:szCs w:val="24"/>
              </w:rPr>
              <w:t>20,010,000.00</w:t>
            </w:r>
          </w:p>
        </w:tc>
        <w:tc>
          <w:tcPr>
            <w:tcW w:w="0" w:type="auto"/>
            <w:vAlign w:val="center"/>
          </w:tcPr>
          <w:p w:rsidR="00635591" w:rsidRDefault="00EB6E7E">
            <w:pPr>
              <w:jc w:val="right"/>
            </w:pPr>
            <w:r>
              <w:rPr>
                <w:color w:val="000000"/>
                <w:kern w:val="0"/>
                <w:sz w:val="24"/>
                <w:szCs w:val="24"/>
              </w:rPr>
              <w:t>0.61</w:t>
            </w:r>
          </w:p>
        </w:tc>
      </w:tr>
      <w:tr w:rsidR="00635591">
        <w:tc>
          <w:tcPr>
            <w:tcW w:w="0" w:type="auto"/>
            <w:vAlign w:val="center"/>
          </w:tcPr>
          <w:p w:rsidR="00635591" w:rsidRDefault="00EB6E7E">
            <w:pPr>
              <w:jc w:val="center"/>
            </w:pPr>
            <w:r>
              <w:rPr>
                <w:color w:val="000000"/>
                <w:kern w:val="0"/>
                <w:sz w:val="24"/>
                <w:szCs w:val="24"/>
              </w:rPr>
              <w:t>4</w:t>
            </w:r>
          </w:p>
        </w:tc>
        <w:tc>
          <w:tcPr>
            <w:tcW w:w="0" w:type="auto"/>
            <w:vAlign w:val="center"/>
          </w:tcPr>
          <w:p w:rsidR="00635591" w:rsidRDefault="00EB6E7E">
            <w:pPr>
              <w:jc w:val="center"/>
            </w:pPr>
            <w:r>
              <w:rPr>
                <w:color w:val="000000"/>
                <w:kern w:val="0"/>
                <w:sz w:val="24"/>
                <w:szCs w:val="24"/>
              </w:rPr>
              <w:t>128083</w:t>
            </w:r>
          </w:p>
        </w:tc>
        <w:tc>
          <w:tcPr>
            <w:tcW w:w="0" w:type="auto"/>
            <w:vAlign w:val="center"/>
          </w:tcPr>
          <w:p w:rsidR="00635591" w:rsidRDefault="00EB6E7E">
            <w:pPr>
              <w:jc w:val="center"/>
            </w:pPr>
            <w:r>
              <w:rPr>
                <w:color w:val="000000"/>
                <w:kern w:val="0"/>
                <w:sz w:val="24"/>
                <w:szCs w:val="24"/>
              </w:rPr>
              <w:t>新北转债</w:t>
            </w:r>
          </w:p>
        </w:tc>
        <w:tc>
          <w:tcPr>
            <w:tcW w:w="0" w:type="auto"/>
            <w:vAlign w:val="center"/>
          </w:tcPr>
          <w:p w:rsidR="00635591" w:rsidRDefault="00EB6E7E">
            <w:pPr>
              <w:jc w:val="right"/>
            </w:pPr>
            <w:r>
              <w:rPr>
                <w:color w:val="000000"/>
                <w:kern w:val="0"/>
                <w:sz w:val="24"/>
                <w:szCs w:val="24"/>
              </w:rPr>
              <w:t>118,249</w:t>
            </w:r>
          </w:p>
        </w:tc>
        <w:tc>
          <w:tcPr>
            <w:tcW w:w="0" w:type="auto"/>
            <w:vAlign w:val="center"/>
          </w:tcPr>
          <w:p w:rsidR="00635591" w:rsidRDefault="00EB6E7E">
            <w:pPr>
              <w:jc w:val="right"/>
            </w:pPr>
            <w:r>
              <w:rPr>
                <w:color w:val="000000"/>
                <w:kern w:val="0"/>
                <w:sz w:val="24"/>
                <w:szCs w:val="24"/>
              </w:rPr>
              <w:t>14,091,733.33</w:t>
            </w:r>
          </w:p>
        </w:tc>
        <w:tc>
          <w:tcPr>
            <w:tcW w:w="0" w:type="auto"/>
            <w:vAlign w:val="center"/>
          </w:tcPr>
          <w:p w:rsidR="00635591" w:rsidRDefault="00EB6E7E">
            <w:pPr>
              <w:jc w:val="right"/>
            </w:pPr>
            <w:r>
              <w:rPr>
                <w:color w:val="000000"/>
                <w:kern w:val="0"/>
                <w:sz w:val="24"/>
                <w:szCs w:val="24"/>
              </w:rPr>
              <w:t>0.43</w:t>
            </w:r>
          </w:p>
        </w:tc>
      </w:tr>
      <w:tr w:rsidR="00635591">
        <w:tc>
          <w:tcPr>
            <w:tcW w:w="0" w:type="auto"/>
            <w:vAlign w:val="center"/>
          </w:tcPr>
          <w:p w:rsidR="00635591" w:rsidRDefault="00EB6E7E">
            <w:pPr>
              <w:jc w:val="center"/>
            </w:pPr>
            <w:r>
              <w:rPr>
                <w:color w:val="000000"/>
                <w:kern w:val="0"/>
                <w:sz w:val="24"/>
                <w:szCs w:val="24"/>
              </w:rPr>
              <w:t>5</w:t>
            </w:r>
          </w:p>
        </w:tc>
        <w:tc>
          <w:tcPr>
            <w:tcW w:w="0" w:type="auto"/>
            <w:vAlign w:val="center"/>
          </w:tcPr>
          <w:p w:rsidR="00635591" w:rsidRDefault="00EB6E7E">
            <w:pPr>
              <w:jc w:val="center"/>
            </w:pPr>
            <w:r>
              <w:rPr>
                <w:color w:val="000000"/>
                <w:kern w:val="0"/>
                <w:sz w:val="24"/>
                <w:szCs w:val="24"/>
              </w:rPr>
              <w:t>190402</w:t>
            </w:r>
          </w:p>
        </w:tc>
        <w:tc>
          <w:tcPr>
            <w:tcW w:w="0" w:type="auto"/>
            <w:vAlign w:val="center"/>
          </w:tcPr>
          <w:p w:rsidR="00635591" w:rsidRDefault="00EB6E7E">
            <w:pPr>
              <w:jc w:val="center"/>
            </w:pPr>
            <w:r>
              <w:rPr>
                <w:color w:val="000000"/>
                <w:kern w:val="0"/>
                <w:sz w:val="24"/>
                <w:szCs w:val="24"/>
              </w:rPr>
              <w:t>19</w:t>
            </w:r>
            <w:r>
              <w:rPr>
                <w:color w:val="000000"/>
                <w:kern w:val="0"/>
                <w:sz w:val="24"/>
                <w:szCs w:val="24"/>
              </w:rPr>
              <w:t>农发</w:t>
            </w:r>
            <w:r>
              <w:rPr>
                <w:color w:val="000000"/>
                <w:kern w:val="0"/>
                <w:sz w:val="24"/>
                <w:szCs w:val="24"/>
              </w:rPr>
              <w:t>02</w:t>
            </w:r>
          </w:p>
        </w:tc>
        <w:tc>
          <w:tcPr>
            <w:tcW w:w="0" w:type="auto"/>
            <w:vAlign w:val="center"/>
          </w:tcPr>
          <w:p w:rsidR="00635591" w:rsidRDefault="00EB6E7E">
            <w:pPr>
              <w:jc w:val="right"/>
            </w:pPr>
            <w:r>
              <w:rPr>
                <w:color w:val="000000"/>
                <w:kern w:val="0"/>
                <w:sz w:val="24"/>
                <w:szCs w:val="24"/>
              </w:rPr>
              <w:t>100,000</w:t>
            </w:r>
          </w:p>
        </w:tc>
        <w:tc>
          <w:tcPr>
            <w:tcW w:w="0" w:type="auto"/>
            <w:vAlign w:val="center"/>
          </w:tcPr>
          <w:p w:rsidR="00635591" w:rsidRDefault="00EB6E7E">
            <w:pPr>
              <w:jc w:val="right"/>
            </w:pPr>
            <w:r>
              <w:rPr>
                <w:color w:val="000000"/>
                <w:kern w:val="0"/>
                <w:sz w:val="24"/>
                <w:szCs w:val="24"/>
              </w:rPr>
              <w:t>10,007,000.00</w:t>
            </w:r>
          </w:p>
        </w:tc>
        <w:tc>
          <w:tcPr>
            <w:tcW w:w="0" w:type="auto"/>
            <w:vAlign w:val="center"/>
          </w:tcPr>
          <w:p w:rsidR="00635591" w:rsidRDefault="00EB6E7E">
            <w:pPr>
              <w:jc w:val="right"/>
            </w:pPr>
            <w:r>
              <w:rPr>
                <w:color w:val="000000"/>
                <w:kern w:val="0"/>
                <w:sz w:val="24"/>
                <w:szCs w:val="24"/>
              </w:rPr>
              <w:t>0.30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拉卡拉（代码：300773）为易方达科翔混合型证券投资基金的前十大重仓证券之一。2019年1月16日，中国人民银行南京分行针对拉卡拉支付股份有限公司江苏分公司存在的违反《非金融机构支付服务管理办法》相关规定的违规行为，处以公开处罚，并罚款4万元。</w:t>
      </w:r>
    </w:p>
    <w:p w:rsidR="00635591" w:rsidRDefault="00EB6E7E">
      <w:pPr>
        <w:spacing w:line="360" w:lineRule="auto"/>
        <w:rPr>
          <w:rFonts w:ascii="宋体" w:hAnsi="宋体"/>
          <w:color w:val="000000"/>
          <w:sz w:val="24"/>
          <w:szCs w:val="24"/>
        </w:rPr>
      </w:pPr>
      <w:r>
        <w:rPr>
          <w:rFonts w:ascii="宋体" w:hAnsi="宋体"/>
          <w:color w:val="000000"/>
          <w:sz w:val="24"/>
          <w:szCs w:val="24"/>
        </w:rPr>
        <w:t>兴业银行（代码：</w:t>
      </w:r>
      <w:r>
        <w:rPr>
          <w:rFonts w:ascii="宋体" w:hAnsi="宋体"/>
          <w:color w:val="000000"/>
          <w:sz w:val="24"/>
          <w:szCs w:val="24"/>
        </w:rPr>
        <w:t>601166</w:t>
      </w:r>
      <w:r>
        <w:rPr>
          <w:rFonts w:ascii="宋体" w:hAnsi="宋体"/>
          <w:color w:val="000000"/>
          <w:sz w:val="24"/>
          <w:szCs w:val="24"/>
        </w:rPr>
        <w:t>）为易方达科翔混合型证券投资基金的前十大重仓证券之一。</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7</w:t>
      </w:r>
      <w:r>
        <w:rPr>
          <w:rFonts w:ascii="宋体" w:hAnsi="宋体"/>
          <w:color w:val="000000"/>
          <w:sz w:val="24"/>
          <w:szCs w:val="24"/>
        </w:rPr>
        <w:t>月</w:t>
      </w:r>
      <w:r>
        <w:rPr>
          <w:rFonts w:ascii="宋体" w:hAnsi="宋体"/>
          <w:color w:val="000000"/>
          <w:sz w:val="24"/>
          <w:szCs w:val="24"/>
        </w:rPr>
        <w:t>8</w:t>
      </w:r>
      <w:r>
        <w:rPr>
          <w:rFonts w:ascii="宋体" w:hAnsi="宋体"/>
          <w:color w:val="000000"/>
          <w:sz w:val="24"/>
          <w:szCs w:val="24"/>
        </w:rPr>
        <w:t>日，中国银行保险监督管理委员会上海监管局针对兴业银行股份有限公司信用卡中心的如下违法违规行为作出责令改正、并处罚款</w:t>
      </w:r>
      <w:r>
        <w:rPr>
          <w:rFonts w:ascii="宋体" w:hAnsi="宋体"/>
          <w:color w:val="000000"/>
          <w:sz w:val="24"/>
          <w:szCs w:val="24"/>
        </w:rPr>
        <w:t>40</w:t>
      </w:r>
      <w:r>
        <w:rPr>
          <w:rFonts w:ascii="宋体" w:hAnsi="宋体"/>
          <w:color w:val="000000"/>
          <w:sz w:val="24"/>
          <w:szCs w:val="24"/>
        </w:rPr>
        <w:t>万元的行政处罚决定：</w:t>
      </w:r>
      <w:r>
        <w:rPr>
          <w:rFonts w:ascii="宋体" w:hAnsi="宋体"/>
          <w:color w:val="000000"/>
          <w:sz w:val="24"/>
          <w:szCs w:val="24"/>
        </w:rPr>
        <w:t>1</w:t>
      </w:r>
      <w:r>
        <w:rPr>
          <w:rFonts w:ascii="宋体" w:hAnsi="宋体"/>
          <w:color w:val="000000"/>
          <w:sz w:val="24"/>
          <w:szCs w:val="24"/>
        </w:rPr>
        <w:t>、</w:t>
      </w:r>
      <w:r>
        <w:rPr>
          <w:rFonts w:ascii="宋体" w:hAnsi="宋体"/>
          <w:color w:val="000000"/>
          <w:sz w:val="24"/>
          <w:szCs w:val="24"/>
        </w:rPr>
        <w:t>2016</w:t>
      </w:r>
      <w:r>
        <w:rPr>
          <w:rFonts w:ascii="宋体" w:hAnsi="宋体"/>
          <w:color w:val="000000"/>
          <w:sz w:val="24"/>
          <w:szCs w:val="24"/>
        </w:rPr>
        <w:t>年</w:t>
      </w:r>
      <w:r>
        <w:rPr>
          <w:rFonts w:ascii="宋体" w:hAnsi="宋体"/>
          <w:color w:val="000000"/>
          <w:sz w:val="24"/>
          <w:szCs w:val="24"/>
        </w:rPr>
        <w:t>1</w:t>
      </w:r>
      <w:r>
        <w:rPr>
          <w:rFonts w:ascii="宋体" w:hAnsi="宋体"/>
          <w:color w:val="000000"/>
          <w:sz w:val="24"/>
          <w:szCs w:val="24"/>
        </w:rPr>
        <w:t>月至</w:t>
      </w:r>
      <w:r>
        <w:rPr>
          <w:rFonts w:ascii="宋体" w:hAnsi="宋体"/>
          <w:color w:val="000000"/>
          <w:sz w:val="24"/>
          <w:szCs w:val="24"/>
        </w:rPr>
        <w:t>2018</w:t>
      </w:r>
      <w:r>
        <w:rPr>
          <w:rFonts w:ascii="宋体" w:hAnsi="宋体"/>
          <w:color w:val="000000"/>
          <w:sz w:val="24"/>
          <w:szCs w:val="24"/>
        </w:rPr>
        <w:t>年</w:t>
      </w:r>
      <w:r>
        <w:rPr>
          <w:rFonts w:ascii="宋体" w:hAnsi="宋体"/>
          <w:color w:val="000000"/>
          <w:sz w:val="24"/>
          <w:szCs w:val="24"/>
        </w:rPr>
        <w:t>1</w:t>
      </w:r>
      <w:r>
        <w:rPr>
          <w:rFonts w:ascii="宋体" w:hAnsi="宋体"/>
          <w:color w:val="000000"/>
          <w:sz w:val="24"/>
          <w:szCs w:val="24"/>
        </w:rPr>
        <w:t>月在为部分客户办理信用卡业务时未遵守总授信额度管理制度；</w:t>
      </w:r>
      <w:r>
        <w:rPr>
          <w:rFonts w:ascii="宋体" w:hAnsi="宋体"/>
          <w:color w:val="000000"/>
          <w:sz w:val="24"/>
          <w:szCs w:val="24"/>
        </w:rPr>
        <w:t>2</w:t>
      </w:r>
      <w:r>
        <w:rPr>
          <w:rFonts w:ascii="宋体" w:hAnsi="宋体"/>
          <w:color w:val="000000"/>
          <w:sz w:val="24"/>
          <w:szCs w:val="24"/>
        </w:rPr>
        <w:t>、</w:t>
      </w:r>
      <w:r>
        <w:rPr>
          <w:rFonts w:ascii="宋体" w:hAnsi="宋体"/>
          <w:color w:val="000000"/>
          <w:sz w:val="24"/>
          <w:szCs w:val="24"/>
        </w:rPr>
        <w:t>2016</w:t>
      </w:r>
      <w:r>
        <w:rPr>
          <w:rFonts w:ascii="宋体" w:hAnsi="宋体"/>
          <w:color w:val="000000"/>
          <w:sz w:val="24"/>
          <w:szCs w:val="24"/>
        </w:rPr>
        <w:t>年至</w:t>
      </w:r>
      <w:r>
        <w:rPr>
          <w:rFonts w:ascii="宋体" w:hAnsi="宋体"/>
          <w:color w:val="000000"/>
          <w:sz w:val="24"/>
          <w:szCs w:val="24"/>
        </w:rPr>
        <w:t>2018</w:t>
      </w:r>
      <w:r>
        <w:rPr>
          <w:rFonts w:ascii="宋体" w:hAnsi="宋体"/>
          <w:color w:val="000000"/>
          <w:sz w:val="24"/>
          <w:szCs w:val="24"/>
        </w:rPr>
        <w:t>年</w:t>
      </w:r>
      <w:r>
        <w:rPr>
          <w:rFonts w:ascii="宋体" w:hAnsi="宋体"/>
          <w:color w:val="000000"/>
          <w:sz w:val="24"/>
          <w:szCs w:val="24"/>
        </w:rPr>
        <w:t>8</w:t>
      </w:r>
      <w:r>
        <w:rPr>
          <w:rFonts w:ascii="宋体" w:hAnsi="宋体"/>
          <w:color w:val="000000"/>
          <w:sz w:val="24"/>
          <w:szCs w:val="24"/>
        </w:rPr>
        <w:t>月对部分信用卡申请人资信水平调查严重不尽职的违法违规行为。</w:t>
      </w:r>
    </w:p>
    <w:p w:rsidR="00635591" w:rsidRDefault="00EB6E7E">
      <w:pPr>
        <w:spacing w:line="360" w:lineRule="auto"/>
        <w:rPr>
          <w:rFonts w:ascii="宋体" w:hAnsi="宋体"/>
          <w:color w:val="000000"/>
          <w:sz w:val="24"/>
          <w:szCs w:val="24"/>
        </w:rPr>
      </w:pPr>
      <w:r>
        <w:rPr>
          <w:rFonts w:ascii="宋体" w:hAnsi="宋体"/>
          <w:color w:val="000000"/>
          <w:sz w:val="24"/>
          <w:szCs w:val="24"/>
        </w:rPr>
        <w:t>万科</w:t>
      </w:r>
      <w:r>
        <w:rPr>
          <w:rFonts w:ascii="宋体" w:hAnsi="宋体"/>
          <w:color w:val="000000"/>
          <w:sz w:val="24"/>
          <w:szCs w:val="24"/>
        </w:rPr>
        <w:t>A</w:t>
      </w:r>
      <w:r>
        <w:rPr>
          <w:rFonts w:ascii="宋体" w:hAnsi="宋体"/>
          <w:color w:val="000000"/>
          <w:sz w:val="24"/>
          <w:szCs w:val="24"/>
        </w:rPr>
        <w:t>（代码：</w:t>
      </w:r>
      <w:r>
        <w:rPr>
          <w:rFonts w:ascii="宋体" w:hAnsi="宋体"/>
          <w:color w:val="000000"/>
          <w:sz w:val="24"/>
          <w:szCs w:val="24"/>
        </w:rPr>
        <w:t>000002</w:t>
      </w:r>
      <w:r>
        <w:rPr>
          <w:rFonts w:ascii="宋体" w:hAnsi="宋体"/>
          <w:color w:val="000000"/>
          <w:sz w:val="24"/>
          <w:szCs w:val="24"/>
        </w:rPr>
        <w:t>）为易方达科翔混合型证券投资基金的前十大重仓证券之一。</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26</w:t>
      </w:r>
      <w:r>
        <w:rPr>
          <w:rFonts w:ascii="宋体" w:hAnsi="宋体"/>
          <w:color w:val="000000"/>
          <w:sz w:val="24"/>
          <w:szCs w:val="24"/>
        </w:rPr>
        <w:t>日</w:t>
      </w:r>
      <w:r>
        <w:rPr>
          <w:rFonts w:ascii="宋体" w:hAnsi="宋体"/>
          <w:color w:val="000000"/>
          <w:sz w:val="24"/>
          <w:szCs w:val="24"/>
        </w:rPr>
        <w:t>，国家外汇管理局深圳市分局对万科企业股份有限公司违反外汇登记管理规定的行为，作出警告并罚款</w:t>
      </w:r>
      <w:r>
        <w:rPr>
          <w:rFonts w:ascii="宋体" w:hAnsi="宋体"/>
          <w:color w:val="000000"/>
          <w:sz w:val="24"/>
          <w:szCs w:val="24"/>
        </w:rPr>
        <w:t>5</w:t>
      </w:r>
      <w:r>
        <w:rPr>
          <w:rFonts w:ascii="宋体" w:hAnsi="宋体"/>
          <w:color w:val="000000"/>
          <w:sz w:val="24"/>
          <w:szCs w:val="24"/>
        </w:rPr>
        <w:t>万元的处罚决定。</w:t>
      </w:r>
    </w:p>
    <w:p w:rsidR="00635591" w:rsidRDefault="00EB6E7E">
      <w:pPr>
        <w:spacing w:line="360" w:lineRule="auto"/>
        <w:rPr>
          <w:rFonts w:ascii="宋体" w:hAnsi="宋体"/>
          <w:color w:val="000000"/>
          <w:sz w:val="24"/>
          <w:szCs w:val="24"/>
        </w:rPr>
      </w:pPr>
      <w:r>
        <w:rPr>
          <w:rFonts w:ascii="宋体" w:hAnsi="宋体"/>
          <w:color w:val="000000"/>
          <w:sz w:val="24"/>
          <w:szCs w:val="24"/>
        </w:rPr>
        <w:t>本基金投资拉卡拉、兴业银行、万科</w:t>
      </w:r>
      <w:r>
        <w:rPr>
          <w:rFonts w:ascii="宋体" w:hAnsi="宋体"/>
          <w:color w:val="000000"/>
          <w:sz w:val="24"/>
          <w:szCs w:val="24"/>
        </w:rPr>
        <w:t>A</w:t>
      </w:r>
      <w:r>
        <w:rPr>
          <w:rFonts w:ascii="宋体" w:hAnsi="宋体"/>
          <w:color w:val="000000"/>
          <w:sz w:val="24"/>
          <w:szCs w:val="24"/>
        </w:rPr>
        <w:t>的投资决策程序符合公司投资制度的规定。</w:t>
      </w:r>
    </w:p>
    <w:p w:rsidR="00635591" w:rsidRDefault="00EB6E7E">
      <w:pPr>
        <w:spacing w:line="360" w:lineRule="auto"/>
        <w:rPr>
          <w:rFonts w:ascii="宋体" w:hAnsi="宋体"/>
          <w:color w:val="000000"/>
          <w:sz w:val="24"/>
          <w:szCs w:val="24"/>
        </w:rPr>
      </w:pPr>
      <w:r>
        <w:rPr>
          <w:rFonts w:ascii="宋体" w:hAnsi="宋体"/>
          <w:color w:val="000000"/>
          <w:sz w:val="24"/>
          <w:szCs w:val="24"/>
        </w:rPr>
        <w:t>除拉卡拉、兴业银行、万科</w:t>
      </w:r>
      <w:r>
        <w:rPr>
          <w:rFonts w:ascii="宋体" w:hAnsi="宋体"/>
          <w:color w:val="000000"/>
          <w:sz w:val="24"/>
          <w:szCs w:val="24"/>
        </w:rPr>
        <w:t>A</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626,729.48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23,494,873.03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2,381,705.88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5,253,346.91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31,756,655.30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635591">
        <w:tc>
          <w:tcPr>
            <w:tcW w:w="0" w:type="auto"/>
            <w:vAlign w:val="center"/>
          </w:tcPr>
          <w:p w:rsidR="00635591" w:rsidRDefault="00EB6E7E">
            <w:pPr>
              <w:jc w:val="center"/>
            </w:pPr>
            <w:r>
              <w:rPr>
                <w:color w:val="000000"/>
                <w:kern w:val="0"/>
                <w:sz w:val="24"/>
                <w:szCs w:val="24"/>
              </w:rPr>
              <w:t>1</w:t>
            </w:r>
          </w:p>
        </w:tc>
        <w:tc>
          <w:tcPr>
            <w:tcW w:w="0" w:type="auto"/>
            <w:vAlign w:val="center"/>
          </w:tcPr>
          <w:p w:rsidR="00635591" w:rsidRDefault="00EB6E7E">
            <w:pPr>
              <w:jc w:val="center"/>
            </w:pPr>
            <w:r>
              <w:rPr>
                <w:color w:val="000000"/>
                <w:kern w:val="0"/>
                <w:sz w:val="24"/>
                <w:szCs w:val="24"/>
              </w:rPr>
              <w:t>128061</w:t>
            </w:r>
          </w:p>
        </w:tc>
        <w:tc>
          <w:tcPr>
            <w:tcW w:w="0" w:type="auto"/>
            <w:vAlign w:val="center"/>
          </w:tcPr>
          <w:p w:rsidR="00635591" w:rsidRDefault="00EB6E7E">
            <w:pPr>
              <w:jc w:val="center"/>
            </w:pPr>
            <w:r>
              <w:rPr>
                <w:color w:val="000000"/>
                <w:kern w:val="0"/>
                <w:sz w:val="24"/>
                <w:szCs w:val="24"/>
              </w:rPr>
              <w:t>启明转债</w:t>
            </w:r>
          </w:p>
        </w:tc>
        <w:tc>
          <w:tcPr>
            <w:tcW w:w="0" w:type="auto"/>
            <w:vAlign w:val="center"/>
          </w:tcPr>
          <w:p w:rsidR="00635591" w:rsidRDefault="00EB6E7E">
            <w:pPr>
              <w:jc w:val="right"/>
            </w:pPr>
            <w:r>
              <w:rPr>
                <w:color w:val="000000"/>
                <w:kern w:val="0"/>
                <w:sz w:val="24"/>
                <w:szCs w:val="24"/>
              </w:rPr>
              <w:t>626,031.00</w:t>
            </w:r>
          </w:p>
        </w:tc>
        <w:tc>
          <w:tcPr>
            <w:tcW w:w="0" w:type="auto"/>
            <w:vAlign w:val="center"/>
          </w:tcPr>
          <w:p w:rsidR="00635591" w:rsidRDefault="00EB6E7E">
            <w:pPr>
              <w:jc w:val="right"/>
            </w:pPr>
            <w:r>
              <w:rPr>
                <w:color w:val="000000"/>
                <w:kern w:val="0"/>
                <w:sz w:val="24"/>
                <w:szCs w:val="24"/>
              </w:rPr>
              <w:t>0.02</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635591">
        <w:tc>
          <w:tcPr>
            <w:tcW w:w="0" w:type="auto"/>
            <w:vAlign w:val="center"/>
          </w:tcPr>
          <w:p w:rsidR="00635591" w:rsidRDefault="00EB6E7E">
            <w:pPr>
              <w:jc w:val="center"/>
            </w:pPr>
            <w:r>
              <w:rPr>
                <w:color w:val="000000"/>
                <w:kern w:val="0"/>
                <w:sz w:val="24"/>
                <w:szCs w:val="24"/>
              </w:rPr>
              <w:t>1</w:t>
            </w:r>
          </w:p>
        </w:tc>
        <w:tc>
          <w:tcPr>
            <w:tcW w:w="0" w:type="auto"/>
            <w:vAlign w:val="center"/>
          </w:tcPr>
          <w:p w:rsidR="00635591" w:rsidRDefault="00EB6E7E">
            <w:pPr>
              <w:jc w:val="center"/>
            </w:pPr>
            <w:r>
              <w:rPr>
                <w:color w:val="000000"/>
                <w:kern w:val="0"/>
                <w:sz w:val="24"/>
                <w:szCs w:val="24"/>
              </w:rPr>
              <w:t>002384</w:t>
            </w:r>
          </w:p>
        </w:tc>
        <w:tc>
          <w:tcPr>
            <w:tcW w:w="0" w:type="auto"/>
            <w:vAlign w:val="center"/>
          </w:tcPr>
          <w:p w:rsidR="00635591" w:rsidRDefault="00EB6E7E">
            <w:pPr>
              <w:jc w:val="center"/>
            </w:pPr>
            <w:r>
              <w:rPr>
                <w:color w:val="000000"/>
                <w:kern w:val="0"/>
                <w:sz w:val="24"/>
                <w:szCs w:val="24"/>
              </w:rPr>
              <w:t>东山精密</w:t>
            </w:r>
          </w:p>
        </w:tc>
        <w:tc>
          <w:tcPr>
            <w:tcW w:w="0" w:type="auto"/>
            <w:vAlign w:val="center"/>
          </w:tcPr>
          <w:p w:rsidR="00635591" w:rsidRDefault="00EB6E7E">
            <w:pPr>
              <w:jc w:val="right"/>
            </w:pPr>
            <w:r>
              <w:rPr>
                <w:color w:val="000000"/>
                <w:kern w:val="0"/>
                <w:sz w:val="24"/>
                <w:szCs w:val="24"/>
              </w:rPr>
              <w:t>17,704,000.00</w:t>
            </w:r>
          </w:p>
        </w:tc>
        <w:tc>
          <w:tcPr>
            <w:tcW w:w="0" w:type="auto"/>
            <w:vAlign w:val="center"/>
          </w:tcPr>
          <w:p w:rsidR="00635591" w:rsidRDefault="00EB6E7E">
            <w:pPr>
              <w:jc w:val="right"/>
            </w:pPr>
            <w:r>
              <w:rPr>
                <w:color w:val="000000"/>
                <w:kern w:val="0"/>
                <w:sz w:val="24"/>
                <w:szCs w:val="24"/>
              </w:rPr>
              <w:t>0.54</w:t>
            </w:r>
          </w:p>
        </w:tc>
        <w:tc>
          <w:tcPr>
            <w:tcW w:w="0" w:type="auto"/>
            <w:vAlign w:val="center"/>
          </w:tcPr>
          <w:p w:rsidR="00635591" w:rsidRDefault="00EB6E7E">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1,153,023,093.48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177,058,521.45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291,106,465.24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1,038,975,149.69</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AC11B0" w:rsidRPr="005A564A" w:rsidRDefault="00AC11B0" w:rsidP="00AC11B0">
      <w:pPr>
        <w:autoSpaceDE w:val="0"/>
        <w:autoSpaceDN w:val="0"/>
        <w:adjustRightInd w:val="0"/>
        <w:spacing w:before="29" w:line="360" w:lineRule="auto"/>
        <w:ind w:left="15"/>
        <w:jc w:val="right"/>
        <w:rPr>
          <w:sz w:val="24"/>
        </w:rPr>
      </w:pPr>
      <w:r w:rsidRPr="005A564A">
        <w:rPr>
          <w:sz w:val="24"/>
        </w:rPr>
        <w:t>单位：份</w:t>
      </w:r>
    </w:p>
    <w:tbl>
      <w:tblPr>
        <w:tblW w:w="8415" w:type="dxa"/>
        <w:tblInd w:w="108" w:type="dxa"/>
        <w:tblLayout w:type="fixed"/>
        <w:tblLook w:val="04A0" w:firstRow="1" w:lastRow="0" w:firstColumn="1" w:lastColumn="0" w:noHBand="0" w:noVBand="1"/>
      </w:tblPr>
      <w:tblGrid>
        <w:gridCol w:w="5037"/>
        <w:gridCol w:w="3378"/>
      </w:tblGrid>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pStyle w:val="ad"/>
              <w:adjustRightInd w:val="0"/>
              <w:snapToGrid w:val="0"/>
              <w:spacing w:line="360" w:lineRule="exact"/>
              <w:rPr>
                <w:rFonts w:eastAsiaTheme="minorEastAsia"/>
                <w:color w:val="000000" w:themeColor="text1"/>
              </w:rPr>
            </w:pPr>
            <w:r w:rsidRPr="003B42FF">
              <w:rPr>
                <w:rFonts w:eastAsiaTheme="minorEastAsia"/>
                <w:color w:val="000000" w:themeColor="text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57,976,567.48</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买入</w:t>
            </w:r>
            <w:r w:rsidRPr="003B42FF">
              <w:rPr>
                <w:rFonts w:eastAsiaTheme="minorEastAsia"/>
                <w:color w:val="000000" w:themeColor="text1"/>
                <w:sz w:val="24"/>
                <w:szCs w:val="24"/>
              </w:rPr>
              <w:t>/</w:t>
            </w:r>
            <w:r w:rsidRPr="003B42FF">
              <w:rPr>
                <w:rFonts w:eastAsiaTheme="minorEastAsia"/>
                <w:color w:val="000000" w:themeColor="text1"/>
                <w:sz w:val="24"/>
                <w:szCs w:val="24"/>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卖出</w:t>
            </w:r>
            <w:r w:rsidRPr="003B42FF">
              <w:rPr>
                <w:rFonts w:eastAsiaTheme="minorEastAsia"/>
                <w:color w:val="000000" w:themeColor="text1"/>
                <w:sz w:val="24"/>
                <w:szCs w:val="24"/>
              </w:rPr>
              <w:t>/</w:t>
            </w:r>
            <w:r w:rsidRPr="003B42FF">
              <w:rPr>
                <w:rFonts w:eastAsiaTheme="minorEastAsia"/>
                <w:color w:val="000000" w:themeColor="text1"/>
                <w:sz w:val="24"/>
                <w:szCs w:val="24"/>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57,976,567.48</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报告期期末持有的本基金份额占基金总份额比例（</w:t>
            </w:r>
            <w:r w:rsidRPr="003B42FF">
              <w:rPr>
                <w:rFonts w:eastAsiaTheme="minorEastAsia"/>
                <w:color w:val="000000" w:themeColor="text1"/>
                <w:sz w:val="24"/>
                <w:szCs w:val="24"/>
              </w:rPr>
              <w:t>%</w:t>
            </w:r>
            <w:r w:rsidRPr="003B42FF">
              <w:rPr>
                <w:rFonts w:eastAsiaTheme="minorEastAsia"/>
                <w:color w:val="000000" w:themeColor="text1"/>
                <w:sz w:val="24"/>
                <w:szCs w:val="24"/>
              </w:rPr>
              <w:t>）</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bl>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1560"/>
        <w:gridCol w:w="1417"/>
        <w:gridCol w:w="1987"/>
        <w:gridCol w:w="1982"/>
        <w:gridCol w:w="1255"/>
      </w:tblGrid>
      <w:tr w:rsidR="00750D48" w:rsidTr="005602F3">
        <w:trPr>
          <w:trHeight w:val="340"/>
          <w:jc w:val="center"/>
        </w:trPr>
        <w:tc>
          <w:tcPr>
            <w:tcW w:w="1024" w:type="dxa"/>
            <w:vAlign w:val="center"/>
          </w:tcPr>
          <w:p w:rsidR="00750D48" w:rsidRPr="00B227EA" w:rsidRDefault="00750D48">
            <w:pPr>
              <w:pStyle w:val="ad"/>
              <w:adjustRightInd w:val="0"/>
              <w:snapToGrid w:val="0"/>
              <w:spacing w:line="360" w:lineRule="exact"/>
              <w:jc w:val="center"/>
              <w:rPr>
                <w:color w:val="000000"/>
              </w:rPr>
            </w:pPr>
            <w:r w:rsidRPr="00B227EA">
              <w:rPr>
                <w:color w:val="000000"/>
              </w:rPr>
              <w:t>序号</w:t>
            </w:r>
          </w:p>
        </w:tc>
        <w:tc>
          <w:tcPr>
            <w:tcW w:w="1560"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交易方式</w:t>
            </w:r>
          </w:p>
        </w:tc>
        <w:tc>
          <w:tcPr>
            <w:tcW w:w="1417" w:type="dxa"/>
          </w:tcPr>
          <w:p w:rsidR="00750D48" w:rsidRPr="00B227EA" w:rsidRDefault="00750D48">
            <w:pPr>
              <w:adjustRightInd w:val="0"/>
              <w:snapToGrid w:val="0"/>
              <w:spacing w:line="360" w:lineRule="exact"/>
              <w:rPr>
                <w:color w:val="000000"/>
                <w:kern w:val="0"/>
                <w:sz w:val="24"/>
                <w:szCs w:val="24"/>
              </w:rPr>
            </w:pPr>
            <w:r w:rsidRPr="00B227EA">
              <w:rPr>
                <w:color w:val="000000"/>
                <w:kern w:val="0"/>
                <w:sz w:val="24"/>
              </w:rPr>
              <w:t>交易日期</w:t>
            </w:r>
          </w:p>
        </w:tc>
        <w:tc>
          <w:tcPr>
            <w:tcW w:w="1987"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交易份额（份）</w:t>
            </w:r>
          </w:p>
        </w:tc>
        <w:tc>
          <w:tcPr>
            <w:tcW w:w="1982"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交易金额（元）</w:t>
            </w:r>
          </w:p>
        </w:tc>
        <w:tc>
          <w:tcPr>
            <w:tcW w:w="1255" w:type="dxa"/>
            <w:vAlign w:val="center"/>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适用费率</w:t>
            </w:r>
          </w:p>
        </w:tc>
      </w:tr>
      <w:tr w:rsidR="00635591">
        <w:trPr>
          <w:jc w:val="center"/>
        </w:trPr>
        <w:tc>
          <w:tcPr>
            <w:tcW w:w="0" w:type="auto"/>
            <w:vAlign w:val="center"/>
          </w:tcPr>
          <w:p w:rsidR="00635591" w:rsidRDefault="00EB6E7E">
            <w:pPr>
              <w:jc w:val="center"/>
            </w:pPr>
            <w:r>
              <w:rPr>
                <w:color w:val="000000"/>
                <w:sz w:val="24"/>
              </w:rPr>
              <w:t>1</w:t>
            </w:r>
          </w:p>
        </w:tc>
        <w:tc>
          <w:tcPr>
            <w:tcW w:w="0" w:type="auto"/>
            <w:vAlign w:val="center"/>
          </w:tcPr>
          <w:p w:rsidR="00635591" w:rsidRDefault="00EB6E7E">
            <w:pPr>
              <w:jc w:val="center"/>
            </w:pPr>
            <w:r>
              <w:rPr>
                <w:color w:val="000000"/>
                <w:sz w:val="24"/>
              </w:rPr>
              <w:t>赎回</w:t>
            </w:r>
          </w:p>
        </w:tc>
        <w:tc>
          <w:tcPr>
            <w:tcW w:w="0" w:type="auto"/>
            <w:vAlign w:val="center"/>
          </w:tcPr>
          <w:p w:rsidR="00635591" w:rsidRDefault="00EB6E7E">
            <w:pPr>
              <w:jc w:val="center"/>
            </w:pPr>
            <w:r>
              <w:rPr>
                <w:color w:val="000000"/>
                <w:sz w:val="24"/>
              </w:rPr>
              <w:t>2019-11-07</w:t>
            </w:r>
          </w:p>
        </w:tc>
        <w:tc>
          <w:tcPr>
            <w:tcW w:w="0" w:type="auto"/>
            <w:vAlign w:val="center"/>
          </w:tcPr>
          <w:p w:rsidR="00635591" w:rsidRDefault="00EB6E7E">
            <w:pPr>
              <w:jc w:val="right"/>
            </w:pPr>
            <w:r>
              <w:rPr>
                <w:color w:val="000000"/>
                <w:sz w:val="24"/>
              </w:rPr>
              <w:t>-22,000,000.00</w:t>
            </w:r>
          </w:p>
        </w:tc>
        <w:tc>
          <w:tcPr>
            <w:tcW w:w="0" w:type="auto"/>
            <w:vAlign w:val="center"/>
          </w:tcPr>
          <w:p w:rsidR="00635591" w:rsidRDefault="00EB6E7E">
            <w:pPr>
              <w:jc w:val="right"/>
            </w:pPr>
            <w:r>
              <w:rPr>
                <w:color w:val="000000"/>
                <w:sz w:val="24"/>
              </w:rPr>
              <w:t>-66,418,000.00</w:t>
            </w:r>
          </w:p>
        </w:tc>
        <w:tc>
          <w:tcPr>
            <w:tcW w:w="0" w:type="auto"/>
            <w:vAlign w:val="center"/>
          </w:tcPr>
          <w:p w:rsidR="00635591" w:rsidRDefault="00EB6E7E">
            <w:pPr>
              <w:jc w:val="center"/>
            </w:pPr>
            <w:r>
              <w:rPr>
                <w:color w:val="000000"/>
                <w:sz w:val="24"/>
              </w:rPr>
              <w:t>-</w:t>
            </w:r>
          </w:p>
        </w:tc>
      </w:tr>
      <w:tr w:rsidR="00635591">
        <w:trPr>
          <w:jc w:val="center"/>
        </w:trPr>
        <w:tc>
          <w:tcPr>
            <w:tcW w:w="0" w:type="auto"/>
            <w:vAlign w:val="center"/>
          </w:tcPr>
          <w:p w:rsidR="00635591" w:rsidRDefault="00EB6E7E">
            <w:pPr>
              <w:jc w:val="center"/>
            </w:pPr>
            <w:r>
              <w:rPr>
                <w:color w:val="000000"/>
                <w:sz w:val="24"/>
              </w:rPr>
              <w:t>2</w:t>
            </w:r>
          </w:p>
        </w:tc>
        <w:tc>
          <w:tcPr>
            <w:tcW w:w="0" w:type="auto"/>
            <w:vAlign w:val="center"/>
          </w:tcPr>
          <w:p w:rsidR="00635591" w:rsidRDefault="00EB6E7E">
            <w:pPr>
              <w:jc w:val="center"/>
            </w:pPr>
            <w:r>
              <w:rPr>
                <w:color w:val="000000"/>
                <w:sz w:val="24"/>
              </w:rPr>
              <w:t>赎回</w:t>
            </w:r>
          </w:p>
        </w:tc>
        <w:tc>
          <w:tcPr>
            <w:tcW w:w="0" w:type="auto"/>
            <w:vAlign w:val="center"/>
          </w:tcPr>
          <w:p w:rsidR="00635591" w:rsidRDefault="00EB6E7E">
            <w:pPr>
              <w:jc w:val="center"/>
            </w:pPr>
            <w:r>
              <w:rPr>
                <w:color w:val="000000"/>
                <w:sz w:val="24"/>
              </w:rPr>
              <w:t>2019-12-23</w:t>
            </w:r>
          </w:p>
        </w:tc>
        <w:tc>
          <w:tcPr>
            <w:tcW w:w="0" w:type="auto"/>
            <w:vAlign w:val="center"/>
          </w:tcPr>
          <w:p w:rsidR="00635591" w:rsidRDefault="00EB6E7E">
            <w:pPr>
              <w:jc w:val="right"/>
            </w:pPr>
            <w:r>
              <w:rPr>
                <w:color w:val="000000"/>
                <w:sz w:val="24"/>
              </w:rPr>
              <w:t>-16,000,000.00</w:t>
            </w:r>
          </w:p>
        </w:tc>
        <w:tc>
          <w:tcPr>
            <w:tcW w:w="0" w:type="auto"/>
            <w:vAlign w:val="center"/>
          </w:tcPr>
          <w:p w:rsidR="00635591" w:rsidRDefault="00EB6E7E">
            <w:pPr>
              <w:jc w:val="right"/>
            </w:pPr>
            <w:r>
              <w:rPr>
                <w:color w:val="000000"/>
                <w:sz w:val="24"/>
              </w:rPr>
              <w:t>-49,344,000.00</w:t>
            </w:r>
          </w:p>
        </w:tc>
        <w:tc>
          <w:tcPr>
            <w:tcW w:w="0" w:type="auto"/>
            <w:vAlign w:val="center"/>
          </w:tcPr>
          <w:p w:rsidR="00635591" w:rsidRDefault="00EB6E7E">
            <w:pPr>
              <w:jc w:val="center"/>
            </w:pPr>
            <w:r>
              <w:rPr>
                <w:color w:val="000000"/>
                <w:sz w:val="24"/>
              </w:rPr>
              <w:t>-</w:t>
            </w:r>
          </w:p>
        </w:tc>
      </w:tr>
      <w:tr w:rsidR="00635591">
        <w:trPr>
          <w:jc w:val="center"/>
        </w:trPr>
        <w:tc>
          <w:tcPr>
            <w:tcW w:w="0" w:type="auto"/>
            <w:vAlign w:val="center"/>
          </w:tcPr>
          <w:p w:rsidR="00635591" w:rsidRDefault="00EB6E7E">
            <w:pPr>
              <w:jc w:val="center"/>
            </w:pPr>
            <w:r>
              <w:rPr>
                <w:color w:val="000000"/>
                <w:sz w:val="24"/>
              </w:rPr>
              <w:t>3</w:t>
            </w:r>
          </w:p>
        </w:tc>
        <w:tc>
          <w:tcPr>
            <w:tcW w:w="0" w:type="auto"/>
            <w:vAlign w:val="center"/>
          </w:tcPr>
          <w:p w:rsidR="00635591" w:rsidRDefault="00EB6E7E">
            <w:pPr>
              <w:jc w:val="center"/>
            </w:pPr>
            <w:r>
              <w:rPr>
                <w:color w:val="000000"/>
                <w:sz w:val="24"/>
              </w:rPr>
              <w:t>赎回</w:t>
            </w:r>
          </w:p>
        </w:tc>
        <w:tc>
          <w:tcPr>
            <w:tcW w:w="0" w:type="auto"/>
            <w:vAlign w:val="center"/>
          </w:tcPr>
          <w:p w:rsidR="00635591" w:rsidRDefault="00EB6E7E">
            <w:pPr>
              <w:jc w:val="center"/>
            </w:pPr>
            <w:r>
              <w:rPr>
                <w:color w:val="000000"/>
                <w:sz w:val="24"/>
              </w:rPr>
              <w:t>2019-12-25</w:t>
            </w:r>
          </w:p>
        </w:tc>
        <w:tc>
          <w:tcPr>
            <w:tcW w:w="0" w:type="auto"/>
            <w:vAlign w:val="center"/>
          </w:tcPr>
          <w:p w:rsidR="00635591" w:rsidRDefault="00EB6E7E">
            <w:pPr>
              <w:jc w:val="right"/>
            </w:pPr>
            <w:r>
              <w:rPr>
                <w:color w:val="000000"/>
                <w:sz w:val="24"/>
              </w:rPr>
              <w:t>-19,976,567.48</w:t>
            </w:r>
          </w:p>
        </w:tc>
        <w:tc>
          <w:tcPr>
            <w:tcW w:w="0" w:type="auto"/>
            <w:vAlign w:val="center"/>
          </w:tcPr>
          <w:p w:rsidR="00635591" w:rsidRDefault="00EB6E7E">
            <w:pPr>
              <w:jc w:val="right"/>
            </w:pPr>
            <w:r>
              <w:rPr>
                <w:color w:val="000000"/>
                <w:sz w:val="24"/>
              </w:rPr>
              <w:t>-62,946,164.13</w:t>
            </w:r>
          </w:p>
        </w:tc>
        <w:tc>
          <w:tcPr>
            <w:tcW w:w="0" w:type="auto"/>
            <w:vAlign w:val="center"/>
          </w:tcPr>
          <w:p w:rsidR="00635591" w:rsidRDefault="00EB6E7E">
            <w:pPr>
              <w:jc w:val="center"/>
            </w:pPr>
            <w:r>
              <w:rPr>
                <w:color w:val="000000"/>
                <w:sz w:val="24"/>
              </w:rPr>
              <w:t>-</w:t>
            </w:r>
          </w:p>
        </w:tc>
      </w:tr>
      <w:tr w:rsidR="00750D48" w:rsidTr="005602F3">
        <w:trPr>
          <w:trHeight w:val="340"/>
          <w:jc w:val="center"/>
        </w:trPr>
        <w:tc>
          <w:tcPr>
            <w:tcW w:w="1024" w:type="dxa"/>
            <w:vAlign w:val="center"/>
          </w:tcPr>
          <w:p w:rsidR="00750D48" w:rsidRPr="00B227EA" w:rsidRDefault="00750D48">
            <w:pPr>
              <w:pStyle w:val="ad"/>
              <w:adjustRightInd w:val="0"/>
              <w:snapToGrid w:val="0"/>
              <w:spacing w:line="360" w:lineRule="exact"/>
              <w:jc w:val="center"/>
              <w:rPr>
                <w:color w:val="000000"/>
              </w:rPr>
            </w:pPr>
            <w:r w:rsidRPr="00B227EA">
              <w:rPr>
                <w:color w:val="000000"/>
              </w:rPr>
              <w:t>合计</w:t>
            </w:r>
          </w:p>
        </w:tc>
        <w:tc>
          <w:tcPr>
            <w:tcW w:w="1560" w:type="dxa"/>
          </w:tcPr>
          <w:p w:rsidR="00750D48" w:rsidRPr="00B227EA" w:rsidRDefault="00750D48">
            <w:pPr>
              <w:adjustRightInd w:val="0"/>
              <w:snapToGrid w:val="0"/>
              <w:spacing w:line="360" w:lineRule="exact"/>
              <w:jc w:val="right"/>
              <w:rPr>
                <w:color w:val="0000FF"/>
                <w:kern w:val="0"/>
                <w:sz w:val="18"/>
                <w:szCs w:val="24"/>
              </w:rPr>
            </w:pPr>
          </w:p>
        </w:tc>
        <w:tc>
          <w:tcPr>
            <w:tcW w:w="1417" w:type="dxa"/>
          </w:tcPr>
          <w:p w:rsidR="00750D48" w:rsidRPr="00B227EA" w:rsidRDefault="00750D48">
            <w:pPr>
              <w:adjustRightInd w:val="0"/>
              <w:snapToGrid w:val="0"/>
              <w:spacing w:line="360" w:lineRule="exact"/>
              <w:jc w:val="right"/>
              <w:rPr>
                <w:color w:val="0000FF"/>
                <w:kern w:val="0"/>
                <w:sz w:val="18"/>
                <w:szCs w:val="24"/>
              </w:rPr>
            </w:pPr>
          </w:p>
        </w:tc>
        <w:tc>
          <w:tcPr>
            <w:tcW w:w="1987" w:type="dxa"/>
          </w:tcPr>
          <w:p w:rsidR="00750D48" w:rsidRPr="00B227EA" w:rsidRDefault="00750D48">
            <w:pPr>
              <w:adjustRightInd w:val="0"/>
              <w:snapToGrid w:val="0"/>
              <w:spacing w:line="360" w:lineRule="exact"/>
              <w:jc w:val="right"/>
              <w:rPr>
                <w:color w:val="000000"/>
                <w:sz w:val="24"/>
                <w:szCs w:val="24"/>
              </w:rPr>
            </w:pPr>
            <w:r w:rsidRPr="00B227EA">
              <w:rPr>
                <w:color w:val="000000"/>
                <w:sz w:val="24"/>
              </w:rPr>
              <w:t>-57,976,567.48</w:t>
            </w:r>
          </w:p>
        </w:tc>
        <w:tc>
          <w:tcPr>
            <w:tcW w:w="1982" w:type="dxa"/>
          </w:tcPr>
          <w:p w:rsidR="00750D48" w:rsidRPr="00B227EA" w:rsidRDefault="00750D48">
            <w:pPr>
              <w:adjustRightInd w:val="0"/>
              <w:snapToGrid w:val="0"/>
              <w:spacing w:line="360" w:lineRule="exact"/>
              <w:jc w:val="right"/>
              <w:rPr>
                <w:color w:val="000000"/>
                <w:sz w:val="24"/>
                <w:szCs w:val="24"/>
              </w:rPr>
            </w:pPr>
            <w:r w:rsidRPr="00B227EA">
              <w:rPr>
                <w:color w:val="000000"/>
                <w:sz w:val="24"/>
              </w:rPr>
              <w:t>-178,708,164.13</w:t>
            </w:r>
          </w:p>
        </w:tc>
        <w:tc>
          <w:tcPr>
            <w:tcW w:w="1255" w:type="dxa"/>
            <w:vAlign w:val="center"/>
          </w:tcPr>
          <w:p w:rsidR="00750D48" w:rsidRPr="00B227EA" w:rsidRDefault="00750D48">
            <w:pPr>
              <w:adjustRightInd w:val="0"/>
              <w:snapToGrid w:val="0"/>
              <w:spacing w:line="360" w:lineRule="exact"/>
              <w:jc w:val="right"/>
              <w:rPr>
                <w:color w:val="0000FF"/>
                <w:kern w:val="0"/>
                <w:sz w:val="18"/>
                <w:szCs w:val="24"/>
              </w:rPr>
            </w:pP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635591" w:rsidRDefault="00EB6E7E">
      <w:pPr>
        <w:spacing w:line="360" w:lineRule="auto"/>
        <w:ind w:firstLineChars="200" w:firstLine="480"/>
        <w:rPr>
          <w:color w:val="000000"/>
          <w:sz w:val="24"/>
          <w:szCs w:val="24"/>
        </w:rPr>
      </w:pPr>
      <w:r>
        <w:rPr>
          <w:color w:val="000000"/>
          <w:sz w:val="24"/>
          <w:szCs w:val="24"/>
        </w:rPr>
        <w:t>1.</w:t>
      </w:r>
      <w:r>
        <w:rPr>
          <w:color w:val="000000"/>
          <w:sz w:val="24"/>
          <w:szCs w:val="24"/>
        </w:rPr>
        <w:t>科翔证券投资基金基金份额持有人大会决议生效公告；</w:t>
      </w:r>
    </w:p>
    <w:p w:rsidR="00635591" w:rsidRDefault="00EB6E7E">
      <w:pPr>
        <w:spacing w:line="360" w:lineRule="auto"/>
        <w:ind w:firstLineChars="200" w:firstLine="480"/>
        <w:rPr>
          <w:color w:val="000000"/>
          <w:sz w:val="24"/>
          <w:szCs w:val="24"/>
        </w:rPr>
      </w:pPr>
      <w:r>
        <w:rPr>
          <w:color w:val="000000"/>
          <w:sz w:val="24"/>
          <w:szCs w:val="24"/>
        </w:rPr>
        <w:t>2.</w:t>
      </w:r>
      <w:r>
        <w:rPr>
          <w:color w:val="000000"/>
          <w:sz w:val="24"/>
          <w:szCs w:val="24"/>
        </w:rPr>
        <w:t>中国证监会《关于核准科翔证券投资基金基金份额持有人大会有关转换基金运作方式决议的批复》（证监许可</w:t>
      </w:r>
      <w:r>
        <w:rPr>
          <w:color w:val="000000"/>
          <w:sz w:val="24"/>
          <w:szCs w:val="24"/>
        </w:rPr>
        <w:t>[2008]1221</w:t>
      </w:r>
      <w:r>
        <w:rPr>
          <w:color w:val="000000"/>
          <w:sz w:val="24"/>
          <w:szCs w:val="24"/>
        </w:rPr>
        <w:t>号）；</w:t>
      </w:r>
    </w:p>
    <w:p w:rsidR="00635591" w:rsidRDefault="00EB6E7E">
      <w:pPr>
        <w:spacing w:line="360" w:lineRule="auto"/>
        <w:ind w:firstLineChars="200" w:firstLine="480"/>
        <w:rPr>
          <w:color w:val="000000"/>
          <w:sz w:val="24"/>
          <w:szCs w:val="24"/>
        </w:rPr>
      </w:pPr>
      <w:r>
        <w:rPr>
          <w:color w:val="000000"/>
          <w:sz w:val="24"/>
          <w:szCs w:val="24"/>
        </w:rPr>
        <w:t>3.</w:t>
      </w:r>
      <w:r>
        <w:rPr>
          <w:color w:val="000000"/>
          <w:sz w:val="24"/>
          <w:szCs w:val="24"/>
        </w:rPr>
        <w:t>《易方达科翔混合型证券投资基金基金合同》；</w:t>
      </w:r>
    </w:p>
    <w:p w:rsidR="00635591" w:rsidRDefault="00EB6E7E">
      <w:pPr>
        <w:spacing w:line="360" w:lineRule="auto"/>
        <w:ind w:firstLineChars="200" w:firstLine="480"/>
        <w:rPr>
          <w:color w:val="000000"/>
          <w:sz w:val="24"/>
          <w:szCs w:val="24"/>
        </w:rPr>
      </w:pPr>
      <w:r>
        <w:rPr>
          <w:color w:val="000000"/>
          <w:sz w:val="24"/>
          <w:szCs w:val="24"/>
        </w:rPr>
        <w:t>4.</w:t>
      </w:r>
      <w:r>
        <w:rPr>
          <w:color w:val="000000"/>
          <w:sz w:val="24"/>
          <w:szCs w:val="24"/>
        </w:rPr>
        <w:t>《易方达科翔混合型证券投资基金托管协议》；</w:t>
      </w:r>
    </w:p>
    <w:p w:rsidR="00635591" w:rsidRDefault="00EB6E7E">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EB6E7E">
      <w:rPr>
        <w:rStyle w:val="a7"/>
        <w:noProof/>
      </w:rPr>
      <w:t>1</w:t>
    </w:r>
    <w:r>
      <w:rPr>
        <w:rStyle w:val="a7"/>
      </w:rPr>
      <w:fldChar w:fldCharType="end"/>
    </w:r>
    <w:r>
      <w:rPr>
        <w:rStyle w:val="a7"/>
        <w:rFonts w:hint="eastAsia"/>
      </w:rPr>
      <w:t>页共</w:t>
    </w:r>
    <w:r w:rsidR="00EB6E7E">
      <w:fldChar w:fldCharType="begin"/>
    </w:r>
    <w:r w:rsidR="00EB6E7E">
      <w:instrText xml:space="preserve"> NUMPAGES  \* Arabic  \* MERGEFORMAT </w:instrText>
    </w:r>
    <w:r w:rsidR="00EB6E7E">
      <w:fldChar w:fldCharType="separate"/>
    </w:r>
    <w:r w:rsidR="00EB6E7E" w:rsidRPr="00EB6E7E">
      <w:rPr>
        <w:rStyle w:val="a7"/>
        <w:noProof/>
      </w:rPr>
      <w:t>1</w:t>
    </w:r>
    <w:r w:rsidR="00EB6E7E">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EB6E7E">
      <w:rPr>
        <w:rStyle w:val="a7"/>
        <w:noProof/>
      </w:rPr>
      <w:t>2</w:t>
    </w:r>
    <w:r>
      <w:rPr>
        <w:rStyle w:val="a7"/>
      </w:rPr>
      <w:fldChar w:fldCharType="end"/>
    </w:r>
    <w:r>
      <w:rPr>
        <w:rStyle w:val="a7"/>
        <w:rFonts w:hint="eastAsia"/>
      </w:rPr>
      <w:t>页共</w:t>
    </w:r>
    <w:fldSimple w:instr=" NUMPAGES  \* Arabic  \* MERGEFORMAT ">
      <w:r w:rsidR="00EB6E7E" w:rsidRPr="00EB6E7E">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易方达科翔混合型证券投资基金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591"/>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B6E7E"/>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F8BE-31F9-413E-9375-080A5C9C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6181</Characters>
  <Application>Microsoft Office Word</Application>
  <DocSecurity>4</DocSecurity>
  <Lines>51</Lines>
  <Paragraphs>14</Paragraphs>
  <ScaleCrop>false</ScaleCrop>
  <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2020-01-13T02:41:00Z</dcterms:created>
  <dcterms:modified xsi:type="dcterms:W3CDTF">2020-01-13T02:41:00Z</dcterms:modified>
</cp:coreProperties>
</file>