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易方达平稳增长证券投资基金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6F0C3C" w:rsidRDefault="00E94838">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F0C3C" w:rsidRDefault="00E94838">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F0C3C" w:rsidRDefault="00E94838">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F0C3C" w:rsidRDefault="00E94838">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F0C3C" w:rsidRDefault="00E94838">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易方达平稳增长混合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110001</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110001</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2002</w:t>
            </w:r>
            <w:r w:rsidRPr="00232B03">
              <w:rPr>
                <w:color w:val="000000"/>
                <w:kern w:val="0"/>
                <w:sz w:val="24"/>
                <w:szCs w:val="24"/>
              </w:rPr>
              <w:t>年</w:t>
            </w:r>
            <w:r w:rsidRPr="00232B03">
              <w:rPr>
                <w:color w:val="000000"/>
                <w:kern w:val="0"/>
                <w:sz w:val="24"/>
                <w:szCs w:val="24"/>
              </w:rPr>
              <w:t>8</w:t>
            </w:r>
            <w:r w:rsidRPr="00232B03">
              <w:rPr>
                <w:color w:val="000000"/>
                <w:kern w:val="0"/>
                <w:sz w:val="24"/>
                <w:szCs w:val="24"/>
              </w:rPr>
              <w:t>月</w:t>
            </w:r>
            <w:r w:rsidRPr="00232B03">
              <w:rPr>
                <w:color w:val="000000"/>
                <w:kern w:val="0"/>
                <w:sz w:val="24"/>
                <w:szCs w:val="24"/>
              </w:rPr>
              <w:t>23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734,024,108.10</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追求资本在低风险水平下的平稳增长。</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本基金通过在股票和债券之间相对平衡的资产配置实现降低风险、稳定收益的目标。正常情况下，本基金资产配置的比例范围是：股票资产</w:t>
            </w:r>
            <w:r w:rsidRPr="00232B03">
              <w:rPr>
                <w:color w:val="000000"/>
                <w:kern w:val="0"/>
                <w:sz w:val="24"/>
                <w:szCs w:val="24"/>
              </w:rPr>
              <w:t>30%</w:t>
            </w:r>
            <w:r w:rsidRPr="00232B03">
              <w:rPr>
                <w:color w:val="000000"/>
                <w:kern w:val="0"/>
                <w:sz w:val="24"/>
                <w:szCs w:val="24"/>
              </w:rPr>
              <w:t>－</w:t>
            </w:r>
            <w:r w:rsidRPr="00232B03">
              <w:rPr>
                <w:color w:val="000000"/>
                <w:kern w:val="0"/>
                <w:sz w:val="24"/>
                <w:szCs w:val="24"/>
              </w:rPr>
              <w:t>65%</w:t>
            </w:r>
            <w:r w:rsidRPr="00232B03">
              <w:rPr>
                <w:color w:val="000000"/>
                <w:kern w:val="0"/>
                <w:sz w:val="24"/>
                <w:szCs w:val="24"/>
              </w:rPr>
              <w:t>；债券资产</w:t>
            </w:r>
            <w:r w:rsidRPr="00232B03">
              <w:rPr>
                <w:color w:val="000000"/>
                <w:kern w:val="0"/>
                <w:sz w:val="24"/>
                <w:szCs w:val="24"/>
              </w:rPr>
              <w:t>30%</w:t>
            </w:r>
            <w:r w:rsidRPr="00232B03">
              <w:rPr>
                <w:color w:val="000000"/>
                <w:kern w:val="0"/>
                <w:sz w:val="24"/>
                <w:szCs w:val="24"/>
              </w:rPr>
              <w:t>－</w:t>
            </w:r>
            <w:r w:rsidRPr="00232B03">
              <w:rPr>
                <w:color w:val="000000"/>
                <w:kern w:val="0"/>
                <w:sz w:val="24"/>
                <w:szCs w:val="24"/>
              </w:rPr>
              <w:t>65%</w:t>
            </w:r>
            <w:r w:rsidRPr="00232B03">
              <w:rPr>
                <w:color w:val="000000"/>
                <w:kern w:val="0"/>
                <w:sz w:val="24"/>
                <w:szCs w:val="24"/>
              </w:rPr>
              <w:t>；现金资产不低于</w:t>
            </w:r>
            <w:r w:rsidRPr="00232B03">
              <w:rPr>
                <w:color w:val="000000"/>
                <w:kern w:val="0"/>
                <w:sz w:val="24"/>
                <w:szCs w:val="24"/>
              </w:rPr>
              <w:t>5</w:t>
            </w:r>
            <w:r w:rsidRPr="00232B03">
              <w:rPr>
                <w:color w:val="000000"/>
                <w:kern w:val="0"/>
                <w:sz w:val="24"/>
                <w:szCs w:val="24"/>
              </w:rPr>
              <w:t>％。其中，投资于具有持续发展能力的上市公司的资产比例不低于本基金股票投资总资产的</w:t>
            </w:r>
            <w:r w:rsidRPr="00232B03">
              <w:rPr>
                <w:color w:val="000000"/>
                <w:kern w:val="0"/>
                <w:sz w:val="24"/>
                <w:szCs w:val="24"/>
              </w:rPr>
              <w:t>80%</w:t>
            </w:r>
            <w:r w:rsidRPr="00232B03">
              <w:rPr>
                <w:color w:val="000000"/>
                <w:kern w:val="0"/>
                <w:sz w:val="24"/>
                <w:szCs w:val="24"/>
              </w:rPr>
              <w:t>。</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上证</w:t>
            </w:r>
            <w:r w:rsidRPr="00232B03">
              <w:rPr>
                <w:color w:val="000000"/>
                <w:kern w:val="0"/>
                <w:sz w:val="24"/>
                <w:szCs w:val="24"/>
              </w:rPr>
              <w:t>A</w:t>
            </w:r>
            <w:r w:rsidRPr="00232B03">
              <w:rPr>
                <w:color w:val="000000"/>
                <w:kern w:val="0"/>
                <w:sz w:val="24"/>
                <w:szCs w:val="24"/>
              </w:rPr>
              <w:t>股指数</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本基金为混合型基金，理论上其风险收益水平低于股票型基金，高于债券型基金及货币市场基金。正常情况下，本基金将控制基金资产净值波动的标准差不超过上证</w:t>
            </w:r>
            <w:r w:rsidRPr="00232B03">
              <w:rPr>
                <w:color w:val="000000"/>
                <w:kern w:val="0"/>
                <w:sz w:val="24"/>
                <w:szCs w:val="24"/>
              </w:rPr>
              <w:t>A</w:t>
            </w:r>
            <w:r w:rsidRPr="00232B03">
              <w:rPr>
                <w:color w:val="000000"/>
                <w:kern w:val="0"/>
                <w:sz w:val="24"/>
                <w:szCs w:val="24"/>
              </w:rPr>
              <w:t>股指数波动的标准差的</w:t>
            </w:r>
            <w:r w:rsidRPr="00232B03">
              <w:rPr>
                <w:color w:val="000000"/>
                <w:kern w:val="0"/>
                <w:sz w:val="24"/>
                <w:szCs w:val="24"/>
              </w:rPr>
              <w:t>65%</w:t>
            </w:r>
            <w:r w:rsidRPr="00232B03">
              <w:rPr>
                <w:color w:val="000000"/>
                <w:kern w:val="0"/>
                <w:sz w:val="24"/>
                <w:szCs w:val="24"/>
              </w:rPr>
              <w:t>（置信度为</w:t>
            </w:r>
            <w:r w:rsidRPr="00232B03">
              <w:rPr>
                <w:color w:val="000000"/>
                <w:kern w:val="0"/>
                <w:sz w:val="24"/>
                <w:szCs w:val="24"/>
              </w:rPr>
              <w:t>90</w:t>
            </w:r>
            <w:r w:rsidRPr="00232B03">
              <w:rPr>
                <w:color w:val="000000"/>
                <w:kern w:val="0"/>
                <w:sz w:val="24"/>
                <w:szCs w:val="24"/>
              </w:rPr>
              <w:t>％）；在此前提下，通过合理配置股票和债券资产比重，并将股票投资集中于具有持续发展能力的上市公司，努力实现股票市场上涨期间基金资产净值涨幅不低于上证</w:t>
            </w:r>
            <w:r w:rsidRPr="00232B03">
              <w:rPr>
                <w:color w:val="000000"/>
                <w:kern w:val="0"/>
                <w:sz w:val="24"/>
                <w:szCs w:val="24"/>
              </w:rPr>
              <w:t>A</w:t>
            </w:r>
            <w:r w:rsidRPr="00232B03">
              <w:rPr>
                <w:color w:val="000000"/>
                <w:kern w:val="0"/>
                <w:sz w:val="24"/>
                <w:szCs w:val="24"/>
              </w:rPr>
              <w:t>股指数涨幅的</w:t>
            </w:r>
            <w:r w:rsidRPr="00232B03">
              <w:rPr>
                <w:color w:val="000000"/>
                <w:kern w:val="0"/>
                <w:sz w:val="24"/>
                <w:szCs w:val="24"/>
              </w:rPr>
              <w:t>60</w:t>
            </w:r>
            <w:r w:rsidRPr="00232B03">
              <w:rPr>
                <w:color w:val="000000"/>
                <w:kern w:val="0"/>
                <w:sz w:val="24"/>
                <w:szCs w:val="24"/>
              </w:rPr>
              <w:t>％，股票市场下跌期间基金资产净值下跌幅度不超过上证</w:t>
            </w:r>
            <w:r w:rsidRPr="00232B03">
              <w:rPr>
                <w:color w:val="000000"/>
                <w:kern w:val="0"/>
                <w:sz w:val="24"/>
                <w:szCs w:val="24"/>
              </w:rPr>
              <w:t>A</w:t>
            </w:r>
            <w:r w:rsidRPr="00232B03">
              <w:rPr>
                <w:color w:val="000000"/>
                <w:kern w:val="0"/>
                <w:sz w:val="24"/>
                <w:szCs w:val="24"/>
              </w:rPr>
              <w:t>股指数跌幅的</w:t>
            </w:r>
            <w:r w:rsidRPr="00232B03">
              <w:rPr>
                <w:color w:val="000000"/>
                <w:kern w:val="0"/>
                <w:sz w:val="24"/>
                <w:szCs w:val="24"/>
              </w:rPr>
              <w:t>50</w:t>
            </w:r>
            <w:r w:rsidRPr="00232B03">
              <w:rPr>
                <w:color w:val="000000"/>
                <w:kern w:val="0"/>
                <w:sz w:val="24"/>
                <w:szCs w:val="24"/>
              </w:rPr>
              <w:t>％。</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136,238,633.70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178,774,923.06</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0.2433</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2,366,750,586.92</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3.224</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6F0C3C" w:rsidRDefault="00E94838">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6F0C3C">
        <w:tc>
          <w:tcPr>
            <w:tcW w:w="0" w:type="auto"/>
            <w:vAlign w:val="center"/>
          </w:tcPr>
          <w:p w:rsidR="006F0C3C" w:rsidRDefault="00E94838">
            <w:pPr>
              <w:jc w:val="left"/>
            </w:pPr>
            <w:r>
              <w:rPr>
                <w:color w:val="000000"/>
                <w:kern w:val="0"/>
                <w:sz w:val="24"/>
                <w:szCs w:val="24"/>
              </w:rPr>
              <w:t>过去三个月</w:t>
            </w:r>
          </w:p>
        </w:tc>
        <w:tc>
          <w:tcPr>
            <w:tcW w:w="0" w:type="auto"/>
            <w:vAlign w:val="center"/>
          </w:tcPr>
          <w:p w:rsidR="006F0C3C" w:rsidRDefault="00E94838">
            <w:pPr>
              <w:jc w:val="center"/>
            </w:pPr>
            <w:r>
              <w:rPr>
                <w:color w:val="000000"/>
                <w:kern w:val="0"/>
                <w:sz w:val="24"/>
                <w:szCs w:val="24"/>
              </w:rPr>
              <w:t>8.15%</w:t>
            </w:r>
          </w:p>
        </w:tc>
        <w:tc>
          <w:tcPr>
            <w:tcW w:w="0" w:type="auto"/>
            <w:vAlign w:val="center"/>
          </w:tcPr>
          <w:p w:rsidR="006F0C3C" w:rsidRDefault="00E94838">
            <w:pPr>
              <w:jc w:val="center"/>
            </w:pPr>
            <w:r>
              <w:rPr>
                <w:color w:val="000000"/>
                <w:kern w:val="0"/>
                <w:sz w:val="24"/>
                <w:szCs w:val="24"/>
              </w:rPr>
              <w:t>0.82%</w:t>
            </w:r>
          </w:p>
        </w:tc>
        <w:tc>
          <w:tcPr>
            <w:tcW w:w="0" w:type="auto"/>
            <w:vAlign w:val="center"/>
          </w:tcPr>
          <w:p w:rsidR="006F0C3C" w:rsidRDefault="00E94838">
            <w:pPr>
              <w:jc w:val="center"/>
            </w:pPr>
            <w:r>
              <w:rPr>
                <w:color w:val="000000"/>
                <w:kern w:val="0"/>
                <w:sz w:val="24"/>
                <w:szCs w:val="24"/>
              </w:rPr>
              <w:t>5.01%</w:t>
            </w:r>
          </w:p>
        </w:tc>
        <w:tc>
          <w:tcPr>
            <w:tcW w:w="0" w:type="auto"/>
            <w:vAlign w:val="center"/>
          </w:tcPr>
          <w:p w:rsidR="006F0C3C" w:rsidRDefault="00E94838">
            <w:pPr>
              <w:jc w:val="center"/>
            </w:pPr>
            <w:r>
              <w:rPr>
                <w:color w:val="000000"/>
                <w:kern w:val="0"/>
                <w:sz w:val="24"/>
                <w:szCs w:val="24"/>
              </w:rPr>
              <w:t>0.68%</w:t>
            </w:r>
          </w:p>
        </w:tc>
        <w:tc>
          <w:tcPr>
            <w:tcW w:w="0" w:type="auto"/>
            <w:vAlign w:val="center"/>
          </w:tcPr>
          <w:p w:rsidR="006F0C3C" w:rsidRDefault="00E94838">
            <w:pPr>
              <w:jc w:val="center"/>
            </w:pPr>
            <w:r>
              <w:rPr>
                <w:color w:val="000000"/>
                <w:kern w:val="0"/>
                <w:sz w:val="24"/>
                <w:szCs w:val="24"/>
              </w:rPr>
              <w:t>3.14%</w:t>
            </w:r>
          </w:p>
        </w:tc>
        <w:tc>
          <w:tcPr>
            <w:tcW w:w="0" w:type="auto"/>
            <w:vAlign w:val="center"/>
          </w:tcPr>
          <w:p w:rsidR="006F0C3C" w:rsidRDefault="00E94838">
            <w:pPr>
              <w:jc w:val="center"/>
            </w:pPr>
            <w:r>
              <w:rPr>
                <w:color w:val="000000"/>
                <w:kern w:val="0"/>
                <w:sz w:val="24"/>
                <w:szCs w:val="24"/>
              </w:rPr>
              <w:t>0.14%</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易方达平稳增长证券投资基金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2002</w:t>
      </w:r>
      <w:r w:rsidRPr="0074694E">
        <w:rPr>
          <w:rFonts w:ascii="Times New Roman" w:hAnsi="Times New Roman"/>
          <w:sz w:val="24"/>
          <w:szCs w:val="24"/>
        </w:rPr>
        <w:t>年</w:t>
      </w:r>
      <w:r w:rsidRPr="0074694E">
        <w:rPr>
          <w:rFonts w:ascii="Times New Roman" w:hAnsi="Times New Roman"/>
          <w:sz w:val="24"/>
          <w:szCs w:val="24"/>
        </w:rPr>
        <w:t>8</w:t>
      </w:r>
      <w:r w:rsidRPr="0074694E">
        <w:rPr>
          <w:rFonts w:ascii="Times New Roman" w:hAnsi="Times New Roman"/>
          <w:sz w:val="24"/>
          <w:szCs w:val="24"/>
        </w:rPr>
        <w:t>月</w:t>
      </w:r>
      <w:r w:rsidRPr="0074694E">
        <w:rPr>
          <w:rFonts w:ascii="Times New Roman" w:hAnsi="Times New Roman"/>
          <w:sz w:val="24"/>
          <w:szCs w:val="24"/>
        </w:rPr>
        <w:t>23</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E94838"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731.38%</w:t>
      </w:r>
      <w:r w:rsidRPr="006C56AA">
        <w:rPr>
          <w:color w:val="000000"/>
          <w:sz w:val="24"/>
          <w:szCs w:val="24"/>
        </w:rPr>
        <w:t>，同期业绩比较基准收益率为</w:t>
      </w:r>
      <w:r w:rsidRPr="006C56AA">
        <w:rPr>
          <w:color w:val="000000"/>
          <w:sz w:val="24"/>
          <w:szCs w:val="24"/>
        </w:rPr>
        <w:t>81.60%</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6F0C3C">
        <w:tc>
          <w:tcPr>
            <w:tcW w:w="0" w:type="auto"/>
            <w:vAlign w:val="center"/>
          </w:tcPr>
          <w:p w:rsidR="006F0C3C" w:rsidRDefault="00E94838">
            <w:pPr>
              <w:jc w:val="center"/>
            </w:pPr>
            <w:r>
              <w:rPr>
                <w:color w:val="000000"/>
                <w:sz w:val="24"/>
              </w:rPr>
              <w:t>陈皓</w:t>
            </w:r>
          </w:p>
        </w:tc>
        <w:tc>
          <w:tcPr>
            <w:tcW w:w="0" w:type="auto"/>
            <w:vAlign w:val="center"/>
          </w:tcPr>
          <w:p w:rsidR="006F0C3C" w:rsidRDefault="00E94838">
            <w:pPr>
              <w:jc w:val="center"/>
            </w:pPr>
            <w:r>
              <w:rPr>
                <w:color w:val="000000"/>
                <w:sz w:val="24"/>
              </w:rPr>
              <w:t>本基金的基金经理、易方达新经济灵活配置混合型证券投资基金的基金经理、易方达科讯混合型证券投资基金的基金经理、易方达科翔混合型证券投资基金的基金经理、易方达科融混合型证券投资基金的基金经理、易方达国防军工混合型证券投资基金的基金经理、投资一部总经理</w:t>
            </w:r>
          </w:p>
        </w:tc>
        <w:tc>
          <w:tcPr>
            <w:tcW w:w="0" w:type="auto"/>
            <w:vAlign w:val="center"/>
          </w:tcPr>
          <w:p w:rsidR="006F0C3C" w:rsidRDefault="00E94838">
            <w:pPr>
              <w:jc w:val="center"/>
            </w:pPr>
            <w:r>
              <w:rPr>
                <w:color w:val="000000"/>
                <w:sz w:val="24"/>
              </w:rPr>
              <w:t>2012-09-28</w:t>
            </w:r>
          </w:p>
        </w:tc>
        <w:tc>
          <w:tcPr>
            <w:tcW w:w="0" w:type="auto"/>
            <w:vAlign w:val="center"/>
          </w:tcPr>
          <w:p w:rsidR="006F0C3C" w:rsidRDefault="00E94838">
            <w:pPr>
              <w:jc w:val="center"/>
            </w:pPr>
            <w:r>
              <w:rPr>
                <w:color w:val="000000"/>
                <w:sz w:val="24"/>
              </w:rPr>
              <w:t>-</w:t>
            </w:r>
          </w:p>
        </w:tc>
        <w:tc>
          <w:tcPr>
            <w:tcW w:w="0" w:type="auto"/>
            <w:vAlign w:val="center"/>
          </w:tcPr>
          <w:p w:rsidR="006F0C3C" w:rsidRDefault="00E94838">
            <w:pPr>
              <w:jc w:val="center"/>
            </w:pPr>
            <w:r>
              <w:rPr>
                <w:color w:val="000000"/>
                <w:sz w:val="24"/>
              </w:rPr>
              <w:t>12</w:t>
            </w:r>
            <w:r>
              <w:rPr>
                <w:color w:val="000000"/>
                <w:sz w:val="24"/>
              </w:rPr>
              <w:t>年</w:t>
            </w:r>
          </w:p>
        </w:tc>
        <w:tc>
          <w:tcPr>
            <w:tcW w:w="0" w:type="auto"/>
            <w:vAlign w:val="center"/>
          </w:tcPr>
          <w:p w:rsidR="006F0C3C" w:rsidRDefault="00E94838">
            <w:r>
              <w:rPr>
                <w:color w:val="000000"/>
                <w:sz w:val="24"/>
              </w:rPr>
              <w:t>硕士研究生，具有基金从业资格。曾任易方达基金管理有限公司研究部行业研究员、基金经理助理兼行业研究员、基金投资部基金经理助理、投资一部总经理助理、投资一部副总经理、投资经理、易方达价值精选混合型证券投资基金基金经理、易方达供给改革灵活配置混合型证券投资基金基金经理。</w:t>
            </w:r>
          </w:p>
        </w:tc>
      </w:tr>
    </w:tbl>
    <w:p w:rsidR="006F0C3C" w:rsidRDefault="00E94838">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6F0C3C" w:rsidRDefault="00E94838">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6F0C3C" w:rsidRDefault="00E94838">
      <w:pPr>
        <w:spacing w:line="360" w:lineRule="auto"/>
        <w:ind w:firstLineChars="200" w:firstLine="480"/>
        <w:rPr>
          <w:color w:val="000000"/>
          <w:sz w:val="24"/>
          <w:szCs w:val="24"/>
        </w:rPr>
      </w:pPr>
      <w:r>
        <w:rPr>
          <w:color w:val="000000"/>
          <w:sz w:val="24"/>
          <w:szCs w:val="24"/>
        </w:rPr>
        <w:t>2019</w:t>
      </w:r>
      <w:r>
        <w:rPr>
          <w:color w:val="000000"/>
          <w:sz w:val="24"/>
          <w:szCs w:val="24"/>
        </w:rPr>
        <w:t>年四季度上证指数上涨</w:t>
      </w:r>
      <w:r>
        <w:rPr>
          <w:color w:val="000000"/>
          <w:sz w:val="24"/>
          <w:szCs w:val="24"/>
        </w:rPr>
        <w:t>4.99%</w:t>
      </w:r>
      <w:r>
        <w:rPr>
          <w:color w:val="000000"/>
          <w:sz w:val="24"/>
          <w:szCs w:val="24"/>
        </w:rPr>
        <w:t>，创业板指数上涨</w:t>
      </w:r>
      <w:r>
        <w:rPr>
          <w:color w:val="000000"/>
          <w:sz w:val="24"/>
          <w:szCs w:val="24"/>
        </w:rPr>
        <w:t>10.48%</w:t>
      </w:r>
      <w:r>
        <w:rPr>
          <w:color w:val="000000"/>
          <w:sz w:val="24"/>
          <w:szCs w:val="24"/>
        </w:rPr>
        <w:t>。四季度市场整体上涨幅度较大，但有一定的结构分化，新兴成长板块表现较好，大盘蓝筹板块相对涨幅不大。高新电子板块在国产替代加速和下游需求改善催化下延续了三季度的强势表现，低估值、低预期的传媒板块在云游戏、直播等新兴应用刺激下获得了较大涨幅，消费板块中的医药和白酒行业四季度整体表现较弱。</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本基金四季度延续了相对稳健的投资策略，增配了一些传媒企业以及估值吸引力较大的地产个股，减持了部分消费类个股以及估值较高的半导体个股，取得了一定超额收益。</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3.224</w:t>
      </w:r>
      <w:r w:rsidRPr="006C56AA">
        <w:rPr>
          <w:color w:val="000000"/>
          <w:sz w:val="24"/>
          <w:szCs w:val="24"/>
        </w:rPr>
        <w:t>元，本报告期份额净值增长率为</w:t>
      </w:r>
      <w:r w:rsidRPr="006C56AA">
        <w:rPr>
          <w:color w:val="000000"/>
          <w:sz w:val="24"/>
          <w:szCs w:val="24"/>
        </w:rPr>
        <w:t>8.15%</w:t>
      </w:r>
      <w:r w:rsidRPr="006C56AA">
        <w:rPr>
          <w:color w:val="000000"/>
          <w:sz w:val="24"/>
          <w:szCs w:val="24"/>
        </w:rPr>
        <w:t>，同期业绩比较基准收益率为</w:t>
      </w:r>
      <w:r w:rsidRPr="006C56AA">
        <w:rPr>
          <w:color w:val="000000"/>
          <w:sz w:val="24"/>
          <w:szCs w:val="24"/>
        </w:rPr>
        <w:t>5.01%</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1,469,051,838.05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61.77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1,469,051,838.05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61.77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727,967,193.25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30.61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727,967,193.25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30.61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150,503,657.69</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6.33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30,625,427.25</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1.29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2,378,148,116.24</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2,503,878.00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0.11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1,052,514,693.17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44.47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2,888,028.00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8,757,448.00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0.37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66,565,282.45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2.81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153,220,714.31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6.47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56,830,729.66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2.40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96,949,469.00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4.10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11,579,874.00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0.49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17,235,143.42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0.73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1,469,051,838.05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62.07</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6F0C3C">
        <w:tc>
          <w:tcPr>
            <w:tcW w:w="0" w:type="auto"/>
            <w:vAlign w:val="center"/>
          </w:tcPr>
          <w:p w:rsidR="006F0C3C" w:rsidRDefault="00E94838">
            <w:pPr>
              <w:jc w:val="center"/>
            </w:pPr>
            <w:r>
              <w:rPr>
                <w:color w:val="000000"/>
                <w:kern w:val="0"/>
                <w:sz w:val="24"/>
                <w:szCs w:val="24"/>
              </w:rPr>
              <w:t>1</w:t>
            </w:r>
          </w:p>
        </w:tc>
        <w:tc>
          <w:tcPr>
            <w:tcW w:w="0" w:type="auto"/>
            <w:vAlign w:val="center"/>
          </w:tcPr>
          <w:p w:rsidR="006F0C3C" w:rsidRDefault="00E94838">
            <w:pPr>
              <w:jc w:val="center"/>
            </w:pPr>
            <w:r>
              <w:rPr>
                <w:color w:val="000000"/>
                <w:kern w:val="0"/>
                <w:sz w:val="24"/>
                <w:szCs w:val="24"/>
              </w:rPr>
              <w:t>300476</w:t>
            </w:r>
          </w:p>
        </w:tc>
        <w:tc>
          <w:tcPr>
            <w:tcW w:w="0" w:type="auto"/>
            <w:vAlign w:val="center"/>
          </w:tcPr>
          <w:p w:rsidR="006F0C3C" w:rsidRDefault="00E94838">
            <w:pPr>
              <w:jc w:val="center"/>
            </w:pPr>
            <w:r>
              <w:rPr>
                <w:color w:val="000000"/>
                <w:kern w:val="0"/>
                <w:sz w:val="24"/>
                <w:szCs w:val="24"/>
              </w:rPr>
              <w:t>胜宏科技</w:t>
            </w:r>
          </w:p>
        </w:tc>
        <w:tc>
          <w:tcPr>
            <w:tcW w:w="0" w:type="auto"/>
            <w:vAlign w:val="center"/>
          </w:tcPr>
          <w:p w:rsidR="006F0C3C" w:rsidRDefault="00E94838">
            <w:pPr>
              <w:jc w:val="right"/>
            </w:pPr>
            <w:r>
              <w:rPr>
                <w:color w:val="000000"/>
                <w:kern w:val="0"/>
                <w:sz w:val="24"/>
                <w:szCs w:val="24"/>
              </w:rPr>
              <w:t>9,735,601</w:t>
            </w:r>
          </w:p>
        </w:tc>
        <w:tc>
          <w:tcPr>
            <w:tcW w:w="0" w:type="auto"/>
            <w:vAlign w:val="center"/>
          </w:tcPr>
          <w:p w:rsidR="006F0C3C" w:rsidRDefault="00E94838">
            <w:pPr>
              <w:jc w:val="right"/>
            </w:pPr>
            <w:r>
              <w:rPr>
                <w:color w:val="000000"/>
                <w:kern w:val="0"/>
                <w:sz w:val="24"/>
                <w:szCs w:val="24"/>
              </w:rPr>
              <w:t>158,787,652.31</w:t>
            </w:r>
          </w:p>
        </w:tc>
        <w:tc>
          <w:tcPr>
            <w:tcW w:w="0" w:type="auto"/>
            <w:vAlign w:val="center"/>
          </w:tcPr>
          <w:p w:rsidR="006F0C3C" w:rsidRDefault="00E94838">
            <w:pPr>
              <w:jc w:val="right"/>
            </w:pPr>
            <w:r>
              <w:rPr>
                <w:color w:val="000000"/>
                <w:kern w:val="0"/>
                <w:sz w:val="24"/>
                <w:szCs w:val="24"/>
              </w:rPr>
              <w:t>6.71</w:t>
            </w:r>
          </w:p>
        </w:tc>
      </w:tr>
      <w:tr w:rsidR="006F0C3C">
        <w:tc>
          <w:tcPr>
            <w:tcW w:w="0" w:type="auto"/>
            <w:vAlign w:val="center"/>
          </w:tcPr>
          <w:p w:rsidR="006F0C3C" w:rsidRDefault="00E94838">
            <w:pPr>
              <w:jc w:val="center"/>
            </w:pPr>
            <w:r>
              <w:rPr>
                <w:color w:val="000000"/>
                <w:kern w:val="0"/>
                <w:sz w:val="24"/>
                <w:szCs w:val="24"/>
              </w:rPr>
              <w:t>2</w:t>
            </w:r>
          </w:p>
        </w:tc>
        <w:tc>
          <w:tcPr>
            <w:tcW w:w="0" w:type="auto"/>
            <w:vAlign w:val="center"/>
          </w:tcPr>
          <w:p w:rsidR="006F0C3C" w:rsidRDefault="00E94838">
            <w:pPr>
              <w:jc w:val="center"/>
            </w:pPr>
            <w:r>
              <w:rPr>
                <w:color w:val="000000"/>
                <w:kern w:val="0"/>
                <w:sz w:val="24"/>
                <w:szCs w:val="24"/>
              </w:rPr>
              <w:t>000002</w:t>
            </w:r>
          </w:p>
        </w:tc>
        <w:tc>
          <w:tcPr>
            <w:tcW w:w="0" w:type="auto"/>
            <w:vAlign w:val="center"/>
          </w:tcPr>
          <w:p w:rsidR="006F0C3C" w:rsidRDefault="00E94838">
            <w:pPr>
              <w:jc w:val="center"/>
            </w:pPr>
            <w:r>
              <w:rPr>
                <w:color w:val="000000"/>
                <w:kern w:val="0"/>
                <w:sz w:val="24"/>
                <w:szCs w:val="24"/>
              </w:rPr>
              <w:t>万科</w:t>
            </w:r>
            <w:r>
              <w:rPr>
                <w:color w:val="000000"/>
                <w:kern w:val="0"/>
                <w:sz w:val="24"/>
                <w:szCs w:val="24"/>
              </w:rPr>
              <w:t>A</w:t>
            </w:r>
          </w:p>
        </w:tc>
        <w:tc>
          <w:tcPr>
            <w:tcW w:w="0" w:type="auto"/>
            <w:vAlign w:val="center"/>
          </w:tcPr>
          <w:p w:rsidR="006F0C3C" w:rsidRDefault="00E94838">
            <w:pPr>
              <w:jc w:val="right"/>
            </w:pPr>
            <w:r>
              <w:rPr>
                <w:color w:val="000000"/>
                <w:kern w:val="0"/>
                <w:sz w:val="24"/>
                <w:szCs w:val="24"/>
              </w:rPr>
              <w:t>2,273,800</w:t>
            </w:r>
          </w:p>
        </w:tc>
        <w:tc>
          <w:tcPr>
            <w:tcW w:w="0" w:type="auto"/>
            <w:vAlign w:val="center"/>
          </w:tcPr>
          <w:p w:rsidR="006F0C3C" w:rsidRDefault="00E94838">
            <w:pPr>
              <w:jc w:val="right"/>
            </w:pPr>
            <w:r>
              <w:rPr>
                <w:color w:val="000000"/>
                <w:kern w:val="0"/>
                <w:sz w:val="24"/>
                <w:szCs w:val="24"/>
              </w:rPr>
              <w:t>73,170,884.00</w:t>
            </w:r>
          </w:p>
        </w:tc>
        <w:tc>
          <w:tcPr>
            <w:tcW w:w="0" w:type="auto"/>
            <w:vAlign w:val="center"/>
          </w:tcPr>
          <w:p w:rsidR="006F0C3C" w:rsidRDefault="00E94838">
            <w:pPr>
              <w:jc w:val="right"/>
            </w:pPr>
            <w:r>
              <w:rPr>
                <w:color w:val="000000"/>
                <w:kern w:val="0"/>
                <w:sz w:val="24"/>
                <w:szCs w:val="24"/>
              </w:rPr>
              <w:t>3.09</w:t>
            </w:r>
          </w:p>
        </w:tc>
      </w:tr>
      <w:tr w:rsidR="006F0C3C">
        <w:tc>
          <w:tcPr>
            <w:tcW w:w="0" w:type="auto"/>
            <w:vAlign w:val="center"/>
          </w:tcPr>
          <w:p w:rsidR="006F0C3C" w:rsidRDefault="00E94838">
            <w:pPr>
              <w:jc w:val="center"/>
            </w:pPr>
            <w:r>
              <w:rPr>
                <w:color w:val="000000"/>
                <w:kern w:val="0"/>
                <w:sz w:val="24"/>
                <w:szCs w:val="24"/>
              </w:rPr>
              <w:t>3</w:t>
            </w:r>
          </w:p>
        </w:tc>
        <w:tc>
          <w:tcPr>
            <w:tcW w:w="0" w:type="auto"/>
            <w:vAlign w:val="center"/>
          </w:tcPr>
          <w:p w:rsidR="006F0C3C" w:rsidRDefault="00E94838">
            <w:pPr>
              <w:jc w:val="center"/>
            </w:pPr>
            <w:r>
              <w:rPr>
                <w:color w:val="000000"/>
                <w:kern w:val="0"/>
                <w:sz w:val="24"/>
                <w:szCs w:val="24"/>
              </w:rPr>
              <w:t>002396</w:t>
            </w:r>
          </w:p>
        </w:tc>
        <w:tc>
          <w:tcPr>
            <w:tcW w:w="0" w:type="auto"/>
            <w:vAlign w:val="center"/>
          </w:tcPr>
          <w:p w:rsidR="006F0C3C" w:rsidRDefault="00E94838">
            <w:pPr>
              <w:jc w:val="center"/>
            </w:pPr>
            <w:r>
              <w:rPr>
                <w:color w:val="000000"/>
                <w:kern w:val="0"/>
                <w:sz w:val="24"/>
                <w:szCs w:val="24"/>
              </w:rPr>
              <w:t>星网锐捷</w:t>
            </w:r>
          </w:p>
        </w:tc>
        <w:tc>
          <w:tcPr>
            <w:tcW w:w="0" w:type="auto"/>
            <w:vAlign w:val="center"/>
          </w:tcPr>
          <w:p w:rsidR="006F0C3C" w:rsidRDefault="00E94838">
            <w:pPr>
              <w:jc w:val="right"/>
            </w:pPr>
            <w:r>
              <w:rPr>
                <w:color w:val="000000"/>
                <w:kern w:val="0"/>
                <w:sz w:val="24"/>
                <w:szCs w:val="24"/>
              </w:rPr>
              <w:t>1,992,228</w:t>
            </w:r>
          </w:p>
        </w:tc>
        <w:tc>
          <w:tcPr>
            <w:tcW w:w="0" w:type="auto"/>
            <w:vAlign w:val="center"/>
          </w:tcPr>
          <w:p w:rsidR="006F0C3C" w:rsidRDefault="00E94838">
            <w:pPr>
              <w:jc w:val="right"/>
            </w:pPr>
            <w:r>
              <w:rPr>
                <w:color w:val="000000"/>
                <w:kern w:val="0"/>
                <w:sz w:val="24"/>
                <w:szCs w:val="24"/>
              </w:rPr>
              <w:t>70,843,627.68</w:t>
            </w:r>
          </w:p>
        </w:tc>
        <w:tc>
          <w:tcPr>
            <w:tcW w:w="0" w:type="auto"/>
            <w:vAlign w:val="center"/>
          </w:tcPr>
          <w:p w:rsidR="006F0C3C" w:rsidRDefault="00E94838">
            <w:pPr>
              <w:jc w:val="right"/>
            </w:pPr>
            <w:r>
              <w:rPr>
                <w:color w:val="000000"/>
                <w:kern w:val="0"/>
                <w:sz w:val="24"/>
                <w:szCs w:val="24"/>
              </w:rPr>
              <w:t>2.99</w:t>
            </w:r>
          </w:p>
        </w:tc>
      </w:tr>
      <w:tr w:rsidR="006F0C3C">
        <w:tc>
          <w:tcPr>
            <w:tcW w:w="0" w:type="auto"/>
            <w:vAlign w:val="center"/>
          </w:tcPr>
          <w:p w:rsidR="006F0C3C" w:rsidRDefault="00E94838">
            <w:pPr>
              <w:jc w:val="center"/>
            </w:pPr>
            <w:r>
              <w:rPr>
                <w:color w:val="000000"/>
                <w:kern w:val="0"/>
                <w:sz w:val="24"/>
                <w:szCs w:val="24"/>
              </w:rPr>
              <w:t>4</w:t>
            </w:r>
          </w:p>
        </w:tc>
        <w:tc>
          <w:tcPr>
            <w:tcW w:w="0" w:type="auto"/>
            <w:vAlign w:val="center"/>
          </w:tcPr>
          <w:p w:rsidR="006F0C3C" w:rsidRDefault="00E94838">
            <w:pPr>
              <w:jc w:val="center"/>
            </w:pPr>
            <w:r>
              <w:rPr>
                <w:color w:val="000000"/>
                <w:kern w:val="0"/>
                <w:sz w:val="24"/>
                <w:szCs w:val="24"/>
              </w:rPr>
              <w:t>002376</w:t>
            </w:r>
          </w:p>
        </w:tc>
        <w:tc>
          <w:tcPr>
            <w:tcW w:w="0" w:type="auto"/>
            <w:vAlign w:val="center"/>
          </w:tcPr>
          <w:p w:rsidR="006F0C3C" w:rsidRDefault="00E94838">
            <w:pPr>
              <w:jc w:val="center"/>
            </w:pPr>
            <w:r>
              <w:rPr>
                <w:color w:val="000000"/>
                <w:kern w:val="0"/>
                <w:sz w:val="24"/>
                <w:szCs w:val="24"/>
              </w:rPr>
              <w:t>新北洋</w:t>
            </w:r>
          </w:p>
        </w:tc>
        <w:tc>
          <w:tcPr>
            <w:tcW w:w="0" w:type="auto"/>
            <w:vAlign w:val="center"/>
          </w:tcPr>
          <w:p w:rsidR="006F0C3C" w:rsidRDefault="00E94838">
            <w:pPr>
              <w:jc w:val="right"/>
            </w:pPr>
            <w:r>
              <w:rPr>
                <w:color w:val="000000"/>
                <w:kern w:val="0"/>
                <w:sz w:val="24"/>
                <w:szCs w:val="24"/>
              </w:rPr>
              <w:t>4,920,700</w:t>
            </w:r>
          </w:p>
        </w:tc>
        <w:tc>
          <w:tcPr>
            <w:tcW w:w="0" w:type="auto"/>
            <w:vAlign w:val="center"/>
          </w:tcPr>
          <w:p w:rsidR="006F0C3C" w:rsidRDefault="00E94838">
            <w:pPr>
              <w:jc w:val="right"/>
            </w:pPr>
            <w:r>
              <w:rPr>
                <w:color w:val="000000"/>
                <w:kern w:val="0"/>
                <w:sz w:val="24"/>
                <w:szCs w:val="24"/>
              </w:rPr>
              <w:t>59,540,470.00</w:t>
            </w:r>
          </w:p>
        </w:tc>
        <w:tc>
          <w:tcPr>
            <w:tcW w:w="0" w:type="auto"/>
            <w:vAlign w:val="center"/>
          </w:tcPr>
          <w:p w:rsidR="006F0C3C" w:rsidRDefault="00E94838">
            <w:pPr>
              <w:jc w:val="right"/>
            </w:pPr>
            <w:r>
              <w:rPr>
                <w:color w:val="000000"/>
                <w:kern w:val="0"/>
                <w:sz w:val="24"/>
                <w:szCs w:val="24"/>
              </w:rPr>
              <w:t>2.52</w:t>
            </w:r>
          </w:p>
        </w:tc>
      </w:tr>
      <w:tr w:rsidR="006F0C3C">
        <w:tc>
          <w:tcPr>
            <w:tcW w:w="0" w:type="auto"/>
            <w:vAlign w:val="center"/>
          </w:tcPr>
          <w:p w:rsidR="006F0C3C" w:rsidRDefault="00E94838">
            <w:pPr>
              <w:jc w:val="center"/>
            </w:pPr>
            <w:r>
              <w:rPr>
                <w:color w:val="000000"/>
                <w:kern w:val="0"/>
                <w:sz w:val="24"/>
                <w:szCs w:val="24"/>
              </w:rPr>
              <w:t>5</w:t>
            </w:r>
          </w:p>
        </w:tc>
        <w:tc>
          <w:tcPr>
            <w:tcW w:w="0" w:type="auto"/>
            <w:vAlign w:val="center"/>
          </w:tcPr>
          <w:p w:rsidR="006F0C3C" w:rsidRDefault="00E94838">
            <w:pPr>
              <w:jc w:val="center"/>
            </w:pPr>
            <w:r>
              <w:rPr>
                <w:color w:val="000000"/>
                <w:kern w:val="0"/>
                <w:sz w:val="24"/>
                <w:szCs w:val="24"/>
              </w:rPr>
              <w:t>600004</w:t>
            </w:r>
          </w:p>
        </w:tc>
        <w:tc>
          <w:tcPr>
            <w:tcW w:w="0" w:type="auto"/>
            <w:vAlign w:val="center"/>
          </w:tcPr>
          <w:p w:rsidR="006F0C3C" w:rsidRDefault="00E94838">
            <w:pPr>
              <w:jc w:val="center"/>
            </w:pPr>
            <w:r>
              <w:rPr>
                <w:color w:val="000000"/>
                <w:kern w:val="0"/>
                <w:sz w:val="24"/>
                <w:szCs w:val="24"/>
              </w:rPr>
              <w:t>白云机场</w:t>
            </w:r>
          </w:p>
        </w:tc>
        <w:tc>
          <w:tcPr>
            <w:tcW w:w="0" w:type="auto"/>
            <w:vAlign w:val="center"/>
          </w:tcPr>
          <w:p w:rsidR="006F0C3C" w:rsidRDefault="00E94838">
            <w:pPr>
              <w:jc w:val="right"/>
            </w:pPr>
            <w:r>
              <w:rPr>
                <w:color w:val="000000"/>
                <w:kern w:val="0"/>
                <w:sz w:val="24"/>
                <w:szCs w:val="24"/>
              </w:rPr>
              <w:t>3,017,201</w:t>
            </w:r>
          </w:p>
        </w:tc>
        <w:tc>
          <w:tcPr>
            <w:tcW w:w="0" w:type="auto"/>
            <w:vAlign w:val="center"/>
          </w:tcPr>
          <w:p w:rsidR="006F0C3C" w:rsidRDefault="00E94838">
            <w:pPr>
              <w:jc w:val="right"/>
            </w:pPr>
            <w:r>
              <w:rPr>
                <w:color w:val="000000"/>
                <w:kern w:val="0"/>
                <w:sz w:val="24"/>
                <w:szCs w:val="24"/>
              </w:rPr>
              <w:t>52,650,157.45</w:t>
            </w:r>
          </w:p>
        </w:tc>
        <w:tc>
          <w:tcPr>
            <w:tcW w:w="0" w:type="auto"/>
            <w:vAlign w:val="center"/>
          </w:tcPr>
          <w:p w:rsidR="006F0C3C" w:rsidRDefault="00E94838">
            <w:pPr>
              <w:jc w:val="right"/>
            </w:pPr>
            <w:r>
              <w:rPr>
                <w:color w:val="000000"/>
                <w:kern w:val="0"/>
                <w:sz w:val="24"/>
                <w:szCs w:val="24"/>
              </w:rPr>
              <w:t>2.22</w:t>
            </w:r>
          </w:p>
        </w:tc>
      </w:tr>
      <w:tr w:rsidR="006F0C3C">
        <w:tc>
          <w:tcPr>
            <w:tcW w:w="0" w:type="auto"/>
            <w:vAlign w:val="center"/>
          </w:tcPr>
          <w:p w:rsidR="006F0C3C" w:rsidRDefault="00E94838">
            <w:pPr>
              <w:jc w:val="center"/>
            </w:pPr>
            <w:r>
              <w:rPr>
                <w:color w:val="000000"/>
                <w:kern w:val="0"/>
                <w:sz w:val="24"/>
                <w:szCs w:val="24"/>
              </w:rPr>
              <w:t>6</w:t>
            </w:r>
          </w:p>
        </w:tc>
        <w:tc>
          <w:tcPr>
            <w:tcW w:w="0" w:type="auto"/>
            <w:vAlign w:val="center"/>
          </w:tcPr>
          <w:p w:rsidR="006F0C3C" w:rsidRDefault="00E94838">
            <w:pPr>
              <w:jc w:val="center"/>
            </w:pPr>
            <w:r>
              <w:rPr>
                <w:color w:val="000000"/>
                <w:kern w:val="0"/>
                <w:sz w:val="24"/>
                <w:szCs w:val="24"/>
              </w:rPr>
              <w:t>002384</w:t>
            </w:r>
          </w:p>
        </w:tc>
        <w:tc>
          <w:tcPr>
            <w:tcW w:w="0" w:type="auto"/>
            <w:vAlign w:val="center"/>
          </w:tcPr>
          <w:p w:rsidR="006F0C3C" w:rsidRDefault="00E94838">
            <w:pPr>
              <w:jc w:val="center"/>
            </w:pPr>
            <w:r>
              <w:rPr>
                <w:color w:val="000000"/>
                <w:kern w:val="0"/>
                <w:sz w:val="24"/>
                <w:szCs w:val="24"/>
              </w:rPr>
              <w:t>东山精密</w:t>
            </w:r>
          </w:p>
        </w:tc>
        <w:tc>
          <w:tcPr>
            <w:tcW w:w="0" w:type="auto"/>
            <w:vAlign w:val="center"/>
          </w:tcPr>
          <w:p w:rsidR="006F0C3C" w:rsidRDefault="00E94838">
            <w:pPr>
              <w:jc w:val="right"/>
            </w:pPr>
            <w:r>
              <w:rPr>
                <w:color w:val="000000"/>
                <w:kern w:val="0"/>
                <w:sz w:val="24"/>
                <w:szCs w:val="24"/>
              </w:rPr>
              <w:t>2,253,600</w:t>
            </w:r>
          </w:p>
        </w:tc>
        <w:tc>
          <w:tcPr>
            <w:tcW w:w="0" w:type="auto"/>
            <w:vAlign w:val="center"/>
          </w:tcPr>
          <w:p w:rsidR="006F0C3C" w:rsidRDefault="00E94838">
            <w:pPr>
              <w:jc w:val="right"/>
            </w:pPr>
            <w:r>
              <w:rPr>
                <w:color w:val="000000"/>
                <w:kern w:val="0"/>
                <w:sz w:val="24"/>
                <w:szCs w:val="24"/>
              </w:rPr>
              <w:t>51,966,840.00</w:t>
            </w:r>
          </w:p>
        </w:tc>
        <w:tc>
          <w:tcPr>
            <w:tcW w:w="0" w:type="auto"/>
            <w:vAlign w:val="center"/>
          </w:tcPr>
          <w:p w:rsidR="006F0C3C" w:rsidRDefault="00E94838">
            <w:pPr>
              <w:jc w:val="right"/>
            </w:pPr>
            <w:r>
              <w:rPr>
                <w:color w:val="000000"/>
                <w:kern w:val="0"/>
                <w:sz w:val="24"/>
                <w:szCs w:val="24"/>
              </w:rPr>
              <w:t>2.20</w:t>
            </w:r>
          </w:p>
        </w:tc>
      </w:tr>
      <w:tr w:rsidR="006F0C3C">
        <w:tc>
          <w:tcPr>
            <w:tcW w:w="0" w:type="auto"/>
            <w:vAlign w:val="center"/>
          </w:tcPr>
          <w:p w:rsidR="006F0C3C" w:rsidRDefault="00E94838">
            <w:pPr>
              <w:jc w:val="center"/>
            </w:pPr>
            <w:r>
              <w:rPr>
                <w:color w:val="000000"/>
                <w:kern w:val="0"/>
                <w:sz w:val="24"/>
                <w:szCs w:val="24"/>
              </w:rPr>
              <w:t>7</w:t>
            </w:r>
          </w:p>
        </w:tc>
        <w:tc>
          <w:tcPr>
            <w:tcW w:w="0" w:type="auto"/>
            <w:vAlign w:val="center"/>
          </w:tcPr>
          <w:p w:rsidR="006F0C3C" w:rsidRDefault="00E94838">
            <w:pPr>
              <w:jc w:val="center"/>
            </w:pPr>
            <w:r>
              <w:rPr>
                <w:color w:val="000000"/>
                <w:kern w:val="0"/>
                <w:sz w:val="24"/>
                <w:szCs w:val="24"/>
              </w:rPr>
              <w:t>002025</w:t>
            </w:r>
          </w:p>
        </w:tc>
        <w:tc>
          <w:tcPr>
            <w:tcW w:w="0" w:type="auto"/>
            <w:vAlign w:val="center"/>
          </w:tcPr>
          <w:p w:rsidR="006F0C3C" w:rsidRDefault="00E94838">
            <w:pPr>
              <w:jc w:val="center"/>
            </w:pPr>
            <w:r>
              <w:rPr>
                <w:color w:val="000000"/>
                <w:kern w:val="0"/>
                <w:sz w:val="24"/>
                <w:szCs w:val="24"/>
              </w:rPr>
              <w:t>航天电器</w:t>
            </w:r>
          </w:p>
        </w:tc>
        <w:tc>
          <w:tcPr>
            <w:tcW w:w="0" w:type="auto"/>
            <w:vAlign w:val="center"/>
          </w:tcPr>
          <w:p w:rsidR="006F0C3C" w:rsidRDefault="00E94838">
            <w:pPr>
              <w:jc w:val="right"/>
            </w:pPr>
            <w:r>
              <w:rPr>
                <w:color w:val="000000"/>
                <w:kern w:val="0"/>
                <w:sz w:val="24"/>
                <w:szCs w:val="24"/>
              </w:rPr>
              <w:t>1,900,000</w:t>
            </w:r>
          </w:p>
        </w:tc>
        <w:tc>
          <w:tcPr>
            <w:tcW w:w="0" w:type="auto"/>
            <w:vAlign w:val="center"/>
          </w:tcPr>
          <w:p w:rsidR="006F0C3C" w:rsidRDefault="00E94838">
            <w:pPr>
              <w:jc w:val="right"/>
            </w:pPr>
            <w:r>
              <w:rPr>
                <w:color w:val="000000"/>
                <w:kern w:val="0"/>
                <w:sz w:val="24"/>
                <w:szCs w:val="24"/>
              </w:rPr>
              <w:t>50,483,000.00</w:t>
            </w:r>
          </w:p>
        </w:tc>
        <w:tc>
          <w:tcPr>
            <w:tcW w:w="0" w:type="auto"/>
            <w:vAlign w:val="center"/>
          </w:tcPr>
          <w:p w:rsidR="006F0C3C" w:rsidRDefault="00E94838">
            <w:pPr>
              <w:jc w:val="right"/>
            </w:pPr>
            <w:r>
              <w:rPr>
                <w:color w:val="000000"/>
                <w:kern w:val="0"/>
                <w:sz w:val="24"/>
                <w:szCs w:val="24"/>
              </w:rPr>
              <w:t>2.13</w:t>
            </w:r>
          </w:p>
        </w:tc>
      </w:tr>
      <w:tr w:rsidR="006F0C3C">
        <w:tc>
          <w:tcPr>
            <w:tcW w:w="0" w:type="auto"/>
            <w:vAlign w:val="center"/>
          </w:tcPr>
          <w:p w:rsidR="006F0C3C" w:rsidRDefault="00E94838">
            <w:pPr>
              <w:jc w:val="center"/>
            </w:pPr>
            <w:r>
              <w:rPr>
                <w:color w:val="000000"/>
                <w:kern w:val="0"/>
                <w:sz w:val="24"/>
                <w:szCs w:val="24"/>
              </w:rPr>
              <w:t>8</w:t>
            </w:r>
          </w:p>
        </w:tc>
        <w:tc>
          <w:tcPr>
            <w:tcW w:w="0" w:type="auto"/>
            <w:vAlign w:val="center"/>
          </w:tcPr>
          <w:p w:rsidR="006F0C3C" w:rsidRDefault="00E94838">
            <w:pPr>
              <w:jc w:val="center"/>
            </w:pPr>
            <w:r>
              <w:rPr>
                <w:color w:val="000000"/>
                <w:kern w:val="0"/>
                <w:sz w:val="24"/>
                <w:szCs w:val="24"/>
              </w:rPr>
              <w:t>300628</w:t>
            </w:r>
          </w:p>
        </w:tc>
        <w:tc>
          <w:tcPr>
            <w:tcW w:w="0" w:type="auto"/>
            <w:vAlign w:val="center"/>
          </w:tcPr>
          <w:p w:rsidR="006F0C3C" w:rsidRDefault="00E94838">
            <w:pPr>
              <w:jc w:val="center"/>
            </w:pPr>
            <w:r>
              <w:rPr>
                <w:color w:val="000000"/>
                <w:kern w:val="0"/>
                <w:sz w:val="24"/>
                <w:szCs w:val="24"/>
              </w:rPr>
              <w:t>亿联网络</w:t>
            </w:r>
          </w:p>
        </w:tc>
        <w:tc>
          <w:tcPr>
            <w:tcW w:w="0" w:type="auto"/>
            <w:vAlign w:val="center"/>
          </w:tcPr>
          <w:p w:rsidR="006F0C3C" w:rsidRDefault="00E94838">
            <w:pPr>
              <w:jc w:val="right"/>
            </w:pPr>
            <w:r>
              <w:rPr>
                <w:color w:val="000000"/>
                <w:kern w:val="0"/>
                <w:sz w:val="24"/>
                <w:szCs w:val="24"/>
              </w:rPr>
              <w:t>691,000</w:t>
            </w:r>
          </w:p>
        </w:tc>
        <w:tc>
          <w:tcPr>
            <w:tcW w:w="0" w:type="auto"/>
            <w:vAlign w:val="center"/>
          </w:tcPr>
          <w:p w:rsidR="006F0C3C" w:rsidRDefault="00E94838">
            <w:pPr>
              <w:jc w:val="right"/>
            </w:pPr>
            <w:r>
              <w:rPr>
                <w:color w:val="000000"/>
                <w:kern w:val="0"/>
                <w:sz w:val="24"/>
                <w:szCs w:val="24"/>
              </w:rPr>
              <w:t>50,035,310.00</w:t>
            </w:r>
          </w:p>
        </w:tc>
        <w:tc>
          <w:tcPr>
            <w:tcW w:w="0" w:type="auto"/>
            <w:vAlign w:val="center"/>
          </w:tcPr>
          <w:p w:rsidR="006F0C3C" w:rsidRDefault="00E94838">
            <w:pPr>
              <w:jc w:val="right"/>
            </w:pPr>
            <w:r>
              <w:rPr>
                <w:color w:val="000000"/>
                <w:kern w:val="0"/>
                <w:sz w:val="24"/>
                <w:szCs w:val="24"/>
              </w:rPr>
              <w:t>2.11</w:t>
            </w:r>
          </w:p>
        </w:tc>
      </w:tr>
      <w:tr w:rsidR="006F0C3C">
        <w:tc>
          <w:tcPr>
            <w:tcW w:w="0" w:type="auto"/>
            <w:vAlign w:val="center"/>
          </w:tcPr>
          <w:p w:rsidR="006F0C3C" w:rsidRDefault="00E94838">
            <w:pPr>
              <w:jc w:val="center"/>
            </w:pPr>
            <w:r>
              <w:rPr>
                <w:color w:val="000000"/>
                <w:kern w:val="0"/>
                <w:sz w:val="24"/>
                <w:szCs w:val="24"/>
              </w:rPr>
              <w:t>9</w:t>
            </w:r>
          </w:p>
        </w:tc>
        <w:tc>
          <w:tcPr>
            <w:tcW w:w="0" w:type="auto"/>
            <w:vAlign w:val="center"/>
          </w:tcPr>
          <w:p w:rsidR="006F0C3C" w:rsidRDefault="00E94838">
            <w:pPr>
              <w:jc w:val="center"/>
            </w:pPr>
            <w:r>
              <w:rPr>
                <w:color w:val="000000"/>
                <w:kern w:val="0"/>
                <w:sz w:val="24"/>
                <w:szCs w:val="24"/>
              </w:rPr>
              <w:t>601012</w:t>
            </w:r>
          </w:p>
        </w:tc>
        <w:tc>
          <w:tcPr>
            <w:tcW w:w="0" w:type="auto"/>
            <w:vAlign w:val="center"/>
          </w:tcPr>
          <w:p w:rsidR="006F0C3C" w:rsidRDefault="00E94838">
            <w:pPr>
              <w:jc w:val="center"/>
            </w:pPr>
            <w:r>
              <w:rPr>
                <w:color w:val="000000"/>
                <w:kern w:val="0"/>
                <w:sz w:val="24"/>
                <w:szCs w:val="24"/>
              </w:rPr>
              <w:t>隆基股份</w:t>
            </w:r>
          </w:p>
        </w:tc>
        <w:tc>
          <w:tcPr>
            <w:tcW w:w="0" w:type="auto"/>
            <w:vAlign w:val="center"/>
          </w:tcPr>
          <w:p w:rsidR="006F0C3C" w:rsidRDefault="00E94838">
            <w:pPr>
              <w:jc w:val="right"/>
            </w:pPr>
            <w:r>
              <w:rPr>
                <w:color w:val="000000"/>
                <w:kern w:val="0"/>
                <w:sz w:val="24"/>
                <w:szCs w:val="24"/>
              </w:rPr>
              <w:t>1,775,092</w:t>
            </w:r>
          </w:p>
        </w:tc>
        <w:tc>
          <w:tcPr>
            <w:tcW w:w="0" w:type="auto"/>
            <w:vAlign w:val="center"/>
          </w:tcPr>
          <w:p w:rsidR="006F0C3C" w:rsidRDefault="00E94838">
            <w:pPr>
              <w:jc w:val="right"/>
            </w:pPr>
            <w:r>
              <w:rPr>
                <w:color w:val="000000"/>
                <w:kern w:val="0"/>
                <w:sz w:val="24"/>
                <w:szCs w:val="24"/>
              </w:rPr>
              <w:t>44,075,534.36</w:t>
            </w:r>
          </w:p>
        </w:tc>
        <w:tc>
          <w:tcPr>
            <w:tcW w:w="0" w:type="auto"/>
            <w:vAlign w:val="center"/>
          </w:tcPr>
          <w:p w:rsidR="006F0C3C" w:rsidRDefault="00E94838">
            <w:pPr>
              <w:jc w:val="right"/>
            </w:pPr>
            <w:r>
              <w:rPr>
                <w:color w:val="000000"/>
                <w:kern w:val="0"/>
                <w:sz w:val="24"/>
                <w:szCs w:val="24"/>
              </w:rPr>
              <w:t>1.86</w:t>
            </w:r>
          </w:p>
        </w:tc>
      </w:tr>
      <w:tr w:rsidR="006F0C3C">
        <w:tc>
          <w:tcPr>
            <w:tcW w:w="0" w:type="auto"/>
            <w:vAlign w:val="center"/>
          </w:tcPr>
          <w:p w:rsidR="006F0C3C" w:rsidRDefault="00E94838">
            <w:pPr>
              <w:jc w:val="center"/>
            </w:pPr>
            <w:r>
              <w:rPr>
                <w:color w:val="000000"/>
                <w:kern w:val="0"/>
                <w:sz w:val="24"/>
                <w:szCs w:val="24"/>
              </w:rPr>
              <w:t>10</w:t>
            </w:r>
          </w:p>
        </w:tc>
        <w:tc>
          <w:tcPr>
            <w:tcW w:w="0" w:type="auto"/>
            <w:vAlign w:val="center"/>
          </w:tcPr>
          <w:p w:rsidR="006F0C3C" w:rsidRDefault="00E94838">
            <w:pPr>
              <w:jc w:val="center"/>
            </w:pPr>
            <w:r>
              <w:rPr>
                <w:color w:val="000000"/>
                <w:kern w:val="0"/>
                <w:sz w:val="24"/>
                <w:szCs w:val="24"/>
              </w:rPr>
              <w:t>300773</w:t>
            </w:r>
          </w:p>
        </w:tc>
        <w:tc>
          <w:tcPr>
            <w:tcW w:w="0" w:type="auto"/>
            <w:vAlign w:val="center"/>
          </w:tcPr>
          <w:p w:rsidR="006F0C3C" w:rsidRDefault="00E94838">
            <w:pPr>
              <w:jc w:val="center"/>
            </w:pPr>
            <w:r>
              <w:rPr>
                <w:color w:val="000000"/>
                <w:kern w:val="0"/>
                <w:sz w:val="24"/>
                <w:szCs w:val="24"/>
              </w:rPr>
              <w:t>拉卡拉</w:t>
            </w:r>
          </w:p>
        </w:tc>
        <w:tc>
          <w:tcPr>
            <w:tcW w:w="0" w:type="auto"/>
            <w:vAlign w:val="center"/>
          </w:tcPr>
          <w:p w:rsidR="006F0C3C" w:rsidRDefault="00E94838">
            <w:pPr>
              <w:jc w:val="right"/>
            </w:pPr>
            <w:r>
              <w:rPr>
                <w:color w:val="000000"/>
                <w:kern w:val="0"/>
                <w:sz w:val="24"/>
                <w:szCs w:val="24"/>
              </w:rPr>
              <w:t>487,500</w:t>
            </w:r>
          </w:p>
        </w:tc>
        <w:tc>
          <w:tcPr>
            <w:tcW w:w="0" w:type="auto"/>
            <w:vAlign w:val="center"/>
          </w:tcPr>
          <w:p w:rsidR="006F0C3C" w:rsidRDefault="00E94838">
            <w:pPr>
              <w:jc w:val="right"/>
            </w:pPr>
            <w:r>
              <w:rPr>
                <w:color w:val="000000"/>
                <w:kern w:val="0"/>
                <w:sz w:val="24"/>
                <w:szCs w:val="24"/>
              </w:rPr>
              <w:t>38,254,125.00</w:t>
            </w:r>
          </w:p>
        </w:tc>
        <w:tc>
          <w:tcPr>
            <w:tcW w:w="0" w:type="auto"/>
            <w:vAlign w:val="center"/>
          </w:tcPr>
          <w:p w:rsidR="006F0C3C" w:rsidRDefault="00E94838">
            <w:pPr>
              <w:jc w:val="right"/>
            </w:pPr>
            <w:r>
              <w:rPr>
                <w:color w:val="000000"/>
                <w:kern w:val="0"/>
                <w:sz w:val="24"/>
                <w:szCs w:val="24"/>
              </w:rPr>
              <w:t>1.62</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594,138,000.00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25.10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594,138,000.00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25.10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133,829,193.25</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5.65</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727,967,193.25</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30.76</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6F0C3C">
        <w:tc>
          <w:tcPr>
            <w:tcW w:w="0" w:type="auto"/>
            <w:vAlign w:val="center"/>
          </w:tcPr>
          <w:p w:rsidR="006F0C3C" w:rsidRDefault="00E94838">
            <w:pPr>
              <w:jc w:val="center"/>
            </w:pPr>
            <w:r>
              <w:rPr>
                <w:color w:val="000000"/>
                <w:kern w:val="0"/>
                <w:sz w:val="24"/>
                <w:szCs w:val="24"/>
              </w:rPr>
              <w:t>1</w:t>
            </w:r>
          </w:p>
        </w:tc>
        <w:tc>
          <w:tcPr>
            <w:tcW w:w="0" w:type="auto"/>
            <w:vAlign w:val="center"/>
          </w:tcPr>
          <w:p w:rsidR="006F0C3C" w:rsidRDefault="00E94838">
            <w:pPr>
              <w:jc w:val="center"/>
            </w:pPr>
            <w:r>
              <w:rPr>
                <w:color w:val="000000"/>
                <w:kern w:val="0"/>
                <w:sz w:val="24"/>
                <w:szCs w:val="24"/>
              </w:rPr>
              <w:t>170205</w:t>
            </w:r>
          </w:p>
        </w:tc>
        <w:tc>
          <w:tcPr>
            <w:tcW w:w="0" w:type="auto"/>
            <w:vAlign w:val="center"/>
          </w:tcPr>
          <w:p w:rsidR="006F0C3C" w:rsidRDefault="00E94838">
            <w:pPr>
              <w:jc w:val="center"/>
            </w:pPr>
            <w:r>
              <w:rPr>
                <w:color w:val="000000"/>
                <w:kern w:val="0"/>
                <w:sz w:val="24"/>
                <w:szCs w:val="24"/>
              </w:rPr>
              <w:t>17</w:t>
            </w:r>
            <w:r>
              <w:rPr>
                <w:color w:val="000000"/>
                <w:kern w:val="0"/>
                <w:sz w:val="24"/>
                <w:szCs w:val="24"/>
              </w:rPr>
              <w:t>国开</w:t>
            </w:r>
            <w:r>
              <w:rPr>
                <w:color w:val="000000"/>
                <w:kern w:val="0"/>
                <w:sz w:val="24"/>
                <w:szCs w:val="24"/>
              </w:rPr>
              <w:t>05</w:t>
            </w:r>
          </w:p>
        </w:tc>
        <w:tc>
          <w:tcPr>
            <w:tcW w:w="0" w:type="auto"/>
            <w:vAlign w:val="center"/>
          </w:tcPr>
          <w:p w:rsidR="006F0C3C" w:rsidRDefault="00E94838">
            <w:pPr>
              <w:jc w:val="right"/>
            </w:pPr>
            <w:r>
              <w:rPr>
                <w:color w:val="000000"/>
                <w:kern w:val="0"/>
                <w:sz w:val="24"/>
                <w:szCs w:val="24"/>
              </w:rPr>
              <w:t>1,800,000</w:t>
            </w:r>
          </w:p>
        </w:tc>
        <w:tc>
          <w:tcPr>
            <w:tcW w:w="0" w:type="auto"/>
            <w:vAlign w:val="center"/>
          </w:tcPr>
          <w:p w:rsidR="006F0C3C" w:rsidRDefault="00E94838">
            <w:pPr>
              <w:jc w:val="right"/>
            </w:pPr>
            <w:r>
              <w:rPr>
                <w:color w:val="000000"/>
                <w:kern w:val="0"/>
                <w:sz w:val="24"/>
                <w:szCs w:val="24"/>
              </w:rPr>
              <w:t>180,828,000.00</w:t>
            </w:r>
          </w:p>
        </w:tc>
        <w:tc>
          <w:tcPr>
            <w:tcW w:w="0" w:type="auto"/>
            <w:vAlign w:val="center"/>
          </w:tcPr>
          <w:p w:rsidR="006F0C3C" w:rsidRDefault="00E94838">
            <w:pPr>
              <w:jc w:val="right"/>
            </w:pPr>
            <w:r>
              <w:rPr>
                <w:color w:val="000000"/>
                <w:kern w:val="0"/>
                <w:sz w:val="24"/>
                <w:szCs w:val="24"/>
              </w:rPr>
              <w:t>7.64</w:t>
            </w:r>
          </w:p>
        </w:tc>
      </w:tr>
      <w:tr w:rsidR="006F0C3C">
        <w:tc>
          <w:tcPr>
            <w:tcW w:w="0" w:type="auto"/>
            <w:vAlign w:val="center"/>
          </w:tcPr>
          <w:p w:rsidR="006F0C3C" w:rsidRDefault="00E94838">
            <w:pPr>
              <w:jc w:val="center"/>
            </w:pPr>
            <w:r>
              <w:rPr>
                <w:color w:val="000000"/>
                <w:kern w:val="0"/>
                <w:sz w:val="24"/>
                <w:szCs w:val="24"/>
              </w:rPr>
              <w:t>2</w:t>
            </w:r>
          </w:p>
        </w:tc>
        <w:tc>
          <w:tcPr>
            <w:tcW w:w="0" w:type="auto"/>
            <w:vAlign w:val="center"/>
          </w:tcPr>
          <w:p w:rsidR="006F0C3C" w:rsidRDefault="00E94838">
            <w:pPr>
              <w:jc w:val="center"/>
            </w:pPr>
            <w:r>
              <w:rPr>
                <w:color w:val="000000"/>
                <w:kern w:val="0"/>
                <w:sz w:val="24"/>
                <w:szCs w:val="24"/>
              </w:rPr>
              <w:t>180208</w:t>
            </w:r>
          </w:p>
        </w:tc>
        <w:tc>
          <w:tcPr>
            <w:tcW w:w="0" w:type="auto"/>
            <w:vAlign w:val="center"/>
          </w:tcPr>
          <w:p w:rsidR="006F0C3C" w:rsidRDefault="00E94838">
            <w:pPr>
              <w:jc w:val="center"/>
            </w:pPr>
            <w:r>
              <w:rPr>
                <w:color w:val="000000"/>
                <w:kern w:val="0"/>
                <w:sz w:val="24"/>
                <w:szCs w:val="24"/>
              </w:rPr>
              <w:t>18</w:t>
            </w:r>
            <w:r>
              <w:rPr>
                <w:color w:val="000000"/>
                <w:kern w:val="0"/>
                <w:sz w:val="24"/>
                <w:szCs w:val="24"/>
              </w:rPr>
              <w:t>国开</w:t>
            </w:r>
            <w:r>
              <w:rPr>
                <w:color w:val="000000"/>
                <w:kern w:val="0"/>
                <w:sz w:val="24"/>
                <w:szCs w:val="24"/>
              </w:rPr>
              <w:t>08</w:t>
            </w:r>
          </w:p>
        </w:tc>
        <w:tc>
          <w:tcPr>
            <w:tcW w:w="0" w:type="auto"/>
            <w:vAlign w:val="center"/>
          </w:tcPr>
          <w:p w:rsidR="006F0C3C" w:rsidRDefault="00E94838">
            <w:pPr>
              <w:jc w:val="right"/>
            </w:pPr>
            <w:r>
              <w:rPr>
                <w:color w:val="000000"/>
                <w:kern w:val="0"/>
                <w:sz w:val="24"/>
                <w:szCs w:val="24"/>
              </w:rPr>
              <w:t>1,100,000</w:t>
            </w:r>
          </w:p>
        </w:tc>
        <w:tc>
          <w:tcPr>
            <w:tcW w:w="0" w:type="auto"/>
            <w:vAlign w:val="center"/>
          </w:tcPr>
          <w:p w:rsidR="006F0C3C" w:rsidRDefault="00E94838">
            <w:pPr>
              <w:jc w:val="right"/>
            </w:pPr>
            <w:r>
              <w:rPr>
                <w:color w:val="000000"/>
                <w:kern w:val="0"/>
                <w:sz w:val="24"/>
                <w:szCs w:val="24"/>
              </w:rPr>
              <w:t>111,980,000.00</w:t>
            </w:r>
          </w:p>
        </w:tc>
        <w:tc>
          <w:tcPr>
            <w:tcW w:w="0" w:type="auto"/>
            <w:vAlign w:val="center"/>
          </w:tcPr>
          <w:p w:rsidR="006F0C3C" w:rsidRDefault="00E94838">
            <w:pPr>
              <w:jc w:val="right"/>
            </w:pPr>
            <w:r>
              <w:rPr>
                <w:color w:val="000000"/>
                <w:kern w:val="0"/>
                <w:sz w:val="24"/>
                <w:szCs w:val="24"/>
              </w:rPr>
              <w:t>4.73</w:t>
            </w:r>
          </w:p>
        </w:tc>
      </w:tr>
      <w:tr w:rsidR="006F0C3C">
        <w:tc>
          <w:tcPr>
            <w:tcW w:w="0" w:type="auto"/>
            <w:vAlign w:val="center"/>
          </w:tcPr>
          <w:p w:rsidR="006F0C3C" w:rsidRDefault="00E94838">
            <w:pPr>
              <w:jc w:val="center"/>
            </w:pPr>
            <w:r>
              <w:rPr>
                <w:color w:val="000000"/>
                <w:kern w:val="0"/>
                <w:sz w:val="24"/>
                <w:szCs w:val="24"/>
              </w:rPr>
              <w:t>3</w:t>
            </w:r>
          </w:p>
        </w:tc>
        <w:tc>
          <w:tcPr>
            <w:tcW w:w="0" w:type="auto"/>
            <w:vAlign w:val="center"/>
          </w:tcPr>
          <w:p w:rsidR="006F0C3C" w:rsidRDefault="00E94838">
            <w:pPr>
              <w:jc w:val="center"/>
            </w:pPr>
            <w:r>
              <w:rPr>
                <w:color w:val="000000"/>
                <w:kern w:val="0"/>
                <w:sz w:val="24"/>
                <w:szCs w:val="24"/>
              </w:rPr>
              <w:t>190201</w:t>
            </w:r>
          </w:p>
        </w:tc>
        <w:tc>
          <w:tcPr>
            <w:tcW w:w="0" w:type="auto"/>
            <w:vAlign w:val="center"/>
          </w:tcPr>
          <w:p w:rsidR="006F0C3C" w:rsidRDefault="00E94838">
            <w:pPr>
              <w:jc w:val="center"/>
            </w:pPr>
            <w:r>
              <w:rPr>
                <w:color w:val="000000"/>
                <w:kern w:val="0"/>
                <w:sz w:val="24"/>
                <w:szCs w:val="24"/>
              </w:rPr>
              <w:t>19</w:t>
            </w:r>
            <w:r>
              <w:rPr>
                <w:color w:val="000000"/>
                <w:kern w:val="0"/>
                <w:sz w:val="24"/>
                <w:szCs w:val="24"/>
              </w:rPr>
              <w:t>国开</w:t>
            </w:r>
            <w:r>
              <w:rPr>
                <w:color w:val="000000"/>
                <w:kern w:val="0"/>
                <w:sz w:val="24"/>
                <w:szCs w:val="24"/>
              </w:rPr>
              <w:t>01</w:t>
            </w:r>
          </w:p>
        </w:tc>
        <w:tc>
          <w:tcPr>
            <w:tcW w:w="0" w:type="auto"/>
            <w:vAlign w:val="center"/>
          </w:tcPr>
          <w:p w:rsidR="006F0C3C" w:rsidRDefault="00E94838">
            <w:pPr>
              <w:jc w:val="right"/>
            </w:pPr>
            <w:r>
              <w:rPr>
                <w:color w:val="000000"/>
                <w:kern w:val="0"/>
                <w:sz w:val="24"/>
                <w:szCs w:val="24"/>
              </w:rPr>
              <w:t>700,000</w:t>
            </w:r>
          </w:p>
        </w:tc>
        <w:tc>
          <w:tcPr>
            <w:tcW w:w="0" w:type="auto"/>
            <w:vAlign w:val="center"/>
          </w:tcPr>
          <w:p w:rsidR="006F0C3C" w:rsidRDefault="00E94838">
            <w:pPr>
              <w:jc w:val="right"/>
            </w:pPr>
            <w:r>
              <w:rPr>
                <w:color w:val="000000"/>
                <w:kern w:val="0"/>
                <w:sz w:val="24"/>
                <w:szCs w:val="24"/>
              </w:rPr>
              <w:t>70,021,000.00</w:t>
            </w:r>
          </w:p>
        </w:tc>
        <w:tc>
          <w:tcPr>
            <w:tcW w:w="0" w:type="auto"/>
            <w:vAlign w:val="center"/>
          </w:tcPr>
          <w:p w:rsidR="006F0C3C" w:rsidRDefault="00E94838">
            <w:pPr>
              <w:jc w:val="right"/>
            </w:pPr>
            <w:r>
              <w:rPr>
                <w:color w:val="000000"/>
                <w:kern w:val="0"/>
                <w:sz w:val="24"/>
                <w:szCs w:val="24"/>
              </w:rPr>
              <w:t>2.96</w:t>
            </w:r>
          </w:p>
        </w:tc>
      </w:tr>
      <w:tr w:rsidR="006F0C3C">
        <w:tc>
          <w:tcPr>
            <w:tcW w:w="0" w:type="auto"/>
            <w:vAlign w:val="center"/>
          </w:tcPr>
          <w:p w:rsidR="006F0C3C" w:rsidRDefault="00E94838">
            <w:pPr>
              <w:jc w:val="center"/>
            </w:pPr>
            <w:r>
              <w:rPr>
                <w:color w:val="000000"/>
                <w:kern w:val="0"/>
                <w:sz w:val="24"/>
                <w:szCs w:val="24"/>
              </w:rPr>
              <w:t>4</w:t>
            </w:r>
          </w:p>
        </w:tc>
        <w:tc>
          <w:tcPr>
            <w:tcW w:w="0" w:type="auto"/>
            <w:vAlign w:val="center"/>
          </w:tcPr>
          <w:p w:rsidR="006F0C3C" w:rsidRDefault="00E94838">
            <w:pPr>
              <w:jc w:val="center"/>
            </w:pPr>
            <w:r>
              <w:rPr>
                <w:color w:val="000000"/>
                <w:kern w:val="0"/>
                <w:sz w:val="24"/>
                <w:szCs w:val="24"/>
              </w:rPr>
              <w:t>190211</w:t>
            </w:r>
          </w:p>
        </w:tc>
        <w:tc>
          <w:tcPr>
            <w:tcW w:w="0" w:type="auto"/>
            <w:vAlign w:val="center"/>
          </w:tcPr>
          <w:p w:rsidR="006F0C3C" w:rsidRDefault="00E94838">
            <w:pPr>
              <w:jc w:val="center"/>
            </w:pPr>
            <w:r>
              <w:rPr>
                <w:color w:val="000000"/>
                <w:kern w:val="0"/>
                <w:sz w:val="24"/>
                <w:szCs w:val="24"/>
              </w:rPr>
              <w:t>19</w:t>
            </w:r>
            <w:r>
              <w:rPr>
                <w:color w:val="000000"/>
                <w:kern w:val="0"/>
                <w:sz w:val="24"/>
                <w:szCs w:val="24"/>
              </w:rPr>
              <w:t>国开</w:t>
            </w:r>
            <w:r>
              <w:rPr>
                <w:color w:val="000000"/>
                <w:kern w:val="0"/>
                <w:sz w:val="24"/>
                <w:szCs w:val="24"/>
              </w:rPr>
              <w:t>11</w:t>
            </w:r>
          </w:p>
        </w:tc>
        <w:tc>
          <w:tcPr>
            <w:tcW w:w="0" w:type="auto"/>
            <w:vAlign w:val="center"/>
          </w:tcPr>
          <w:p w:rsidR="006F0C3C" w:rsidRDefault="00E94838">
            <w:pPr>
              <w:jc w:val="right"/>
            </w:pPr>
            <w:r>
              <w:rPr>
                <w:color w:val="000000"/>
                <w:kern w:val="0"/>
                <w:sz w:val="24"/>
                <w:szCs w:val="24"/>
              </w:rPr>
              <w:t>600,000</w:t>
            </w:r>
          </w:p>
        </w:tc>
        <w:tc>
          <w:tcPr>
            <w:tcW w:w="0" w:type="auto"/>
            <w:vAlign w:val="center"/>
          </w:tcPr>
          <w:p w:rsidR="006F0C3C" w:rsidRDefault="00E94838">
            <w:pPr>
              <w:jc w:val="right"/>
            </w:pPr>
            <w:r>
              <w:rPr>
                <w:color w:val="000000"/>
                <w:kern w:val="0"/>
                <w:sz w:val="24"/>
                <w:szCs w:val="24"/>
              </w:rPr>
              <w:t>60,084,000.00</w:t>
            </w:r>
          </w:p>
        </w:tc>
        <w:tc>
          <w:tcPr>
            <w:tcW w:w="0" w:type="auto"/>
            <w:vAlign w:val="center"/>
          </w:tcPr>
          <w:p w:rsidR="006F0C3C" w:rsidRDefault="00E94838">
            <w:pPr>
              <w:jc w:val="right"/>
            </w:pPr>
            <w:r>
              <w:rPr>
                <w:color w:val="000000"/>
                <w:kern w:val="0"/>
                <w:sz w:val="24"/>
                <w:szCs w:val="24"/>
              </w:rPr>
              <w:t>2.54</w:t>
            </w:r>
          </w:p>
        </w:tc>
      </w:tr>
      <w:tr w:rsidR="006F0C3C">
        <w:tc>
          <w:tcPr>
            <w:tcW w:w="0" w:type="auto"/>
            <w:vAlign w:val="center"/>
          </w:tcPr>
          <w:p w:rsidR="006F0C3C" w:rsidRDefault="00E94838">
            <w:pPr>
              <w:jc w:val="center"/>
            </w:pPr>
            <w:r>
              <w:rPr>
                <w:color w:val="000000"/>
                <w:kern w:val="0"/>
                <w:sz w:val="24"/>
                <w:szCs w:val="24"/>
              </w:rPr>
              <w:t>5</w:t>
            </w:r>
          </w:p>
        </w:tc>
        <w:tc>
          <w:tcPr>
            <w:tcW w:w="0" w:type="auto"/>
            <w:vAlign w:val="center"/>
          </w:tcPr>
          <w:p w:rsidR="006F0C3C" w:rsidRDefault="00E94838">
            <w:pPr>
              <w:jc w:val="center"/>
            </w:pPr>
            <w:r>
              <w:rPr>
                <w:color w:val="000000"/>
                <w:kern w:val="0"/>
                <w:sz w:val="24"/>
                <w:szCs w:val="24"/>
              </w:rPr>
              <w:t>160206</w:t>
            </w:r>
          </w:p>
        </w:tc>
        <w:tc>
          <w:tcPr>
            <w:tcW w:w="0" w:type="auto"/>
            <w:vAlign w:val="center"/>
          </w:tcPr>
          <w:p w:rsidR="006F0C3C" w:rsidRDefault="00E94838">
            <w:pPr>
              <w:jc w:val="center"/>
            </w:pPr>
            <w:r>
              <w:rPr>
                <w:color w:val="000000"/>
                <w:kern w:val="0"/>
                <w:sz w:val="24"/>
                <w:szCs w:val="24"/>
              </w:rPr>
              <w:t>16</w:t>
            </w:r>
            <w:r>
              <w:rPr>
                <w:color w:val="000000"/>
                <w:kern w:val="0"/>
                <w:sz w:val="24"/>
                <w:szCs w:val="24"/>
              </w:rPr>
              <w:t>国开</w:t>
            </w:r>
            <w:r>
              <w:rPr>
                <w:color w:val="000000"/>
                <w:kern w:val="0"/>
                <w:sz w:val="24"/>
                <w:szCs w:val="24"/>
              </w:rPr>
              <w:t>06</w:t>
            </w:r>
          </w:p>
        </w:tc>
        <w:tc>
          <w:tcPr>
            <w:tcW w:w="0" w:type="auto"/>
            <w:vAlign w:val="center"/>
          </w:tcPr>
          <w:p w:rsidR="006F0C3C" w:rsidRDefault="00E94838">
            <w:pPr>
              <w:jc w:val="right"/>
            </w:pPr>
            <w:r>
              <w:rPr>
                <w:color w:val="000000"/>
                <w:kern w:val="0"/>
                <w:sz w:val="24"/>
                <w:szCs w:val="24"/>
              </w:rPr>
              <w:t>500,000</w:t>
            </w:r>
          </w:p>
        </w:tc>
        <w:tc>
          <w:tcPr>
            <w:tcW w:w="0" w:type="auto"/>
            <w:vAlign w:val="center"/>
          </w:tcPr>
          <w:p w:rsidR="006F0C3C" w:rsidRDefault="00E94838">
            <w:pPr>
              <w:jc w:val="right"/>
            </w:pPr>
            <w:r>
              <w:rPr>
                <w:color w:val="000000"/>
                <w:kern w:val="0"/>
                <w:sz w:val="24"/>
                <w:szCs w:val="24"/>
              </w:rPr>
              <w:t>50,190,000.00</w:t>
            </w:r>
          </w:p>
        </w:tc>
        <w:tc>
          <w:tcPr>
            <w:tcW w:w="0" w:type="auto"/>
            <w:vAlign w:val="center"/>
          </w:tcPr>
          <w:p w:rsidR="006F0C3C" w:rsidRDefault="00E94838">
            <w:pPr>
              <w:jc w:val="right"/>
            </w:pPr>
            <w:r>
              <w:rPr>
                <w:color w:val="000000"/>
                <w:kern w:val="0"/>
                <w:sz w:val="24"/>
                <w:szCs w:val="24"/>
              </w:rPr>
              <w:t>2.12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万科A（代码：000002）为易方达平稳增长证券投资基金的前十大重仓证券之一。2019年6月26日，国家外汇管理局深圳市分局对万科企业股份有限公司违反外汇登记管理规定的行为，作出警告并罚款5万元的处罚决定。</w:t>
      </w:r>
    </w:p>
    <w:p w:rsidR="006F0C3C" w:rsidRDefault="00E94838">
      <w:pPr>
        <w:spacing w:line="360" w:lineRule="auto"/>
        <w:rPr>
          <w:rFonts w:ascii="宋体" w:hAnsi="宋体"/>
          <w:color w:val="000000"/>
          <w:sz w:val="24"/>
          <w:szCs w:val="24"/>
        </w:rPr>
      </w:pPr>
      <w:r>
        <w:rPr>
          <w:rFonts w:ascii="宋体" w:hAnsi="宋体"/>
          <w:color w:val="000000"/>
          <w:sz w:val="24"/>
          <w:szCs w:val="24"/>
        </w:rPr>
        <w:t>本基金投资万科</w:t>
      </w:r>
      <w:r>
        <w:rPr>
          <w:rFonts w:ascii="宋体" w:hAnsi="宋体"/>
          <w:color w:val="000000"/>
          <w:sz w:val="24"/>
          <w:szCs w:val="24"/>
        </w:rPr>
        <w:t>A</w:t>
      </w:r>
      <w:r>
        <w:rPr>
          <w:rFonts w:ascii="宋体" w:hAnsi="宋体"/>
          <w:color w:val="000000"/>
          <w:sz w:val="24"/>
          <w:szCs w:val="24"/>
        </w:rPr>
        <w:t>的投资决策程序符合公司投资制度的规定。</w:t>
      </w:r>
    </w:p>
    <w:p w:rsidR="006F0C3C" w:rsidRDefault="00E94838">
      <w:pPr>
        <w:spacing w:line="360" w:lineRule="auto"/>
        <w:rPr>
          <w:rFonts w:ascii="宋体" w:hAnsi="宋体"/>
          <w:color w:val="000000"/>
          <w:sz w:val="24"/>
          <w:szCs w:val="24"/>
        </w:rPr>
      </w:pPr>
      <w:r>
        <w:rPr>
          <w:rFonts w:ascii="宋体" w:hAnsi="宋体"/>
          <w:color w:val="000000"/>
          <w:sz w:val="24"/>
          <w:szCs w:val="24"/>
        </w:rPr>
        <w:t>除万科</w:t>
      </w:r>
      <w:r>
        <w:rPr>
          <w:rFonts w:ascii="宋体" w:hAnsi="宋体"/>
          <w:color w:val="000000"/>
          <w:sz w:val="24"/>
          <w:szCs w:val="24"/>
        </w:rPr>
        <w:t>A</w:t>
      </w:r>
      <w:r>
        <w:rPr>
          <w:rFonts w:ascii="宋体" w:hAnsi="宋体"/>
          <w:color w:val="000000"/>
          <w:sz w:val="24"/>
          <w:szCs w:val="24"/>
        </w:rPr>
        <w:t>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254,527.64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14,249,990.89</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15,002,382.77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1,118,525.95</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30,625,427.25</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6F0C3C">
        <w:tc>
          <w:tcPr>
            <w:tcW w:w="0" w:type="auto"/>
            <w:vAlign w:val="center"/>
          </w:tcPr>
          <w:p w:rsidR="006F0C3C" w:rsidRDefault="00E94838">
            <w:pPr>
              <w:jc w:val="center"/>
            </w:pPr>
            <w:r>
              <w:rPr>
                <w:color w:val="000000"/>
                <w:kern w:val="0"/>
                <w:sz w:val="24"/>
                <w:szCs w:val="24"/>
              </w:rPr>
              <w:t>1</w:t>
            </w:r>
          </w:p>
        </w:tc>
        <w:tc>
          <w:tcPr>
            <w:tcW w:w="0" w:type="auto"/>
            <w:vAlign w:val="center"/>
          </w:tcPr>
          <w:p w:rsidR="006F0C3C" w:rsidRDefault="00E94838">
            <w:pPr>
              <w:jc w:val="center"/>
            </w:pPr>
            <w:r>
              <w:rPr>
                <w:color w:val="000000"/>
                <w:kern w:val="0"/>
                <w:sz w:val="24"/>
                <w:szCs w:val="24"/>
              </w:rPr>
              <w:t>113021</w:t>
            </w:r>
          </w:p>
        </w:tc>
        <w:tc>
          <w:tcPr>
            <w:tcW w:w="0" w:type="auto"/>
            <w:vAlign w:val="center"/>
          </w:tcPr>
          <w:p w:rsidR="006F0C3C" w:rsidRDefault="00E94838">
            <w:pPr>
              <w:jc w:val="center"/>
            </w:pPr>
            <w:r>
              <w:rPr>
                <w:color w:val="000000"/>
                <w:kern w:val="0"/>
                <w:sz w:val="24"/>
                <w:szCs w:val="24"/>
              </w:rPr>
              <w:t>中信转债</w:t>
            </w:r>
          </w:p>
        </w:tc>
        <w:tc>
          <w:tcPr>
            <w:tcW w:w="0" w:type="auto"/>
            <w:vAlign w:val="center"/>
          </w:tcPr>
          <w:p w:rsidR="006F0C3C" w:rsidRDefault="00E94838">
            <w:pPr>
              <w:jc w:val="right"/>
            </w:pPr>
            <w:r>
              <w:rPr>
                <w:color w:val="000000"/>
                <w:kern w:val="0"/>
                <w:sz w:val="24"/>
                <w:szCs w:val="24"/>
              </w:rPr>
              <w:t>38,467,600.00</w:t>
            </w:r>
          </w:p>
        </w:tc>
        <w:tc>
          <w:tcPr>
            <w:tcW w:w="0" w:type="auto"/>
            <w:vAlign w:val="center"/>
          </w:tcPr>
          <w:p w:rsidR="006F0C3C" w:rsidRDefault="00E94838">
            <w:pPr>
              <w:jc w:val="right"/>
            </w:pPr>
            <w:r>
              <w:rPr>
                <w:color w:val="000000"/>
                <w:kern w:val="0"/>
                <w:sz w:val="24"/>
                <w:szCs w:val="24"/>
              </w:rPr>
              <w:t>1.63</w:t>
            </w:r>
          </w:p>
        </w:tc>
      </w:tr>
      <w:tr w:rsidR="006F0C3C">
        <w:tc>
          <w:tcPr>
            <w:tcW w:w="0" w:type="auto"/>
            <w:vAlign w:val="center"/>
          </w:tcPr>
          <w:p w:rsidR="006F0C3C" w:rsidRDefault="00E94838">
            <w:pPr>
              <w:jc w:val="center"/>
            </w:pPr>
            <w:r>
              <w:rPr>
                <w:color w:val="000000"/>
                <w:kern w:val="0"/>
                <w:sz w:val="24"/>
                <w:szCs w:val="24"/>
              </w:rPr>
              <w:t>2</w:t>
            </w:r>
          </w:p>
        </w:tc>
        <w:tc>
          <w:tcPr>
            <w:tcW w:w="0" w:type="auto"/>
            <w:vAlign w:val="center"/>
          </w:tcPr>
          <w:p w:rsidR="006F0C3C" w:rsidRDefault="00E94838">
            <w:pPr>
              <w:jc w:val="center"/>
            </w:pPr>
            <w:r>
              <w:rPr>
                <w:color w:val="000000"/>
                <w:kern w:val="0"/>
                <w:sz w:val="24"/>
                <w:szCs w:val="24"/>
              </w:rPr>
              <w:t>128045</w:t>
            </w:r>
          </w:p>
        </w:tc>
        <w:tc>
          <w:tcPr>
            <w:tcW w:w="0" w:type="auto"/>
            <w:vAlign w:val="center"/>
          </w:tcPr>
          <w:p w:rsidR="006F0C3C" w:rsidRDefault="00E94838">
            <w:pPr>
              <w:jc w:val="center"/>
            </w:pPr>
            <w:r>
              <w:rPr>
                <w:color w:val="000000"/>
                <w:kern w:val="0"/>
                <w:sz w:val="24"/>
                <w:szCs w:val="24"/>
              </w:rPr>
              <w:t>机电转债</w:t>
            </w:r>
          </w:p>
        </w:tc>
        <w:tc>
          <w:tcPr>
            <w:tcW w:w="0" w:type="auto"/>
            <w:vAlign w:val="center"/>
          </w:tcPr>
          <w:p w:rsidR="006F0C3C" w:rsidRDefault="00E94838">
            <w:pPr>
              <w:jc w:val="right"/>
            </w:pPr>
            <w:r>
              <w:rPr>
                <w:color w:val="000000"/>
                <w:kern w:val="0"/>
                <w:sz w:val="24"/>
                <w:szCs w:val="24"/>
              </w:rPr>
              <w:t>27,763,497.60</w:t>
            </w:r>
          </w:p>
        </w:tc>
        <w:tc>
          <w:tcPr>
            <w:tcW w:w="0" w:type="auto"/>
            <w:vAlign w:val="center"/>
          </w:tcPr>
          <w:p w:rsidR="006F0C3C" w:rsidRDefault="00E94838">
            <w:pPr>
              <w:jc w:val="right"/>
            </w:pPr>
            <w:r>
              <w:rPr>
                <w:color w:val="000000"/>
                <w:kern w:val="0"/>
                <w:sz w:val="24"/>
                <w:szCs w:val="24"/>
              </w:rPr>
              <w:t>1.17</w:t>
            </w:r>
          </w:p>
        </w:tc>
      </w:tr>
      <w:tr w:rsidR="006F0C3C">
        <w:tc>
          <w:tcPr>
            <w:tcW w:w="0" w:type="auto"/>
            <w:vAlign w:val="center"/>
          </w:tcPr>
          <w:p w:rsidR="006F0C3C" w:rsidRDefault="00E94838">
            <w:pPr>
              <w:jc w:val="center"/>
            </w:pPr>
            <w:r>
              <w:rPr>
                <w:color w:val="000000"/>
                <w:kern w:val="0"/>
                <w:sz w:val="24"/>
                <w:szCs w:val="24"/>
              </w:rPr>
              <w:t>3</w:t>
            </w:r>
          </w:p>
        </w:tc>
        <w:tc>
          <w:tcPr>
            <w:tcW w:w="0" w:type="auto"/>
            <w:vAlign w:val="center"/>
          </w:tcPr>
          <w:p w:rsidR="006F0C3C" w:rsidRDefault="00E94838">
            <w:pPr>
              <w:jc w:val="center"/>
            </w:pPr>
            <w:r>
              <w:rPr>
                <w:color w:val="000000"/>
                <w:kern w:val="0"/>
                <w:sz w:val="24"/>
                <w:szCs w:val="24"/>
              </w:rPr>
              <w:t>128035</w:t>
            </w:r>
          </w:p>
        </w:tc>
        <w:tc>
          <w:tcPr>
            <w:tcW w:w="0" w:type="auto"/>
            <w:vAlign w:val="center"/>
          </w:tcPr>
          <w:p w:rsidR="006F0C3C" w:rsidRDefault="00E94838">
            <w:pPr>
              <w:jc w:val="center"/>
            </w:pPr>
            <w:r>
              <w:rPr>
                <w:color w:val="000000"/>
                <w:kern w:val="0"/>
                <w:sz w:val="24"/>
                <w:szCs w:val="24"/>
              </w:rPr>
              <w:t>大族转债</w:t>
            </w:r>
          </w:p>
        </w:tc>
        <w:tc>
          <w:tcPr>
            <w:tcW w:w="0" w:type="auto"/>
            <w:vAlign w:val="center"/>
          </w:tcPr>
          <w:p w:rsidR="006F0C3C" w:rsidRDefault="00E94838">
            <w:pPr>
              <w:jc w:val="right"/>
            </w:pPr>
            <w:r>
              <w:rPr>
                <w:color w:val="000000"/>
                <w:kern w:val="0"/>
                <w:sz w:val="24"/>
                <w:szCs w:val="24"/>
              </w:rPr>
              <w:t>19,181,156.10</w:t>
            </w:r>
          </w:p>
        </w:tc>
        <w:tc>
          <w:tcPr>
            <w:tcW w:w="0" w:type="auto"/>
            <w:vAlign w:val="center"/>
          </w:tcPr>
          <w:p w:rsidR="006F0C3C" w:rsidRDefault="00E94838">
            <w:pPr>
              <w:jc w:val="right"/>
            </w:pPr>
            <w:r>
              <w:rPr>
                <w:color w:val="000000"/>
                <w:kern w:val="0"/>
                <w:sz w:val="24"/>
                <w:szCs w:val="24"/>
              </w:rPr>
              <w:t>0.81</w:t>
            </w:r>
          </w:p>
        </w:tc>
      </w:tr>
      <w:tr w:rsidR="006F0C3C">
        <w:tc>
          <w:tcPr>
            <w:tcW w:w="0" w:type="auto"/>
            <w:vAlign w:val="center"/>
          </w:tcPr>
          <w:p w:rsidR="006F0C3C" w:rsidRDefault="00E94838">
            <w:pPr>
              <w:jc w:val="center"/>
            </w:pPr>
            <w:r>
              <w:rPr>
                <w:color w:val="000000"/>
                <w:kern w:val="0"/>
                <w:sz w:val="24"/>
                <w:szCs w:val="24"/>
              </w:rPr>
              <w:t>4</w:t>
            </w:r>
          </w:p>
        </w:tc>
        <w:tc>
          <w:tcPr>
            <w:tcW w:w="0" w:type="auto"/>
            <w:vAlign w:val="center"/>
          </w:tcPr>
          <w:p w:rsidR="006F0C3C" w:rsidRDefault="00E94838">
            <w:pPr>
              <w:jc w:val="center"/>
            </w:pPr>
            <w:r>
              <w:rPr>
                <w:color w:val="000000"/>
                <w:kern w:val="0"/>
                <w:sz w:val="24"/>
                <w:szCs w:val="24"/>
              </w:rPr>
              <w:t>113020</w:t>
            </w:r>
          </w:p>
        </w:tc>
        <w:tc>
          <w:tcPr>
            <w:tcW w:w="0" w:type="auto"/>
            <w:vAlign w:val="center"/>
          </w:tcPr>
          <w:p w:rsidR="006F0C3C" w:rsidRDefault="00E94838">
            <w:pPr>
              <w:jc w:val="center"/>
            </w:pPr>
            <w:r>
              <w:rPr>
                <w:color w:val="000000"/>
                <w:kern w:val="0"/>
                <w:sz w:val="24"/>
                <w:szCs w:val="24"/>
              </w:rPr>
              <w:t>桐昆转债</w:t>
            </w:r>
          </w:p>
        </w:tc>
        <w:tc>
          <w:tcPr>
            <w:tcW w:w="0" w:type="auto"/>
            <w:vAlign w:val="center"/>
          </w:tcPr>
          <w:p w:rsidR="006F0C3C" w:rsidRDefault="00E94838">
            <w:pPr>
              <w:jc w:val="right"/>
            </w:pPr>
            <w:r>
              <w:rPr>
                <w:color w:val="000000"/>
                <w:kern w:val="0"/>
                <w:sz w:val="24"/>
                <w:szCs w:val="24"/>
              </w:rPr>
              <w:t>8,195,035.00</w:t>
            </w:r>
          </w:p>
        </w:tc>
        <w:tc>
          <w:tcPr>
            <w:tcW w:w="0" w:type="auto"/>
            <w:vAlign w:val="center"/>
          </w:tcPr>
          <w:p w:rsidR="006F0C3C" w:rsidRDefault="00E94838">
            <w:pPr>
              <w:jc w:val="right"/>
            </w:pPr>
            <w:r>
              <w:rPr>
                <w:color w:val="000000"/>
                <w:kern w:val="0"/>
                <w:sz w:val="24"/>
                <w:szCs w:val="24"/>
              </w:rPr>
              <w:t>0.35</w:t>
            </w:r>
          </w:p>
        </w:tc>
      </w:tr>
      <w:tr w:rsidR="006F0C3C">
        <w:tc>
          <w:tcPr>
            <w:tcW w:w="0" w:type="auto"/>
            <w:vAlign w:val="center"/>
          </w:tcPr>
          <w:p w:rsidR="006F0C3C" w:rsidRDefault="00E94838">
            <w:pPr>
              <w:jc w:val="center"/>
            </w:pPr>
            <w:r>
              <w:rPr>
                <w:color w:val="000000"/>
                <w:kern w:val="0"/>
                <w:sz w:val="24"/>
                <w:szCs w:val="24"/>
              </w:rPr>
              <w:t>5</w:t>
            </w:r>
          </w:p>
        </w:tc>
        <w:tc>
          <w:tcPr>
            <w:tcW w:w="0" w:type="auto"/>
            <w:vAlign w:val="center"/>
          </w:tcPr>
          <w:p w:rsidR="006F0C3C" w:rsidRDefault="00E94838">
            <w:pPr>
              <w:jc w:val="center"/>
            </w:pPr>
            <w:r>
              <w:rPr>
                <w:color w:val="000000"/>
                <w:kern w:val="0"/>
                <w:sz w:val="24"/>
                <w:szCs w:val="24"/>
              </w:rPr>
              <w:t>110031</w:t>
            </w:r>
          </w:p>
        </w:tc>
        <w:tc>
          <w:tcPr>
            <w:tcW w:w="0" w:type="auto"/>
            <w:vAlign w:val="center"/>
          </w:tcPr>
          <w:p w:rsidR="006F0C3C" w:rsidRDefault="00E94838">
            <w:pPr>
              <w:jc w:val="center"/>
            </w:pPr>
            <w:r>
              <w:rPr>
                <w:color w:val="000000"/>
                <w:kern w:val="0"/>
                <w:sz w:val="24"/>
                <w:szCs w:val="24"/>
              </w:rPr>
              <w:t>航信转债</w:t>
            </w:r>
          </w:p>
        </w:tc>
        <w:tc>
          <w:tcPr>
            <w:tcW w:w="0" w:type="auto"/>
            <w:vAlign w:val="center"/>
          </w:tcPr>
          <w:p w:rsidR="006F0C3C" w:rsidRDefault="00E94838">
            <w:pPr>
              <w:jc w:val="right"/>
            </w:pPr>
            <w:r>
              <w:rPr>
                <w:color w:val="000000"/>
                <w:kern w:val="0"/>
                <w:sz w:val="24"/>
                <w:szCs w:val="24"/>
              </w:rPr>
              <w:t>6,807,900.00</w:t>
            </w:r>
          </w:p>
        </w:tc>
        <w:tc>
          <w:tcPr>
            <w:tcW w:w="0" w:type="auto"/>
            <w:vAlign w:val="center"/>
          </w:tcPr>
          <w:p w:rsidR="006F0C3C" w:rsidRDefault="00E94838">
            <w:pPr>
              <w:jc w:val="right"/>
            </w:pPr>
            <w:r>
              <w:rPr>
                <w:color w:val="000000"/>
                <w:kern w:val="0"/>
                <w:sz w:val="24"/>
                <w:szCs w:val="24"/>
              </w:rPr>
              <w:t>0.29</w:t>
            </w:r>
          </w:p>
        </w:tc>
      </w:tr>
      <w:tr w:rsidR="006F0C3C">
        <w:tc>
          <w:tcPr>
            <w:tcW w:w="0" w:type="auto"/>
            <w:vAlign w:val="center"/>
          </w:tcPr>
          <w:p w:rsidR="006F0C3C" w:rsidRDefault="00E94838">
            <w:pPr>
              <w:jc w:val="center"/>
            </w:pPr>
            <w:r>
              <w:rPr>
                <w:color w:val="000000"/>
                <w:kern w:val="0"/>
                <w:sz w:val="24"/>
                <w:szCs w:val="24"/>
              </w:rPr>
              <w:t>6</w:t>
            </w:r>
          </w:p>
        </w:tc>
        <w:tc>
          <w:tcPr>
            <w:tcW w:w="0" w:type="auto"/>
            <w:vAlign w:val="center"/>
          </w:tcPr>
          <w:p w:rsidR="006F0C3C" w:rsidRDefault="00E94838">
            <w:pPr>
              <w:jc w:val="center"/>
            </w:pPr>
            <w:r>
              <w:rPr>
                <w:color w:val="000000"/>
                <w:kern w:val="0"/>
                <w:sz w:val="24"/>
                <w:szCs w:val="24"/>
              </w:rPr>
              <w:t>128057</w:t>
            </w:r>
          </w:p>
        </w:tc>
        <w:tc>
          <w:tcPr>
            <w:tcW w:w="0" w:type="auto"/>
            <w:vAlign w:val="center"/>
          </w:tcPr>
          <w:p w:rsidR="006F0C3C" w:rsidRDefault="00E94838">
            <w:pPr>
              <w:jc w:val="center"/>
            </w:pPr>
            <w:r>
              <w:rPr>
                <w:color w:val="000000"/>
                <w:kern w:val="0"/>
                <w:sz w:val="24"/>
                <w:szCs w:val="24"/>
              </w:rPr>
              <w:t>博彦转债</w:t>
            </w:r>
          </w:p>
        </w:tc>
        <w:tc>
          <w:tcPr>
            <w:tcW w:w="0" w:type="auto"/>
            <w:vAlign w:val="center"/>
          </w:tcPr>
          <w:p w:rsidR="006F0C3C" w:rsidRDefault="00E94838">
            <w:pPr>
              <w:jc w:val="right"/>
            </w:pPr>
            <w:r>
              <w:rPr>
                <w:color w:val="000000"/>
                <w:kern w:val="0"/>
                <w:sz w:val="24"/>
                <w:szCs w:val="24"/>
              </w:rPr>
              <w:t>6,467,123.52</w:t>
            </w:r>
          </w:p>
        </w:tc>
        <w:tc>
          <w:tcPr>
            <w:tcW w:w="0" w:type="auto"/>
            <w:vAlign w:val="center"/>
          </w:tcPr>
          <w:p w:rsidR="006F0C3C" w:rsidRDefault="00E94838">
            <w:pPr>
              <w:jc w:val="right"/>
            </w:pPr>
            <w:r>
              <w:rPr>
                <w:color w:val="000000"/>
                <w:kern w:val="0"/>
                <w:sz w:val="24"/>
                <w:szCs w:val="24"/>
              </w:rPr>
              <w:t>0.27</w:t>
            </w:r>
          </w:p>
        </w:tc>
      </w:tr>
      <w:tr w:rsidR="006F0C3C">
        <w:tc>
          <w:tcPr>
            <w:tcW w:w="0" w:type="auto"/>
            <w:vAlign w:val="center"/>
          </w:tcPr>
          <w:p w:rsidR="006F0C3C" w:rsidRDefault="00E94838">
            <w:pPr>
              <w:jc w:val="center"/>
            </w:pPr>
            <w:r>
              <w:rPr>
                <w:color w:val="000000"/>
                <w:kern w:val="0"/>
                <w:sz w:val="24"/>
                <w:szCs w:val="24"/>
              </w:rPr>
              <w:t>7</w:t>
            </w:r>
          </w:p>
        </w:tc>
        <w:tc>
          <w:tcPr>
            <w:tcW w:w="0" w:type="auto"/>
            <w:vAlign w:val="center"/>
          </w:tcPr>
          <w:p w:rsidR="006F0C3C" w:rsidRDefault="00E94838">
            <w:pPr>
              <w:jc w:val="center"/>
            </w:pPr>
            <w:r>
              <w:rPr>
                <w:color w:val="000000"/>
                <w:kern w:val="0"/>
                <w:sz w:val="24"/>
                <w:szCs w:val="24"/>
              </w:rPr>
              <w:t>123003</w:t>
            </w:r>
          </w:p>
        </w:tc>
        <w:tc>
          <w:tcPr>
            <w:tcW w:w="0" w:type="auto"/>
            <w:vAlign w:val="center"/>
          </w:tcPr>
          <w:p w:rsidR="006F0C3C" w:rsidRDefault="00E94838">
            <w:pPr>
              <w:jc w:val="center"/>
            </w:pPr>
            <w:r>
              <w:rPr>
                <w:color w:val="000000"/>
                <w:kern w:val="0"/>
                <w:sz w:val="24"/>
                <w:szCs w:val="24"/>
              </w:rPr>
              <w:t>蓝思转债</w:t>
            </w:r>
          </w:p>
        </w:tc>
        <w:tc>
          <w:tcPr>
            <w:tcW w:w="0" w:type="auto"/>
            <w:vAlign w:val="center"/>
          </w:tcPr>
          <w:p w:rsidR="006F0C3C" w:rsidRDefault="00E94838">
            <w:pPr>
              <w:jc w:val="right"/>
            </w:pPr>
            <w:r>
              <w:rPr>
                <w:color w:val="000000"/>
                <w:kern w:val="0"/>
                <w:sz w:val="24"/>
                <w:szCs w:val="24"/>
              </w:rPr>
              <w:t>3,753,084.09</w:t>
            </w:r>
          </w:p>
        </w:tc>
        <w:tc>
          <w:tcPr>
            <w:tcW w:w="0" w:type="auto"/>
            <w:vAlign w:val="center"/>
          </w:tcPr>
          <w:p w:rsidR="006F0C3C" w:rsidRDefault="00E94838">
            <w:pPr>
              <w:jc w:val="right"/>
            </w:pPr>
            <w:r>
              <w:rPr>
                <w:color w:val="000000"/>
                <w:kern w:val="0"/>
                <w:sz w:val="24"/>
                <w:szCs w:val="24"/>
              </w:rPr>
              <w:t>0.16</w:t>
            </w:r>
          </w:p>
        </w:tc>
      </w:tr>
      <w:tr w:rsidR="006F0C3C">
        <w:tc>
          <w:tcPr>
            <w:tcW w:w="0" w:type="auto"/>
            <w:vAlign w:val="center"/>
          </w:tcPr>
          <w:p w:rsidR="006F0C3C" w:rsidRDefault="00E94838">
            <w:pPr>
              <w:jc w:val="center"/>
            </w:pPr>
            <w:r>
              <w:rPr>
                <w:color w:val="000000"/>
                <w:kern w:val="0"/>
                <w:sz w:val="24"/>
                <w:szCs w:val="24"/>
              </w:rPr>
              <w:t>8</w:t>
            </w:r>
          </w:p>
        </w:tc>
        <w:tc>
          <w:tcPr>
            <w:tcW w:w="0" w:type="auto"/>
            <w:vAlign w:val="center"/>
          </w:tcPr>
          <w:p w:rsidR="006F0C3C" w:rsidRDefault="00E94838">
            <w:pPr>
              <w:jc w:val="center"/>
            </w:pPr>
            <w:r>
              <w:rPr>
                <w:color w:val="000000"/>
                <w:kern w:val="0"/>
                <w:sz w:val="24"/>
                <w:szCs w:val="24"/>
              </w:rPr>
              <w:t>128010</w:t>
            </w:r>
          </w:p>
        </w:tc>
        <w:tc>
          <w:tcPr>
            <w:tcW w:w="0" w:type="auto"/>
            <w:vAlign w:val="center"/>
          </w:tcPr>
          <w:p w:rsidR="006F0C3C" w:rsidRDefault="00E94838">
            <w:pPr>
              <w:jc w:val="center"/>
            </w:pPr>
            <w:r>
              <w:rPr>
                <w:color w:val="000000"/>
                <w:kern w:val="0"/>
                <w:sz w:val="24"/>
                <w:szCs w:val="24"/>
              </w:rPr>
              <w:t>顺昌转债</w:t>
            </w:r>
          </w:p>
        </w:tc>
        <w:tc>
          <w:tcPr>
            <w:tcW w:w="0" w:type="auto"/>
            <w:vAlign w:val="center"/>
          </w:tcPr>
          <w:p w:rsidR="006F0C3C" w:rsidRDefault="00E94838">
            <w:pPr>
              <w:jc w:val="right"/>
            </w:pPr>
            <w:r>
              <w:rPr>
                <w:color w:val="000000"/>
                <w:kern w:val="0"/>
                <w:sz w:val="24"/>
                <w:szCs w:val="24"/>
              </w:rPr>
              <w:t>3,009,910.00</w:t>
            </w:r>
          </w:p>
        </w:tc>
        <w:tc>
          <w:tcPr>
            <w:tcW w:w="0" w:type="auto"/>
            <w:vAlign w:val="center"/>
          </w:tcPr>
          <w:p w:rsidR="006F0C3C" w:rsidRDefault="00E94838">
            <w:pPr>
              <w:jc w:val="right"/>
            </w:pPr>
            <w:r>
              <w:rPr>
                <w:color w:val="000000"/>
                <w:kern w:val="0"/>
                <w:sz w:val="24"/>
                <w:szCs w:val="24"/>
              </w:rPr>
              <w:t>0.13</w:t>
            </w:r>
          </w:p>
        </w:tc>
      </w:tr>
      <w:tr w:rsidR="006F0C3C">
        <w:tc>
          <w:tcPr>
            <w:tcW w:w="0" w:type="auto"/>
            <w:vAlign w:val="center"/>
          </w:tcPr>
          <w:p w:rsidR="006F0C3C" w:rsidRDefault="00E94838">
            <w:pPr>
              <w:jc w:val="center"/>
            </w:pPr>
            <w:r>
              <w:rPr>
                <w:color w:val="000000"/>
                <w:kern w:val="0"/>
                <w:sz w:val="24"/>
                <w:szCs w:val="24"/>
              </w:rPr>
              <w:t>9</w:t>
            </w:r>
          </w:p>
        </w:tc>
        <w:tc>
          <w:tcPr>
            <w:tcW w:w="0" w:type="auto"/>
            <w:vAlign w:val="center"/>
          </w:tcPr>
          <w:p w:rsidR="006F0C3C" w:rsidRDefault="00E94838">
            <w:pPr>
              <w:jc w:val="center"/>
            </w:pPr>
            <w:r>
              <w:rPr>
                <w:color w:val="000000"/>
                <w:kern w:val="0"/>
                <w:sz w:val="24"/>
                <w:szCs w:val="24"/>
              </w:rPr>
              <w:t>128020</w:t>
            </w:r>
          </w:p>
        </w:tc>
        <w:tc>
          <w:tcPr>
            <w:tcW w:w="0" w:type="auto"/>
            <w:vAlign w:val="center"/>
          </w:tcPr>
          <w:p w:rsidR="006F0C3C" w:rsidRDefault="00E94838">
            <w:pPr>
              <w:jc w:val="center"/>
            </w:pPr>
            <w:r>
              <w:rPr>
                <w:color w:val="000000"/>
                <w:kern w:val="0"/>
                <w:sz w:val="24"/>
                <w:szCs w:val="24"/>
              </w:rPr>
              <w:t>水晶转债</w:t>
            </w:r>
          </w:p>
        </w:tc>
        <w:tc>
          <w:tcPr>
            <w:tcW w:w="0" w:type="auto"/>
            <w:vAlign w:val="center"/>
          </w:tcPr>
          <w:p w:rsidR="006F0C3C" w:rsidRDefault="00E94838">
            <w:pPr>
              <w:jc w:val="right"/>
            </w:pPr>
            <w:r>
              <w:rPr>
                <w:color w:val="000000"/>
                <w:kern w:val="0"/>
                <w:sz w:val="24"/>
                <w:szCs w:val="24"/>
              </w:rPr>
              <w:t>1,205,983.16</w:t>
            </w:r>
          </w:p>
        </w:tc>
        <w:tc>
          <w:tcPr>
            <w:tcW w:w="0" w:type="auto"/>
            <w:vAlign w:val="center"/>
          </w:tcPr>
          <w:p w:rsidR="006F0C3C" w:rsidRDefault="00E94838">
            <w:pPr>
              <w:jc w:val="right"/>
            </w:pPr>
            <w:r>
              <w:rPr>
                <w:color w:val="000000"/>
                <w:kern w:val="0"/>
                <w:sz w:val="24"/>
                <w:szCs w:val="24"/>
              </w:rPr>
              <w:t>0.05</w:t>
            </w:r>
          </w:p>
        </w:tc>
      </w:tr>
      <w:tr w:rsidR="006F0C3C">
        <w:tc>
          <w:tcPr>
            <w:tcW w:w="0" w:type="auto"/>
            <w:vAlign w:val="center"/>
          </w:tcPr>
          <w:p w:rsidR="006F0C3C" w:rsidRDefault="00E94838">
            <w:pPr>
              <w:jc w:val="center"/>
            </w:pPr>
            <w:r>
              <w:rPr>
                <w:color w:val="000000"/>
                <w:kern w:val="0"/>
                <w:sz w:val="24"/>
                <w:szCs w:val="24"/>
              </w:rPr>
              <w:t>10</w:t>
            </w:r>
          </w:p>
        </w:tc>
        <w:tc>
          <w:tcPr>
            <w:tcW w:w="0" w:type="auto"/>
            <w:vAlign w:val="center"/>
          </w:tcPr>
          <w:p w:rsidR="006F0C3C" w:rsidRDefault="00E94838">
            <w:pPr>
              <w:jc w:val="center"/>
            </w:pPr>
            <w:r>
              <w:rPr>
                <w:color w:val="000000"/>
                <w:kern w:val="0"/>
                <w:sz w:val="24"/>
                <w:szCs w:val="24"/>
              </w:rPr>
              <w:t>123016</w:t>
            </w:r>
          </w:p>
        </w:tc>
        <w:tc>
          <w:tcPr>
            <w:tcW w:w="0" w:type="auto"/>
            <w:vAlign w:val="center"/>
          </w:tcPr>
          <w:p w:rsidR="006F0C3C" w:rsidRDefault="00E94838">
            <w:pPr>
              <w:jc w:val="center"/>
            </w:pPr>
            <w:r>
              <w:rPr>
                <w:color w:val="000000"/>
                <w:kern w:val="0"/>
                <w:sz w:val="24"/>
                <w:szCs w:val="24"/>
              </w:rPr>
              <w:t>洲明转债</w:t>
            </w:r>
          </w:p>
        </w:tc>
        <w:tc>
          <w:tcPr>
            <w:tcW w:w="0" w:type="auto"/>
            <w:vAlign w:val="center"/>
          </w:tcPr>
          <w:p w:rsidR="006F0C3C" w:rsidRDefault="00E94838">
            <w:pPr>
              <w:jc w:val="right"/>
            </w:pPr>
            <w:r>
              <w:rPr>
                <w:color w:val="000000"/>
                <w:kern w:val="0"/>
                <w:sz w:val="24"/>
                <w:szCs w:val="24"/>
              </w:rPr>
              <w:t>925,399.28</w:t>
            </w:r>
          </w:p>
        </w:tc>
        <w:tc>
          <w:tcPr>
            <w:tcW w:w="0" w:type="auto"/>
            <w:vAlign w:val="center"/>
          </w:tcPr>
          <w:p w:rsidR="006F0C3C" w:rsidRDefault="00E94838">
            <w:pPr>
              <w:jc w:val="right"/>
            </w:pPr>
            <w:r>
              <w:rPr>
                <w:color w:val="000000"/>
                <w:kern w:val="0"/>
                <w:sz w:val="24"/>
                <w:szCs w:val="24"/>
              </w:rPr>
              <w:t>0.04</w:t>
            </w:r>
          </w:p>
        </w:tc>
      </w:tr>
      <w:tr w:rsidR="006F0C3C">
        <w:tc>
          <w:tcPr>
            <w:tcW w:w="0" w:type="auto"/>
            <w:vAlign w:val="center"/>
          </w:tcPr>
          <w:p w:rsidR="006F0C3C" w:rsidRDefault="00E94838">
            <w:pPr>
              <w:jc w:val="center"/>
            </w:pPr>
            <w:r>
              <w:rPr>
                <w:color w:val="000000"/>
                <w:kern w:val="0"/>
                <w:sz w:val="24"/>
                <w:szCs w:val="24"/>
              </w:rPr>
              <w:t>11</w:t>
            </w:r>
          </w:p>
        </w:tc>
        <w:tc>
          <w:tcPr>
            <w:tcW w:w="0" w:type="auto"/>
            <w:vAlign w:val="center"/>
          </w:tcPr>
          <w:p w:rsidR="006F0C3C" w:rsidRDefault="00E94838">
            <w:pPr>
              <w:jc w:val="center"/>
            </w:pPr>
            <w:r>
              <w:rPr>
                <w:color w:val="000000"/>
                <w:kern w:val="0"/>
                <w:sz w:val="24"/>
                <w:szCs w:val="24"/>
              </w:rPr>
              <w:t>113025</w:t>
            </w:r>
          </w:p>
        </w:tc>
        <w:tc>
          <w:tcPr>
            <w:tcW w:w="0" w:type="auto"/>
            <w:vAlign w:val="center"/>
          </w:tcPr>
          <w:p w:rsidR="006F0C3C" w:rsidRDefault="00E94838">
            <w:pPr>
              <w:jc w:val="center"/>
            </w:pPr>
            <w:r>
              <w:rPr>
                <w:color w:val="000000"/>
                <w:kern w:val="0"/>
                <w:sz w:val="24"/>
                <w:szCs w:val="24"/>
              </w:rPr>
              <w:t>明泰转债</w:t>
            </w:r>
          </w:p>
        </w:tc>
        <w:tc>
          <w:tcPr>
            <w:tcW w:w="0" w:type="auto"/>
            <w:vAlign w:val="center"/>
          </w:tcPr>
          <w:p w:rsidR="006F0C3C" w:rsidRDefault="00E94838">
            <w:pPr>
              <w:jc w:val="right"/>
            </w:pPr>
            <w:r>
              <w:rPr>
                <w:color w:val="000000"/>
                <w:kern w:val="0"/>
                <w:sz w:val="24"/>
                <w:szCs w:val="24"/>
              </w:rPr>
              <w:t>563,799.90</w:t>
            </w:r>
          </w:p>
        </w:tc>
        <w:tc>
          <w:tcPr>
            <w:tcW w:w="0" w:type="auto"/>
            <w:vAlign w:val="center"/>
          </w:tcPr>
          <w:p w:rsidR="006F0C3C" w:rsidRDefault="00E94838">
            <w:pPr>
              <w:jc w:val="right"/>
            </w:pPr>
            <w:r>
              <w:rPr>
                <w:color w:val="000000"/>
                <w:kern w:val="0"/>
                <w:sz w:val="24"/>
                <w:szCs w:val="24"/>
              </w:rPr>
              <w:t>0.02</w:t>
            </w:r>
          </w:p>
        </w:tc>
      </w:tr>
      <w:tr w:rsidR="006F0C3C">
        <w:tc>
          <w:tcPr>
            <w:tcW w:w="0" w:type="auto"/>
            <w:vAlign w:val="center"/>
          </w:tcPr>
          <w:p w:rsidR="006F0C3C" w:rsidRDefault="00E94838">
            <w:pPr>
              <w:jc w:val="center"/>
            </w:pPr>
            <w:r>
              <w:rPr>
                <w:color w:val="000000"/>
                <w:kern w:val="0"/>
                <w:sz w:val="24"/>
                <w:szCs w:val="24"/>
              </w:rPr>
              <w:t>12</w:t>
            </w:r>
          </w:p>
        </w:tc>
        <w:tc>
          <w:tcPr>
            <w:tcW w:w="0" w:type="auto"/>
            <w:vAlign w:val="center"/>
          </w:tcPr>
          <w:p w:rsidR="006F0C3C" w:rsidRDefault="00E94838">
            <w:pPr>
              <w:jc w:val="center"/>
            </w:pPr>
            <w:r>
              <w:rPr>
                <w:color w:val="000000"/>
                <w:kern w:val="0"/>
                <w:sz w:val="24"/>
                <w:szCs w:val="24"/>
              </w:rPr>
              <w:t>113026</w:t>
            </w:r>
          </w:p>
        </w:tc>
        <w:tc>
          <w:tcPr>
            <w:tcW w:w="0" w:type="auto"/>
            <w:vAlign w:val="center"/>
          </w:tcPr>
          <w:p w:rsidR="006F0C3C" w:rsidRDefault="00E94838">
            <w:pPr>
              <w:jc w:val="center"/>
            </w:pPr>
            <w:r>
              <w:rPr>
                <w:color w:val="000000"/>
                <w:kern w:val="0"/>
                <w:sz w:val="24"/>
                <w:szCs w:val="24"/>
              </w:rPr>
              <w:t>核能转债</w:t>
            </w:r>
          </w:p>
        </w:tc>
        <w:tc>
          <w:tcPr>
            <w:tcW w:w="0" w:type="auto"/>
            <w:vAlign w:val="center"/>
          </w:tcPr>
          <w:p w:rsidR="006F0C3C" w:rsidRDefault="00E94838">
            <w:pPr>
              <w:jc w:val="right"/>
            </w:pPr>
            <w:r>
              <w:rPr>
                <w:color w:val="000000"/>
                <w:kern w:val="0"/>
                <w:sz w:val="24"/>
                <w:szCs w:val="24"/>
              </w:rPr>
              <w:t>335,358.00</w:t>
            </w:r>
          </w:p>
        </w:tc>
        <w:tc>
          <w:tcPr>
            <w:tcW w:w="0" w:type="auto"/>
            <w:vAlign w:val="center"/>
          </w:tcPr>
          <w:p w:rsidR="006F0C3C" w:rsidRDefault="00E94838">
            <w:pPr>
              <w:jc w:val="right"/>
            </w:pPr>
            <w:r>
              <w:rPr>
                <w:color w:val="000000"/>
                <w:kern w:val="0"/>
                <w:sz w:val="24"/>
                <w:szCs w:val="24"/>
              </w:rPr>
              <w:t>0.01</w:t>
            </w:r>
          </w:p>
        </w:tc>
      </w:tr>
      <w:tr w:rsidR="006F0C3C">
        <w:tc>
          <w:tcPr>
            <w:tcW w:w="0" w:type="auto"/>
            <w:vAlign w:val="center"/>
          </w:tcPr>
          <w:p w:rsidR="006F0C3C" w:rsidRDefault="00E94838">
            <w:pPr>
              <w:jc w:val="center"/>
            </w:pPr>
            <w:r>
              <w:rPr>
                <w:color w:val="000000"/>
                <w:kern w:val="0"/>
                <w:sz w:val="24"/>
                <w:szCs w:val="24"/>
              </w:rPr>
              <w:t>13</w:t>
            </w:r>
          </w:p>
        </w:tc>
        <w:tc>
          <w:tcPr>
            <w:tcW w:w="0" w:type="auto"/>
            <w:vAlign w:val="center"/>
          </w:tcPr>
          <w:p w:rsidR="006F0C3C" w:rsidRDefault="00E94838">
            <w:pPr>
              <w:jc w:val="center"/>
            </w:pPr>
            <w:r>
              <w:rPr>
                <w:color w:val="000000"/>
                <w:kern w:val="0"/>
                <w:sz w:val="24"/>
                <w:szCs w:val="24"/>
              </w:rPr>
              <w:t>123021</w:t>
            </w:r>
          </w:p>
        </w:tc>
        <w:tc>
          <w:tcPr>
            <w:tcW w:w="0" w:type="auto"/>
            <w:vAlign w:val="center"/>
          </w:tcPr>
          <w:p w:rsidR="006F0C3C" w:rsidRDefault="00E94838">
            <w:pPr>
              <w:jc w:val="center"/>
            </w:pPr>
            <w:r>
              <w:rPr>
                <w:color w:val="000000"/>
                <w:kern w:val="0"/>
                <w:sz w:val="24"/>
                <w:szCs w:val="24"/>
              </w:rPr>
              <w:t>万信转</w:t>
            </w:r>
            <w:r>
              <w:rPr>
                <w:color w:val="000000"/>
                <w:kern w:val="0"/>
                <w:sz w:val="24"/>
                <w:szCs w:val="24"/>
              </w:rPr>
              <w:t>2</w:t>
            </w:r>
          </w:p>
        </w:tc>
        <w:tc>
          <w:tcPr>
            <w:tcW w:w="0" w:type="auto"/>
            <w:vAlign w:val="center"/>
          </w:tcPr>
          <w:p w:rsidR="006F0C3C" w:rsidRDefault="00E94838">
            <w:pPr>
              <w:jc w:val="right"/>
            </w:pPr>
            <w:r>
              <w:rPr>
                <w:color w:val="000000"/>
                <w:kern w:val="0"/>
                <w:sz w:val="24"/>
                <w:szCs w:val="24"/>
              </w:rPr>
              <w:t>220,855.20</w:t>
            </w:r>
          </w:p>
        </w:tc>
        <w:tc>
          <w:tcPr>
            <w:tcW w:w="0" w:type="auto"/>
            <w:vAlign w:val="center"/>
          </w:tcPr>
          <w:p w:rsidR="006F0C3C" w:rsidRDefault="00E94838">
            <w:pPr>
              <w:jc w:val="right"/>
            </w:pPr>
            <w:r>
              <w:rPr>
                <w:color w:val="000000"/>
                <w:kern w:val="0"/>
                <w:sz w:val="24"/>
                <w:szCs w:val="24"/>
              </w:rPr>
              <w:t>0.01</w:t>
            </w:r>
          </w:p>
        </w:tc>
      </w:tr>
      <w:tr w:rsidR="006F0C3C">
        <w:tc>
          <w:tcPr>
            <w:tcW w:w="0" w:type="auto"/>
            <w:vAlign w:val="center"/>
          </w:tcPr>
          <w:p w:rsidR="006F0C3C" w:rsidRDefault="00E94838">
            <w:pPr>
              <w:jc w:val="center"/>
            </w:pPr>
            <w:r>
              <w:rPr>
                <w:color w:val="000000"/>
                <w:kern w:val="0"/>
                <w:sz w:val="24"/>
                <w:szCs w:val="24"/>
              </w:rPr>
              <w:t>14</w:t>
            </w:r>
          </w:p>
        </w:tc>
        <w:tc>
          <w:tcPr>
            <w:tcW w:w="0" w:type="auto"/>
            <w:vAlign w:val="center"/>
          </w:tcPr>
          <w:p w:rsidR="006F0C3C" w:rsidRDefault="00E94838">
            <w:pPr>
              <w:jc w:val="center"/>
            </w:pPr>
            <w:r>
              <w:rPr>
                <w:color w:val="000000"/>
                <w:kern w:val="0"/>
                <w:sz w:val="24"/>
                <w:szCs w:val="24"/>
              </w:rPr>
              <w:t>127013</w:t>
            </w:r>
          </w:p>
        </w:tc>
        <w:tc>
          <w:tcPr>
            <w:tcW w:w="0" w:type="auto"/>
            <w:vAlign w:val="center"/>
          </w:tcPr>
          <w:p w:rsidR="006F0C3C" w:rsidRDefault="00E94838">
            <w:pPr>
              <w:jc w:val="center"/>
            </w:pPr>
            <w:r>
              <w:rPr>
                <w:color w:val="000000"/>
                <w:kern w:val="0"/>
                <w:sz w:val="24"/>
                <w:szCs w:val="24"/>
              </w:rPr>
              <w:t>创维转债</w:t>
            </w:r>
          </w:p>
        </w:tc>
        <w:tc>
          <w:tcPr>
            <w:tcW w:w="0" w:type="auto"/>
            <w:vAlign w:val="center"/>
          </w:tcPr>
          <w:p w:rsidR="006F0C3C" w:rsidRDefault="00E94838">
            <w:pPr>
              <w:jc w:val="right"/>
            </w:pPr>
            <w:r>
              <w:rPr>
                <w:color w:val="000000"/>
                <w:kern w:val="0"/>
                <w:sz w:val="24"/>
                <w:szCs w:val="24"/>
              </w:rPr>
              <w:t>153,751.00</w:t>
            </w:r>
          </w:p>
        </w:tc>
        <w:tc>
          <w:tcPr>
            <w:tcW w:w="0" w:type="auto"/>
            <w:vAlign w:val="center"/>
          </w:tcPr>
          <w:p w:rsidR="006F0C3C" w:rsidRDefault="00E94838">
            <w:pPr>
              <w:jc w:val="right"/>
            </w:pPr>
            <w:r>
              <w:rPr>
                <w:color w:val="000000"/>
                <w:kern w:val="0"/>
                <w:sz w:val="24"/>
                <w:szCs w:val="24"/>
              </w:rPr>
              <w:t>0.01</w:t>
            </w:r>
          </w:p>
        </w:tc>
      </w:tr>
      <w:tr w:rsidR="006F0C3C">
        <w:tc>
          <w:tcPr>
            <w:tcW w:w="0" w:type="auto"/>
            <w:vAlign w:val="center"/>
          </w:tcPr>
          <w:p w:rsidR="006F0C3C" w:rsidRDefault="00E94838">
            <w:pPr>
              <w:jc w:val="center"/>
            </w:pPr>
            <w:r>
              <w:rPr>
                <w:color w:val="000000"/>
                <w:kern w:val="0"/>
                <w:sz w:val="24"/>
                <w:szCs w:val="24"/>
              </w:rPr>
              <w:t>15</w:t>
            </w:r>
          </w:p>
        </w:tc>
        <w:tc>
          <w:tcPr>
            <w:tcW w:w="0" w:type="auto"/>
            <w:vAlign w:val="center"/>
          </w:tcPr>
          <w:p w:rsidR="006F0C3C" w:rsidRDefault="00E94838">
            <w:pPr>
              <w:jc w:val="center"/>
            </w:pPr>
            <w:r>
              <w:rPr>
                <w:color w:val="000000"/>
                <w:kern w:val="0"/>
                <w:sz w:val="24"/>
                <w:szCs w:val="24"/>
              </w:rPr>
              <w:t>110054</w:t>
            </w:r>
          </w:p>
        </w:tc>
        <w:tc>
          <w:tcPr>
            <w:tcW w:w="0" w:type="auto"/>
            <w:vAlign w:val="center"/>
          </w:tcPr>
          <w:p w:rsidR="006F0C3C" w:rsidRDefault="00E94838">
            <w:pPr>
              <w:jc w:val="center"/>
            </w:pPr>
            <w:r>
              <w:rPr>
                <w:color w:val="000000"/>
                <w:kern w:val="0"/>
                <w:sz w:val="24"/>
                <w:szCs w:val="24"/>
              </w:rPr>
              <w:t>通威转债</w:t>
            </w:r>
          </w:p>
        </w:tc>
        <w:tc>
          <w:tcPr>
            <w:tcW w:w="0" w:type="auto"/>
            <w:vAlign w:val="center"/>
          </w:tcPr>
          <w:p w:rsidR="006F0C3C" w:rsidRDefault="00E94838">
            <w:pPr>
              <w:jc w:val="right"/>
            </w:pPr>
            <w:r>
              <w:rPr>
                <w:color w:val="000000"/>
                <w:kern w:val="0"/>
                <w:sz w:val="24"/>
                <w:szCs w:val="24"/>
              </w:rPr>
              <w:t>139,338.30</w:t>
            </w:r>
          </w:p>
        </w:tc>
        <w:tc>
          <w:tcPr>
            <w:tcW w:w="0" w:type="auto"/>
            <w:vAlign w:val="center"/>
          </w:tcPr>
          <w:p w:rsidR="006F0C3C" w:rsidRDefault="00E94838">
            <w:pPr>
              <w:jc w:val="right"/>
            </w:pPr>
            <w:r>
              <w:rPr>
                <w:color w:val="000000"/>
                <w:kern w:val="0"/>
                <w:sz w:val="24"/>
                <w:szCs w:val="24"/>
              </w:rPr>
              <w:t>0.01</w:t>
            </w:r>
          </w:p>
        </w:tc>
      </w:tr>
      <w:tr w:rsidR="006F0C3C">
        <w:tc>
          <w:tcPr>
            <w:tcW w:w="0" w:type="auto"/>
            <w:vAlign w:val="center"/>
          </w:tcPr>
          <w:p w:rsidR="006F0C3C" w:rsidRDefault="00E94838">
            <w:pPr>
              <w:jc w:val="center"/>
            </w:pPr>
            <w:r>
              <w:rPr>
                <w:color w:val="000000"/>
                <w:kern w:val="0"/>
                <w:sz w:val="24"/>
                <w:szCs w:val="24"/>
              </w:rPr>
              <w:t>16</w:t>
            </w:r>
          </w:p>
        </w:tc>
        <w:tc>
          <w:tcPr>
            <w:tcW w:w="0" w:type="auto"/>
            <w:vAlign w:val="center"/>
          </w:tcPr>
          <w:p w:rsidR="006F0C3C" w:rsidRDefault="00E94838">
            <w:pPr>
              <w:jc w:val="center"/>
            </w:pPr>
            <w:r>
              <w:rPr>
                <w:color w:val="000000"/>
                <w:kern w:val="0"/>
                <w:sz w:val="24"/>
                <w:szCs w:val="24"/>
              </w:rPr>
              <w:t>123023</w:t>
            </w:r>
          </w:p>
        </w:tc>
        <w:tc>
          <w:tcPr>
            <w:tcW w:w="0" w:type="auto"/>
            <w:vAlign w:val="center"/>
          </w:tcPr>
          <w:p w:rsidR="006F0C3C" w:rsidRDefault="00E94838">
            <w:pPr>
              <w:jc w:val="center"/>
            </w:pPr>
            <w:r>
              <w:rPr>
                <w:color w:val="000000"/>
                <w:kern w:val="0"/>
                <w:sz w:val="24"/>
                <w:szCs w:val="24"/>
              </w:rPr>
              <w:t>迪森转债</w:t>
            </w:r>
          </w:p>
        </w:tc>
        <w:tc>
          <w:tcPr>
            <w:tcW w:w="0" w:type="auto"/>
            <w:vAlign w:val="center"/>
          </w:tcPr>
          <w:p w:rsidR="006F0C3C" w:rsidRDefault="00E94838">
            <w:pPr>
              <w:jc w:val="right"/>
            </w:pPr>
            <w:r>
              <w:rPr>
                <w:color w:val="000000"/>
                <w:kern w:val="0"/>
                <w:sz w:val="24"/>
                <w:szCs w:val="24"/>
              </w:rPr>
              <w:t>118,228.50</w:t>
            </w:r>
          </w:p>
        </w:tc>
        <w:tc>
          <w:tcPr>
            <w:tcW w:w="0" w:type="auto"/>
            <w:vAlign w:val="center"/>
          </w:tcPr>
          <w:p w:rsidR="006F0C3C" w:rsidRDefault="00E94838">
            <w:pPr>
              <w:jc w:val="right"/>
            </w:pPr>
            <w:r>
              <w:rPr>
                <w:color w:val="000000"/>
                <w:kern w:val="0"/>
                <w:sz w:val="24"/>
                <w:szCs w:val="24"/>
              </w:rPr>
              <w:t>0.00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6F0C3C">
        <w:tc>
          <w:tcPr>
            <w:tcW w:w="0" w:type="auto"/>
            <w:vAlign w:val="center"/>
          </w:tcPr>
          <w:p w:rsidR="006F0C3C" w:rsidRDefault="00E94838">
            <w:pPr>
              <w:jc w:val="center"/>
            </w:pPr>
            <w:r>
              <w:rPr>
                <w:color w:val="000000"/>
                <w:kern w:val="0"/>
                <w:sz w:val="24"/>
                <w:szCs w:val="24"/>
              </w:rPr>
              <w:t>1</w:t>
            </w:r>
          </w:p>
        </w:tc>
        <w:tc>
          <w:tcPr>
            <w:tcW w:w="0" w:type="auto"/>
            <w:vAlign w:val="center"/>
          </w:tcPr>
          <w:p w:rsidR="006F0C3C" w:rsidRDefault="00E94838">
            <w:pPr>
              <w:jc w:val="center"/>
            </w:pPr>
            <w:r>
              <w:rPr>
                <w:color w:val="000000"/>
                <w:kern w:val="0"/>
                <w:sz w:val="24"/>
                <w:szCs w:val="24"/>
              </w:rPr>
              <w:t>002384</w:t>
            </w:r>
          </w:p>
        </w:tc>
        <w:tc>
          <w:tcPr>
            <w:tcW w:w="0" w:type="auto"/>
            <w:vAlign w:val="center"/>
          </w:tcPr>
          <w:p w:rsidR="006F0C3C" w:rsidRDefault="00E94838">
            <w:pPr>
              <w:jc w:val="center"/>
            </w:pPr>
            <w:r>
              <w:rPr>
                <w:color w:val="000000"/>
                <w:kern w:val="0"/>
                <w:sz w:val="24"/>
                <w:szCs w:val="24"/>
              </w:rPr>
              <w:t>东山精密</w:t>
            </w:r>
          </w:p>
        </w:tc>
        <w:tc>
          <w:tcPr>
            <w:tcW w:w="0" w:type="auto"/>
            <w:vAlign w:val="center"/>
          </w:tcPr>
          <w:p w:rsidR="006F0C3C" w:rsidRDefault="00E94838">
            <w:pPr>
              <w:jc w:val="right"/>
            </w:pPr>
            <w:r>
              <w:rPr>
                <w:color w:val="000000"/>
                <w:kern w:val="0"/>
                <w:sz w:val="24"/>
                <w:szCs w:val="24"/>
              </w:rPr>
              <w:t>4,426,000.00</w:t>
            </w:r>
          </w:p>
        </w:tc>
        <w:tc>
          <w:tcPr>
            <w:tcW w:w="0" w:type="auto"/>
            <w:vAlign w:val="center"/>
          </w:tcPr>
          <w:p w:rsidR="006F0C3C" w:rsidRDefault="00E94838">
            <w:pPr>
              <w:jc w:val="right"/>
            </w:pPr>
            <w:r>
              <w:rPr>
                <w:color w:val="000000"/>
                <w:kern w:val="0"/>
                <w:sz w:val="24"/>
                <w:szCs w:val="24"/>
              </w:rPr>
              <w:t>0.19</w:t>
            </w:r>
          </w:p>
        </w:tc>
        <w:tc>
          <w:tcPr>
            <w:tcW w:w="0" w:type="auto"/>
            <w:vAlign w:val="center"/>
          </w:tcPr>
          <w:p w:rsidR="006F0C3C" w:rsidRDefault="00E94838">
            <w:pPr>
              <w:jc w:val="right"/>
            </w:pPr>
            <w:r>
              <w:rPr>
                <w:color w:val="000000"/>
                <w:kern w:val="0"/>
                <w:sz w:val="24"/>
                <w:szCs w:val="24"/>
              </w:rPr>
              <w:t>大宗交易流通受限</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注：根据《深圳</w:t>
      </w:r>
      <w:r w:rsidRPr="006C56AA">
        <w:rPr>
          <w:color w:val="000000"/>
          <w:sz w:val="24"/>
          <w:szCs w:val="24"/>
        </w:rPr>
        <w:t>/</w:t>
      </w:r>
      <w:r w:rsidRPr="006C56AA">
        <w:rPr>
          <w:color w:val="000000"/>
          <w:sz w:val="24"/>
          <w:szCs w:val="24"/>
        </w:rPr>
        <w:t>上海证券交易所上市公司股东及董事、监事、高级管理人员减持股份实施细则》，大股东减持或者特定股东减持，采取大宗交易方式的，在任意连续</w:t>
      </w:r>
      <w:r w:rsidRPr="006C56AA">
        <w:rPr>
          <w:color w:val="000000"/>
          <w:sz w:val="24"/>
          <w:szCs w:val="24"/>
        </w:rPr>
        <w:t>90</w:t>
      </w:r>
      <w:r w:rsidRPr="006C56AA">
        <w:rPr>
          <w:color w:val="000000"/>
          <w:sz w:val="24"/>
          <w:szCs w:val="24"/>
        </w:rPr>
        <w:t>日内，减持股份的总数不得超过公司股份总数的</w:t>
      </w:r>
      <w:r w:rsidRPr="006C56AA">
        <w:rPr>
          <w:color w:val="000000"/>
          <w:sz w:val="24"/>
          <w:szCs w:val="24"/>
        </w:rPr>
        <w:t>2%</w:t>
      </w:r>
      <w:r w:rsidRPr="006C56AA">
        <w:rPr>
          <w:color w:val="000000"/>
          <w:sz w:val="24"/>
          <w:szCs w:val="24"/>
        </w:rPr>
        <w:t>；前款交易的受让方在受让后</w:t>
      </w:r>
      <w:r w:rsidRPr="006C56AA">
        <w:rPr>
          <w:color w:val="000000"/>
          <w:sz w:val="24"/>
          <w:szCs w:val="24"/>
        </w:rPr>
        <w:t>6</w:t>
      </w:r>
      <w:r w:rsidRPr="006C56AA">
        <w:rPr>
          <w:color w:val="000000"/>
          <w:sz w:val="24"/>
          <w:szCs w:val="24"/>
        </w:rPr>
        <w:t>个月内，不得转让所受让的股份。</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738,889,508.52</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28,422,793.00</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33,288,193.42</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734,024,108.10</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6F0C3C" w:rsidRDefault="00E94838">
      <w:pPr>
        <w:spacing w:line="360" w:lineRule="auto"/>
        <w:ind w:firstLineChars="200" w:firstLine="480"/>
        <w:rPr>
          <w:color w:val="000000"/>
          <w:sz w:val="24"/>
          <w:szCs w:val="24"/>
        </w:rPr>
      </w:pPr>
      <w:r>
        <w:rPr>
          <w:color w:val="000000"/>
          <w:sz w:val="24"/>
          <w:szCs w:val="24"/>
        </w:rPr>
        <w:t xml:space="preserve">1. </w:t>
      </w:r>
      <w:r>
        <w:rPr>
          <w:color w:val="000000"/>
          <w:sz w:val="24"/>
          <w:szCs w:val="24"/>
        </w:rPr>
        <w:t>中国证监会批准易方达平稳增长证券投资基金设立的文件；</w:t>
      </w:r>
    </w:p>
    <w:p w:rsidR="006F0C3C" w:rsidRDefault="00E94838">
      <w:pPr>
        <w:spacing w:line="360" w:lineRule="auto"/>
        <w:ind w:firstLineChars="200" w:firstLine="480"/>
        <w:rPr>
          <w:color w:val="000000"/>
          <w:sz w:val="24"/>
          <w:szCs w:val="24"/>
        </w:rPr>
      </w:pPr>
      <w:r>
        <w:rPr>
          <w:color w:val="000000"/>
          <w:sz w:val="24"/>
          <w:szCs w:val="24"/>
        </w:rPr>
        <w:t>2.</w:t>
      </w:r>
      <w:r>
        <w:rPr>
          <w:color w:val="000000"/>
          <w:sz w:val="24"/>
          <w:szCs w:val="24"/>
        </w:rPr>
        <w:t>《易方达平稳增长证券投资基金基金合同》；</w:t>
      </w:r>
    </w:p>
    <w:p w:rsidR="006F0C3C" w:rsidRDefault="00E94838">
      <w:pPr>
        <w:spacing w:line="360" w:lineRule="auto"/>
        <w:ind w:firstLineChars="200" w:firstLine="480"/>
        <w:rPr>
          <w:color w:val="000000"/>
          <w:sz w:val="24"/>
          <w:szCs w:val="24"/>
        </w:rPr>
      </w:pPr>
      <w:r>
        <w:rPr>
          <w:color w:val="000000"/>
          <w:sz w:val="24"/>
          <w:szCs w:val="24"/>
        </w:rPr>
        <w:t>3.</w:t>
      </w:r>
      <w:r>
        <w:rPr>
          <w:color w:val="000000"/>
          <w:sz w:val="24"/>
          <w:szCs w:val="24"/>
        </w:rPr>
        <w:t>《易方达平稳增长证券投资基金托管协议》；</w:t>
      </w:r>
    </w:p>
    <w:p w:rsidR="006F0C3C" w:rsidRDefault="00E94838">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 xml:space="preserve">5. </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E94838">
      <w:rPr>
        <w:rStyle w:val="a7"/>
        <w:noProof/>
      </w:rPr>
      <w:t>1</w:t>
    </w:r>
    <w:r>
      <w:rPr>
        <w:rStyle w:val="a7"/>
      </w:rPr>
      <w:fldChar w:fldCharType="end"/>
    </w:r>
    <w:r>
      <w:rPr>
        <w:rStyle w:val="a7"/>
        <w:rFonts w:hint="eastAsia"/>
      </w:rPr>
      <w:t>页共</w:t>
    </w:r>
    <w:r w:rsidR="00E94838">
      <w:fldChar w:fldCharType="begin"/>
    </w:r>
    <w:r w:rsidR="00E94838">
      <w:instrText xml:space="preserve"> NUMPAGES  \* Arabic  \* MERGEFORMAT </w:instrText>
    </w:r>
    <w:r w:rsidR="00E94838">
      <w:fldChar w:fldCharType="separate"/>
    </w:r>
    <w:r w:rsidR="00E94838" w:rsidRPr="00E94838">
      <w:rPr>
        <w:rStyle w:val="a7"/>
        <w:noProof/>
      </w:rPr>
      <w:t>1</w:t>
    </w:r>
    <w:r w:rsidR="00E94838">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E94838">
      <w:rPr>
        <w:rStyle w:val="a7"/>
        <w:noProof/>
      </w:rPr>
      <w:t>2</w:t>
    </w:r>
    <w:r>
      <w:rPr>
        <w:rStyle w:val="a7"/>
      </w:rPr>
      <w:fldChar w:fldCharType="end"/>
    </w:r>
    <w:r>
      <w:rPr>
        <w:rStyle w:val="a7"/>
        <w:rFonts w:hint="eastAsia"/>
      </w:rPr>
      <w:t>页共</w:t>
    </w:r>
    <w:fldSimple w:instr=" NUMPAGES  \* Arabic  \* MERGEFORMAT ">
      <w:r w:rsidR="00E94838" w:rsidRPr="00E94838">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易方达平稳增长证券投资基金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0C3C"/>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94838"/>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8BD62-7864-459F-B34F-2634C844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6046</Characters>
  <Application>Microsoft Office Word</Application>
  <DocSecurity>4</DocSecurity>
  <Lines>50</Lines>
  <Paragraphs>14</Paragraphs>
  <ScaleCrop>false</ScaleCrop>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2020-01-13T02:41:00Z</dcterms:created>
  <dcterms:modified xsi:type="dcterms:W3CDTF">2020-01-13T02:41:00Z</dcterms:modified>
</cp:coreProperties>
</file>