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易方达量化策略精选灵活配置混合型证券投资基金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2019年第4季度报告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2019年12月31日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中国建设银行股份有限公司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二〇二〇年一月十八日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60717A" w:rsidRDefault="00092FFC">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0717A" w:rsidRDefault="00092FFC">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0717A" w:rsidRDefault="00092FFC">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0717A" w:rsidRDefault="00092FFC">
      <w:pPr>
        <w:spacing w:line="360" w:lineRule="auto"/>
        <w:ind w:firstLineChars="200" w:firstLine="480"/>
        <w:rPr>
          <w:color w:val="000000"/>
          <w:sz w:val="24"/>
        </w:rPr>
      </w:pPr>
      <w:r>
        <w:rPr>
          <w:color w:val="000000"/>
          <w:sz w:val="24"/>
        </w:rPr>
        <w:t>基金</w:t>
      </w:r>
      <w:r>
        <w:rPr>
          <w:color w:val="000000"/>
          <w:sz w:val="24"/>
        </w:rPr>
        <w:t>的过往业绩并不代表其未来表现。投资有风险，投资者在作出投资决策前应仔细阅读本基金的招募说明书。</w:t>
      </w:r>
      <w:r>
        <w:rPr>
          <w:color w:val="000000"/>
          <w:sz w:val="24"/>
        </w:rPr>
        <w:t xml:space="preserve"> </w:t>
      </w:r>
    </w:p>
    <w:p w:rsidR="0060717A" w:rsidRDefault="00092FFC">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12</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易方达量化策略精选混合</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002216</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2017</w:t>
            </w:r>
            <w:r w:rsidRPr="00C30CFF">
              <w:rPr>
                <w:color w:val="000000"/>
                <w:kern w:val="0"/>
                <w:sz w:val="24"/>
              </w:rPr>
              <w:t>年</w:t>
            </w:r>
            <w:r w:rsidRPr="00C30CFF">
              <w:rPr>
                <w:color w:val="000000"/>
                <w:kern w:val="0"/>
                <w:sz w:val="24"/>
              </w:rPr>
              <w:t>12</w:t>
            </w:r>
            <w:r w:rsidRPr="00C30CFF">
              <w:rPr>
                <w:color w:val="000000"/>
                <w:kern w:val="0"/>
                <w:sz w:val="24"/>
              </w:rPr>
              <w:t>月</w:t>
            </w:r>
            <w:r w:rsidRPr="00C30CFF">
              <w:rPr>
                <w:color w:val="000000"/>
                <w:kern w:val="0"/>
                <w:sz w:val="24"/>
              </w:rPr>
              <w:t>19</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100,428,456.19</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本基金采用量化策略进行投资组合管理，追求基金资产的长期稳健增值。</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量化策略是指根据金融市场历史数据，借助量化模型，进行金融市场的分析、判断和交易的策略。本基金基于不同市场情况，精选多种量化模型进行投资，运用的量化模型包括但不限于量化资产配置模型、多因子量化模型、行业轮动模型、事件超额收益模型。精选多种量化模型进行投资的原因，一是</w:t>
            </w:r>
            <w:r w:rsidRPr="00C30CFF">
              <w:rPr>
                <w:color w:val="000000"/>
                <w:kern w:val="0"/>
                <w:sz w:val="24"/>
              </w:rPr>
              <w:lastRenderedPageBreak/>
              <w:t>建立多种量化策略可以弥补单一量化策略失效的可能，并形成互补，保证整体投资业绩的持续性；二是精选多种量化策略进行投资，量化策略之间相关性越低，组合的整体风险越分散，有利于追求基金资产的长期稳健增值。</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沪深</w:t>
            </w:r>
            <w:r w:rsidRPr="00C30CFF">
              <w:rPr>
                <w:color w:val="000000"/>
                <w:kern w:val="0"/>
                <w:sz w:val="24"/>
              </w:rPr>
              <w:t>300</w:t>
            </w:r>
            <w:r w:rsidRPr="00C30CFF">
              <w:rPr>
                <w:color w:val="000000"/>
                <w:kern w:val="0"/>
                <w:sz w:val="24"/>
              </w:rPr>
              <w:t>指数收益率</w:t>
            </w:r>
            <w:r w:rsidRPr="00C30CFF">
              <w:rPr>
                <w:color w:val="000000"/>
                <w:kern w:val="0"/>
                <w:sz w:val="24"/>
              </w:rPr>
              <w:t>×60% +</w:t>
            </w:r>
            <w:r w:rsidRPr="00C30CFF">
              <w:rPr>
                <w:color w:val="000000"/>
                <w:kern w:val="0"/>
                <w:sz w:val="24"/>
              </w:rPr>
              <w:t>上证国债指数收益率</w:t>
            </w:r>
            <w:r w:rsidRPr="00C30CFF">
              <w:rPr>
                <w:color w:val="000000"/>
                <w:kern w:val="0"/>
                <w:sz w:val="24"/>
              </w:rPr>
              <w:t>×40%</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本基金为混合型基金，理论上其预期风险与预期收益水平低于股票型基金，高于债券型基金和货币市场基金。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中国建设银行股份有限公司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易方达量化策略精选混合</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易方达量化策略精选混合</w:t>
            </w:r>
            <w:r w:rsidRPr="00C30CFF">
              <w:rPr>
                <w:sz w:val="24"/>
              </w:rPr>
              <w:t>C</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002216</w:t>
            </w:r>
          </w:p>
        </w:tc>
        <w:tc>
          <w:tcPr>
            <w:tcW w:w="2790" w:type="dxa"/>
            <w:vAlign w:val="center"/>
          </w:tcPr>
          <w:p w:rsidR="00F016DD" w:rsidRPr="00C30CFF" w:rsidRDefault="00F016DD" w:rsidP="00950413">
            <w:pPr>
              <w:jc w:val="left"/>
              <w:rPr>
                <w:color w:val="000000"/>
                <w:sz w:val="24"/>
              </w:rPr>
            </w:pPr>
            <w:r w:rsidRPr="00C30CFF">
              <w:rPr>
                <w:color w:val="000000"/>
                <w:sz w:val="24"/>
              </w:rPr>
              <w:t>002217</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80,000,488.47</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20,427,967.72</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(2019</w:t>
            </w:r>
            <w:r w:rsidRPr="00FA472B">
              <w:rPr>
                <w:color w:val="000000"/>
                <w:sz w:val="24"/>
              </w:rPr>
              <w:t>年</w:t>
            </w:r>
            <w:r w:rsidRPr="00FA472B">
              <w:rPr>
                <w:color w:val="000000"/>
                <w:sz w:val="24"/>
              </w:rPr>
              <w:t>10</w:t>
            </w:r>
            <w:r w:rsidRPr="00FA472B">
              <w:rPr>
                <w:color w:val="000000"/>
                <w:sz w:val="24"/>
              </w:rPr>
              <w:t>月</w:t>
            </w:r>
            <w:r w:rsidRPr="00FA472B">
              <w:rPr>
                <w:color w:val="000000"/>
                <w:sz w:val="24"/>
              </w:rPr>
              <w:t>1</w:t>
            </w:r>
            <w:r w:rsidRPr="00FA472B">
              <w:rPr>
                <w:color w:val="000000"/>
                <w:sz w:val="24"/>
              </w:rPr>
              <w:t>日</w:t>
            </w:r>
            <w:r w:rsidRPr="00FA472B">
              <w:rPr>
                <w:color w:val="000000"/>
                <w:sz w:val="24"/>
              </w:rPr>
              <w:t>-2019</w:t>
            </w:r>
            <w:r w:rsidRPr="00FA472B">
              <w:rPr>
                <w:color w:val="000000"/>
                <w:sz w:val="24"/>
              </w:rPr>
              <w:t>年</w:t>
            </w:r>
            <w:r w:rsidRPr="00FA472B">
              <w:rPr>
                <w:color w:val="000000"/>
                <w:sz w:val="24"/>
              </w:rPr>
              <w:t>12</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易方达量化策略精选混合</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易方达量化策略精选混合</w:t>
            </w:r>
            <w:r w:rsidRPr="00FA472B">
              <w:rPr>
                <w:sz w:val="24"/>
              </w:rPr>
              <w:t>C</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9,640,935.21</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2,305,549.15</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10,253,589.29</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2,470,469.97</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0.0980</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0.0971</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85,428,037.86</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21,590,154.52</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1.068</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1.057</w:t>
            </w:r>
          </w:p>
        </w:tc>
      </w:tr>
    </w:tbl>
    <w:p w:rsidR="0060717A" w:rsidRDefault="00092FFC">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易方达量化策略精选混合A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60717A">
        <w:tc>
          <w:tcPr>
            <w:tcW w:w="0" w:type="auto"/>
            <w:vAlign w:val="center"/>
          </w:tcPr>
          <w:p w:rsidR="0060717A" w:rsidRDefault="00092FFC">
            <w:pPr>
              <w:jc w:val="left"/>
            </w:pPr>
            <w:r>
              <w:rPr>
                <w:color w:val="000000"/>
                <w:sz w:val="24"/>
              </w:rPr>
              <w:t>过去三个月</w:t>
            </w:r>
          </w:p>
        </w:tc>
        <w:tc>
          <w:tcPr>
            <w:tcW w:w="0" w:type="auto"/>
            <w:vAlign w:val="center"/>
          </w:tcPr>
          <w:p w:rsidR="0060717A" w:rsidRDefault="00092FFC">
            <w:pPr>
              <w:jc w:val="center"/>
            </w:pPr>
            <w:r>
              <w:rPr>
                <w:color w:val="000000"/>
                <w:sz w:val="24"/>
              </w:rPr>
              <w:t>10.33%</w:t>
            </w:r>
          </w:p>
        </w:tc>
        <w:tc>
          <w:tcPr>
            <w:tcW w:w="0" w:type="auto"/>
            <w:vAlign w:val="center"/>
          </w:tcPr>
          <w:p w:rsidR="0060717A" w:rsidRDefault="00092FFC">
            <w:pPr>
              <w:jc w:val="center"/>
            </w:pPr>
            <w:r>
              <w:rPr>
                <w:color w:val="000000"/>
                <w:sz w:val="24"/>
              </w:rPr>
              <w:t>0.82%</w:t>
            </w:r>
          </w:p>
        </w:tc>
        <w:tc>
          <w:tcPr>
            <w:tcW w:w="0" w:type="auto"/>
            <w:vAlign w:val="center"/>
          </w:tcPr>
          <w:p w:rsidR="0060717A" w:rsidRDefault="00092FFC">
            <w:pPr>
              <w:jc w:val="center"/>
            </w:pPr>
            <w:r>
              <w:rPr>
                <w:color w:val="000000"/>
                <w:sz w:val="24"/>
              </w:rPr>
              <w:t>4.83%</w:t>
            </w:r>
          </w:p>
        </w:tc>
        <w:tc>
          <w:tcPr>
            <w:tcW w:w="0" w:type="auto"/>
            <w:vAlign w:val="center"/>
          </w:tcPr>
          <w:p w:rsidR="0060717A" w:rsidRDefault="00092FFC">
            <w:pPr>
              <w:jc w:val="center"/>
            </w:pPr>
            <w:r>
              <w:rPr>
                <w:color w:val="000000"/>
                <w:sz w:val="24"/>
              </w:rPr>
              <w:t>0.44%</w:t>
            </w:r>
          </w:p>
        </w:tc>
        <w:tc>
          <w:tcPr>
            <w:tcW w:w="0" w:type="auto"/>
            <w:vAlign w:val="center"/>
          </w:tcPr>
          <w:p w:rsidR="0060717A" w:rsidRDefault="00092FFC">
            <w:pPr>
              <w:jc w:val="center"/>
            </w:pPr>
            <w:r>
              <w:rPr>
                <w:color w:val="000000"/>
                <w:sz w:val="24"/>
              </w:rPr>
              <w:t>5.50%</w:t>
            </w:r>
          </w:p>
        </w:tc>
        <w:tc>
          <w:tcPr>
            <w:tcW w:w="0" w:type="auto"/>
            <w:vAlign w:val="center"/>
          </w:tcPr>
          <w:p w:rsidR="0060717A" w:rsidRDefault="00092FFC">
            <w:pPr>
              <w:jc w:val="center"/>
            </w:pPr>
            <w:r>
              <w:rPr>
                <w:color w:val="000000"/>
                <w:sz w:val="24"/>
              </w:rPr>
              <w:t>0.38%</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易方达量化策略精选混合C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60717A">
        <w:tc>
          <w:tcPr>
            <w:tcW w:w="0" w:type="auto"/>
            <w:vAlign w:val="center"/>
          </w:tcPr>
          <w:p w:rsidR="0060717A" w:rsidRDefault="00092FFC">
            <w:pPr>
              <w:jc w:val="left"/>
            </w:pPr>
            <w:r>
              <w:rPr>
                <w:color w:val="000000"/>
                <w:sz w:val="24"/>
              </w:rPr>
              <w:t>过去三个月</w:t>
            </w:r>
          </w:p>
        </w:tc>
        <w:tc>
          <w:tcPr>
            <w:tcW w:w="0" w:type="auto"/>
            <w:vAlign w:val="center"/>
          </w:tcPr>
          <w:p w:rsidR="0060717A" w:rsidRDefault="00092FFC">
            <w:pPr>
              <w:jc w:val="center"/>
            </w:pPr>
            <w:r>
              <w:rPr>
                <w:color w:val="000000"/>
                <w:sz w:val="24"/>
              </w:rPr>
              <w:t>10.10%</w:t>
            </w:r>
          </w:p>
        </w:tc>
        <w:tc>
          <w:tcPr>
            <w:tcW w:w="0" w:type="auto"/>
            <w:vAlign w:val="center"/>
          </w:tcPr>
          <w:p w:rsidR="0060717A" w:rsidRDefault="00092FFC">
            <w:pPr>
              <w:jc w:val="center"/>
            </w:pPr>
            <w:r>
              <w:rPr>
                <w:color w:val="000000"/>
                <w:sz w:val="24"/>
              </w:rPr>
              <w:t>0.81%</w:t>
            </w:r>
          </w:p>
        </w:tc>
        <w:tc>
          <w:tcPr>
            <w:tcW w:w="0" w:type="auto"/>
            <w:vAlign w:val="center"/>
          </w:tcPr>
          <w:p w:rsidR="0060717A" w:rsidRDefault="00092FFC">
            <w:pPr>
              <w:jc w:val="center"/>
            </w:pPr>
            <w:r>
              <w:rPr>
                <w:color w:val="000000"/>
                <w:sz w:val="24"/>
              </w:rPr>
              <w:t>4.83%</w:t>
            </w:r>
          </w:p>
        </w:tc>
        <w:tc>
          <w:tcPr>
            <w:tcW w:w="0" w:type="auto"/>
            <w:vAlign w:val="center"/>
          </w:tcPr>
          <w:p w:rsidR="0060717A" w:rsidRDefault="00092FFC">
            <w:pPr>
              <w:jc w:val="center"/>
            </w:pPr>
            <w:r>
              <w:rPr>
                <w:color w:val="000000"/>
                <w:sz w:val="24"/>
              </w:rPr>
              <w:t>0.44%</w:t>
            </w:r>
          </w:p>
        </w:tc>
        <w:tc>
          <w:tcPr>
            <w:tcW w:w="0" w:type="auto"/>
            <w:vAlign w:val="center"/>
          </w:tcPr>
          <w:p w:rsidR="0060717A" w:rsidRDefault="00092FFC">
            <w:pPr>
              <w:jc w:val="center"/>
            </w:pPr>
            <w:r>
              <w:rPr>
                <w:color w:val="000000"/>
                <w:sz w:val="24"/>
              </w:rPr>
              <w:t>5.27%</w:t>
            </w:r>
          </w:p>
        </w:tc>
        <w:tc>
          <w:tcPr>
            <w:tcW w:w="0" w:type="auto"/>
            <w:vAlign w:val="center"/>
          </w:tcPr>
          <w:p w:rsidR="0060717A" w:rsidRDefault="00092FFC">
            <w:pPr>
              <w:jc w:val="center"/>
            </w:pPr>
            <w:r>
              <w:rPr>
                <w:color w:val="000000"/>
                <w:sz w:val="24"/>
              </w:rPr>
              <w:t>0.37%</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易方达量化策略精选灵活配置混合型证券投资基金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2017</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19</w:t>
      </w:r>
      <w:r w:rsidRPr="00526282">
        <w:rPr>
          <w:rFonts w:ascii="Times New Roman" w:hAnsi="Times New Roman"/>
          <w:sz w:val="24"/>
          <w:szCs w:val="24"/>
        </w:rPr>
        <w:t>日至</w:t>
      </w:r>
      <w:r w:rsidRPr="00526282">
        <w:rPr>
          <w:rFonts w:ascii="Times New Roman" w:hAnsi="Times New Roman"/>
          <w:sz w:val="24"/>
          <w:szCs w:val="24"/>
        </w:rPr>
        <w:t>2019</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易方达量化策略精选混合</w:t>
      </w:r>
      <w:r w:rsidRPr="00611CB2">
        <w:rPr>
          <w:color w:val="000000"/>
          <w:sz w:val="24"/>
        </w:rPr>
        <w:t>A</w:t>
      </w:r>
    </w:p>
    <w:p w:rsidR="00F016DD" w:rsidRPr="0078105B" w:rsidRDefault="00092FFC"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易方达量化策略精选混合</w:t>
      </w:r>
      <w:r w:rsidRPr="00611CB2">
        <w:rPr>
          <w:color w:val="000000"/>
          <w:sz w:val="24"/>
        </w:rPr>
        <w:t>C</w:t>
      </w:r>
    </w:p>
    <w:p w:rsidR="00F016DD" w:rsidRPr="0078105B" w:rsidRDefault="00092FFC"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6.80%</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5.70%</w:t>
      </w:r>
      <w:r w:rsidRPr="00DF18FE">
        <w:rPr>
          <w:color w:val="000000"/>
          <w:sz w:val="24"/>
        </w:rPr>
        <w:t>，同期业绩比较基准收益率为</w:t>
      </w:r>
      <w:r w:rsidRPr="00DF18FE">
        <w:rPr>
          <w:color w:val="000000"/>
          <w:sz w:val="24"/>
        </w:rPr>
        <w:t>6.73%</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60717A">
        <w:tc>
          <w:tcPr>
            <w:tcW w:w="0" w:type="auto"/>
            <w:vAlign w:val="center"/>
          </w:tcPr>
          <w:p w:rsidR="0060717A" w:rsidRDefault="00092FFC">
            <w:pPr>
              <w:jc w:val="center"/>
            </w:pPr>
            <w:r>
              <w:rPr>
                <w:color w:val="000000"/>
                <w:sz w:val="24"/>
              </w:rPr>
              <w:t>官泽帆</w:t>
            </w:r>
          </w:p>
        </w:tc>
        <w:tc>
          <w:tcPr>
            <w:tcW w:w="0" w:type="auto"/>
            <w:vAlign w:val="center"/>
          </w:tcPr>
          <w:p w:rsidR="0060717A" w:rsidRDefault="00092FFC">
            <w:pPr>
              <w:jc w:val="center"/>
            </w:pPr>
            <w:r>
              <w:rPr>
                <w:color w:val="000000"/>
                <w:sz w:val="24"/>
              </w:rPr>
              <w:t>本基金的基金经理、易方达易百智能量化策略灵活配置混合型证券投资基金的基金经理、易方达沪深</w:t>
            </w:r>
            <w:r>
              <w:rPr>
                <w:color w:val="000000"/>
                <w:sz w:val="24"/>
              </w:rPr>
              <w:t>300</w:t>
            </w:r>
            <w:r>
              <w:rPr>
                <w:color w:val="000000"/>
                <w:sz w:val="24"/>
              </w:rPr>
              <w:t>量化增强证券投资基金的基金经理</w:t>
            </w:r>
          </w:p>
        </w:tc>
        <w:tc>
          <w:tcPr>
            <w:tcW w:w="0" w:type="auto"/>
            <w:vAlign w:val="center"/>
          </w:tcPr>
          <w:p w:rsidR="0060717A" w:rsidRDefault="00092FFC">
            <w:pPr>
              <w:jc w:val="center"/>
            </w:pPr>
            <w:r>
              <w:rPr>
                <w:color w:val="000000"/>
                <w:sz w:val="24"/>
              </w:rPr>
              <w:t>2017-12-19</w:t>
            </w:r>
          </w:p>
        </w:tc>
        <w:tc>
          <w:tcPr>
            <w:tcW w:w="0" w:type="auto"/>
            <w:vAlign w:val="center"/>
          </w:tcPr>
          <w:p w:rsidR="0060717A" w:rsidRDefault="00092FFC">
            <w:pPr>
              <w:jc w:val="center"/>
            </w:pPr>
            <w:r>
              <w:rPr>
                <w:color w:val="000000"/>
                <w:sz w:val="24"/>
              </w:rPr>
              <w:t>-</w:t>
            </w:r>
          </w:p>
        </w:tc>
        <w:tc>
          <w:tcPr>
            <w:tcW w:w="0" w:type="auto"/>
            <w:vAlign w:val="center"/>
          </w:tcPr>
          <w:p w:rsidR="0060717A" w:rsidRDefault="00092FFC">
            <w:pPr>
              <w:jc w:val="center"/>
            </w:pPr>
            <w:r>
              <w:rPr>
                <w:color w:val="000000"/>
                <w:sz w:val="24"/>
              </w:rPr>
              <w:t>9</w:t>
            </w:r>
            <w:r>
              <w:rPr>
                <w:color w:val="000000"/>
                <w:sz w:val="24"/>
              </w:rPr>
              <w:t>年</w:t>
            </w:r>
          </w:p>
        </w:tc>
        <w:tc>
          <w:tcPr>
            <w:tcW w:w="0" w:type="auto"/>
            <w:vAlign w:val="center"/>
          </w:tcPr>
          <w:p w:rsidR="0060717A" w:rsidRDefault="00092FFC">
            <w:r>
              <w:rPr>
                <w:color w:val="000000"/>
                <w:sz w:val="24"/>
              </w:rPr>
              <w:t>硕士研究生，具有基金从业资格。曾任招商基金管理有限公司投资开发工程师，摩根士丹利华鑫基金管理有限公司数量化研究员、基金经理助理，易方达基金管理有限公司易方达沪深</w:t>
            </w:r>
            <w:r>
              <w:rPr>
                <w:color w:val="000000"/>
                <w:sz w:val="24"/>
              </w:rPr>
              <w:t>300</w:t>
            </w:r>
            <w:r>
              <w:rPr>
                <w:color w:val="000000"/>
                <w:sz w:val="24"/>
              </w:rPr>
              <w:t>量化增强证券投资基金基金经理助理。</w:t>
            </w:r>
          </w:p>
        </w:tc>
      </w:tr>
    </w:tbl>
    <w:p w:rsidR="0060717A" w:rsidRDefault="00092FFC">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016DD" w:rsidRPr="00EA6415" w:rsidRDefault="00F016DD" w:rsidP="00DF18FE">
      <w:pPr>
        <w:spacing w:line="360" w:lineRule="auto"/>
        <w:ind w:firstLineChars="200" w:firstLine="480"/>
        <w:rPr>
          <w:color w:val="000000"/>
          <w:sz w:val="24"/>
        </w:rPr>
      </w:pPr>
      <w:r w:rsidRPr="00DF18FE">
        <w:rPr>
          <w:color w:val="000000"/>
          <w:sz w:val="24"/>
        </w:rPr>
        <w:t>2.</w:t>
      </w:r>
      <w:r w:rsidRPr="00DF18FE">
        <w:rPr>
          <w:color w:val="000000"/>
          <w:sz w:val="24"/>
        </w:rPr>
        <w:t>证券从业的含义遵从《证券业从业人员资格管理办法》的相关规定。</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60717A" w:rsidRDefault="00092FFC">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w:t>
      </w:r>
      <w:r>
        <w:rPr>
          <w:color w:val="000000"/>
          <w:sz w:val="24"/>
        </w:rPr>
        <w:t>1</w:t>
      </w:r>
      <w:r>
        <w:rPr>
          <w:color w:val="000000"/>
          <w:sz w:val="24"/>
        </w:rPr>
        <w:t>次为不同基金经理管理的基金因投资策略不同而发生的反向交易，有关基金经理按规定履行了审批程序。</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60717A" w:rsidRDefault="00092FFC">
      <w:pPr>
        <w:spacing w:line="360" w:lineRule="auto"/>
        <w:ind w:firstLineChars="200" w:firstLine="480"/>
        <w:rPr>
          <w:color w:val="000000"/>
          <w:sz w:val="24"/>
        </w:rPr>
      </w:pPr>
      <w:r>
        <w:rPr>
          <w:color w:val="000000"/>
          <w:sz w:val="24"/>
        </w:rPr>
        <w:t>回顾本报告期，国内宏观经济增速仍旧延续低位震荡趋势，工业增加值增速在</w:t>
      </w:r>
      <w:r>
        <w:rPr>
          <w:color w:val="000000"/>
          <w:sz w:val="24"/>
        </w:rPr>
        <w:t>5</w:t>
      </w:r>
      <w:r>
        <w:rPr>
          <w:color w:val="000000"/>
          <w:sz w:val="24"/>
        </w:rPr>
        <w:t>～</w:t>
      </w:r>
      <w:r>
        <w:rPr>
          <w:color w:val="000000"/>
          <w:sz w:val="24"/>
        </w:rPr>
        <w:t>6%</w:t>
      </w:r>
      <w:r>
        <w:rPr>
          <w:color w:val="000000"/>
          <w:sz w:val="24"/>
        </w:rPr>
        <w:t>区间附近波动，同时</w:t>
      </w:r>
      <w:r>
        <w:rPr>
          <w:color w:val="000000"/>
          <w:sz w:val="24"/>
        </w:rPr>
        <w:t>1-11</w:t>
      </w:r>
      <w:r>
        <w:rPr>
          <w:color w:val="000000"/>
          <w:sz w:val="24"/>
        </w:rPr>
        <w:t>月制造业投资、基建投资、房地产投资的增速均略有下滑，但当前环比数据略有企稳态势，韧性较强；受到猪肉价格影响，</w:t>
      </w:r>
      <w:r>
        <w:rPr>
          <w:color w:val="000000"/>
          <w:sz w:val="24"/>
        </w:rPr>
        <w:t>11</w:t>
      </w:r>
      <w:r>
        <w:rPr>
          <w:color w:val="000000"/>
          <w:sz w:val="24"/>
        </w:rPr>
        <w:t>月</w:t>
      </w:r>
      <w:r>
        <w:rPr>
          <w:color w:val="000000"/>
          <w:sz w:val="24"/>
        </w:rPr>
        <w:t>CPI</w:t>
      </w:r>
      <w:r>
        <w:rPr>
          <w:color w:val="000000"/>
          <w:sz w:val="24"/>
        </w:rPr>
        <w:t>同比上升</w:t>
      </w:r>
      <w:r>
        <w:rPr>
          <w:color w:val="000000"/>
          <w:sz w:val="24"/>
        </w:rPr>
        <w:t>4.5%</w:t>
      </w:r>
      <w:r>
        <w:rPr>
          <w:color w:val="000000"/>
          <w:sz w:val="24"/>
        </w:rPr>
        <w:t>，创</w:t>
      </w:r>
      <w:r>
        <w:rPr>
          <w:color w:val="000000"/>
          <w:sz w:val="24"/>
        </w:rPr>
        <w:t>2012</w:t>
      </w:r>
      <w:r>
        <w:rPr>
          <w:color w:val="000000"/>
          <w:sz w:val="24"/>
        </w:rPr>
        <w:t>年以来新高，但最新数据显示猪肉供给失衡的局面有所缓解，通胀阶段性高点或现；社融增速仍旧稳定</w:t>
      </w:r>
      <w:r>
        <w:rPr>
          <w:color w:val="000000"/>
          <w:sz w:val="24"/>
        </w:rPr>
        <w:t>,</w:t>
      </w:r>
      <w:r>
        <w:rPr>
          <w:color w:val="000000"/>
          <w:sz w:val="24"/>
        </w:rPr>
        <w:t>报告期内增速基本持平，考虑到短期通胀压力仍在，短期宽松程度有限，避免大水漫灌。</w:t>
      </w:r>
    </w:p>
    <w:p w:rsidR="0060717A" w:rsidRDefault="00092FFC">
      <w:pPr>
        <w:spacing w:line="360" w:lineRule="auto"/>
        <w:ind w:firstLineChars="200" w:firstLine="480"/>
        <w:rPr>
          <w:color w:val="000000"/>
          <w:sz w:val="24"/>
        </w:rPr>
      </w:pPr>
      <w:r>
        <w:rPr>
          <w:color w:val="000000"/>
          <w:sz w:val="24"/>
        </w:rPr>
        <w:t>股票市场方面，报告期内上证综指上涨</w:t>
      </w:r>
      <w:r>
        <w:rPr>
          <w:color w:val="000000"/>
          <w:sz w:val="24"/>
        </w:rPr>
        <w:t>4.99%</w:t>
      </w:r>
      <w:r>
        <w:rPr>
          <w:color w:val="000000"/>
          <w:sz w:val="24"/>
        </w:rPr>
        <w:t>，沪深</w:t>
      </w:r>
      <w:r>
        <w:rPr>
          <w:color w:val="000000"/>
          <w:sz w:val="24"/>
        </w:rPr>
        <w:t>300</w:t>
      </w:r>
      <w:r>
        <w:rPr>
          <w:color w:val="000000"/>
          <w:sz w:val="24"/>
        </w:rPr>
        <w:t>上涨</w:t>
      </w:r>
      <w:r>
        <w:rPr>
          <w:color w:val="000000"/>
          <w:sz w:val="24"/>
        </w:rPr>
        <w:t>7.39%</w:t>
      </w:r>
      <w:r>
        <w:rPr>
          <w:color w:val="000000"/>
          <w:sz w:val="24"/>
        </w:rPr>
        <w:t>，中证</w:t>
      </w:r>
      <w:r>
        <w:rPr>
          <w:color w:val="000000"/>
          <w:sz w:val="24"/>
        </w:rPr>
        <w:t>500</w:t>
      </w:r>
      <w:r>
        <w:rPr>
          <w:color w:val="000000"/>
          <w:sz w:val="24"/>
        </w:rPr>
        <w:t>上涨</w:t>
      </w:r>
      <w:r>
        <w:rPr>
          <w:color w:val="000000"/>
          <w:sz w:val="24"/>
        </w:rPr>
        <w:t>6.</w:t>
      </w:r>
      <w:r>
        <w:rPr>
          <w:color w:val="000000"/>
          <w:sz w:val="24"/>
        </w:rPr>
        <w:t>61%</w:t>
      </w:r>
      <w:r>
        <w:rPr>
          <w:color w:val="000000"/>
          <w:sz w:val="24"/>
        </w:rPr>
        <w:t>，各主流市场宽基指数悉数上涨。从行业结构上来看，建筑材料、电子、家用电器、传媒累计涨幅靠前，且大幅超越指数水平；国防军工、商业贸易、公用事业、休闲服务表现相对靠后。受到多重因素影响，市场整体流动性有所改善，主题轮动迅速，投资者风险偏好得到显著提升。从因子角度观察，报告期内风格切换频繁，部分因子波动加大，整体累计收益趋平，但预期类因子表现较为突出，为组合提供一定正贡献。</w:t>
      </w:r>
    </w:p>
    <w:p w:rsidR="00F016DD" w:rsidRPr="00DF18FE" w:rsidRDefault="00F016DD" w:rsidP="00DF18FE">
      <w:pPr>
        <w:spacing w:line="360" w:lineRule="auto"/>
        <w:ind w:firstLineChars="200" w:firstLine="480"/>
        <w:rPr>
          <w:color w:val="000000"/>
          <w:sz w:val="24"/>
        </w:rPr>
      </w:pPr>
      <w:r w:rsidRPr="00DF18FE">
        <w:rPr>
          <w:color w:val="000000"/>
          <w:sz w:val="24"/>
        </w:rPr>
        <w:t>报告期内本基金行业配置基本面与成长兼具，其中医药生物，电子，食品饮料，计算机，非银金融等行业权重相对较高，在选股方面依托量化选股模型，立足长期增长逻辑，顺应市场风格趋势进行配置，优选经营稳健、盈利质量高的个股。本基金将继续坚持采用基本面量化模型进行选股，配置长期稳健的策略模型优选个股，力争为投资人创造优良的投资回报。</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1.068</w:t>
      </w:r>
      <w:r w:rsidRPr="00DF18FE">
        <w:rPr>
          <w:color w:val="000000"/>
          <w:sz w:val="24"/>
        </w:rPr>
        <w:t>元，本报告期份额净值增长率为</w:t>
      </w:r>
      <w:r w:rsidRPr="00DF18FE">
        <w:rPr>
          <w:color w:val="000000"/>
          <w:sz w:val="24"/>
        </w:rPr>
        <w:t>10.33%</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1.057</w:t>
      </w:r>
      <w:r w:rsidRPr="00DF18FE">
        <w:rPr>
          <w:color w:val="000000"/>
          <w:sz w:val="24"/>
        </w:rPr>
        <w:t>元，本报告期份额净值增长率为</w:t>
      </w:r>
      <w:r w:rsidRPr="00DF18FE">
        <w:rPr>
          <w:color w:val="000000"/>
          <w:sz w:val="24"/>
        </w:rPr>
        <w:t>10.10%</w:t>
      </w:r>
      <w:r w:rsidRPr="00DF18FE">
        <w:rPr>
          <w:color w:val="000000"/>
          <w:sz w:val="24"/>
        </w:rPr>
        <w:t>；同期业绩比较基准收益率为</w:t>
      </w:r>
      <w:r w:rsidRPr="00DF18FE">
        <w:rPr>
          <w:color w:val="000000"/>
          <w:sz w:val="24"/>
        </w:rPr>
        <w:t>4.83%</w:t>
      </w:r>
      <w:r w:rsidRPr="00DF18FE">
        <w:rPr>
          <w:color w:val="000000"/>
          <w:sz w:val="24"/>
        </w:rPr>
        <w:t>，各项指标均在合同规定的目标控制范围之内。</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99,971,684.38</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92.10</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99,971,684.38</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92.10</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25,500.00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0.02</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25,500.00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0.02</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8,308,488.68</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7.65</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239,006.40</w:t>
            </w:r>
          </w:p>
        </w:tc>
        <w:tc>
          <w:tcPr>
            <w:tcW w:w="1843" w:type="dxa"/>
            <w:vAlign w:val="center"/>
          </w:tcPr>
          <w:p w:rsidR="00F016DD" w:rsidRPr="00FA472B" w:rsidRDefault="00F016DD" w:rsidP="00F4518C">
            <w:pPr>
              <w:jc w:val="right"/>
              <w:rPr>
                <w:color w:val="000000"/>
                <w:sz w:val="24"/>
              </w:rPr>
            </w:pPr>
            <w:r w:rsidRPr="00FA472B">
              <w:rPr>
                <w:color w:val="000000"/>
                <w:sz w:val="24"/>
              </w:rPr>
              <w:t>0.22</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108,544,679.46</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74AA3" w:rsidRPr="00C70969" w:rsidTr="0071134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占基金资产净值比例（％）</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2,431,126.00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2.27</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p w:rsidR="00874AA3" w:rsidRPr="00C70969" w:rsidRDefault="00874AA3" w:rsidP="0071134C">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p w:rsidR="00874AA3" w:rsidRPr="00C70969" w:rsidRDefault="00874AA3" w:rsidP="0071134C">
            <w:pPr>
              <w:jc w:val="right"/>
              <w:rPr>
                <w:rFonts w:eastAsiaTheme="minorEastAsia"/>
                <w:color w:val="000000" w:themeColor="text1"/>
                <w:sz w:val="24"/>
              </w:rPr>
            </w:pP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65,886,001.34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61.57</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1,069,500.00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1.00</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4,132,223.00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3.86</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856,747.00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0.80</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1,263,501.00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1.18</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7,211,691.40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6.74</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9,821,515.60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9.18</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1,658,819.00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1.55</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1,344,952.00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1.26</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685,271.04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0.64</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3,529,514.00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3.30</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80,823.00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0.08</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99,971,684.38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93.42</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417"/>
        <w:gridCol w:w="1560"/>
        <w:gridCol w:w="2268"/>
        <w:gridCol w:w="1559"/>
      </w:tblGrid>
      <w:tr w:rsidR="00F016DD" w:rsidRPr="0078105B" w:rsidTr="00174038">
        <w:tc>
          <w:tcPr>
            <w:tcW w:w="8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序号</w:t>
            </w:r>
          </w:p>
        </w:tc>
        <w:tc>
          <w:tcPr>
            <w:tcW w:w="1276"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股票代码</w:t>
            </w:r>
          </w:p>
        </w:tc>
        <w:tc>
          <w:tcPr>
            <w:tcW w:w="14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股票名称</w:t>
            </w:r>
          </w:p>
        </w:tc>
        <w:tc>
          <w:tcPr>
            <w:tcW w:w="1560"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w="2268" w:type="dxa"/>
            <w:vAlign w:val="center"/>
          </w:tcPr>
          <w:p w:rsidR="00F016DD" w:rsidRPr="00FA472B" w:rsidRDefault="00F016DD" w:rsidP="000871D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w="1559"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rsidR="0060717A">
        <w:tc>
          <w:tcPr>
            <w:tcW w:w="0" w:type="auto"/>
            <w:vAlign w:val="center"/>
          </w:tcPr>
          <w:p w:rsidR="0060717A" w:rsidRDefault="00092FFC">
            <w:pPr>
              <w:jc w:val="center"/>
            </w:pPr>
            <w:r>
              <w:rPr>
                <w:color w:val="000000"/>
                <w:sz w:val="24"/>
              </w:rPr>
              <w:t>1</w:t>
            </w:r>
          </w:p>
        </w:tc>
        <w:tc>
          <w:tcPr>
            <w:tcW w:w="0" w:type="auto"/>
            <w:vAlign w:val="center"/>
          </w:tcPr>
          <w:p w:rsidR="0060717A" w:rsidRDefault="00092FFC">
            <w:pPr>
              <w:jc w:val="center"/>
            </w:pPr>
            <w:r>
              <w:rPr>
                <w:color w:val="000000"/>
                <w:sz w:val="24"/>
              </w:rPr>
              <w:t>600276</w:t>
            </w:r>
          </w:p>
        </w:tc>
        <w:tc>
          <w:tcPr>
            <w:tcW w:w="0" w:type="auto"/>
            <w:vAlign w:val="center"/>
          </w:tcPr>
          <w:p w:rsidR="0060717A" w:rsidRDefault="00092FFC">
            <w:pPr>
              <w:jc w:val="center"/>
            </w:pPr>
            <w:r>
              <w:rPr>
                <w:color w:val="000000"/>
                <w:sz w:val="24"/>
              </w:rPr>
              <w:t>恒瑞医药</w:t>
            </w:r>
          </w:p>
        </w:tc>
        <w:tc>
          <w:tcPr>
            <w:tcW w:w="0" w:type="auto"/>
            <w:vAlign w:val="center"/>
          </w:tcPr>
          <w:p w:rsidR="0060717A" w:rsidRDefault="00092FFC">
            <w:pPr>
              <w:jc w:val="right"/>
            </w:pPr>
            <w:r>
              <w:rPr>
                <w:color w:val="000000"/>
                <w:sz w:val="24"/>
              </w:rPr>
              <w:t>49,360</w:t>
            </w:r>
          </w:p>
        </w:tc>
        <w:tc>
          <w:tcPr>
            <w:tcW w:w="0" w:type="auto"/>
            <w:vAlign w:val="center"/>
          </w:tcPr>
          <w:p w:rsidR="0060717A" w:rsidRDefault="00092FFC">
            <w:pPr>
              <w:jc w:val="right"/>
            </w:pPr>
            <w:r>
              <w:rPr>
                <w:color w:val="000000"/>
                <w:sz w:val="24"/>
              </w:rPr>
              <w:t>4,319,987.20</w:t>
            </w:r>
          </w:p>
        </w:tc>
        <w:tc>
          <w:tcPr>
            <w:tcW w:w="0" w:type="auto"/>
            <w:vAlign w:val="center"/>
          </w:tcPr>
          <w:p w:rsidR="0060717A" w:rsidRDefault="00092FFC">
            <w:pPr>
              <w:jc w:val="right"/>
            </w:pPr>
            <w:r>
              <w:rPr>
                <w:color w:val="000000"/>
                <w:sz w:val="24"/>
              </w:rPr>
              <w:t>4.04</w:t>
            </w:r>
          </w:p>
        </w:tc>
      </w:tr>
      <w:tr w:rsidR="0060717A">
        <w:tc>
          <w:tcPr>
            <w:tcW w:w="0" w:type="auto"/>
            <w:vAlign w:val="center"/>
          </w:tcPr>
          <w:p w:rsidR="0060717A" w:rsidRDefault="00092FFC">
            <w:pPr>
              <w:jc w:val="center"/>
            </w:pPr>
            <w:r>
              <w:rPr>
                <w:color w:val="000000"/>
                <w:sz w:val="24"/>
              </w:rPr>
              <w:t>2</w:t>
            </w:r>
          </w:p>
        </w:tc>
        <w:tc>
          <w:tcPr>
            <w:tcW w:w="0" w:type="auto"/>
            <w:vAlign w:val="center"/>
          </w:tcPr>
          <w:p w:rsidR="0060717A" w:rsidRDefault="00092FFC">
            <w:pPr>
              <w:jc w:val="center"/>
            </w:pPr>
            <w:r>
              <w:rPr>
                <w:color w:val="000000"/>
                <w:sz w:val="24"/>
              </w:rPr>
              <w:t>601012</w:t>
            </w:r>
          </w:p>
        </w:tc>
        <w:tc>
          <w:tcPr>
            <w:tcW w:w="0" w:type="auto"/>
            <w:vAlign w:val="center"/>
          </w:tcPr>
          <w:p w:rsidR="0060717A" w:rsidRDefault="00092FFC">
            <w:pPr>
              <w:jc w:val="center"/>
            </w:pPr>
            <w:r>
              <w:rPr>
                <w:color w:val="000000"/>
                <w:sz w:val="24"/>
              </w:rPr>
              <w:t>隆基股份</w:t>
            </w:r>
          </w:p>
        </w:tc>
        <w:tc>
          <w:tcPr>
            <w:tcW w:w="0" w:type="auto"/>
            <w:vAlign w:val="center"/>
          </w:tcPr>
          <w:p w:rsidR="0060717A" w:rsidRDefault="00092FFC">
            <w:pPr>
              <w:jc w:val="right"/>
            </w:pPr>
            <w:r>
              <w:rPr>
                <w:color w:val="000000"/>
                <w:sz w:val="24"/>
              </w:rPr>
              <w:t>120,184</w:t>
            </w:r>
          </w:p>
        </w:tc>
        <w:tc>
          <w:tcPr>
            <w:tcW w:w="0" w:type="auto"/>
            <w:vAlign w:val="center"/>
          </w:tcPr>
          <w:p w:rsidR="0060717A" w:rsidRDefault="00092FFC">
            <w:pPr>
              <w:jc w:val="right"/>
            </w:pPr>
            <w:r>
              <w:rPr>
                <w:color w:val="000000"/>
                <w:sz w:val="24"/>
              </w:rPr>
              <w:t>2,984,168.72</w:t>
            </w:r>
          </w:p>
        </w:tc>
        <w:tc>
          <w:tcPr>
            <w:tcW w:w="0" w:type="auto"/>
            <w:vAlign w:val="center"/>
          </w:tcPr>
          <w:p w:rsidR="0060717A" w:rsidRDefault="00092FFC">
            <w:pPr>
              <w:jc w:val="right"/>
            </w:pPr>
            <w:r>
              <w:rPr>
                <w:color w:val="000000"/>
                <w:sz w:val="24"/>
              </w:rPr>
              <w:t>2.79</w:t>
            </w:r>
          </w:p>
        </w:tc>
      </w:tr>
      <w:tr w:rsidR="0060717A">
        <w:tc>
          <w:tcPr>
            <w:tcW w:w="0" w:type="auto"/>
            <w:vAlign w:val="center"/>
          </w:tcPr>
          <w:p w:rsidR="0060717A" w:rsidRDefault="00092FFC">
            <w:pPr>
              <w:jc w:val="center"/>
            </w:pPr>
            <w:r>
              <w:rPr>
                <w:color w:val="000000"/>
                <w:sz w:val="24"/>
              </w:rPr>
              <w:t>3</w:t>
            </w:r>
          </w:p>
        </w:tc>
        <w:tc>
          <w:tcPr>
            <w:tcW w:w="0" w:type="auto"/>
            <w:vAlign w:val="center"/>
          </w:tcPr>
          <w:p w:rsidR="0060717A" w:rsidRDefault="00092FFC">
            <w:pPr>
              <w:jc w:val="center"/>
            </w:pPr>
            <w:r>
              <w:rPr>
                <w:color w:val="000000"/>
                <w:sz w:val="24"/>
              </w:rPr>
              <w:t>600030</w:t>
            </w:r>
          </w:p>
        </w:tc>
        <w:tc>
          <w:tcPr>
            <w:tcW w:w="0" w:type="auto"/>
            <w:vAlign w:val="center"/>
          </w:tcPr>
          <w:p w:rsidR="0060717A" w:rsidRDefault="00092FFC">
            <w:pPr>
              <w:jc w:val="center"/>
            </w:pPr>
            <w:r>
              <w:rPr>
                <w:color w:val="000000"/>
                <w:sz w:val="24"/>
              </w:rPr>
              <w:t>中信证券</w:t>
            </w:r>
          </w:p>
        </w:tc>
        <w:tc>
          <w:tcPr>
            <w:tcW w:w="0" w:type="auto"/>
            <w:vAlign w:val="center"/>
          </w:tcPr>
          <w:p w:rsidR="0060717A" w:rsidRDefault="00092FFC">
            <w:pPr>
              <w:jc w:val="right"/>
            </w:pPr>
            <w:r>
              <w:rPr>
                <w:color w:val="000000"/>
                <w:sz w:val="24"/>
              </w:rPr>
              <w:t>116,200</w:t>
            </w:r>
          </w:p>
        </w:tc>
        <w:tc>
          <w:tcPr>
            <w:tcW w:w="0" w:type="auto"/>
            <w:vAlign w:val="center"/>
          </w:tcPr>
          <w:p w:rsidR="0060717A" w:rsidRDefault="00092FFC">
            <w:pPr>
              <w:jc w:val="right"/>
            </w:pPr>
            <w:r>
              <w:rPr>
                <w:color w:val="000000"/>
                <w:sz w:val="24"/>
              </w:rPr>
              <w:t>2,939,860.00</w:t>
            </w:r>
          </w:p>
        </w:tc>
        <w:tc>
          <w:tcPr>
            <w:tcW w:w="0" w:type="auto"/>
            <w:vAlign w:val="center"/>
          </w:tcPr>
          <w:p w:rsidR="0060717A" w:rsidRDefault="00092FFC">
            <w:pPr>
              <w:jc w:val="right"/>
            </w:pPr>
            <w:r>
              <w:rPr>
                <w:color w:val="000000"/>
                <w:sz w:val="24"/>
              </w:rPr>
              <w:t>2.75</w:t>
            </w:r>
          </w:p>
        </w:tc>
      </w:tr>
      <w:tr w:rsidR="0060717A">
        <w:tc>
          <w:tcPr>
            <w:tcW w:w="0" w:type="auto"/>
            <w:vAlign w:val="center"/>
          </w:tcPr>
          <w:p w:rsidR="0060717A" w:rsidRDefault="00092FFC">
            <w:pPr>
              <w:jc w:val="center"/>
            </w:pPr>
            <w:r>
              <w:rPr>
                <w:color w:val="000000"/>
                <w:sz w:val="24"/>
              </w:rPr>
              <w:t>4</w:t>
            </w:r>
          </w:p>
        </w:tc>
        <w:tc>
          <w:tcPr>
            <w:tcW w:w="0" w:type="auto"/>
            <w:vAlign w:val="center"/>
          </w:tcPr>
          <w:p w:rsidR="0060717A" w:rsidRDefault="00092FFC">
            <w:pPr>
              <w:jc w:val="center"/>
            </w:pPr>
            <w:r>
              <w:rPr>
                <w:color w:val="000000"/>
                <w:sz w:val="24"/>
              </w:rPr>
              <w:t>600519</w:t>
            </w:r>
          </w:p>
        </w:tc>
        <w:tc>
          <w:tcPr>
            <w:tcW w:w="0" w:type="auto"/>
            <w:vAlign w:val="center"/>
          </w:tcPr>
          <w:p w:rsidR="0060717A" w:rsidRDefault="00092FFC">
            <w:pPr>
              <w:jc w:val="center"/>
            </w:pPr>
            <w:r>
              <w:rPr>
                <w:color w:val="000000"/>
                <w:sz w:val="24"/>
              </w:rPr>
              <w:t>贵州茅台</w:t>
            </w:r>
          </w:p>
        </w:tc>
        <w:tc>
          <w:tcPr>
            <w:tcW w:w="0" w:type="auto"/>
            <w:vAlign w:val="center"/>
          </w:tcPr>
          <w:p w:rsidR="0060717A" w:rsidRDefault="00092FFC">
            <w:pPr>
              <w:jc w:val="right"/>
            </w:pPr>
            <w:r>
              <w:rPr>
                <w:color w:val="000000"/>
                <w:sz w:val="24"/>
              </w:rPr>
              <w:t>2,400</w:t>
            </w:r>
          </w:p>
        </w:tc>
        <w:tc>
          <w:tcPr>
            <w:tcW w:w="0" w:type="auto"/>
            <w:vAlign w:val="center"/>
          </w:tcPr>
          <w:p w:rsidR="0060717A" w:rsidRDefault="00092FFC">
            <w:pPr>
              <w:jc w:val="right"/>
            </w:pPr>
            <w:r>
              <w:rPr>
                <w:color w:val="000000"/>
                <w:sz w:val="24"/>
              </w:rPr>
              <w:t>2,839,200.00</w:t>
            </w:r>
          </w:p>
        </w:tc>
        <w:tc>
          <w:tcPr>
            <w:tcW w:w="0" w:type="auto"/>
            <w:vAlign w:val="center"/>
          </w:tcPr>
          <w:p w:rsidR="0060717A" w:rsidRDefault="00092FFC">
            <w:pPr>
              <w:jc w:val="right"/>
            </w:pPr>
            <w:r>
              <w:rPr>
                <w:color w:val="000000"/>
                <w:sz w:val="24"/>
              </w:rPr>
              <w:t>2.65</w:t>
            </w:r>
          </w:p>
        </w:tc>
      </w:tr>
      <w:tr w:rsidR="0060717A">
        <w:tc>
          <w:tcPr>
            <w:tcW w:w="0" w:type="auto"/>
            <w:vAlign w:val="center"/>
          </w:tcPr>
          <w:p w:rsidR="0060717A" w:rsidRDefault="00092FFC">
            <w:pPr>
              <w:jc w:val="center"/>
            </w:pPr>
            <w:r>
              <w:rPr>
                <w:color w:val="000000"/>
                <w:sz w:val="24"/>
              </w:rPr>
              <w:t>5</w:t>
            </w:r>
          </w:p>
        </w:tc>
        <w:tc>
          <w:tcPr>
            <w:tcW w:w="0" w:type="auto"/>
            <w:vAlign w:val="center"/>
          </w:tcPr>
          <w:p w:rsidR="0060717A" w:rsidRDefault="00092FFC">
            <w:pPr>
              <w:jc w:val="center"/>
            </w:pPr>
            <w:r>
              <w:rPr>
                <w:color w:val="000000"/>
                <w:sz w:val="24"/>
              </w:rPr>
              <w:t>600036</w:t>
            </w:r>
          </w:p>
        </w:tc>
        <w:tc>
          <w:tcPr>
            <w:tcW w:w="0" w:type="auto"/>
            <w:vAlign w:val="center"/>
          </w:tcPr>
          <w:p w:rsidR="0060717A" w:rsidRDefault="00092FFC">
            <w:pPr>
              <w:jc w:val="center"/>
            </w:pPr>
            <w:r>
              <w:rPr>
                <w:color w:val="000000"/>
                <w:sz w:val="24"/>
              </w:rPr>
              <w:t>招商银行</w:t>
            </w:r>
          </w:p>
        </w:tc>
        <w:tc>
          <w:tcPr>
            <w:tcW w:w="0" w:type="auto"/>
            <w:vAlign w:val="center"/>
          </w:tcPr>
          <w:p w:rsidR="0060717A" w:rsidRDefault="00092FFC">
            <w:pPr>
              <w:jc w:val="right"/>
            </w:pPr>
            <w:r>
              <w:rPr>
                <w:color w:val="000000"/>
                <w:sz w:val="24"/>
              </w:rPr>
              <w:t>70,000</w:t>
            </w:r>
          </w:p>
        </w:tc>
        <w:tc>
          <w:tcPr>
            <w:tcW w:w="0" w:type="auto"/>
            <w:vAlign w:val="center"/>
          </w:tcPr>
          <w:p w:rsidR="0060717A" w:rsidRDefault="00092FFC">
            <w:pPr>
              <w:jc w:val="right"/>
            </w:pPr>
            <w:r>
              <w:rPr>
                <w:color w:val="000000"/>
                <w:sz w:val="24"/>
              </w:rPr>
              <w:t>2,630,600.00</w:t>
            </w:r>
          </w:p>
        </w:tc>
        <w:tc>
          <w:tcPr>
            <w:tcW w:w="0" w:type="auto"/>
            <w:vAlign w:val="center"/>
          </w:tcPr>
          <w:p w:rsidR="0060717A" w:rsidRDefault="00092FFC">
            <w:pPr>
              <w:jc w:val="right"/>
            </w:pPr>
            <w:r>
              <w:rPr>
                <w:color w:val="000000"/>
                <w:sz w:val="24"/>
              </w:rPr>
              <w:t>2.46</w:t>
            </w:r>
          </w:p>
        </w:tc>
      </w:tr>
      <w:tr w:rsidR="0060717A">
        <w:tc>
          <w:tcPr>
            <w:tcW w:w="0" w:type="auto"/>
            <w:vAlign w:val="center"/>
          </w:tcPr>
          <w:p w:rsidR="0060717A" w:rsidRDefault="00092FFC">
            <w:pPr>
              <w:jc w:val="center"/>
            </w:pPr>
            <w:r>
              <w:rPr>
                <w:color w:val="000000"/>
                <w:sz w:val="24"/>
              </w:rPr>
              <w:t>6</w:t>
            </w:r>
          </w:p>
        </w:tc>
        <w:tc>
          <w:tcPr>
            <w:tcW w:w="0" w:type="auto"/>
            <w:vAlign w:val="center"/>
          </w:tcPr>
          <w:p w:rsidR="0060717A" w:rsidRDefault="00092FFC">
            <w:pPr>
              <w:jc w:val="center"/>
            </w:pPr>
            <w:r>
              <w:rPr>
                <w:color w:val="000000"/>
                <w:sz w:val="24"/>
              </w:rPr>
              <w:t>603986</w:t>
            </w:r>
          </w:p>
        </w:tc>
        <w:tc>
          <w:tcPr>
            <w:tcW w:w="0" w:type="auto"/>
            <w:vAlign w:val="center"/>
          </w:tcPr>
          <w:p w:rsidR="0060717A" w:rsidRDefault="00092FFC">
            <w:pPr>
              <w:jc w:val="center"/>
            </w:pPr>
            <w:r>
              <w:rPr>
                <w:color w:val="000000"/>
                <w:sz w:val="24"/>
              </w:rPr>
              <w:t>兆易创新</w:t>
            </w:r>
          </w:p>
        </w:tc>
        <w:tc>
          <w:tcPr>
            <w:tcW w:w="0" w:type="auto"/>
            <w:vAlign w:val="center"/>
          </w:tcPr>
          <w:p w:rsidR="0060717A" w:rsidRDefault="00092FFC">
            <w:pPr>
              <w:jc w:val="right"/>
            </w:pPr>
            <w:r>
              <w:rPr>
                <w:color w:val="000000"/>
                <w:sz w:val="24"/>
              </w:rPr>
              <w:t>12,300</w:t>
            </w:r>
          </w:p>
        </w:tc>
        <w:tc>
          <w:tcPr>
            <w:tcW w:w="0" w:type="auto"/>
            <w:vAlign w:val="center"/>
          </w:tcPr>
          <w:p w:rsidR="0060717A" w:rsidRDefault="00092FFC">
            <w:pPr>
              <w:jc w:val="right"/>
            </w:pPr>
            <w:r>
              <w:rPr>
                <w:color w:val="000000"/>
                <w:sz w:val="24"/>
              </w:rPr>
              <w:t>2,520,147.00</w:t>
            </w:r>
          </w:p>
        </w:tc>
        <w:tc>
          <w:tcPr>
            <w:tcW w:w="0" w:type="auto"/>
            <w:vAlign w:val="center"/>
          </w:tcPr>
          <w:p w:rsidR="0060717A" w:rsidRDefault="00092FFC">
            <w:pPr>
              <w:jc w:val="right"/>
            </w:pPr>
            <w:r>
              <w:rPr>
                <w:color w:val="000000"/>
                <w:sz w:val="24"/>
              </w:rPr>
              <w:t>2.35</w:t>
            </w:r>
          </w:p>
        </w:tc>
      </w:tr>
      <w:tr w:rsidR="0060717A">
        <w:tc>
          <w:tcPr>
            <w:tcW w:w="0" w:type="auto"/>
            <w:vAlign w:val="center"/>
          </w:tcPr>
          <w:p w:rsidR="0060717A" w:rsidRDefault="00092FFC">
            <w:pPr>
              <w:jc w:val="center"/>
            </w:pPr>
            <w:r>
              <w:rPr>
                <w:color w:val="000000"/>
                <w:sz w:val="24"/>
              </w:rPr>
              <w:t>7</w:t>
            </w:r>
          </w:p>
        </w:tc>
        <w:tc>
          <w:tcPr>
            <w:tcW w:w="0" w:type="auto"/>
            <w:vAlign w:val="center"/>
          </w:tcPr>
          <w:p w:rsidR="0060717A" w:rsidRDefault="00092FFC">
            <w:pPr>
              <w:jc w:val="center"/>
            </w:pPr>
            <w:r>
              <w:rPr>
                <w:color w:val="000000"/>
                <w:sz w:val="24"/>
              </w:rPr>
              <w:t>300015</w:t>
            </w:r>
          </w:p>
        </w:tc>
        <w:tc>
          <w:tcPr>
            <w:tcW w:w="0" w:type="auto"/>
            <w:vAlign w:val="center"/>
          </w:tcPr>
          <w:p w:rsidR="0060717A" w:rsidRDefault="00092FFC">
            <w:pPr>
              <w:jc w:val="center"/>
            </w:pPr>
            <w:r>
              <w:rPr>
                <w:color w:val="000000"/>
                <w:sz w:val="24"/>
              </w:rPr>
              <w:t>爱尔眼科</w:t>
            </w:r>
          </w:p>
        </w:tc>
        <w:tc>
          <w:tcPr>
            <w:tcW w:w="0" w:type="auto"/>
            <w:vAlign w:val="center"/>
          </w:tcPr>
          <w:p w:rsidR="0060717A" w:rsidRDefault="00092FFC">
            <w:pPr>
              <w:jc w:val="right"/>
            </w:pPr>
            <w:r>
              <w:rPr>
                <w:color w:val="000000"/>
                <w:sz w:val="24"/>
              </w:rPr>
              <w:t>58,900</w:t>
            </w:r>
          </w:p>
        </w:tc>
        <w:tc>
          <w:tcPr>
            <w:tcW w:w="0" w:type="auto"/>
            <w:vAlign w:val="center"/>
          </w:tcPr>
          <w:p w:rsidR="0060717A" w:rsidRDefault="00092FFC">
            <w:pPr>
              <w:jc w:val="right"/>
            </w:pPr>
            <w:r>
              <w:rPr>
                <w:color w:val="000000"/>
                <w:sz w:val="24"/>
              </w:rPr>
              <w:t>2,330,084.00</w:t>
            </w:r>
          </w:p>
        </w:tc>
        <w:tc>
          <w:tcPr>
            <w:tcW w:w="0" w:type="auto"/>
            <w:vAlign w:val="center"/>
          </w:tcPr>
          <w:p w:rsidR="0060717A" w:rsidRDefault="00092FFC">
            <w:pPr>
              <w:jc w:val="right"/>
            </w:pPr>
            <w:r>
              <w:rPr>
                <w:color w:val="000000"/>
                <w:sz w:val="24"/>
              </w:rPr>
              <w:t>2.18</w:t>
            </w:r>
          </w:p>
        </w:tc>
      </w:tr>
      <w:tr w:rsidR="0060717A">
        <w:tc>
          <w:tcPr>
            <w:tcW w:w="0" w:type="auto"/>
            <w:vAlign w:val="center"/>
          </w:tcPr>
          <w:p w:rsidR="0060717A" w:rsidRDefault="00092FFC">
            <w:pPr>
              <w:jc w:val="center"/>
            </w:pPr>
            <w:r>
              <w:rPr>
                <w:color w:val="000000"/>
                <w:sz w:val="24"/>
              </w:rPr>
              <w:t>8</w:t>
            </w:r>
          </w:p>
        </w:tc>
        <w:tc>
          <w:tcPr>
            <w:tcW w:w="0" w:type="auto"/>
            <w:vAlign w:val="center"/>
          </w:tcPr>
          <w:p w:rsidR="0060717A" w:rsidRDefault="00092FFC">
            <w:pPr>
              <w:jc w:val="center"/>
            </w:pPr>
            <w:r>
              <w:rPr>
                <w:color w:val="000000"/>
                <w:sz w:val="24"/>
              </w:rPr>
              <w:t>002475</w:t>
            </w:r>
          </w:p>
        </w:tc>
        <w:tc>
          <w:tcPr>
            <w:tcW w:w="0" w:type="auto"/>
            <w:vAlign w:val="center"/>
          </w:tcPr>
          <w:p w:rsidR="0060717A" w:rsidRDefault="00092FFC">
            <w:pPr>
              <w:jc w:val="center"/>
            </w:pPr>
            <w:r>
              <w:rPr>
                <w:color w:val="000000"/>
                <w:sz w:val="24"/>
              </w:rPr>
              <w:t>立讯精密</w:t>
            </w:r>
          </w:p>
        </w:tc>
        <w:tc>
          <w:tcPr>
            <w:tcW w:w="0" w:type="auto"/>
            <w:vAlign w:val="center"/>
          </w:tcPr>
          <w:p w:rsidR="0060717A" w:rsidRDefault="00092FFC">
            <w:pPr>
              <w:jc w:val="right"/>
            </w:pPr>
            <w:r>
              <w:rPr>
                <w:color w:val="000000"/>
                <w:sz w:val="24"/>
              </w:rPr>
              <w:t>57,300</w:t>
            </w:r>
          </w:p>
        </w:tc>
        <w:tc>
          <w:tcPr>
            <w:tcW w:w="0" w:type="auto"/>
            <w:vAlign w:val="center"/>
          </w:tcPr>
          <w:p w:rsidR="0060717A" w:rsidRDefault="00092FFC">
            <w:pPr>
              <w:jc w:val="right"/>
            </w:pPr>
            <w:r>
              <w:rPr>
                <w:color w:val="000000"/>
                <w:sz w:val="24"/>
              </w:rPr>
              <w:t>2,091,450.00</w:t>
            </w:r>
          </w:p>
        </w:tc>
        <w:tc>
          <w:tcPr>
            <w:tcW w:w="0" w:type="auto"/>
            <w:vAlign w:val="center"/>
          </w:tcPr>
          <w:p w:rsidR="0060717A" w:rsidRDefault="00092FFC">
            <w:pPr>
              <w:jc w:val="right"/>
            </w:pPr>
            <w:r>
              <w:rPr>
                <w:color w:val="000000"/>
                <w:sz w:val="24"/>
              </w:rPr>
              <w:t>1.95</w:t>
            </w:r>
          </w:p>
        </w:tc>
      </w:tr>
      <w:tr w:rsidR="0060717A">
        <w:tc>
          <w:tcPr>
            <w:tcW w:w="0" w:type="auto"/>
            <w:vAlign w:val="center"/>
          </w:tcPr>
          <w:p w:rsidR="0060717A" w:rsidRDefault="00092FFC">
            <w:pPr>
              <w:jc w:val="center"/>
            </w:pPr>
            <w:r>
              <w:rPr>
                <w:color w:val="000000"/>
                <w:sz w:val="24"/>
              </w:rPr>
              <w:t>9</w:t>
            </w:r>
          </w:p>
        </w:tc>
        <w:tc>
          <w:tcPr>
            <w:tcW w:w="0" w:type="auto"/>
            <w:vAlign w:val="center"/>
          </w:tcPr>
          <w:p w:rsidR="0060717A" w:rsidRDefault="00092FFC">
            <w:pPr>
              <w:jc w:val="center"/>
            </w:pPr>
            <w:r>
              <w:rPr>
                <w:color w:val="000000"/>
                <w:sz w:val="24"/>
              </w:rPr>
              <w:t>300059</w:t>
            </w:r>
          </w:p>
        </w:tc>
        <w:tc>
          <w:tcPr>
            <w:tcW w:w="0" w:type="auto"/>
            <w:vAlign w:val="center"/>
          </w:tcPr>
          <w:p w:rsidR="0060717A" w:rsidRDefault="00092FFC">
            <w:pPr>
              <w:jc w:val="center"/>
            </w:pPr>
            <w:r>
              <w:rPr>
                <w:color w:val="000000"/>
                <w:sz w:val="24"/>
              </w:rPr>
              <w:t>东方财富</w:t>
            </w:r>
          </w:p>
        </w:tc>
        <w:tc>
          <w:tcPr>
            <w:tcW w:w="0" w:type="auto"/>
            <w:vAlign w:val="center"/>
          </w:tcPr>
          <w:p w:rsidR="0060717A" w:rsidRDefault="00092FFC">
            <w:pPr>
              <w:jc w:val="right"/>
            </w:pPr>
            <w:r>
              <w:rPr>
                <w:color w:val="000000"/>
                <w:sz w:val="24"/>
              </w:rPr>
              <w:t>131,600</w:t>
            </w:r>
          </w:p>
        </w:tc>
        <w:tc>
          <w:tcPr>
            <w:tcW w:w="0" w:type="auto"/>
            <w:vAlign w:val="center"/>
          </w:tcPr>
          <w:p w:rsidR="0060717A" w:rsidRDefault="00092FFC">
            <w:pPr>
              <w:jc w:val="right"/>
            </w:pPr>
            <w:r>
              <w:rPr>
                <w:color w:val="000000"/>
                <w:sz w:val="24"/>
              </w:rPr>
              <w:t>2,075,332.00</w:t>
            </w:r>
          </w:p>
        </w:tc>
        <w:tc>
          <w:tcPr>
            <w:tcW w:w="0" w:type="auto"/>
            <w:vAlign w:val="center"/>
          </w:tcPr>
          <w:p w:rsidR="0060717A" w:rsidRDefault="00092FFC">
            <w:pPr>
              <w:jc w:val="right"/>
            </w:pPr>
            <w:r>
              <w:rPr>
                <w:color w:val="000000"/>
                <w:sz w:val="24"/>
              </w:rPr>
              <w:t>1.94</w:t>
            </w:r>
          </w:p>
        </w:tc>
      </w:tr>
      <w:tr w:rsidR="0060717A">
        <w:tc>
          <w:tcPr>
            <w:tcW w:w="0" w:type="auto"/>
            <w:vAlign w:val="center"/>
          </w:tcPr>
          <w:p w:rsidR="0060717A" w:rsidRDefault="00092FFC">
            <w:pPr>
              <w:jc w:val="center"/>
            </w:pPr>
            <w:r>
              <w:rPr>
                <w:color w:val="000000"/>
                <w:sz w:val="24"/>
              </w:rPr>
              <w:t>10</w:t>
            </w:r>
          </w:p>
        </w:tc>
        <w:tc>
          <w:tcPr>
            <w:tcW w:w="0" w:type="auto"/>
            <w:vAlign w:val="center"/>
          </w:tcPr>
          <w:p w:rsidR="0060717A" w:rsidRDefault="00092FFC">
            <w:pPr>
              <w:jc w:val="center"/>
            </w:pPr>
            <w:r>
              <w:rPr>
                <w:color w:val="000000"/>
                <w:sz w:val="24"/>
              </w:rPr>
              <w:t>600713</w:t>
            </w:r>
          </w:p>
        </w:tc>
        <w:tc>
          <w:tcPr>
            <w:tcW w:w="0" w:type="auto"/>
            <w:vAlign w:val="center"/>
          </w:tcPr>
          <w:p w:rsidR="0060717A" w:rsidRDefault="00092FFC">
            <w:pPr>
              <w:jc w:val="center"/>
            </w:pPr>
            <w:r>
              <w:rPr>
                <w:color w:val="000000"/>
                <w:sz w:val="24"/>
              </w:rPr>
              <w:t>南京医药</w:t>
            </w:r>
          </w:p>
        </w:tc>
        <w:tc>
          <w:tcPr>
            <w:tcW w:w="0" w:type="auto"/>
            <w:vAlign w:val="center"/>
          </w:tcPr>
          <w:p w:rsidR="0060717A" w:rsidRDefault="00092FFC">
            <w:pPr>
              <w:jc w:val="right"/>
            </w:pPr>
            <w:r>
              <w:rPr>
                <w:color w:val="000000"/>
                <w:sz w:val="24"/>
              </w:rPr>
              <w:t>381,300</w:t>
            </w:r>
          </w:p>
        </w:tc>
        <w:tc>
          <w:tcPr>
            <w:tcW w:w="0" w:type="auto"/>
            <w:vAlign w:val="center"/>
          </w:tcPr>
          <w:p w:rsidR="0060717A" w:rsidRDefault="00092FFC">
            <w:pPr>
              <w:jc w:val="right"/>
            </w:pPr>
            <w:r>
              <w:rPr>
                <w:color w:val="000000"/>
                <w:sz w:val="24"/>
              </w:rPr>
              <w:t>1,784,484.00</w:t>
            </w:r>
          </w:p>
        </w:tc>
        <w:tc>
          <w:tcPr>
            <w:tcW w:w="0" w:type="auto"/>
            <w:vAlign w:val="center"/>
          </w:tcPr>
          <w:p w:rsidR="0060717A" w:rsidRDefault="00092FFC">
            <w:pPr>
              <w:jc w:val="right"/>
            </w:pPr>
            <w:r>
              <w:rPr>
                <w:color w:val="000000"/>
                <w:sz w:val="24"/>
              </w:rPr>
              <w:t>1.67</w:t>
            </w:r>
          </w:p>
        </w:tc>
      </w:tr>
    </w:tbl>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25,500.00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0.02</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25,500.00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0.02</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60717A">
        <w:tc>
          <w:tcPr>
            <w:tcW w:w="0" w:type="auto"/>
            <w:vAlign w:val="center"/>
          </w:tcPr>
          <w:p w:rsidR="0060717A" w:rsidRDefault="00092FFC">
            <w:pPr>
              <w:jc w:val="center"/>
            </w:pPr>
            <w:r>
              <w:rPr>
                <w:color w:val="000000"/>
                <w:sz w:val="24"/>
              </w:rPr>
              <w:t>1</w:t>
            </w:r>
          </w:p>
        </w:tc>
        <w:tc>
          <w:tcPr>
            <w:tcW w:w="0" w:type="auto"/>
            <w:vAlign w:val="center"/>
          </w:tcPr>
          <w:p w:rsidR="0060717A" w:rsidRDefault="00092FFC">
            <w:pPr>
              <w:jc w:val="center"/>
            </w:pPr>
            <w:r>
              <w:rPr>
                <w:color w:val="000000"/>
                <w:sz w:val="24"/>
              </w:rPr>
              <w:t>128088</w:t>
            </w:r>
          </w:p>
        </w:tc>
        <w:tc>
          <w:tcPr>
            <w:tcW w:w="0" w:type="auto"/>
            <w:vAlign w:val="center"/>
          </w:tcPr>
          <w:p w:rsidR="0060717A" w:rsidRDefault="00092FFC">
            <w:pPr>
              <w:jc w:val="center"/>
            </w:pPr>
            <w:r>
              <w:rPr>
                <w:color w:val="000000"/>
                <w:sz w:val="24"/>
              </w:rPr>
              <w:t>深南转债</w:t>
            </w:r>
          </w:p>
        </w:tc>
        <w:tc>
          <w:tcPr>
            <w:tcW w:w="0" w:type="auto"/>
            <w:vAlign w:val="center"/>
          </w:tcPr>
          <w:p w:rsidR="0060717A" w:rsidRDefault="00092FFC">
            <w:pPr>
              <w:jc w:val="right"/>
            </w:pPr>
            <w:r>
              <w:rPr>
                <w:color w:val="000000"/>
                <w:sz w:val="24"/>
              </w:rPr>
              <w:t>255</w:t>
            </w:r>
          </w:p>
        </w:tc>
        <w:tc>
          <w:tcPr>
            <w:tcW w:w="0" w:type="auto"/>
            <w:vAlign w:val="center"/>
          </w:tcPr>
          <w:p w:rsidR="0060717A" w:rsidRDefault="00092FFC">
            <w:pPr>
              <w:jc w:val="right"/>
            </w:pPr>
            <w:r>
              <w:rPr>
                <w:color w:val="000000"/>
                <w:sz w:val="24"/>
              </w:rPr>
              <w:t>25,500.00</w:t>
            </w:r>
          </w:p>
        </w:tc>
        <w:tc>
          <w:tcPr>
            <w:tcW w:w="0" w:type="auto"/>
            <w:vAlign w:val="center"/>
          </w:tcPr>
          <w:p w:rsidR="0060717A" w:rsidRDefault="00092FFC">
            <w:pPr>
              <w:jc w:val="right"/>
            </w:pPr>
            <w:r>
              <w:rPr>
                <w:color w:val="000000"/>
                <w:sz w:val="24"/>
              </w:rPr>
              <w:t>0.02</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本基金本报告期末未持有资产支持证券。</w:t>
      </w:r>
    </w:p>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5.11.12019</w:t>
      </w:r>
      <w:r w:rsidRPr="00414367">
        <w:rPr>
          <w:color w:val="000000"/>
          <w:sz w:val="24"/>
        </w:rPr>
        <w:t>年</w:t>
      </w:r>
      <w:r w:rsidRPr="00414367">
        <w:rPr>
          <w:color w:val="000000"/>
          <w:sz w:val="24"/>
        </w:rPr>
        <w:t>7</w:t>
      </w:r>
      <w:r w:rsidRPr="00414367">
        <w:rPr>
          <w:color w:val="000000"/>
          <w:sz w:val="24"/>
        </w:rPr>
        <w:t>月</w:t>
      </w:r>
      <w:r w:rsidRPr="00414367">
        <w:rPr>
          <w:color w:val="000000"/>
          <w:sz w:val="24"/>
        </w:rPr>
        <w:t>8</w:t>
      </w:r>
      <w:r w:rsidRPr="00414367">
        <w:rPr>
          <w:color w:val="000000"/>
          <w:sz w:val="24"/>
        </w:rPr>
        <w:t>日，中国银行保险监督管理委员会上海监管局对招商银行股份有限公司信用卡中心</w:t>
      </w:r>
      <w:r w:rsidRPr="00414367">
        <w:rPr>
          <w:color w:val="000000"/>
          <w:sz w:val="24"/>
        </w:rPr>
        <w:t>2016</w:t>
      </w:r>
      <w:r w:rsidRPr="00414367">
        <w:rPr>
          <w:color w:val="000000"/>
          <w:sz w:val="24"/>
        </w:rPr>
        <w:t>年</w:t>
      </w:r>
      <w:r w:rsidRPr="00414367">
        <w:rPr>
          <w:color w:val="000000"/>
          <w:sz w:val="24"/>
        </w:rPr>
        <w:t>9</w:t>
      </w:r>
      <w:r w:rsidRPr="00414367">
        <w:rPr>
          <w:color w:val="000000"/>
          <w:sz w:val="24"/>
        </w:rPr>
        <w:t>月至</w:t>
      </w:r>
      <w:r w:rsidRPr="00414367">
        <w:rPr>
          <w:color w:val="000000"/>
          <w:sz w:val="24"/>
        </w:rPr>
        <w:t>2018</w:t>
      </w:r>
      <w:r w:rsidRPr="00414367">
        <w:rPr>
          <w:color w:val="000000"/>
          <w:sz w:val="24"/>
        </w:rPr>
        <w:t>年</w:t>
      </w:r>
      <w:r w:rsidRPr="00414367">
        <w:rPr>
          <w:color w:val="000000"/>
          <w:sz w:val="24"/>
        </w:rPr>
        <w:t>6</w:t>
      </w:r>
      <w:r w:rsidRPr="00414367">
        <w:rPr>
          <w:color w:val="000000"/>
          <w:sz w:val="24"/>
        </w:rPr>
        <w:t>月在为部分客户办理信用卡业务时，未遵守总授信额度管理制度的违法违规事实，责令改正，并处罚款</w:t>
      </w:r>
      <w:r w:rsidRPr="00414367">
        <w:rPr>
          <w:color w:val="000000"/>
          <w:sz w:val="24"/>
        </w:rPr>
        <w:t>20</w:t>
      </w:r>
      <w:r w:rsidRPr="00414367">
        <w:rPr>
          <w:color w:val="000000"/>
          <w:sz w:val="24"/>
        </w:rPr>
        <w:t>万元。</w:t>
      </w:r>
    </w:p>
    <w:p w:rsidR="0060717A" w:rsidRDefault="00092FFC">
      <w:pPr>
        <w:widowControl/>
        <w:spacing w:line="360" w:lineRule="auto"/>
        <w:rPr>
          <w:color w:val="000000"/>
          <w:sz w:val="24"/>
        </w:rPr>
      </w:pPr>
      <w:r>
        <w:rPr>
          <w:color w:val="000000"/>
          <w:sz w:val="24"/>
        </w:rPr>
        <w:t>本基金投资招商银行的投资决策程序符合公司投资制度的规定。除招商银行外，本基金投资的前十名证券的发行主体本期没有出现被监管部门立案调查，或在报告编制日前一年内受到公开谴责、处罚的情形。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24,257.92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1,917.12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212,831.36</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239,006.40</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本基金本报告期末未持有处于转股期的可转换债券。</w:t>
      </w:r>
    </w:p>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本基金本报告期末前十名股票中不存在流通受限情况。</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易方达量化策略精选混合</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易方达量化策略精选混合</w:t>
            </w:r>
            <w:r w:rsidRPr="00FA472B">
              <w:rPr>
                <w:sz w:val="24"/>
              </w:rPr>
              <w:t>C</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116,314,244.26</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27,173,669.34</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3,668,255.60</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7,770,098.64</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39,982,011.39</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14,515,800.26</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80,000,488.47</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20,427,967.72</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997454" w:rsidRPr="00B75F09" w:rsidRDefault="00997454" w:rsidP="00997454">
      <w:pPr>
        <w:pStyle w:val="1"/>
        <w:spacing w:beforeLines="100" w:before="312" w:afterLines="100" w:after="312" w:line="360" w:lineRule="auto"/>
        <w:jc w:val="center"/>
        <w:rPr>
          <w:rFonts w:ascii="宋体" w:hAnsi="宋体" w:cs="Arial"/>
          <w:color w:val="000000"/>
          <w:kern w:val="0"/>
          <w:sz w:val="24"/>
          <w:szCs w:val="24"/>
        </w:rPr>
      </w:pPr>
      <w:r w:rsidRPr="00B75F09">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B75F09">
        <w:rPr>
          <w:rFonts w:ascii="宋体" w:hAnsi="宋体" w:cs="Arial"/>
          <w:color w:val="000000"/>
          <w:kern w:val="0"/>
          <w:sz w:val="24"/>
          <w:szCs w:val="24"/>
        </w:rPr>
        <w:t>影响投资者决策的其他重要信息</w:t>
      </w:r>
    </w:p>
    <w:p w:rsidR="00575C75" w:rsidRPr="001F5F5D" w:rsidRDefault="00575C75" w:rsidP="00575C75">
      <w:pPr>
        <w:autoSpaceDE w:val="0"/>
        <w:autoSpaceDN w:val="0"/>
        <w:adjustRightInd w:val="0"/>
        <w:spacing w:line="360" w:lineRule="auto"/>
        <w:jc w:val="left"/>
        <w:rPr>
          <w:rFonts w:ascii="宋体"/>
          <w:b/>
          <w:bCs/>
          <w:color w:val="000000"/>
          <w:kern w:val="0"/>
          <w:sz w:val="24"/>
        </w:rPr>
      </w:pPr>
      <w:r w:rsidRPr="001F5F5D">
        <w:rPr>
          <w:rFonts w:ascii="宋体"/>
          <w:b/>
          <w:bCs/>
          <w:color w:val="000000"/>
          <w:kern w:val="0"/>
          <w:sz w:val="24"/>
        </w:rPr>
        <w:t>8.1 报告期内单一投资者持有基金份额比例达到或超过20%的情况</w:t>
      </w:r>
    </w:p>
    <w:tbl>
      <w:tblPr>
        <w:tblStyle w:val="a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48"/>
        <w:gridCol w:w="3"/>
      </w:tblGrid>
      <w:tr w:rsidR="00575C75" w:rsidRPr="00FC0759" w:rsidTr="00CD72D6">
        <w:trPr>
          <w:jc w:val="center"/>
        </w:trPr>
        <w:tc>
          <w:tcPr>
            <w:tcW w:w="709" w:type="dxa"/>
            <w:vMerge w:val="restart"/>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投资者类别</w:t>
            </w:r>
          </w:p>
        </w:tc>
        <w:tc>
          <w:tcPr>
            <w:tcW w:w="6663" w:type="dxa"/>
            <w:gridSpan w:val="5"/>
            <w:vAlign w:val="center"/>
          </w:tcPr>
          <w:p w:rsidR="00575C75" w:rsidRPr="00FC0759" w:rsidRDefault="00575C75" w:rsidP="00CD72D6">
            <w:pPr>
              <w:autoSpaceDE w:val="0"/>
              <w:autoSpaceDN w:val="0"/>
              <w:adjustRightInd w:val="0"/>
              <w:ind w:firstLine="1126"/>
              <w:jc w:val="center"/>
              <w:rPr>
                <w:rFonts w:eastAsiaTheme="minorEastAsia"/>
                <w:b/>
                <w:bCs/>
                <w:color w:val="000000" w:themeColor="text1"/>
                <w:sz w:val="24"/>
              </w:rPr>
            </w:pPr>
            <w:r w:rsidRPr="00FC0759">
              <w:rPr>
                <w:color w:val="000000"/>
                <w:sz w:val="24"/>
              </w:rPr>
              <w:t>报告期内持有基金份额变化情况</w:t>
            </w:r>
          </w:p>
        </w:tc>
        <w:tc>
          <w:tcPr>
            <w:tcW w:w="2268" w:type="dxa"/>
            <w:gridSpan w:val="3"/>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报告期末持有基金情况</w:t>
            </w:r>
          </w:p>
        </w:tc>
      </w:tr>
      <w:tr w:rsidR="00575C75" w:rsidRPr="00FC0759" w:rsidTr="00CD72D6">
        <w:trPr>
          <w:jc w:val="center"/>
        </w:trPr>
        <w:tc>
          <w:tcPr>
            <w:tcW w:w="709" w:type="dxa"/>
            <w:vMerge/>
            <w:vAlign w:val="center"/>
          </w:tcPr>
          <w:p w:rsidR="00575C75" w:rsidRPr="00FC0759" w:rsidRDefault="00575C75" w:rsidP="00CD72D6">
            <w:pPr>
              <w:autoSpaceDE w:val="0"/>
              <w:autoSpaceDN w:val="0"/>
              <w:adjustRightInd w:val="0"/>
              <w:ind w:firstLine="1234"/>
              <w:jc w:val="center"/>
              <w:rPr>
                <w:rFonts w:eastAsiaTheme="minorEastAsia"/>
                <w:b/>
                <w:bCs/>
                <w:color w:val="000000" w:themeColor="text1"/>
                <w:sz w:val="24"/>
              </w:rPr>
            </w:pPr>
          </w:p>
        </w:tc>
        <w:tc>
          <w:tcPr>
            <w:tcW w:w="709" w:type="dxa"/>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序号</w:t>
            </w:r>
          </w:p>
        </w:tc>
        <w:tc>
          <w:tcPr>
            <w:tcW w:w="2126" w:type="dxa"/>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持有基金份额比例达到或者超过</w:t>
            </w:r>
            <w:r w:rsidRPr="00FC0759">
              <w:rPr>
                <w:color w:val="000000"/>
                <w:sz w:val="24"/>
              </w:rPr>
              <w:t>20%</w:t>
            </w:r>
            <w:r w:rsidRPr="00FC0759">
              <w:rPr>
                <w:color w:val="000000"/>
                <w:sz w:val="24"/>
              </w:rPr>
              <w:t>的时间区间</w:t>
            </w:r>
          </w:p>
        </w:tc>
        <w:tc>
          <w:tcPr>
            <w:tcW w:w="1276" w:type="dxa"/>
            <w:vAlign w:val="center"/>
          </w:tcPr>
          <w:p w:rsidR="00575C75" w:rsidRPr="00FC0759" w:rsidRDefault="00575C75" w:rsidP="00CD72D6">
            <w:pPr>
              <w:widowControl/>
              <w:rPr>
                <w:rFonts w:eastAsiaTheme="minorEastAsia"/>
                <w:b/>
                <w:bCs/>
                <w:color w:val="000000" w:themeColor="text1"/>
                <w:sz w:val="24"/>
              </w:rPr>
            </w:pPr>
            <w:r w:rsidRPr="00FC0759">
              <w:rPr>
                <w:color w:val="000000"/>
                <w:sz w:val="24"/>
              </w:rPr>
              <w:t>期初份额</w:t>
            </w:r>
          </w:p>
        </w:tc>
        <w:tc>
          <w:tcPr>
            <w:tcW w:w="1276" w:type="dxa"/>
            <w:vAlign w:val="center"/>
          </w:tcPr>
          <w:p w:rsidR="00575C75" w:rsidRPr="00FC0759" w:rsidRDefault="00575C75" w:rsidP="00CD72D6">
            <w:pPr>
              <w:widowControl/>
              <w:rPr>
                <w:rFonts w:eastAsiaTheme="minorEastAsia"/>
                <w:b/>
                <w:bCs/>
                <w:color w:val="000000" w:themeColor="text1"/>
                <w:sz w:val="24"/>
              </w:rPr>
            </w:pPr>
            <w:r w:rsidRPr="00FC0759">
              <w:rPr>
                <w:color w:val="000000"/>
                <w:sz w:val="24"/>
              </w:rPr>
              <w:t>申购份额</w:t>
            </w:r>
          </w:p>
        </w:tc>
        <w:tc>
          <w:tcPr>
            <w:tcW w:w="1276" w:type="dxa"/>
            <w:vAlign w:val="center"/>
          </w:tcPr>
          <w:p w:rsidR="00575C75" w:rsidRPr="00FC0759" w:rsidRDefault="00575C75" w:rsidP="00CD72D6">
            <w:pPr>
              <w:widowControl/>
              <w:rPr>
                <w:rFonts w:eastAsiaTheme="minorEastAsia"/>
                <w:b/>
                <w:bCs/>
                <w:color w:val="000000" w:themeColor="text1"/>
                <w:sz w:val="24"/>
              </w:rPr>
            </w:pPr>
            <w:r w:rsidRPr="00FC0759">
              <w:rPr>
                <w:color w:val="000000"/>
                <w:sz w:val="24"/>
              </w:rPr>
              <w:t>赎回份额</w:t>
            </w:r>
          </w:p>
        </w:tc>
        <w:tc>
          <w:tcPr>
            <w:tcW w:w="1417" w:type="dxa"/>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持有份额</w:t>
            </w:r>
          </w:p>
        </w:tc>
        <w:tc>
          <w:tcPr>
            <w:tcW w:w="851" w:type="dxa"/>
            <w:gridSpan w:val="2"/>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份额占比</w:t>
            </w:r>
          </w:p>
        </w:tc>
      </w:tr>
      <w:tr w:rsidR="0060717A">
        <w:trPr>
          <w:jc w:val="center"/>
        </w:trPr>
        <w:tc>
          <w:tcPr>
            <w:tcW w:w="0" w:type="auto"/>
            <w:vMerge w:val="restart"/>
            <w:vAlign w:val="center"/>
          </w:tcPr>
          <w:p w:rsidR="0060717A" w:rsidRDefault="00092FFC">
            <w:r>
              <w:rPr>
                <w:rFonts w:eastAsiaTheme="minorEastAsia"/>
                <w:bCs/>
                <w:color w:val="000000" w:themeColor="text1"/>
                <w:sz w:val="24"/>
              </w:rPr>
              <w:t>机构</w:t>
            </w:r>
          </w:p>
        </w:tc>
        <w:tc>
          <w:tcPr>
            <w:tcW w:w="0" w:type="auto"/>
            <w:vAlign w:val="center"/>
          </w:tcPr>
          <w:p w:rsidR="0060717A" w:rsidRDefault="00092FFC">
            <w:pPr>
              <w:jc w:val="center"/>
            </w:pPr>
            <w:r>
              <w:rPr>
                <w:sz w:val="24"/>
              </w:rPr>
              <w:t>1</w:t>
            </w:r>
          </w:p>
        </w:tc>
        <w:tc>
          <w:tcPr>
            <w:tcW w:w="0" w:type="auto"/>
            <w:vAlign w:val="center"/>
          </w:tcPr>
          <w:p w:rsidR="0060717A" w:rsidRDefault="00092FFC">
            <w:pPr>
              <w:jc w:val="center"/>
            </w:pPr>
            <w:r>
              <w:rPr>
                <w:sz w:val="24"/>
              </w:rPr>
              <w:t>2019</w:t>
            </w:r>
            <w:r>
              <w:rPr>
                <w:sz w:val="24"/>
              </w:rPr>
              <w:t>年</w:t>
            </w:r>
            <w:r>
              <w:rPr>
                <w:sz w:val="24"/>
              </w:rPr>
              <w:t>10</w:t>
            </w:r>
            <w:r>
              <w:rPr>
                <w:sz w:val="24"/>
              </w:rPr>
              <w:t>月</w:t>
            </w:r>
            <w:r>
              <w:rPr>
                <w:sz w:val="24"/>
              </w:rPr>
              <w:t>01</w:t>
            </w:r>
            <w:r>
              <w:rPr>
                <w:sz w:val="24"/>
              </w:rPr>
              <w:t>日</w:t>
            </w:r>
            <w:r>
              <w:rPr>
                <w:sz w:val="24"/>
              </w:rPr>
              <w:t>~2019</w:t>
            </w:r>
            <w:r>
              <w:rPr>
                <w:sz w:val="24"/>
              </w:rPr>
              <w:t>年</w:t>
            </w:r>
            <w:r>
              <w:rPr>
                <w:sz w:val="24"/>
              </w:rPr>
              <w:t>12</w:t>
            </w:r>
            <w:r>
              <w:rPr>
                <w:sz w:val="24"/>
              </w:rPr>
              <w:t>月</w:t>
            </w:r>
            <w:r>
              <w:rPr>
                <w:sz w:val="24"/>
              </w:rPr>
              <w:t>31</w:t>
            </w:r>
            <w:r>
              <w:rPr>
                <w:sz w:val="24"/>
              </w:rPr>
              <w:t>日</w:t>
            </w:r>
          </w:p>
        </w:tc>
        <w:tc>
          <w:tcPr>
            <w:tcW w:w="0" w:type="auto"/>
            <w:vAlign w:val="center"/>
          </w:tcPr>
          <w:p w:rsidR="0060717A" w:rsidRDefault="00092FFC">
            <w:pPr>
              <w:jc w:val="center"/>
            </w:pPr>
            <w:r>
              <w:rPr>
                <w:sz w:val="24"/>
              </w:rPr>
              <w:t>49,999,000.00</w:t>
            </w:r>
          </w:p>
        </w:tc>
        <w:tc>
          <w:tcPr>
            <w:tcW w:w="0" w:type="auto"/>
            <w:vAlign w:val="center"/>
          </w:tcPr>
          <w:p w:rsidR="0060717A" w:rsidRDefault="00092FFC">
            <w:pPr>
              <w:jc w:val="center"/>
            </w:pPr>
            <w:r>
              <w:rPr>
                <w:sz w:val="24"/>
              </w:rPr>
              <w:t>-</w:t>
            </w:r>
          </w:p>
        </w:tc>
        <w:tc>
          <w:tcPr>
            <w:tcW w:w="0" w:type="auto"/>
            <w:vAlign w:val="center"/>
          </w:tcPr>
          <w:p w:rsidR="0060717A" w:rsidRDefault="00092FFC">
            <w:pPr>
              <w:jc w:val="center"/>
            </w:pPr>
            <w:r>
              <w:rPr>
                <w:sz w:val="24"/>
              </w:rPr>
              <w:t>-</w:t>
            </w:r>
          </w:p>
        </w:tc>
        <w:tc>
          <w:tcPr>
            <w:tcW w:w="0" w:type="auto"/>
            <w:vAlign w:val="center"/>
          </w:tcPr>
          <w:p w:rsidR="0060717A" w:rsidRDefault="00092FFC">
            <w:pPr>
              <w:jc w:val="center"/>
            </w:pPr>
            <w:r>
              <w:rPr>
                <w:sz w:val="24"/>
              </w:rPr>
              <w:t>49,999,000.00</w:t>
            </w:r>
          </w:p>
        </w:tc>
        <w:tc>
          <w:tcPr>
            <w:tcW w:w="0" w:type="auto"/>
            <w:gridSpan w:val="2"/>
            <w:vAlign w:val="center"/>
          </w:tcPr>
          <w:p w:rsidR="0060717A" w:rsidRDefault="00092FFC">
            <w:pPr>
              <w:jc w:val="center"/>
            </w:pPr>
            <w:r>
              <w:rPr>
                <w:sz w:val="24"/>
              </w:rPr>
              <w:t>49.79%</w:t>
            </w:r>
          </w:p>
        </w:tc>
      </w:tr>
      <w:tr w:rsidR="00575C75" w:rsidRPr="00FC0759" w:rsidTr="00CD72D6">
        <w:trPr>
          <w:gridAfter w:val="1"/>
          <w:jc w:val="center"/>
        </w:trPr>
        <w:tc>
          <w:tcPr>
            <w:tcW w:w="9637" w:type="dxa"/>
            <w:gridSpan w:val="8"/>
            <w:vAlign w:val="center"/>
          </w:tcPr>
          <w:p w:rsidR="00575C75" w:rsidRPr="00FC0759" w:rsidRDefault="00575C75" w:rsidP="00BF07C4">
            <w:pPr>
              <w:autoSpaceDE w:val="0"/>
              <w:autoSpaceDN w:val="0"/>
              <w:adjustRightInd w:val="0"/>
              <w:jc w:val="center"/>
              <w:rPr>
                <w:sz w:val="24"/>
              </w:rPr>
            </w:pPr>
            <w:r w:rsidRPr="00FC0759">
              <w:rPr>
                <w:color w:val="000000"/>
                <w:sz w:val="24"/>
              </w:rPr>
              <w:t>产品特有风险</w:t>
            </w:r>
          </w:p>
        </w:tc>
      </w:tr>
      <w:tr w:rsidR="00575C75" w:rsidRPr="00FC0759" w:rsidTr="00CD72D6">
        <w:trPr>
          <w:gridAfter w:val="1"/>
          <w:jc w:val="center"/>
        </w:trPr>
        <w:tc>
          <w:tcPr>
            <w:tcW w:w="9637" w:type="dxa"/>
            <w:gridSpan w:val="8"/>
            <w:vAlign w:val="center"/>
          </w:tcPr>
          <w:p w:rsidR="00575C75" w:rsidRPr="00FC0759" w:rsidRDefault="00575C75" w:rsidP="00CD72D6">
            <w:pPr>
              <w:autoSpaceDE w:val="0"/>
              <w:autoSpaceDN w:val="0"/>
              <w:adjustRightInd w:val="0"/>
              <w:jc w:val="left"/>
              <w:rPr>
                <w:sz w:val="24"/>
              </w:rPr>
            </w:pPr>
            <w:r w:rsidRPr="00FC0759">
              <w:rPr>
                <w:sz w:val="24"/>
              </w:rPr>
              <w:t>报告期内，本基金存在单一投资者持有份额比例达到或超过</w:t>
            </w:r>
            <w:r w:rsidRPr="00FC0759">
              <w:rPr>
                <w:sz w:val="24"/>
              </w:rPr>
              <w:t>20%</w:t>
            </w:r>
            <w:r w:rsidRPr="00FC0759">
              <w:rPr>
                <w:sz w:val="24"/>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FC0759">
              <w:rPr>
                <w:sz w:val="24"/>
              </w:rPr>
              <w:t>5000</w:t>
            </w:r>
            <w:r w:rsidRPr="00FC0759">
              <w:rPr>
                <w:sz w:val="24"/>
              </w:rPr>
              <w:t>万元，基金还可能面临转换运作方式、与其他基金合并或者终止基金合同等情形；持有基金份额占比较高的投资者在召开持有人大会并对审议事项进行投票表决时可能拥有较大话语权。</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9</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9.1</w:t>
      </w:r>
      <w:r w:rsidRPr="00E8153C">
        <w:rPr>
          <w:color w:val="000000"/>
          <w:kern w:val="0"/>
          <w:sz w:val="24"/>
        </w:rPr>
        <w:t>备查文件目录</w:t>
      </w:r>
    </w:p>
    <w:p w:rsidR="0060717A" w:rsidRDefault="00092FFC">
      <w:pPr>
        <w:spacing w:line="360" w:lineRule="auto"/>
        <w:ind w:firstLineChars="200" w:firstLine="480"/>
        <w:rPr>
          <w:color w:val="000000"/>
          <w:sz w:val="24"/>
        </w:rPr>
      </w:pPr>
      <w:r>
        <w:rPr>
          <w:color w:val="000000"/>
          <w:sz w:val="24"/>
        </w:rPr>
        <w:t xml:space="preserve">1. </w:t>
      </w:r>
      <w:r>
        <w:rPr>
          <w:color w:val="000000"/>
          <w:sz w:val="24"/>
        </w:rPr>
        <w:t>中国证监会准予易方达量化策略精选灵活配置混合型证券投资基金注册的文件；</w:t>
      </w:r>
    </w:p>
    <w:p w:rsidR="0060717A" w:rsidRDefault="00092FFC">
      <w:pPr>
        <w:spacing w:line="360" w:lineRule="auto"/>
        <w:ind w:firstLineChars="200" w:firstLine="480"/>
        <w:rPr>
          <w:color w:val="000000"/>
          <w:sz w:val="24"/>
        </w:rPr>
      </w:pPr>
      <w:r>
        <w:rPr>
          <w:color w:val="000000"/>
          <w:sz w:val="24"/>
        </w:rPr>
        <w:t xml:space="preserve">2. </w:t>
      </w:r>
      <w:r>
        <w:rPr>
          <w:color w:val="000000"/>
          <w:sz w:val="24"/>
        </w:rPr>
        <w:t>《易方达量化策略精选灵活配置混合型证券投资基金基金合同》；</w:t>
      </w:r>
    </w:p>
    <w:p w:rsidR="0060717A" w:rsidRDefault="00092FFC">
      <w:pPr>
        <w:spacing w:line="360" w:lineRule="auto"/>
        <w:ind w:firstLineChars="200" w:firstLine="480"/>
        <w:rPr>
          <w:color w:val="000000"/>
          <w:sz w:val="24"/>
        </w:rPr>
      </w:pPr>
      <w:r>
        <w:rPr>
          <w:color w:val="000000"/>
          <w:sz w:val="24"/>
        </w:rPr>
        <w:t xml:space="preserve">3. </w:t>
      </w:r>
      <w:r>
        <w:rPr>
          <w:color w:val="000000"/>
          <w:sz w:val="24"/>
        </w:rPr>
        <w:t>《易方达量化策略精选灵活配置混合型证券投资基金托管协议》；</w:t>
      </w:r>
    </w:p>
    <w:p w:rsidR="0060717A" w:rsidRDefault="00092FFC">
      <w:pPr>
        <w:spacing w:line="360" w:lineRule="auto"/>
        <w:ind w:firstLineChars="200" w:firstLine="480"/>
        <w:rPr>
          <w:color w:val="000000"/>
          <w:sz w:val="24"/>
        </w:rPr>
      </w:pPr>
      <w:r>
        <w:rPr>
          <w:color w:val="000000"/>
          <w:sz w:val="24"/>
        </w:rPr>
        <w:t xml:space="preserve">4. </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 xml:space="preserve">5. </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二〇二〇年一月十八日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C8" w:rsidRDefault="00041CC8">
      <w:r>
        <w:separator/>
      </w:r>
    </w:p>
  </w:endnote>
  <w:endnote w:type="continuationSeparator" w:id="0">
    <w:p w:rsidR="00041CC8" w:rsidRDefault="000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092FFC">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092FFC">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092FFC">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C8" w:rsidRDefault="00041CC8">
      <w:r>
        <w:separator/>
      </w:r>
    </w:p>
  </w:footnote>
  <w:footnote w:type="continuationSeparator" w:id="0">
    <w:p w:rsidR="00041CC8" w:rsidRDefault="0004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易方达量化策略精选灵活配置混合型证券投资基金</w:t>
    </w:r>
    <w:r w:rsidRPr="00DA451D">
      <w:t>2019</w:t>
    </w:r>
    <w:r w:rsidRPr="00DA451D">
      <w:t>年第</w:t>
    </w:r>
    <w:r w:rsidRPr="00DA451D">
      <w:t>4</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2FFC"/>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17A"/>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17F53D0-CF46-4ED0-86F5-016774B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1101</Words>
  <Characters>6277</Characters>
  <Application>Microsoft Office Word</Application>
  <DocSecurity>4</DocSecurity>
  <Lines>52</Lines>
  <Paragraphs>14</Paragraphs>
  <ScaleCrop>false</ScaleCrop>
  <Company>TRT. Ltd. Co.</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2020-01-13T02:44:00Z</dcterms:created>
  <dcterms:modified xsi:type="dcterms:W3CDTF">2020-01-13T02:44:00Z</dcterms:modified>
</cp:coreProperties>
</file>