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bookmarkStart w:id="0" w:name="_GoBack"/>
      <w:bookmarkEnd w:id="0"/>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易方达龙宝货币市场基金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2019年第4季度报告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2019年12月31日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华夏银行股份有限公司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二〇二〇年一月十八日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B35EDC" w:rsidRDefault="00DF2219">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35EDC" w:rsidRDefault="00DF2219">
      <w:pPr>
        <w:adjustRightInd w:val="0"/>
        <w:spacing w:line="360" w:lineRule="auto"/>
        <w:ind w:firstLineChars="200" w:firstLine="480"/>
        <w:rPr>
          <w:color w:val="000000"/>
          <w:sz w:val="24"/>
        </w:rPr>
      </w:pPr>
      <w:r>
        <w:rPr>
          <w:color w:val="000000"/>
          <w:sz w:val="24"/>
        </w:rPr>
        <w:t>基金托管人华夏银行股份有限公司根据本基金合同规定，于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35EDC" w:rsidRDefault="00DF2219">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35EDC" w:rsidRDefault="00DF2219">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w:t>
      </w:r>
      <w:r>
        <w:rPr>
          <w:color w:val="000000"/>
          <w:sz w:val="24"/>
        </w:rPr>
        <w:t>书。</w:t>
      </w:r>
      <w:r>
        <w:rPr>
          <w:color w:val="000000"/>
          <w:sz w:val="24"/>
        </w:rPr>
        <w:t xml:space="preserve"> </w:t>
      </w:r>
    </w:p>
    <w:p w:rsidR="00B35EDC" w:rsidRDefault="00DF2219">
      <w:pPr>
        <w:adjustRightInd w:val="0"/>
        <w:spacing w:line="360" w:lineRule="auto"/>
        <w:ind w:firstLineChars="200" w:firstLine="480"/>
        <w:rPr>
          <w:color w:val="000000"/>
          <w:sz w:val="24"/>
        </w:rPr>
      </w:pPr>
      <w:r>
        <w:rPr>
          <w:color w:val="000000"/>
          <w:sz w:val="24"/>
        </w:rPr>
        <w:t>本报告中财务资料未经审计。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2019</w:t>
      </w:r>
      <w:r w:rsidRPr="001752C7">
        <w:rPr>
          <w:color w:val="000000"/>
          <w:sz w:val="24"/>
        </w:rPr>
        <w:t>年</w:t>
      </w:r>
      <w:r w:rsidRPr="001752C7">
        <w:rPr>
          <w:color w:val="000000"/>
          <w:sz w:val="24"/>
        </w:rPr>
        <w:t>10</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12</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易方达龙宝货币</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000789</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2014</w:t>
            </w:r>
            <w:r w:rsidRPr="00613409">
              <w:rPr>
                <w:color w:val="000000"/>
                <w:kern w:val="0"/>
                <w:sz w:val="24"/>
              </w:rPr>
              <w:t>年</w:t>
            </w:r>
            <w:r w:rsidRPr="00613409">
              <w:rPr>
                <w:color w:val="000000"/>
                <w:kern w:val="0"/>
                <w:sz w:val="24"/>
              </w:rPr>
              <w:t>9</w:t>
            </w:r>
            <w:r w:rsidRPr="00613409">
              <w:rPr>
                <w:color w:val="000000"/>
                <w:kern w:val="0"/>
                <w:sz w:val="24"/>
              </w:rPr>
              <w:t>月</w:t>
            </w:r>
            <w:r w:rsidRPr="00613409">
              <w:rPr>
                <w:color w:val="000000"/>
                <w:kern w:val="0"/>
                <w:sz w:val="24"/>
              </w:rPr>
              <w:t>12</w:t>
            </w:r>
            <w:r w:rsidRPr="00613409">
              <w:rPr>
                <w:color w:val="000000"/>
                <w:kern w:val="0"/>
                <w:sz w:val="24"/>
              </w:rPr>
              <w:t>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1,128,413,123.55</w:t>
            </w:r>
            <w:r w:rsidRPr="00613409">
              <w:rPr>
                <w:color w:val="000000"/>
                <w:kern w:val="0"/>
                <w:sz w:val="24"/>
              </w:rPr>
              <w:t>份</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lastRenderedPageBreak/>
              <w:t>业绩比较基准</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中国人民银行公布的七天通知存款利率（税后）</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风险收益特征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本基金为货币市场基金，本基金的风险和预期收益低于股票型基金、混合型基金、债券型基金。</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基金托管人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华夏银行股份有限公司</w:t>
            </w:r>
          </w:p>
        </w:tc>
      </w:tr>
      <w:tr w:rsidR="00EA3F40" w:rsidRPr="0097021E" w:rsidTr="001669F2">
        <w:trPr>
          <w:jc w:val="center"/>
        </w:trPr>
        <w:tc>
          <w:tcPr>
            <w:tcW w:w="2835" w:type="dxa"/>
          </w:tcPr>
          <w:p w:rsidR="00EA3F40" w:rsidRPr="00613409" w:rsidRDefault="00EA3F40" w:rsidP="00D271A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w="2300" w:type="dxa"/>
            <w:vAlign w:val="center"/>
          </w:tcPr>
          <w:p w:rsidR="00EA3F40" w:rsidRPr="00613409" w:rsidRDefault="00EA3F40" w:rsidP="00196812">
            <w:pPr>
              <w:spacing w:line="360" w:lineRule="auto"/>
              <w:jc w:val="left"/>
              <w:rPr>
                <w:sz w:val="24"/>
              </w:rPr>
            </w:pPr>
            <w:r w:rsidRPr="00613409">
              <w:rPr>
                <w:sz w:val="24"/>
              </w:rPr>
              <w:t>易方达龙宝货币</w:t>
            </w:r>
            <w:r w:rsidRPr="00613409">
              <w:rPr>
                <w:sz w:val="24"/>
              </w:rPr>
              <w:t>A</w:t>
            </w:r>
          </w:p>
        </w:tc>
        <w:tc>
          <w:tcPr>
            <w:tcW w:w="2300" w:type="dxa"/>
            <w:vAlign w:val="center"/>
          </w:tcPr>
          <w:p w:rsidR="00EA3F40" w:rsidRPr="00613409" w:rsidRDefault="00EA3F40" w:rsidP="00196812">
            <w:pPr>
              <w:spacing w:line="360" w:lineRule="auto"/>
              <w:jc w:val="left"/>
              <w:rPr>
                <w:sz w:val="24"/>
              </w:rPr>
            </w:pPr>
            <w:r w:rsidRPr="00613409">
              <w:rPr>
                <w:sz w:val="24"/>
              </w:rPr>
              <w:t>易方达龙宝货币</w:t>
            </w:r>
            <w:r w:rsidRPr="00613409">
              <w:rPr>
                <w:sz w:val="24"/>
              </w:rPr>
              <w:t>B</w:t>
            </w:r>
          </w:p>
        </w:tc>
        <w:tc>
          <w:tcPr>
            <w:tcW w:w="2301" w:type="dxa"/>
            <w:vAlign w:val="center"/>
          </w:tcPr>
          <w:p w:rsidR="00EA3F40" w:rsidRPr="00613409" w:rsidRDefault="00EA3F40" w:rsidP="00025C5D">
            <w:pPr>
              <w:spacing w:line="360" w:lineRule="auto"/>
              <w:jc w:val="left"/>
              <w:rPr>
                <w:sz w:val="24"/>
              </w:rPr>
            </w:pPr>
            <w:r w:rsidRPr="00613409">
              <w:rPr>
                <w:sz w:val="24"/>
              </w:rPr>
              <w:t>易方达龙宝货币</w:t>
            </w:r>
            <w:r w:rsidRPr="00613409">
              <w:rPr>
                <w:sz w:val="24"/>
              </w:rPr>
              <w:t>C</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下属</w:t>
            </w:r>
            <w:r w:rsidR="00D271A9" w:rsidRPr="00613409">
              <w:rPr>
                <w:color w:val="000000"/>
                <w:sz w:val="24"/>
              </w:rPr>
              <w:t>分</w:t>
            </w:r>
            <w:r w:rsidRPr="00613409">
              <w:rPr>
                <w:color w:val="000000"/>
                <w:sz w:val="24"/>
              </w:rPr>
              <w:t>级基金的交易代码</w:t>
            </w:r>
          </w:p>
        </w:tc>
        <w:tc>
          <w:tcPr>
            <w:tcW w:w="2300" w:type="dxa"/>
            <w:vAlign w:val="center"/>
          </w:tcPr>
          <w:p w:rsidR="00E325AB" w:rsidRPr="00613409" w:rsidRDefault="00E325AB" w:rsidP="00196812">
            <w:pPr>
              <w:spacing w:line="360" w:lineRule="auto"/>
              <w:jc w:val="left"/>
              <w:rPr>
                <w:sz w:val="24"/>
              </w:rPr>
            </w:pPr>
            <w:r w:rsidRPr="00613409">
              <w:rPr>
                <w:sz w:val="24"/>
              </w:rPr>
              <w:t>000789</w:t>
            </w:r>
          </w:p>
        </w:tc>
        <w:tc>
          <w:tcPr>
            <w:tcW w:w="2300" w:type="dxa"/>
            <w:vAlign w:val="center"/>
          </w:tcPr>
          <w:p w:rsidR="00E325AB" w:rsidRPr="00613409" w:rsidRDefault="00E325AB" w:rsidP="00196812">
            <w:pPr>
              <w:spacing w:line="360" w:lineRule="auto"/>
              <w:jc w:val="left"/>
              <w:rPr>
                <w:sz w:val="24"/>
              </w:rPr>
            </w:pPr>
            <w:r w:rsidRPr="00613409">
              <w:rPr>
                <w:sz w:val="24"/>
              </w:rPr>
              <w:t>000790</w:t>
            </w:r>
          </w:p>
        </w:tc>
        <w:tc>
          <w:tcPr>
            <w:tcW w:w="2301" w:type="dxa"/>
            <w:vAlign w:val="center"/>
          </w:tcPr>
          <w:p w:rsidR="00E325AB" w:rsidRPr="00613409" w:rsidRDefault="00E325AB" w:rsidP="001669F2">
            <w:pPr>
              <w:spacing w:line="360" w:lineRule="auto"/>
              <w:jc w:val="left"/>
              <w:rPr>
                <w:sz w:val="24"/>
              </w:rPr>
            </w:pPr>
            <w:r w:rsidRPr="00613409">
              <w:rPr>
                <w:sz w:val="24"/>
              </w:rPr>
              <w:t>005098</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w="2300" w:type="dxa"/>
            <w:vAlign w:val="center"/>
          </w:tcPr>
          <w:p w:rsidR="00E325AB" w:rsidRPr="00613409" w:rsidRDefault="00E325AB" w:rsidP="00196812">
            <w:pPr>
              <w:spacing w:line="360" w:lineRule="auto"/>
              <w:jc w:val="left"/>
              <w:rPr>
                <w:sz w:val="24"/>
              </w:rPr>
            </w:pPr>
            <w:r w:rsidRPr="00613409">
              <w:rPr>
                <w:sz w:val="24"/>
              </w:rPr>
              <w:t>856,461,232.27</w:t>
            </w:r>
            <w:r w:rsidRPr="00613409">
              <w:rPr>
                <w:sz w:val="24"/>
              </w:rPr>
              <w:t>份</w:t>
            </w:r>
          </w:p>
        </w:tc>
        <w:tc>
          <w:tcPr>
            <w:tcW w:w="2300" w:type="dxa"/>
            <w:vAlign w:val="center"/>
          </w:tcPr>
          <w:p w:rsidR="00E325AB" w:rsidRPr="00613409" w:rsidRDefault="00E325AB" w:rsidP="00196812">
            <w:pPr>
              <w:spacing w:line="360" w:lineRule="auto"/>
              <w:jc w:val="left"/>
              <w:rPr>
                <w:sz w:val="24"/>
              </w:rPr>
            </w:pPr>
            <w:r w:rsidRPr="00613409">
              <w:rPr>
                <w:sz w:val="24"/>
              </w:rPr>
              <w:t>82,187,650.79</w:t>
            </w:r>
            <w:r w:rsidRPr="00613409">
              <w:rPr>
                <w:sz w:val="24"/>
              </w:rPr>
              <w:t>份</w:t>
            </w:r>
          </w:p>
        </w:tc>
        <w:tc>
          <w:tcPr>
            <w:tcW w:w="2301" w:type="dxa"/>
            <w:vAlign w:val="center"/>
          </w:tcPr>
          <w:p w:rsidR="00E325AB" w:rsidRPr="00613409" w:rsidRDefault="00E325AB" w:rsidP="00025C5D">
            <w:pPr>
              <w:spacing w:line="360" w:lineRule="auto"/>
              <w:jc w:val="left"/>
              <w:rPr>
                <w:sz w:val="24"/>
              </w:rPr>
            </w:pPr>
            <w:r w:rsidRPr="00613409">
              <w:rPr>
                <w:sz w:val="24"/>
              </w:rPr>
              <w:t>189,764,240.49</w:t>
            </w:r>
            <w:r w:rsidRPr="00613409">
              <w:rPr>
                <w:sz w:val="24"/>
              </w:rPr>
              <w:t>份</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注：自</w:t>
      </w:r>
      <w:r w:rsidRPr="001752C7">
        <w:rPr>
          <w:color w:val="000000"/>
          <w:sz w:val="24"/>
        </w:rPr>
        <w:t>2017</w:t>
      </w:r>
      <w:r w:rsidRPr="001752C7">
        <w:rPr>
          <w:color w:val="000000"/>
          <w:sz w:val="24"/>
        </w:rPr>
        <w:t>年</w:t>
      </w:r>
      <w:r w:rsidRPr="001752C7">
        <w:rPr>
          <w:color w:val="000000"/>
          <w:sz w:val="24"/>
        </w:rPr>
        <w:t>8</w:t>
      </w:r>
      <w:r w:rsidRPr="001752C7">
        <w:rPr>
          <w:color w:val="000000"/>
          <w:sz w:val="24"/>
        </w:rPr>
        <w:t>月</w:t>
      </w:r>
      <w:r w:rsidRPr="001752C7">
        <w:rPr>
          <w:color w:val="000000"/>
          <w:sz w:val="24"/>
        </w:rPr>
        <w:t>29</w:t>
      </w:r>
      <w:r w:rsidRPr="001752C7">
        <w:rPr>
          <w:color w:val="000000"/>
          <w:sz w:val="24"/>
        </w:rPr>
        <w:t>日起，本基金增设</w:t>
      </w:r>
      <w:r w:rsidRPr="001752C7">
        <w:rPr>
          <w:color w:val="000000"/>
          <w:sz w:val="24"/>
        </w:rPr>
        <w:t>C</w:t>
      </w:r>
      <w:r w:rsidRPr="001752C7">
        <w:rPr>
          <w:color w:val="000000"/>
          <w:sz w:val="24"/>
        </w:rPr>
        <w:t>类份额类别，份额首次确认日为</w:t>
      </w:r>
      <w:r w:rsidRPr="001752C7">
        <w:rPr>
          <w:color w:val="000000"/>
          <w:sz w:val="24"/>
        </w:rPr>
        <w:t>2017</w:t>
      </w:r>
      <w:r w:rsidRPr="001752C7">
        <w:rPr>
          <w:color w:val="000000"/>
          <w:sz w:val="24"/>
        </w:rPr>
        <w:t>年</w:t>
      </w:r>
      <w:r w:rsidRPr="001752C7">
        <w:rPr>
          <w:color w:val="000000"/>
          <w:sz w:val="24"/>
        </w:rPr>
        <w:t>8</w:t>
      </w:r>
      <w:r w:rsidRPr="001752C7">
        <w:rPr>
          <w:color w:val="000000"/>
          <w:sz w:val="24"/>
        </w:rPr>
        <w:t>月</w:t>
      </w:r>
      <w:r w:rsidRPr="001752C7">
        <w:rPr>
          <w:color w:val="000000"/>
          <w:sz w:val="24"/>
        </w:rPr>
        <w:t>30</w:t>
      </w:r>
      <w:r w:rsidRPr="001752C7">
        <w:rPr>
          <w:color w:val="000000"/>
          <w:sz w:val="24"/>
        </w:rPr>
        <w:t>日。</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1855"/>
        <w:gridCol w:w="1856"/>
      </w:tblGrid>
      <w:tr w:rsidR="00EA3F40" w:rsidRPr="00613409" w:rsidTr="00025C5D">
        <w:trPr>
          <w:jc w:val="center"/>
        </w:trPr>
        <w:tc>
          <w:tcPr>
            <w:tcW w:w="3402" w:type="dxa"/>
            <w:vMerge w:val="restart"/>
            <w:vAlign w:val="center"/>
          </w:tcPr>
          <w:p w:rsidR="00EA3F40" w:rsidRPr="00613409" w:rsidRDefault="00EA3F40" w:rsidP="00196812">
            <w:pPr>
              <w:adjustRightInd w:val="0"/>
              <w:spacing w:before="29" w:line="360" w:lineRule="auto"/>
              <w:ind w:left="17"/>
              <w:jc w:val="center"/>
              <w:rPr>
                <w:kern w:val="0"/>
                <w:sz w:val="24"/>
              </w:rPr>
            </w:pPr>
            <w:r w:rsidRPr="00613409">
              <w:rPr>
                <w:kern w:val="0"/>
                <w:sz w:val="24"/>
              </w:rPr>
              <w:t>主要财务指标</w:t>
            </w:r>
          </w:p>
        </w:tc>
        <w:tc>
          <w:tcPr>
            <w:tcW w:w="6192" w:type="dxa"/>
            <w:gridSpan w:val="3"/>
            <w:vAlign w:val="center"/>
          </w:tcPr>
          <w:p w:rsidR="00EA3F40" w:rsidRPr="00613409" w:rsidRDefault="00EA3F40"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(2019</w:t>
            </w:r>
            <w:r w:rsidRPr="00613409">
              <w:rPr>
                <w:color w:val="000000"/>
                <w:sz w:val="24"/>
              </w:rPr>
              <w:t>年</w:t>
            </w:r>
            <w:r w:rsidRPr="00613409">
              <w:rPr>
                <w:color w:val="000000"/>
                <w:sz w:val="24"/>
              </w:rPr>
              <w:t>10</w:t>
            </w:r>
            <w:r w:rsidRPr="00613409">
              <w:rPr>
                <w:color w:val="000000"/>
                <w:sz w:val="24"/>
              </w:rPr>
              <w:t>月</w:t>
            </w:r>
            <w:r w:rsidRPr="00613409">
              <w:rPr>
                <w:color w:val="000000"/>
                <w:sz w:val="24"/>
              </w:rPr>
              <w:t>1</w:t>
            </w:r>
            <w:r w:rsidRPr="00613409">
              <w:rPr>
                <w:color w:val="000000"/>
                <w:sz w:val="24"/>
              </w:rPr>
              <w:t>日</w:t>
            </w:r>
            <w:r w:rsidRPr="00613409">
              <w:rPr>
                <w:color w:val="000000"/>
                <w:sz w:val="24"/>
              </w:rPr>
              <w:t>-2019</w:t>
            </w:r>
            <w:r w:rsidRPr="00613409">
              <w:rPr>
                <w:color w:val="000000"/>
                <w:sz w:val="24"/>
              </w:rPr>
              <w:t>年</w:t>
            </w:r>
            <w:r w:rsidRPr="00613409">
              <w:rPr>
                <w:color w:val="000000"/>
                <w:sz w:val="24"/>
              </w:rPr>
              <w:t>12</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EA3F40" w:rsidRPr="00613409" w:rsidTr="00025C5D">
        <w:trPr>
          <w:jc w:val="center"/>
        </w:trPr>
        <w:tc>
          <w:tcPr>
            <w:tcW w:w="3402" w:type="dxa"/>
            <w:vMerge/>
            <w:vAlign w:val="center"/>
          </w:tcPr>
          <w:p w:rsidR="00EA3F40" w:rsidRPr="00613409" w:rsidRDefault="00EA3F40" w:rsidP="00196812">
            <w:pPr>
              <w:adjustRightInd w:val="0"/>
              <w:spacing w:before="29" w:line="360" w:lineRule="auto"/>
              <w:ind w:left="17"/>
              <w:jc w:val="center"/>
              <w:rPr>
                <w:kern w:val="0"/>
                <w:sz w:val="24"/>
              </w:rPr>
            </w:pPr>
          </w:p>
        </w:tc>
        <w:tc>
          <w:tcPr>
            <w:tcW w:w="2481"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易方达龙宝货币</w:t>
            </w:r>
            <w:r w:rsidRPr="00613409">
              <w:rPr>
                <w:sz w:val="24"/>
              </w:rPr>
              <w:t>A</w:t>
            </w:r>
          </w:p>
        </w:tc>
        <w:tc>
          <w:tcPr>
            <w:tcW w:w="1855"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易方达龙宝货币</w:t>
            </w:r>
            <w:r w:rsidRPr="00613409">
              <w:rPr>
                <w:sz w:val="24"/>
              </w:rPr>
              <w:t>B</w:t>
            </w:r>
          </w:p>
        </w:tc>
        <w:tc>
          <w:tcPr>
            <w:tcW w:w="1856" w:type="dxa"/>
            <w:vAlign w:val="center"/>
          </w:tcPr>
          <w:p w:rsidR="00EA3F40" w:rsidRPr="00613409" w:rsidRDefault="00EA3F40" w:rsidP="00025C5D">
            <w:pPr>
              <w:adjustRightInd w:val="0"/>
              <w:spacing w:before="29" w:line="360" w:lineRule="auto"/>
              <w:ind w:left="17"/>
              <w:jc w:val="center"/>
              <w:rPr>
                <w:color w:val="000000"/>
                <w:sz w:val="24"/>
              </w:rPr>
            </w:pPr>
            <w:r w:rsidRPr="00613409">
              <w:rPr>
                <w:sz w:val="24"/>
              </w:rPr>
              <w:t>易方达龙宝货币</w:t>
            </w:r>
            <w:r w:rsidRPr="00613409">
              <w:rPr>
                <w:sz w:val="24"/>
              </w:rPr>
              <w:t>C</w:t>
            </w:r>
          </w:p>
        </w:tc>
      </w:tr>
      <w:tr w:rsidR="00EA3F40" w:rsidRPr="00613409" w:rsidTr="00025C5D">
        <w:trPr>
          <w:trHeight w:val="840"/>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5,632,466.95</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1,215,136.85</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1,265,607.86</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5,632,466.95</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1,215,136.85</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1,265,607.86</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2481"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856,461,232.27</w:t>
            </w:r>
          </w:p>
        </w:tc>
        <w:tc>
          <w:tcPr>
            <w:tcW w:w="1855"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82,187,650.79</w:t>
            </w:r>
          </w:p>
        </w:tc>
        <w:tc>
          <w:tcPr>
            <w:tcW w:w="1856" w:type="dxa"/>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189,764,240.49</w:t>
            </w:r>
          </w:p>
        </w:tc>
      </w:tr>
    </w:tbl>
    <w:p w:rsidR="00B35EDC" w:rsidRDefault="00DF2219">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本基金利润分配是按日结转份额。</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易方达龙宝货币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B35EDC">
        <w:tc>
          <w:tcPr>
            <w:tcW w:w="0" w:type="auto"/>
            <w:vAlign w:val="center"/>
          </w:tcPr>
          <w:p w:rsidR="00B35EDC" w:rsidRDefault="00DF2219">
            <w:pPr>
              <w:jc w:val="left"/>
            </w:pPr>
            <w:r>
              <w:rPr>
                <w:color w:val="000000"/>
                <w:sz w:val="24"/>
              </w:rPr>
              <w:t>过去三个月</w:t>
            </w:r>
          </w:p>
        </w:tc>
        <w:tc>
          <w:tcPr>
            <w:tcW w:w="0" w:type="auto"/>
            <w:vAlign w:val="center"/>
          </w:tcPr>
          <w:p w:rsidR="00B35EDC" w:rsidRDefault="00DF2219">
            <w:pPr>
              <w:jc w:val="center"/>
            </w:pPr>
            <w:r>
              <w:rPr>
                <w:color w:val="000000"/>
                <w:sz w:val="24"/>
              </w:rPr>
              <w:t>0.6149%</w:t>
            </w:r>
          </w:p>
        </w:tc>
        <w:tc>
          <w:tcPr>
            <w:tcW w:w="0" w:type="auto"/>
            <w:vAlign w:val="center"/>
          </w:tcPr>
          <w:p w:rsidR="00B35EDC" w:rsidRDefault="00DF2219">
            <w:pPr>
              <w:jc w:val="center"/>
            </w:pPr>
            <w:r>
              <w:rPr>
                <w:color w:val="000000"/>
                <w:sz w:val="24"/>
              </w:rPr>
              <w:t>0.0010%</w:t>
            </w:r>
          </w:p>
        </w:tc>
        <w:tc>
          <w:tcPr>
            <w:tcW w:w="0" w:type="auto"/>
            <w:vAlign w:val="center"/>
          </w:tcPr>
          <w:p w:rsidR="00B35EDC" w:rsidRDefault="00DF2219">
            <w:pPr>
              <w:jc w:val="center"/>
            </w:pPr>
            <w:r>
              <w:rPr>
                <w:color w:val="000000"/>
                <w:sz w:val="24"/>
              </w:rPr>
              <w:t>0.3456%</w:t>
            </w:r>
          </w:p>
        </w:tc>
        <w:tc>
          <w:tcPr>
            <w:tcW w:w="0" w:type="auto"/>
            <w:vAlign w:val="center"/>
          </w:tcPr>
          <w:p w:rsidR="00B35EDC" w:rsidRDefault="00DF2219">
            <w:pPr>
              <w:jc w:val="center"/>
            </w:pPr>
            <w:r>
              <w:rPr>
                <w:color w:val="000000"/>
                <w:sz w:val="24"/>
              </w:rPr>
              <w:t>0.0000%</w:t>
            </w:r>
          </w:p>
        </w:tc>
        <w:tc>
          <w:tcPr>
            <w:tcW w:w="0" w:type="auto"/>
            <w:vAlign w:val="center"/>
          </w:tcPr>
          <w:p w:rsidR="00B35EDC" w:rsidRDefault="00DF2219">
            <w:pPr>
              <w:jc w:val="center"/>
            </w:pPr>
            <w:r>
              <w:rPr>
                <w:color w:val="000000"/>
                <w:sz w:val="24"/>
              </w:rPr>
              <w:t>0.2693%</w:t>
            </w:r>
          </w:p>
        </w:tc>
        <w:tc>
          <w:tcPr>
            <w:tcW w:w="0" w:type="auto"/>
            <w:vAlign w:val="center"/>
          </w:tcPr>
          <w:p w:rsidR="00B35EDC" w:rsidRDefault="00DF2219">
            <w:pPr>
              <w:jc w:val="center"/>
            </w:pPr>
            <w:r>
              <w:rPr>
                <w:color w:val="000000"/>
                <w:sz w:val="24"/>
              </w:rPr>
              <w:t>0.0010%</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易方达龙宝货币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B35EDC">
        <w:tc>
          <w:tcPr>
            <w:tcW w:w="0" w:type="auto"/>
            <w:vAlign w:val="center"/>
          </w:tcPr>
          <w:p w:rsidR="00B35EDC" w:rsidRDefault="00DF2219">
            <w:pPr>
              <w:jc w:val="left"/>
            </w:pPr>
            <w:r>
              <w:rPr>
                <w:color w:val="000000"/>
                <w:sz w:val="24"/>
              </w:rPr>
              <w:t>过去三个月</w:t>
            </w:r>
          </w:p>
        </w:tc>
        <w:tc>
          <w:tcPr>
            <w:tcW w:w="0" w:type="auto"/>
            <w:vAlign w:val="center"/>
          </w:tcPr>
          <w:p w:rsidR="00B35EDC" w:rsidRDefault="00DF2219">
            <w:pPr>
              <w:jc w:val="center"/>
            </w:pPr>
            <w:r>
              <w:rPr>
                <w:color w:val="000000"/>
                <w:sz w:val="24"/>
              </w:rPr>
              <w:t>0.6758%</w:t>
            </w:r>
          </w:p>
        </w:tc>
        <w:tc>
          <w:tcPr>
            <w:tcW w:w="0" w:type="auto"/>
            <w:vAlign w:val="center"/>
          </w:tcPr>
          <w:p w:rsidR="00B35EDC" w:rsidRDefault="00DF2219">
            <w:pPr>
              <w:jc w:val="center"/>
            </w:pPr>
            <w:r>
              <w:rPr>
                <w:color w:val="000000"/>
                <w:sz w:val="24"/>
              </w:rPr>
              <w:t>0.0010%</w:t>
            </w:r>
          </w:p>
        </w:tc>
        <w:tc>
          <w:tcPr>
            <w:tcW w:w="0" w:type="auto"/>
            <w:vAlign w:val="center"/>
          </w:tcPr>
          <w:p w:rsidR="00B35EDC" w:rsidRDefault="00DF2219">
            <w:pPr>
              <w:jc w:val="center"/>
            </w:pPr>
            <w:r>
              <w:rPr>
                <w:color w:val="000000"/>
                <w:sz w:val="24"/>
              </w:rPr>
              <w:t>0.3456%</w:t>
            </w:r>
          </w:p>
        </w:tc>
        <w:tc>
          <w:tcPr>
            <w:tcW w:w="0" w:type="auto"/>
            <w:vAlign w:val="center"/>
          </w:tcPr>
          <w:p w:rsidR="00B35EDC" w:rsidRDefault="00DF2219">
            <w:pPr>
              <w:jc w:val="center"/>
            </w:pPr>
            <w:r>
              <w:rPr>
                <w:color w:val="000000"/>
                <w:sz w:val="24"/>
              </w:rPr>
              <w:t>0.0000%</w:t>
            </w:r>
          </w:p>
        </w:tc>
        <w:tc>
          <w:tcPr>
            <w:tcW w:w="0" w:type="auto"/>
            <w:vAlign w:val="center"/>
          </w:tcPr>
          <w:p w:rsidR="00B35EDC" w:rsidRDefault="00DF2219">
            <w:pPr>
              <w:jc w:val="center"/>
            </w:pPr>
            <w:r>
              <w:rPr>
                <w:color w:val="000000"/>
                <w:sz w:val="24"/>
              </w:rPr>
              <w:t>0.3302%</w:t>
            </w:r>
          </w:p>
        </w:tc>
        <w:tc>
          <w:tcPr>
            <w:tcW w:w="0" w:type="auto"/>
            <w:vAlign w:val="center"/>
          </w:tcPr>
          <w:p w:rsidR="00B35EDC" w:rsidRDefault="00DF2219">
            <w:pPr>
              <w:jc w:val="center"/>
            </w:pPr>
            <w:r>
              <w:rPr>
                <w:color w:val="000000"/>
                <w:sz w:val="24"/>
              </w:rPr>
              <w:t>0.0010%</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易方达龙宝货币</w:t>
      </w:r>
      <w:r w:rsidRPr="00613409">
        <w:rPr>
          <w:b/>
          <w:color w:val="000000"/>
          <w:sz w:val="24"/>
        </w:rPr>
        <w: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B35EDC">
        <w:tc>
          <w:tcPr>
            <w:tcW w:w="0" w:type="auto"/>
            <w:vAlign w:val="center"/>
          </w:tcPr>
          <w:p w:rsidR="00B35EDC" w:rsidRDefault="00DF2219">
            <w:pPr>
              <w:jc w:val="left"/>
            </w:pPr>
            <w:r>
              <w:rPr>
                <w:color w:val="000000"/>
                <w:sz w:val="24"/>
              </w:rPr>
              <w:t>过去三个月</w:t>
            </w:r>
          </w:p>
        </w:tc>
        <w:tc>
          <w:tcPr>
            <w:tcW w:w="0" w:type="auto"/>
            <w:vAlign w:val="center"/>
          </w:tcPr>
          <w:p w:rsidR="00B35EDC" w:rsidRDefault="00DF2219">
            <w:pPr>
              <w:jc w:val="center"/>
            </w:pPr>
            <w:r>
              <w:rPr>
                <w:color w:val="000000"/>
                <w:sz w:val="24"/>
              </w:rPr>
              <w:t>0.6657%</w:t>
            </w:r>
          </w:p>
        </w:tc>
        <w:tc>
          <w:tcPr>
            <w:tcW w:w="0" w:type="auto"/>
            <w:vAlign w:val="center"/>
          </w:tcPr>
          <w:p w:rsidR="00B35EDC" w:rsidRDefault="00DF2219">
            <w:pPr>
              <w:jc w:val="center"/>
            </w:pPr>
            <w:r>
              <w:rPr>
                <w:color w:val="000000"/>
                <w:sz w:val="24"/>
              </w:rPr>
              <w:t>0.0010%</w:t>
            </w:r>
          </w:p>
        </w:tc>
        <w:tc>
          <w:tcPr>
            <w:tcW w:w="0" w:type="auto"/>
            <w:vAlign w:val="center"/>
          </w:tcPr>
          <w:p w:rsidR="00B35EDC" w:rsidRDefault="00DF2219">
            <w:pPr>
              <w:jc w:val="center"/>
            </w:pPr>
            <w:r>
              <w:rPr>
                <w:color w:val="000000"/>
                <w:sz w:val="24"/>
              </w:rPr>
              <w:t>0.3456%</w:t>
            </w:r>
          </w:p>
        </w:tc>
        <w:tc>
          <w:tcPr>
            <w:tcW w:w="0" w:type="auto"/>
            <w:vAlign w:val="center"/>
          </w:tcPr>
          <w:p w:rsidR="00B35EDC" w:rsidRDefault="00DF2219">
            <w:pPr>
              <w:jc w:val="center"/>
            </w:pPr>
            <w:r>
              <w:rPr>
                <w:color w:val="000000"/>
                <w:sz w:val="24"/>
              </w:rPr>
              <w:t>0.0000%</w:t>
            </w:r>
          </w:p>
        </w:tc>
        <w:tc>
          <w:tcPr>
            <w:tcW w:w="0" w:type="auto"/>
            <w:vAlign w:val="center"/>
          </w:tcPr>
          <w:p w:rsidR="00B35EDC" w:rsidRDefault="00DF2219">
            <w:pPr>
              <w:jc w:val="center"/>
            </w:pPr>
            <w:r>
              <w:rPr>
                <w:color w:val="000000"/>
                <w:sz w:val="24"/>
              </w:rPr>
              <w:t>0.3201%</w:t>
            </w:r>
          </w:p>
        </w:tc>
        <w:tc>
          <w:tcPr>
            <w:tcW w:w="0" w:type="auto"/>
            <w:vAlign w:val="center"/>
          </w:tcPr>
          <w:p w:rsidR="00B35EDC" w:rsidRDefault="00DF2219">
            <w:pPr>
              <w:jc w:val="center"/>
            </w:pPr>
            <w:r>
              <w:rPr>
                <w:color w:val="000000"/>
                <w:sz w:val="24"/>
              </w:rPr>
              <w:t>0.0010%</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易方达龙宝货币市场基金</w:t>
      </w:r>
    </w:p>
    <w:p w:rsidR="00CB6152" w:rsidRPr="00CB6152" w:rsidRDefault="00EA3F40" w:rsidP="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CB6152" w:rsidRPr="00CB6152" w:rsidRDefault="00EA3F40" w:rsidP="00CB6152">
      <w:pPr>
        <w:snapToGrid w:val="0"/>
        <w:spacing w:line="360" w:lineRule="auto"/>
        <w:rPr>
          <w:rFonts w:hAnsi="宋体"/>
          <w:color w:val="000000"/>
          <w:sz w:val="24"/>
        </w:rPr>
      </w:pPr>
      <w:r w:rsidRPr="00613409">
        <w:rPr>
          <w:color w:val="000000"/>
          <w:kern w:val="0"/>
          <w:sz w:val="24"/>
        </w:rPr>
        <w:t>易方达龙宝货币</w:t>
      </w:r>
      <w:r w:rsidRPr="00613409">
        <w:rPr>
          <w:color w:val="000000"/>
          <w:kern w:val="0"/>
          <w:sz w:val="24"/>
        </w:rPr>
        <w:t>A</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9</w:t>
      </w:r>
      <w:r w:rsidRPr="00CB6152">
        <w:rPr>
          <w:rFonts w:ascii="Times New Roman" w:hAnsi="Times New Roman"/>
          <w:sz w:val="24"/>
          <w:szCs w:val="24"/>
        </w:rPr>
        <w:t>月</w:t>
      </w:r>
      <w:r w:rsidRPr="00CB6152">
        <w:rPr>
          <w:rFonts w:ascii="Times New Roman" w:hAnsi="Times New Roman"/>
          <w:sz w:val="24"/>
          <w:szCs w:val="24"/>
        </w:rPr>
        <w:t>12</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7600BC" w:rsidRDefault="00DF2219"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易方达龙宝货币</w:t>
      </w:r>
      <w:r w:rsidRPr="00613409">
        <w:rPr>
          <w:color w:val="000000"/>
          <w:kern w:val="0"/>
          <w:sz w:val="24"/>
        </w:rPr>
        <w:t>B</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9</w:t>
      </w:r>
      <w:r w:rsidRPr="00CB6152">
        <w:rPr>
          <w:rFonts w:ascii="Times New Roman" w:hAnsi="Times New Roman"/>
          <w:sz w:val="24"/>
          <w:szCs w:val="24"/>
        </w:rPr>
        <w:t>月</w:t>
      </w:r>
      <w:r w:rsidRPr="00CB6152">
        <w:rPr>
          <w:rFonts w:ascii="Times New Roman" w:hAnsi="Times New Roman"/>
          <w:sz w:val="24"/>
          <w:szCs w:val="24"/>
        </w:rPr>
        <w:t>12</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97021E" w:rsidRDefault="00DF2219"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易方达龙宝货币</w:t>
      </w:r>
      <w:r w:rsidRPr="00613409">
        <w:rPr>
          <w:color w:val="000000"/>
          <w:kern w:val="0"/>
          <w:sz w:val="24"/>
        </w:rPr>
        <w:t>C</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2017</w:t>
      </w:r>
      <w:r w:rsidRPr="00CB6152">
        <w:rPr>
          <w:rFonts w:ascii="Times New Roman" w:hAnsi="Times New Roman"/>
          <w:sz w:val="24"/>
          <w:szCs w:val="24"/>
        </w:rPr>
        <w:t>年</w:t>
      </w:r>
      <w:r w:rsidRPr="00CB6152">
        <w:rPr>
          <w:rFonts w:ascii="Times New Roman" w:hAnsi="Times New Roman"/>
          <w:sz w:val="24"/>
          <w:szCs w:val="24"/>
        </w:rPr>
        <w:t>8</w:t>
      </w:r>
      <w:r w:rsidRPr="00CB6152">
        <w:rPr>
          <w:rFonts w:ascii="Times New Roman" w:hAnsi="Times New Roman"/>
          <w:sz w:val="24"/>
          <w:szCs w:val="24"/>
        </w:rPr>
        <w:t>月</w:t>
      </w:r>
      <w:r w:rsidRPr="00CB6152">
        <w:rPr>
          <w:rFonts w:ascii="Times New Roman" w:hAnsi="Times New Roman"/>
          <w:sz w:val="24"/>
          <w:szCs w:val="24"/>
        </w:rPr>
        <w:t>30</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0A39AB" w:rsidRDefault="00DF2219"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B35EDC" w:rsidRDefault="00DF2219">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自</w:t>
      </w:r>
      <w:r>
        <w:rPr>
          <w:color w:val="000000"/>
          <w:sz w:val="24"/>
        </w:rPr>
        <w:t>2017</w:t>
      </w:r>
      <w:r>
        <w:rPr>
          <w:color w:val="000000"/>
          <w:sz w:val="24"/>
        </w:rPr>
        <w:t>年</w:t>
      </w:r>
      <w:r>
        <w:rPr>
          <w:color w:val="000000"/>
          <w:sz w:val="24"/>
        </w:rPr>
        <w:t>8</w:t>
      </w:r>
      <w:r>
        <w:rPr>
          <w:color w:val="000000"/>
          <w:sz w:val="24"/>
        </w:rPr>
        <w:t>月</w:t>
      </w:r>
      <w:r>
        <w:rPr>
          <w:color w:val="000000"/>
          <w:sz w:val="24"/>
        </w:rPr>
        <w:t>29</w:t>
      </w:r>
      <w:r>
        <w:rPr>
          <w:color w:val="000000"/>
          <w:sz w:val="24"/>
        </w:rPr>
        <w:t>日起</w:t>
      </w:r>
      <w:r>
        <w:rPr>
          <w:color w:val="000000"/>
          <w:sz w:val="24"/>
        </w:rPr>
        <w:t>,</w:t>
      </w:r>
      <w:r>
        <w:rPr>
          <w:color w:val="000000"/>
          <w:sz w:val="24"/>
        </w:rPr>
        <w:t>本基金增设</w:t>
      </w:r>
      <w:r>
        <w:rPr>
          <w:color w:val="000000"/>
          <w:sz w:val="24"/>
        </w:rPr>
        <w:t>C</w:t>
      </w:r>
      <w:r>
        <w:rPr>
          <w:color w:val="000000"/>
          <w:sz w:val="24"/>
        </w:rPr>
        <w:t>类份额类别</w:t>
      </w:r>
      <w:r>
        <w:rPr>
          <w:color w:val="000000"/>
          <w:sz w:val="24"/>
        </w:rPr>
        <w:t>,</w:t>
      </w:r>
      <w:r>
        <w:rPr>
          <w:color w:val="000000"/>
          <w:sz w:val="24"/>
        </w:rPr>
        <w:t>份额首次确认日为</w:t>
      </w:r>
      <w:r>
        <w:rPr>
          <w:color w:val="000000"/>
          <w:sz w:val="24"/>
        </w:rPr>
        <w:t>2017</w:t>
      </w:r>
      <w:r>
        <w:rPr>
          <w:color w:val="000000"/>
          <w:sz w:val="24"/>
        </w:rPr>
        <w:t>年</w:t>
      </w:r>
      <w:r>
        <w:rPr>
          <w:color w:val="000000"/>
          <w:sz w:val="24"/>
        </w:rPr>
        <w:t>8</w:t>
      </w:r>
      <w:r>
        <w:rPr>
          <w:color w:val="000000"/>
          <w:sz w:val="24"/>
        </w:rPr>
        <w:t>月</w:t>
      </w:r>
      <w:r>
        <w:rPr>
          <w:color w:val="000000"/>
          <w:sz w:val="24"/>
        </w:rPr>
        <w:t>30</w:t>
      </w:r>
      <w:r>
        <w:rPr>
          <w:color w:val="000000"/>
          <w:sz w:val="24"/>
        </w:rPr>
        <w:t>日</w:t>
      </w:r>
      <w:r>
        <w:rPr>
          <w:color w:val="000000"/>
          <w:sz w:val="24"/>
        </w:rPr>
        <w:t>,</w:t>
      </w:r>
      <w:r>
        <w:rPr>
          <w:color w:val="000000"/>
          <w:sz w:val="24"/>
        </w:rPr>
        <w:t>增设当期的相关数据和指标按实际存续期计算。</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19.2984%</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20.8239%</w:t>
      </w:r>
      <w:r w:rsidRPr="001752C7">
        <w:rPr>
          <w:color w:val="000000"/>
          <w:sz w:val="24"/>
        </w:rPr>
        <w:t>，同期业绩比较基准收益率为</w:t>
      </w:r>
      <w:r w:rsidRPr="001752C7">
        <w:rPr>
          <w:color w:val="000000"/>
          <w:sz w:val="24"/>
        </w:rPr>
        <w:t>7.5339%</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8.3440%</w:t>
      </w:r>
      <w:r w:rsidRPr="001752C7">
        <w:rPr>
          <w:color w:val="000000"/>
          <w:sz w:val="24"/>
        </w:rPr>
        <w:t>，同期业绩比较基准收益率为</w:t>
      </w:r>
      <w:r w:rsidRPr="001752C7">
        <w:rPr>
          <w:color w:val="000000"/>
          <w:sz w:val="24"/>
        </w:rPr>
        <w:t>3.2543%</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B35EDC">
        <w:tc>
          <w:tcPr>
            <w:tcW w:w="0" w:type="auto"/>
            <w:vAlign w:val="center"/>
          </w:tcPr>
          <w:p w:rsidR="00B35EDC" w:rsidRDefault="00DF2219">
            <w:pPr>
              <w:jc w:val="center"/>
            </w:pPr>
            <w:r>
              <w:rPr>
                <w:color w:val="000000"/>
                <w:sz w:val="24"/>
              </w:rPr>
              <w:t>石大怿</w:t>
            </w:r>
          </w:p>
        </w:tc>
        <w:tc>
          <w:tcPr>
            <w:tcW w:w="0" w:type="auto"/>
            <w:vAlign w:val="center"/>
          </w:tcPr>
          <w:p w:rsidR="00B35EDC" w:rsidRDefault="00DF2219">
            <w:pPr>
              <w:jc w:val="center"/>
            </w:pPr>
            <w:r>
              <w:rPr>
                <w:color w:val="000000"/>
                <w:sz w:val="24"/>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理财货币市场基金的基金经理、易方达天天发货币市场基金的基金经理、易方达货币市场基金的基金经理、易方达财富快线货币市场基金的基金经理、易方达保证金收益货币市场基金的基金经理、易方达安瑞短债债券型证券投资基金的基金经理、易方达恒安定期开放债券型发起式证券投资基金的基金经理助理</w:t>
            </w:r>
          </w:p>
        </w:tc>
        <w:tc>
          <w:tcPr>
            <w:tcW w:w="0" w:type="auto"/>
            <w:vAlign w:val="center"/>
          </w:tcPr>
          <w:p w:rsidR="00B35EDC" w:rsidRDefault="00DF2219">
            <w:pPr>
              <w:jc w:val="center"/>
            </w:pPr>
            <w:r>
              <w:rPr>
                <w:color w:val="000000"/>
                <w:sz w:val="24"/>
              </w:rPr>
              <w:t>2</w:t>
            </w:r>
            <w:r>
              <w:rPr>
                <w:color w:val="000000"/>
                <w:sz w:val="24"/>
              </w:rPr>
              <w:t>014-09-12</w:t>
            </w:r>
          </w:p>
        </w:tc>
        <w:tc>
          <w:tcPr>
            <w:tcW w:w="0" w:type="auto"/>
            <w:vAlign w:val="center"/>
          </w:tcPr>
          <w:p w:rsidR="00B35EDC" w:rsidRDefault="00DF2219">
            <w:pPr>
              <w:jc w:val="center"/>
            </w:pPr>
            <w:r>
              <w:rPr>
                <w:color w:val="000000"/>
                <w:sz w:val="24"/>
              </w:rPr>
              <w:t>-</w:t>
            </w:r>
          </w:p>
        </w:tc>
        <w:tc>
          <w:tcPr>
            <w:tcW w:w="0" w:type="auto"/>
            <w:vAlign w:val="center"/>
          </w:tcPr>
          <w:p w:rsidR="00B35EDC" w:rsidRDefault="00DF2219">
            <w:pPr>
              <w:jc w:val="center"/>
            </w:pPr>
            <w:r>
              <w:rPr>
                <w:color w:val="000000"/>
                <w:sz w:val="24"/>
              </w:rPr>
              <w:t>10</w:t>
            </w:r>
            <w:r>
              <w:rPr>
                <w:color w:val="000000"/>
                <w:sz w:val="24"/>
              </w:rPr>
              <w:t>年</w:t>
            </w:r>
          </w:p>
        </w:tc>
        <w:tc>
          <w:tcPr>
            <w:tcW w:w="0" w:type="auto"/>
            <w:vAlign w:val="center"/>
          </w:tcPr>
          <w:p w:rsidR="00B35EDC" w:rsidRDefault="00DF2219">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B35EDC">
        <w:tc>
          <w:tcPr>
            <w:tcW w:w="0" w:type="auto"/>
            <w:vAlign w:val="center"/>
          </w:tcPr>
          <w:p w:rsidR="00B35EDC" w:rsidRDefault="00DF2219">
            <w:pPr>
              <w:jc w:val="center"/>
            </w:pPr>
            <w:r>
              <w:rPr>
                <w:color w:val="000000"/>
                <w:sz w:val="24"/>
              </w:rPr>
              <w:t>梁莹</w:t>
            </w:r>
          </w:p>
        </w:tc>
        <w:tc>
          <w:tcPr>
            <w:tcW w:w="0" w:type="auto"/>
            <w:vAlign w:val="center"/>
          </w:tcPr>
          <w:p w:rsidR="00B35EDC" w:rsidRDefault="00DF2219">
            <w:pPr>
              <w:jc w:val="center"/>
            </w:pPr>
            <w:r>
              <w:rPr>
                <w:color w:val="000000"/>
                <w:sz w:val="24"/>
              </w:rPr>
              <w:t>本基金的基金经理、易方达掌柜季季盈理财债券型证券投资基金的基金经理、易方达增金宝货币市场基金的基金经理、易方达月月利理财债券型证券投资基金的基金经理、易方达现金增利货币市场基金的基金经理、易方达天天增利货币市场基金的基金经理、易方达财富快线货币市场基金的基金经理、易方达保证金收益货币市场基金的基金经理、易方达安悦超短债债券型证券投资基金的基金经理、易方达货币市场基金的基金经理助理、易方达易理财货币市场基金的基金经理助理、易方达天天理财货币市场基金的基金经理助理、投资经理</w:t>
            </w:r>
          </w:p>
        </w:tc>
        <w:tc>
          <w:tcPr>
            <w:tcW w:w="0" w:type="auto"/>
            <w:vAlign w:val="center"/>
          </w:tcPr>
          <w:p w:rsidR="00B35EDC" w:rsidRDefault="00DF2219">
            <w:pPr>
              <w:jc w:val="center"/>
            </w:pPr>
            <w:r>
              <w:rPr>
                <w:color w:val="000000"/>
                <w:sz w:val="24"/>
              </w:rPr>
              <w:t>2015-03-17</w:t>
            </w:r>
          </w:p>
        </w:tc>
        <w:tc>
          <w:tcPr>
            <w:tcW w:w="0" w:type="auto"/>
            <w:vAlign w:val="center"/>
          </w:tcPr>
          <w:p w:rsidR="00B35EDC" w:rsidRDefault="00DF2219">
            <w:pPr>
              <w:jc w:val="center"/>
            </w:pPr>
            <w:r>
              <w:rPr>
                <w:color w:val="000000"/>
                <w:sz w:val="24"/>
              </w:rPr>
              <w:t>-</w:t>
            </w:r>
          </w:p>
        </w:tc>
        <w:tc>
          <w:tcPr>
            <w:tcW w:w="0" w:type="auto"/>
            <w:vAlign w:val="center"/>
          </w:tcPr>
          <w:p w:rsidR="00B35EDC" w:rsidRDefault="00DF2219">
            <w:pPr>
              <w:jc w:val="center"/>
            </w:pPr>
            <w:r>
              <w:rPr>
                <w:color w:val="000000"/>
                <w:sz w:val="24"/>
              </w:rPr>
              <w:t>9</w:t>
            </w:r>
            <w:r>
              <w:rPr>
                <w:color w:val="000000"/>
                <w:sz w:val="24"/>
              </w:rPr>
              <w:t>年</w:t>
            </w:r>
          </w:p>
        </w:tc>
        <w:tc>
          <w:tcPr>
            <w:tcW w:w="0" w:type="auto"/>
            <w:vAlign w:val="center"/>
          </w:tcPr>
          <w:p w:rsidR="00B35EDC" w:rsidRDefault="00DF2219">
            <w:r>
              <w:rPr>
                <w:color w:val="000000"/>
                <w:sz w:val="24"/>
              </w:rPr>
              <w:t>硕士</w:t>
            </w:r>
            <w:r>
              <w:rPr>
                <w:color w:val="000000"/>
                <w:sz w:val="24"/>
              </w:rPr>
              <w:t>研究生，具有基金从业资格。曾任招商证券股份有限公司债券销售交易部交易员，易方达基金管理有限公司固定收益交易员、易方达保证金收益货币市场基金基金经理助理、易方达双月利理财债券型证券投资基金基金经理。</w:t>
            </w:r>
          </w:p>
        </w:tc>
      </w:tr>
    </w:tbl>
    <w:p w:rsidR="00B35EDC" w:rsidRDefault="00DF2219">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B35EDC" w:rsidRDefault="00DF2219">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B35EDC" w:rsidRDefault="00DF2219">
      <w:pPr>
        <w:adjustRightInd w:val="0"/>
        <w:spacing w:line="360" w:lineRule="auto"/>
        <w:ind w:firstLineChars="200" w:firstLine="480"/>
        <w:rPr>
          <w:color w:val="000000"/>
          <w:sz w:val="24"/>
        </w:rPr>
      </w:pPr>
      <w:r>
        <w:rPr>
          <w:color w:val="000000"/>
          <w:sz w:val="24"/>
        </w:rPr>
        <w:t>2019</w:t>
      </w:r>
      <w:r>
        <w:rPr>
          <w:color w:val="000000"/>
          <w:sz w:val="24"/>
        </w:rPr>
        <w:t>年四季度，货币市场整体维持平稳，资金利率窄幅波动，债券市场呈现先跌后涨再震荡的走势。经济基本面、通胀走势、货币政策是驱动</w:t>
      </w:r>
      <w:r>
        <w:rPr>
          <w:color w:val="000000"/>
          <w:sz w:val="24"/>
        </w:rPr>
        <w:t>债券市场和货币市场收益率变化的核心因素。</w:t>
      </w:r>
      <w:r>
        <w:rPr>
          <w:color w:val="000000"/>
          <w:sz w:val="24"/>
        </w:rPr>
        <w:t>10</w:t>
      </w:r>
      <w:r>
        <w:rPr>
          <w:color w:val="000000"/>
          <w:sz w:val="24"/>
        </w:rPr>
        <w:t>月，经济数据呈现积极好转迹象，当月工业增加值增速回升至</w:t>
      </w:r>
      <w:r>
        <w:rPr>
          <w:color w:val="000000"/>
          <w:sz w:val="24"/>
        </w:rPr>
        <w:t>5.8%</w:t>
      </w:r>
      <w:r>
        <w:rPr>
          <w:color w:val="000000"/>
          <w:sz w:val="24"/>
        </w:rPr>
        <w:t>，社会零售总额增速也有所恢复，与此同时，通胀水平居高不下，债券市场长端收益率震荡上行。</w:t>
      </w:r>
      <w:r>
        <w:rPr>
          <w:color w:val="000000"/>
          <w:sz w:val="24"/>
        </w:rPr>
        <w:t>11</w:t>
      </w:r>
      <w:r>
        <w:rPr>
          <w:color w:val="000000"/>
          <w:sz w:val="24"/>
        </w:rPr>
        <w:t>月，经济数据转而回落，工业增加值单月增速降低至</w:t>
      </w:r>
      <w:r>
        <w:rPr>
          <w:color w:val="000000"/>
          <w:sz w:val="24"/>
        </w:rPr>
        <w:t>4.7%</w:t>
      </w:r>
      <w:r>
        <w:rPr>
          <w:color w:val="000000"/>
          <w:sz w:val="24"/>
        </w:rPr>
        <w:t>，基建投资增速的超预期下降使得固定资产投资也出现了较大幅度的下行，经济运行整体呈现出较大下行压力。在这样的背景下，人民银行相继下调了</w:t>
      </w:r>
      <w:r>
        <w:rPr>
          <w:color w:val="000000"/>
          <w:sz w:val="24"/>
        </w:rPr>
        <w:t>MLF</w:t>
      </w:r>
      <w:r>
        <w:rPr>
          <w:color w:val="000000"/>
          <w:sz w:val="24"/>
        </w:rPr>
        <w:t>利率及公开市场</w:t>
      </w:r>
      <w:r>
        <w:rPr>
          <w:color w:val="000000"/>
          <w:sz w:val="24"/>
        </w:rPr>
        <w:t>7</w:t>
      </w:r>
      <w:r>
        <w:rPr>
          <w:color w:val="000000"/>
          <w:sz w:val="24"/>
        </w:rPr>
        <w:t>天逆回购利率，债券市场收益率转而下行。</w:t>
      </w:r>
      <w:r>
        <w:rPr>
          <w:color w:val="000000"/>
          <w:sz w:val="24"/>
        </w:rPr>
        <w:t>12</w:t>
      </w:r>
      <w:r>
        <w:rPr>
          <w:color w:val="000000"/>
          <w:sz w:val="24"/>
        </w:rPr>
        <w:t>月，工业增加值数据同比增长</w:t>
      </w:r>
      <w:r>
        <w:rPr>
          <w:color w:val="000000"/>
          <w:sz w:val="24"/>
        </w:rPr>
        <w:t>6.2%</w:t>
      </w:r>
      <w:r>
        <w:rPr>
          <w:color w:val="000000"/>
          <w:sz w:val="24"/>
        </w:rPr>
        <w:t>，大幅高于市场预期的</w:t>
      </w:r>
      <w:r>
        <w:rPr>
          <w:color w:val="000000"/>
          <w:sz w:val="24"/>
        </w:rPr>
        <w:t>5.2%</w:t>
      </w:r>
      <w:r>
        <w:rPr>
          <w:color w:val="000000"/>
          <w:sz w:val="24"/>
        </w:rPr>
        <w:t>，月</w:t>
      </w:r>
      <w:r>
        <w:rPr>
          <w:color w:val="000000"/>
          <w:sz w:val="24"/>
        </w:rPr>
        <w:t>度环比由</w:t>
      </w:r>
      <w:r>
        <w:rPr>
          <w:color w:val="000000"/>
          <w:sz w:val="24"/>
        </w:rPr>
        <w:t>-3.5%</w:t>
      </w:r>
      <w:r>
        <w:rPr>
          <w:color w:val="000000"/>
          <w:sz w:val="24"/>
        </w:rPr>
        <w:t>回升至</w:t>
      </w:r>
      <w:r>
        <w:rPr>
          <w:color w:val="000000"/>
          <w:sz w:val="24"/>
        </w:rPr>
        <w:t>21.6%</w:t>
      </w:r>
      <w:r>
        <w:rPr>
          <w:color w:val="000000"/>
          <w:sz w:val="24"/>
        </w:rPr>
        <w:t>，季度环比由</w:t>
      </w:r>
      <w:r>
        <w:rPr>
          <w:color w:val="000000"/>
          <w:sz w:val="24"/>
        </w:rPr>
        <w:t>5.3%</w:t>
      </w:r>
      <w:r>
        <w:rPr>
          <w:color w:val="000000"/>
          <w:sz w:val="24"/>
        </w:rPr>
        <w:t>升至</w:t>
      </w:r>
      <w:r>
        <w:rPr>
          <w:color w:val="000000"/>
          <w:sz w:val="24"/>
        </w:rPr>
        <w:t>12.4%</w:t>
      </w:r>
      <w:r>
        <w:rPr>
          <w:color w:val="000000"/>
          <w:sz w:val="24"/>
        </w:rPr>
        <w:t>，边际改善显著。同时，随着中美就第一阶段经贸协议达成一致，市场机构对年后经济数据好转又重提信心，债市收益率一度小幅走高。但由于市场机构配置需求仍然旺盛，且年末银行间流动性保持充裕状态，债券市场随后进入震荡模式。总体来看，</w:t>
      </w:r>
      <w:r>
        <w:rPr>
          <w:color w:val="000000"/>
          <w:sz w:val="24"/>
        </w:rPr>
        <w:t>2019</w:t>
      </w:r>
      <w:r>
        <w:rPr>
          <w:color w:val="000000"/>
          <w:sz w:val="24"/>
        </w:rPr>
        <w:t>年四季度，债券市场收益率呈现先跌后涨再震荡的走势，货币市场利率维持整体平稳，货币市场基金收益率维持稳定。</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操作方面，报告期内基金以同业存单、同业存款、短期融资券、短期逆回购为主要配置资产，保持适中的剩余期限和杠杆率。总体来看，组合在四季度保持了较好的流动性和稳定的收益率。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0.6149%</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0.6758%</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0.6657%</w:t>
      </w:r>
      <w:r w:rsidRPr="001752C7">
        <w:rPr>
          <w:color w:val="000000"/>
          <w:sz w:val="24"/>
        </w:rPr>
        <w:t>；同期业绩比较基准收益率为</w:t>
      </w:r>
      <w:r w:rsidRPr="001752C7">
        <w:rPr>
          <w:color w:val="000000"/>
          <w:sz w:val="24"/>
        </w:rPr>
        <w:t>0.3456%</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565,408,793.50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45.17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555,408,793.50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44.37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10,000,000.00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0.80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65,000,000.00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5.19</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602,329,383.13</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48.12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19,060,374.92</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1.52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1,251,798,551.55</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8.52</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121,059,739.47</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10.73</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在本报告期内本货币市场基金债券正回购的资金余额未超过资产净值的</w:t>
      </w:r>
      <w:r w:rsidRPr="001752C7">
        <w:rPr>
          <w:color w:val="000000"/>
          <w:sz w:val="24"/>
        </w:rPr>
        <w:t>20%</w:t>
      </w:r>
      <w:r w:rsidRPr="001752C7">
        <w:rPr>
          <w:color w:val="000000"/>
          <w:sz w:val="24"/>
        </w:rPr>
        <w:t>。</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101</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118</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90</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6.41</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10.73</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4.43</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66.70</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11.48</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20.22</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109.25</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10.73</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59,966,942.78</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5.31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59,966,942.78</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5.31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29,961,450.71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2.66</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20,201,846.62</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1.79</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445,278,553.39</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39.46</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555,408,793.50</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49.22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7"/>
        <w:gridCol w:w="1226"/>
        <w:gridCol w:w="1226"/>
        <w:gridCol w:w="2047"/>
        <w:gridCol w:w="1840"/>
        <w:gridCol w:w="1721"/>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B35EDC">
        <w:tc>
          <w:tcPr>
            <w:tcW w:w="0" w:type="auto"/>
            <w:vAlign w:val="center"/>
          </w:tcPr>
          <w:p w:rsidR="00B35EDC" w:rsidRDefault="00DF2219">
            <w:pPr>
              <w:jc w:val="center"/>
            </w:pPr>
            <w:r>
              <w:rPr>
                <w:color w:val="000000"/>
                <w:sz w:val="24"/>
              </w:rPr>
              <w:t>1</w:t>
            </w:r>
          </w:p>
        </w:tc>
        <w:tc>
          <w:tcPr>
            <w:tcW w:w="0" w:type="auto"/>
            <w:vAlign w:val="center"/>
          </w:tcPr>
          <w:p w:rsidR="00B35EDC" w:rsidRDefault="00DF2219">
            <w:pPr>
              <w:jc w:val="center"/>
            </w:pPr>
            <w:r>
              <w:rPr>
                <w:color w:val="000000"/>
                <w:sz w:val="24"/>
              </w:rPr>
              <w:t>111904009</w:t>
            </w:r>
          </w:p>
        </w:tc>
        <w:tc>
          <w:tcPr>
            <w:tcW w:w="0" w:type="auto"/>
            <w:vAlign w:val="center"/>
          </w:tcPr>
          <w:p w:rsidR="00B35EDC" w:rsidRDefault="00DF2219">
            <w:pPr>
              <w:jc w:val="center"/>
            </w:pPr>
            <w:r>
              <w:rPr>
                <w:color w:val="000000"/>
                <w:sz w:val="24"/>
              </w:rPr>
              <w:t>19</w:t>
            </w:r>
            <w:r>
              <w:rPr>
                <w:color w:val="000000"/>
                <w:sz w:val="24"/>
              </w:rPr>
              <w:t>中国银行</w:t>
            </w:r>
            <w:r>
              <w:rPr>
                <w:color w:val="000000"/>
                <w:sz w:val="24"/>
              </w:rPr>
              <w:t>CD009</w:t>
            </w:r>
          </w:p>
        </w:tc>
        <w:tc>
          <w:tcPr>
            <w:tcW w:w="0" w:type="auto"/>
            <w:vAlign w:val="center"/>
          </w:tcPr>
          <w:p w:rsidR="00B35EDC" w:rsidRDefault="00DF2219">
            <w:pPr>
              <w:jc w:val="right"/>
            </w:pPr>
            <w:r>
              <w:rPr>
                <w:color w:val="000000"/>
                <w:sz w:val="24"/>
              </w:rPr>
              <w:t>1,000,000</w:t>
            </w:r>
          </w:p>
        </w:tc>
        <w:tc>
          <w:tcPr>
            <w:tcW w:w="0" w:type="auto"/>
            <w:vAlign w:val="center"/>
          </w:tcPr>
          <w:p w:rsidR="00B35EDC" w:rsidRDefault="00DF2219">
            <w:pPr>
              <w:jc w:val="right"/>
            </w:pPr>
            <w:r>
              <w:rPr>
                <w:color w:val="000000"/>
                <w:sz w:val="24"/>
              </w:rPr>
              <w:t>99,385,582.29</w:t>
            </w:r>
          </w:p>
        </w:tc>
        <w:tc>
          <w:tcPr>
            <w:tcW w:w="0" w:type="auto"/>
            <w:vAlign w:val="center"/>
          </w:tcPr>
          <w:p w:rsidR="00B35EDC" w:rsidRDefault="00DF2219">
            <w:pPr>
              <w:jc w:val="right"/>
            </w:pPr>
            <w:r>
              <w:rPr>
                <w:color w:val="000000"/>
                <w:sz w:val="24"/>
              </w:rPr>
              <w:t>8.81</w:t>
            </w:r>
          </w:p>
        </w:tc>
      </w:tr>
      <w:tr w:rsidR="00B35EDC">
        <w:tc>
          <w:tcPr>
            <w:tcW w:w="0" w:type="auto"/>
            <w:vAlign w:val="center"/>
          </w:tcPr>
          <w:p w:rsidR="00B35EDC" w:rsidRDefault="00DF2219">
            <w:pPr>
              <w:jc w:val="center"/>
            </w:pPr>
            <w:r>
              <w:rPr>
                <w:color w:val="000000"/>
                <w:sz w:val="24"/>
              </w:rPr>
              <w:t>2</w:t>
            </w:r>
          </w:p>
        </w:tc>
        <w:tc>
          <w:tcPr>
            <w:tcW w:w="0" w:type="auto"/>
            <w:vAlign w:val="center"/>
          </w:tcPr>
          <w:p w:rsidR="00B35EDC" w:rsidRDefault="00DF2219">
            <w:pPr>
              <w:jc w:val="center"/>
            </w:pPr>
            <w:r>
              <w:rPr>
                <w:color w:val="000000"/>
                <w:sz w:val="24"/>
              </w:rPr>
              <w:t>111905029</w:t>
            </w:r>
          </w:p>
        </w:tc>
        <w:tc>
          <w:tcPr>
            <w:tcW w:w="0" w:type="auto"/>
            <w:vAlign w:val="center"/>
          </w:tcPr>
          <w:p w:rsidR="00B35EDC" w:rsidRDefault="00DF2219">
            <w:pPr>
              <w:jc w:val="center"/>
            </w:pPr>
            <w:r>
              <w:rPr>
                <w:color w:val="000000"/>
                <w:sz w:val="24"/>
              </w:rPr>
              <w:t>19</w:t>
            </w:r>
            <w:r>
              <w:rPr>
                <w:color w:val="000000"/>
                <w:sz w:val="24"/>
              </w:rPr>
              <w:t>建设银行</w:t>
            </w:r>
            <w:r>
              <w:rPr>
                <w:color w:val="000000"/>
                <w:sz w:val="24"/>
              </w:rPr>
              <w:t>CD029</w:t>
            </w:r>
          </w:p>
        </w:tc>
        <w:tc>
          <w:tcPr>
            <w:tcW w:w="0" w:type="auto"/>
            <w:vAlign w:val="center"/>
          </w:tcPr>
          <w:p w:rsidR="00B35EDC" w:rsidRDefault="00DF2219">
            <w:pPr>
              <w:jc w:val="right"/>
            </w:pPr>
            <w:r>
              <w:rPr>
                <w:color w:val="000000"/>
                <w:sz w:val="24"/>
              </w:rPr>
              <w:t>1,000,000</w:t>
            </w:r>
          </w:p>
        </w:tc>
        <w:tc>
          <w:tcPr>
            <w:tcW w:w="0" w:type="auto"/>
            <w:vAlign w:val="center"/>
          </w:tcPr>
          <w:p w:rsidR="00B35EDC" w:rsidRDefault="00DF2219">
            <w:pPr>
              <w:jc w:val="right"/>
            </w:pPr>
            <w:r>
              <w:rPr>
                <w:color w:val="000000"/>
                <w:sz w:val="24"/>
              </w:rPr>
              <w:t>99,190,939.45</w:t>
            </w:r>
          </w:p>
        </w:tc>
        <w:tc>
          <w:tcPr>
            <w:tcW w:w="0" w:type="auto"/>
            <w:vAlign w:val="center"/>
          </w:tcPr>
          <w:p w:rsidR="00B35EDC" w:rsidRDefault="00DF2219">
            <w:pPr>
              <w:jc w:val="right"/>
            </w:pPr>
            <w:r>
              <w:rPr>
                <w:color w:val="000000"/>
                <w:sz w:val="24"/>
              </w:rPr>
              <w:t>8.79</w:t>
            </w:r>
          </w:p>
        </w:tc>
      </w:tr>
      <w:tr w:rsidR="00B35EDC">
        <w:tc>
          <w:tcPr>
            <w:tcW w:w="0" w:type="auto"/>
            <w:vAlign w:val="center"/>
          </w:tcPr>
          <w:p w:rsidR="00B35EDC" w:rsidRDefault="00DF2219">
            <w:pPr>
              <w:jc w:val="center"/>
            </w:pPr>
            <w:r>
              <w:rPr>
                <w:color w:val="000000"/>
                <w:sz w:val="24"/>
              </w:rPr>
              <w:t>3</w:t>
            </w:r>
          </w:p>
        </w:tc>
        <w:tc>
          <w:tcPr>
            <w:tcW w:w="0" w:type="auto"/>
            <w:vAlign w:val="center"/>
          </w:tcPr>
          <w:p w:rsidR="00B35EDC" w:rsidRDefault="00DF2219">
            <w:pPr>
              <w:jc w:val="center"/>
            </w:pPr>
            <w:r>
              <w:rPr>
                <w:color w:val="000000"/>
                <w:sz w:val="24"/>
              </w:rPr>
              <w:t>111903150</w:t>
            </w:r>
          </w:p>
        </w:tc>
        <w:tc>
          <w:tcPr>
            <w:tcW w:w="0" w:type="auto"/>
            <w:vAlign w:val="center"/>
          </w:tcPr>
          <w:p w:rsidR="00B35EDC" w:rsidRDefault="00DF2219">
            <w:pPr>
              <w:jc w:val="center"/>
            </w:pPr>
            <w:r>
              <w:rPr>
                <w:color w:val="000000"/>
                <w:sz w:val="24"/>
              </w:rPr>
              <w:t>19</w:t>
            </w:r>
            <w:r>
              <w:rPr>
                <w:color w:val="000000"/>
                <w:sz w:val="24"/>
              </w:rPr>
              <w:t>农业银行</w:t>
            </w:r>
            <w:r>
              <w:rPr>
                <w:color w:val="000000"/>
                <w:sz w:val="24"/>
              </w:rPr>
              <w:t>CD150</w:t>
            </w:r>
          </w:p>
        </w:tc>
        <w:tc>
          <w:tcPr>
            <w:tcW w:w="0" w:type="auto"/>
            <w:vAlign w:val="center"/>
          </w:tcPr>
          <w:p w:rsidR="00B35EDC" w:rsidRDefault="00DF2219">
            <w:pPr>
              <w:jc w:val="right"/>
            </w:pPr>
            <w:r>
              <w:rPr>
                <w:color w:val="000000"/>
                <w:sz w:val="24"/>
              </w:rPr>
              <w:t>1,000,000</w:t>
            </w:r>
          </w:p>
        </w:tc>
        <w:tc>
          <w:tcPr>
            <w:tcW w:w="0" w:type="auto"/>
            <w:vAlign w:val="center"/>
          </w:tcPr>
          <w:p w:rsidR="00B35EDC" w:rsidRDefault="00DF2219">
            <w:pPr>
              <w:jc w:val="right"/>
            </w:pPr>
            <w:r>
              <w:rPr>
                <w:color w:val="000000"/>
                <w:sz w:val="24"/>
              </w:rPr>
              <w:t>99,124,310.17</w:t>
            </w:r>
          </w:p>
        </w:tc>
        <w:tc>
          <w:tcPr>
            <w:tcW w:w="0" w:type="auto"/>
            <w:vAlign w:val="center"/>
          </w:tcPr>
          <w:p w:rsidR="00B35EDC" w:rsidRDefault="00DF2219">
            <w:pPr>
              <w:jc w:val="right"/>
            </w:pPr>
            <w:r>
              <w:rPr>
                <w:color w:val="000000"/>
                <w:sz w:val="24"/>
              </w:rPr>
              <w:t>8.78</w:t>
            </w:r>
          </w:p>
        </w:tc>
      </w:tr>
      <w:tr w:rsidR="00B35EDC">
        <w:tc>
          <w:tcPr>
            <w:tcW w:w="0" w:type="auto"/>
            <w:vAlign w:val="center"/>
          </w:tcPr>
          <w:p w:rsidR="00B35EDC" w:rsidRDefault="00DF2219">
            <w:pPr>
              <w:jc w:val="center"/>
            </w:pPr>
            <w:r>
              <w:rPr>
                <w:color w:val="000000"/>
                <w:sz w:val="24"/>
              </w:rPr>
              <w:t>4</w:t>
            </w:r>
          </w:p>
        </w:tc>
        <w:tc>
          <w:tcPr>
            <w:tcW w:w="0" w:type="auto"/>
            <w:vAlign w:val="center"/>
          </w:tcPr>
          <w:p w:rsidR="00B35EDC" w:rsidRDefault="00DF2219">
            <w:pPr>
              <w:jc w:val="center"/>
            </w:pPr>
            <w:r>
              <w:rPr>
                <w:color w:val="000000"/>
                <w:sz w:val="24"/>
              </w:rPr>
              <w:t>111903094</w:t>
            </w:r>
          </w:p>
        </w:tc>
        <w:tc>
          <w:tcPr>
            <w:tcW w:w="0" w:type="auto"/>
            <w:vAlign w:val="center"/>
          </w:tcPr>
          <w:p w:rsidR="00B35EDC" w:rsidRDefault="00DF2219">
            <w:pPr>
              <w:jc w:val="center"/>
            </w:pPr>
            <w:r>
              <w:rPr>
                <w:color w:val="000000"/>
                <w:sz w:val="24"/>
              </w:rPr>
              <w:t>19</w:t>
            </w:r>
            <w:r>
              <w:rPr>
                <w:color w:val="000000"/>
                <w:sz w:val="24"/>
              </w:rPr>
              <w:t>农业银行</w:t>
            </w:r>
            <w:r>
              <w:rPr>
                <w:color w:val="000000"/>
                <w:sz w:val="24"/>
              </w:rPr>
              <w:t>CD094</w:t>
            </w:r>
          </w:p>
        </w:tc>
        <w:tc>
          <w:tcPr>
            <w:tcW w:w="0" w:type="auto"/>
            <w:vAlign w:val="center"/>
          </w:tcPr>
          <w:p w:rsidR="00B35EDC" w:rsidRDefault="00DF2219">
            <w:pPr>
              <w:jc w:val="right"/>
            </w:pPr>
            <w:r>
              <w:rPr>
                <w:color w:val="000000"/>
                <w:sz w:val="24"/>
              </w:rPr>
              <w:t>1,000,000</w:t>
            </w:r>
          </w:p>
        </w:tc>
        <w:tc>
          <w:tcPr>
            <w:tcW w:w="0" w:type="auto"/>
            <w:vAlign w:val="center"/>
          </w:tcPr>
          <w:p w:rsidR="00B35EDC" w:rsidRDefault="00DF2219">
            <w:pPr>
              <w:jc w:val="right"/>
            </w:pPr>
            <w:r>
              <w:rPr>
                <w:color w:val="000000"/>
                <w:sz w:val="24"/>
              </w:rPr>
              <w:t>98,081,488.85</w:t>
            </w:r>
          </w:p>
        </w:tc>
        <w:tc>
          <w:tcPr>
            <w:tcW w:w="0" w:type="auto"/>
            <w:vAlign w:val="center"/>
          </w:tcPr>
          <w:p w:rsidR="00B35EDC" w:rsidRDefault="00DF2219">
            <w:pPr>
              <w:jc w:val="right"/>
            </w:pPr>
            <w:r>
              <w:rPr>
                <w:color w:val="000000"/>
                <w:sz w:val="24"/>
              </w:rPr>
              <w:t>8.69</w:t>
            </w:r>
          </w:p>
        </w:tc>
      </w:tr>
      <w:tr w:rsidR="00B35EDC">
        <w:tc>
          <w:tcPr>
            <w:tcW w:w="0" w:type="auto"/>
            <w:vAlign w:val="center"/>
          </w:tcPr>
          <w:p w:rsidR="00B35EDC" w:rsidRDefault="00DF2219">
            <w:pPr>
              <w:jc w:val="center"/>
            </w:pPr>
            <w:r>
              <w:rPr>
                <w:color w:val="000000"/>
                <w:sz w:val="24"/>
              </w:rPr>
              <w:t>5</w:t>
            </w:r>
          </w:p>
        </w:tc>
        <w:tc>
          <w:tcPr>
            <w:tcW w:w="0" w:type="auto"/>
            <w:vAlign w:val="center"/>
          </w:tcPr>
          <w:p w:rsidR="00B35EDC" w:rsidRDefault="00DF2219">
            <w:pPr>
              <w:jc w:val="center"/>
            </w:pPr>
            <w:r>
              <w:rPr>
                <w:color w:val="000000"/>
                <w:sz w:val="24"/>
              </w:rPr>
              <w:t>111912029</w:t>
            </w:r>
          </w:p>
        </w:tc>
        <w:tc>
          <w:tcPr>
            <w:tcW w:w="0" w:type="auto"/>
            <w:vAlign w:val="center"/>
          </w:tcPr>
          <w:p w:rsidR="00B35EDC" w:rsidRDefault="00DF2219">
            <w:pPr>
              <w:jc w:val="center"/>
            </w:pPr>
            <w:r>
              <w:rPr>
                <w:color w:val="000000"/>
                <w:sz w:val="24"/>
              </w:rPr>
              <w:t>19</w:t>
            </w:r>
            <w:r>
              <w:rPr>
                <w:color w:val="000000"/>
                <w:sz w:val="24"/>
              </w:rPr>
              <w:t>北京银行</w:t>
            </w:r>
            <w:r>
              <w:rPr>
                <w:color w:val="000000"/>
                <w:sz w:val="24"/>
              </w:rPr>
              <w:t>CD029</w:t>
            </w:r>
          </w:p>
        </w:tc>
        <w:tc>
          <w:tcPr>
            <w:tcW w:w="0" w:type="auto"/>
            <w:vAlign w:val="center"/>
          </w:tcPr>
          <w:p w:rsidR="00B35EDC" w:rsidRDefault="00DF2219">
            <w:pPr>
              <w:jc w:val="right"/>
            </w:pPr>
            <w:r>
              <w:rPr>
                <w:color w:val="000000"/>
                <w:sz w:val="24"/>
              </w:rPr>
              <w:t>500,000</w:t>
            </w:r>
          </w:p>
        </w:tc>
        <w:tc>
          <w:tcPr>
            <w:tcW w:w="0" w:type="auto"/>
            <w:vAlign w:val="center"/>
          </w:tcPr>
          <w:p w:rsidR="00B35EDC" w:rsidRDefault="00DF2219">
            <w:pPr>
              <w:jc w:val="right"/>
            </w:pPr>
            <w:r>
              <w:rPr>
                <w:color w:val="000000"/>
                <w:sz w:val="24"/>
              </w:rPr>
              <w:t>49,496,232.63</w:t>
            </w:r>
          </w:p>
        </w:tc>
        <w:tc>
          <w:tcPr>
            <w:tcW w:w="0" w:type="auto"/>
            <w:vAlign w:val="center"/>
          </w:tcPr>
          <w:p w:rsidR="00B35EDC" w:rsidRDefault="00DF2219">
            <w:pPr>
              <w:jc w:val="right"/>
            </w:pPr>
            <w:r>
              <w:rPr>
                <w:color w:val="000000"/>
                <w:sz w:val="24"/>
              </w:rPr>
              <w:t>4.39</w:t>
            </w:r>
          </w:p>
        </w:tc>
      </w:tr>
      <w:tr w:rsidR="00B35EDC">
        <w:tc>
          <w:tcPr>
            <w:tcW w:w="0" w:type="auto"/>
            <w:vAlign w:val="center"/>
          </w:tcPr>
          <w:p w:rsidR="00B35EDC" w:rsidRDefault="00DF2219">
            <w:pPr>
              <w:jc w:val="center"/>
            </w:pPr>
            <w:r>
              <w:rPr>
                <w:color w:val="000000"/>
                <w:sz w:val="24"/>
              </w:rPr>
              <w:t>6</w:t>
            </w:r>
          </w:p>
        </w:tc>
        <w:tc>
          <w:tcPr>
            <w:tcW w:w="0" w:type="auto"/>
            <w:vAlign w:val="center"/>
          </w:tcPr>
          <w:p w:rsidR="00B35EDC" w:rsidRDefault="00DF2219">
            <w:pPr>
              <w:jc w:val="center"/>
            </w:pPr>
            <w:r>
              <w:rPr>
                <w:color w:val="000000"/>
                <w:sz w:val="24"/>
              </w:rPr>
              <w:t>190206</w:t>
            </w:r>
          </w:p>
        </w:tc>
        <w:tc>
          <w:tcPr>
            <w:tcW w:w="0" w:type="auto"/>
            <w:vAlign w:val="center"/>
          </w:tcPr>
          <w:p w:rsidR="00B35EDC" w:rsidRDefault="00DF2219">
            <w:pPr>
              <w:jc w:val="center"/>
            </w:pPr>
            <w:r>
              <w:rPr>
                <w:color w:val="000000"/>
                <w:sz w:val="24"/>
              </w:rPr>
              <w:t>19</w:t>
            </w:r>
            <w:r>
              <w:rPr>
                <w:color w:val="000000"/>
                <w:sz w:val="24"/>
              </w:rPr>
              <w:t>国开</w:t>
            </w:r>
            <w:r>
              <w:rPr>
                <w:color w:val="000000"/>
                <w:sz w:val="24"/>
              </w:rPr>
              <w:t>06</w:t>
            </w:r>
          </w:p>
        </w:tc>
        <w:tc>
          <w:tcPr>
            <w:tcW w:w="0" w:type="auto"/>
            <w:vAlign w:val="center"/>
          </w:tcPr>
          <w:p w:rsidR="00B35EDC" w:rsidRDefault="00DF2219">
            <w:pPr>
              <w:jc w:val="right"/>
            </w:pPr>
            <w:r>
              <w:rPr>
                <w:color w:val="000000"/>
                <w:sz w:val="24"/>
              </w:rPr>
              <w:t>300,000</w:t>
            </w:r>
          </w:p>
        </w:tc>
        <w:tc>
          <w:tcPr>
            <w:tcW w:w="0" w:type="auto"/>
            <w:vAlign w:val="center"/>
          </w:tcPr>
          <w:p w:rsidR="00B35EDC" w:rsidRDefault="00DF2219">
            <w:pPr>
              <w:jc w:val="right"/>
            </w:pPr>
            <w:r>
              <w:rPr>
                <w:color w:val="000000"/>
                <w:sz w:val="24"/>
              </w:rPr>
              <w:t>29,994,253.06</w:t>
            </w:r>
          </w:p>
        </w:tc>
        <w:tc>
          <w:tcPr>
            <w:tcW w:w="0" w:type="auto"/>
            <w:vAlign w:val="center"/>
          </w:tcPr>
          <w:p w:rsidR="00B35EDC" w:rsidRDefault="00DF2219">
            <w:pPr>
              <w:jc w:val="right"/>
            </w:pPr>
            <w:r>
              <w:rPr>
                <w:color w:val="000000"/>
                <w:sz w:val="24"/>
              </w:rPr>
              <w:t>2.66</w:t>
            </w:r>
          </w:p>
        </w:tc>
      </w:tr>
      <w:tr w:rsidR="00B35EDC">
        <w:tc>
          <w:tcPr>
            <w:tcW w:w="0" w:type="auto"/>
            <w:vAlign w:val="center"/>
          </w:tcPr>
          <w:p w:rsidR="00B35EDC" w:rsidRDefault="00DF2219">
            <w:pPr>
              <w:jc w:val="center"/>
            </w:pPr>
            <w:r>
              <w:rPr>
                <w:color w:val="000000"/>
                <w:sz w:val="24"/>
              </w:rPr>
              <w:t>7</w:t>
            </w:r>
          </w:p>
        </w:tc>
        <w:tc>
          <w:tcPr>
            <w:tcW w:w="0" w:type="auto"/>
            <w:vAlign w:val="center"/>
          </w:tcPr>
          <w:p w:rsidR="00B35EDC" w:rsidRDefault="00DF2219">
            <w:pPr>
              <w:jc w:val="center"/>
            </w:pPr>
            <w:r>
              <w:rPr>
                <w:color w:val="000000"/>
                <w:sz w:val="24"/>
              </w:rPr>
              <w:t>190405</w:t>
            </w:r>
          </w:p>
        </w:tc>
        <w:tc>
          <w:tcPr>
            <w:tcW w:w="0" w:type="auto"/>
            <w:vAlign w:val="center"/>
          </w:tcPr>
          <w:p w:rsidR="00B35EDC" w:rsidRDefault="00DF2219">
            <w:pPr>
              <w:jc w:val="center"/>
            </w:pPr>
            <w:r>
              <w:rPr>
                <w:color w:val="000000"/>
                <w:sz w:val="24"/>
              </w:rPr>
              <w:t>19</w:t>
            </w:r>
            <w:r>
              <w:rPr>
                <w:color w:val="000000"/>
                <w:sz w:val="24"/>
              </w:rPr>
              <w:t>农发</w:t>
            </w:r>
            <w:r>
              <w:rPr>
                <w:color w:val="000000"/>
                <w:sz w:val="24"/>
              </w:rPr>
              <w:t>05</w:t>
            </w:r>
          </w:p>
        </w:tc>
        <w:tc>
          <w:tcPr>
            <w:tcW w:w="0" w:type="auto"/>
            <w:vAlign w:val="center"/>
          </w:tcPr>
          <w:p w:rsidR="00B35EDC" w:rsidRDefault="00DF2219">
            <w:pPr>
              <w:jc w:val="right"/>
            </w:pPr>
            <w:r>
              <w:rPr>
                <w:color w:val="000000"/>
                <w:sz w:val="24"/>
              </w:rPr>
              <w:t>300,000</w:t>
            </w:r>
          </w:p>
        </w:tc>
        <w:tc>
          <w:tcPr>
            <w:tcW w:w="0" w:type="auto"/>
            <w:vAlign w:val="center"/>
          </w:tcPr>
          <w:p w:rsidR="00B35EDC" w:rsidRDefault="00DF2219">
            <w:pPr>
              <w:jc w:val="right"/>
            </w:pPr>
            <w:r>
              <w:rPr>
                <w:color w:val="000000"/>
                <w:sz w:val="24"/>
              </w:rPr>
              <w:t>29,972,689.72</w:t>
            </w:r>
          </w:p>
        </w:tc>
        <w:tc>
          <w:tcPr>
            <w:tcW w:w="0" w:type="auto"/>
            <w:vAlign w:val="center"/>
          </w:tcPr>
          <w:p w:rsidR="00B35EDC" w:rsidRDefault="00DF2219">
            <w:pPr>
              <w:jc w:val="right"/>
            </w:pPr>
            <w:r>
              <w:rPr>
                <w:color w:val="000000"/>
                <w:sz w:val="24"/>
              </w:rPr>
              <w:t>2.66</w:t>
            </w:r>
          </w:p>
        </w:tc>
      </w:tr>
      <w:tr w:rsidR="00B35EDC">
        <w:tc>
          <w:tcPr>
            <w:tcW w:w="0" w:type="auto"/>
            <w:vAlign w:val="center"/>
          </w:tcPr>
          <w:p w:rsidR="00B35EDC" w:rsidRDefault="00DF2219">
            <w:pPr>
              <w:jc w:val="center"/>
            </w:pPr>
            <w:r>
              <w:rPr>
                <w:color w:val="000000"/>
                <w:sz w:val="24"/>
              </w:rPr>
              <w:t>8</w:t>
            </w:r>
          </w:p>
        </w:tc>
        <w:tc>
          <w:tcPr>
            <w:tcW w:w="0" w:type="auto"/>
            <w:vAlign w:val="center"/>
          </w:tcPr>
          <w:p w:rsidR="00B35EDC" w:rsidRDefault="00DF2219">
            <w:pPr>
              <w:jc w:val="center"/>
            </w:pPr>
            <w:r>
              <w:rPr>
                <w:color w:val="000000"/>
                <w:sz w:val="24"/>
              </w:rPr>
              <w:t>101773011</w:t>
            </w:r>
          </w:p>
        </w:tc>
        <w:tc>
          <w:tcPr>
            <w:tcW w:w="0" w:type="auto"/>
            <w:vAlign w:val="center"/>
          </w:tcPr>
          <w:p w:rsidR="00B35EDC" w:rsidRDefault="00DF2219">
            <w:pPr>
              <w:jc w:val="center"/>
            </w:pPr>
            <w:r>
              <w:rPr>
                <w:color w:val="000000"/>
                <w:sz w:val="24"/>
              </w:rPr>
              <w:t>17</w:t>
            </w:r>
            <w:r>
              <w:rPr>
                <w:color w:val="000000"/>
                <w:sz w:val="24"/>
              </w:rPr>
              <w:t>龙湖地产</w:t>
            </w:r>
            <w:r>
              <w:rPr>
                <w:color w:val="000000"/>
                <w:sz w:val="24"/>
              </w:rPr>
              <w:t>MTN001A</w:t>
            </w:r>
          </w:p>
        </w:tc>
        <w:tc>
          <w:tcPr>
            <w:tcW w:w="0" w:type="auto"/>
            <w:vAlign w:val="center"/>
          </w:tcPr>
          <w:p w:rsidR="00B35EDC" w:rsidRDefault="00DF2219">
            <w:pPr>
              <w:jc w:val="right"/>
            </w:pPr>
            <w:r>
              <w:rPr>
                <w:color w:val="000000"/>
                <w:sz w:val="24"/>
              </w:rPr>
              <w:t>200,000</w:t>
            </w:r>
          </w:p>
        </w:tc>
        <w:tc>
          <w:tcPr>
            <w:tcW w:w="0" w:type="auto"/>
            <w:vAlign w:val="center"/>
          </w:tcPr>
          <w:p w:rsidR="00B35EDC" w:rsidRDefault="00DF2219">
            <w:pPr>
              <w:jc w:val="right"/>
            </w:pPr>
            <w:r>
              <w:rPr>
                <w:color w:val="000000"/>
                <w:sz w:val="24"/>
              </w:rPr>
              <w:t>20,201,846.62</w:t>
            </w:r>
          </w:p>
        </w:tc>
        <w:tc>
          <w:tcPr>
            <w:tcW w:w="0" w:type="auto"/>
            <w:vAlign w:val="center"/>
          </w:tcPr>
          <w:p w:rsidR="00B35EDC" w:rsidRDefault="00DF2219">
            <w:pPr>
              <w:jc w:val="right"/>
            </w:pPr>
            <w:r>
              <w:rPr>
                <w:color w:val="000000"/>
                <w:sz w:val="24"/>
              </w:rPr>
              <w:t>1.79</w:t>
            </w:r>
          </w:p>
        </w:tc>
      </w:tr>
      <w:tr w:rsidR="00B35EDC">
        <w:tc>
          <w:tcPr>
            <w:tcW w:w="0" w:type="auto"/>
            <w:vAlign w:val="center"/>
          </w:tcPr>
          <w:p w:rsidR="00B35EDC" w:rsidRDefault="00DF2219">
            <w:pPr>
              <w:jc w:val="center"/>
            </w:pPr>
            <w:r>
              <w:rPr>
                <w:color w:val="000000"/>
                <w:sz w:val="24"/>
              </w:rPr>
              <w:t>9</w:t>
            </w:r>
          </w:p>
        </w:tc>
        <w:tc>
          <w:tcPr>
            <w:tcW w:w="0" w:type="auto"/>
            <w:vAlign w:val="center"/>
          </w:tcPr>
          <w:p w:rsidR="00B35EDC" w:rsidRDefault="00DF2219">
            <w:pPr>
              <w:jc w:val="center"/>
            </w:pPr>
            <w:r>
              <w:rPr>
                <w:color w:val="000000"/>
                <w:sz w:val="24"/>
              </w:rPr>
              <w:t>011902307</w:t>
            </w:r>
          </w:p>
        </w:tc>
        <w:tc>
          <w:tcPr>
            <w:tcW w:w="0" w:type="auto"/>
            <w:vAlign w:val="center"/>
          </w:tcPr>
          <w:p w:rsidR="00B35EDC" w:rsidRDefault="00DF2219">
            <w:pPr>
              <w:jc w:val="center"/>
            </w:pPr>
            <w:r>
              <w:rPr>
                <w:color w:val="000000"/>
                <w:sz w:val="24"/>
              </w:rPr>
              <w:t>19</w:t>
            </w:r>
            <w:r>
              <w:rPr>
                <w:color w:val="000000"/>
                <w:sz w:val="24"/>
              </w:rPr>
              <w:t>鲁能源</w:t>
            </w:r>
            <w:r>
              <w:rPr>
                <w:color w:val="000000"/>
                <w:sz w:val="24"/>
              </w:rPr>
              <w:t>SCP001</w:t>
            </w:r>
          </w:p>
        </w:tc>
        <w:tc>
          <w:tcPr>
            <w:tcW w:w="0" w:type="auto"/>
            <w:vAlign w:val="center"/>
          </w:tcPr>
          <w:p w:rsidR="00B35EDC" w:rsidRDefault="00DF2219">
            <w:pPr>
              <w:jc w:val="right"/>
            </w:pPr>
            <w:r>
              <w:rPr>
                <w:color w:val="000000"/>
                <w:sz w:val="24"/>
              </w:rPr>
              <w:t>200,000</w:t>
            </w:r>
          </w:p>
        </w:tc>
        <w:tc>
          <w:tcPr>
            <w:tcW w:w="0" w:type="auto"/>
            <w:vAlign w:val="center"/>
          </w:tcPr>
          <w:p w:rsidR="00B35EDC" w:rsidRDefault="00DF2219">
            <w:pPr>
              <w:jc w:val="right"/>
            </w:pPr>
            <w:r>
              <w:rPr>
                <w:color w:val="000000"/>
                <w:sz w:val="24"/>
              </w:rPr>
              <w:t>19,961,120.82</w:t>
            </w:r>
          </w:p>
        </w:tc>
        <w:tc>
          <w:tcPr>
            <w:tcW w:w="0" w:type="auto"/>
            <w:vAlign w:val="center"/>
          </w:tcPr>
          <w:p w:rsidR="00B35EDC" w:rsidRDefault="00DF2219">
            <w:pPr>
              <w:jc w:val="right"/>
            </w:pPr>
            <w:r>
              <w:rPr>
                <w:color w:val="000000"/>
                <w:sz w:val="24"/>
              </w:rPr>
              <w:t>1.77</w:t>
            </w:r>
          </w:p>
        </w:tc>
      </w:tr>
      <w:tr w:rsidR="00B35EDC">
        <w:tc>
          <w:tcPr>
            <w:tcW w:w="0" w:type="auto"/>
            <w:vAlign w:val="center"/>
          </w:tcPr>
          <w:p w:rsidR="00B35EDC" w:rsidRDefault="00DF2219">
            <w:pPr>
              <w:jc w:val="center"/>
            </w:pPr>
            <w:r>
              <w:rPr>
                <w:color w:val="000000"/>
                <w:sz w:val="24"/>
              </w:rPr>
              <w:t>10</w:t>
            </w:r>
          </w:p>
        </w:tc>
        <w:tc>
          <w:tcPr>
            <w:tcW w:w="0" w:type="auto"/>
            <w:vAlign w:val="center"/>
          </w:tcPr>
          <w:p w:rsidR="00B35EDC" w:rsidRDefault="00DF2219">
            <w:pPr>
              <w:jc w:val="center"/>
            </w:pPr>
            <w:r>
              <w:rPr>
                <w:color w:val="000000"/>
                <w:sz w:val="24"/>
              </w:rPr>
              <w:t>041900099</w:t>
            </w:r>
          </w:p>
        </w:tc>
        <w:tc>
          <w:tcPr>
            <w:tcW w:w="0" w:type="auto"/>
            <w:vAlign w:val="center"/>
          </w:tcPr>
          <w:p w:rsidR="00B35EDC" w:rsidRDefault="00DF2219">
            <w:pPr>
              <w:jc w:val="center"/>
            </w:pPr>
            <w:r>
              <w:rPr>
                <w:color w:val="000000"/>
                <w:sz w:val="24"/>
              </w:rPr>
              <w:t>19</w:t>
            </w:r>
            <w:r>
              <w:rPr>
                <w:color w:val="000000"/>
                <w:sz w:val="24"/>
              </w:rPr>
              <w:t>陕煤化</w:t>
            </w:r>
            <w:r>
              <w:rPr>
                <w:color w:val="000000"/>
                <w:sz w:val="24"/>
              </w:rPr>
              <w:t>CP001</w:t>
            </w:r>
          </w:p>
        </w:tc>
        <w:tc>
          <w:tcPr>
            <w:tcW w:w="0" w:type="auto"/>
            <w:vAlign w:val="center"/>
          </w:tcPr>
          <w:p w:rsidR="00B35EDC" w:rsidRDefault="00DF2219">
            <w:pPr>
              <w:jc w:val="right"/>
            </w:pPr>
            <w:r>
              <w:rPr>
                <w:color w:val="000000"/>
                <w:sz w:val="24"/>
              </w:rPr>
              <w:t>100,000</w:t>
            </w:r>
          </w:p>
        </w:tc>
        <w:tc>
          <w:tcPr>
            <w:tcW w:w="0" w:type="auto"/>
            <w:vAlign w:val="center"/>
          </w:tcPr>
          <w:p w:rsidR="00B35EDC" w:rsidRDefault="00DF2219">
            <w:pPr>
              <w:jc w:val="right"/>
            </w:pPr>
            <w:r>
              <w:rPr>
                <w:color w:val="000000"/>
                <w:sz w:val="24"/>
              </w:rPr>
              <w:t>10,000,329.89</w:t>
            </w:r>
          </w:p>
        </w:tc>
        <w:tc>
          <w:tcPr>
            <w:tcW w:w="0" w:type="auto"/>
            <w:vAlign w:val="center"/>
          </w:tcPr>
          <w:p w:rsidR="00B35EDC" w:rsidRDefault="00DF2219">
            <w:pPr>
              <w:jc w:val="right"/>
            </w:pPr>
            <w:r>
              <w:rPr>
                <w:color w:val="000000"/>
                <w:sz w:val="24"/>
              </w:rPr>
              <w:t>0.89</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0.0989%</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0.0414%</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0.0649%</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1410"/>
        <w:gridCol w:w="1410"/>
        <w:gridCol w:w="1685"/>
        <w:gridCol w:w="1685"/>
        <w:gridCol w:w="1686"/>
      </w:tblGrid>
      <w:tr w:rsidR="00EA3F40" w:rsidRPr="0097021E" w:rsidTr="00841A22">
        <w:tc>
          <w:tcPr>
            <w:tcW w:w="1547"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公允价值</w:t>
            </w:r>
            <w:r w:rsidR="007C3671" w:rsidRPr="00613409">
              <w:rPr>
                <w:color w:val="000000"/>
                <w:kern w:val="0"/>
                <w:sz w:val="24"/>
              </w:rPr>
              <w:t>（元）</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B35EDC">
        <w:tc>
          <w:tcPr>
            <w:tcW w:w="0" w:type="auto"/>
            <w:vAlign w:val="center"/>
          </w:tcPr>
          <w:p w:rsidR="00B35EDC" w:rsidRDefault="00DF2219">
            <w:pPr>
              <w:jc w:val="center"/>
            </w:pPr>
            <w:r>
              <w:rPr>
                <w:color w:val="000000"/>
                <w:sz w:val="24"/>
              </w:rPr>
              <w:t>1</w:t>
            </w:r>
          </w:p>
        </w:tc>
        <w:tc>
          <w:tcPr>
            <w:tcW w:w="0" w:type="auto"/>
            <w:vAlign w:val="center"/>
          </w:tcPr>
          <w:p w:rsidR="00B35EDC" w:rsidRDefault="00DF2219">
            <w:pPr>
              <w:jc w:val="center"/>
            </w:pPr>
            <w:r>
              <w:rPr>
                <w:color w:val="000000"/>
                <w:sz w:val="24"/>
              </w:rPr>
              <w:t>138276</w:t>
            </w:r>
          </w:p>
        </w:tc>
        <w:tc>
          <w:tcPr>
            <w:tcW w:w="0" w:type="auto"/>
            <w:vAlign w:val="center"/>
          </w:tcPr>
          <w:p w:rsidR="00B35EDC" w:rsidRDefault="00DF2219">
            <w:pPr>
              <w:jc w:val="center"/>
            </w:pPr>
            <w:r>
              <w:rPr>
                <w:color w:val="000000"/>
                <w:sz w:val="24"/>
              </w:rPr>
              <w:t>永熙优</w:t>
            </w:r>
            <w:r>
              <w:rPr>
                <w:color w:val="000000"/>
                <w:sz w:val="24"/>
              </w:rPr>
              <w:t>20</w:t>
            </w:r>
          </w:p>
        </w:tc>
        <w:tc>
          <w:tcPr>
            <w:tcW w:w="0" w:type="auto"/>
            <w:vAlign w:val="center"/>
          </w:tcPr>
          <w:p w:rsidR="00B35EDC" w:rsidRDefault="00DF2219">
            <w:pPr>
              <w:jc w:val="right"/>
            </w:pPr>
            <w:r>
              <w:rPr>
                <w:color w:val="000000"/>
                <w:sz w:val="24"/>
              </w:rPr>
              <w:t>100,000</w:t>
            </w:r>
          </w:p>
        </w:tc>
        <w:tc>
          <w:tcPr>
            <w:tcW w:w="0" w:type="auto"/>
            <w:vAlign w:val="center"/>
          </w:tcPr>
          <w:p w:rsidR="00B35EDC" w:rsidRDefault="00DF2219">
            <w:pPr>
              <w:jc w:val="right"/>
            </w:pPr>
            <w:r>
              <w:rPr>
                <w:color w:val="000000"/>
                <w:sz w:val="24"/>
              </w:rPr>
              <w:t>10,000,000.00</w:t>
            </w:r>
          </w:p>
        </w:tc>
        <w:tc>
          <w:tcPr>
            <w:tcW w:w="0" w:type="auto"/>
            <w:vAlign w:val="center"/>
          </w:tcPr>
          <w:p w:rsidR="00B35EDC" w:rsidRDefault="00DF2219">
            <w:pPr>
              <w:jc w:val="right"/>
            </w:pPr>
            <w:r>
              <w:rPr>
                <w:color w:val="000000"/>
                <w:sz w:val="24"/>
              </w:rPr>
              <w:t>0.89</w:t>
            </w:r>
          </w:p>
        </w:tc>
      </w:tr>
    </w:tbl>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B35EDC" w:rsidRDefault="00DF2219">
      <w:pPr>
        <w:spacing w:line="360" w:lineRule="auto"/>
        <w:ind w:firstLineChars="200" w:firstLine="480"/>
        <w:rPr>
          <w:color w:val="000000"/>
          <w:sz w:val="24"/>
        </w:rPr>
      </w:pPr>
      <w:r>
        <w:rPr>
          <w:color w:val="000000"/>
          <w:sz w:val="24"/>
        </w:rPr>
        <w:t>本基金目前投资工具的估值方法如下：</w:t>
      </w:r>
    </w:p>
    <w:p w:rsidR="00B35EDC" w:rsidRDefault="00DF2219">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B35EDC" w:rsidRDefault="00DF2219">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B35EDC" w:rsidRDefault="00DF2219">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B35EDC" w:rsidRDefault="00DF2219">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5.9.219</w:t>
      </w:r>
      <w:r w:rsidRPr="007A1ACF">
        <w:rPr>
          <w:color w:val="000000"/>
          <w:sz w:val="24"/>
        </w:rPr>
        <w:t>农业银行</w:t>
      </w:r>
      <w:r w:rsidRPr="007A1ACF">
        <w:rPr>
          <w:color w:val="000000"/>
          <w:sz w:val="24"/>
        </w:rPr>
        <w:t>CD150</w:t>
      </w:r>
      <w:r w:rsidRPr="007A1ACF">
        <w:rPr>
          <w:color w:val="000000"/>
          <w:sz w:val="24"/>
        </w:rPr>
        <w:t>（代码：</w:t>
      </w:r>
      <w:r w:rsidRPr="007A1ACF">
        <w:rPr>
          <w:color w:val="000000"/>
          <w:sz w:val="24"/>
        </w:rPr>
        <w:t>111903150</w:t>
      </w:r>
      <w:r w:rsidRPr="007A1ACF">
        <w:rPr>
          <w:color w:val="000000"/>
          <w:sz w:val="24"/>
        </w:rPr>
        <w:t>）、</w:t>
      </w:r>
      <w:r w:rsidRPr="007A1ACF">
        <w:rPr>
          <w:color w:val="000000"/>
          <w:sz w:val="24"/>
        </w:rPr>
        <w:t>19</w:t>
      </w:r>
      <w:r w:rsidRPr="007A1ACF">
        <w:rPr>
          <w:color w:val="000000"/>
          <w:sz w:val="24"/>
        </w:rPr>
        <w:t>农业银行</w:t>
      </w:r>
      <w:r w:rsidRPr="007A1ACF">
        <w:rPr>
          <w:color w:val="000000"/>
          <w:sz w:val="24"/>
        </w:rPr>
        <w:t>CD094</w:t>
      </w:r>
      <w:r w:rsidRPr="007A1ACF">
        <w:rPr>
          <w:color w:val="000000"/>
          <w:sz w:val="24"/>
        </w:rPr>
        <w:t>（代码：</w:t>
      </w:r>
      <w:r w:rsidRPr="007A1ACF">
        <w:rPr>
          <w:color w:val="000000"/>
          <w:sz w:val="24"/>
        </w:rPr>
        <w:t>111903094</w:t>
      </w:r>
      <w:r w:rsidRPr="007A1ACF">
        <w:rPr>
          <w:color w:val="000000"/>
          <w:sz w:val="24"/>
        </w:rPr>
        <w:t>）是易方达龙宝货币市场基金的前十大持仓证券。</w:t>
      </w:r>
      <w:r w:rsidRPr="007A1ACF">
        <w:rPr>
          <w:color w:val="000000"/>
          <w:sz w:val="24"/>
        </w:rPr>
        <w:t>2019</w:t>
      </w:r>
      <w:r w:rsidRPr="007A1ACF">
        <w:rPr>
          <w:color w:val="000000"/>
          <w:sz w:val="24"/>
        </w:rPr>
        <w:t>年</w:t>
      </w:r>
      <w:r w:rsidRPr="007A1ACF">
        <w:rPr>
          <w:color w:val="000000"/>
          <w:sz w:val="24"/>
        </w:rPr>
        <w:t>5</w:t>
      </w:r>
      <w:r w:rsidRPr="007A1ACF">
        <w:rPr>
          <w:color w:val="000000"/>
          <w:sz w:val="24"/>
        </w:rPr>
        <w:t>月</w:t>
      </w:r>
      <w:r w:rsidRPr="007A1ACF">
        <w:rPr>
          <w:color w:val="000000"/>
          <w:sz w:val="24"/>
        </w:rPr>
        <w:t>7</w:t>
      </w:r>
      <w:r w:rsidRPr="007A1ACF">
        <w:rPr>
          <w:color w:val="000000"/>
          <w:sz w:val="24"/>
        </w:rPr>
        <w:t>日，中国银保监会上海监管局针对中国农业银行股份有限公司中心部分信用卡资金违规用于非消费领域的违法违规行为，作出</w:t>
      </w:r>
      <w:r w:rsidRPr="007A1ACF">
        <w:rPr>
          <w:color w:val="000000"/>
          <w:sz w:val="24"/>
        </w:rPr>
        <w:t>“</w:t>
      </w:r>
      <w:r w:rsidRPr="007A1ACF">
        <w:rPr>
          <w:color w:val="000000"/>
          <w:sz w:val="24"/>
        </w:rPr>
        <w:t>责令改正，并处罚款</w:t>
      </w:r>
      <w:r w:rsidRPr="007A1ACF">
        <w:rPr>
          <w:color w:val="000000"/>
          <w:sz w:val="24"/>
        </w:rPr>
        <w:t>50</w:t>
      </w:r>
      <w:r w:rsidRPr="007A1ACF">
        <w:rPr>
          <w:color w:val="000000"/>
          <w:sz w:val="24"/>
        </w:rPr>
        <w:t>万元</w:t>
      </w:r>
      <w:r w:rsidRPr="007A1ACF">
        <w:rPr>
          <w:color w:val="000000"/>
          <w:sz w:val="24"/>
        </w:rPr>
        <w:t>”</w:t>
      </w:r>
      <w:r w:rsidRPr="007A1ACF">
        <w:rPr>
          <w:color w:val="000000"/>
          <w:sz w:val="24"/>
        </w:rPr>
        <w:t>的行政处罚决定。</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25</w:t>
      </w:r>
      <w:r w:rsidRPr="007A1ACF">
        <w:rPr>
          <w:color w:val="000000"/>
          <w:sz w:val="24"/>
        </w:rPr>
        <w:t>日，中国银行保险监督管理委员会上海监管局针对中国农业银行股份有限公司信用卡中心的如下违法违规行为作出</w:t>
      </w:r>
      <w:r w:rsidRPr="007A1ACF">
        <w:rPr>
          <w:color w:val="000000"/>
          <w:sz w:val="24"/>
        </w:rPr>
        <w:t>“</w:t>
      </w:r>
      <w:r w:rsidRPr="007A1ACF">
        <w:rPr>
          <w:color w:val="000000"/>
          <w:sz w:val="24"/>
        </w:rPr>
        <w:t>责令改正，并处罚款</w:t>
      </w:r>
      <w:r w:rsidRPr="007A1ACF">
        <w:rPr>
          <w:color w:val="000000"/>
          <w:sz w:val="24"/>
        </w:rPr>
        <w:t>20</w:t>
      </w:r>
      <w:r w:rsidRPr="007A1ACF">
        <w:rPr>
          <w:color w:val="000000"/>
          <w:sz w:val="24"/>
        </w:rPr>
        <w:t>万元</w:t>
      </w:r>
      <w:r w:rsidRPr="007A1ACF">
        <w:rPr>
          <w:color w:val="000000"/>
          <w:sz w:val="24"/>
        </w:rPr>
        <w:t>”</w:t>
      </w:r>
      <w:r w:rsidRPr="007A1ACF">
        <w:rPr>
          <w:color w:val="000000"/>
          <w:sz w:val="24"/>
        </w:rPr>
        <w:t>的行政处罚决定：</w:t>
      </w:r>
      <w:r w:rsidRPr="007A1ACF">
        <w:rPr>
          <w:color w:val="000000"/>
          <w:sz w:val="24"/>
        </w:rPr>
        <w:t>2017</w:t>
      </w:r>
      <w:r w:rsidRPr="007A1ACF">
        <w:rPr>
          <w:color w:val="000000"/>
          <w:sz w:val="24"/>
        </w:rPr>
        <w:t>年</w:t>
      </w:r>
      <w:r w:rsidRPr="007A1ACF">
        <w:rPr>
          <w:color w:val="000000"/>
          <w:sz w:val="24"/>
        </w:rPr>
        <w:t>5</w:t>
      </w:r>
      <w:r w:rsidRPr="007A1ACF">
        <w:rPr>
          <w:color w:val="000000"/>
          <w:sz w:val="24"/>
        </w:rPr>
        <w:t>月至</w:t>
      </w:r>
      <w:r w:rsidRPr="007A1ACF">
        <w:rPr>
          <w:color w:val="000000"/>
          <w:sz w:val="24"/>
        </w:rPr>
        <w:t>2018</w:t>
      </w:r>
      <w:r w:rsidRPr="007A1ACF">
        <w:rPr>
          <w:color w:val="000000"/>
          <w:sz w:val="24"/>
        </w:rPr>
        <w:t>年</w:t>
      </w:r>
      <w:r w:rsidRPr="007A1ACF">
        <w:rPr>
          <w:color w:val="000000"/>
          <w:sz w:val="24"/>
        </w:rPr>
        <w:t>6</w:t>
      </w:r>
      <w:r w:rsidRPr="007A1ACF">
        <w:rPr>
          <w:color w:val="000000"/>
          <w:sz w:val="24"/>
        </w:rPr>
        <w:t>月在办理部分客户信用卡业务时未遵守总授信额度管理制度。</w:t>
      </w:r>
    </w:p>
    <w:p w:rsidR="00B35EDC" w:rsidRDefault="00DF2219">
      <w:pPr>
        <w:widowControl/>
        <w:spacing w:line="360" w:lineRule="auto"/>
        <w:rPr>
          <w:color w:val="000000"/>
          <w:sz w:val="24"/>
        </w:rPr>
      </w:pPr>
      <w:r>
        <w:rPr>
          <w:color w:val="000000"/>
          <w:sz w:val="24"/>
        </w:rPr>
        <w:t>19</w:t>
      </w:r>
      <w:r>
        <w:rPr>
          <w:color w:val="000000"/>
          <w:sz w:val="24"/>
        </w:rPr>
        <w:t>北京银行</w:t>
      </w:r>
      <w:r>
        <w:rPr>
          <w:color w:val="000000"/>
          <w:sz w:val="24"/>
        </w:rPr>
        <w:t>CD029</w:t>
      </w:r>
      <w:r>
        <w:rPr>
          <w:color w:val="000000"/>
          <w:sz w:val="24"/>
        </w:rPr>
        <w:t>（代码：</w:t>
      </w:r>
      <w:r>
        <w:rPr>
          <w:color w:val="000000"/>
          <w:sz w:val="24"/>
        </w:rPr>
        <w:t>111912029</w:t>
      </w:r>
      <w:r>
        <w:rPr>
          <w:color w:val="000000"/>
          <w:sz w:val="24"/>
        </w:rPr>
        <w:t>）是易方达龙宝货币市场基金的前十大持仓证券。</w:t>
      </w:r>
      <w:r>
        <w:rPr>
          <w:color w:val="000000"/>
          <w:sz w:val="24"/>
        </w:rPr>
        <w:t>2019</w:t>
      </w:r>
      <w:r>
        <w:rPr>
          <w:color w:val="000000"/>
          <w:sz w:val="24"/>
        </w:rPr>
        <w:t>年</w:t>
      </w:r>
      <w:r>
        <w:rPr>
          <w:color w:val="000000"/>
          <w:sz w:val="24"/>
        </w:rPr>
        <w:t>9</w:t>
      </w:r>
      <w:r>
        <w:rPr>
          <w:color w:val="000000"/>
          <w:sz w:val="24"/>
        </w:rPr>
        <w:t>月</w:t>
      </w:r>
      <w:r>
        <w:rPr>
          <w:color w:val="000000"/>
          <w:sz w:val="24"/>
        </w:rPr>
        <w:t>3</w:t>
      </w:r>
      <w:r>
        <w:rPr>
          <w:color w:val="000000"/>
          <w:sz w:val="24"/>
        </w:rPr>
        <w:t>日，北京银保监局对北京银行作出</w:t>
      </w:r>
      <w:r>
        <w:rPr>
          <w:color w:val="000000"/>
          <w:sz w:val="24"/>
        </w:rPr>
        <w:t>“</w:t>
      </w:r>
      <w:r>
        <w:rPr>
          <w:color w:val="000000"/>
          <w:sz w:val="24"/>
        </w:rPr>
        <w:t>责令改正，并给予合计</w:t>
      </w:r>
      <w:r>
        <w:rPr>
          <w:color w:val="000000"/>
          <w:sz w:val="24"/>
        </w:rPr>
        <w:t>110</w:t>
      </w:r>
      <w:r>
        <w:rPr>
          <w:color w:val="000000"/>
          <w:sz w:val="24"/>
        </w:rPr>
        <w:t>万元罚款</w:t>
      </w:r>
      <w:r>
        <w:rPr>
          <w:color w:val="000000"/>
          <w:sz w:val="24"/>
        </w:rPr>
        <w:t>”</w:t>
      </w:r>
      <w:r>
        <w:rPr>
          <w:color w:val="000000"/>
          <w:sz w:val="24"/>
        </w:rPr>
        <w:t>的行政处罚决定。违法违规事由：个人消费贷款被挪用于支付购房首付款或投资股权、个别个人商办用房贷款违反房</w:t>
      </w:r>
      <w:r>
        <w:rPr>
          <w:color w:val="000000"/>
          <w:sz w:val="24"/>
        </w:rPr>
        <w:t>地产调控政策、同业投资通过信托通道违规发放土地储备贷款。</w:t>
      </w:r>
      <w:r>
        <w:rPr>
          <w:color w:val="000000"/>
          <w:sz w:val="24"/>
        </w:rPr>
        <w:t>2019</w:t>
      </w:r>
      <w:r>
        <w:rPr>
          <w:color w:val="000000"/>
          <w:sz w:val="24"/>
        </w:rPr>
        <w:t>年</w:t>
      </w:r>
      <w:r>
        <w:rPr>
          <w:color w:val="000000"/>
          <w:sz w:val="24"/>
        </w:rPr>
        <w:t>9</w:t>
      </w:r>
      <w:r>
        <w:rPr>
          <w:color w:val="000000"/>
          <w:sz w:val="24"/>
        </w:rPr>
        <w:t>月</w:t>
      </w:r>
      <w:r>
        <w:rPr>
          <w:color w:val="000000"/>
          <w:sz w:val="24"/>
        </w:rPr>
        <w:t>25</w:t>
      </w:r>
      <w:r>
        <w:rPr>
          <w:color w:val="000000"/>
          <w:sz w:val="24"/>
        </w:rPr>
        <w:t>日，北京银保监局对北京银行作出</w:t>
      </w:r>
      <w:r>
        <w:rPr>
          <w:color w:val="000000"/>
          <w:sz w:val="24"/>
        </w:rPr>
        <w:t>“</w:t>
      </w:r>
      <w:r>
        <w:rPr>
          <w:color w:val="000000"/>
          <w:sz w:val="24"/>
        </w:rPr>
        <w:t>责令改正，并给予合计</w:t>
      </w:r>
      <w:r>
        <w:rPr>
          <w:color w:val="000000"/>
          <w:sz w:val="24"/>
        </w:rPr>
        <w:t>100</w:t>
      </w:r>
      <w:r>
        <w:rPr>
          <w:color w:val="000000"/>
          <w:sz w:val="24"/>
        </w:rPr>
        <w:t>万元罚款</w:t>
      </w:r>
      <w:r>
        <w:rPr>
          <w:color w:val="000000"/>
          <w:sz w:val="24"/>
        </w:rPr>
        <w:t>”</w:t>
      </w:r>
      <w:r>
        <w:rPr>
          <w:color w:val="000000"/>
          <w:sz w:val="24"/>
        </w:rPr>
        <w:t>的行政处罚决定，违法违规事由：员工大额消费贷款违规行为长期未有效整改、同业业务专营部门制改革不到位、同业投资违规接受第三方金融机构信用担保。</w:t>
      </w:r>
    </w:p>
    <w:p w:rsidR="00B35EDC" w:rsidRDefault="00DF2219">
      <w:pPr>
        <w:widowControl/>
        <w:spacing w:line="360" w:lineRule="auto"/>
        <w:rPr>
          <w:color w:val="000000"/>
          <w:sz w:val="24"/>
        </w:rPr>
      </w:pPr>
      <w:r>
        <w:rPr>
          <w:color w:val="000000"/>
          <w:sz w:val="24"/>
        </w:rPr>
        <w:t>19</w:t>
      </w:r>
      <w:r>
        <w:rPr>
          <w:color w:val="000000"/>
          <w:sz w:val="24"/>
        </w:rPr>
        <w:t>建设银行</w:t>
      </w:r>
      <w:r>
        <w:rPr>
          <w:color w:val="000000"/>
          <w:sz w:val="24"/>
        </w:rPr>
        <w:t>CD029</w:t>
      </w:r>
      <w:r>
        <w:rPr>
          <w:color w:val="000000"/>
          <w:sz w:val="24"/>
        </w:rPr>
        <w:t>（代码：</w:t>
      </w:r>
      <w:r>
        <w:rPr>
          <w:color w:val="000000"/>
          <w:sz w:val="24"/>
        </w:rPr>
        <w:t>111905029</w:t>
      </w:r>
      <w:r>
        <w:rPr>
          <w:color w:val="000000"/>
          <w:sz w:val="24"/>
        </w:rPr>
        <w:t>）是易方达龙宝货币市场基金的前十大持仓证券。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日，中国银行保险监督管理委员会上海监管局针对中国建设银行股份有限公司信用卡中心的如下违法违规行为作出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2016</w:t>
      </w:r>
      <w:r>
        <w:rPr>
          <w:color w:val="000000"/>
          <w:sz w:val="24"/>
        </w:rPr>
        <w:t>年至</w:t>
      </w:r>
      <w:r>
        <w:rPr>
          <w:color w:val="000000"/>
          <w:sz w:val="24"/>
        </w:rPr>
        <w:t>2017</w:t>
      </w:r>
      <w:r>
        <w:rPr>
          <w:color w:val="000000"/>
          <w:sz w:val="24"/>
        </w:rPr>
        <w:t>年</w:t>
      </w:r>
      <w:r>
        <w:rPr>
          <w:color w:val="000000"/>
          <w:sz w:val="24"/>
        </w:rPr>
        <w:t>6</w:t>
      </w:r>
      <w:r>
        <w:rPr>
          <w:color w:val="000000"/>
          <w:sz w:val="24"/>
        </w:rPr>
        <w:t>月间部分信用卡资金违规用于非消费领域。</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日，中国银行保险监督管理委员会上海监管局针对中国建设银行股份有限公司信用卡中心的如下违法违规行为作出</w:t>
      </w:r>
      <w:r>
        <w:rPr>
          <w:color w:val="000000"/>
          <w:sz w:val="24"/>
        </w:rPr>
        <w:t>“</w:t>
      </w:r>
      <w:r>
        <w:rPr>
          <w:color w:val="000000"/>
          <w:sz w:val="24"/>
        </w:rPr>
        <w:t>责令改正，并处罚款</w:t>
      </w:r>
      <w:r>
        <w:rPr>
          <w:color w:val="000000"/>
          <w:sz w:val="24"/>
        </w:rPr>
        <w:t>30</w:t>
      </w:r>
      <w:r>
        <w:rPr>
          <w:color w:val="000000"/>
          <w:sz w:val="24"/>
        </w:rPr>
        <w:t>万元</w:t>
      </w:r>
      <w:r>
        <w:rPr>
          <w:color w:val="000000"/>
          <w:sz w:val="24"/>
        </w:rPr>
        <w:t>”</w:t>
      </w:r>
      <w:r>
        <w:rPr>
          <w:color w:val="000000"/>
          <w:sz w:val="24"/>
        </w:rPr>
        <w:t>的行政处罚决定：</w:t>
      </w:r>
      <w:r>
        <w:rPr>
          <w:color w:val="000000"/>
          <w:sz w:val="24"/>
        </w:rPr>
        <w:t>1</w:t>
      </w:r>
      <w:r>
        <w:rPr>
          <w:color w:val="000000"/>
          <w:sz w:val="24"/>
        </w:rPr>
        <w:t>、</w:t>
      </w:r>
      <w:r>
        <w:rPr>
          <w:color w:val="000000"/>
          <w:sz w:val="24"/>
        </w:rPr>
        <w:t>2017</w:t>
      </w:r>
      <w:r>
        <w:rPr>
          <w:color w:val="000000"/>
          <w:sz w:val="24"/>
        </w:rPr>
        <w:t>年</w:t>
      </w:r>
      <w:r>
        <w:rPr>
          <w:color w:val="000000"/>
          <w:sz w:val="24"/>
        </w:rPr>
        <w:t>5</w:t>
      </w:r>
      <w:r>
        <w:rPr>
          <w:color w:val="000000"/>
          <w:sz w:val="24"/>
        </w:rPr>
        <w:t>月在为部分客户办理信用卡业务时，未遵守总授信额度管理制度；</w:t>
      </w:r>
      <w:r>
        <w:rPr>
          <w:color w:val="000000"/>
          <w:sz w:val="24"/>
        </w:rPr>
        <w:t>2</w:t>
      </w:r>
      <w:r>
        <w:rPr>
          <w:color w:val="000000"/>
          <w:sz w:val="24"/>
        </w:rPr>
        <w:t>、</w:t>
      </w:r>
      <w:r>
        <w:rPr>
          <w:color w:val="000000"/>
          <w:sz w:val="24"/>
        </w:rPr>
        <w:t>2017</w:t>
      </w:r>
      <w:r>
        <w:rPr>
          <w:color w:val="000000"/>
          <w:sz w:val="24"/>
        </w:rPr>
        <w:t>年</w:t>
      </w:r>
      <w:r>
        <w:rPr>
          <w:color w:val="000000"/>
          <w:sz w:val="24"/>
        </w:rPr>
        <w:t>9</w:t>
      </w:r>
      <w:r>
        <w:rPr>
          <w:color w:val="000000"/>
          <w:sz w:val="24"/>
        </w:rPr>
        <w:t>月、</w:t>
      </w:r>
      <w:r>
        <w:rPr>
          <w:color w:val="000000"/>
          <w:sz w:val="24"/>
        </w:rPr>
        <w:t>10</w:t>
      </w:r>
      <w:r>
        <w:rPr>
          <w:color w:val="000000"/>
          <w:sz w:val="24"/>
        </w:rPr>
        <w:t>月对部分信用卡申请人资信水平调查严重不尽职。</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日，中国银行保险监督管理委员会对中国建设银行股份有限公司的如下违法违规行为作出</w:t>
      </w:r>
      <w:r>
        <w:rPr>
          <w:color w:val="000000"/>
          <w:sz w:val="24"/>
        </w:rPr>
        <w:t>“</w:t>
      </w:r>
      <w:r>
        <w:rPr>
          <w:color w:val="000000"/>
          <w:sz w:val="24"/>
        </w:rPr>
        <w:t>罚款</w:t>
      </w:r>
      <w:r>
        <w:rPr>
          <w:color w:val="000000"/>
          <w:sz w:val="24"/>
        </w:rPr>
        <w:t>80</w:t>
      </w:r>
      <w:r>
        <w:rPr>
          <w:color w:val="000000"/>
          <w:sz w:val="24"/>
        </w:rPr>
        <w:t>万元</w:t>
      </w:r>
      <w:r>
        <w:rPr>
          <w:color w:val="000000"/>
          <w:sz w:val="24"/>
        </w:rPr>
        <w:t>”</w:t>
      </w:r>
      <w:r>
        <w:rPr>
          <w:color w:val="000000"/>
          <w:sz w:val="24"/>
        </w:rPr>
        <w:t>的行政</w:t>
      </w:r>
      <w:r>
        <w:rPr>
          <w:color w:val="000000"/>
          <w:sz w:val="24"/>
        </w:rPr>
        <w:t>处罚决定：</w:t>
      </w:r>
      <w:r>
        <w:rPr>
          <w:color w:val="000000"/>
          <w:sz w:val="24"/>
        </w:rPr>
        <w:t>1</w:t>
      </w:r>
      <w:r>
        <w:rPr>
          <w:color w:val="000000"/>
          <w:sz w:val="24"/>
        </w:rPr>
        <w:t>、用于风险缓释的保证金管理存在漏洞；</w:t>
      </w:r>
      <w:r>
        <w:rPr>
          <w:color w:val="000000"/>
          <w:sz w:val="24"/>
        </w:rPr>
        <w:t>2</w:t>
      </w:r>
      <w:r>
        <w:rPr>
          <w:color w:val="000000"/>
          <w:sz w:val="24"/>
        </w:rPr>
        <w:t>、国别风险管理不完善。</w:t>
      </w:r>
    </w:p>
    <w:p w:rsidR="00B35EDC" w:rsidRDefault="00DF2219">
      <w:pPr>
        <w:widowControl/>
        <w:spacing w:line="360" w:lineRule="auto"/>
        <w:rPr>
          <w:color w:val="000000"/>
          <w:sz w:val="24"/>
        </w:rPr>
      </w:pPr>
      <w:r>
        <w:rPr>
          <w:color w:val="000000"/>
          <w:sz w:val="24"/>
        </w:rPr>
        <w:t>本基金投资</w:t>
      </w:r>
      <w:r>
        <w:rPr>
          <w:color w:val="000000"/>
          <w:sz w:val="24"/>
        </w:rPr>
        <w:t>19</w:t>
      </w:r>
      <w:r>
        <w:rPr>
          <w:color w:val="000000"/>
          <w:sz w:val="24"/>
        </w:rPr>
        <w:t>农业银行</w:t>
      </w:r>
      <w:r>
        <w:rPr>
          <w:color w:val="000000"/>
          <w:sz w:val="24"/>
        </w:rPr>
        <w:t>CD150</w:t>
      </w:r>
      <w:r>
        <w:rPr>
          <w:color w:val="000000"/>
          <w:sz w:val="24"/>
        </w:rPr>
        <w:t>、</w:t>
      </w:r>
      <w:r>
        <w:rPr>
          <w:color w:val="000000"/>
          <w:sz w:val="24"/>
        </w:rPr>
        <w:t>19</w:t>
      </w:r>
      <w:r>
        <w:rPr>
          <w:color w:val="000000"/>
          <w:sz w:val="24"/>
        </w:rPr>
        <w:t>农业银行</w:t>
      </w:r>
      <w:r>
        <w:rPr>
          <w:color w:val="000000"/>
          <w:sz w:val="24"/>
        </w:rPr>
        <w:t>CD094</w:t>
      </w:r>
      <w:r>
        <w:rPr>
          <w:color w:val="000000"/>
          <w:sz w:val="24"/>
        </w:rPr>
        <w:t>、</w:t>
      </w:r>
      <w:r>
        <w:rPr>
          <w:color w:val="000000"/>
          <w:sz w:val="24"/>
        </w:rPr>
        <w:t>19</w:t>
      </w:r>
      <w:r>
        <w:rPr>
          <w:color w:val="000000"/>
          <w:sz w:val="24"/>
        </w:rPr>
        <w:t>北京银行</w:t>
      </w:r>
      <w:r>
        <w:rPr>
          <w:color w:val="000000"/>
          <w:sz w:val="24"/>
        </w:rPr>
        <w:t>CD029</w:t>
      </w:r>
      <w:r>
        <w:rPr>
          <w:color w:val="000000"/>
          <w:sz w:val="24"/>
        </w:rPr>
        <w:t>、</w:t>
      </w:r>
      <w:r>
        <w:rPr>
          <w:color w:val="000000"/>
          <w:sz w:val="24"/>
        </w:rPr>
        <w:t>19</w:t>
      </w:r>
      <w:r>
        <w:rPr>
          <w:color w:val="000000"/>
          <w:sz w:val="24"/>
        </w:rPr>
        <w:t>建设银行</w:t>
      </w:r>
      <w:r>
        <w:rPr>
          <w:color w:val="000000"/>
          <w:sz w:val="24"/>
        </w:rPr>
        <w:t>CD029</w:t>
      </w:r>
      <w:r>
        <w:rPr>
          <w:color w:val="000000"/>
          <w:sz w:val="24"/>
        </w:rPr>
        <w:t>的投资决策程序符合公司投资制度的规定。</w:t>
      </w:r>
    </w:p>
    <w:p w:rsidR="00B35EDC" w:rsidRDefault="00DF2219">
      <w:pPr>
        <w:widowControl/>
        <w:spacing w:line="360" w:lineRule="auto"/>
        <w:rPr>
          <w:color w:val="000000"/>
          <w:sz w:val="24"/>
        </w:rPr>
      </w:pPr>
      <w:r>
        <w:rPr>
          <w:color w:val="000000"/>
          <w:sz w:val="24"/>
        </w:rPr>
        <w:t>除</w:t>
      </w:r>
      <w:r>
        <w:rPr>
          <w:color w:val="000000"/>
          <w:sz w:val="24"/>
        </w:rPr>
        <w:t>19</w:t>
      </w:r>
      <w:r>
        <w:rPr>
          <w:color w:val="000000"/>
          <w:sz w:val="24"/>
        </w:rPr>
        <w:t>农业银行</w:t>
      </w:r>
      <w:r>
        <w:rPr>
          <w:color w:val="000000"/>
          <w:sz w:val="24"/>
        </w:rPr>
        <w:t>CD150</w:t>
      </w:r>
      <w:r>
        <w:rPr>
          <w:color w:val="000000"/>
          <w:sz w:val="24"/>
        </w:rPr>
        <w:t>、</w:t>
      </w:r>
      <w:r>
        <w:rPr>
          <w:color w:val="000000"/>
          <w:sz w:val="24"/>
        </w:rPr>
        <w:t>19</w:t>
      </w:r>
      <w:r>
        <w:rPr>
          <w:color w:val="000000"/>
          <w:sz w:val="24"/>
        </w:rPr>
        <w:t>农业银行</w:t>
      </w:r>
      <w:r>
        <w:rPr>
          <w:color w:val="000000"/>
          <w:sz w:val="24"/>
        </w:rPr>
        <w:t>CD094</w:t>
      </w:r>
      <w:r>
        <w:rPr>
          <w:color w:val="000000"/>
          <w:sz w:val="24"/>
        </w:rPr>
        <w:t>、</w:t>
      </w:r>
      <w:r>
        <w:rPr>
          <w:color w:val="000000"/>
          <w:sz w:val="24"/>
        </w:rPr>
        <w:t>19</w:t>
      </w:r>
      <w:r>
        <w:rPr>
          <w:color w:val="000000"/>
          <w:sz w:val="24"/>
        </w:rPr>
        <w:t>北京银行</w:t>
      </w:r>
      <w:r>
        <w:rPr>
          <w:color w:val="000000"/>
          <w:sz w:val="24"/>
        </w:rPr>
        <w:t>CD029</w:t>
      </w:r>
      <w:r>
        <w:rPr>
          <w:color w:val="000000"/>
          <w:sz w:val="24"/>
        </w:rPr>
        <w:t>、</w:t>
      </w:r>
      <w:r>
        <w:rPr>
          <w:color w:val="000000"/>
          <w:sz w:val="24"/>
        </w:rPr>
        <w:t>19</w:t>
      </w:r>
      <w:r>
        <w:rPr>
          <w:color w:val="000000"/>
          <w:sz w:val="24"/>
        </w:rPr>
        <w:t>建设银行</w:t>
      </w:r>
      <w:r>
        <w:rPr>
          <w:color w:val="000000"/>
          <w:sz w:val="24"/>
        </w:rPr>
        <w:t>CD029</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5,462,629.11</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13,597,745.81</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19,060,374.92</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EA3F40" w:rsidRPr="0097021E" w:rsidTr="00102307">
        <w:trPr>
          <w:jc w:val="center"/>
        </w:trPr>
        <w:tc>
          <w:tcPr>
            <w:tcW w:w="3279"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易方达龙宝货币</w:t>
            </w:r>
            <w:r w:rsidRPr="00613409">
              <w:rPr>
                <w:sz w:val="24"/>
              </w:rPr>
              <w:t>A</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易方达龙宝货币</w:t>
            </w:r>
            <w:r w:rsidRPr="00613409">
              <w:rPr>
                <w:sz w:val="24"/>
              </w:rPr>
              <w:t>B</w:t>
            </w:r>
          </w:p>
        </w:tc>
        <w:tc>
          <w:tcPr>
            <w:tcW w:w="2269" w:type="dxa"/>
          </w:tcPr>
          <w:p w:rsidR="00EA3F40" w:rsidRPr="00613409" w:rsidRDefault="00EA3F40" w:rsidP="003451F3">
            <w:pPr>
              <w:autoSpaceDE w:val="0"/>
              <w:autoSpaceDN w:val="0"/>
              <w:adjustRightInd w:val="0"/>
              <w:spacing w:before="29" w:line="360" w:lineRule="auto"/>
              <w:ind w:left="15"/>
              <w:jc w:val="center"/>
              <w:rPr>
                <w:color w:val="000000"/>
                <w:kern w:val="0"/>
                <w:sz w:val="24"/>
              </w:rPr>
            </w:pPr>
            <w:r w:rsidRPr="00613409">
              <w:rPr>
                <w:sz w:val="24"/>
              </w:rPr>
              <w:t>易方达龙宝货币</w:t>
            </w:r>
            <w:r w:rsidRPr="00613409">
              <w:rPr>
                <w:sz w:val="24"/>
              </w:rPr>
              <w:t>C</w:t>
            </w:r>
          </w:p>
        </w:tc>
      </w:tr>
      <w:tr w:rsidR="00EA3F40" w:rsidRPr="0097021E" w:rsidTr="00F56FBC">
        <w:trPr>
          <w:jc w:val="center"/>
        </w:trPr>
        <w:tc>
          <w:tcPr>
            <w:tcW w:w="3279" w:type="dxa"/>
            <w:vAlign w:val="center"/>
          </w:tcPr>
          <w:p w:rsidR="00EA3F40" w:rsidRPr="00613409" w:rsidRDefault="00EA3F40"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963,532,064.52</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167,230,515.13</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175,404,730.17</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909,671,074.72</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127,529,778.85</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297,681,491.83</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1,016,741,906.97</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212,572,643.19</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283,321,981.51</w:t>
            </w:r>
          </w:p>
        </w:tc>
      </w:tr>
      <w:tr w:rsidR="00EA3F40" w:rsidRPr="0097021E" w:rsidTr="00A40052">
        <w:trPr>
          <w:jc w:val="center"/>
        </w:trPr>
        <w:tc>
          <w:tcPr>
            <w:tcW w:w="3279" w:type="dxa"/>
          </w:tcPr>
          <w:p w:rsidR="00EA3F40" w:rsidRPr="00613409" w:rsidRDefault="00EA3F40" w:rsidP="00587524">
            <w:pPr>
              <w:adjustRightInd w:val="0"/>
              <w:snapToGrid w:val="0"/>
              <w:spacing w:line="340" w:lineRule="exact"/>
              <w:rPr>
                <w:color w:val="000000"/>
                <w:sz w:val="24"/>
              </w:rPr>
            </w:pPr>
            <w:r w:rsidRPr="00613409">
              <w:rPr>
                <w:color w:val="000000"/>
                <w:sz w:val="24"/>
              </w:rPr>
              <w:t>报告期期末基金份额总额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856,461,232.27</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82,187,650.79</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189,764,240.49</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本报告期内基金管理人未运用固有资金申购、赎回、买卖本基金份额。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B35EDC" w:rsidRDefault="00DF2219">
      <w:pPr>
        <w:adjustRightInd w:val="0"/>
        <w:spacing w:line="360" w:lineRule="auto"/>
        <w:ind w:firstLineChars="200" w:firstLine="480"/>
        <w:rPr>
          <w:color w:val="000000"/>
          <w:sz w:val="24"/>
        </w:rPr>
      </w:pPr>
      <w:r>
        <w:rPr>
          <w:color w:val="000000"/>
          <w:sz w:val="24"/>
        </w:rPr>
        <w:t>1.</w:t>
      </w:r>
      <w:r>
        <w:rPr>
          <w:color w:val="000000"/>
          <w:sz w:val="24"/>
        </w:rPr>
        <w:t>中国证监会注册易方达龙宝货币市场基金募集的文件；</w:t>
      </w:r>
    </w:p>
    <w:p w:rsidR="00B35EDC" w:rsidRDefault="00DF2219">
      <w:pPr>
        <w:adjustRightInd w:val="0"/>
        <w:spacing w:line="360" w:lineRule="auto"/>
        <w:ind w:firstLineChars="200" w:firstLine="480"/>
        <w:rPr>
          <w:color w:val="000000"/>
          <w:sz w:val="24"/>
        </w:rPr>
      </w:pPr>
      <w:r>
        <w:rPr>
          <w:color w:val="000000"/>
          <w:sz w:val="24"/>
        </w:rPr>
        <w:t>2.</w:t>
      </w:r>
      <w:r>
        <w:rPr>
          <w:color w:val="000000"/>
          <w:sz w:val="24"/>
        </w:rPr>
        <w:t>《易方达龙宝货币市场基金基金合同》；</w:t>
      </w:r>
    </w:p>
    <w:p w:rsidR="00B35EDC" w:rsidRDefault="00DF2219">
      <w:pPr>
        <w:adjustRightInd w:val="0"/>
        <w:spacing w:line="360" w:lineRule="auto"/>
        <w:ind w:firstLineChars="200" w:firstLine="480"/>
        <w:rPr>
          <w:color w:val="000000"/>
          <w:sz w:val="24"/>
        </w:rPr>
      </w:pPr>
      <w:r>
        <w:rPr>
          <w:color w:val="000000"/>
          <w:sz w:val="24"/>
        </w:rPr>
        <w:t>3.</w:t>
      </w:r>
      <w:r>
        <w:rPr>
          <w:color w:val="000000"/>
          <w:sz w:val="24"/>
        </w:rPr>
        <w:t>《易方达龙宝货币市场基金托管协议》；</w:t>
      </w:r>
    </w:p>
    <w:p w:rsidR="00B35EDC" w:rsidRDefault="00DF2219">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二〇二〇年一月十八日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CB" w:rsidRDefault="00A333CB">
      <w:r>
        <w:separator/>
      </w:r>
    </w:p>
  </w:endnote>
  <w:endnote w:type="continuationSeparator" w:id="0">
    <w:p w:rsidR="00A333CB" w:rsidRDefault="00A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1D0DB0" w:rsidRDefault="00FC1146"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DF2219">
      <w:rPr>
        <w:noProof/>
        <w:szCs w:val="21"/>
      </w:rPr>
      <w:t>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DF2219">
      <w:rPr>
        <w:noProof/>
        <w:szCs w:val="21"/>
      </w:rPr>
      <w:t>2</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CB" w:rsidRDefault="00A333CB">
      <w:r>
        <w:separator/>
      </w:r>
    </w:p>
  </w:footnote>
  <w:footnote w:type="continuationSeparator" w:id="0">
    <w:p w:rsidR="00A333CB" w:rsidRDefault="00A3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936106" w:rsidRDefault="00FC1146" w:rsidP="008379E2">
    <w:pPr>
      <w:pStyle w:val="a4"/>
      <w:pBdr>
        <w:bottom w:val="single" w:sz="6" w:space="0" w:color="auto"/>
      </w:pBdr>
      <w:jc w:val="right"/>
      <w:rPr>
        <w:sz w:val="15"/>
      </w:rPr>
    </w:pPr>
    <w:r w:rsidRPr="00936106">
      <w:rPr>
        <w:szCs w:val="21"/>
      </w:rPr>
      <w:t>易方达龙宝货币市场基金</w:t>
    </w:r>
    <w:r w:rsidRPr="00936106">
      <w:rPr>
        <w:szCs w:val="21"/>
      </w:rPr>
      <w:t>2019</w:t>
    </w:r>
    <w:r w:rsidRPr="00936106">
      <w:rPr>
        <w:szCs w:val="21"/>
      </w:rPr>
      <w:t>年第</w:t>
    </w:r>
    <w:r w:rsidRPr="00936106">
      <w:rPr>
        <w:szCs w:val="21"/>
      </w:rPr>
      <w:t>4</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35EDC"/>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DF2219"/>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C02A65C2-72DE-42BE-9774-9ABBCA99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7717</Characters>
  <Application>Microsoft Office Word</Application>
  <DocSecurity>4</DocSecurity>
  <Lines>64</Lines>
  <Paragraphs>18</Paragraphs>
  <ScaleCrop>false</ScaleCrop>
  <Company>jysld</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2009-01-22T10:11:00Z</cp:lastPrinted>
  <dcterms:created xsi:type="dcterms:W3CDTF">2020-01-13T02:42:00Z</dcterms:created>
  <dcterms:modified xsi:type="dcterms:W3CDTF">2020-01-13T02:42:00Z</dcterms:modified>
</cp:coreProperties>
</file>