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F6C" w:rsidRPr="0097021E" w:rsidRDefault="00941F6C" w:rsidP="00196812">
      <w:pPr>
        <w:autoSpaceDE w:val="0"/>
        <w:autoSpaceDN w:val="0"/>
        <w:adjustRightInd w:val="0"/>
        <w:spacing w:line="360" w:lineRule="auto"/>
        <w:jc w:val="left"/>
        <w:rPr>
          <w:rFonts w:ascii="宋体" w:cs="Arial"/>
          <w:color w:val="000000"/>
          <w:kern w:val="0"/>
          <w:sz w:val="24"/>
        </w:rPr>
      </w:pPr>
      <w:bookmarkStart w:id="0" w:name="_GoBack"/>
      <w:bookmarkEnd w:id="0"/>
    </w:p>
    <w:p w:rsidR="00941F6C" w:rsidRPr="0097021E" w:rsidRDefault="00941F6C" w:rsidP="00196812">
      <w:pPr>
        <w:autoSpaceDE w:val="0"/>
        <w:autoSpaceDN w:val="0"/>
        <w:adjustRightInd w:val="0"/>
        <w:spacing w:line="360" w:lineRule="auto"/>
        <w:jc w:val="left"/>
        <w:rPr>
          <w:rFonts w:ascii="宋体" w:cs="Arial"/>
          <w:color w:val="000000"/>
          <w:kern w:val="0"/>
          <w:sz w:val="24"/>
        </w:rPr>
      </w:pPr>
    </w:p>
    <w:p w:rsidR="00941F6C" w:rsidRPr="0097021E" w:rsidRDefault="00941F6C" w:rsidP="00196812">
      <w:pPr>
        <w:autoSpaceDE w:val="0"/>
        <w:autoSpaceDN w:val="0"/>
        <w:adjustRightInd w:val="0"/>
        <w:spacing w:line="360" w:lineRule="auto"/>
        <w:jc w:val="left"/>
        <w:rPr>
          <w:rFonts w:ascii="宋体" w:cs="Arial"/>
          <w:color w:val="000000"/>
          <w:kern w:val="0"/>
          <w:sz w:val="24"/>
        </w:rPr>
      </w:pPr>
    </w:p>
    <w:p w:rsidR="00941F6C" w:rsidRPr="0097021E" w:rsidRDefault="00941F6C" w:rsidP="00196812">
      <w:pPr>
        <w:autoSpaceDE w:val="0"/>
        <w:autoSpaceDN w:val="0"/>
        <w:adjustRightInd w:val="0"/>
        <w:spacing w:line="360" w:lineRule="auto"/>
        <w:jc w:val="left"/>
        <w:rPr>
          <w:rFonts w:ascii="宋体" w:cs="Arial"/>
          <w:color w:val="000000"/>
          <w:kern w:val="0"/>
          <w:sz w:val="24"/>
        </w:rPr>
      </w:pPr>
    </w:p>
    <w:p w:rsidR="00941F6C" w:rsidRPr="0097021E" w:rsidRDefault="00941F6C" w:rsidP="0002085F">
      <w:pPr>
        <w:spacing w:line="360" w:lineRule="auto"/>
        <w:jc w:val="center"/>
        <w:rPr>
          <w:rFonts w:ascii="宋体" w:hAnsi="宋体"/>
          <w:b/>
          <w:sz w:val="36"/>
          <w:szCs w:val="36"/>
        </w:rPr>
      </w:pPr>
      <w:r w:rsidRPr="0097021E">
        <w:rPr>
          <w:rFonts w:ascii="宋体" w:hAnsi="宋体"/>
          <w:b/>
          <w:sz w:val="36"/>
          <w:szCs w:val="36"/>
        </w:rPr>
        <w:t>易方达天天增利货币市场基金</w:t>
      </w:r>
    </w:p>
    <w:p w:rsidR="00941F6C" w:rsidRPr="0097021E" w:rsidRDefault="00941F6C" w:rsidP="0002085F">
      <w:pPr>
        <w:spacing w:line="360" w:lineRule="auto"/>
        <w:jc w:val="center"/>
        <w:rPr>
          <w:rFonts w:ascii="宋体" w:hAnsi="宋体"/>
          <w:b/>
          <w:sz w:val="36"/>
          <w:szCs w:val="36"/>
        </w:rPr>
      </w:pPr>
      <w:r w:rsidRPr="0097021E">
        <w:rPr>
          <w:rFonts w:ascii="宋体" w:hAnsi="宋体"/>
          <w:b/>
          <w:sz w:val="36"/>
          <w:szCs w:val="36"/>
        </w:rPr>
        <w:t>2019年第4季度报告</w:t>
      </w:r>
    </w:p>
    <w:p w:rsidR="00941F6C" w:rsidRPr="004F32E4" w:rsidRDefault="00941F6C" w:rsidP="0002085F">
      <w:pPr>
        <w:spacing w:line="360" w:lineRule="auto"/>
        <w:jc w:val="center"/>
        <w:rPr>
          <w:rFonts w:ascii="宋体" w:hAnsi="宋体"/>
          <w:b/>
          <w:sz w:val="24"/>
          <w:szCs w:val="36"/>
        </w:rPr>
      </w:pPr>
      <w:r w:rsidRPr="004F32E4">
        <w:rPr>
          <w:rFonts w:ascii="宋体" w:hAnsi="宋体"/>
          <w:b/>
          <w:sz w:val="24"/>
          <w:szCs w:val="36"/>
        </w:rPr>
        <w:t>2019年12月31日</w:t>
      </w: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rPr>
          <w:rFonts w:ascii="宋体"/>
          <w:b/>
          <w:color w:val="000000"/>
          <w:sz w:val="24"/>
        </w:rPr>
      </w:pPr>
    </w:p>
    <w:p w:rsidR="00941F6C" w:rsidRPr="0097021E" w:rsidRDefault="00941F6C" w:rsidP="00DC22A1">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941F6C" w:rsidRPr="0097021E" w:rsidRDefault="00941F6C" w:rsidP="00DC22A1">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中国建设银行股份有限公司</w:t>
      </w:r>
    </w:p>
    <w:p w:rsidR="00941F6C" w:rsidRPr="0097021E" w:rsidRDefault="00941F6C" w:rsidP="00DC22A1">
      <w:pPr>
        <w:spacing w:line="360" w:lineRule="auto"/>
        <w:ind w:firstLineChars="900" w:firstLine="2168"/>
        <w:rPr>
          <w:rFonts w:ascii="宋体" w:hAnsi="宋体"/>
          <w:b/>
          <w:color w:val="000000"/>
          <w:sz w:val="24"/>
        </w:rPr>
        <w:sectPr w:rsidR="00941F6C"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二〇二〇年一月十八日</w:t>
      </w:r>
    </w:p>
    <w:p w:rsidR="00941F6C" w:rsidRPr="0097021E" w:rsidRDefault="00941F6C" w:rsidP="00CE0B87">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A11CC7" w:rsidRDefault="002001B8">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11CC7" w:rsidRDefault="002001B8">
      <w:pPr>
        <w:adjustRightInd w:val="0"/>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11CC7" w:rsidRDefault="002001B8">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11CC7" w:rsidRDefault="002001B8">
      <w:pPr>
        <w:adjustRightInd w:val="0"/>
        <w:spacing w:line="360" w:lineRule="auto"/>
        <w:ind w:firstLineChars="200" w:firstLine="480"/>
        <w:rPr>
          <w:color w:val="000000"/>
          <w:sz w:val="24"/>
        </w:rPr>
      </w:pPr>
      <w:r>
        <w:rPr>
          <w:color w:val="000000"/>
          <w:sz w:val="24"/>
        </w:rPr>
        <w:t>基金的过往业绩并不代表其未来表现。投资有风险，投资者在作出投资决策前应仔细阅读本</w:t>
      </w:r>
      <w:r>
        <w:rPr>
          <w:color w:val="000000"/>
          <w:sz w:val="24"/>
        </w:rPr>
        <w:t>基金的招募说明书。</w:t>
      </w:r>
      <w:r>
        <w:rPr>
          <w:color w:val="000000"/>
          <w:sz w:val="24"/>
        </w:rPr>
        <w:t xml:space="preserve"> </w:t>
      </w:r>
    </w:p>
    <w:p w:rsidR="00A11CC7" w:rsidRDefault="002001B8">
      <w:pPr>
        <w:adjustRightInd w:val="0"/>
        <w:spacing w:line="360" w:lineRule="auto"/>
        <w:ind w:firstLineChars="200" w:firstLine="480"/>
        <w:rPr>
          <w:color w:val="000000"/>
          <w:sz w:val="24"/>
        </w:rPr>
      </w:pPr>
      <w:r>
        <w:rPr>
          <w:color w:val="000000"/>
          <w:sz w:val="24"/>
        </w:rPr>
        <w:t>本报告中财务资料未经审计。</w:t>
      </w:r>
    </w:p>
    <w:p w:rsidR="00941F6C" w:rsidRPr="00A15461" w:rsidRDefault="00941F6C" w:rsidP="00DC22A1">
      <w:pPr>
        <w:adjustRightInd w:val="0"/>
        <w:spacing w:line="360" w:lineRule="auto"/>
        <w:ind w:firstLineChars="200" w:firstLine="480"/>
        <w:rPr>
          <w:color w:val="000000"/>
          <w:sz w:val="24"/>
        </w:rPr>
      </w:pPr>
      <w:r w:rsidRPr="00A15461">
        <w:rPr>
          <w:color w:val="000000"/>
          <w:sz w:val="24"/>
        </w:rPr>
        <w:t>本报告期自</w:t>
      </w:r>
      <w:r w:rsidRPr="00A15461">
        <w:rPr>
          <w:color w:val="000000"/>
          <w:sz w:val="24"/>
        </w:rPr>
        <w:t>2019</w:t>
      </w:r>
      <w:r w:rsidRPr="00A15461">
        <w:rPr>
          <w:color w:val="000000"/>
          <w:sz w:val="24"/>
        </w:rPr>
        <w:t>年</w:t>
      </w:r>
      <w:r w:rsidRPr="00A15461">
        <w:rPr>
          <w:color w:val="000000"/>
          <w:sz w:val="24"/>
        </w:rPr>
        <w:t>10</w:t>
      </w:r>
      <w:r w:rsidRPr="00A15461">
        <w:rPr>
          <w:color w:val="000000"/>
          <w:sz w:val="24"/>
        </w:rPr>
        <w:t>月</w:t>
      </w:r>
      <w:r w:rsidRPr="00A15461">
        <w:rPr>
          <w:color w:val="000000"/>
          <w:sz w:val="24"/>
        </w:rPr>
        <w:t>1</w:t>
      </w:r>
      <w:r w:rsidRPr="00A15461">
        <w:rPr>
          <w:color w:val="000000"/>
          <w:sz w:val="24"/>
        </w:rPr>
        <w:t>日起至</w:t>
      </w:r>
      <w:r w:rsidRPr="00A15461">
        <w:rPr>
          <w:color w:val="000000"/>
          <w:sz w:val="24"/>
        </w:rPr>
        <w:t>12</w:t>
      </w:r>
      <w:r w:rsidRPr="00A15461">
        <w:rPr>
          <w:color w:val="000000"/>
          <w:sz w:val="24"/>
        </w:rPr>
        <w:t>月</w:t>
      </w:r>
      <w:r w:rsidRPr="00A15461">
        <w:rPr>
          <w:color w:val="000000"/>
          <w:sz w:val="24"/>
        </w:rPr>
        <w:t>31</w:t>
      </w:r>
      <w:r w:rsidRPr="00A15461">
        <w:rPr>
          <w:color w:val="000000"/>
          <w:sz w:val="24"/>
        </w:rPr>
        <w:t>日止。</w:t>
      </w:r>
    </w:p>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941F6C" w:rsidRPr="0097021E" w:rsidTr="00F11244">
        <w:tc>
          <w:tcPr>
            <w:tcW w:w="2835" w:type="dxa"/>
          </w:tcPr>
          <w:p w:rsidR="00941F6C" w:rsidRPr="00A15461" w:rsidRDefault="00941F6C" w:rsidP="00196812">
            <w:pPr>
              <w:adjustRightInd w:val="0"/>
              <w:spacing w:before="29" w:line="360" w:lineRule="auto"/>
              <w:ind w:left="17"/>
              <w:jc w:val="left"/>
              <w:rPr>
                <w:kern w:val="0"/>
                <w:sz w:val="24"/>
              </w:rPr>
            </w:pPr>
            <w:r w:rsidRPr="00A15461">
              <w:rPr>
                <w:kern w:val="0"/>
                <w:sz w:val="24"/>
              </w:rPr>
              <w:t>基金简称</w:t>
            </w:r>
          </w:p>
        </w:tc>
        <w:tc>
          <w:tcPr>
            <w:tcW w:w="5479" w:type="dxa"/>
            <w:gridSpan w:val="2"/>
          </w:tcPr>
          <w:p w:rsidR="00941F6C" w:rsidRPr="00A15461" w:rsidRDefault="00941F6C" w:rsidP="00196812">
            <w:pPr>
              <w:adjustRightInd w:val="0"/>
              <w:spacing w:before="29" w:line="360" w:lineRule="auto"/>
              <w:ind w:left="17"/>
              <w:jc w:val="left"/>
              <w:rPr>
                <w:color w:val="000000"/>
                <w:kern w:val="0"/>
                <w:sz w:val="24"/>
              </w:rPr>
            </w:pPr>
            <w:r w:rsidRPr="00A15461">
              <w:rPr>
                <w:color w:val="000000"/>
                <w:kern w:val="0"/>
                <w:sz w:val="24"/>
              </w:rPr>
              <w:t>易方达天天增利货币</w:t>
            </w:r>
          </w:p>
        </w:tc>
      </w:tr>
      <w:tr w:rsidR="00941F6C" w:rsidRPr="0097021E" w:rsidTr="00D06255">
        <w:tc>
          <w:tcPr>
            <w:tcW w:w="2835" w:type="dxa"/>
          </w:tcPr>
          <w:p w:rsidR="00941F6C" w:rsidRPr="00A15461" w:rsidRDefault="00941F6C" w:rsidP="00196812">
            <w:pPr>
              <w:adjustRightInd w:val="0"/>
              <w:spacing w:before="29" w:line="360" w:lineRule="auto"/>
              <w:ind w:left="17"/>
              <w:jc w:val="left"/>
              <w:rPr>
                <w:kern w:val="0"/>
                <w:sz w:val="24"/>
              </w:rPr>
            </w:pPr>
            <w:r w:rsidRPr="00A15461">
              <w:rPr>
                <w:kern w:val="0"/>
                <w:sz w:val="24"/>
              </w:rPr>
              <w:t>基金主代码</w:t>
            </w:r>
          </w:p>
        </w:tc>
        <w:tc>
          <w:tcPr>
            <w:tcW w:w="5479" w:type="dxa"/>
            <w:gridSpan w:val="2"/>
          </w:tcPr>
          <w:p w:rsidR="00941F6C" w:rsidRPr="00A15461" w:rsidRDefault="00941F6C" w:rsidP="00196812">
            <w:pPr>
              <w:adjustRightInd w:val="0"/>
              <w:spacing w:before="29" w:line="360" w:lineRule="auto"/>
              <w:ind w:left="17"/>
              <w:jc w:val="left"/>
              <w:rPr>
                <w:color w:val="000000"/>
                <w:kern w:val="0"/>
                <w:sz w:val="24"/>
              </w:rPr>
            </w:pPr>
            <w:r w:rsidRPr="00A15461">
              <w:rPr>
                <w:color w:val="000000"/>
                <w:kern w:val="0"/>
                <w:sz w:val="24"/>
              </w:rPr>
              <w:t>000704</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基金运作方式</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契约型开放式</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基金合同生效日</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2014</w:t>
            </w:r>
            <w:r w:rsidRPr="00A15461">
              <w:rPr>
                <w:color w:val="000000"/>
                <w:kern w:val="0"/>
                <w:sz w:val="24"/>
              </w:rPr>
              <w:t>年</w:t>
            </w:r>
            <w:r w:rsidRPr="00A15461">
              <w:rPr>
                <w:color w:val="000000"/>
                <w:kern w:val="0"/>
                <w:sz w:val="24"/>
              </w:rPr>
              <w:t>6</w:t>
            </w:r>
            <w:r w:rsidRPr="00A15461">
              <w:rPr>
                <w:color w:val="000000"/>
                <w:kern w:val="0"/>
                <w:sz w:val="24"/>
              </w:rPr>
              <w:t>月</w:t>
            </w:r>
            <w:r w:rsidRPr="00A15461">
              <w:rPr>
                <w:color w:val="000000"/>
                <w:kern w:val="0"/>
                <w:sz w:val="24"/>
              </w:rPr>
              <w:t>25</w:t>
            </w:r>
            <w:r w:rsidRPr="00A15461">
              <w:rPr>
                <w:color w:val="000000"/>
                <w:kern w:val="0"/>
                <w:sz w:val="24"/>
              </w:rPr>
              <w:t>日</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报告期末基金份额总额</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4,053,756,295.10</w:t>
            </w:r>
            <w:r w:rsidRPr="00A15461">
              <w:rPr>
                <w:color w:val="000000"/>
                <w:kern w:val="0"/>
                <w:sz w:val="24"/>
              </w:rPr>
              <w:t>份</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投资目标</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在有效控制投资风险和保持高流动性的基础上，力争获得高于业绩比较基准的投资回报。</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投资策略</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本基金将对基金资产组合进行积极管理，在深入研究国内外的宏观经济走势、货币政策变化趋势、市场资金供求状况的基础上，综合考虑各类投资品种的收益性、流动性和风险特征，力争获得高于业绩</w:t>
            </w:r>
            <w:r w:rsidRPr="00A15461">
              <w:rPr>
                <w:color w:val="000000"/>
                <w:kern w:val="0"/>
                <w:sz w:val="24"/>
              </w:rPr>
              <w:lastRenderedPageBreak/>
              <w:t>比较基准的投资回报。</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lastRenderedPageBreak/>
              <w:t>业绩比较基准</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中国人民银行公布的七天通知存款利率（税后）</w:t>
            </w:r>
          </w:p>
        </w:tc>
      </w:tr>
      <w:tr w:rsidR="00941F6C" w:rsidRPr="0097021E" w:rsidTr="00F11244">
        <w:tc>
          <w:tcPr>
            <w:tcW w:w="2835" w:type="dxa"/>
          </w:tcPr>
          <w:p w:rsidR="00941F6C" w:rsidRPr="00A15461" w:rsidRDefault="00941F6C" w:rsidP="00196812">
            <w:pPr>
              <w:adjustRightInd w:val="0"/>
              <w:spacing w:before="29" w:line="360" w:lineRule="auto"/>
              <w:ind w:left="17"/>
              <w:jc w:val="left"/>
              <w:rPr>
                <w:kern w:val="0"/>
                <w:sz w:val="24"/>
              </w:rPr>
            </w:pPr>
            <w:r w:rsidRPr="00A15461">
              <w:rPr>
                <w:kern w:val="0"/>
                <w:sz w:val="24"/>
              </w:rPr>
              <w:t>风险收益特征</w:t>
            </w:r>
          </w:p>
        </w:tc>
        <w:tc>
          <w:tcPr>
            <w:tcW w:w="5479" w:type="dxa"/>
            <w:gridSpan w:val="2"/>
          </w:tcPr>
          <w:p w:rsidR="00941F6C" w:rsidRPr="00A15461" w:rsidRDefault="00941F6C" w:rsidP="00196812">
            <w:pPr>
              <w:adjustRightInd w:val="0"/>
              <w:spacing w:before="29" w:line="360" w:lineRule="auto"/>
              <w:ind w:left="17"/>
              <w:jc w:val="left"/>
              <w:rPr>
                <w:color w:val="000000"/>
                <w:kern w:val="0"/>
                <w:sz w:val="24"/>
              </w:rPr>
            </w:pPr>
            <w:r w:rsidRPr="00A15461">
              <w:rPr>
                <w:color w:val="000000"/>
                <w:kern w:val="0"/>
                <w:sz w:val="24"/>
              </w:rPr>
              <w:t>本基金为货币市场基金，是证券投资基金中的低风险品种。本基金的预期风险和预期收益低于股票型基金、混合型基金和债券型基金。</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基金管理人</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易方达基金管理有限公司</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基金托管人</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中国建设银行股份有限公司</w:t>
            </w:r>
          </w:p>
        </w:tc>
      </w:tr>
      <w:tr w:rsidR="00941F6C" w:rsidRPr="0097021E" w:rsidTr="00F11244">
        <w:tc>
          <w:tcPr>
            <w:tcW w:w="2835" w:type="dxa"/>
          </w:tcPr>
          <w:p w:rsidR="00941F6C" w:rsidRPr="00A15461" w:rsidRDefault="00941F6C" w:rsidP="00607D19">
            <w:pPr>
              <w:adjustRightInd w:val="0"/>
              <w:spacing w:before="29" w:line="360" w:lineRule="auto"/>
              <w:ind w:left="17"/>
              <w:jc w:val="left"/>
              <w:rPr>
                <w:kern w:val="0"/>
                <w:sz w:val="24"/>
              </w:rPr>
            </w:pPr>
            <w:r w:rsidRPr="00A15461">
              <w:rPr>
                <w:color w:val="000000"/>
                <w:sz w:val="24"/>
              </w:rPr>
              <w:t>下属</w:t>
            </w:r>
            <w:r w:rsidR="00607D19" w:rsidRPr="00A15461">
              <w:rPr>
                <w:color w:val="000000"/>
                <w:sz w:val="24"/>
              </w:rPr>
              <w:t>分</w:t>
            </w:r>
            <w:r w:rsidRPr="00A15461">
              <w:rPr>
                <w:color w:val="000000"/>
                <w:sz w:val="24"/>
              </w:rPr>
              <w:t>级基金的基金简称</w:t>
            </w:r>
          </w:p>
        </w:tc>
        <w:tc>
          <w:tcPr>
            <w:tcW w:w="2739" w:type="dxa"/>
            <w:vAlign w:val="center"/>
          </w:tcPr>
          <w:p w:rsidR="00941F6C" w:rsidRPr="00A15461" w:rsidRDefault="00941F6C" w:rsidP="00196812">
            <w:pPr>
              <w:spacing w:line="360" w:lineRule="auto"/>
              <w:jc w:val="left"/>
              <w:rPr>
                <w:sz w:val="24"/>
              </w:rPr>
            </w:pPr>
            <w:r w:rsidRPr="00A15461">
              <w:rPr>
                <w:sz w:val="24"/>
              </w:rPr>
              <w:t>易方达天天增利货币</w:t>
            </w:r>
            <w:r w:rsidRPr="00A15461">
              <w:rPr>
                <w:sz w:val="24"/>
              </w:rPr>
              <w:t>A</w:t>
            </w:r>
          </w:p>
        </w:tc>
        <w:tc>
          <w:tcPr>
            <w:tcW w:w="2740" w:type="dxa"/>
            <w:vAlign w:val="center"/>
          </w:tcPr>
          <w:p w:rsidR="00941F6C" w:rsidRPr="00A15461" w:rsidRDefault="00941F6C" w:rsidP="00196812">
            <w:pPr>
              <w:spacing w:line="360" w:lineRule="auto"/>
              <w:jc w:val="left"/>
              <w:rPr>
                <w:sz w:val="24"/>
              </w:rPr>
            </w:pPr>
            <w:r w:rsidRPr="00A15461">
              <w:rPr>
                <w:sz w:val="24"/>
              </w:rPr>
              <w:t>易方达天天增利货币</w:t>
            </w:r>
            <w:r w:rsidRPr="00A15461">
              <w:rPr>
                <w:sz w:val="24"/>
              </w:rPr>
              <w:t>B</w:t>
            </w:r>
          </w:p>
        </w:tc>
      </w:tr>
      <w:tr w:rsidR="00941F6C" w:rsidRPr="0097021E" w:rsidTr="00F11244">
        <w:tc>
          <w:tcPr>
            <w:tcW w:w="2835" w:type="dxa"/>
          </w:tcPr>
          <w:p w:rsidR="00941F6C" w:rsidRPr="00A15461" w:rsidRDefault="00941F6C" w:rsidP="00607D19">
            <w:pPr>
              <w:adjustRightInd w:val="0"/>
              <w:spacing w:before="29" w:line="360" w:lineRule="auto"/>
              <w:ind w:left="17"/>
              <w:jc w:val="left"/>
              <w:rPr>
                <w:color w:val="000000"/>
                <w:sz w:val="24"/>
              </w:rPr>
            </w:pPr>
            <w:r w:rsidRPr="00A15461">
              <w:rPr>
                <w:color w:val="000000"/>
                <w:sz w:val="24"/>
              </w:rPr>
              <w:t>下属</w:t>
            </w:r>
            <w:r w:rsidR="00607D19" w:rsidRPr="00A15461">
              <w:rPr>
                <w:color w:val="000000"/>
                <w:sz w:val="24"/>
              </w:rPr>
              <w:t>分</w:t>
            </w:r>
            <w:r w:rsidRPr="00A15461">
              <w:rPr>
                <w:color w:val="000000"/>
                <w:sz w:val="24"/>
              </w:rPr>
              <w:t>级基金的交易代码</w:t>
            </w:r>
          </w:p>
        </w:tc>
        <w:tc>
          <w:tcPr>
            <w:tcW w:w="2739" w:type="dxa"/>
            <w:vAlign w:val="center"/>
          </w:tcPr>
          <w:p w:rsidR="00941F6C" w:rsidRPr="00A15461" w:rsidRDefault="00941F6C" w:rsidP="00196812">
            <w:pPr>
              <w:spacing w:line="360" w:lineRule="auto"/>
              <w:jc w:val="left"/>
              <w:rPr>
                <w:sz w:val="24"/>
              </w:rPr>
            </w:pPr>
            <w:r w:rsidRPr="00A15461">
              <w:rPr>
                <w:sz w:val="24"/>
              </w:rPr>
              <w:t>000704</w:t>
            </w:r>
          </w:p>
        </w:tc>
        <w:tc>
          <w:tcPr>
            <w:tcW w:w="2740" w:type="dxa"/>
            <w:vAlign w:val="center"/>
          </w:tcPr>
          <w:p w:rsidR="00941F6C" w:rsidRPr="00A15461" w:rsidRDefault="00941F6C" w:rsidP="00196812">
            <w:pPr>
              <w:spacing w:line="360" w:lineRule="auto"/>
              <w:jc w:val="left"/>
              <w:rPr>
                <w:sz w:val="24"/>
              </w:rPr>
            </w:pPr>
            <w:r w:rsidRPr="00A15461">
              <w:rPr>
                <w:sz w:val="24"/>
              </w:rPr>
              <w:t>000705</w:t>
            </w:r>
          </w:p>
        </w:tc>
      </w:tr>
      <w:tr w:rsidR="00941F6C" w:rsidRPr="0097021E" w:rsidTr="00F11244">
        <w:tc>
          <w:tcPr>
            <w:tcW w:w="2835" w:type="dxa"/>
          </w:tcPr>
          <w:p w:rsidR="00941F6C" w:rsidRPr="00A15461" w:rsidRDefault="00941F6C" w:rsidP="00607D19">
            <w:pPr>
              <w:adjustRightInd w:val="0"/>
              <w:spacing w:before="29" w:line="360" w:lineRule="auto"/>
              <w:ind w:left="17"/>
              <w:jc w:val="left"/>
              <w:rPr>
                <w:color w:val="000000"/>
                <w:sz w:val="24"/>
              </w:rPr>
            </w:pPr>
            <w:r w:rsidRPr="00A15461">
              <w:rPr>
                <w:color w:val="000000"/>
                <w:sz w:val="24"/>
              </w:rPr>
              <w:t>报告期末下属</w:t>
            </w:r>
            <w:r w:rsidR="00607D19" w:rsidRPr="00A15461">
              <w:rPr>
                <w:color w:val="000000"/>
                <w:sz w:val="24"/>
              </w:rPr>
              <w:t>分</w:t>
            </w:r>
            <w:r w:rsidRPr="00A15461">
              <w:rPr>
                <w:color w:val="000000"/>
                <w:sz w:val="24"/>
              </w:rPr>
              <w:t>级基金的份额总额</w:t>
            </w:r>
          </w:p>
        </w:tc>
        <w:tc>
          <w:tcPr>
            <w:tcW w:w="2739" w:type="dxa"/>
            <w:vAlign w:val="center"/>
          </w:tcPr>
          <w:p w:rsidR="00941F6C" w:rsidRPr="00A15461" w:rsidRDefault="00941F6C" w:rsidP="00196812">
            <w:pPr>
              <w:spacing w:line="360" w:lineRule="auto"/>
              <w:jc w:val="left"/>
              <w:rPr>
                <w:sz w:val="24"/>
              </w:rPr>
            </w:pPr>
            <w:r w:rsidRPr="00A15461">
              <w:rPr>
                <w:sz w:val="24"/>
              </w:rPr>
              <w:t>3,962,269,682.88</w:t>
            </w:r>
            <w:r w:rsidRPr="00A15461">
              <w:rPr>
                <w:sz w:val="24"/>
              </w:rPr>
              <w:t>份</w:t>
            </w:r>
          </w:p>
        </w:tc>
        <w:tc>
          <w:tcPr>
            <w:tcW w:w="2740" w:type="dxa"/>
            <w:vAlign w:val="center"/>
          </w:tcPr>
          <w:p w:rsidR="00941F6C" w:rsidRPr="00A15461" w:rsidRDefault="00941F6C" w:rsidP="00196812">
            <w:pPr>
              <w:spacing w:line="360" w:lineRule="auto"/>
              <w:jc w:val="left"/>
              <w:rPr>
                <w:sz w:val="24"/>
              </w:rPr>
            </w:pPr>
            <w:r w:rsidRPr="00A15461">
              <w:rPr>
                <w:sz w:val="24"/>
              </w:rPr>
              <w:t>91,486,612.22</w:t>
            </w:r>
            <w:r w:rsidRPr="00A15461">
              <w:rPr>
                <w:sz w:val="24"/>
              </w:rPr>
              <w:t>份</w:t>
            </w:r>
          </w:p>
        </w:tc>
      </w:tr>
    </w:tbl>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941F6C" w:rsidRPr="0097021E" w:rsidRDefault="00941F6C"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941F6C" w:rsidRPr="0097021E" w:rsidRDefault="00941F6C"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941F6C" w:rsidRPr="00A15461" w:rsidTr="00F11244">
        <w:tc>
          <w:tcPr>
            <w:tcW w:w="3402" w:type="dxa"/>
            <w:vMerge w:val="restart"/>
            <w:vAlign w:val="center"/>
          </w:tcPr>
          <w:p w:rsidR="00941F6C" w:rsidRPr="00A15461" w:rsidRDefault="00941F6C" w:rsidP="00196812">
            <w:pPr>
              <w:adjustRightInd w:val="0"/>
              <w:spacing w:before="29" w:line="360" w:lineRule="auto"/>
              <w:ind w:left="17"/>
              <w:jc w:val="center"/>
              <w:rPr>
                <w:kern w:val="0"/>
                <w:sz w:val="24"/>
              </w:rPr>
            </w:pPr>
            <w:r w:rsidRPr="00A15461">
              <w:rPr>
                <w:kern w:val="0"/>
                <w:sz w:val="24"/>
              </w:rPr>
              <w:t>主要财务指标</w:t>
            </w:r>
          </w:p>
        </w:tc>
        <w:tc>
          <w:tcPr>
            <w:tcW w:w="4962" w:type="dxa"/>
            <w:gridSpan w:val="2"/>
            <w:vAlign w:val="center"/>
          </w:tcPr>
          <w:p w:rsidR="00941F6C" w:rsidRPr="00A15461" w:rsidRDefault="00941F6C" w:rsidP="00196812">
            <w:pPr>
              <w:adjustRightInd w:val="0"/>
              <w:spacing w:before="29" w:line="360" w:lineRule="auto"/>
              <w:ind w:left="17"/>
              <w:jc w:val="center"/>
              <w:rPr>
                <w:color w:val="000000"/>
                <w:sz w:val="24"/>
              </w:rPr>
            </w:pPr>
            <w:r w:rsidRPr="00A15461">
              <w:rPr>
                <w:color w:val="000000"/>
                <w:sz w:val="24"/>
              </w:rPr>
              <w:t>报告期</w:t>
            </w:r>
            <w:r w:rsidRPr="00A15461">
              <w:rPr>
                <w:color w:val="000000"/>
                <w:sz w:val="24"/>
              </w:rPr>
              <w:t>(2019</w:t>
            </w:r>
            <w:r w:rsidRPr="00A15461">
              <w:rPr>
                <w:color w:val="000000"/>
                <w:sz w:val="24"/>
              </w:rPr>
              <w:t>年</w:t>
            </w:r>
            <w:r w:rsidRPr="00A15461">
              <w:rPr>
                <w:color w:val="000000"/>
                <w:sz w:val="24"/>
              </w:rPr>
              <w:t>10</w:t>
            </w:r>
            <w:r w:rsidRPr="00A15461">
              <w:rPr>
                <w:color w:val="000000"/>
                <w:sz w:val="24"/>
              </w:rPr>
              <w:t>月</w:t>
            </w:r>
            <w:r w:rsidRPr="00A15461">
              <w:rPr>
                <w:color w:val="000000"/>
                <w:sz w:val="24"/>
              </w:rPr>
              <w:t>1</w:t>
            </w:r>
            <w:r w:rsidRPr="00A15461">
              <w:rPr>
                <w:color w:val="000000"/>
                <w:sz w:val="24"/>
              </w:rPr>
              <w:t>日</w:t>
            </w:r>
            <w:r w:rsidRPr="00A15461">
              <w:rPr>
                <w:color w:val="000000"/>
                <w:sz w:val="24"/>
              </w:rPr>
              <w:t>-2019</w:t>
            </w:r>
            <w:r w:rsidRPr="00A15461">
              <w:rPr>
                <w:color w:val="000000"/>
                <w:sz w:val="24"/>
              </w:rPr>
              <w:t>年</w:t>
            </w:r>
            <w:r w:rsidRPr="00A15461">
              <w:rPr>
                <w:color w:val="000000"/>
                <w:sz w:val="24"/>
              </w:rPr>
              <w:t>12</w:t>
            </w:r>
            <w:r w:rsidRPr="00A15461">
              <w:rPr>
                <w:color w:val="000000"/>
                <w:sz w:val="24"/>
              </w:rPr>
              <w:t>月</w:t>
            </w:r>
            <w:r w:rsidRPr="00A15461">
              <w:rPr>
                <w:color w:val="000000"/>
                <w:sz w:val="24"/>
              </w:rPr>
              <w:t>31</w:t>
            </w:r>
            <w:r w:rsidRPr="00A15461">
              <w:rPr>
                <w:color w:val="000000"/>
                <w:sz w:val="24"/>
              </w:rPr>
              <w:t>日</w:t>
            </w:r>
            <w:r w:rsidRPr="00A15461">
              <w:rPr>
                <w:color w:val="000000"/>
                <w:sz w:val="24"/>
              </w:rPr>
              <w:t>)</w:t>
            </w:r>
          </w:p>
        </w:tc>
      </w:tr>
      <w:tr w:rsidR="00941F6C" w:rsidRPr="00A15461" w:rsidTr="00F11244">
        <w:tc>
          <w:tcPr>
            <w:tcW w:w="3402" w:type="dxa"/>
            <w:vMerge/>
            <w:vAlign w:val="center"/>
          </w:tcPr>
          <w:p w:rsidR="00941F6C" w:rsidRPr="00A15461" w:rsidRDefault="00941F6C" w:rsidP="00196812">
            <w:pPr>
              <w:adjustRightInd w:val="0"/>
              <w:spacing w:before="29" w:line="360" w:lineRule="auto"/>
              <w:ind w:left="17"/>
              <w:jc w:val="center"/>
              <w:rPr>
                <w:kern w:val="0"/>
                <w:sz w:val="24"/>
              </w:rPr>
            </w:pPr>
          </w:p>
        </w:tc>
        <w:tc>
          <w:tcPr>
            <w:tcW w:w="2481" w:type="dxa"/>
            <w:vAlign w:val="center"/>
          </w:tcPr>
          <w:p w:rsidR="00941F6C" w:rsidRPr="00A15461" w:rsidRDefault="00941F6C" w:rsidP="00196812">
            <w:pPr>
              <w:adjustRightInd w:val="0"/>
              <w:spacing w:before="29" w:line="360" w:lineRule="auto"/>
              <w:ind w:left="17"/>
              <w:jc w:val="center"/>
              <w:rPr>
                <w:color w:val="000000"/>
                <w:sz w:val="24"/>
              </w:rPr>
            </w:pPr>
            <w:r w:rsidRPr="00A15461">
              <w:rPr>
                <w:sz w:val="24"/>
              </w:rPr>
              <w:t>易方达天天增利货币</w:t>
            </w:r>
            <w:r w:rsidRPr="00A15461">
              <w:rPr>
                <w:sz w:val="24"/>
              </w:rPr>
              <w:t>A</w:t>
            </w:r>
          </w:p>
        </w:tc>
        <w:tc>
          <w:tcPr>
            <w:tcW w:w="2481" w:type="dxa"/>
            <w:vAlign w:val="center"/>
          </w:tcPr>
          <w:p w:rsidR="00941F6C" w:rsidRPr="00A15461" w:rsidRDefault="00941F6C" w:rsidP="00196812">
            <w:pPr>
              <w:adjustRightInd w:val="0"/>
              <w:spacing w:before="29" w:line="360" w:lineRule="auto"/>
              <w:ind w:left="17"/>
              <w:jc w:val="center"/>
              <w:rPr>
                <w:color w:val="000000"/>
                <w:sz w:val="24"/>
              </w:rPr>
            </w:pPr>
            <w:r w:rsidRPr="00A15461">
              <w:rPr>
                <w:sz w:val="24"/>
              </w:rPr>
              <w:t>易方达天天增利货币</w:t>
            </w:r>
            <w:r w:rsidRPr="00A15461">
              <w:rPr>
                <w:sz w:val="24"/>
              </w:rPr>
              <w:t>B</w:t>
            </w:r>
          </w:p>
        </w:tc>
      </w:tr>
      <w:tr w:rsidR="00941F6C" w:rsidRPr="00A15461" w:rsidTr="00F11244">
        <w:trPr>
          <w:trHeight w:val="840"/>
        </w:trPr>
        <w:tc>
          <w:tcPr>
            <w:tcW w:w="3402" w:type="dxa"/>
          </w:tcPr>
          <w:p w:rsidR="00941F6C" w:rsidRPr="00A15461" w:rsidRDefault="00941F6C" w:rsidP="00196812">
            <w:pPr>
              <w:adjustRightInd w:val="0"/>
              <w:spacing w:before="29" w:line="360" w:lineRule="auto"/>
              <w:ind w:left="17"/>
              <w:rPr>
                <w:kern w:val="0"/>
                <w:sz w:val="24"/>
              </w:rPr>
            </w:pPr>
            <w:r w:rsidRPr="00A15461">
              <w:rPr>
                <w:kern w:val="0"/>
                <w:sz w:val="24"/>
              </w:rPr>
              <w:t>1.</w:t>
            </w:r>
            <w:r w:rsidRPr="00A15461">
              <w:rPr>
                <w:kern w:val="0"/>
                <w:sz w:val="24"/>
              </w:rPr>
              <w:t>本期已实现收益</w:t>
            </w:r>
          </w:p>
        </w:tc>
        <w:tc>
          <w:tcPr>
            <w:tcW w:w="2481" w:type="dxa"/>
            <w:vAlign w:val="bottom"/>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18,195,899.67</w:t>
            </w:r>
          </w:p>
        </w:tc>
        <w:tc>
          <w:tcPr>
            <w:tcW w:w="2481" w:type="dxa"/>
            <w:vAlign w:val="bottom"/>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721,343.24</w:t>
            </w:r>
          </w:p>
        </w:tc>
      </w:tr>
      <w:tr w:rsidR="00941F6C" w:rsidRPr="00A15461" w:rsidTr="00F11244">
        <w:tc>
          <w:tcPr>
            <w:tcW w:w="3402" w:type="dxa"/>
          </w:tcPr>
          <w:p w:rsidR="00941F6C" w:rsidRPr="00A15461" w:rsidRDefault="00941F6C" w:rsidP="00196812">
            <w:pPr>
              <w:adjustRightInd w:val="0"/>
              <w:spacing w:before="29" w:line="360" w:lineRule="auto"/>
              <w:ind w:left="17"/>
              <w:rPr>
                <w:kern w:val="0"/>
                <w:sz w:val="24"/>
              </w:rPr>
            </w:pPr>
            <w:r w:rsidRPr="00A15461">
              <w:rPr>
                <w:kern w:val="0"/>
                <w:sz w:val="24"/>
              </w:rPr>
              <w:t>2.</w:t>
            </w:r>
            <w:r w:rsidRPr="00A15461">
              <w:rPr>
                <w:kern w:val="0"/>
                <w:sz w:val="24"/>
              </w:rPr>
              <w:t>本期利润</w:t>
            </w:r>
          </w:p>
        </w:tc>
        <w:tc>
          <w:tcPr>
            <w:tcW w:w="2481" w:type="dxa"/>
            <w:vAlign w:val="bottom"/>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18,195,899.67</w:t>
            </w:r>
          </w:p>
        </w:tc>
        <w:tc>
          <w:tcPr>
            <w:tcW w:w="2481" w:type="dxa"/>
            <w:vAlign w:val="bottom"/>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721,343.24</w:t>
            </w:r>
          </w:p>
        </w:tc>
      </w:tr>
      <w:tr w:rsidR="00941F6C" w:rsidRPr="00A15461" w:rsidTr="00F11244">
        <w:tc>
          <w:tcPr>
            <w:tcW w:w="3402" w:type="dxa"/>
          </w:tcPr>
          <w:p w:rsidR="00941F6C" w:rsidRPr="00A15461" w:rsidRDefault="00941F6C" w:rsidP="00196812">
            <w:pPr>
              <w:adjustRightInd w:val="0"/>
              <w:spacing w:before="29" w:line="360" w:lineRule="auto"/>
              <w:ind w:left="17"/>
              <w:rPr>
                <w:kern w:val="0"/>
                <w:sz w:val="24"/>
              </w:rPr>
            </w:pPr>
            <w:r w:rsidRPr="00A15461">
              <w:rPr>
                <w:kern w:val="0"/>
                <w:sz w:val="24"/>
              </w:rPr>
              <w:t>3.</w:t>
            </w:r>
            <w:r w:rsidRPr="00A15461">
              <w:rPr>
                <w:kern w:val="0"/>
                <w:sz w:val="24"/>
              </w:rPr>
              <w:t>期末基金资产净值</w:t>
            </w:r>
          </w:p>
        </w:tc>
        <w:tc>
          <w:tcPr>
            <w:tcW w:w="2481" w:type="dxa"/>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3,962,269,682.88</w:t>
            </w:r>
          </w:p>
        </w:tc>
        <w:tc>
          <w:tcPr>
            <w:tcW w:w="2481" w:type="dxa"/>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91,486,612.22</w:t>
            </w:r>
          </w:p>
        </w:tc>
      </w:tr>
    </w:tbl>
    <w:p w:rsidR="00A11CC7" w:rsidRDefault="002001B8">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2.</w:t>
      </w:r>
      <w:r w:rsidRPr="00A15461">
        <w:rPr>
          <w:color w:val="000000"/>
          <w:sz w:val="24"/>
        </w:rPr>
        <w:t>本基金利润分配是按日结转份额。</w:t>
      </w:r>
    </w:p>
    <w:p w:rsidR="00941F6C" w:rsidRPr="0097021E" w:rsidRDefault="00941F6C"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941F6C" w:rsidRPr="0097021E" w:rsidRDefault="00941F6C"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3.2.1</w:t>
        </w:r>
      </w:smartTag>
      <w:r w:rsidRPr="0097021E">
        <w:rPr>
          <w:rFonts w:ascii="宋体" w:hAnsi="宋体" w:cs="Arial" w:hint="eastAsia"/>
          <w:b/>
          <w:color w:val="000000"/>
          <w:kern w:val="0"/>
          <w:sz w:val="24"/>
        </w:rPr>
        <w:t>本报告期基金份额净值收益率及其与同期业绩比较基准收益率的比较</w:t>
      </w:r>
    </w:p>
    <w:p w:rsidR="00941F6C" w:rsidRPr="0097021E" w:rsidRDefault="00941F6C" w:rsidP="004C44F3">
      <w:pPr>
        <w:pStyle w:val="20"/>
        <w:spacing w:line="360" w:lineRule="auto"/>
        <w:ind w:firstLine="402"/>
        <w:rPr>
          <w:b/>
        </w:rPr>
      </w:pPr>
      <w:r>
        <w:rPr>
          <w:b/>
        </w:rPr>
        <w:t>易方达天天增利货币</w:t>
      </w:r>
      <w:r>
        <w:rPr>
          <w:b/>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941F6C" w:rsidRPr="0097021E" w:rsidTr="00CA7D55">
        <w:tc>
          <w:tcPr>
            <w:tcW w:w="1328"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阶段</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净值收益率</w:t>
            </w:r>
            <w:r w:rsidRPr="00A15461">
              <w:rPr>
                <w:rFonts w:cs="宋体" w:hint="eastAsia"/>
                <w:color w:val="000000"/>
                <w:szCs w:val="24"/>
              </w:rPr>
              <w:t>①</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净值收益率标准差</w:t>
            </w:r>
            <w:r w:rsidRPr="00A15461">
              <w:rPr>
                <w:rFonts w:cs="宋体" w:hint="eastAsia"/>
                <w:color w:val="000000"/>
                <w:szCs w:val="24"/>
              </w:rPr>
              <w:t>②</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w:t>
            </w:r>
            <w:r w:rsidRPr="00A15461">
              <w:rPr>
                <w:rFonts w:cs="宋体" w:hint="eastAsia"/>
                <w:color w:val="000000"/>
                <w:szCs w:val="24"/>
              </w:rPr>
              <w:t>③</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业绩比较基准收益率标准差</w:t>
            </w:r>
            <w:r w:rsidRPr="00A15461">
              <w:rPr>
                <w:rFonts w:cs="宋体" w:hint="eastAsia"/>
                <w:color w:val="000000"/>
                <w:szCs w:val="24"/>
              </w:rPr>
              <w:t>④</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cs="宋体" w:hint="eastAsia"/>
                <w:color w:val="000000"/>
                <w:szCs w:val="24"/>
              </w:rPr>
              <w:t>①</w:t>
            </w:r>
            <w:r w:rsidRPr="00A15461">
              <w:rPr>
                <w:rFonts w:ascii="Times New Roman" w:hAnsi="Times New Roman"/>
                <w:color w:val="000000"/>
                <w:szCs w:val="24"/>
              </w:rPr>
              <w:t>-</w:t>
            </w:r>
            <w:r w:rsidRPr="00A15461">
              <w:rPr>
                <w:rFonts w:cs="宋体" w:hint="eastAsia"/>
                <w:color w:val="000000"/>
                <w:szCs w:val="24"/>
              </w:rPr>
              <w:t>③</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cs="宋体" w:hint="eastAsia"/>
                <w:color w:val="000000"/>
                <w:szCs w:val="24"/>
              </w:rPr>
              <w:t>②</w:t>
            </w:r>
            <w:r w:rsidRPr="00A15461">
              <w:rPr>
                <w:rFonts w:ascii="Times New Roman" w:hAnsi="Times New Roman"/>
                <w:color w:val="000000"/>
                <w:szCs w:val="24"/>
              </w:rPr>
              <w:t>-</w:t>
            </w:r>
            <w:r w:rsidRPr="00A15461">
              <w:rPr>
                <w:rFonts w:cs="宋体" w:hint="eastAsia"/>
                <w:color w:val="000000"/>
                <w:szCs w:val="24"/>
              </w:rPr>
              <w:t>④</w:t>
            </w:r>
          </w:p>
        </w:tc>
      </w:tr>
      <w:tr w:rsidR="00A11CC7">
        <w:tc>
          <w:tcPr>
            <w:tcW w:w="0" w:type="auto"/>
            <w:vAlign w:val="center"/>
          </w:tcPr>
          <w:p w:rsidR="00A11CC7" w:rsidRDefault="002001B8">
            <w:pPr>
              <w:jc w:val="left"/>
            </w:pPr>
            <w:r>
              <w:rPr>
                <w:color w:val="000000"/>
                <w:sz w:val="24"/>
              </w:rPr>
              <w:t>过去三个月</w:t>
            </w:r>
          </w:p>
        </w:tc>
        <w:tc>
          <w:tcPr>
            <w:tcW w:w="0" w:type="auto"/>
            <w:vAlign w:val="center"/>
          </w:tcPr>
          <w:p w:rsidR="00A11CC7" w:rsidRDefault="002001B8">
            <w:pPr>
              <w:jc w:val="center"/>
            </w:pPr>
            <w:r>
              <w:rPr>
                <w:color w:val="000000"/>
                <w:sz w:val="24"/>
              </w:rPr>
              <w:t>0.5782%</w:t>
            </w:r>
          </w:p>
        </w:tc>
        <w:tc>
          <w:tcPr>
            <w:tcW w:w="0" w:type="auto"/>
            <w:vAlign w:val="center"/>
          </w:tcPr>
          <w:p w:rsidR="00A11CC7" w:rsidRDefault="002001B8">
            <w:pPr>
              <w:jc w:val="center"/>
            </w:pPr>
            <w:r>
              <w:rPr>
                <w:color w:val="000000"/>
                <w:sz w:val="24"/>
              </w:rPr>
              <w:t>0.0004%</w:t>
            </w:r>
          </w:p>
        </w:tc>
        <w:tc>
          <w:tcPr>
            <w:tcW w:w="0" w:type="auto"/>
            <w:vAlign w:val="center"/>
          </w:tcPr>
          <w:p w:rsidR="00A11CC7" w:rsidRDefault="002001B8">
            <w:pPr>
              <w:jc w:val="center"/>
            </w:pPr>
            <w:r>
              <w:rPr>
                <w:color w:val="000000"/>
                <w:sz w:val="24"/>
              </w:rPr>
              <w:t>0.3456%</w:t>
            </w:r>
          </w:p>
        </w:tc>
        <w:tc>
          <w:tcPr>
            <w:tcW w:w="0" w:type="auto"/>
            <w:vAlign w:val="center"/>
          </w:tcPr>
          <w:p w:rsidR="00A11CC7" w:rsidRDefault="002001B8">
            <w:pPr>
              <w:jc w:val="center"/>
            </w:pPr>
            <w:r>
              <w:rPr>
                <w:color w:val="000000"/>
                <w:sz w:val="24"/>
              </w:rPr>
              <w:t>0.0000%</w:t>
            </w:r>
          </w:p>
        </w:tc>
        <w:tc>
          <w:tcPr>
            <w:tcW w:w="0" w:type="auto"/>
            <w:vAlign w:val="center"/>
          </w:tcPr>
          <w:p w:rsidR="00A11CC7" w:rsidRDefault="002001B8">
            <w:pPr>
              <w:jc w:val="center"/>
            </w:pPr>
            <w:r>
              <w:rPr>
                <w:color w:val="000000"/>
                <w:sz w:val="24"/>
              </w:rPr>
              <w:t>0.2326%</w:t>
            </w:r>
          </w:p>
        </w:tc>
        <w:tc>
          <w:tcPr>
            <w:tcW w:w="0" w:type="auto"/>
            <w:vAlign w:val="center"/>
          </w:tcPr>
          <w:p w:rsidR="00A11CC7" w:rsidRDefault="002001B8">
            <w:pPr>
              <w:jc w:val="center"/>
            </w:pPr>
            <w:r>
              <w:rPr>
                <w:color w:val="000000"/>
                <w:sz w:val="24"/>
              </w:rPr>
              <w:t>0.0004%</w:t>
            </w:r>
          </w:p>
        </w:tc>
      </w:tr>
    </w:tbl>
    <w:p w:rsidR="00941F6C" w:rsidRPr="0097021E" w:rsidRDefault="00941F6C" w:rsidP="004C44F3">
      <w:pPr>
        <w:pStyle w:val="20"/>
        <w:spacing w:line="360" w:lineRule="auto"/>
        <w:ind w:firstLine="402"/>
        <w:rPr>
          <w:b/>
        </w:rPr>
      </w:pPr>
      <w:r w:rsidRPr="0097021E">
        <w:rPr>
          <w:b/>
          <w:color w:val="000000"/>
        </w:rPr>
        <w:t>易方达天天增利货币</w:t>
      </w:r>
      <w:r w:rsidRPr="0097021E">
        <w:rPr>
          <w:b/>
          <w:color w:val="000000"/>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941F6C" w:rsidRPr="0097021E" w:rsidTr="00CA7D55">
        <w:tc>
          <w:tcPr>
            <w:tcW w:w="1328"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阶段</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净值收益率</w:t>
            </w:r>
            <w:r w:rsidRPr="00A15461">
              <w:rPr>
                <w:rFonts w:cs="宋体" w:hint="eastAsia"/>
                <w:color w:val="000000"/>
                <w:szCs w:val="24"/>
              </w:rPr>
              <w:t>①</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净值收益率标准差</w:t>
            </w:r>
            <w:r w:rsidRPr="00A15461">
              <w:rPr>
                <w:rFonts w:cs="宋体" w:hint="eastAsia"/>
                <w:color w:val="000000"/>
                <w:szCs w:val="24"/>
              </w:rPr>
              <w:t>②</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w:t>
            </w:r>
            <w:r w:rsidRPr="00A15461">
              <w:rPr>
                <w:rFonts w:cs="宋体" w:hint="eastAsia"/>
                <w:color w:val="000000"/>
                <w:szCs w:val="24"/>
              </w:rPr>
              <w:t>③</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业绩比较基准收益率标准差</w:t>
            </w:r>
            <w:r w:rsidRPr="00A15461">
              <w:rPr>
                <w:rFonts w:cs="宋体" w:hint="eastAsia"/>
                <w:color w:val="000000"/>
                <w:szCs w:val="24"/>
              </w:rPr>
              <w:t>④</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cs="宋体" w:hint="eastAsia"/>
                <w:color w:val="000000"/>
                <w:szCs w:val="24"/>
              </w:rPr>
              <w:t>①</w:t>
            </w:r>
            <w:r w:rsidRPr="00A15461">
              <w:rPr>
                <w:rFonts w:ascii="Times New Roman" w:hAnsi="Times New Roman"/>
                <w:color w:val="000000"/>
                <w:szCs w:val="24"/>
              </w:rPr>
              <w:t>-</w:t>
            </w:r>
            <w:r w:rsidRPr="00A15461">
              <w:rPr>
                <w:rFonts w:cs="宋体" w:hint="eastAsia"/>
                <w:color w:val="000000"/>
                <w:szCs w:val="24"/>
              </w:rPr>
              <w:t>③</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cs="宋体" w:hint="eastAsia"/>
                <w:color w:val="000000"/>
                <w:szCs w:val="24"/>
              </w:rPr>
              <w:t>②</w:t>
            </w:r>
            <w:r w:rsidRPr="00A15461">
              <w:rPr>
                <w:rFonts w:ascii="Times New Roman" w:hAnsi="Times New Roman"/>
                <w:color w:val="000000"/>
                <w:szCs w:val="24"/>
              </w:rPr>
              <w:t>-</w:t>
            </w:r>
            <w:r w:rsidRPr="00A15461">
              <w:rPr>
                <w:rFonts w:cs="宋体" w:hint="eastAsia"/>
                <w:color w:val="000000"/>
                <w:szCs w:val="24"/>
              </w:rPr>
              <w:t>④</w:t>
            </w:r>
          </w:p>
        </w:tc>
      </w:tr>
      <w:tr w:rsidR="00A11CC7">
        <w:tc>
          <w:tcPr>
            <w:tcW w:w="0" w:type="auto"/>
            <w:vAlign w:val="center"/>
          </w:tcPr>
          <w:p w:rsidR="00A11CC7" w:rsidRDefault="002001B8">
            <w:pPr>
              <w:jc w:val="left"/>
            </w:pPr>
            <w:r>
              <w:rPr>
                <w:color w:val="000000"/>
                <w:sz w:val="24"/>
              </w:rPr>
              <w:t>过去三个月</w:t>
            </w:r>
          </w:p>
        </w:tc>
        <w:tc>
          <w:tcPr>
            <w:tcW w:w="0" w:type="auto"/>
            <w:vAlign w:val="center"/>
          </w:tcPr>
          <w:p w:rsidR="00A11CC7" w:rsidRDefault="002001B8">
            <w:pPr>
              <w:jc w:val="center"/>
            </w:pPr>
            <w:r>
              <w:rPr>
                <w:color w:val="000000"/>
                <w:sz w:val="24"/>
              </w:rPr>
              <w:t>0.6386%</w:t>
            </w:r>
          </w:p>
        </w:tc>
        <w:tc>
          <w:tcPr>
            <w:tcW w:w="0" w:type="auto"/>
            <w:vAlign w:val="center"/>
          </w:tcPr>
          <w:p w:rsidR="00A11CC7" w:rsidRDefault="002001B8">
            <w:pPr>
              <w:jc w:val="center"/>
            </w:pPr>
            <w:r>
              <w:rPr>
                <w:color w:val="000000"/>
                <w:sz w:val="24"/>
              </w:rPr>
              <w:t>0.0004%</w:t>
            </w:r>
          </w:p>
        </w:tc>
        <w:tc>
          <w:tcPr>
            <w:tcW w:w="0" w:type="auto"/>
            <w:vAlign w:val="center"/>
          </w:tcPr>
          <w:p w:rsidR="00A11CC7" w:rsidRDefault="002001B8">
            <w:pPr>
              <w:jc w:val="center"/>
            </w:pPr>
            <w:r>
              <w:rPr>
                <w:color w:val="000000"/>
                <w:sz w:val="24"/>
              </w:rPr>
              <w:t>0.3456%</w:t>
            </w:r>
          </w:p>
        </w:tc>
        <w:tc>
          <w:tcPr>
            <w:tcW w:w="0" w:type="auto"/>
            <w:vAlign w:val="center"/>
          </w:tcPr>
          <w:p w:rsidR="00A11CC7" w:rsidRDefault="002001B8">
            <w:pPr>
              <w:jc w:val="center"/>
            </w:pPr>
            <w:r>
              <w:rPr>
                <w:color w:val="000000"/>
                <w:sz w:val="24"/>
              </w:rPr>
              <w:t>0.0000%</w:t>
            </w:r>
          </w:p>
        </w:tc>
        <w:tc>
          <w:tcPr>
            <w:tcW w:w="0" w:type="auto"/>
            <w:vAlign w:val="center"/>
          </w:tcPr>
          <w:p w:rsidR="00A11CC7" w:rsidRDefault="002001B8">
            <w:pPr>
              <w:jc w:val="center"/>
            </w:pPr>
            <w:r>
              <w:rPr>
                <w:color w:val="000000"/>
                <w:sz w:val="24"/>
              </w:rPr>
              <w:t>0.2930%</w:t>
            </w:r>
          </w:p>
        </w:tc>
        <w:tc>
          <w:tcPr>
            <w:tcW w:w="0" w:type="auto"/>
            <w:vAlign w:val="center"/>
          </w:tcPr>
          <w:p w:rsidR="00A11CC7" w:rsidRDefault="002001B8">
            <w:pPr>
              <w:jc w:val="center"/>
            </w:pPr>
            <w:r>
              <w:rPr>
                <w:color w:val="000000"/>
                <w:sz w:val="24"/>
              </w:rPr>
              <w:t>0.0004%</w:t>
            </w:r>
          </w:p>
        </w:tc>
      </w:tr>
    </w:tbl>
    <w:p w:rsidR="00941F6C" w:rsidRPr="0097021E" w:rsidRDefault="00941F6C"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3.2.2</w:t>
        </w:r>
        <w:r w:rsidR="000C572D"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941F6C" w:rsidRPr="00A15461" w:rsidRDefault="00941F6C" w:rsidP="009A755D">
      <w:pPr>
        <w:spacing w:line="360" w:lineRule="auto"/>
        <w:jc w:val="center"/>
        <w:rPr>
          <w:sz w:val="24"/>
        </w:rPr>
      </w:pPr>
      <w:r w:rsidRPr="00A15461">
        <w:rPr>
          <w:sz w:val="24"/>
        </w:rPr>
        <w:t>易方达天天增利货币市场基金</w:t>
      </w:r>
    </w:p>
    <w:p w:rsidR="007C6CF9" w:rsidRDefault="00941F6C" w:rsidP="007C6CF9">
      <w:pPr>
        <w:pStyle w:val="a6"/>
        <w:snapToGrid w:val="0"/>
        <w:spacing w:line="360" w:lineRule="auto"/>
        <w:jc w:val="center"/>
        <w:rPr>
          <w:rFonts w:ascii="Times New Roman" w:eastAsiaTheme="minorEastAsia" w:hAnsi="Times New Roman"/>
          <w:color w:val="000000" w:themeColor="text1"/>
          <w:sz w:val="24"/>
          <w:szCs w:val="24"/>
        </w:rPr>
      </w:pPr>
      <w:r w:rsidRPr="00A15461">
        <w:rPr>
          <w:rFonts w:ascii="Times New Roman" w:hAnsi="Times New Roman"/>
          <w:sz w:val="24"/>
          <w:szCs w:val="24"/>
        </w:rPr>
        <w:t>累计净值收益率与业绩比较基准收益率的历史走势对比图</w:t>
      </w:r>
    </w:p>
    <w:p w:rsidR="007C6CF9" w:rsidRDefault="007C6CF9" w:rsidP="007C6CF9">
      <w:pPr>
        <w:pStyle w:val="a6"/>
        <w:snapToGrid w:val="0"/>
        <w:spacing w:line="36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2014</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25</w:t>
      </w:r>
      <w:r>
        <w:rPr>
          <w:rFonts w:ascii="Times New Roman" w:hAnsi="Times New Roman"/>
          <w:sz w:val="24"/>
          <w:szCs w:val="24"/>
        </w:rPr>
        <w:t>日至</w:t>
      </w:r>
      <w:r>
        <w:rPr>
          <w:rFonts w:ascii="Times New Roman" w:hAnsi="Times New Roman"/>
          <w:sz w:val="24"/>
          <w:szCs w:val="24"/>
        </w:rPr>
        <w:t>2019</w:t>
      </w:r>
      <w:r>
        <w:rPr>
          <w:rFonts w:ascii="Times New Roman" w:hAnsi="Times New Roman"/>
          <w:sz w:val="24"/>
          <w:szCs w:val="24"/>
        </w:rPr>
        <w:t>年</w:t>
      </w:r>
      <w:r>
        <w:rPr>
          <w:rFonts w:ascii="Times New Roman" w:hAnsi="Times New Roman"/>
          <w:sz w:val="24"/>
          <w:szCs w:val="24"/>
        </w:rPr>
        <w:t>12</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w:t>
      </w:r>
    </w:p>
    <w:p w:rsidR="007C6CF9" w:rsidRDefault="00941F6C" w:rsidP="007C6CF9">
      <w:pPr>
        <w:snapToGrid w:val="0"/>
        <w:spacing w:line="360" w:lineRule="auto"/>
        <w:rPr>
          <w:rFonts w:eastAsiaTheme="minorEastAsia" w:hAnsiTheme="minorEastAsia"/>
          <w:color w:val="000000" w:themeColor="text1"/>
          <w:sz w:val="24"/>
        </w:rPr>
      </w:pPr>
      <w:r w:rsidRPr="00A15461">
        <w:rPr>
          <w:color w:val="000000"/>
          <w:kern w:val="0"/>
          <w:sz w:val="24"/>
        </w:rPr>
        <w:t>易方达天天增利货币</w:t>
      </w:r>
      <w:r w:rsidRPr="00A15461">
        <w:rPr>
          <w:color w:val="000000"/>
          <w:kern w:val="0"/>
          <w:sz w:val="24"/>
        </w:rPr>
        <w:t>A</w:t>
      </w:r>
    </w:p>
    <w:p w:rsidR="00941F6C" w:rsidRPr="0097021E" w:rsidRDefault="002001B8"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7C6CF9" w:rsidRDefault="00941F6C" w:rsidP="007C6CF9">
      <w:pPr>
        <w:snapToGrid w:val="0"/>
        <w:spacing w:beforeLines="100" w:before="312" w:line="360" w:lineRule="auto"/>
        <w:rPr>
          <w:rFonts w:eastAsiaTheme="minorEastAsia" w:hAnsiTheme="minorEastAsia"/>
          <w:color w:val="000000" w:themeColor="text1"/>
          <w:sz w:val="24"/>
        </w:rPr>
      </w:pPr>
      <w:r w:rsidRPr="00A15461">
        <w:rPr>
          <w:color w:val="000000"/>
          <w:kern w:val="0"/>
          <w:sz w:val="24"/>
        </w:rPr>
        <w:t>易方达天天增利货币</w:t>
      </w:r>
      <w:r w:rsidRPr="00A15461">
        <w:rPr>
          <w:color w:val="000000"/>
          <w:kern w:val="0"/>
          <w:sz w:val="24"/>
        </w:rPr>
        <w:t>B</w:t>
      </w:r>
    </w:p>
    <w:p w:rsidR="00941F6C" w:rsidRPr="0097021E" w:rsidRDefault="002001B8"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注：自基金合同生效至报告期末，</w:t>
      </w:r>
      <w:r w:rsidRPr="00A15461">
        <w:rPr>
          <w:color w:val="000000"/>
          <w:sz w:val="24"/>
        </w:rPr>
        <w:t>A</w:t>
      </w:r>
      <w:r w:rsidRPr="00A15461">
        <w:rPr>
          <w:color w:val="000000"/>
          <w:sz w:val="24"/>
        </w:rPr>
        <w:t>类基金份额净值收益率为</w:t>
      </w:r>
      <w:r w:rsidRPr="00A15461">
        <w:rPr>
          <w:color w:val="000000"/>
          <w:sz w:val="24"/>
        </w:rPr>
        <w:t>20.4523%</w:t>
      </w:r>
      <w:r w:rsidRPr="00A15461">
        <w:rPr>
          <w:color w:val="000000"/>
          <w:sz w:val="24"/>
        </w:rPr>
        <w:t>，</w:t>
      </w:r>
      <w:r w:rsidRPr="00A15461">
        <w:rPr>
          <w:color w:val="000000"/>
          <w:sz w:val="24"/>
        </w:rPr>
        <w:t>B</w:t>
      </w:r>
      <w:r w:rsidRPr="00A15461">
        <w:rPr>
          <w:color w:val="000000"/>
          <w:sz w:val="24"/>
        </w:rPr>
        <w:t>类基金份额净值收益率为</w:t>
      </w:r>
      <w:r w:rsidRPr="00A15461">
        <w:rPr>
          <w:color w:val="000000"/>
          <w:sz w:val="24"/>
        </w:rPr>
        <w:t>22.0536%</w:t>
      </w:r>
      <w:r w:rsidRPr="00A15461">
        <w:rPr>
          <w:color w:val="000000"/>
          <w:sz w:val="24"/>
        </w:rPr>
        <w:t>，同期业绩比较基准收益率为</w:t>
      </w:r>
      <w:r w:rsidRPr="00A15461">
        <w:rPr>
          <w:color w:val="000000"/>
          <w:sz w:val="24"/>
        </w:rPr>
        <w:t>7.8530%</w:t>
      </w:r>
      <w:r w:rsidRPr="00A15461">
        <w:rPr>
          <w:color w:val="000000"/>
          <w:sz w:val="24"/>
        </w:rPr>
        <w:t>。</w:t>
      </w:r>
    </w:p>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CE0B87" w:rsidRPr="0078105B" w:rsidRDefault="00941F6C" w:rsidP="00CE0B87">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00DC22A1">
        <w:rPr>
          <w:rFonts w:ascii="宋体" w:hAnsi="宋体" w:cs="Arial" w:hint="eastAsia"/>
          <w:b/>
          <w:color w:val="000000"/>
          <w:kern w:val="0"/>
          <w:sz w:val="24"/>
        </w:rPr>
        <w:t>基金经理（</w:t>
      </w:r>
      <w:r w:rsidR="00DC22A1" w:rsidRPr="0097021E">
        <w:rPr>
          <w:rFonts w:ascii="宋体" w:hAnsi="宋体" w:cs="Arial" w:hint="eastAsia"/>
          <w:b/>
          <w:color w:val="000000"/>
          <w:kern w:val="0"/>
          <w:sz w:val="24"/>
        </w:rPr>
        <w:t>或基金经理小组</w:t>
      </w:r>
      <w:r w:rsidR="00DC22A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CE0B87" w:rsidRPr="0078105B" w:rsidTr="00B7074C">
        <w:trPr>
          <w:cantSplit/>
        </w:trPr>
        <w:tc>
          <w:tcPr>
            <w:tcW w:w="567" w:type="dxa"/>
            <w:vMerge w:val="restart"/>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CE0B87" w:rsidRPr="0078105B" w:rsidTr="00B7074C">
        <w:trPr>
          <w:cantSplit/>
        </w:trPr>
        <w:tc>
          <w:tcPr>
            <w:tcW w:w="567" w:type="dxa"/>
            <w:vMerge/>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p>
        </w:tc>
        <w:tc>
          <w:tcPr>
            <w:tcW w:w="2835" w:type="dxa"/>
            <w:vMerge/>
          </w:tcPr>
          <w:p w:rsidR="00CE0B87" w:rsidRPr="00FA472B" w:rsidRDefault="00CE0B87" w:rsidP="00B7074C">
            <w:pPr>
              <w:autoSpaceDE w:val="0"/>
              <w:autoSpaceDN w:val="0"/>
              <w:adjustRightInd w:val="0"/>
              <w:spacing w:before="29" w:line="288" w:lineRule="auto"/>
              <w:ind w:left="15"/>
              <w:jc w:val="center"/>
              <w:rPr>
                <w:color w:val="000000"/>
                <w:kern w:val="0"/>
                <w:sz w:val="24"/>
              </w:rPr>
            </w:pPr>
          </w:p>
        </w:tc>
        <w:tc>
          <w:tcPr>
            <w:tcW w:w="851" w:type="dxa"/>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p>
        </w:tc>
        <w:tc>
          <w:tcPr>
            <w:tcW w:w="2977" w:type="dxa"/>
            <w:vMerge/>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p>
        </w:tc>
      </w:tr>
      <w:tr w:rsidR="00A11CC7">
        <w:tc>
          <w:tcPr>
            <w:tcW w:w="0" w:type="auto"/>
            <w:vAlign w:val="center"/>
          </w:tcPr>
          <w:p w:rsidR="00A11CC7" w:rsidRDefault="002001B8">
            <w:pPr>
              <w:jc w:val="center"/>
            </w:pPr>
            <w:r>
              <w:rPr>
                <w:color w:val="000000"/>
                <w:sz w:val="24"/>
              </w:rPr>
              <w:t>石大怿</w:t>
            </w:r>
          </w:p>
        </w:tc>
        <w:tc>
          <w:tcPr>
            <w:tcW w:w="0" w:type="auto"/>
            <w:vAlign w:val="center"/>
          </w:tcPr>
          <w:p w:rsidR="00A11CC7" w:rsidRDefault="002001B8">
            <w:pPr>
              <w:jc w:val="center"/>
            </w:pPr>
            <w:r>
              <w:rPr>
                <w:color w:val="000000"/>
                <w:sz w:val="24"/>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理财货币市场基金的基金经理、易方达天天发货币市场基金的基金经理、易方达龙宝货币市场基金的基金经理、易方达货币市场基金的基金经理、易方达财富快线货币市场基金的基金经理、易方达保证金收益货币市场基金的基金经理、易方达安瑞短债债券型证券投资基金的基金经理、易方达恒安定期开放债券型发起式证券投资基金的基金经理助理</w:t>
            </w:r>
          </w:p>
        </w:tc>
        <w:tc>
          <w:tcPr>
            <w:tcW w:w="0" w:type="auto"/>
            <w:vAlign w:val="center"/>
          </w:tcPr>
          <w:p w:rsidR="00A11CC7" w:rsidRDefault="002001B8">
            <w:pPr>
              <w:jc w:val="center"/>
            </w:pPr>
            <w:r>
              <w:rPr>
                <w:color w:val="000000"/>
                <w:sz w:val="24"/>
              </w:rPr>
              <w:t>201</w:t>
            </w:r>
            <w:r>
              <w:rPr>
                <w:color w:val="000000"/>
                <w:sz w:val="24"/>
              </w:rPr>
              <w:t>4-06-25</w:t>
            </w:r>
          </w:p>
        </w:tc>
        <w:tc>
          <w:tcPr>
            <w:tcW w:w="0" w:type="auto"/>
            <w:vAlign w:val="center"/>
          </w:tcPr>
          <w:p w:rsidR="00A11CC7" w:rsidRDefault="002001B8">
            <w:pPr>
              <w:jc w:val="center"/>
            </w:pPr>
            <w:r>
              <w:rPr>
                <w:color w:val="000000"/>
                <w:sz w:val="24"/>
              </w:rPr>
              <w:t>-</w:t>
            </w:r>
          </w:p>
        </w:tc>
        <w:tc>
          <w:tcPr>
            <w:tcW w:w="0" w:type="auto"/>
            <w:vAlign w:val="center"/>
          </w:tcPr>
          <w:p w:rsidR="00A11CC7" w:rsidRDefault="002001B8">
            <w:pPr>
              <w:jc w:val="center"/>
            </w:pPr>
            <w:r>
              <w:rPr>
                <w:color w:val="000000"/>
                <w:sz w:val="24"/>
              </w:rPr>
              <w:t>10</w:t>
            </w:r>
            <w:r>
              <w:rPr>
                <w:color w:val="000000"/>
                <w:sz w:val="24"/>
              </w:rPr>
              <w:t>年</w:t>
            </w:r>
          </w:p>
        </w:tc>
        <w:tc>
          <w:tcPr>
            <w:tcW w:w="0" w:type="auto"/>
            <w:vAlign w:val="center"/>
          </w:tcPr>
          <w:p w:rsidR="00A11CC7" w:rsidRDefault="002001B8">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r w:rsidR="00A11CC7">
        <w:tc>
          <w:tcPr>
            <w:tcW w:w="0" w:type="auto"/>
            <w:vAlign w:val="center"/>
          </w:tcPr>
          <w:p w:rsidR="00A11CC7" w:rsidRDefault="002001B8">
            <w:pPr>
              <w:jc w:val="center"/>
            </w:pPr>
            <w:r>
              <w:rPr>
                <w:color w:val="000000"/>
                <w:sz w:val="24"/>
              </w:rPr>
              <w:t>梁莹</w:t>
            </w:r>
          </w:p>
        </w:tc>
        <w:tc>
          <w:tcPr>
            <w:tcW w:w="0" w:type="auto"/>
            <w:vAlign w:val="center"/>
          </w:tcPr>
          <w:p w:rsidR="00A11CC7" w:rsidRDefault="002001B8">
            <w:pPr>
              <w:jc w:val="center"/>
            </w:pPr>
            <w:r>
              <w:rPr>
                <w:color w:val="000000"/>
                <w:sz w:val="24"/>
              </w:rPr>
              <w:t>本基金的基金经理、易方达掌柜季季盈理财债券型证券投资基金的基金经理、易方达增金宝货币市场基金的基金经理、易方达月月利理财债券型证券投资基金的基金经理、易方达现金增利货币市场基金的基金经理、易方达龙宝货币市场基金的基金经理、易方达财富快线货币市场基金的基金经理、易方达保证金收益货币市场基金的基金经理、易方达安悦超短债债券型证券投资基金的基金经理、易方达货币市场基金的基金经理助理、易方达易理财货币市场基金的基金经理助理、易方达天天理财货币市场基金的基金经理助理、投资经理</w:t>
            </w:r>
          </w:p>
        </w:tc>
        <w:tc>
          <w:tcPr>
            <w:tcW w:w="0" w:type="auto"/>
            <w:vAlign w:val="center"/>
          </w:tcPr>
          <w:p w:rsidR="00A11CC7" w:rsidRDefault="002001B8">
            <w:pPr>
              <w:jc w:val="center"/>
            </w:pPr>
            <w:r>
              <w:rPr>
                <w:color w:val="000000"/>
                <w:sz w:val="24"/>
              </w:rPr>
              <w:t>2015-03-17</w:t>
            </w:r>
          </w:p>
        </w:tc>
        <w:tc>
          <w:tcPr>
            <w:tcW w:w="0" w:type="auto"/>
            <w:vAlign w:val="center"/>
          </w:tcPr>
          <w:p w:rsidR="00A11CC7" w:rsidRDefault="002001B8">
            <w:pPr>
              <w:jc w:val="center"/>
            </w:pPr>
            <w:r>
              <w:rPr>
                <w:color w:val="000000"/>
                <w:sz w:val="24"/>
              </w:rPr>
              <w:t>-</w:t>
            </w:r>
          </w:p>
        </w:tc>
        <w:tc>
          <w:tcPr>
            <w:tcW w:w="0" w:type="auto"/>
            <w:vAlign w:val="center"/>
          </w:tcPr>
          <w:p w:rsidR="00A11CC7" w:rsidRDefault="002001B8">
            <w:pPr>
              <w:jc w:val="center"/>
            </w:pPr>
            <w:r>
              <w:rPr>
                <w:color w:val="000000"/>
                <w:sz w:val="24"/>
              </w:rPr>
              <w:t>9</w:t>
            </w:r>
            <w:r>
              <w:rPr>
                <w:color w:val="000000"/>
                <w:sz w:val="24"/>
              </w:rPr>
              <w:t>年</w:t>
            </w:r>
          </w:p>
        </w:tc>
        <w:tc>
          <w:tcPr>
            <w:tcW w:w="0" w:type="auto"/>
            <w:vAlign w:val="center"/>
          </w:tcPr>
          <w:p w:rsidR="00A11CC7" w:rsidRDefault="002001B8">
            <w:r>
              <w:rPr>
                <w:color w:val="000000"/>
                <w:sz w:val="24"/>
              </w:rPr>
              <w:t>硕士研究</w:t>
            </w:r>
            <w:r>
              <w:rPr>
                <w:color w:val="000000"/>
                <w:sz w:val="24"/>
              </w:rPr>
              <w:t>生，具有基金从业资格。曾任招商证券股份有限公司债券销售交易部交易员，易方达基金管理有限公司固定收益交易员、易方达保证金收益货币市场基金基金经理助理、易方达双月利理财债券型证券投资基金基金经理。</w:t>
            </w:r>
          </w:p>
        </w:tc>
      </w:tr>
    </w:tbl>
    <w:p w:rsidR="00A11CC7" w:rsidRDefault="002001B8">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BF6648" w:rsidRPr="00232B03" w:rsidRDefault="00CE0B87" w:rsidP="00CE0B87">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941F6C" w:rsidRPr="0097021E" w:rsidRDefault="00941F6C" w:rsidP="00BF6648">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4.2</w:t>
      </w:r>
      <w:r w:rsidRPr="00756761">
        <w:rPr>
          <w:rFonts w:cs="Arial" w:hint="eastAsia"/>
          <w:b/>
          <w:color w:val="000000"/>
          <w:kern w:val="0"/>
          <w:sz w:val="24"/>
        </w:rPr>
        <w:t>管理人对报告期内本基金运作遵规守信情况的说明</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941F6C" w:rsidRPr="0097021E" w:rsidRDefault="00941F6C"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941F6C" w:rsidRPr="0097021E" w:rsidRDefault="00941F6C"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hint="eastAsia"/>
          <w:sz w:val="24"/>
        </w:rPr>
        <w:t>公平交易制度的执行情况</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A15461">
        <w:rPr>
          <w:color w:val="000000"/>
          <w:sz w:val="24"/>
        </w:rPr>
        <w:t>“</w:t>
      </w:r>
      <w:r w:rsidRPr="00A15461">
        <w:rPr>
          <w:color w:val="000000"/>
          <w:sz w:val="24"/>
        </w:rPr>
        <w:t>时间优先、价格优先</w:t>
      </w:r>
      <w:r w:rsidRPr="00A15461">
        <w:rPr>
          <w:color w:val="000000"/>
          <w:sz w:val="24"/>
        </w:rPr>
        <w:t>”</w:t>
      </w:r>
      <w:r w:rsidRPr="00A15461">
        <w:rPr>
          <w:color w:val="000000"/>
          <w:sz w:val="24"/>
        </w:rPr>
        <w:t>作为执行指令的基本原则，通过投资交易系统中的公平交易模块，以尽可能确保公平对待各投资组合。本报告期内，公平交易制度总体执行情况良好。</w:t>
      </w:r>
    </w:p>
    <w:p w:rsidR="00941F6C" w:rsidRPr="0097021E" w:rsidRDefault="00941F6C"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hint="eastAsia"/>
          <w:sz w:val="24"/>
        </w:rPr>
        <w:t>异常交易行为的专项说明</w:t>
      </w:r>
    </w:p>
    <w:p w:rsidR="00A11CC7" w:rsidRDefault="002001B8">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本报告期内，公司旗下所有投资组合参与的交易所公开竞价交易中，同日反向交易</w:t>
      </w:r>
      <w:r>
        <w:rPr>
          <w:color w:val="000000"/>
          <w:sz w:val="24"/>
        </w:rPr>
        <w:t>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本报告期内，未发现本基金有可能导致不公平交易和利益输送的异常交易。</w:t>
      </w:r>
    </w:p>
    <w:p w:rsidR="00941F6C" w:rsidRPr="0097021E" w:rsidRDefault="00941F6C"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941F6C" w:rsidRPr="0097021E" w:rsidRDefault="00941F6C"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4.4.1</w:t>
        </w:r>
      </w:smartTag>
      <w:r w:rsidRPr="0097021E">
        <w:rPr>
          <w:rFonts w:ascii="宋体" w:hAnsi="宋体" w:hint="eastAsia"/>
          <w:sz w:val="24"/>
        </w:rPr>
        <w:t>报告期内基金投资策略和运作分析</w:t>
      </w:r>
    </w:p>
    <w:p w:rsidR="00A11CC7" w:rsidRDefault="002001B8">
      <w:pPr>
        <w:adjustRightInd w:val="0"/>
        <w:spacing w:line="360" w:lineRule="auto"/>
        <w:ind w:firstLineChars="200" w:firstLine="480"/>
        <w:rPr>
          <w:color w:val="000000"/>
          <w:sz w:val="24"/>
        </w:rPr>
      </w:pPr>
      <w:r>
        <w:rPr>
          <w:color w:val="000000"/>
          <w:sz w:val="24"/>
        </w:rPr>
        <w:t>2019</w:t>
      </w:r>
      <w:r>
        <w:rPr>
          <w:color w:val="000000"/>
          <w:sz w:val="24"/>
        </w:rPr>
        <w:t>年四季度，货币市场整体维持平稳，资金利率窄幅波动，债券市场呈现先跌后涨再震荡的走势。经济基本面、通胀走势、货币政策是驱动债</w:t>
      </w:r>
      <w:r>
        <w:rPr>
          <w:color w:val="000000"/>
          <w:sz w:val="24"/>
        </w:rPr>
        <w:t>券市场和货币市场收益率变化的核心因素。</w:t>
      </w:r>
      <w:r>
        <w:rPr>
          <w:color w:val="000000"/>
          <w:sz w:val="24"/>
        </w:rPr>
        <w:t>10</w:t>
      </w:r>
      <w:r>
        <w:rPr>
          <w:color w:val="000000"/>
          <w:sz w:val="24"/>
        </w:rPr>
        <w:t>月，经济数据呈现积极好转迹象，当月工业增加值增速回升至</w:t>
      </w:r>
      <w:r>
        <w:rPr>
          <w:color w:val="000000"/>
          <w:sz w:val="24"/>
        </w:rPr>
        <w:t>5.8%</w:t>
      </w:r>
      <w:r>
        <w:rPr>
          <w:color w:val="000000"/>
          <w:sz w:val="24"/>
        </w:rPr>
        <w:t>，社会零售总额增速也有所恢复，与此同时，通胀水平居高不下，债券市场长端收益率震荡上行。</w:t>
      </w:r>
      <w:r>
        <w:rPr>
          <w:color w:val="000000"/>
          <w:sz w:val="24"/>
        </w:rPr>
        <w:t>11</w:t>
      </w:r>
      <w:r>
        <w:rPr>
          <w:color w:val="000000"/>
          <w:sz w:val="24"/>
        </w:rPr>
        <w:t>月，经济数据转而回落，工业增加值单月增速降低至</w:t>
      </w:r>
      <w:r>
        <w:rPr>
          <w:color w:val="000000"/>
          <w:sz w:val="24"/>
        </w:rPr>
        <w:t>4.7%</w:t>
      </w:r>
      <w:r>
        <w:rPr>
          <w:color w:val="000000"/>
          <w:sz w:val="24"/>
        </w:rPr>
        <w:t>，基建投资增速的超预期下降使得固定资产投资也出现了较大幅度的下行，经济运行整体呈现出较大下行压力。在这样的背景下，人民银行相继下调了</w:t>
      </w:r>
      <w:r>
        <w:rPr>
          <w:color w:val="000000"/>
          <w:sz w:val="24"/>
        </w:rPr>
        <w:t>MLF</w:t>
      </w:r>
      <w:r>
        <w:rPr>
          <w:color w:val="000000"/>
          <w:sz w:val="24"/>
        </w:rPr>
        <w:t>利率及公开市场</w:t>
      </w:r>
      <w:r>
        <w:rPr>
          <w:color w:val="000000"/>
          <w:sz w:val="24"/>
        </w:rPr>
        <w:t>7</w:t>
      </w:r>
      <w:r>
        <w:rPr>
          <w:color w:val="000000"/>
          <w:sz w:val="24"/>
        </w:rPr>
        <w:t>天逆回购利率，债券市场收益率转而下行。</w:t>
      </w:r>
      <w:r>
        <w:rPr>
          <w:color w:val="000000"/>
          <w:sz w:val="24"/>
        </w:rPr>
        <w:t>12</w:t>
      </w:r>
      <w:r>
        <w:rPr>
          <w:color w:val="000000"/>
          <w:sz w:val="24"/>
        </w:rPr>
        <w:t>月，工业增加值数据同比增长</w:t>
      </w:r>
      <w:r>
        <w:rPr>
          <w:color w:val="000000"/>
          <w:sz w:val="24"/>
        </w:rPr>
        <w:t>6.2%</w:t>
      </w:r>
      <w:r>
        <w:rPr>
          <w:color w:val="000000"/>
          <w:sz w:val="24"/>
        </w:rPr>
        <w:t>，大幅高于市场预期的</w:t>
      </w:r>
      <w:r>
        <w:rPr>
          <w:color w:val="000000"/>
          <w:sz w:val="24"/>
        </w:rPr>
        <w:t>5.2%</w:t>
      </w:r>
      <w:r>
        <w:rPr>
          <w:color w:val="000000"/>
          <w:sz w:val="24"/>
        </w:rPr>
        <w:t>，月度</w:t>
      </w:r>
      <w:r>
        <w:rPr>
          <w:color w:val="000000"/>
          <w:sz w:val="24"/>
        </w:rPr>
        <w:t>环比由</w:t>
      </w:r>
      <w:r>
        <w:rPr>
          <w:color w:val="000000"/>
          <w:sz w:val="24"/>
        </w:rPr>
        <w:t>-3.5%</w:t>
      </w:r>
      <w:r>
        <w:rPr>
          <w:color w:val="000000"/>
          <w:sz w:val="24"/>
        </w:rPr>
        <w:t>回升至</w:t>
      </w:r>
      <w:r>
        <w:rPr>
          <w:color w:val="000000"/>
          <w:sz w:val="24"/>
        </w:rPr>
        <w:t>21.6%</w:t>
      </w:r>
      <w:r>
        <w:rPr>
          <w:color w:val="000000"/>
          <w:sz w:val="24"/>
        </w:rPr>
        <w:t>，季度环比由</w:t>
      </w:r>
      <w:r>
        <w:rPr>
          <w:color w:val="000000"/>
          <w:sz w:val="24"/>
        </w:rPr>
        <w:t>5.3%</w:t>
      </w:r>
      <w:r>
        <w:rPr>
          <w:color w:val="000000"/>
          <w:sz w:val="24"/>
        </w:rPr>
        <w:t>升至</w:t>
      </w:r>
      <w:r>
        <w:rPr>
          <w:color w:val="000000"/>
          <w:sz w:val="24"/>
        </w:rPr>
        <w:t>12.4%</w:t>
      </w:r>
      <w:r>
        <w:rPr>
          <w:color w:val="000000"/>
          <w:sz w:val="24"/>
        </w:rPr>
        <w:t>，边际改善显著。同时，随着中美就第一阶段经贸协议达成一致，市场机构对年后经济数据好转又重提信心，债市收益率一度小幅走高。但由于市场机构配置需求仍然旺盛，且年末银行间流动性保持充裕状态，债券市场随后进入震荡模式。总体来看，</w:t>
      </w:r>
      <w:r>
        <w:rPr>
          <w:color w:val="000000"/>
          <w:sz w:val="24"/>
        </w:rPr>
        <w:t>2019</w:t>
      </w:r>
      <w:r>
        <w:rPr>
          <w:color w:val="000000"/>
          <w:sz w:val="24"/>
        </w:rPr>
        <w:t>年四季度，债券市场收益率呈现先跌后涨再震荡的走势，货币市场利率维持整体平稳，短债类基金的净值增长表现平稳。</w:t>
      </w:r>
    </w:p>
    <w:p w:rsidR="00A11CC7" w:rsidRDefault="00A11CC7">
      <w:pPr>
        <w:adjustRightInd w:val="0"/>
        <w:spacing w:line="360" w:lineRule="auto"/>
        <w:ind w:firstLineChars="200" w:firstLine="480"/>
        <w:rPr>
          <w:color w:val="000000"/>
          <w:sz w:val="24"/>
        </w:rPr>
      </w:pP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操作方面，报告期内基金以超短期、高等级的信用债券为主要配置资产，保持了适中的久期和杠杆率，表现出较好的流动性和稳定的收益率。</w:t>
      </w:r>
    </w:p>
    <w:p w:rsidR="00941F6C" w:rsidRPr="0097021E" w:rsidRDefault="00941F6C"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4.4.2</w:t>
        </w:r>
      </w:smartTag>
      <w:r w:rsidRPr="0097021E">
        <w:rPr>
          <w:rFonts w:ascii="宋体" w:hAnsi="宋体" w:hint="eastAsia"/>
          <w:sz w:val="24"/>
        </w:rPr>
        <w:t>报告期内基金的业绩表现</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本基金本报告期内</w:t>
      </w:r>
      <w:r w:rsidRPr="00A15461">
        <w:rPr>
          <w:color w:val="000000"/>
          <w:sz w:val="24"/>
        </w:rPr>
        <w:t>A</w:t>
      </w:r>
      <w:r w:rsidRPr="00A15461">
        <w:rPr>
          <w:color w:val="000000"/>
          <w:sz w:val="24"/>
        </w:rPr>
        <w:t>类基金份额净值收益率为</w:t>
      </w:r>
      <w:r w:rsidRPr="00A15461">
        <w:rPr>
          <w:color w:val="000000"/>
          <w:sz w:val="24"/>
        </w:rPr>
        <w:t>0.5782%</w:t>
      </w:r>
      <w:r w:rsidRPr="00A15461">
        <w:rPr>
          <w:color w:val="000000"/>
          <w:sz w:val="24"/>
        </w:rPr>
        <w:t>；</w:t>
      </w:r>
      <w:r w:rsidRPr="00A15461">
        <w:rPr>
          <w:color w:val="000000"/>
          <w:sz w:val="24"/>
        </w:rPr>
        <w:t>B</w:t>
      </w:r>
      <w:r w:rsidRPr="00A15461">
        <w:rPr>
          <w:color w:val="000000"/>
          <w:sz w:val="24"/>
        </w:rPr>
        <w:t>类基金份额净值收益率为</w:t>
      </w:r>
      <w:r w:rsidRPr="00A15461">
        <w:rPr>
          <w:color w:val="000000"/>
          <w:sz w:val="24"/>
        </w:rPr>
        <w:t>0.6386%</w:t>
      </w:r>
      <w:r w:rsidRPr="00A15461">
        <w:rPr>
          <w:color w:val="000000"/>
          <w:sz w:val="24"/>
        </w:rPr>
        <w:t>；同期业绩比较基准收益率为</w:t>
      </w:r>
      <w:r w:rsidRPr="00A15461">
        <w:rPr>
          <w:color w:val="000000"/>
          <w:sz w:val="24"/>
        </w:rPr>
        <w:t>0.3456%</w:t>
      </w:r>
      <w:r w:rsidRPr="00A15461">
        <w:rPr>
          <w:color w:val="000000"/>
          <w:sz w:val="24"/>
        </w:rPr>
        <w:t>。</w:t>
      </w:r>
    </w:p>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941F6C" w:rsidRPr="0097021E" w:rsidRDefault="00941F6C"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序号</w:t>
            </w:r>
          </w:p>
        </w:tc>
        <w:tc>
          <w:tcPr>
            <w:tcW w:w="3357"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项目</w:t>
            </w:r>
          </w:p>
        </w:tc>
        <w:tc>
          <w:tcPr>
            <w:tcW w:w="3119"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金额</w:t>
            </w:r>
            <w:r w:rsidR="00DC22A1" w:rsidRPr="00A15461">
              <w:rPr>
                <w:color w:val="000000"/>
                <w:sz w:val="24"/>
              </w:rPr>
              <w:t>（元）</w:t>
            </w:r>
          </w:p>
        </w:tc>
        <w:tc>
          <w:tcPr>
            <w:tcW w:w="1843"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占基金总资产的比例</w:t>
            </w:r>
            <w:r w:rsidRPr="00A15461">
              <w:rPr>
                <w:color w:val="000000"/>
                <w:sz w:val="24"/>
              </w:rPr>
              <w:t>(%)</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1</w:t>
            </w: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固定收益投资</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1,650,497,542.86</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39.56</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其中：债券</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1,560,497,542.86</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37.40</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p>
        </w:tc>
        <w:tc>
          <w:tcPr>
            <w:tcW w:w="3357" w:type="dxa"/>
            <w:vAlign w:val="center"/>
          </w:tcPr>
          <w:p w:rsidR="00941F6C" w:rsidRPr="00A15461" w:rsidRDefault="00941F6C" w:rsidP="00196812">
            <w:pPr>
              <w:autoSpaceDE w:val="0"/>
              <w:autoSpaceDN w:val="0"/>
              <w:adjustRightInd w:val="0"/>
              <w:spacing w:before="29" w:line="360" w:lineRule="auto"/>
              <w:ind w:left="17"/>
              <w:jc w:val="left"/>
              <w:rPr>
                <w:color w:val="000000"/>
                <w:sz w:val="24"/>
              </w:rPr>
            </w:pPr>
            <w:r w:rsidRPr="00A15461">
              <w:rPr>
                <w:color w:val="000000"/>
                <w:sz w:val="24"/>
              </w:rPr>
              <w:t>资产支持证券</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90,000,000.00</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2.16</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2</w:t>
            </w: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买入返售金融资产</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721,926,142.89</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17.30</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其中：买断式回购的买入返售金融资产</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3</w:t>
            </w: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银行存款和结算备付金合计</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1,780,822,796.18</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42.68</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4</w:t>
            </w:r>
          </w:p>
        </w:tc>
        <w:tc>
          <w:tcPr>
            <w:tcW w:w="3357" w:type="dxa"/>
            <w:vAlign w:val="center"/>
          </w:tcPr>
          <w:p w:rsidR="00941F6C" w:rsidRPr="00A15461" w:rsidRDefault="00941F6C" w:rsidP="00196812">
            <w:pPr>
              <w:spacing w:line="360" w:lineRule="auto"/>
              <w:jc w:val="left"/>
              <w:rPr>
                <w:sz w:val="24"/>
              </w:rPr>
            </w:pPr>
            <w:r w:rsidRPr="00A15461">
              <w:rPr>
                <w:color w:val="000000"/>
                <w:sz w:val="24"/>
              </w:rPr>
              <w:t>其他资产</w:t>
            </w:r>
          </w:p>
        </w:tc>
        <w:tc>
          <w:tcPr>
            <w:tcW w:w="3119" w:type="dxa"/>
            <w:vAlign w:val="center"/>
          </w:tcPr>
          <w:p w:rsidR="00941F6C" w:rsidRPr="00A15461" w:rsidRDefault="00941F6C" w:rsidP="00196812">
            <w:pPr>
              <w:spacing w:line="360" w:lineRule="auto"/>
              <w:jc w:val="right"/>
              <w:rPr>
                <w:color w:val="000000"/>
                <w:sz w:val="24"/>
              </w:rPr>
            </w:pPr>
            <w:r w:rsidRPr="00A15461">
              <w:rPr>
                <w:color w:val="000000"/>
                <w:sz w:val="24"/>
              </w:rPr>
              <w:t>19,085,865.50</w:t>
            </w:r>
          </w:p>
        </w:tc>
        <w:tc>
          <w:tcPr>
            <w:tcW w:w="1843" w:type="dxa"/>
            <w:vAlign w:val="center"/>
          </w:tcPr>
          <w:p w:rsidR="00941F6C" w:rsidRPr="00A15461" w:rsidRDefault="00941F6C" w:rsidP="00196812">
            <w:pPr>
              <w:spacing w:line="360" w:lineRule="auto"/>
              <w:jc w:val="right"/>
              <w:rPr>
                <w:color w:val="000000"/>
                <w:sz w:val="24"/>
              </w:rPr>
            </w:pPr>
            <w:r w:rsidRPr="00A15461">
              <w:rPr>
                <w:color w:val="000000"/>
                <w:sz w:val="24"/>
              </w:rPr>
              <w:t>0.46</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5</w:t>
            </w:r>
          </w:p>
        </w:tc>
        <w:tc>
          <w:tcPr>
            <w:tcW w:w="3357" w:type="dxa"/>
            <w:vAlign w:val="center"/>
          </w:tcPr>
          <w:p w:rsidR="00941F6C" w:rsidRPr="00A15461" w:rsidRDefault="00941F6C" w:rsidP="00196812">
            <w:pPr>
              <w:spacing w:line="360" w:lineRule="auto"/>
              <w:jc w:val="left"/>
              <w:rPr>
                <w:sz w:val="24"/>
              </w:rPr>
            </w:pPr>
            <w:r w:rsidRPr="00A15461">
              <w:rPr>
                <w:color w:val="000000"/>
                <w:sz w:val="24"/>
              </w:rPr>
              <w:t>合计</w:t>
            </w:r>
          </w:p>
        </w:tc>
        <w:tc>
          <w:tcPr>
            <w:tcW w:w="3119" w:type="dxa"/>
            <w:vAlign w:val="center"/>
          </w:tcPr>
          <w:p w:rsidR="00941F6C" w:rsidRPr="00A15461" w:rsidRDefault="00941F6C" w:rsidP="00196812">
            <w:pPr>
              <w:spacing w:line="360" w:lineRule="auto"/>
              <w:jc w:val="right"/>
              <w:rPr>
                <w:color w:val="000000"/>
                <w:sz w:val="24"/>
              </w:rPr>
            </w:pPr>
            <w:r w:rsidRPr="00A15461">
              <w:rPr>
                <w:color w:val="000000"/>
                <w:sz w:val="24"/>
              </w:rPr>
              <w:t>4,172,332,347.43</w:t>
            </w:r>
          </w:p>
        </w:tc>
        <w:tc>
          <w:tcPr>
            <w:tcW w:w="1843" w:type="dxa"/>
            <w:vAlign w:val="center"/>
          </w:tcPr>
          <w:p w:rsidR="00941F6C" w:rsidRPr="00A15461" w:rsidRDefault="00941F6C" w:rsidP="00196812">
            <w:pPr>
              <w:spacing w:line="360" w:lineRule="auto"/>
              <w:jc w:val="right"/>
              <w:rPr>
                <w:color w:val="000000"/>
                <w:sz w:val="24"/>
              </w:rPr>
            </w:pPr>
            <w:r w:rsidRPr="00A15461">
              <w:rPr>
                <w:color w:val="000000"/>
                <w:sz w:val="24"/>
              </w:rPr>
              <w:t>100.00</w:t>
            </w:r>
          </w:p>
        </w:tc>
      </w:tr>
    </w:tbl>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941F6C"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kern w:val="0"/>
                <w:sz w:val="24"/>
              </w:rPr>
            </w:pPr>
            <w:r w:rsidRPr="00A15461">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kern w:val="0"/>
                <w:sz w:val="24"/>
              </w:rPr>
            </w:pPr>
            <w:r w:rsidRPr="00A15461">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kern w:val="0"/>
                <w:sz w:val="24"/>
              </w:rPr>
            </w:pPr>
            <w:r w:rsidRPr="00A15461">
              <w:rPr>
                <w:color w:val="000000"/>
                <w:kern w:val="0"/>
                <w:sz w:val="24"/>
              </w:rPr>
              <w:t>占基金资产净值的比例（％）</w:t>
            </w:r>
          </w:p>
        </w:tc>
      </w:tr>
      <w:tr w:rsidR="00941F6C" w:rsidRPr="0097021E" w:rsidTr="00F11244">
        <w:tc>
          <w:tcPr>
            <w:tcW w:w="861" w:type="dxa"/>
            <w:tcBorders>
              <w:top w:val="single" w:sz="8" w:space="0" w:color="000000"/>
              <w:left w:val="single" w:sz="8" w:space="0" w:color="000000"/>
              <w:right w:val="single" w:sz="8" w:space="0" w:color="000000"/>
            </w:tcBorders>
            <w:vAlign w:val="center"/>
          </w:tcPr>
          <w:p w:rsidR="00941F6C" w:rsidRPr="00A15461" w:rsidRDefault="00941F6C" w:rsidP="00196812">
            <w:pPr>
              <w:spacing w:line="360" w:lineRule="auto"/>
              <w:rPr>
                <w:color w:val="000000"/>
                <w:kern w:val="0"/>
                <w:sz w:val="24"/>
              </w:rPr>
            </w:pPr>
            <w:r w:rsidRPr="00A15461">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4.85</w:t>
            </w:r>
          </w:p>
        </w:tc>
      </w:tr>
      <w:tr w:rsidR="00941F6C"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w:t>
            </w:r>
          </w:p>
        </w:tc>
      </w:tr>
      <w:tr w:rsidR="00941F6C" w:rsidRPr="0097021E" w:rsidTr="00F11244">
        <w:tc>
          <w:tcPr>
            <w:tcW w:w="861" w:type="dxa"/>
            <w:tcBorders>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sz w:val="24"/>
              </w:rPr>
            </w:pPr>
            <w:r w:rsidRPr="00A15461">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color w:val="000000"/>
                <w:kern w:val="0"/>
                <w:sz w:val="24"/>
              </w:rPr>
              <w:t>占基金资产净值的比例（％）</w:t>
            </w:r>
          </w:p>
        </w:tc>
      </w:tr>
      <w:tr w:rsidR="00941F6C" w:rsidRPr="0097021E" w:rsidTr="00F11244">
        <w:tc>
          <w:tcPr>
            <w:tcW w:w="861" w:type="dxa"/>
            <w:vMerge w:val="restart"/>
            <w:tcBorders>
              <w:top w:val="single" w:sz="8" w:space="0" w:color="000000"/>
              <w:left w:val="single" w:sz="8" w:space="0" w:color="000000"/>
              <w:right w:val="single" w:sz="8" w:space="0" w:color="000000"/>
            </w:tcBorders>
            <w:vAlign w:val="center"/>
          </w:tcPr>
          <w:p w:rsidR="00941F6C" w:rsidRPr="00A15461" w:rsidRDefault="00941F6C" w:rsidP="00196812">
            <w:pPr>
              <w:spacing w:line="360" w:lineRule="auto"/>
              <w:rPr>
                <w:color w:val="000000"/>
                <w:sz w:val="24"/>
              </w:rPr>
            </w:pPr>
            <w:r w:rsidRPr="00A15461">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115,051,742.47</w:t>
            </w:r>
          </w:p>
        </w:tc>
        <w:tc>
          <w:tcPr>
            <w:tcW w:w="212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2.84</w:t>
            </w:r>
          </w:p>
        </w:tc>
      </w:tr>
      <w:tr w:rsidR="00941F6C" w:rsidRPr="0097021E" w:rsidTr="00F11244">
        <w:tc>
          <w:tcPr>
            <w:tcW w:w="861" w:type="dxa"/>
            <w:vMerge/>
            <w:tcBorders>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w:t>
            </w:r>
          </w:p>
        </w:tc>
      </w:tr>
    </w:tbl>
    <w:p w:rsidR="00941F6C" w:rsidRPr="00A15461" w:rsidRDefault="00941F6C" w:rsidP="00A15461">
      <w:pPr>
        <w:adjustRightInd w:val="0"/>
        <w:spacing w:line="360" w:lineRule="auto"/>
        <w:ind w:firstLineChars="200" w:firstLine="480"/>
        <w:rPr>
          <w:color w:val="000000"/>
          <w:sz w:val="24"/>
        </w:rPr>
      </w:pPr>
      <w:r w:rsidRPr="00A15461">
        <w:rPr>
          <w:color w:val="000000"/>
          <w:sz w:val="24"/>
        </w:rPr>
        <w:t>注：上表中报告期内债券回购融资余额占基金资产净值的比例为报告期内每个交易日融资余额占基金资产净值比例的简单平均值。</w:t>
      </w:r>
    </w:p>
    <w:p w:rsidR="00941F6C" w:rsidRPr="003A0EC1" w:rsidRDefault="00941F6C"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在本报告期内本货币市场基金债券正回购的资金余额未超过资产净值的</w:t>
      </w:r>
      <w:r w:rsidRPr="00A15461">
        <w:rPr>
          <w:color w:val="000000"/>
          <w:sz w:val="24"/>
        </w:rPr>
        <w:t>20%</w:t>
      </w:r>
      <w:r w:rsidRPr="00A15461">
        <w:rPr>
          <w:color w:val="000000"/>
          <w:sz w:val="24"/>
        </w:rPr>
        <w:t>。</w:t>
      </w:r>
    </w:p>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941F6C" w:rsidRPr="0097021E" w:rsidRDefault="00941F6C" w:rsidP="00196812">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5.3.1</w:t>
        </w:r>
      </w:smartTag>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941F6C"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天数</w:t>
            </w:r>
          </w:p>
        </w:tc>
      </w:tr>
      <w:tr w:rsidR="00941F6C"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ind w:right="120"/>
              <w:jc w:val="right"/>
              <w:rPr>
                <w:sz w:val="24"/>
              </w:rPr>
            </w:pPr>
            <w:r w:rsidRPr="00A15461">
              <w:rPr>
                <w:sz w:val="24"/>
              </w:rPr>
              <w:t>87</w:t>
            </w:r>
          </w:p>
        </w:tc>
      </w:tr>
      <w:tr w:rsidR="00941F6C"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jc w:val="right"/>
              <w:rPr>
                <w:sz w:val="24"/>
              </w:rPr>
            </w:pPr>
            <w:r w:rsidRPr="00A15461">
              <w:rPr>
                <w:sz w:val="24"/>
              </w:rPr>
              <w:t>88</w:t>
            </w:r>
          </w:p>
        </w:tc>
      </w:tr>
      <w:tr w:rsidR="00941F6C"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ind w:right="120"/>
              <w:jc w:val="right"/>
              <w:rPr>
                <w:sz w:val="24"/>
              </w:rPr>
            </w:pPr>
            <w:r w:rsidRPr="00A15461">
              <w:rPr>
                <w:sz w:val="24"/>
              </w:rPr>
              <w:t>64</w:t>
            </w:r>
          </w:p>
        </w:tc>
      </w:tr>
    </w:tbl>
    <w:p w:rsidR="00941F6C" w:rsidRPr="003A0EC1" w:rsidRDefault="00941F6C" w:rsidP="003A0EC1">
      <w:pPr>
        <w:spacing w:line="360" w:lineRule="auto"/>
        <w:rPr>
          <w:rFonts w:ascii="宋体" w:cs="Arial"/>
          <w:b/>
          <w:color w:val="000000"/>
          <w:kern w:val="0"/>
          <w:sz w:val="24"/>
        </w:rPr>
      </w:pPr>
      <w:r w:rsidRPr="003A0EC1">
        <w:rPr>
          <w:rFonts w:ascii="宋体" w:hAnsi="宋体" w:cs="Arial" w:hint="eastAsia"/>
          <w:b/>
          <w:color w:val="000000"/>
          <w:kern w:val="0"/>
          <w:sz w:val="24"/>
        </w:rPr>
        <w:t>报告期内投资组合平均剩余期限超过</w:t>
      </w:r>
      <w:r w:rsidRPr="003A0EC1">
        <w:rPr>
          <w:rFonts w:ascii="宋体" w:hAnsi="宋体" w:cs="Arial"/>
          <w:b/>
          <w:color w:val="000000"/>
          <w:kern w:val="0"/>
          <w:sz w:val="24"/>
        </w:rPr>
        <w:t>1</w:t>
      </w:r>
      <w:r w:rsidR="008E6C59">
        <w:rPr>
          <w:rFonts w:ascii="宋体" w:hAnsi="宋体" w:cs="Arial" w:hint="eastAsia"/>
          <w:b/>
          <w:color w:val="000000"/>
          <w:kern w:val="0"/>
          <w:sz w:val="24"/>
        </w:rPr>
        <w:t>2</w:t>
      </w:r>
      <w:r w:rsidRPr="003A0EC1">
        <w:rPr>
          <w:rFonts w:ascii="宋体" w:hAnsi="宋体" w:cs="Arial"/>
          <w:b/>
          <w:color w:val="000000"/>
          <w:kern w:val="0"/>
          <w:sz w:val="24"/>
        </w:rPr>
        <w:t>0</w:t>
      </w:r>
      <w:r w:rsidRPr="003A0EC1">
        <w:rPr>
          <w:rFonts w:ascii="宋体" w:hAnsi="宋体" w:cs="Arial" w:hint="eastAsia"/>
          <w:b/>
          <w:color w:val="000000"/>
          <w:kern w:val="0"/>
          <w:sz w:val="24"/>
        </w:rPr>
        <w:t>天情况说明</w:t>
      </w:r>
    </w:p>
    <w:p w:rsidR="008E6C59" w:rsidRPr="008E6C59" w:rsidRDefault="008E6C59" w:rsidP="008E6C59">
      <w:pPr>
        <w:adjustRightInd w:val="0"/>
        <w:spacing w:line="360" w:lineRule="auto"/>
        <w:ind w:firstLineChars="200" w:firstLine="480"/>
        <w:rPr>
          <w:color w:val="000000"/>
          <w:sz w:val="24"/>
        </w:rPr>
      </w:pPr>
      <w:r w:rsidRPr="008E6C59">
        <w:rPr>
          <w:rFonts w:hint="eastAsia"/>
          <w:color w:val="000000"/>
          <w:sz w:val="24"/>
        </w:rPr>
        <w:t>本报告期内本货币市场基金投资组合平均剩余期限未超过</w:t>
      </w:r>
      <w:r w:rsidRPr="008E6C59">
        <w:rPr>
          <w:rFonts w:hint="eastAsia"/>
          <w:color w:val="000000"/>
          <w:sz w:val="24"/>
        </w:rPr>
        <w:t>120</w:t>
      </w:r>
      <w:r w:rsidRPr="008E6C59">
        <w:rPr>
          <w:rFonts w:hint="eastAsia"/>
          <w:color w:val="000000"/>
          <w:sz w:val="24"/>
        </w:rPr>
        <w:t>天。</w:t>
      </w:r>
    </w:p>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各期限资产占基金资产净值的比例（</w:t>
            </w:r>
            <w:r w:rsidRPr="00A15461">
              <w:rPr>
                <w:color w:val="000000"/>
                <w:kern w:val="0"/>
                <w:sz w:val="24"/>
              </w:rPr>
              <w:t>%</w:t>
            </w:r>
            <w:r w:rsidRPr="00A15461">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各期限负债占基金资产净值的比例（％）</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sz w:val="24"/>
              </w:rPr>
              <w:t>30</w:t>
            </w:r>
            <w:r w:rsidRPr="00A15461">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24.98</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2.84</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sz w:val="24"/>
              </w:rPr>
              <w:t>其中：剩余存续期超过</w:t>
            </w:r>
            <w:r w:rsidRPr="00A15461">
              <w:rPr>
                <w:color w:val="000000"/>
                <w:sz w:val="24"/>
              </w:rPr>
              <w:t>397</w:t>
            </w:r>
            <w:r w:rsidRPr="00A15461">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r w:rsidRPr="00A15461">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sz w:val="24"/>
              </w:rPr>
              <w:t>30</w:t>
            </w:r>
            <w:r w:rsidRPr="00A15461">
              <w:rPr>
                <w:color w:val="000000"/>
                <w:sz w:val="24"/>
              </w:rPr>
              <w:t>天（含）</w:t>
            </w:r>
            <w:r w:rsidRPr="00A15461">
              <w:rPr>
                <w:color w:val="000000"/>
                <w:sz w:val="24"/>
              </w:rPr>
              <w:t>—60</w:t>
            </w:r>
            <w:r w:rsidRPr="00A15461">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4.69</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sz w:val="24"/>
              </w:rPr>
              <w:t>其中：剩余存续期超过</w:t>
            </w:r>
            <w:r w:rsidRPr="00A15461">
              <w:rPr>
                <w:color w:val="000000"/>
                <w:sz w:val="24"/>
              </w:rPr>
              <w:t>397</w:t>
            </w:r>
            <w:r w:rsidRPr="00A15461">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r w:rsidRPr="00A15461">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sz w:val="24"/>
              </w:rPr>
            </w:pPr>
            <w:r w:rsidRPr="00A15461">
              <w:rPr>
                <w:color w:val="000000"/>
                <w:sz w:val="24"/>
              </w:rPr>
              <w:t>60</w:t>
            </w:r>
            <w:r w:rsidRPr="00A15461">
              <w:rPr>
                <w:color w:val="000000"/>
                <w:sz w:val="24"/>
              </w:rPr>
              <w:t>天（含）</w:t>
            </w:r>
            <w:r w:rsidRPr="00A15461">
              <w:rPr>
                <w:color w:val="000000"/>
                <w:sz w:val="24"/>
              </w:rPr>
              <w:t>—90</w:t>
            </w:r>
            <w:r w:rsidRPr="00A15461">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43.58</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sz w:val="24"/>
              </w:rPr>
            </w:pPr>
            <w:r w:rsidRPr="00A15461">
              <w:rPr>
                <w:color w:val="000000"/>
                <w:sz w:val="24"/>
              </w:rPr>
              <w:t>其中：剩余存续期超过</w:t>
            </w:r>
            <w:r w:rsidRPr="00A15461">
              <w:rPr>
                <w:color w:val="000000"/>
                <w:sz w:val="24"/>
              </w:rPr>
              <w:t>397</w:t>
            </w:r>
            <w:r w:rsidRPr="00A15461">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E5550E"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5550E" w:rsidRPr="00A15461" w:rsidRDefault="00E5550E" w:rsidP="00196812">
            <w:pPr>
              <w:autoSpaceDE w:val="0"/>
              <w:autoSpaceDN w:val="0"/>
              <w:adjustRightInd w:val="0"/>
              <w:spacing w:before="29" w:line="360" w:lineRule="auto"/>
              <w:ind w:left="15"/>
              <w:jc w:val="center"/>
              <w:rPr>
                <w:color w:val="000000"/>
                <w:sz w:val="24"/>
              </w:rPr>
            </w:pPr>
            <w:r w:rsidRPr="00A15461">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left"/>
              <w:rPr>
                <w:rFonts w:eastAsiaTheme="minorEastAsia"/>
                <w:color w:val="000000" w:themeColor="text1"/>
                <w:sz w:val="24"/>
              </w:rPr>
            </w:pPr>
            <w:r w:rsidRPr="00E5550E">
              <w:rPr>
                <w:rFonts w:eastAsiaTheme="minorEastAsia"/>
                <w:color w:val="000000" w:themeColor="text1"/>
                <w:sz w:val="24"/>
              </w:rPr>
              <w:t>90</w:t>
            </w:r>
            <w:r w:rsidRPr="00E5550E">
              <w:rPr>
                <w:rFonts w:eastAsiaTheme="minorEastAsia"/>
                <w:color w:val="000000" w:themeColor="text1"/>
                <w:sz w:val="24"/>
              </w:rPr>
              <w:t>天（含）</w:t>
            </w:r>
            <w:r w:rsidRPr="00E5550E">
              <w:rPr>
                <w:rFonts w:eastAsiaTheme="minorEastAsia"/>
                <w:color w:val="000000" w:themeColor="text1"/>
                <w:sz w:val="24"/>
              </w:rPr>
              <w:t>—120</w:t>
            </w:r>
            <w:r w:rsidRPr="00E5550E">
              <w:rPr>
                <w:rFonts w:eastAsiaTheme="minorEastAsia"/>
                <w:color w:val="000000" w:themeColor="text1"/>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5.66</w:t>
            </w:r>
          </w:p>
        </w:tc>
        <w:tc>
          <w:tcPr>
            <w:tcW w:w="243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r>
      <w:tr w:rsidR="00E5550E"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5550E" w:rsidRPr="00A15461" w:rsidRDefault="00E5550E"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left"/>
              <w:rPr>
                <w:rFonts w:eastAsiaTheme="minorEastAsia"/>
                <w:color w:val="000000" w:themeColor="text1"/>
                <w:sz w:val="24"/>
              </w:rPr>
            </w:pPr>
            <w:r w:rsidRPr="00E5550E">
              <w:rPr>
                <w:rFonts w:eastAsiaTheme="minorEastAsia"/>
                <w:color w:val="000000" w:themeColor="text1"/>
                <w:sz w:val="24"/>
              </w:rPr>
              <w:t>其中：剩余存续期超过</w:t>
            </w:r>
            <w:r w:rsidRPr="00E5550E">
              <w:rPr>
                <w:rFonts w:eastAsiaTheme="minorEastAsia"/>
                <w:color w:val="000000" w:themeColor="text1"/>
                <w:sz w:val="24"/>
              </w:rPr>
              <w:t>397</w:t>
            </w:r>
            <w:r w:rsidRPr="00E5550E">
              <w:rPr>
                <w:rFonts w:eastAsiaTheme="minor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r>
      <w:tr w:rsidR="00E5550E"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5550E" w:rsidRPr="00A15461" w:rsidRDefault="00E5550E" w:rsidP="00196812">
            <w:pPr>
              <w:autoSpaceDE w:val="0"/>
              <w:autoSpaceDN w:val="0"/>
              <w:adjustRightInd w:val="0"/>
              <w:spacing w:before="29" w:line="360" w:lineRule="auto"/>
              <w:ind w:left="15"/>
              <w:jc w:val="center"/>
              <w:rPr>
                <w:color w:val="000000"/>
                <w:sz w:val="24"/>
              </w:rPr>
            </w:pPr>
            <w:r w:rsidRPr="00A15461">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left"/>
              <w:rPr>
                <w:rFonts w:eastAsiaTheme="minorEastAsia"/>
                <w:color w:val="000000" w:themeColor="text1"/>
                <w:sz w:val="24"/>
              </w:rPr>
            </w:pPr>
            <w:r w:rsidRPr="00E5550E">
              <w:rPr>
                <w:rFonts w:eastAsiaTheme="minorEastAsia"/>
                <w:color w:val="000000" w:themeColor="text1"/>
                <w:sz w:val="24"/>
              </w:rPr>
              <w:t>120</w:t>
            </w:r>
            <w:r w:rsidRPr="00E5550E">
              <w:rPr>
                <w:rFonts w:eastAsiaTheme="minorEastAsia"/>
                <w:color w:val="000000" w:themeColor="text1"/>
                <w:sz w:val="24"/>
              </w:rPr>
              <w:t>天（含）</w:t>
            </w:r>
            <w:r w:rsidRPr="00E5550E">
              <w:rPr>
                <w:rFonts w:eastAsiaTheme="minorEastAsia"/>
                <w:color w:val="000000" w:themeColor="text1"/>
                <w:sz w:val="24"/>
              </w:rPr>
              <w:t>—397</w:t>
            </w:r>
            <w:r w:rsidRPr="00E5550E">
              <w:rPr>
                <w:rFonts w:eastAsiaTheme="minorEastAsia"/>
                <w:color w:val="000000" w:themeColor="text1"/>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23.53</w:t>
            </w:r>
          </w:p>
        </w:tc>
        <w:tc>
          <w:tcPr>
            <w:tcW w:w="243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r>
      <w:tr w:rsidR="00E5550E"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5550E" w:rsidRPr="00A15461" w:rsidRDefault="00E5550E"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left"/>
              <w:rPr>
                <w:rFonts w:eastAsiaTheme="minorEastAsia"/>
                <w:color w:val="000000" w:themeColor="text1"/>
                <w:sz w:val="24"/>
              </w:rPr>
            </w:pPr>
            <w:r w:rsidRPr="00E5550E">
              <w:rPr>
                <w:rFonts w:eastAsiaTheme="minorEastAsia"/>
                <w:color w:val="000000" w:themeColor="text1"/>
                <w:sz w:val="24"/>
              </w:rPr>
              <w:t>其中：剩余存续期超过</w:t>
            </w:r>
            <w:r w:rsidRPr="00E5550E">
              <w:rPr>
                <w:rFonts w:eastAsiaTheme="minorEastAsia"/>
                <w:color w:val="000000" w:themeColor="text1"/>
                <w:sz w:val="24"/>
              </w:rPr>
              <w:t>397</w:t>
            </w:r>
            <w:r w:rsidRPr="00E5550E">
              <w:rPr>
                <w:rFonts w:eastAsiaTheme="minor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r>
      <w:tr w:rsidR="004B40EC"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4B40EC" w:rsidRPr="004B40EC" w:rsidRDefault="004B40EC" w:rsidP="00196812">
            <w:pPr>
              <w:autoSpaceDE w:val="0"/>
              <w:autoSpaceDN w:val="0"/>
              <w:adjustRightInd w:val="0"/>
              <w:spacing w:before="29" w:line="360" w:lineRule="auto"/>
              <w:ind w:left="15"/>
              <w:jc w:val="center"/>
              <w:rPr>
                <w:color w:val="000000"/>
                <w:sz w:val="24"/>
              </w:rPr>
            </w:pPr>
            <w:r w:rsidRPr="004B40EC">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4B40EC" w:rsidRPr="004B40EC" w:rsidRDefault="004B40EC" w:rsidP="007C1713">
            <w:pPr>
              <w:autoSpaceDE w:val="0"/>
              <w:autoSpaceDN w:val="0"/>
              <w:adjustRightInd w:val="0"/>
              <w:spacing w:before="29" w:line="360" w:lineRule="auto"/>
              <w:ind w:left="15"/>
              <w:jc w:val="right"/>
              <w:rPr>
                <w:rFonts w:eastAsiaTheme="minorEastAsia"/>
                <w:color w:val="000000" w:themeColor="text1"/>
                <w:kern w:val="0"/>
                <w:sz w:val="24"/>
              </w:rPr>
            </w:pPr>
            <w:r w:rsidRPr="004B40EC">
              <w:rPr>
                <w:rFonts w:eastAsiaTheme="minorEastAsia"/>
                <w:color w:val="000000" w:themeColor="text1"/>
                <w:sz w:val="24"/>
              </w:rPr>
              <w:t>102.45</w:t>
            </w:r>
          </w:p>
        </w:tc>
        <w:tc>
          <w:tcPr>
            <w:tcW w:w="2431" w:type="dxa"/>
            <w:tcBorders>
              <w:top w:val="single" w:sz="8" w:space="0" w:color="000000"/>
              <w:left w:val="single" w:sz="8" w:space="0" w:color="000000"/>
              <w:bottom w:val="single" w:sz="8" w:space="0" w:color="000000"/>
              <w:right w:val="single" w:sz="8" w:space="0" w:color="000000"/>
            </w:tcBorders>
            <w:vAlign w:val="center"/>
          </w:tcPr>
          <w:p w:rsidR="004B40EC" w:rsidRPr="004B40EC" w:rsidRDefault="004B40EC" w:rsidP="007C1713">
            <w:pPr>
              <w:autoSpaceDE w:val="0"/>
              <w:autoSpaceDN w:val="0"/>
              <w:adjustRightInd w:val="0"/>
              <w:spacing w:before="29" w:line="360" w:lineRule="auto"/>
              <w:ind w:left="15"/>
              <w:jc w:val="right"/>
              <w:rPr>
                <w:rFonts w:eastAsiaTheme="minorEastAsia"/>
                <w:color w:val="000000" w:themeColor="text1"/>
                <w:kern w:val="0"/>
                <w:sz w:val="24"/>
              </w:rPr>
            </w:pPr>
            <w:r w:rsidRPr="004B40EC">
              <w:rPr>
                <w:rFonts w:eastAsiaTheme="minorEastAsia"/>
                <w:color w:val="000000" w:themeColor="text1"/>
                <w:sz w:val="24"/>
              </w:rPr>
              <w:t>2.84</w:t>
            </w:r>
          </w:p>
        </w:tc>
      </w:tr>
    </w:tbl>
    <w:p w:rsidR="004B40EC" w:rsidRPr="003025FA" w:rsidRDefault="004B40EC" w:rsidP="004B40EC">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4B40EC" w:rsidRPr="004B40EC" w:rsidRDefault="004B40EC" w:rsidP="00A15461">
      <w:pPr>
        <w:adjustRightInd w:val="0"/>
        <w:spacing w:line="360" w:lineRule="auto"/>
        <w:ind w:firstLineChars="200" w:firstLine="480"/>
        <w:rPr>
          <w:color w:val="000000"/>
          <w:sz w:val="24"/>
        </w:rPr>
      </w:pPr>
      <w:r w:rsidRPr="004B40EC">
        <w:rPr>
          <w:rFonts w:eastAsiaTheme="minorEastAsia"/>
          <w:color w:val="000000" w:themeColor="text1"/>
          <w:sz w:val="24"/>
        </w:rPr>
        <w:t>本报告期内本货币市场基金投资组合平均剩余存续期未超过</w:t>
      </w:r>
      <w:r w:rsidRPr="004B40EC">
        <w:rPr>
          <w:rFonts w:eastAsiaTheme="minorEastAsia"/>
          <w:color w:val="000000" w:themeColor="text1"/>
          <w:sz w:val="24"/>
        </w:rPr>
        <w:t>240</w:t>
      </w:r>
      <w:r w:rsidRPr="004B40EC">
        <w:rPr>
          <w:rFonts w:eastAsiaTheme="minorEastAsia"/>
          <w:color w:val="000000" w:themeColor="text1"/>
          <w:sz w:val="24"/>
        </w:rPr>
        <w:t>天。</w:t>
      </w:r>
    </w:p>
    <w:p w:rsidR="006B01A5" w:rsidRPr="00A370A1" w:rsidRDefault="00941F6C" w:rsidP="006B01A5">
      <w:pPr>
        <w:spacing w:line="360" w:lineRule="auto"/>
        <w:rPr>
          <w:rFonts w:eastAsiaTheme="minorEastAsia"/>
          <w:b/>
          <w:color w:val="000000" w:themeColor="text1"/>
          <w:kern w:val="0"/>
          <w:sz w:val="24"/>
        </w:rPr>
      </w:pPr>
      <w:r w:rsidRPr="0097021E">
        <w:rPr>
          <w:rFonts w:ascii="宋体" w:hAnsi="宋体" w:cs="Arial"/>
          <w:b/>
          <w:color w:val="000000"/>
          <w:kern w:val="0"/>
          <w:sz w:val="24"/>
        </w:rPr>
        <w:t>5.</w:t>
      </w:r>
      <w:r w:rsidR="004B40EC">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261"/>
        <w:gridCol w:w="1984"/>
      </w:tblGrid>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序号</w:t>
            </w:r>
          </w:p>
        </w:tc>
        <w:tc>
          <w:tcPr>
            <w:tcW w:w="3260"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债券品种</w:t>
            </w:r>
          </w:p>
        </w:tc>
        <w:tc>
          <w:tcPr>
            <w:tcW w:w="3261"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摊余成本（元）</w:t>
            </w:r>
          </w:p>
        </w:tc>
        <w:tc>
          <w:tcPr>
            <w:tcW w:w="1984"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占基金资产净值比例</w:t>
            </w:r>
            <w:r w:rsidRPr="00A370A1">
              <w:rPr>
                <w:rFonts w:eastAsiaTheme="minorEastAsia"/>
                <w:color w:val="000000" w:themeColor="text1"/>
                <w:sz w:val="24"/>
              </w:rPr>
              <w:t>(</w:t>
            </w:r>
            <w:r w:rsidRPr="00A370A1">
              <w:rPr>
                <w:rFonts w:eastAsiaTheme="minorEastAsia"/>
                <w:color w:val="000000" w:themeColor="text1"/>
                <w:sz w:val="24"/>
              </w:rPr>
              <w:t>％</w:t>
            </w:r>
            <w:r w:rsidRPr="00A370A1">
              <w:rPr>
                <w:rFonts w:eastAsiaTheme="minorEastAsia"/>
                <w:color w:val="000000" w:themeColor="text1"/>
                <w:sz w:val="24"/>
              </w:rPr>
              <w:t>)</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1</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国家债券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2</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央行票据</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3</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金融债券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210,372,672.71</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5.19</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其中：政策性金融债</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210,372,672.71</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5.19</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4</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企业债券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5</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企业短期融资券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179,668,106.32</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4.43</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6</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中期票据</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181,420,152.78</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4.48</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7</w:t>
            </w:r>
          </w:p>
        </w:tc>
        <w:tc>
          <w:tcPr>
            <w:tcW w:w="3260" w:type="dxa"/>
            <w:vAlign w:val="center"/>
          </w:tcPr>
          <w:p w:rsidR="006B01A5" w:rsidRPr="00A370A1" w:rsidRDefault="006B01A5" w:rsidP="00735A6C">
            <w:pPr>
              <w:spacing w:before="29" w:line="360" w:lineRule="auto"/>
              <w:ind w:left="17"/>
              <w:jc w:val="left"/>
              <w:rPr>
                <w:rFonts w:eastAsiaTheme="minorEastAsia"/>
                <w:color w:val="000000" w:themeColor="text1"/>
                <w:sz w:val="24"/>
              </w:rPr>
            </w:pPr>
            <w:r w:rsidRPr="00A370A1">
              <w:rPr>
                <w:rFonts w:eastAsiaTheme="minorEastAsia"/>
                <w:color w:val="000000" w:themeColor="text1"/>
                <w:sz w:val="24"/>
              </w:rPr>
              <w:t>同业存单</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989,036,611.05</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24.40</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8</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其他</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9</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合计</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1,560,497,542.86</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38.50</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10</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剩余存续期超过</w:t>
            </w:r>
            <w:r w:rsidRPr="00A370A1">
              <w:rPr>
                <w:rFonts w:eastAsiaTheme="minorEastAsia"/>
                <w:color w:val="000000" w:themeColor="text1"/>
                <w:sz w:val="24"/>
              </w:rPr>
              <w:t>397</w:t>
            </w:r>
            <w:r w:rsidRPr="00A370A1">
              <w:rPr>
                <w:rFonts w:eastAsiaTheme="minorEastAsia"/>
                <w:color w:val="000000" w:themeColor="text1"/>
                <w:sz w:val="24"/>
              </w:rPr>
              <w:t>天的浮动利率债券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r>
    </w:tbl>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5.</w:t>
      </w:r>
      <w:r w:rsidR="004B40EC">
        <w:rPr>
          <w:rFonts w:ascii="宋体" w:hAnsi="宋体" w:cs="Arial" w:hint="eastAsia"/>
          <w:b/>
          <w:color w:val="000000"/>
          <w:kern w:val="0"/>
          <w:sz w:val="24"/>
        </w:rPr>
        <w:t>6</w:t>
      </w:r>
      <w:r w:rsidRPr="0097021E">
        <w:rPr>
          <w:rFonts w:ascii="宋体" w:hAnsi="宋体" w:cs="Arial"/>
          <w:b/>
          <w:color w:val="000000"/>
          <w:kern w:val="0"/>
          <w:sz w:val="24"/>
        </w:rPr>
        <w:t xml:space="preserve"> </w:t>
      </w:r>
      <w:r w:rsidR="00DA133F">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1404"/>
        <w:gridCol w:w="1404"/>
        <w:gridCol w:w="1692"/>
        <w:gridCol w:w="1692"/>
        <w:gridCol w:w="1692"/>
      </w:tblGrid>
      <w:tr w:rsidR="00941F6C" w:rsidRPr="0097021E" w:rsidTr="00CA7D55">
        <w:tc>
          <w:tcPr>
            <w:tcW w:w="1547"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序号</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债券代码</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债券名称</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债券数量</w:t>
            </w:r>
          </w:p>
          <w:p w:rsidR="00941F6C" w:rsidRPr="00A15461" w:rsidRDefault="00DC22A1" w:rsidP="00DC22A1">
            <w:pPr>
              <w:autoSpaceDE w:val="0"/>
              <w:autoSpaceDN w:val="0"/>
              <w:adjustRightInd w:val="0"/>
              <w:spacing w:before="29" w:line="360" w:lineRule="auto"/>
              <w:ind w:left="15"/>
              <w:jc w:val="center"/>
              <w:rPr>
                <w:color w:val="000000"/>
                <w:kern w:val="0"/>
                <w:sz w:val="24"/>
              </w:rPr>
            </w:pPr>
            <w:r w:rsidRPr="00A15461">
              <w:rPr>
                <w:color w:val="000000"/>
                <w:kern w:val="0"/>
                <w:sz w:val="24"/>
              </w:rPr>
              <w:t>（张）</w:t>
            </w:r>
          </w:p>
        </w:tc>
        <w:tc>
          <w:tcPr>
            <w:tcW w:w="1548" w:type="dxa"/>
            <w:vAlign w:val="center"/>
          </w:tcPr>
          <w:p w:rsidR="00941F6C" w:rsidRPr="00A15461" w:rsidRDefault="00941F6C" w:rsidP="00DC22A1">
            <w:pPr>
              <w:autoSpaceDE w:val="0"/>
              <w:autoSpaceDN w:val="0"/>
              <w:adjustRightInd w:val="0"/>
              <w:spacing w:before="29" w:line="360" w:lineRule="auto"/>
              <w:ind w:left="15"/>
              <w:jc w:val="center"/>
              <w:rPr>
                <w:color w:val="000000"/>
                <w:kern w:val="0"/>
                <w:sz w:val="24"/>
              </w:rPr>
            </w:pPr>
            <w:r w:rsidRPr="00A15461">
              <w:rPr>
                <w:color w:val="000000"/>
                <w:kern w:val="0"/>
                <w:sz w:val="24"/>
              </w:rPr>
              <w:t>摊余成本</w:t>
            </w:r>
            <w:r w:rsidR="00DC22A1" w:rsidRPr="00A15461">
              <w:rPr>
                <w:color w:val="000000"/>
                <w:kern w:val="0"/>
                <w:sz w:val="24"/>
              </w:rPr>
              <w:t>（元）</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占基金资产净值比例（％）</w:t>
            </w:r>
          </w:p>
        </w:tc>
      </w:tr>
      <w:tr w:rsidR="00A11CC7">
        <w:tc>
          <w:tcPr>
            <w:tcW w:w="0" w:type="auto"/>
            <w:vAlign w:val="center"/>
          </w:tcPr>
          <w:p w:rsidR="00A11CC7" w:rsidRDefault="002001B8">
            <w:pPr>
              <w:jc w:val="center"/>
            </w:pPr>
            <w:r>
              <w:rPr>
                <w:color w:val="000000"/>
                <w:sz w:val="24"/>
              </w:rPr>
              <w:t>1</w:t>
            </w:r>
          </w:p>
        </w:tc>
        <w:tc>
          <w:tcPr>
            <w:tcW w:w="0" w:type="auto"/>
            <w:vAlign w:val="center"/>
          </w:tcPr>
          <w:p w:rsidR="00A11CC7" w:rsidRDefault="002001B8">
            <w:pPr>
              <w:jc w:val="center"/>
            </w:pPr>
            <w:r>
              <w:rPr>
                <w:color w:val="000000"/>
                <w:sz w:val="24"/>
              </w:rPr>
              <w:t>111904009</w:t>
            </w:r>
          </w:p>
        </w:tc>
        <w:tc>
          <w:tcPr>
            <w:tcW w:w="0" w:type="auto"/>
            <w:vAlign w:val="center"/>
          </w:tcPr>
          <w:p w:rsidR="00A11CC7" w:rsidRDefault="002001B8">
            <w:pPr>
              <w:jc w:val="center"/>
            </w:pPr>
            <w:r>
              <w:rPr>
                <w:color w:val="000000"/>
                <w:sz w:val="24"/>
              </w:rPr>
              <w:t>19</w:t>
            </w:r>
            <w:r>
              <w:rPr>
                <w:color w:val="000000"/>
                <w:sz w:val="24"/>
              </w:rPr>
              <w:t>中国银行</w:t>
            </w:r>
            <w:r>
              <w:rPr>
                <w:color w:val="000000"/>
                <w:sz w:val="24"/>
              </w:rPr>
              <w:t>CD009</w:t>
            </w:r>
          </w:p>
        </w:tc>
        <w:tc>
          <w:tcPr>
            <w:tcW w:w="0" w:type="auto"/>
            <w:vAlign w:val="center"/>
          </w:tcPr>
          <w:p w:rsidR="00A11CC7" w:rsidRDefault="002001B8">
            <w:pPr>
              <w:jc w:val="right"/>
            </w:pPr>
            <w:r>
              <w:rPr>
                <w:color w:val="000000"/>
                <w:sz w:val="24"/>
              </w:rPr>
              <w:t>1,000,000</w:t>
            </w:r>
          </w:p>
        </w:tc>
        <w:tc>
          <w:tcPr>
            <w:tcW w:w="0" w:type="auto"/>
            <w:vAlign w:val="center"/>
          </w:tcPr>
          <w:p w:rsidR="00A11CC7" w:rsidRDefault="002001B8">
            <w:pPr>
              <w:jc w:val="right"/>
            </w:pPr>
            <w:r>
              <w:rPr>
                <w:color w:val="000000"/>
                <w:sz w:val="24"/>
              </w:rPr>
              <w:t>99,357,330.13</w:t>
            </w:r>
          </w:p>
        </w:tc>
        <w:tc>
          <w:tcPr>
            <w:tcW w:w="0" w:type="auto"/>
            <w:vAlign w:val="center"/>
          </w:tcPr>
          <w:p w:rsidR="00A11CC7" w:rsidRDefault="002001B8">
            <w:pPr>
              <w:jc w:val="right"/>
            </w:pPr>
            <w:r>
              <w:rPr>
                <w:color w:val="000000"/>
                <w:sz w:val="24"/>
              </w:rPr>
              <w:t>2.45</w:t>
            </w:r>
          </w:p>
        </w:tc>
      </w:tr>
      <w:tr w:rsidR="00A11CC7">
        <w:tc>
          <w:tcPr>
            <w:tcW w:w="0" w:type="auto"/>
            <w:vAlign w:val="center"/>
          </w:tcPr>
          <w:p w:rsidR="00A11CC7" w:rsidRDefault="002001B8">
            <w:pPr>
              <w:jc w:val="center"/>
            </w:pPr>
            <w:r>
              <w:rPr>
                <w:color w:val="000000"/>
                <w:sz w:val="24"/>
              </w:rPr>
              <w:t>2</w:t>
            </w:r>
          </w:p>
        </w:tc>
        <w:tc>
          <w:tcPr>
            <w:tcW w:w="0" w:type="auto"/>
            <w:vAlign w:val="center"/>
          </w:tcPr>
          <w:p w:rsidR="00A11CC7" w:rsidRDefault="002001B8">
            <w:pPr>
              <w:jc w:val="center"/>
            </w:pPr>
            <w:r>
              <w:rPr>
                <w:color w:val="000000"/>
                <w:sz w:val="24"/>
              </w:rPr>
              <w:t>111903147</w:t>
            </w:r>
          </w:p>
        </w:tc>
        <w:tc>
          <w:tcPr>
            <w:tcW w:w="0" w:type="auto"/>
            <w:vAlign w:val="center"/>
          </w:tcPr>
          <w:p w:rsidR="00A11CC7" w:rsidRDefault="002001B8">
            <w:pPr>
              <w:jc w:val="center"/>
            </w:pPr>
            <w:r>
              <w:rPr>
                <w:color w:val="000000"/>
                <w:sz w:val="24"/>
              </w:rPr>
              <w:t>19</w:t>
            </w:r>
            <w:r>
              <w:rPr>
                <w:color w:val="000000"/>
                <w:sz w:val="24"/>
              </w:rPr>
              <w:t>农业银行</w:t>
            </w:r>
            <w:r>
              <w:rPr>
                <w:color w:val="000000"/>
                <w:sz w:val="24"/>
              </w:rPr>
              <w:t>CD147</w:t>
            </w:r>
          </w:p>
        </w:tc>
        <w:tc>
          <w:tcPr>
            <w:tcW w:w="0" w:type="auto"/>
            <w:vAlign w:val="center"/>
          </w:tcPr>
          <w:p w:rsidR="00A11CC7" w:rsidRDefault="002001B8">
            <w:pPr>
              <w:jc w:val="right"/>
            </w:pPr>
            <w:r>
              <w:rPr>
                <w:color w:val="000000"/>
                <w:sz w:val="24"/>
              </w:rPr>
              <w:t>1,000,000</w:t>
            </w:r>
          </w:p>
        </w:tc>
        <w:tc>
          <w:tcPr>
            <w:tcW w:w="0" w:type="auto"/>
            <w:vAlign w:val="center"/>
          </w:tcPr>
          <w:p w:rsidR="00A11CC7" w:rsidRDefault="002001B8">
            <w:pPr>
              <w:jc w:val="right"/>
            </w:pPr>
            <w:r>
              <w:rPr>
                <w:color w:val="000000"/>
                <w:sz w:val="24"/>
              </w:rPr>
              <w:t>99,357,101.01</w:t>
            </w:r>
          </w:p>
        </w:tc>
        <w:tc>
          <w:tcPr>
            <w:tcW w:w="0" w:type="auto"/>
            <w:vAlign w:val="center"/>
          </w:tcPr>
          <w:p w:rsidR="00A11CC7" w:rsidRDefault="002001B8">
            <w:pPr>
              <w:jc w:val="right"/>
            </w:pPr>
            <w:r>
              <w:rPr>
                <w:color w:val="000000"/>
                <w:sz w:val="24"/>
              </w:rPr>
              <w:t>2.45</w:t>
            </w:r>
          </w:p>
        </w:tc>
      </w:tr>
      <w:tr w:rsidR="00A11CC7">
        <w:tc>
          <w:tcPr>
            <w:tcW w:w="0" w:type="auto"/>
            <w:vAlign w:val="center"/>
          </w:tcPr>
          <w:p w:rsidR="00A11CC7" w:rsidRDefault="002001B8">
            <w:pPr>
              <w:jc w:val="center"/>
            </w:pPr>
            <w:r>
              <w:rPr>
                <w:color w:val="000000"/>
                <w:sz w:val="24"/>
              </w:rPr>
              <w:t>3</w:t>
            </w:r>
          </w:p>
        </w:tc>
        <w:tc>
          <w:tcPr>
            <w:tcW w:w="0" w:type="auto"/>
            <w:vAlign w:val="center"/>
          </w:tcPr>
          <w:p w:rsidR="00A11CC7" w:rsidRDefault="002001B8">
            <w:pPr>
              <w:jc w:val="center"/>
            </w:pPr>
            <w:r>
              <w:rPr>
                <w:color w:val="000000"/>
                <w:sz w:val="24"/>
              </w:rPr>
              <w:t>111904015</w:t>
            </w:r>
          </w:p>
        </w:tc>
        <w:tc>
          <w:tcPr>
            <w:tcW w:w="0" w:type="auto"/>
            <w:vAlign w:val="center"/>
          </w:tcPr>
          <w:p w:rsidR="00A11CC7" w:rsidRDefault="002001B8">
            <w:pPr>
              <w:jc w:val="center"/>
            </w:pPr>
            <w:r>
              <w:rPr>
                <w:color w:val="000000"/>
                <w:sz w:val="24"/>
              </w:rPr>
              <w:t>19</w:t>
            </w:r>
            <w:r>
              <w:rPr>
                <w:color w:val="000000"/>
                <w:sz w:val="24"/>
              </w:rPr>
              <w:t>中国银行</w:t>
            </w:r>
            <w:r>
              <w:rPr>
                <w:color w:val="000000"/>
                <w:sz w:val="24"/>
              </w:rPr>
              <w:t>CD015</w:t>
            </w:r>
          </w:p>
        </w:tc>
        <w:tc>
          <w:tcPr>
            <w:tcW w:w="0" w:type="auto"/>
            <w:vAlign w:val="center"/>
          </w:tcPr>
          <w:p w:rsidR="00A11CC7" w:rsidRDefault="002001B8">
            <w:pPr>
              <w:jc w:val="right"/>
            </w:pPr>
            <w:r>
              <w:rPr>
                <w:color w:val="000000"/>
                <w:sz w:val="24"/>
              </w:rPr>
              <w:t>1,000,000</w:t>
            </w:r>
          </w:p>
        </w:tc>
        <w:tc>
          <w:tcPr>
            <w:tcW w:w="0" w:type="auto"/>
            <w:vAlign w:val="center"/>
          </w:tcPr>
          <w:p w:rsidR="00A11CC7" w:rsidRDefault="002001B8">
            <w:pPr>
              <w:jc w:val="right"/>
            </w:pPr>
            <w:r>
              <w:rPr>
                <w:color w:val="000000"/>
                <w:sz w:val="24"/>
              </w:rPr>
              <w:t>99,290,822.15</w:t>
            </w:r>
          </w:p>
        </w:tc>
        <w:tc>
          <w:tcPr>
            <w:tcW w:w="0" w:type="auto"/>
            <w:vAlign w:val="center"/>
          </w:tcPr>
          <w:p w:rsidR="00A11CC7" w:rsidRDefault="002001B8">
            <w:pPr>
              <w:jc w:val="right"/>
            </w:pPr>
            <w:r>
              <w:rPr>
                <w:color w:val="000000"/>
                <w:sz w:val="24"/>
              </w:rPr>
              <w:t>2.45</w:t>
            </w:r>
          </w:p>
        </w:tc>
      </w:tr>
      <w:tr w:rsidR="00A11CC7">
        <w:tc>
          <w:tcPr>
            <w:tcW w:w="0" w:type="auto"/>
            <w:vAlign w:val="center"/>
          </w:tcPr>
          <w:p w:rsidR="00A11CC7" w:rsidRDefault="002001B8">
            <w:pPr>
              <w:jc w:val="center"/>
            </w:pPr>
            <w:r>
              <w:rPr>
                <w:color w:val="000000"/>
                <w:sz w:val="24"/>
              </w:rPr>
              <w:t>4</w:t>
            </w:r>
          </w:p>
        </w:tc>
        <w:tc>
          <w:tcPr>
            <w:tcW w:w="0" w:type="auto"/>
            <w:vAlign w:val="center"/>
          </w:tcPr>
          <w:p w:rsidR="00A11CC7" w:rsidRDefault="002001B8">
            <w:pPr>
              <w:jc w:val="center"/>
            </w:pPr>
            <w:r>
              <w:rPr>
                <w:color w:val="000000"/>
                <w:sz w:val="24"/>
              </w:rPr>
              <w:t>111908046</w:t>
            </w:r>
          </w:p>
        </w:tc>
        <w:tc>
          <w:tcPr>
            <w:tcW w:w="0" w:type="auto"/>
            <w:vAlign w:val="center"/>
          </w:tcPr>
          <w:p w:rsidR="00A11CC7" w:rsidRDefault="002001B8">
            <w:pPr>
              <w:jc w:val="center"/>
            </w:pPr>
            <w:r>
              <w:rPr>
                <w:color w:val="000000"/>
                <w:sz w:val="24"/>
              </w:rPr>
              <w:t>19</w:t>
            </w:r>
            <w:r>
              <w:rPr>
                <w:color w:val="000000"/>
                <w:sz w:val="24"/>
              </w:rPr>
              <w:t>中信银行</w:t>
            </w:r>
            <w:r>
              <w:rPr>
                <w:color w:val="000000"/>
                <w:sz w:val="24"/>
              </w:rPr>
              <w:t>CD046</w:t>
            </w:r>
          </w:p>
        </w:tc>
        <w:tc>
          <w:tcPr>
            <w:tcW w:w="0" w:type="auto"/>
            <w:vAlign w:val="center"/>
          </w:tcPr>
          <w:p w:rsidR="00A11CC7" w:rsidRDefault="002001B8">
            <w:pPr>
              <w:jc w:val="right"/>
            </w:pPr>
            <w:r>
              <w:rPr>
                <w:color w:val="000000"/>
                <w:sz w:val="24"/>
              </w:rPr>
              <w:t>1,000,000</w:t>
            </w:r>
          </w:p>
        </w:tc>
        <w:tc>
          <w:tcPr>
            <w:tcW w:w="0" w:type="auto"/>
            <w:vAlign w:val="center"/>
          </w:tcPr>
          <w:p w:rsidR="00A11CC7" w:rsidRDefault="002001B8">
            <w:pPr>
              <w:jc w:val="right"/>
            </w:pPr>
            <w:r>
              <w:rPr>
                <w:color w:val="000000"/>
                <w:sz w:val="24"/>
              </w:rPr>
              <w:t>99,080,217.82</w:t>
            </w:r>
          </w:p>
        </w:tc>
        <w:tc>
          <w:tcPr>
            <w:tcW w:w="0" w:type="auto"/>
            <w:vAlign w:val="center"/>
          </w:tcPr>
          <w:p w:rsidR="00A11CC7" w:rsidRDefault="002001B8">
            <w:pPr>
              <w:jc w:val="right"/>
            </w:pPr>
            <w:r>
              <w:rPr>
                <w:color w:val="000000"/>
                <w:sz w:val="24"/>
              </w:rPr>
              <w:t>2.44</w:t>
            </w:r>
          </w:p>
        </w:tc>
      </w:tr>
      <w:tr w:rsidR="00A11CC7">
        <w:tc>
          <w:tcPr>
            <w:tcW w:w="0" w:type="auto"/>
            <w:vAlign w:val="center"/>
          </w:tcPr>
          <w:p w:rsidR="00A11CC7" w:rsidRDefault="002001B8">
            <w:pPr>
              <w:jc w:val="center"/>
            </w:pPr>
            <w:r>
              <w:rPr>
                <w:color w:val="000000"/>
                <w:sz w:val="24"/>
              </w:rPr>
              <w:t>5</w:t>
            </w:r>
          </w:p>
        </w:tc>
        <w:tc>
          <w:tcPr>
            <w:tcW w:w="0" w:type="auto"/>
            <w:vAlign w:val="center"/>
          </w:tcPr>
          <w:p w:rsidR="00A11CC7" w:rsidRDefault="002001B8">
            <w:pPr>
              <w:jc w:val="center"/>
            </w:pPr>
            <w:r>
              <w:rPr>
                <w:color w:val="000000"/>
                <w:sz w:val="24"/>
              </w:rPr>
              <w:t>111908254</w:t>
            </w:r>
          </w:p>
        </w:tc>
        <w:tc>
          <w:tcPr>
            <w:tcW w:w="0" w:type="auto"/>
            <w:vAlign w:val="center"/>
          </w:tcPr>
          <w:p w:rsidR="00A11CC7" w:rsidRDefault="002001B8">
            <w:pPr>
              <w:jc w:val="center"/>
            </w:pPr>
            <w:r>
              <w:rPr>
                <w:color w:val="000000"/>
                <w:sz w:val="24"/>
              </w:rPr>
              <w:t>19</w:t>
            </w:r>
            <w:r>
              <w:rPr>
                <w:color w:val="000000"/>
                <w:sz w:val="24"/>
              </w:rPr>
              <w:t>中信银行</w:t>
            </w:r>
            <w:r>
              <w:rPr>
                <w:color w:val="000000"/>
                <w:sz w:val="24"/>
              </w:rPr>
              <w:t>CD254</w:t>
            </w:r>
          </w:p>
        </w:tc>
        <w:tc>
          <w:tcPr>
            <w:tcW w:w="0" w:type="auto"/>
            <w:vAlign w:val="center"/>
          </w:tcPr>
          <w:p w:rsidR="00A11CC7" w:rsidRDefault="002001B8">
            <w:pPr>
              <w:jc w:val="right"/>
            </w:pPr>
            <w:r>
              <w:rPr>
                <w:color w:val="000000"/>
                <w:sz w:val="24"/>
              </w:rPr>
              <w:t>1,000,000</w:t>
            </w:r>
          </w:p>
        </w:tc>
        <w:tc>
          <w:tcPr>
            <w:tcW w:w="0" w:type="auto"/>
            <w:vAlign w:val="center"/>
          </w:tcPr>
          <w:p w:rsidR="00A11CC7" w:rsidRDefault="002001B8">
            <w:pPr>
              <w:jc w:val="right"/>
            </w:pPr>
            <w:r>
              <w:rPr>
                <w:color w:val="000000"/>
                <w:sz w:val="24"/>
              </w:rPr>
              <w:t>98,650,976.74</w:t>
            </w:r>
          </w:p>
        </w:tc>
        <w:tc>
          <w:tcPr>
            <w:tcW w:w="0" w:type="auto"/>
            <w:vAlign w:val="center"/>
          </w:tcPr>
          <w:p w:rsidR="00A11CC7" w:rsidRDefault="002001B8">
            <w:pPr>
              <w:jc w:val="right"/>
            </w:pPr>
            <w:r>
              <w:rPr>
                <w:color w:val="000000"/>
                <w:sz w:val="24"/>
              </w:rPr>
              <w:t>2.43</w:t>
            </w:r>
          </w:p>
        </w:tc>
      </w:tr>
      <w:tr w:rsidR="00A11CC7">
        <w:tc>
          <w:tcPr>
            <w:tcW w:w="0" w:type="auto"/>
            <w:vAlign w:val="center"/>
          </w:tcPr>
          <w:p w:rsidR="00A11CC7" w:rsidRDefault="002001B8">
            <w:pPr>
              <w:jc w:val="center"/>
            </w:pPr>
            <w:r>
              <w:rPr>
                <w:color w:val="000000"/>
                <w:sz w:val="24"/>
              </w:rPr>
              <w:t>6</w:t>
            </w:r>
          </w:p>
        </w:tc>
        <w:tc>
          <w:tcPr>
            <w:tcW w:w="0" w:type="auto"/>
            <w:vAlign w:val="center"/>
          </w:tcPr>
          <w:p w:rsidR="00A11CC7" w:rsidRDefault="002001B8">
            <w:pPr>
              <w:jc w:val="center"/>
            </w:pPr>
            <w:r>
              <w:rPr>
                <w:color w:val="000000"/>
                <w:sz w:val="24"/>
              </w:rPr>
              <w:t>111907205</w:t>
            </w:r>
          </w:p>
        </w:tc>
        <w:tc>
          <w:tcPr>
            <w:tcW w:w="0" w:type="auto"/>
            <w:vAlign w:val="center"/>
          </w:tcPr>
          <w:p w:rsidR="00A11CC7" w:rsidRDefault="002001B8">
            <w:pPr>
              <w:jc w:val="center"/>
            </w:pPr>
            <w:r>
              <w:rPr>
                <w:color w:val="000000"/>
                <w:sz w:val="24"/>
              </w:rPr>
              <w:t>19</w:t>
            </w:r>
            <w:r>
              <w:rPr>
                <w:color w:val="000000"/>
                <w:sz w:val="24"/>
              </w:rPr>
              <w:t>招商银行</w:t>
            </w:r>
            <w:r>
              <w:rPr>
                <w:color w:val="000000"/>
                <w:sz w:val="24"/>
              </w:rPr>
              <w:t>CD205</w:t>
            </w:r>
          </w:p>
        </w:tc>
        <w:tc>
          <w:tcPr>
            <w:tcW w:w="0" w:type="auto"/>
            <w:vAlign w:val="center"/>
          </w:tcPr>
          <w:p w:rsidR="00A11CC7" w:rsidRDefault="002001B8">
            <w:pPr>
              <w:jc w:val="right"/>
            </w:pPr>
            <w:r>
              <w:rPr>
                <w:color w:val="000000"/>
                <w:sz w:val="24"/>
              </w:rPr>
              <w:t>1,000,000</w:t>
            </w:r>
          </w:p>
        </w:tc>
        <w:tc>
          <w:tcPr>
            <w:tcW w:w="0" w:type="auto"/>
            <w:vAlign w:val="center"/>
          </w:tcPr>
          <w:p w:rsidR="00A11CC7" w:rsidRDefault="002001B8">
            <w:pPr>
              <w:jc w:val="right"/>
            </w:pPr>
            <w:r>
              <w:rPr>
                <w:color w:val="000000"/>
                <w:sz w:val="24"/>
              </w:rPr>
              <w:t>98,615,076.25</w:t>
            </w:r>
          </w:p>
        </w:tc>
        <w:tc>
          <w:tcPr>
            <w:tcW w:w="0" w:type="auto"/>
            <w:vAlign w:val="center"/>
          </w:tcPr>
          <w:p w:rsidR="00A11CC7" w:rsidRDefault="002001B8">
            <w:pPr>
              <w:jc w:val="right"/>
            </w:pPr>
            <w:r>
              <w:rPr>
                <w:color w:val="000000"/>
                <w:sz w:val="24"/>
              </w:rPr>
              <w:t>2.43</w:t>
            </w:r>
          </w:p>
        </w:tc>
      </w:tr>
      <w:tr w:rsidR="00A11CC7">
        <w:tc>
          <w:tcPr>
            <w:tcW w:w="0" w:type="auto"/>
            <w:vAlign w:val="center"/>
          </w:tcPr>
          <w:p w:rsidR="00A11CC7" w:rsidRDefault="002001B8">
            <w:pPr>
              <w:jc w:val="center"/>
            </w:pPr>
            <w:r>
              <w:rPr>
                <w:color w:val="000000"/>
                <w:sz w:val="24"/>
              </w:rPr>
              <w:t>7</w:t>
            </w:r>
          </w:p>
        </w:tc>
        <w:tc>
          <w:tcPr>
            <w:tcW w:w="0" w:type="auto"/>
            <w:vAlign w:val="center"/>
          </w:tcPr>
          <w:p w:rsidR="00A11CC7" w:rsidRDefault="002001B8">
            <w:pPr>
              <w:jc w:val="center"/>
            </w:pPr>
            <w:r>
              <w:rPr>
                <w:color w:val="000000"/>
                <w:sz w:val="24"/>
              </w:rPr>
              <w:t>111903202</w:t>
            </w:r>
          </w:p>
        </w:tc>
        <w:tc>
          <w:tcPr>
            <w:tcW w:w="0" w:type="auto"/>
            <w:vAlign w:val="center"/>
          </w:tcPr>
          <w:p w:rsidR="00A11CC7" w:rsidRDefault="002001B8">
            <w:pPr>
              <w:jc w:val="center"/>
            </w:pPr>
            <w:r>
              <w:rPr>
                <w:color w:val="000000"/>
                <w:sz w:val="24"/>
              </w:rPr>
              <w:t>19</w:t>
            </w:r>
            <w:r>
              <w:rPr>
                <w:color w:val="000000"/>
                <w:sz w:val="24"/>
              </w:rPr>
              <w:t>农业银行</w:t>
            </w:r>
            <w:r>
              <w:rPr>
                <w:color w:val="000000"/>
                <w:sz w:val="24"/>
              </w:rPr>
              <w:t>CD202</w:t>
            </w:r>
          </w:p>
        </w:tc>
        <w:tc>
          <w:tcPr>
            <w:tcW w:w="0" w:type="auto"/>
            <w:vAlign w:val="center"/>
          </w:tcPr>
          <w:p w:rsidR="00A11CC7" w:rsidRDefault="002001B8">
            <w:pPr>
              <w:jc w:val="right"/>
            </w:pPr>
            <w:r>
              <w:rPr>
                <w:color w:val="000000"/>
                <w:sz w:val="24"/>
              </w:rPr>
              <w:t>1,000,000</w:t>
            </w:r>
          </w:p>
        </w:tc>
        <w:tc>
          <w:tcPr>
            <w:tcW w:w="0" w:type="auto"/>
            <w:vAlign w:val="center"/>
          </w:tcPr>
          <w:p w:rsidR="00A11CC7" w:rsidRDefault="002001B8">
            <w:pPr>
              <w:jc w:val="right"/>
            </w:pPr>
            <w:r>
              <w:rPr>
                <w:color w:val="000000"/>
                <w:sz w:val="24"/>
              </w:rPr>
              <w:t>98,315,721.21</w:t>
            </w:r>
          </w:p>
        </w:tc>
        <w:tc>
          <w:tcPr>
            <w:tcW w:w="0" w:type="auto"/>
            <w:vAlign w:val="center"/>
          </w:tcPr>
          <w:p w:rsidR="00A11CC7" w:rsidRDefault="002001B8">
            <w:pPr>
              <w:jc w:val="right"/>
            </w:pPr>
            <w:r>
              <w:rPr>
                <w:color w:val="000000"/>
                <w:sz w:val="24"/>
              </w:rPr>
              <w:t>2.43</w:t>
            </w:r>
          </w:p>
        </w:tc>
      </w:tr>
      <w:tr w:rsidR="00A11CC7">
        <w:tc>
          <w:tcPr>
            <w:tcW w:w="0" w:type="auto"/>
            <w:vAlign w:val="center"/>
          </w:tcPr>
          <w:p w:rsidR="00A11CC7" w:rsidRDefault="002001B8">
            <w:pPr>
              <w:jc w:val="center"/>
            </w:pPr>
            <w:r>
              <w:rPr>
                <w:color w:val="000000"/>
                <w:sz w:val="24"/>
              </w:rPr>
              <w:t>8</w:t>
            </w:r>
          </w:p>
        </w:tc>
        <w:tc>
          <w:tcPr>
            <w:tcW w:w="0" w:type="auto"/>
            <w:vAlign w:val="center"/>
          </w:tcPr>
          <w:p w:rsidR="00A11CC7" w:rsidRDefault="002001B8">
            <w:pPr>
              <w:jc w:val="center"/>
            </w:pPr>
            <w:r>
              <w:rPr>
                <w:color w:val="000000"/>
                <w:sz w:val="24"/>
              </w:rPr>
              <w:t>111918256</w:t>
            </w:r>
          </w:p>
        </w:tc>
        <w:tc>
          <w:tcPr>
            <w:tcW w:w="0" w:type="auto"/>
            <w:vAlign w:val="center"/>
          </w:tcPr>
          <w:p w:rsidR="00A11CC7" w:rsidRDefault="002001B8">
            <w:pPr>
              <w:jc w:val="center"/>
            </w:pPr>
            <w:r>
              <w:rPr>
                <w:color w:val="000000"/>
                <w:sz w:val="24"/>
              </w:rPr>
              <w:t>19</w:t>
            </w:r>
            <w:r>
              <w:rPr>
                <w:color w:val="000000"/>
                <w:sz w:val="24"/>
              </w:rPr>
              <w:t>华夏银行</w:t>
            </w:r>
            <w:r>
              <w:rPr>
                <w:color w:val="000000"/>
                <w:sz w:val="24"/>
              </w:rPr>
              <w:t>CD256</w:t>
            </w:r>
          </w:p>
        </w:tc>
        <w:tc>
          <w:tcPr>
            <w:tcW w:w="0" w:type="auto"/>
            <w:vAlign w:val="center"/>
          </w:tcPr>
          <w:p w:rsidR="00A11CC7" w:rsidRDefault="002001B8">
            <w:pPr>
              <w:jc w:val="right"/>
            </w:pPr>
            <w:r>
              <w:rPr>
                <w:color w:val="000000"/>
                <w:sz w:val="24"/>
              </w:rPr>
              <w:t>1,000,000</w:t>
            </w:r>
          </w:p>
        </w:tc>
        <w:tc>
          <w:tcPr>
            <w:tcW w:w="0" w:type="auto"/>
            <w:vAlign w:val="center"/>
          </w:tcPr>
          <w:p w:rsidR="00A11CC7" w:rsidRDefault="002001B8">
            <w:pPr>
              <w:jc w:val="right"/>
            </w:pPr>
            <w:r>
              <w:rPr>
                <w:color w:val="000000"/>
                <w:sz w:val="24"/>
              </w:rPr>
              <w:t>98,303,382.73</w:t>
            </w:r>
          </w:p>
        </w:tc>
        <w:tc>
          <w:tcPr>
            <w:tcW w:w="0" w:type="auto"/>
            <w:vAlign w:val="center"/>
          </w:tcPr>
          <w:p w:rsidR="00A11CC7" w:rsidRDefault="002001B8">
            <w:pPr>
              <w:jc w:val="right"/>
            </w:pPr>
            <w:r>
              <w:rPr>
                <w:color w:val="000000"/>
                <w:sz w:val="24"/>
              </w:rPr>
              <w:t>2.42</w:t>
            </w:r>
          </w:p>
        </w:tc>
      </w:tr>
      <w:tr w:rsidR="00A11CC7">
        <w:tc>
          <w:tcPr>
            <w:tcW w:w="0" w:type="auto"/>
            <w:vAlign w:val="center"/>
          </w:tcPr>
          <w:p w:rsidR="00A11CC7" w:rsidRDefault="002001B8">
            <w:pPr>
              <w:jc w:val="center"/>
            </w:pPr>
            <w:r>
              <w:rPr>
                <w:color w:val="000000"/>
                <w:sz w:val="24"/>
              </w:rPr>
              <w:t>9</w:t>
            </w:r>
          </w:p>
        </w:tc>
        <w:tc>
          <w:tcPr>
            <w:tcW w:w="0" w:type="auto"/>
            <w:vAlign w:val="center"/>
          </w:tcPr>
          <w:p w:rsidR="00A11CC7" w:rsidRDefault="002001B8">
            <w:pPr>
              <w:jc w:val="center"/>
            </w:pPr>
            <w:r>
              <w:rPr>
                <w:color w:val="000000"/>
                <w:sz w:val="24"/>
              </w:rPr>
              <w:t>170302</w:t>
            </w:r>
          </w:p>
        </w:tc>
        <w:tc>
          <w:tcPr>
            <w:tcW w:w="0" w:type="auto"/>
            <w:vAlign w:val="center"/>
          </w:tcPr>
          <w:p w:rsidR="00A11CC7" w:rsidRDefault="002001B8">
            <w:pPr>
              <w:jc w:val="center"/>
            </w:pPr>
            <w:r>
              <w:rPr>
                <w:color w:val="000000"/>
                <w:sz w:val="24"/>
              </w:rPr>
              <w:t>17</w:t>
            </w:r>
            <w:r>
              <w:rPr>
                <w:color w:val="000000"/>
                <w:sz w:val="24"/>
              </w:rPr>
              <w:t>进出</w:t>
            </w:r>
            <w:r>
              <w:rPr>
                <w:color w:val="000000"/>
                <w:sz w:val="24"/>
              </w:rPr>
              <w:t>02</w:t>
            </w:r>
          </w:p>
        </w:tc>
        <w:tc>
          <w:tcPr>
            <w:tcW w:w="0" w:type="auto"/>
            <w:vAlign w:val="center"/>
          </w:tcPr>
          <w:p w:rsidR="00A11CC7" w:rsidRDefault="002001B8">
            <w:pPr>
              <w:jc w:val="right"/>
            </w:pPr>
            <w:r>
              <w:rPr>
                <w:color w:val="000000"/>
                <w:sz w:val="24"/>
              </w:rPr>
              <w:t>900,000</w:t>
            </w:r>
          </w:p>
        </w:tc>
        <w:tc>
          <w:tcPr>
            <w:tcW w:w="0" w:type="auto"/>
            <w:vAlign w:val="center"/>
          </w:tcPr>
          <w:p w:rsidR="00A11CC7" w:rsidRDefault="002001B8">
            <w:pPr>
              <w:jc w:val="right"/>
            </w:pPr>
            <w:r>
              <w:rPr>
                <w:color w:val="000000"/>
                <w:sz w:val="24"/>
              </w:rPr>
              <w:t>90,175,467.14</w:t>
            </w:r>
          </w:p>
        </w:tc>
        <w:tc>
          <w:tcPr>
            <w:tcW w:w="0" w:type="auto"/>
            <w:vAlign w:val="center"/>
          </w:tcPr>
          <w:p w:rsidR="00A11CC7" w:rsidRDefault="002001B8">
            <w:pPr>
              <w:jc w:val="right"/>
            </w:pPr>
            <w:r>
              <w:rPr>
                <w:color w:val="000000"/>
                <w:sz w:val="24"/>
              </w:rPr>
              <w:t>2.22</w:t>
            </w:r>
          </w:p>
        </w:tc>
      </w:tr>
      <w:tr w:rsidR="00A11CC7">
        <w:tc>
          <w:tcPr>
            <w:tcW w:w="0" w:type="auto"/>
            <w:vAlign w:val="center"/>
          </w:tcPr>
          <w:p w:rsidR="00A11CC7" w:rsidRDefault="002001B8">
            <w:pPr>
              <w:jc w:val="center"/>
            </w:pPr>
            <w:r>
              <w:rPr>
                <w:color w:val="000000"/>
                <w:sz w:val="24"/>
              </w:rPr>
              <w:t>10</w:t>
            </w:r>
          </w:p>
        </w:tc>
        <w:tc>
          <w:tcPr>
            <w:tcW w:w="0" w:type="auto"/>
            <w:vAlign w:val="center"/>
          </w:tcPr>
          <w:p w:rsidR="00A11CC7" w:rsidRDefault="002001B8">
            <w:pPr>
              <w:jc w:val="center"/>
            </w:pPr>
            <w:r>
              <w:rPr>
                <w:color w:val="000000"/>
                <w:sz w:val="24"/>
              </w:rPr>
              <w:t>011901773</w:t>
            </w:r>
          </w:p>
        </w:tc>
        <w:tc>
          <w:tcPr>
            <w:tcW w:w="0" w:type="auto"/>
            <w:vAlign w:val="center"/>
          </w:tcPr>
          <w:p w:rsidR="00A11CC7" w:rsidRDefault="002001B8">
            <w:pPr>
              <w:jc w:val="center"/>
            </w:pPr>
            <w:r>
              <w:rPr>
                <w:color w:val="000000"/>
                <w:sz w:val="24"/>
              </w:rPr>
              <w:t>19</w:t>
            </w:r>
            <w:r>
              <w:rPr>
                <w:color w:val="000000"/>
                <w:sz w:val="24"/>
              </w:rPr>
              <w:t>中粮</w:t>
            </w:r>
            <w:r>
              <w:rPr>
                <w:color w:val="000000"/>
                <w:sz w:val="24"/>
              </w:rPr>
              <w:t>SCP006</w:t>
            </w:r>
          </w:p>
        </w:tc>
        <w:tc>
          <w:tcPr>
            <w:tcW w:w="0" w:type="auto"/>
            <w:vAlign w:val="center"/>
          </w:tcPr>
          <w:p w:rsidR="00A11CC7" w:rsidRDefault="002001B8">
            <w:pPr>
              <w:jc w:val="right"/>
            </w:pPr>
            <w:r>
              <w:rPr>
                <w:color w:val="000000"/>
                <w:sz w:val="24"/>
              </w:rPr>
              <w:t>600,000</w:t>
            </w:r>
          </w:p>
        </w:tc>
        <w:tc>
          <w:tcPr>
            <w:tcW w:w="0" w:type="auto"/>
            <w:vAlign w:val="center"/>
          </w:tcPr>
          <w:p w:rsidR="00A11CC7" w:rsidRDefault="002001B8">
            <w:pPr>
              <w:jc w:val="right"/>
            </w:pPr>
            <w:r>
              <w:rPr>
                <w:color w:val="000000"/>
                <w:sz w:val="24"/>
              </w:rPr>
              <w:t>59,934,299.83</w:t>
            </w:r>
          </w:p>
        </w:tc>
        <w:tc>
          <w:tcPr>
            <w:tcW w:w="0" w:type="auto"/>
            <w:vAlign w:val="center"/>
          </w:tcPr>
          <w:p w:rsidR="00A11CC7" w:rsidRDefault="002001B8">
            <w:pPr>
              <w:jc w:val="right"/>
            </w:pPr>
            <w:r>
              <w:rPr>
                <w:color w:val="000000"/>
                <w:sz w:val="24"/>
              </w:rPr>
              <w:t>1.48</w:t>
            </w:r>
          </w:p>
        </w:tc>
      </w:tr>
    </w:tbl>
    <w:p w:rsidR="00941F6C" w:rsidRPr="0097021E" w:rsidRDefault="00941F6C" w:rsidP="003A0EC1">
      <w:pPr>
        <w:spacing w:line="360" w:lineRule="auto"/>
        <w:rPr>
          <w:rFonts w:ascii="宋体" w:cs="Arial"/>
          <w:b/>
          <w:color w:val="000000"/>
          <w:kern w:val="0"/>
          <w:sz w:val="24"/>
        </w:rPr>
      </w:pPr>
      <w:r w:rsidRPr="0097021E">
        <w:rPr>
          <w:rFonts w:ascii="宋体" w:hAnsi="宋体" w:cs="Arial"/>
          <w:b/>
          <w:color w:val="000000"/>
          <w:kern w:val="0"/>
          <w:sz w:val="24"/>
        </w:rPr>
        <w:t>5.</w:t>
      </w:r>
      <w:r w:rsidR="004B40EC">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偏离情况</w:t>
            </w:r>
          </w:p>
        </w:tc>
      </w:tr>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报告期内偏离度的绝对值在</w:t>
            </w:r>
            <w:r w:rsidRPr="00A15461">
              <w:rPr>
                <w:color w:val="000000"/>
                <w:kern w:val="0"/>
                <w:sz w:val="24"/>
              </w:rPr>
              <w:t>0.25(</w:t>
            </w:r>
            <w:r w:rsidRPr="00A15461">
              <w:rPr>
                <w:color w:val="000000"/>
                <w:kern w:val="0"/>
                <w:sz w:val="24"/>
              </w:rPr>
              <w:t>含</w:t>
            </w:r>
            <w:r w:rsidRPr="00A15461">
              <w:rPr>
                <w:color w:val="000000"/>
                <w:kern w:val="0"/>
                <w:sz w:val="24"/>
              </w:rPr>
              <w:t>)-0.5%</w:t>
            </w:r>
            <w:r w:rsidRPr="00A15461">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941F6C" w:rsidRPr="00A15461" w:rsidRDefault="00941F6C" w:rsidP="00196812">
            <w:pPr>
              <w:spacing w:line="360" w:lineRule="auto"/>
              <w:jc w:val="right"/>
              <w:rPr>
                <w:sz w:val="24"/>
              </w:rPr>
            </w:pPr>
            <w:r w:rsidRPr="00A15461">
              <w:rPr>
                <w:color w:val="000000"/>
                <w:sz w:val="24"/>
              </w:rPr>
              <w:t>0</w:t>
            </w:r>
            <w:r w:rsidRPr="00A15461">
              <w:rPr>
                <w:color w:val="000000"/>
                <w:sz w:val="24"/>
              </w:rPr>
              <w:t>次</w:t>
            </w:r>
          </w:p>
        </w:tc>
      </w:tr>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941F6C" w:rsidRPr="00A15461" w:rsidRDefault="00941F6C" w:rsidP="00196812">
            <w:pPr>
              <w:spacing w:line="360" w:lineRule="auto"/>
              <w:jc w:val="right"/>
              <w:rPr>
                <w:sz w:val="24"/>
              </w:rPr>
            </w:pPr>
            <w:r w:rsidRPr="00A15461">
              <w:rPr>
                <w:color w:val="000000"/>
                <w:sz w:val="24"/>
              </w:rPr>
              <w:t>0.0700%</w:t>
            </w:r>
          </w:p>
        </w:tc>
      </w:tr>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941F6C" w:rsidRPr="00A15461" w:rsidRDefault="00941F6C" w:rsidP="00196812">
            <w:pPr>
              <w:spacing w:line="360" w:lineRule="auto"/>
              <w:jc w:val="right"/>
              <w:rPr>
                <w:sz w:val="24"/>
              </w:rPr>
            </w:pPr>
            <w:r w:rsidRPr="00A15461">
              <w:rPr>
                <w:color w:val="000000"/>
                <w:sz w:val="24"/>
              </w:rPr>
              <w:t>0.0281%</w:t>
            </w:r>
          </w:p>
        </w:tc>
      </w:tr>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404A00">
            <w:pPr>
              <w:autoSpaceDE w:val="0"/>
              <w:autoSpaceDN w:val="0"/>
              <w:adjustRightInd w:val="0"/>
              <w:spacing w:before="29" w:line="360" w:lineRule="auto"/>
              <w:ind w:left="15"/>
              <w:jc w:val="left"/>
              <w:rPr>
                <w:color w:val="000000"/>
                <w:kern w:val="0"/>
                <w:sz w:val="24"/>
              </w:rPr>
            </w:pPr>
            <w:r w:rsidRPr="00A15461">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941F6C" w:rsidRPr="00A15461" w:rsidRDefault="00941F6C" w:rsidP="00196812">
            <w:pPr>
              <w:spacing w:line="360" w:lineRule="auto"/>
              <w:jc w:val="right"/>
              <w:rPr>
                <w:sz w:val="24"/>
              </w:rPr>
            </w:pPr>
            <w:r w:rsidRPr="00A15461">
              <w:rPr>
                <w:color w:val="000000"/>
                <w:sz w:val="24"/>
              </w:rPr>
              <w:t>0.0452%</w:t>
            </w:r>
          </w:p>
        </w:tc>
      </w:tr>
    </w:tbl>
    <w:p w:rsidR="004B40EC" w:rsidRPr="004B40EC" w:rsidRDefault="004B40EC" w:rsidP="004B40EC">
      <w:pPr>
        <w:spacing w:line="360" w:lineRule="auto"/>
        <w:rPr>
          <w:rFonts w:eastAsiaTheme="minorEastAsia"/>
          <w:b/>
          <w:color w:val="000000" w:themeColor="text1"/>
          <w:kern w:val="0"/>
          <w:sz w:val="24"/>
        </w:rPr>
      </w:pPr>
      <w:r w:rsidRPr="004B40EC">
        <w:rPr>
          <w:b/>
          <w:color w:val="000000"/>
          <w:sz w:val="24"/>
        </w:rPr>
        <w:t>报告期内负偏离度的绝对值达到</w:t>
      </w:r>
      <w:r w:rsidRPr="004B40EC">
        <w:rPr>
          <w:b/>
          <w:color w:val="000000"/>
          <w:sz w:val="24"/>
        </w:rPr>
        <w:t>0.25%</w:t>
      </w:r>
      <w:r w:rsidRPr="004B40EC">
        <w:rPr>
          <w:b/>
          <w:color w:val="000000"/>
          <w:sz w:val="24"/>
        </w:rPr>
        <w:t>情况说明</w:t>
      </w:r>
    </w:p>
    <w:p w:rsidR="004B40EC" w:rsidRPr="004B40EC" w:rsidRDefault="004B40EC" w:rsidP="004B40EC">
      <w:pPr>
        <w:adjustRightInd w:val="0"/>
        <w:spacing w:line="360" w:lineRule="auto"/>
        <w:ind w:firstLineChars="200" w:firstLine="480"/>
        <w:rPr>
          <w:color w:val="000000"/>
          <w:sz w:val="24"/>
        </w:rPr>
      </w:pPr>
      <w:r w:rsidRPr="004B40EC">
        <w:rPr>
          <w:color w:val="000000"/>
          <w:sz w:val="24"/>
        </w:rPr>
        <w:t>本基金本报告期内不存在负偏离度的绝对值达到</w:t>
      </w:r>
      <w:r w:rsidRPr="004B40EC">
        <w:rPr>
          <w:color w:val="000000"/>
          <w:sz w:val="24"/>
        </w:rPr>
        <w:t>0.25%</w:t>
      </w:r>
      <w:r w:rsidRPr="004B40EC">
        <w:rPr>
          <w:color w:val="000000"/>
          <w:sz w:val="24"/>
        </w:rPr>
        <w:t>的情况。</w:t>
      </w:r>
    </w:p>
    <w:p w:rsidR="004B40EC" w:rsidRPr="004B40EC" w:rsidRDefault="004B40EC" w:rsidP="004B40EC">
      <w:pPr>
        <w:spacing w:line="360" w:lineRule="auto"/>
        <w:rPr>
          <w:rFonts w:eastAsiaTheme="minorEastAsia"/>
          <w:b/>
          <w:color w:val="000000" w:themeColor="text1"/>
          <w:kern w:val="0"/>
          <w:sz w:val="24"/>
        </w:rPr>
      </w:pPr>
      <w:r w:rsidRPr="004B40EC">
        <w:rPr>
          <w:b/>
          <w:color w:val="000000"/>
          <w:sz w:val="24"/>
        </w:rPr>
        <w:t>报告期内正偏离度的绝对值达到</w:t>
      </w:r>
      <w:r w:rsidRPr="004B40EC">
        <w:rPr>
          <w:b/>
          <w:color w:val="000000"/>
          <w:sz w:val="24"/>
        </w:rPr>
        <w:t>0.5%</w:t>
      </w:r>
      <w:r w:rsidRPr="004B40EC">
        <w:rPr>
          <w:b/>
          <w:color w:val="000000"/>
          <w:sz w:val="24"/>
        </w:rPr>
        <w:t>情况说明</w:t>
      </w:r>
    </w:p>
    <w:p w:rsidR="004B40EC" w:rsidRPr="004B40EC" w:rsidRDefault="004B40EC" w:rsidP="00A15461">
      <w:pPr>
        <w:adjustRightInd w:val="0"/>
        <w:spacing w:line="360" w:lineRule="auto"/>
        <w:ind w:firstLineChars="200" w:firstLine="480"/>
        <w:rPr>
          <w:color w:val="000000"/>
          <w:sz w:val="24"/>
        </w:rPr>
      </w:pPr>
      <w:r w:rsidRPr="004B40EC">
        <w:rPr>
          <w:color w:val="000000"/>
          <w:sz w:val="24"/>
        </w:rPr>
        <w:t>本基金本报告期内不存在正偏离度的绝对值达到</w:t>
      </w:r>
      <w:r w:rsidRPr="004B40EC">
        <w:rPr>
          <w:color w:val="000000"/>
          <w:sz w:val="24"/>
        </w:rPr>
        <w:t>0.5%</w:t>
      </w:r>
      <w:r w:rsidRPr="004B40EC">
        <w:rPr>
          <w:color w:val="000000"/>
          <w:sz w:val="24"/>
        </w:rPr>
        <w:t>的情况。</w:t>
      </w:r>
    </w:p>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5.</w:t>
      </w:r>
      <w:r w:rsidR="004B40EC">
        <w:rPr>
          <w:rFonts w:ascii="宋体" w:hAnsi="宋体" w:cs="Arial" w:hint="eastAsia"/>
          <w:b/>
          <w:color w:val="000000"/>
          <w:kern w:val="0"/>
          <w:sz w:val="24"/>
        </w:rPr>
        <w:t>8</w:t>
      </w:r>
      <w:r w:rsidR="009A536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1"/>
        <w:gridCol w:w="1410"/>
        <w:gridCol w:w="1410"/>
        <w:gridCol w:w="1685"/>
        <w:gridCol w:w="1685"/>
        <w:gridCol w:w="1686"/>
      </w:tblGrid>
      <w:tr w:rsidR="00941F6C" w:rsidRPr="0097021E" w:rsidTr="00CA7D55">
        <w:tc>
          <w:tcPr>
            <w:tcW w:w="1547"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序号</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证券代码</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证券名称</w:t>
            </w:r>
          </w:p>
        </w:tc>
        <w:tc>
          <w:tcPr>
            <w:tcW w:w="1548" w:type="dxa"/>
            <w:vAlign w:val="center"/>
          </w:tcPr>
          <w:p w:rsidR="00941F6C" w:rsidRPr="00A15461" w:rsidRDefault="00941F6C" w:rsidP="00DC22A1">
            <w:pPr>
              <w:autoSpaceDE w:val="0"/>
              <w:autoSpaceDN w:val="0"/>
              <w:adjustRightInd w:val="0"/>
              <w:spacing w:before="29" w:line="360" w:lineRule="auto"/>
              <w:ind w:left="15"/>
              <w:jc w:val="center"/>
              <w:rPr>
                <w:color w:val="000000"/>
                <w:kern w:val="0"/>
                <w:sz w:val="24"/>
              </w:rPr>
            </w:pPr>
            <w:r w:rsidRPr="00A15461">
              <w:rPr>
                <w:color w:val="000000"/>
                <w:kern w:val="0"/>
                <w:sz w:val="24"/>
              </w:rPr>
              <w:t>数量</w:t>
            </w:r>
            <w:r w:rsidR="00DC22A1" w:rsidRPr="00A15461">
              <w:rPr>
                <w:color w:val="000000"/>
                <w:kern w:val="0"/>
                <w:sz w:val="24"/>
              </w:rPr>
              <w:t>（份）</w:t>
            </w:r>
          </w:p>
        </w:tc>
        <w:tc>
          <w:tcPr>
            <w:tcW w:w="1548" w:type="dxa"/>
            <w:vAlign w:val="center"/>
          </w:tcPr>
          <w:p w:rsidR="00941F6C" w:rsidRPr="00A15461" w:rsidRDefault="00941F6C" w:rsidP="00DC22A1">
            <w:pPr>
              <w:autoSpaceDE w:val="0"/>
              <w:autoSpaceDN w:val="0"/>
              <w:adjustRightInd w:val="0"/>
              <w:spacing w:before="29" w:line="360" w:lineRule="auto"/>
              <w:ind w:left="15"/>
              <w:jc w:val="center"/>
              <w:rPr>
                <w:color w:val="000000"/>
                <w:kern w:val="0"/>
                <w:sz w:val="24"/>
              </w:rPr>
            </w:pPr>
            <w:r w:rsidRPr="00A15461">
              <w:rPr>
                <w:color w:val="000000"/>
                <w:kern w:val="0"/>
                <w:sz w:val="24"/>
              </w:rPr>
              <w:t>公允价值</w:t>
            </w:r>
            <w:r w:rsidR="00DC22A1" w:rsidRPr="00A15461">
              <w:rPr>
                <w:color w:val="000000"/>
                <w:kern w:val="0"/>
                <w:sz w:val="24"/>
              </w:rPr>
              <w:t>（元）</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占基金资产净值比例（％）</w:t>
            </w:r>
          </w:p>
        </w:tc>
      </w:tr>
      <w:tr w:rsidR="00A11CC7">
        <w:tc>
          <w:tcPr>
            <w:tcW w:w="0" w:type="auto"/>
            <w:vAlign w:val="center"/>
          </w:tcPr>
          <w:p w:rsidR="00A11CC7" w:rsidRDefault="002001B8">
            <w:pPr>
              <w:jc w:val="center"/>
            </w:pPr>
            <w:r>
              <w:rPr>
                <w:color w:val="000000"/>
                <w:sz w:val="24"/>
              </w:rPr>
              <w:t>1</w:t>
            </w:r>
          </w:p>
        </w:tc>
        <w:tc>
          <w:tcPr>
            <w:tcW w:w="0" w:type="auto"/>
            <w:vAlign w:val="center"/>
          </w:tcPr>
          <w:p w:rsidR="00A11CC7" w:rsidRDefault="002001B8">
            <w:pPr>
              <w:jc w:val="center"/>
            </w:pPr>
            <w:r>
              <w:rPr>
                <w:color w:val="000000"/>
                <w:sz w:val="24"/>
              </w:rPr>
              <w:t>138305</w:t>
            </w:r>
          </w:p>
        </w:tc>
        <w:tc>
          <w:tcPr>
            <w:tcW w:w="0" w:type="auto"/>
            <w:vAlign w:val="center"/>
          </w:tcPr>
          <w:p w:rsidR="00A11CC7" w:rsidRDefault="002001B8">
            <w:pPr>
              <w:jc w:val="center"/>
            </w:pPr>
            <w:r>
              <w:rPr>
                <w:color w:val="000000"/>
                <w:sz w:val="24"/>
              </w:rPr>
              <w:t>瑞新</w:t>
            </w:r>
            <w:r>
              <w:rPr>
                <w:color w:val="000000"/>
                <w:sz w:val="24"/>
              </w:rPr>
              <w:t>9A1</w:t>
            </w:r>
          </w:p>
        </w:tc>
        <w:tc>
          <w:tcPr>
            <w:tcW w:w="0" w:type="auto"/>
            <w:vAlign w:val="center"/>
          </w:tcPr>
          <w:p w:rsidR="00A11CC7" w:rsidRDefault="002001B8">
            <w:pPr>
              <w:jc w:val="right"/>
            </w:pPr>
            <w:r>
              <w:rPr>
                <w:color w:val="000000"/>
                <w:sz w:val="24"/>
              </w:rPr>
              <w:t>290,000</w:t>
            </w:r>
          </w:p>
        </w:tc>
        <w:tc>
          <w:tcPr>
            <w:tcW w:w="0" w:type="auto"/>
            <w:vAlign w:val="center"/>
          </w:tcPr>
          <w:p w:rsidR="00A11CC7" w:rsidRDefault="002001B8">
            <w:pPr>
              <w:jc w:val="right"/>
            </w:pPr>
            <w:r>
              <w:rPr>
                <w:color w:val="000000"/>
                <w:sz w:val="24"/>
              </w:rPr>
              <w:t>29,000,000.00</w:t>
            </w:r>
          </w:p>
        </w:tc>
        <w:tc>
          <w:tcPr>
            <w:tcW w:w="0" w:type="auto"/>
            <w:vAlign w:val="center"/>
          </w:tcPr>
          <w:p w:rsidR="00A11CC7" w:rsidRDefault="002001B8">
            <w:pPr>
              <w:jc w:val="right"/>
            </w:pPr>
            <w:r>
              <w:rPr>
                <w:color w:val="000000"/>
                <w:sz w:val="24"/>
              </w:rPr>
              <w:t>0.72</w:t>
            </w:r>
          </w:p>
        </w:tc>
      </w:tr>
      <w:tr w:rsidR="00A11CC7">
        <w:tc>
          <w:tcPr>
            <w:tcW w:w="0" w:type="auto"/>
            <w:vAlign w:val="center"/>
          </w:tcPr>
          <w:p w:rsidR="00A11CC7" w:rsidRDefault="002001B8">
            <w:pPr>
              <w:jc w:val="center"/>
            </w:pPr>
            <w:r>
              <w:rPr>
                <w:color w:val="000000"/>
                <w:sz w:val="24"/>
              </w:rPr>
              <w:t>2</w:t>
            </w:r>
          </w:p>
        </w:tc>
        <w:tc>
          <w:tcPr>
            <w:tcW w:w="0" w:type="auto"/>
            <w:vAlign w:val="center"/>
          </w:tcPr>
          <w:p w:rsidR="00A11CC7" w:rsidRDefault="002001B8">
            <w:pPr>
              <w:jc w:val="center"/>
            </w:pPr>
            <w:r>
              <w:rPr>
                <w:color w:val="000000"/>
                <w:sz w:val="24"/>
              </w:rPr>
              <w:t>138325</w:t>
            </w:r>
          </w:p>
        </w:tc>
        <w:tc>
          <w:tcPr>
            <w:tcW w:w="0" w:type="auto"/>
            <w:vAlign w:val="center"/>
          </w:tcPr>
          <w:p w:rsidR="00A11CC7" w:rsidRDefault="002001B8">
            <w:pPr>
              <w:jc w:val="center"/>
            </w:pPr>
            <w:r>
              <w:rPr>
                <w:color w:val="000000"/>
                <w:sz w:val="24"/>
              </w:rPr>
              <w:t>国链</w:t>
            </w:r>
            <w:r>
              <w:rPr>
                <w:color w:val="000000"/>
                <w:sz w:val="24"/>
              </w:rPr>
              <w:t>17A1</w:t>
            </w:r>
          </w:p>
        </w:tc>
        <w:tc>
          <w:tcPr>
            <w:tcW w:w="0" w:type="auto"/>
            <w:vAlign w:val="center"/>
          </w:tcPr>
          <w:p w:rsidR="00A11CC7" w:rsidRDefault="002001B8">
            <w:pPr>
              <w:jc w:val="right"/>
            </w:pPr>
            <w:r>
              <w:rPr>
                <w:color w:val="000000"/>
                <w:sz w:val="24"/>
              </w:rPr>
              <w:t>200,000</w:t>
            </w:r>
          </w:p>
        </w:tc>
        <w:tc>
          <w:tcPr>
            <w:tcW w:w="0" w:type="auto"/>
            <w:vAlign w:val="center"/>
          </w:tcPr>
          <w:p w:rsidR="00A11CC7" w:rsidRDefault="002001B8">
            <w:pPr>
              <w:jc w:val="right"/>
            </w:pPr>
            <w:r>
              <w:rPr>
                <w:color w:val="000000"/>
                <w:sz w:val="24"/>
              </w:rPr>
              <w:t>20,000,000.00</w:t>
            </w:r>
          </w:p>
        </w:tc>
        <w:tc>
          <w:tcPr>
            <w:tcW w:w="0" w:type="auto"/>
            <w:vAlign w:val="center"/>
          </w:tcPr>
          <w:p w:rsidR="00A11CC7" w:rsidRDefault="002001B8">
            <w:pPr>
              <w:jc w:val="right"/>
            </w:pPr>
            <w:r>
              <w:rPr>
                <w:color w:val="000000"/>
                <w:sz w:val="24"/>
              </w:rPr>
              <w:t>0.49</w:t>
            </w:r>
          </w:p>
        </w:tc>
      </w:tr>
      <w:tr w:rsidR="00A11CC7">
        <w:tc>
          <w:tcPr>
            <w:tcW w:w="0" w:type="auto"/>
            <w:vAlign w:val="center"/>
          </w:tcPr>
          <w:p w:rsidR="00A11CC7" w:rsidRDefault="002001B8">
            <w:pPr>
              <w:jc w:val="center"/>
            </w:pPr>
            <w:r>
              <w:rPr>
                <w:color w:val="000000"/>
                <w:sz w:val="24"/>
              </w:rPr>
              <w:t>3</w:t>
            </w:r>
          </w:p>
        </w:tc>
        <w:tc>
          <w:tcPr>
            <w:tcW w:w="0" w:type="auto"/>
            <w:vAlign w:val="center"/>
          </w:tcPr>
          <w:p w:rsidR="00A11CC7" w:rsidRDefault="002001B8">
            <w:pPr>
              <w:jc w:val="center"/>
            </w:pPr>
            <w:r>
              <w:rPr>
                <w:color w:val="000000"/>
                <w:sz w:val="24"/>
              </w:rPr>
              <w:t>138173</w:t>
            </w:r>
          </w:p>
        </w:tc>
        <w:tc>
          <w:tcPr>
            <w:tcW w:w="0" w:type="auto"/>
            <w:vAlign w:val="center"/>
          </w:tcPr>
          <w:p w:rsidR="00A11CC7" w:rsidRDefault="002001B8">
            <w:pPr>
              <w:jc w:val="center"/>
            </w:pPr>
            <w:r>
              <w:rPr>
                <w:color w:val="000000"/>
                <w:sz w:val="24"/>
              </w:rPr>
              <w:t>链融</w:t>
            </w:r>
            <w:r>
              <w:rPr>
                <w:color w:val="000000"/>
                <w:sz w:val="24"/>
              </w:rPr>
              <w:t>17A1</w:t>
            </w:r>
          </w:p>
        </w:tc>
        <w:tc>
          <w:tcPr>
            <w:tcW w:w="0" w:type="auto"/>
            <w:vAlign w:val="center"/>
          </w:tcPr>
          <w:p w:rsidR="00A11CC7" w:rsidRDefault="002001B8">
            <w:pPr>
              <w:jc w:val="right"/>
            </w:pPr>
            <w:r>
              <w:rPr>
                <w:color w:val="000000"/>
                <w:sz w:val="24"/>
              </w:rPr>
              <w:t>110,000</w:t>
            </w:r>
          </w:p>
        </w:tc>
        <w:tc>
          <w:tcPr>
            <w:tcW w:w="0" w:type="auto"/>
            <w:vAlign w:val="center"/>
          </w:tcPr>
          <w:p w:rsidR="00A11CC7" w:rsidRDefault="002001B8">
            <w:pPr>
              <w:jc w:val="right"/>
            </w:pPr>
            <w:r>
              <w:rPr>
                <w:color w:val="000000"/>
                <w:sz w:val="24"/>
              </w:rPr>
              <w:t>11,000,000.00</w:t>
            </w:r>
          </w:p>
        </w:tc>
        <w:tc>
          <w:tcPr>
            <w:tcW w:w="0" w:type="auto"/>
            <w:vAlign w:val="center"/>
          </w:tcPr>
          <w:p w:rsidR="00A11CC7" w:rsidRDefault="002001B8">
            <w:pPr>
              <w:jc w:val="right"/>
            </w:pPr>
            <w:r>
              <w:rPr>
                <w:color w:val="000000"/>
                <w:sz w:val="24"/>
              </w:rPr>
              <w:t>0.27</w:t>
            </w:r>
          </w:p>
        </w:tc>
      </w:tr>
      <w:tr w:rsidR="00A11CC7">
        <w:tc>
          <w:tcPr>
            <w:tcW w:w="0" w:type="auto"/>
            <w:vAlign w:val="center"/>
          </w:tcPr>
          <w:p w:rsidR="00A11CC7" w:rsidRDefault="002001B8">
            <w:pPr>
              <w:jc w:val="center"/>
            </w:pPr>
            <w:r>
              <w:rPr>
                <w:color w:val="000000"/>
                <w:sz w:val="24"/>
              </w:rPr>
              <w:t>4</w:t>
            </w:r>
          </w:p>
        </w:tc>
        <w:tc>
          <w:tcPr>
            <w:tcW w:w="0" w:type="auto"/>
            <w:vAlign w:val="center"/>
          </w:tcPr>
          <w:p w:rsidR="00A11CC7" w:rsidRDefault="002001B8">
            <w:pPr>
              <w:jc w:val="center"/>
            </w:pPr>
            <w:r>
              <w:rPr>
                <w:color w:val="000000"/>
                <w:sz w:val="24"/>
              </w:rPr>
              <w:t>138262</w:t>
            </w:r>
          </w:p>
        </w:tc>
        <w:tc>
          <w:tcPr>
            <w:tcW w:w="0" w:type="auto"/>
            <w:vAlign w:val="center"/>
          </w:tcPr>
          <w:p w:rsidR="00A11CC7" w:rsidRDefault="002001B8">
            <w:pPr>
              <w:jc w:val="center"/>
            </w:pPr>
            <w:r>
              <w:rPr>
                <w:color w:val="000000"/>
                <w:sz w:val="24"/>
              </w:rPr>
              <w:t>诚意</w:t>
            </w:r>
            <w:r>
              <w:rPr>
                <w:color w:val="000000"/>
                <w:sz w:val="24"/>
              </w:rPr>
              <w:t>3A1</w:t>
            </w:r>
          </w:p>
        </w:tc>
        <w:tc>
          <w:tcPr>
            <w:tcW w:w="0" w:type="auto"/>
            <w:vAlign w:val="center"/>
          </w:tcPr>
          <w:p w:rsidR="00A11CC7" w:rsidRDefault="002001B8">
            <w:pPr>
              <w:jc w:val="right"/>
            </w:pPr>
            <w:r>
              <w:rPr>
                <w:color w:val="000000"/>
                <w:sz w:val="24"/>
              </w:rPr>
              <w:t>100,000</w:t>
            </w:r>
          </w:p>
        </w:tc>
        <w:tc>
          <w:tcPr>
            <w:tcW w:w="0" w:type="auto"/>
            <w:vAlign w:val="center"/>
          </w:tcPr>
          <w:p w:rsidR="00A11CC7" w:rsidRDefault="002001B8">
            <w:pPr>
              <w:jc w:val="right"/>
            </w:pPr>
            <w:r>
              <w:rPr>
                <w:color w:val="000000"/>
                <w:sz w:val="24"/>
              </w:rPr>
              <w:t>10,000,000.00</w:t>
            </w:r>
          </w:p>
        </w:tc>
        <w:tc>
          <w:tcPr>
            <w:tcW w:w="0" w:type="auto"/>
            <w:vAlign w:val="center"/>
          </w:tcPr>
          <w:p w:rsidR="00A11CC7" w:rsidRDefault="002001B8">
            <w:pPr>
              <w:jc w:val="right"/>
            </w:pPr>
            <w:r>
              <w:rPr>
                <w:color w:val="000000"/>
                <w:sz w:val="24"/>
              </w:rPr>
              <w:t>0.25</w:t>
            </w:r>
          </w:p>
        </w:tc>
      </w:tr>
      <w:tr w:rsidR="00A11CC7">
        <w:tc>
          <w:tcPr>
            <w:tcW w:w="0" w:type="auto"/>
            <w:vAlign w:val="center"/>
          </w:tcPr>
          <w:p w:rsidR="00A11CC7" w:rsidRDefault="002001B8">
            <w:pPr>
              <w:jc w:val="center"/>
            </w:pPr>
            <w:r>
              <w:rPr>
                <w:color w:val="000000"/>
                <w:sz w:val="24"/>
              </w:rPr>
              <w:t>4</w:t>
            </w:r>
          </w:p>
        </w:tc>
        <w:tc>
          <w:tcPr>
            <w:tcW w:w="0" w:type="auto"/>
            <w:vAlign w:val="center"/>
          </w:tcPr>
          <w:p w:rsidR="00A11CC7" w:rsidRDefault="002001B8">
            <w:pPr>
              <w:jc w:val="center"/>
            </w:pPr>
            <w:r>
              <w:rPr>
                <w:color w:val="000000"/>
                <w:sz w:val="24"/>
              </w:rPr>
              <w:t>138290</w:t>
            </w:r>
          </w:p>
        </w:tc>
        <w:tc>
          <w:tcPr>
            <w:tcW w:w="0" w:type="auto"/>
            <w:vAlign w:val="center"/>
          </w:tcPr>
          <w:p w:rsidR="00A11CC7" w:rsidRDefault="002001B8">
            <w:pPr>
              <w:jc w:val="center"/>
            </w:pPr>
            <w:r>
              <w:rPr>
                <w:color w:val="000000"/>
                <w:sz w:val="24"/>
              </w:rPr>
              <w:t>链融</w:t>
            </w:r>
            <w:r>
              <w:rPr>
                <w:color w:val="000000"/>
                <w:sz w:val="24"/>
              </w:rPr>
              <w:t>19A1</w:t>
            </w:r>
          </w:p>
        </w:tc>
        <w:tc>
          <w:tcPr>
            <w:tcW w:w="0" w:type="auto"/>
            <w:vAlign w:val="center"/>
          </w:tcPr>
          <w:p w:rsidR="00A11CC7" w:rsidRDefault="002001B8">
            <w:pPr>
              <w:jc w:val="right"/>
            </w:pPr>
            <w:r>
              <w:rPr>
                <w:color w:val="000000"/>
                <w:sz w:val="24"/>
              </w:rPr>
              <w:t>100,000</w:t>
            </w:r>
          </w:p>
        </w:tc>
        <w:tc>
          <w:tcPr>
            <w:tcW w:w="0" w:type="auto"/>
            <w:vAlign w:val="center"/>
          </w:tcPr>
          <w:p w:rsidR="00A11CC7" w:rsidRDefault="002001B8">
            <w:pPr>
              <w:jc w:val="right"/>
            </w:pPr>
            <w:r>
              <w:rPr>
                <w:color w:val="000000"/>
                <w:sz w:val="24"/>
              </w:rPr>
              <w:t>10,000,000.00</w:t>
            </w:r>
          </w:p>
        </w:tc>
        <w:tc>
          <w:tcPr>
            <w:tcW w:w="0" w:type="auto"/>
            <w:vAlign w:val="center"/>
          </w:tcPr>
          <w:p w:rsidR="00A11CC7" w:rsidRDefault="002001B8">
            <w:pPr>
              <w:jc w:val="right"/>
            </w:pPr>
            <w:r>
              <w:rPr>
                <w:color w:val="000000"/>
                <w:sz w:val="24"/>
              </w:rPr>
              <w:t>0.25</w:t>
            </w:r>
          </w:p>
        </w:tc>
      </w:tr>
      <w:tr w:rsidR="00A11CC7">
        <w:tc>
          <w:tcPr>
            <w:tcW w:w="0" w:type="auto"/>
            <w:vAlign w:val="center"/>
          </w:tcPr>
          <w:p w:rsidR="00A11CC7" w:rsidRDefault="002001B8">
            <w:pPr>
              <w:jc w:val="center"/>
            </w:pPr>
            <w:r>
              <w:rPr>
                <w:color w:val="000000"/>
                <w:sz w:val="24"/>
              </w:rPr>
              <w:t>4</w:t>
            </w:r>
          </w:p>
        </w:tc>
        <w:tc>
          <w:tcPr>
            <w:tcW w:w="0" w:type="auto"/>
            <w:vAlign w:val="center"/>
          </w:tcPr>
          <w:p w:rsidR="00A11CC7" w:rsidRDefault="002001B8">
            <w:pPr>
              <w:jc w:val="center"/>
            </w:pPr>
            <w:r>
              <w:rPr>
                <w:color w:val="000000"/>
                <w:sz w:val="24"/>
              </w:rPr>
              <w:t>138324</w:t>
            </w:r>
          </w:p>
        </w:tc>
        <w:tc>
          <w:tcPr>
            <w:tcW w:w="0" w:type="auto"/>
            <w:vAlign w:val="center"/>
          </w:tcPr>
          <w:p w:rsidR="00A11CC7" w:rsidRDefault="002001B8">
            <w:pPr>
              <w:jc w:val="center"/>
            </w:pPr>
            <w:r>
              <w:rPr>
                <w:color w:val="000000"/>
                <w:sz w:val="24"/>
              </w:rPr>
              <w:t>瑞新</w:t>
            </w:r>
            <w:r>
              <w:rPr>
                <w:color w:val="000000"/>
                <w:sz w:val="24"/>
              </w:rPr>
              <w:t>10A1</w:t>
            </w:r>
          </w:p>
        </w:tc>
        <w:tc>
          <w:tcPr>
            <w:tcW w:w="0" w:type="auto"/>
            <w:vAlign w:val="center"/>
          </w:tcPr>
          <w:p w:rsidR="00A11CC7" w:rsidRDefault="002001B8">
            <w:pPr>
              <w:jc w:val="right"/>
            </w:pPr>
            <w:r>
              <w:rPr>
                <w:color w:val="000000"/>
                <w:sz w:val="24"/>
              </w:rPr>
              <w:t>100,000</w:t>
            </w:r>
          </w:p>
        </w:tc>
        <w:tc>
          <w:tcPr>
            <w:tcW w:w="0" w:type="auto"/>
            <w:vAlign w:val="center"/>
          </w:tcPr>
          <w:p w:rsidR="00A11CC7" w:rsidRDefault="002001B8">
            <w:pPr>
              <w:jc w:val="right"/>
            </w:pPr>
            <w:r>
              <w:rPr>
                <w:color w:val="000000"/>
                <w:sz w:val="24"/>
              </w:rPr>
              <w:t>10,000,000.00</w:t>
            </w:r>
          </w:p>
        </w:tc>
        <w:tc>
          <w:tcPr>
            <w:tcW w:w="0" w:type="auto"/>
            <w:vAlign w:val="center"/>
          </w:tcPr>
          <w:p w:rsidR="00A11CC7" w:rsidRDefault="002001B8">
            <w:pPr>
              <w:jc w:val="right"/>
            </w:pPr>
            <w:r>
              <w:rPr>
                <w:color w:val="000000"/>
                <w:sz w:val="24"/>
              </w:rPr>
              <w:t>0.25</w:t>
            </w:r>
          </w:p>
        </w:tc>
      </w:tr>
    </w:tbl>
    <w:p w:rsidR="00941F6C" w:rsidRPr="006662B2" w:rsidRDefault="00941F6C" w:rsidP="00815CDE">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hint="eastAsia"/>
          <w:b/>
          <w:color w:val="000000"/>
          <w:kern w:val="0"/>
          <w:sz w:val="24"/>
        </w:rPr>
        <w:t>投资组合报告附注</w:t>
      </w:r>
    </w:p>
    <w:p w:rsidR="004B40EC" w:rsidRPr="004B40EC" w:rsidRDefault="004B40EC" w:rsidP="004B40EC">
      <w:pPr>
        <w:spacing w:line="360" w:lineRule="auto"/>
        <w:rPr>
          <w:rFonts w:eastAsiaTheme="minorEastAsia"/>
          <w:color w:val="000000" w:themeColor="text1"/>
          <w:sz w:val="24"/>
        </w:rPr>
      </w:pPr>
      <w:r w:rsidRPr="004B40EC">
        <w:rPr>
          <w:rFonts w:eastAsiaTheme="minorEastAsia"/>
          <w:color w:val="000000" w:themeColor="text1"/>
          <w:sz w:val="24"/>
        </w:rPr>
        <w:t>5.9.1</w:t>
      </w:r>
      <w:r w:rsidRPr="004B40EC">
        <w:rPr>
          <w:rFonts w:eastAsiaTheme="minorEastAsia"/>
          <w:color w:val="000000" w:themeColor="text1"/>
          <w:sz w:val="24"/>
        </w:rPr>
        <w:t>基金计价方法说明</w:t>
      </w:r>
    </w:p>
    <w:p w:rsidR="00A11CC7" w:rsidRDefault="002001B8">
      <w:pPr>
        <w:spacing w:line="360" w:lineRule="auto"/>
        <w:ind w:firstLineChars="200" w:firstLine="480"/>
        <w:rPr>
          <w:rFonts w:eastAsiaTheme="minorEastAsia"/>
          <w:color w:val="000000" w:themeColor="text1"/>
          <w:sz w:val="24"/>
        </w:rPr>
      </w:pPr>
      <w:r>
        <w:rPr>
          <w:rFonts w:eastAsiaTheme="minorEastAsia"/>
          <w:color w:val="000000" w:themeColor="text1"/>
          <w:sz w:val="24"/>
        </w:rPr>
        <w:t>本基金目前投资工具的估值方法如下：</w:t>
      </w:r>
    </w:p>
    <w:p w:rsidR="00A11CC7" w:rsidRDefault="002001B8">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）基金持有的债券（包括票据）购买时采用实际支付价款（包含交易费用）确定初始成本，按实际利率计算其摊余成本及各期利息收入，每日计提收益；</w:t>
      </w:r>
    </w:p>
    <w:p w:rsidR="00A11CC7" w:rsidRDefault="002001B8">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）基金持有的回购以成本列示，按实际利率在实际持有期间内逐日计提利息；合同利率与实际利率差异较小的，也可采用合同利率计算确定利息收入；</w:t>
      </w:r>
    </w:p>
    <w:p w:rsidR="00A11CC7" w:rsidRDefault="002001B8">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）基金持有的银行存款以本金列示，按实际协议利率逐日计提利息。</w:t>
      </w:r>
    </w:p>
    <w:p w:rsidR="00A11CC7" w:rsidRDefault="002001B8">
      <w:pPr>
        <w:spacing w:line="360" w:lineRule="auto"/>
        <w:ind w:firstLineChars="200" w:firstLine="480"/>
        <w:rPr>
          <w:rFonts w:eastAsiaTheme="minorEastAsia"/>
          <w:color w:val="000000" w:themeColor="text1"/>
          <w:sz w:val="24"/>
        </w:rPr>
      </w:pPr>
      <w:r>
        <w:rPr>
          <w:rFonts w:eastAsiaTheme="minorEastAsia"/>
          <w:color w:val="000000" w:themeColor="text1"/>
          <w:sz w:val="24"/>
        </w:rPr>
        <w:t>如有确凿证据表明按上述方法进行估值不能客观反映其公允价值的，基金管理人可根据具体情况与基金托管人商定后，按最能反映公允价值的方法估值。</w:t>
      </w:r>
    </w:p>
    <w:p w:rsidR="004B40EC" w:rsidRPr="004B40EC" w:rsidRDefault="004B40EC" w:rsidP="004B40EC">
      <w:pPr>
        <w:spacing w:line="360" w:lineRule="auto"/>
        <w:ind w:firstLineChars="200" w:firstLine="480"/>
        <w:rPr>
          <w:rFonts w:eastAsiaTheme="minorEastAsia"/>
          <w:color w:val="000000" w:themeColor="text1"/>
          <w:sz w:val="24"/>
        </w:rPr>
      </w:pPr>
      <w:r w:rsidRPr="004B40EC">
        <w:rPr>
          <w:rFonts w:eastAsiaTheme="minorEastAsia"/>
          <w:color w:val="000000" w:themeColor="text1"/>
          <w:sz w:val="24"/>
        </w:rPr>
        <w:t>如有新增事项，按国家最新规定估值。</w:t>
      </w:r>
    </w:p>
    <w:p w:rsidR="00941F6C" w:rsidRPr="004B40EC" w:rsidRDefault="004B40EC" w:rsidP="004B40EC">
      <w:pPr>
        <w:widowControl/>
        <w:spacing w:line="360" w:lineRule="auto"/>
        <w:rPr>
          <w:color w:val="000000"/>
          <w:sz w:val="24"/>
        </w:rPr>
      </w:pPr>
      <w:r w:rsidRPr="004B40EC">
        <w:rPr>
          <w:rFonts w:eastAsiaTheme="minorEastAsia"/>
          <w:color w:val="000000" w:themeColor="text1"/>
          <w:sz w:val="24"/>
        </w:rPr>
        <w:t>5.9.219</w:t>
      </w:r>
      <w:r w:rsidRPr="004B40EC">
        <w:rPr>
          <w:rFonts w:eastAsiaTheme="minorEastAsia"/>
          <w:color w:val="000000" w:themeColor="text1"/>
          <w:sz w:val="24"/>
        </w:rPr>
        <w:t>招商银行</w:t>
      </w:r>
      <w:r w:rsidRPr="004B40EC">
        <w:rPr>
          <w:rFonts w:eastAsiaTheme="minorEastAsia"/>
          <w:color w:val="000000" w:themeColor="text1"/>
          <w:sz w:val="24"/>
        </w:rPr>
        <w:t>CD205</w:t>
      </w:r>
      <w:r w:rsidRPr="004B40EC">
        <w:rPr>
          <w:rFonts w:eastAsiaTheme="minorEastAsia"/>
          <w:color w:val="000000" w:themeColor="text1"/>
          <w:sz w:val="24"/>
        </w:rPr>
        <w:t>（代码：</w:t>
      </w:r>
      <w:r w:rsidRPr="004B40EC">
        <w:rPr>
          <w:rFonts w:eastAsiaTheme="minorEastAsia"/>
          <w:color w:val="000000" w:themeColor="text1"/>
          <w:sz w:val="24"/>
        </w:rPr>
        <w:t>111907205</w:t>
      </w:r>
      <w:r w:rsidRPr="004B40EC">
        <w:rPr>
          <w:rFonts w:eastAsiaTheme="minorEastAsia"/>
          <w:color w:val="000000" w:themeColor="text1"/>
          <w:sz w:val="24"/>
        </w:rPr>
        <w:t>）是易方达天天增利货币市场基金的前十大持仓证券。</w:t>
      </w:r>
      <w:r w:rsidRPr="004B40EC">
        <w:rPr>
          <w:rFonts w:eastAsiaTheme="minorEastAsia"/>
          <w:color w:val="000000" w:themeColor="text1"/>
          <w:sz w:val="24"/>
        </w:rPr>
        <w:t>2019</w:t>
      </w:r>
      <w:r w:rsidRPr="004B40EC">
        <w:rPr>
          <w:rFonts w:eastAsiaTheme="minorEastAsia"/>
          <w:color w:val="000000" w:themeColor="text1"/>
          <w:sz w:val="24"/>
        </w:rPr>
        <w:t>年</w:t>
      </w:r>
      <w:r w:rsidRPr="004B40EC">
        <w:rPr>
          <w:rFonts w:eastAsiaTheme="minorEastAsia"/>
          <w:color w:val="000000" w:themeColor="text1"/>
          <w:sz w:val="24"/>
        </w:rPr>
        <w:t>7</w:t>
      </w:r>
      <w:r w:rsidRPr="004B40EC">
        <w:rPr>
          <w:rFonts w:eastAsiaTheme="minorEastAsia"/>
          <w:color w:val="000000" w:themeColor="text1"/>
          <w:sz w:val="24"/>
        </w:rPr>
        <w:t>月</w:t>
      </w:r>
      <w:r w:rsidRPr="004B40EC">
        <w:rPr>
          <w:rFonts w:eastAsiaTheme="minorEastAsia"/>
          <w:color w:val="000000" w:themeColor="text1"/>
          <w:sz w:val="24"/>
        </w:rPr>
        <w:t>8</w:t>
      </w:r>
      <w:r w:rsidRPr="004B40EC">
        <w:rPr>
          <w:rFonts w:eastAsiaTheme="minorEastAsia"/>
          <w:color w:val="000000" w:themeColor="text1"/>
          <w:sz w:val="24"/>
        </w:rPr>
        <w:t>日，中国银行保险监督管理委员会上海监管局针对招商银行股份有限公司信用卡中心在为部分客户办理信用卡业务时未遵守总授信额度管理制度的行为，对招商银行股份有限公司处以责令改正，并处罚款</w:t>
      </w:r>
      <w:r w:rsidRPr="004B40EC">
        <w:rPr>
          <w:rFonts w:eastAsiaTheme="minorEastAsia"/>
          <w:color w:val="000000" w:themeColor="text1"/>
          <w:sz w:val="24"/>
        </w:rPr>
        <w:t>20</w:t>
      </w:r>
      <w:r w:rsidRPr="004B40EC">
        <w:rPr>
          <w:rFonts w:eastAsiaTheme="minorEastAsia"/>
          <w:color w:val="000000" w:themeColor="text1"/>
          <w:sz w:val="24"/>
        </w:rPr>
        <w:t>万元。</w:t>
      </w:r>
    </w:p>
    <w:p w:rsidR="00A11CC7" w:rsidRDefault="002001B8">
      <w:pPr>
        <w:widowControl/>
        <w:spacing w:line="360" w:lineRule="auto"/>
        <w:rPr>
          <w:color w:val="000000"/>
          <w:sz w:val="24"/>
        </w:rPr>
      </w:pPr>
      <w:r>
        <w:rPr>
          <w:rFonts w:eastAsiaTheme="minorEastAsia"/>
          <w:color w:val="000000" w:themeColor="text1"/>
          <w:sz w:val="24"/>
        </w:rPr>
        <w:t>19</w:t>
      </w:r>
      <w:r>
        <w:rPr>
          <w:rFonts w:eastAsiaTheme="minorEastAsia"/>
          <w:color w:val="000000" w:themeColor="text1"/>
          <w:sz w:val="24"/>
        </w:rPr>
        <w:t>农业银行</w:t>
      </w:r>
      <w:r>
        <w:rPr>
          <w:rFonts w:eastAsiaTheme="minorEastAsia"/>
          <w:color w:val="000000" w:themeColor="text1"/>
          <w:sz w:val="24"/>
        </w:rPr>
        <w:t>CD147</w:t>
      </w:r>
      <w:r>
        <w:rPr>
          <w:rFonts w:eastAsiaTheme="minorEastAsia"/>
          <w:color w:val="000000" w:themeColor="text1"/>
          <w:sz w:val="24"/>
        </w:rPr>
        <w:t>（代码：</w:t>
      </w:r>
      <w:r>
        <w:rPr>
          <w:rFonts w:eastAsiaTheme="minorEastAsia"/>
          <w:color w:val="000000" w:themeColor="text1"/>
          <w:sz w:val="24"/>
        </w:rPr>
        <w:t>111903147</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农业银行</w:t>
      </w:r>
      <w:r>
        <w:rPr>
          <w:rFonts w:eastAsiaTheme="minorEastAsia"/>
          <w:color w:val="000000" w:themeColor="text1"/>
          <w:sz w:val="24"/>
        </w:rPr>
        <w:t>CD202</w:t>
      </w:r>
      <w:r>
        <w:rPr>
          <w:rFonts w:eastAsiaTheme="minorEastAsia"/>
          <w:color w:val="000000" w:themeColor="text1"/>
          <w:sz w:val="24"/>
        </w:rPr>
        <w:t>（代码：</w:t>
      </w:r>
      <w:r>
        <w:rPr>
          <w:rFonts w:eastAsiaTheme="minorEastAsia"/>
          <w:color w:val="000000" w:themeColor="text1"/>
          <w:sz w:val="24"/>
        </w:rPr>
        <w:t>111903202</w:t>
      </w:r>
      <w:r>
        <w:rPr>
          <w:rFonts w:eastAsiaTheme="minorEastAsia"/>
          <w:color w:val="000000" w:themeColor="text1"/>
          <w:sz w:val="24"/>
        </w:rPr>
        <w:t>）是易方达天天增利货币市场基金的前十大持仓证券。</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w:t>
      </w:r>
      <w:r>
        <w:rPr>
          <w:rFonts w:eastAsiaTheme="minorEastAsia"/>
          <w:color w:val="000000" w:themeColor="text1"/>
          <w:sz w:val="24"/>
        </w:rPr>
        <w:t>7</w:t>
      </w:r>
      <w:r>
        <w:rPr>
          <w:rFonts w:eastAsiaTheme="minorEastAsia"/>
          <w:color w:val="000000" w:themeColor="text1"/>
          <w:sz w:val="24"/>
        </w:rPr>
        <w:t>日，中国银保监会上海监管局针对中</w:t>
      </w:r>
      <w:r>
        <w:rPr>
          <w:rFonts w:eastAsiaTheme="minorEastAsia"/>
          <w:color w:val="000000" w:themeColor="text1"/>
          <w:sz w:val="24"/>
        </w:rPr>
        <w:t>国农业银行股份有限公司中心部分信用卡资金违规用于非消费领域的违法违规行为，作出</w:t>
      </w:r>
      <w:r>
        <w:rPr>
          <w:rFonts w:eastAsiaTheme="minorEastAsia"/>
          <w:color w:val="000000" w:themeColor="text1"/>
          <w:sz w:val="24"/>
        </w:rPr>
        <w:t>“</w:t>
      </w:r>
      <w:r>
        <w:rPr>
          <w:rFonts w:eastAsiaTheme="minorEastAsia"/>
          <w:color w:val="000000" w:themeColor="text1"/>
          <w:sz w:val="24"/>
        </w:rPr>
        <w:t>责令改正，并处罚款</w:t>
      </w:r>
      <w:r>
        <w:rPr>
          <w:rFonts w:eastAsiaTheme="minorEastAsia"/>
          <w:color w:val="000000" w:themeColor="text1"/>
          <w:sz w:val="24"/>
        </w:rPr>
        <w:t>50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日，中国银行保险监督管理委员会上海监管局针对中国农业银行股份有限公司信用卡中心的如下违法违规行为作出</w:t>
      </w:r>
      <w:r>
        <w:rPr>
          <w:rFonts w:eastAsiaTheme="minorEastAsia"/>
          <w:color w:val="000000" w:themeColor="text1"/>
          <w:sz w:val="24"/>
        </w:rPr>
        <w:t>“</w:t>
      </w:r>
      <w:r>
        <w:rPr>
          <w:rFonts w:eastAsiaTheme="minorEastAsia"/>
          <w:color w:val="000000" w:themeColor="text1"/>
          <w:sz w:val="24"/>
        </w:rPr>
        <w:t>责令改正，并处罚款</w:t>
      </w:r>
      <w:r>
        <w:rPr>
          <w:rFonts w:eastAsiaTheme="minorEastAsia"/>
          <w:color w:val="000000" w:themeColor="text1"/>
          <w:sz w:val="24"/>
        </w:rPr>
        <w:t>20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月至</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月在办理部分客户信用卡业务时未遵守总授信额度管理制度。</w:t>
      </w:r>
    </w:p>
    <w:p w:rsidR="00A11CC7" w:rsidRDefault="002001B8">
      <w:pPr>
        <w:widowControl/>
        <w:spacing w:line="360" w:lineRule="auto"/>
        <w:rPr>
          <w:color w:val="000000"/>
          <w:sz w:val="24"/>
        </w:rPr>
      </w:pPr>
      <w:r>
        <w:rPr>
          <w:rFonts w:eastAsiaTheme="minorEastAsia"/>
          <w:color w:val="000000" w:themeColor="text1"/>
          <w:sz w:val="24"/>
        </w:rPr>
        <w:t>19</w:t>
      </w:r>
      <w:r>
        <w:rPr>
          <w:rFonts w:eastAsiaTheme="minorEastAsia"/>
          <w:color w:val="000000" w:themeColor="text1"/>
          <w:sz w:val="24"/>
        </w:rPr>
        <w:t>中信银行</w:t>
      </w:r>
      <w:r>
        <w:rPr>
          <w:rFonts w:eastAsiaTheme="minorEastAsia"/>
          <w:color w:val="000000" w:themeColor="text1"/>
          <w:sz w:val="24"/>
        </w:rPr>
        <w:t>CD046</w:t>
      </w:r>
      <w:r>
        <w:rPr>
          <w:rFonts w:eastAsiaTheme="minorEastAsia"/>
          <w:color w:val="000000" w:themeColor="text1"/>
          <w:sz w:val="24"/>
        </w:rPr>
        <w:t>（代码：</w:t>
      </w:r>
      <w:r>
        <w:rPr>
          <w:rFonts w:eastAsiaTheme="minorEastAsia"/>
          <w:color w:val="000000" w:themeColor="text1"/>
          <w:sz w:val="24"/>
        </w:rPr>
        <w:t>111908046</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中信银行</w:t>
      </w:r>
      <w:r>
        <w:rPr>
          <w:rFonts w:eastAsiaTheme="minorEastAsia"/>
          <w:color w:val="000000" w:themeColor="text1"/>
          <w:sz w:val="24"/>
        </w:rPr>
        <w:t>CD254</w:t>
      </w:r>
      <w:r>
        <w:rPr>
          <w:rFonts w:eastAsiaTheme="minorEastAsia"/>
          <w:color w:val="000000" w:themeColor="text1"/>
          <w:sz w:val="24"/>
        </w:rPr>
        <w:t>（代码：</w:t>
      </w:r>
      <w:r>
        <w:rPr>
          <w:rFonts w:eastAsiaTheme="minorEastAsia"/>
          <w:color w:val="000000" w:themeColor="text1"/>
          <w:sz w:val="24"/>
        </w:rPr>
        <w:t>111908254</w:t>
      </w:r>
      <w:r>
        <w:rPr>
          <w:rFonts w:eastAsiaTheme="minorEastAsia"/>
          <w:color w:val="000000" w:themeColor="text1"/>
          <w:sz w:val="24"/>
        </w:rPr>
        <w:t>）是易方达天天增利货币市场基金的前十大持仓证券。</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3</w:t>
      </w:r>
      <w:r>
        <w:rPr>
          <w:rFonts w:eastAsiaTheme="minorEastAsia"/>
          <w:color w:val="000000" w:themeColor="text1"/>
          <w:sz w:val="24"/>
        </w:rPr>
        <w:t>日，中国银行保险监督管理委员会针对中信银行股份有限公司的如下违法违规行为，作出</w:t>
      </w:r>
      <w:r>
        <w:rPr>
          <w:rFonts w:eastAsiaTheme="minorEastAsia"/>
          <w:color w:val="000000" w:themeColor="text1"/>
          <w:sz w:val="24"/>
        </w:rPr>
        <w:t>“</w:t>
      </w:r>
      <w:r>
        <w:rPr>
          <w:rFonts w:eastAsiaTheme="minorEastAsia"/>
          <w:color w:val="000000" w:themeColor="text1"/>
          <w:sz w:val="24"/>
        </w:rPr>
        <w:t>没收违法所得</w:t>
      </w:r>
      <w:r>
        <w:rPr>
          <w:rFonts w:eastAsiaTheme="minorEastAsia"/>
          <w:color w:val="000000" w:themeColor="text1"/>
          <w:sz w:val="24"/>
        </w:rPr>
        <w:t>33.6677</w:t>
      </w:r>
      <w:r>
        <w:rPr>
          <w:rFonts w:eastAsiaTheme="minorEastAsia"/>
          <w:color w:val="000000" w:themeColor="text1"/>
          <w:sz w:val="24"/>
        </w:rPr>
        <w:t>万元，罚款</w:t>
      </w:r>
      <w:r>
        <w:rPr>
          <w:rFonts w:eastAsiaTheme="minorEastAsia"/>
          <w:color w:val="000000" w:themeColor="text1"/>
          <w:sz w:val="24"/>
        </w:rPr>
        <w:t>2190</w:t>
      </w:r>
      <w:r>
        <w:rPr>
          <w:rFonts w:eastAsiaTheme="minorEastAsia"/>
          <w:color w:val="000000" w:themeColor="text1"/>
          <w:sz w:val="24"/>
        </w:rPr>
        <w:t>万元，合计</w:t>
      </w:r>
      <w:r>
        <w:rPr>
          <w:rFonts w:eastAsiaTheme="minorEastAsia"/>
          <w:color w:val="000000" w:themeColor="text1"/>
          <w:sz w:val="24"/>
        </w:rPr>
        <w:t>2223.6677</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的行政处罚决定：（一）未按规定提供报表且逾期未改正</w:t>
      </w:r>
      <w:r>
        <w:rPr>
          <w:rFonts w:eastAsiaTheme="minorEastAsia"/>
          <w:color w:val="000000" w:themeColor="text1"/>
          <w:sz w:val="24"/>
        </w:rPr>
        <w:t>;</w:t>
      </w:r>
      <w:r>
        <w:rPr>
          <w:rFonts w:eastAsiaTheme="minorEastAsia"/>
          <w:color w:val="000000" w:themeColor="text1"/>
          <w:sz w:val="24"/>
        </w:rPr>
        <w:t>（二）错报、漏报银行业监管统计资料；（三）未向监管部门报告重要信息系统运营中断事件</w:t>
      </w:r>
      <w:r>
        <w:rPr>
          <w:rFonts w:eastAsiaTheme="minorEastAsia"/>
          <w:color w:val="000000" w:themeColor="text1"/>
          <w:sz w:val="24"/>
        </w:rPr>
        <w:t>;</w:t>
      </w:r>
      <w:r>
        <w:rPr>
          <w:rFonts w:eastAsiaTheme="minorEastAsia"/>
          <w:color w:val="000000" w:themeColor="text1"/>
          <w:sz w:val="24"/>
        </w:rPr>
        <w:t>（四）信息系统控制存在较大安全漏洞，未做到有效的安全控</w:t>
      </w:r>
      <w:r>
        <w:rPr>
          <w:rFonts w:eastAsiaTheme="minorEastAsia"/>
          <w:color w:val="000000" w:themeColor="text1"/>
          <w:sz w:val="24"/>
        </w:rPr>
        <w:t>制</w:t>
      </w:r>
      <w:r>
        <w:rPr>
          <w:rFonts w:eastAsiaTheme="minorEastAsia"/>
          <w:color w:val="000000" w:themeColor="text1"/>
          <w:sz w:val="24"/>
        </w:rPr>
        <w:t>;</w:t>
      </w:r>
      <w:r>
        <w:rPr>
          <w:rFonts w:eastAsiaTheme="minorEastAsia"/>
          <w:color w:val="000000" w:themeColor="text1"/>
          <w:sz w:val="24"/>
        </w:rPr>
        <w:t>（五）未按企业划型标准将多家企业划分为小微型企业，报送监管数据不真实</w:t>
      </w:r>
      <w:r>
        <w:rPr>
          <w:rFonts w:eastAsiaTheme="minorEastAsia"/>
          <w:color w:val="000000" w:themeColor="text1"/>
          <w:sz w:val="24"/>
        </w:rPr>
        <w:t>;</w:t>
      </w:r>
      <w:r>
        <w:rPr>
          <w:rFonts w:eastAsiaTheme="minorEastAsia"/>
          <w:color w:val="000000" w:themeColor="text1"/>
          <w:sz w:val="24"/>
        </w:rPr>
        <w:t>（六）向关系人发放信用贷款、向关系人发放担保贷款的条件优于其他借款人同类贷款条件</w:t>
      </w:r>
      <w:r>
        <w:rPr>
          <w:rFonts w:eastAsiaTheme="minorEastAsia"/>
          <w:color w:val="000000" w:themeColor="text1"/>
          <w:sz w:val="24"/>
        </w:rPr>
        <w:t>;</w:t>
      </w:r>
      <w:r>
        <w:rPr>
          <w:rFonts w:eastAsiaTheme="minorEastAsia"/>
          <w:color w:val="000000" w:themeColor="text1"/>
          <w:sz w:val="24"/>
        </w:rPr>
        <w:t>（七）重大关联交易未按规定审查审批且未向监管部门报告</w:t>
      </w:r>
      <w:r>
        <w:rPr>
          <w:rFonts w:eastAsiaTheme="minorEastAsia"/>
          <w:color w:val="000000" w:themeColor="text1"/>
          <w:sz w:val="24"/>
        </w:rPr>
        <w:t>;</w:t>
      </w:r>
      <w:r>
        <w:rPr>
          <w:rFonts w:eastAsiaTheme="minorEastAsia"/>
          <w:color w:val="000000" w:themeColor="text1"/>
          <w:sz w:val="24"/>
        </w:rPr>
        <w:t>（八）贷后管理不到位导致贷款资金被挪用</w:t>
      </w:r>
      <w:r>
        <w:rPr>
          <w:rFonts w:eastAsiaTheme="minorEastAsia"/>
          <w:color w:val="000000" w:themeColor="text1"/>
          <w:sz w:val="24"/>
        </w:rPr>
        <w:t>;</w:t>
      </w:r>
      <w:r>
        <w:rPr>
          <w:rFonts w:eastAsiaTheme="minorEastAsia"/>
          <w:color w:val="000000" w:themeColor="text1"/>
          <w:sz w:val="24"/>
        </w:rPr>
        <w:t>（九）以流动资金贷款名义发放房地产开发贷款</w:t>
      </w:r>
      <w:r>
        <w:rPr>
          <w:rFonts w:eastAsiaTheme="minorEastAsia"/>
          <w:color w:val="000000" w:themeColor="text1"/>
          <w:sz w:val="24"/>
        </w:rPr>
        <w:t>;</w:t>
      </w:r>
      <w:r>
        <w:rPr>
          <w:rFonts w:eastAsiaTheme="minorEastAsia"/>
          <w:color w:val="000000" w:themeColor="text1"/>
          <w:sz w:val="24"/>
        </w:rPr>
        <w:t>（十）未将房地产企业贷款计入房地产开发贷款科目</w:t>
      </w:r>
      <w:r>
        <w:rPr>
          <w:rFonts w:eastAsiaTheme="minorEastAsia"/>
          <w:color w:val="000000" w:themeColor="text1"/>
          <w:sz w:val="24"/>
        </w:rPr>
        <w:t>;</w:t>
      </w:r>
      <w:r>
        <w:rPr>
          <w:rFonts w:eastAsiaTheme="minorEastAsia"/>
          <w:color w:val="000000" w:themeColor="text1"/>
          <w:sz w:val="24"/>
        </w:rPr>
        <w:t>（十一）投资同一家银行机构同期非保本理财产品采用风险权重不一致</w:t>
      </w:r>
      <w:r>
        <w:rPr>
          <w:rFonts w:eastAsiaTheme="minorEastAsia"/>
          <w:color w:val="000000" w:themeColor="text1"/>
          <w:sz w:val="24"/>
        </w:rPr>
        <w:t>;</w:t>
      </w:r>
      <w:r>
        <w:rPr>
          <w:rFonts w:eastAsiaTheme="minorEastAsia"/>
          <w:color w:val="000000" w:themeColor="text1"/>
          <w:sz w:val="24"/>
        </w:rPr>
        <w:t>（十二）购买非保本理财产品签订可提前赎回协议，未准确计量风险加权资产</w:t>
      </w:r>
      <w:r>
        <w:rPr>
          <w:rFonts w:eastAsiaTheme="minorEastAsia"/>
          <w:color w:val="000000" w:themeColor="text1"/>
          <w:sz w:val="24"/>
        </w:rPr>
        <w:t>;</w:t>
      </w:r>
      <w:r>
        <w:rPr>
          <w:rFonts w:eastAsiaTheme="minorEastAsia"/>
          <w:color w:val="000000" w:themeColor="text1"/>
          <w:sz w:val="24"/>
        </w:rPr>
        <w:t>（十三）未按规定计提资产支持证券业务</w:t>
      </w:r>
      <w:r>
        <w:rPr>
          <w:rFonts w:eastAsiaTheme="minorEastAsia"/>
          <w:color w:val="000000" w:themeColor="text1"/>
          <w:sz w:val="24"/>
        </w:rPr>
        <w:t>的风险加权资产。</w:t>
      </w:r>
    </w:p>
    <w:p w:rsidR="00A11CC7" w:rsidRDefault="002001B8">
      <w:pPr>
        <w:widowControl/>
        <w:spacing w:line="360" w:lineRule="auto"/>
        <w:rPr>
          <w:color w:val="000000"/>
          <w:sz w:val="24"/>
        </w:rPr>
      </w:pPr>
      <w:r>
        <w:rPr>
          <w:rFonts w:eastAsiaTheme="minorEastAsia"/>
          <w:color w:val="000000" w:themeColor="text1"/>
          <w:sz w:val="24"/>
        </w:rPr>
        <w:t>19</w:t>
      </w:r>
      <w:r>
        <w:rPr>
          <w:rFonts w:eastAsiaTheme="minorEastAsia"/>
          <w:color w:val="000000" w:themeColor="text1"/>
          <w:sz w:val="24"/>
        </w:rPr>
        <w:t>华夏银行</w:t>
      </w:r>
      <w:r>
        <w:rPr>
          <w:rFonts w:eastAsiaTheme="minorEastAsia"/>
          <w:color w:val="000000" w:themeColor="text1"/>
          <w:sz w:val="24"/>
        </w:rPr>
        <w:t>CD256</w:t>
      </w:r>
      <w:r>
        <w:rPr>
          <w:rFonts w:eastAsiaTheme="minorEastAsia"/>
          <w:color w:val="000000" w:themeColor="text1"/>
          <w:sz w:val="24"/>
        </w:rPr>
        <w:t>（代码：</w:t>
      </w:r>
      <w:r>
        <w:rPr>
          <w:rFonts w:eastAsiaTheme="minorEastAsia"/>
          <w:color w:val="000000" w:themeColor="text1"/>
          <w:sz w:val="24"/>
        </w:rPr>
        <w:t>111918256</w:t>
      </w:r>
      <w:r>
        <w:rPr>
          <w:rFonts w:eastAsiaTheme="minorEastAsia"/>
          <w:color w:val="000000" w:themeColor="text1"/>
          <w:sz w:val="24"/>
        </w:rPr>
        <w:t>）是易方达天天增利货币市场基金的前十大持仓证券。</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28</w:t>
      </w:r>
      <w:r>
        <w:rPr>
          <w:rFonts w:eastAsiaTheme="minorEastAsia"/>
          <w:color w:val="000000" w:themeColor="text1"/>
          <w:sz w:val="24"/>
        </w:rPr>
        <w:t>日，宁波银保监局对华夏银行信用卡中心宁波分中心信用卡业务管理严重不审慎的行为，罚款</w:t>
      </w:r>
      <w:r>
        <w:rPr>
          <w:rFonts w:eastAsiaTheme="minorEastAsia"/>
          <w:color w:val="000000" w:themeColor="text1"/>
          <w:sz w:val="24"/>
        </w:rPr>
        <w:t>30</w:t>
      </w:r>
      <w:r>
        <w:rPr>
          <w:rFonts w:eastAsiaTheme="minorEastAsia"/>
          <w:color w:val="000000" w:themeColor="text1"/>
          <w:sz w:val="24"/>
        </w:rPr>
        <w:t>万元。</w:t>
      </w:r>
    </w:p>
    <w:p w:rsidR="00A11CC7" w:rsidRDefault="002001B8">
      <w:pPr>
        <w:widowControl/>
        <w:spacing w:line="360" w:lineRule="auto"/>
        <w:rPr>
          <w:color w:val="000000"/>
          <w:sz w:val="24"/>
        </w:rPr>
      </w:pPr>
      <w:r>
        <w:rPr>
          <w:rFonts w:eastAsiaTheme="minorEastAsia"/>
          <w:color w:val="000000" w:themeColor="text1"/>
          <w:sz w:val="24"/>
        </w:rPr>
        <w:t>本基金投资</w:t>
      </w:r>
      <w:r>
        <w:rPr>
          <w:rFonts w:eastAsiaTheme="minorEastAsia"/>
          <w:color w:val="000000" w:themeColor="text1"/>
          <w:sz w:val="24"/>
        </w:rPr>
        <w:t>19</w:t>
      </w:r>
      <w:r>
        <w:rPr>
          <w:rFonts w:eastAsiaTheme="minorEastAsia"/>
          <w:color w:val="000000" w:themeColor="text1"/>
          <w:sz w:val="24"/>
        </w:rPr>
        <w:t>招商银行</w:t>
      </w:r>
      <w:r>
        <w:rPr>
          <w:rFonts w:eastAsiaTheme="minorEastAsia"/>
          <w:color w:val="000000" w:themeColor="text1"/>
          <w:sz w:val="24"/>
        </w:rPr>
        <w:t>CD205</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农业银行</w:t>
      </w:r>
      <w:r>
        <w:rPr>
          <w:rFonts w:eastAsiaTheme="minorEastAsia"/>
          <w:color w:val="000000" w:themeColor="text1"/>
          <w:sz w:val="24"/>
        </w:rPr>
        <w:t>CD147</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农业银行</w:t>
      </w:r>
      <w:r>
        <w:rPr>
          <w:rFonts w:eastAsiaTheme="minorEastAsia"/>
          <w:color w:val="000000" w:themeColor="text1"/>
          <w:sz w:val="24"/>
        </w:rPr>
        <w:t>CD202</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中信银行</w:t>
      </w:r>
      <w:r>
        <w:rPr>
          <w:rFonts w:eastAsiaTheme="minorEastAsia"/>
          <w:color w:val="000000" w:themeColor="text1"/>
          <w:sz w:val="24"/>
        </w:rPr>
        <w:t>CD046</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中信银行</w:t>
      </w:r>
      <w:r>
        <w:rPr>
          <w:rFonts w:eastAsiaTheme="minorEastAsia"/>
          <w:color w:val="000000" w:themeColor="text1"/>
          <w:sz w:val="24"/>
        </w:rPr>
        <w:t>CD254</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华夏银行</w:t>
      </w:r>
      <w:r>
        <w:rPr>
          <w:rFonts w:eastAsiaTheme="minorEastAsia"/>
          <w:color w:val="000000" w:themeColor="text1"/>
          <w:sz w:val="24"/>
        </w:rPr>
        <w:t>CD256</w:t>
      </w:r>
      <w:r>
        <w:rPr>
          <w:rFonts w:eastAsiaTheme="minorEastAsia"/>
          <w:color w:val="000000" w:themeColor="text1"/>
          <w:sz w:val="24"/>
        </w:rPr>
        <w:t>的投资决策程序符合公司投资制度的规定。</w:t>
      </w:r>
    </w:p>
    <w:p w:rsidR="00A11CC7" w:rsidRDefault="002001B8">
      <w:pPr>
        <w:widowControl/>
        <w:spacing w:line="360" w:lineRule="auto"/>
        <w:rPr>
          <w:color w:val="000000"/>
          <w:sz w:val="24"/>
        </w:rPr>
      </w:pPr>
      <w:r>
        <w:rPr>
          <w:rFonts w:eastAsiaTheme="minorEastAsia"/>
          <w:color w:val="000000" w:themeColor="text1"/>
          <w:sz w:val="24"/>
        </w:rPr>
        <w:t>除</w:t>
      </w:r>
      <w:r>
        <w:rPr>
          <w:rFonts w:eastAsiaTheme="minorEastAsia"/>
          <w:color w:val="000000" w:themeColor="text1"/>
          <w:sz w:val="24"/>
        </w:rPr>
        <w:t>19</w:t>
      </w:r>
      <w:r>
        <w:rPr>
          <w:rFonts w:eastAsiaTheme="minorEastAsia"/>
          <w:color w:val="000000" w:themeColor="text1"/>
          <w:sz w:val="24"/>
        </w:rPr>
        <w:t>招商银行</w:t>
      </w:r>
      <w:r>
        <w:rPr>
          <w:rFonts w:eastAsiaTheme="minorEastAsia"/>
          <w:color w:val="000000" w:themeColor="text1"/>
          <w:sz w:val="24"/>
        </w:rPr>
        <w:t>CD205</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农业银行</w:t>
      </w:r>
      <w:r>
        <w:rPr>
          <w:rFonts w:eastAsiaTheme="minorEastAsia"/>
          <w:color w:val="000000" w:themeColor="text1"/>
          <w:sz w:val="24"/>
        </w:rPr>
        <w:t>CD147</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农业银行</w:t>
      </w:r>
      <w:r>
        <w:rPr>
          <w:rFonts w:eastAsiaTheme="minorEastAsia"/>
          <w:color w:val="000000" w:themeColor="text1"/>
          <w:sz w:val="24"/>
        </w:rPr>
        <w:t>CD202</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中信银行</w:t>
      </w:r>
      <w:r>
        <w:rPr>
          <w:rFonts w:eastAsiaTheme="minorEastAsia"/>
          <w:color w:val="000000" w:themeColor="text1"/>
          <w:sz w:val="24"/>
        </w:rPr>
        <w:t>CD04</w:t>
      </w:r>
      <w:r>
        <w:rPr>
          <w:rFonts w:eastAsiaTheme="minorEastAsia"/>
          <w:color w:val="000000" w:themeColor="text1"/>
          <w:sz w:val="24"/>
        </w:rPr>
        <w:t>6</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中信银行</w:t>
      </w:r>
      <w:r>
        <w:rPr>
          <w:rFonts w:eastAsiaTheme="minorEastAsia"/>
          <w:color w:val="000000" w:themeColor="text1"/>
          <w:sz w:val="24"/>
        </w:rPr>
        <w:t>CD254</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华夏银行</w:t>
      </w:r>
      <w:r>
        <w:rPr>
          <w:rFonts w:eastAsiaTheme="minorEastAsia"/>
          <w:color w:val="000000" w:themeColor="text1"/>
          <w:sz w:val="24"/>
        </w:rPr>
        <w:t>CD256</w:t>
      </w:r>
      <w:r>
        <w:rPr>
          <w:rFonts w:eastAsiaTheme="minorEastAsia"/>
          <w:color w:val="000000" w:themeColor="text1"/>
          <w:sz w:val="24"/>
        </w:rPr>
        <w:t>外，本基金投资的前十名证券的发行主体本期没有出现被监管部门立案调查，或在报告编制日前一年内受到公开谴责、处罚的情形。</w:t>
      </w:r>
    </w:p>
    <w:p w:rsidR="00941F6C" w:rsidRPr="004B40EC" w:rsidRDefault="00941F6C" w:rsidP="00815CDE">
      <w:pPr>
        <w:spacing w:line="360" w:lineRule="auto"/>
        <w:rPr>
          <w:bCs/>
          <w:sz w:val="24"/>
        </w:rPr>
      </w:pPr>
      <w:r w:rsidRPr="004B40EC">
        <w:rPr>
          <w:sz w:val="24"/>
        </w:rPr>
        <w:t>5.9.3</w:t>
      </w:r>
      <w:r w:rsidRPr="004B40EC">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7"/>
              <w:jc w:val="center"/>
              <w:rPr>
                <w:color w:val="000000"/>
                <w:kern w:val="0"/>
                <w:sz w:val="24"/>
              </w:rPr>
            </w:pPr>
            <w:r w:rsidRPr="004B40EC">
              <w:rPr>
                <w:color w:val="000000"/>
                <w:kern w:val="0"/>
                <w:sz w:val="24"/>
              </w:rPr>
              <w:t>序号</w:t>
            </w:r>
          </w:p>
        </w:tc>
        <w:tc>
          <w:tcPr>
            <w:tcW w:w="3535" w:type="dxa"/>
            <w:vAlign w:val="center"/>
          </w:tcPr>
          <w:p w:rsidR="00941F6C" w:rsidRPr="004B40EC" w:rsidRDefault="00941F6C" w:rsidP="00CA7D55">
            <w:pPr>
              <w:autoSpaceDE w:val="0"/>
              <w:autoSpaceDN w:val="0"/>
              <w:adjustRightInd w:val="0"/>
              <w:spacing w:before="29" w:line="360" w:lineRule="auto"/>
              <w:ind w:left="17"/>
              <w:jc w:val="center"/>
              <w:rPr>
                <w:color w:val="000000"/>
                <w:kern w:val="0"/>
                <w:sz w:val="24"/>
              </w:rPr>
            </w:pPr>
            <w:r w:rsidRPr="004B40EC">
              <w:rPr>
                <w:color w:val="000000"/>
                <w:kern w:val="0"/>
                <w:sz w:val="24"/>
              </w:rPr>
              <w:t>名称</w:t>
            </w:r>
          </w:p>
        </w:tc>
        <w:tc>
          <w:tcPr>
            <w:tcW w:w="4808" w:type="dxa"/>
            <w:vAlign w:val="center"/>
          </w:tcPr>
          <w:p w:rsidR="00941F6C" w:rsidRPr="004B40EC" w:rsidRDefault="00941F6C" w:rsidP="00DC22A1">
            <w:pPr>
              <w:autoSpaceDE w:val="0"/>
              <w:autoSpaceDN w:val="0"/>
              <w:adjustRightInd w:val="0"/>
              <w:spacing w:before="29" w:line="360" w:lineRule="auto"/>
              <w:ind w:left="17"/>
              <w:jc w:val="center"/>
              <w:rPr>
                <w:color w:val="000000"/>
                <w:kern w:val="0"/>
                <w:sz w:val="24"/>
              </w:rPr>
            </w:pPr>
            <w:r w:rsidRPr="004B40EC">
              <w:rPr>
                <w:color w:val="000000"/>
                <w:kern w:val="0"/>
                <w:sz w:val="24"/>
              </w:rPr>
              <w:t>金额</w:t>
            </w:r>
            <w:r w:rsidR="00DC22A1" w:rsidRPr="004B40EC">
              <w:rPr>
                <w:color w:val="000000"/>
                <w:kern w:val="0"/>
                <w:sz w:val="24"/>
              </w:rPr>
              <w:t>（元）</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kern w:val="0"/>
                <w:sz w:val="24"/>
              </w:rPr>
            </w:pPr>
            <w:r w:rsidRPr="004B40EC">
              <w:rPr>
                <w:color w:val="000000"/>
                <w:sz w:val="24"/>
              </w:rPr>
              <w:t>1</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存出保证金</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658.43</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2</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应收证券清算款</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3</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应收利息</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15,767,787.85</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4</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应收申购款</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3,317,419.22</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5</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其他应收款</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6</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待摊费用</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7</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其他</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8</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合计</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19,085,865.50</w:t>
            </w:r>
          </w:p>
        </w:tc>
      </w:tr>
    </w:tbl>
    <w:p w:rsidR="00873984" w:rsidRPr="0097021E" w:rsidRDefault="00873984"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873984" w:rsidRPr="00361E73" w:rsidRDefault="00873984" w:rsidP="00873984">
      <w:pPr>
        <w:autoSpaceDE w:val="0"/>
        <w:autoSpaceDN w:val="0"/>
        <w:adjustRightInd w:val="0"/>
        <w:spacing w:before="29" w:line="360" w:lineRule="auto"/>
        <w:ind w:left="15"/>
        <w:jc w:val="right"/>
        <w:rPr>
          <w:rFonts w:ascii="宋体" w:hAnsi="宋体" w:cs="Arial"/>
          <w:color w:val="000000"/>
          <w:kern w:val="0"/>
          <w:sz w:val="24"/>
        </w:rPr>
      </w:pPr>
      <w:r w:rsidRPr="00361E73">
        <w:rPr>
          <w:rFonts w:ascii="宋体" w:hAnsi="宋体" w:cs="Arial" w:hint="eastAsia"/>
          <w:color w:val="000000"/>
          <w:kern w:val="0"/>
          <w:sz w:val="24"/>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873984" w:rsidRPr="00E179CD" w:rsidTr="00547B14">
        <w:tc>
          <w:tcPr>
            <w:tcW w:w="4134" w:type="dxa"/>
            <w:vAlign w:val="center"/>
          </w:tcPr>
          <w:p w:rsidR="00873984" w:rsidRPr="00361E73" w:rsidRDefault="00873984" w:rsidP="00547B14">
            <w:pPr>
              <w:autoSpaceDE w:val="0"/>
              <w:autoSpaceDN w:val="0"/>
              <w:adjustRightInd w:val="0"/>
              <w:spacing w:before="29" w:line="360" w:lineRule="auto"/>
              <w:ind w:left="15"/>
              <w:jc w:val="center"/>
              <w:rPr>
                <w:color w:val="000000"/>
                <w:kern w:val="0"/>
                <w:sz w:val="24"/>
              </w:rPr>
            </w:pPr>
            <w:r w:rsidRPr="00361E73">
              <w:rPr>
                <w:color w:val="000000"/>
                <w:kern w:val="0"/>
                <w:sz w:val="24"/>
              </w:rPr>
              <w:t>项目</w:t>
            </w:r>
          </w:p>
        </w:tc>
        <w:tc>
          <w:tcPr>
            <w:tcW w:w="2920" w:type="dxa"/>
            <w:vAlign w:val="center"/>
          </w:tcPr>
          <w:p w:rsidR="00873984" w:rsidRPr="00361E73" w:rsidRDefault="00873984" w:rsidP="00547B14">
            <w:pPr>
              <w:autoSpaceDE w:val="0"/>
              <w:autoSpaceDN w:val="0"/>
              <w:adjustRightInd w:val="0"/>
              <w:spacing w:before="29" w:line="360" w:lineRule="auto"/>
              <w:ind w:left="15"/>
              <w:jc w:val="center"/>
              <w:rPr>
                <w:color w:val="000000"/>
                <w:kern w:val="0"/>
                <w:sz w:val="24"/>
              </w:rPr>
            </w:pPr>
            <w:r w:rsidRPr="00361E73">
              <w:rPr>
                <w:sz w:val="24"/>
              </w:rPr>
              <w:t>易方达天天增利货币</w:t>
            </w:r>
            <w:r w:rsidRPr="00361E73">
              <w:rPr>
                <w:sz w:val="24"/>
              </w:rPr>
              <w:t>A</w:t>
            </w:r>
          </w:p>
        </w:tc>
        <w:tc>
          <w:tcPr>
            <w:tcW w:w="2920" w:type="dxa"/>
            <w:vAlign w:val="center"/>
          </w:tcPr>
          <w:p w:rsidR="00873984" w:rsidRPr="00361E73" w:rsidRDefault="00873984" w:rsidP="00547B14">
            <w:pPr>
              <w:autoSpaceDE w:val="0"/>
              <w:autoSpaceDN w:val="0"/>
              <w:adjustRightInd w:val="0"/>
              <w:spacing w:before="29" w:line="360" w:lineRule="auto"/>
              <w:ind w:left="15"/>
              <w:jc w:val="center"/>
              <w:rPr>
                <w:color w:val="000000"/>
                <w:kern w:val="0"/>
                <w:sz w:val="24"/>
              </w:rPr>
            </w:pPr>
            <w:r w:rsidRPr="00361E73">
              <w:rPr>
                <w:sz w:val="24"/>
              </w:rPr>
              <w:t>易方达天天增利货币</w:t>
            </w:r>
            <w:r w:rsidRPr="00361E73">
              <w:rPr>
                <w:sz w:val="24"/>
              </w:rPr>
              <w:t>B</w:t>
            </w:r>
          </w:p>
        </w:tc>
      </w:tr>
      <w:tr w:rsidR="00873984" w:rsidRPr="00E179CD" w:rsidTr="00547B14">
        <w:tc>
          <w:tcPr>
            <w:tcW w:w="4134" w:type="dxa"/>
            <w:vAlign w:val="center"/>
          </w:tcPr>
          <w:p w:rsidR="00873984" w:rsidRPr="00361E73" w:rsidRDefault="00873984" w:rsidP="00547B14">
            <w:pPr>
              <w:autoSpaceDE w:val="0"/>
              <w:autoSpaceDN w:val="0"/>
              <w:adjustRightInd w:val="0"/>
              <w:spacing w:before="29" w:line="360" w:lineRule="auto"/>
              <w:ind w:left="17"/>
              <w:rPr>
                <w:color w:val="000000"/>
                <w:kern w:val="0"/>
                <w:sz w:val="24"/>
              </w:rPr>
            </w:pPr>
            <w:r w:rsidRPr="00A15461">
              <w:rPr>
                <w:color w:val="000000"/>
                <w:kern w:val="0"/>
                <w:sz w:val="24"/>
              </w:rPr>
              <w:t>报告期期初基金份额总额</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2,178,164,264.56</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110,780,891.21</w:t>
            </w:r>
          </w:p>
        </w:tc>
      </w:tr>
      <w:tr w:rsidR="00873984" w:rsidRPr="00E179CD" w:rsidTr="00547B14">
        <w:tc>
          <w:tcPr>
            <w:tcW w:w="4134" w:type="dxa"/>
            <w:vAlign w:val="center"/>
          </w:tcPr>
          <w:p w:rsidR="00873984" w:rsidRPr="009742E2" w:rsidRDefault="00873984" w:rsidP="00547B14">
            <w:pPr>
              <w:adjustRightInd w:val="0"/>
              <w:snapToGrid w:val="0"/>
              <w:spacing w:line="340" w:lineRule="exact"/>
              <w:rPr>
                <w:color w:val="000000"/>
                <w:sz w:val="24"/>
              </w:rPr>
            </w:pPr>
            <w:r w:rsidRPr="00361E73">
              <w:rPr>
                <w:color w:val="000000"/>
                <w:kern w:val="0"/>
                <w:sz w:val="24"/>
              </w:rPr>
              <w:t>本报告期</w:t>
            </w:r>
            <w:r w:rsidRPr="009742E2">
              <w:rPr>
                <w:color w:val="000000"/>
                <w:sz w:val="24"/>
              </w:rPr>
              <w:t>基金总申购份额</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16,055,436,055.49</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25,401,343.24</w:t>
            </w:r>
          </w:p>
        </w:tc>
      </w:tr>
      <w:tr w:rsidR="00873984" w:rsidRPr="00E179CD" w:rsidTr="00547B14">
        <w:tc>
          <w:tcPr>
            <w:tcW w:w="4134" w:type="dxa"/>
            <w:vAlign w:val="center"/>
          </w:tcPr>
          <w:p w:rsidR="00873984" w:rsidRPr="009742E2" w:rsidRDefault="00873984" w:rsidP="00547B14">
            <w:pPr>
              <w:adjustRightInd w:val="0"/>
              <w:snapToGrid w:val="0"/>
              <w:spacing w:line="340" w:lineRule="exact"/>
              <w:rPr>
                <w:color w:val="000000"/>
                <w:sz w:val="24"/>
              </w:rPr>
            </w:pPr>
            <w:r w:rsidRPr="00361E73">
              <w:rPr>
                <w:color w:val="000000"/>
                <w:kern w:val="0"/>
                <w:sz w:val="24"/>
              </w:rPr>
              <w:t>本报告期</w:t>
            </w:r>
            <w:r w:rsidRPr="009742E2">
              <w:rPr>
                <w:color w:val="000000"/>
                <w:sz w:val="24"/>
              </w:rPr>
              <w:t>基金总赎回份额</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14,271,330,637.17</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44,695,622.23</w:t>
            </w:r>
          </w:p>
        </w:tc>
      </w:tr>
      <w:tr w:rsidR="00873984" w:rsidRPr="00E179CD" w:rsidTr="00547B14">
        <w:tc>
          <w:tcPr>
            <w:tcW w:w="4134" w:type="dxa"/>
            <w:vAlign w:val="center"/>
          </w:tcPr>
          <w:p w:rsidR="00873984" w:rsidRPr="009742E2" w:rsidRDefault="00873984" w:rsidP="00547B14">
            <w:pPr>
              <w:adjustRightInd w:val="0"/>
              <w:snapToGrid w:val="0"/>
              <w:spacing w:line="340" w:lineRule="exact"/>
              <w:rPr>
                <w:color w:val="000000"/>
                <w:sz w:val="24"/>
              </w:rPr>
            </w:pPr>
            <w:r w:rsidRPr="009742E2">
              <w:rPr>
                <w:color w:val="000000"/>
                <w:sz w:val="24"/>
              </w:rPr>
              <w:t>报告期期末基金份额总额</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3,962,269,682.88</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91,486,612.22</w:t>
            </w:r>
          </w:p>
        </w:tc>
      </w:tr>
    </w:tbl>
    <w:p w:rsidR="00941F6C" w:rsidRPr="00264E55" w:rsidRDefault="00941F6C" w:rsidP="00CE0B87">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7</w:t>
      </w:r>
      <w:r w:rsidR="00B963A4" w:rsidRPr="0097021E">
        <w:rPr>
          <w:rFonts w:ascii="宋体" w:hAnsi="宋体" w:cs="Arial"/>
          <w:color w:val="000000"/>
          <w:kern w:val="0"/>
          <w:sz w:val="24"/>
          <w:szCs w:val="24"/>
        </w:rPr>
        <w:t xml:space="preserve">  </w:t>
      </w:r>
      <w:r w:rsidRPr="005C2541">
        <w:rPr>
          <w:rFonts w:ascii="宋体" w:hAnsi="宋体" w:hint="eastAsia"/>
          <w:color w:val="000000"/>
          <w:kern w:val="0"/>
          <w:sz w:val="24"/>
          <w:szCs w:val="24"/>
        </w:rPr>
        <w:t>基金管理人运用固有资金投资本基金交易明细</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本报告期内基金管理人未运用固有资金申购、赎回、买卖本基金份额。</w:t>
      </w:r>
    </w:p>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8  </w:t>
      </w:r>
      <w:r w:rsidRPr="0097021E">
        <w:rPr>
          <w:rFonts w:ascii="宋体" w:hAnsi="宋体" w:cs="Arial" w:hint="eastAsia"/>
          <w:color w:val="000000"/>
          <w:kern w:val="0"/>
          <w:sz w:val="24"/>
          <w:szCs w:val="24"/>
        </w:rPr>
        <w:t>备查文件目录</w:t>
      </w:r>
    </w:p>
    <w:p w:rsidR="00941F6C" w:rsidRPr="0097021E" w:rsidRDefault="00941F6C"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A11CC7" w:rsidRDefault="002001B8">
      <w:pPr>
        <w:adjustRightInd w:val="0"/>
        <w:spacing w:line="360" w:lineRule="auto"/>
        <w:ind w:firstLineChars="200" w:firstLine="480"/>
        <w:rPr>
          <w:color w:val="000000"/>
          <w:sz w:val="24"/>
        </w:rPr>
      </w:pPr>
      <w:r>
        <w:rPr>
          <w:color w:val="000000"/>
          <w:sz w:val="24"/>
        </w:rPr>
        <w:t>1.</w:t>
      </w:r>
      <w:r>
        <w:rPr>
          <w:color w:val="000000"/>
          <w:sz w:val="24"/>
        </w:rPr>
        <w:t>中国证监会核准易方达天天增利货币市场基金募集的文件；</w:t>
      </w:r>
    </w:p>
    <w:p w:rsidR="00A11CC7" w:rsidRDefault="002001B8">
      <w:pPr>
        <w:adjustRightInd w:val="0"/>
        <w:spacing w:line="360" w:lineRule="auto"/>
        <w:ind w:firstLineChars="200" w:firstLine="480"/>
        <w:rPr>
          <w:color w:val="000000"/>
          <w:sz w:val="24"/>
        </w:rPr>
      </w:pPr>
      <w:r>
        <w:rPr>
          <w:color w:val="000000"/>
          <w:sz w:val="24"/>
        </w:rPr>
        <w:t>2.</w:t>
      </w:r>
      <w:r>
        <w:rPr>
          <w:color w:val="000000"/>
          <w:sz w:val="24"/>
        </w:rPr>
        <w:t>《易方达天天增利货币市场基金基金合同》；</w:t>
      </w:r>
    </w:p>
    <w:p w:rsidR="00A11CC7" w:rsidRDefault="002001B8">
      <w:pPr>
        <w:adjustRightInd w:val="0"/>
        <w:spacing w:line="360" w:lineRule="auto"/>
        <w:ind w:firstLineChars="200" w:firstLine="480"/>
        <w:rPr>
          <w:color w:val="000000"/>
          <w:sz w:val="24"/>
        </w:rPr>
      </w:pPr>
      <w:r>
        <w:rPr>
          <w:color w:val="000000"/>
          <w:sz w:val="24"/>
        </w:rPr>
        <w:t>3.</w:t>
      </w:r>
      <w:r>
        <w:rPr>
          <w:color w:val="000000"/>
          <w:sz w:val="24"/>
        </w:rPr>
        <w:t>《易方达天天增利货币市场基金托管协议》；</w:t>
      </w:r>
    </w:p>
    <w:p w:rsidR="00A11CC7" w:rsidRDefault="002001B8">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5.</w:t>
      </w:r>
      <w:r w:rsidRPr="00A15461">
        <w:rPr>
          <w:color w:val="000000"/>
          <w:sz w:val="24"/>
        </w:rPr>
        <w:t>基金管理人业务资格批件、营业执照。</w:t>
      </w:r>
    </w:p>
    <w:p w:rsidR="00941F6C" w:rsidRPr="0097021E" w:rsidRDefault="00941F6C"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广州市天河区珠江新城珠江东路</w:t>
      </w:r>
      <w:r w:rsidRPr="00A15461">
        <w:rPr>
          <w:color w:val="000000"/>
          <w:sz w:val="24"/>
        </w:rPr>
        <w:t>30</w:t>
      </w:r>
      <w:r w:rsidRPr="00A15461">
        <w:rPr>
          <w:color w:val="000000"/>
          <w:sz w:val="24"/>
        </w:rPr>
        <w:t>号广州银行大厦</w:t>
      </w:r>
      <w:r w:rsidRPr="00A15461">
        <w:rPr>
          <w:color w:val="000000"/>
          <w:sz w:val="24"/>
        </w:rPr>
        <w:t>40-43</w:t>
      </w:r>
      <w:r w:rsidRPr="00A15461">
        <w:rPr>
          <w:color w:val="000000"/>
          <w:sz w:val="24"/>
        </w:rPr>
        <w:t>楼。</w:t>
      </w:r>
    </w:p>
    <w:p w:rsidR="00941F6C" w:rsidRPr="0097021E" w:rsidRDefault="00941F6C"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投资者可在营业时间免费查阅，也可按工本费购买复印件。</w:t>
      </w: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Pr="0097021E" w:rsidRDefault="00941F6C" w:rsidP="00196812">
      <w:pPr>
        <w:spacing w:line="360" w:lineRule="auto"/>
        <w:ind w:left="840"/>
        <w:jc w:val="right"/>
        <w:rPr>
          <w:rFonts w:ascii="宋体"/>
          <w:color w:val="000000"/>
          <w:sz w:val="24"/>
        </w:rPr>
      </w:pPr>
    </w:p>
    <w:p w:rsidR="00941F6C" w:rsidRPr="0097021E" w:rsidRDefault="00941F6C" w:rsidP="00394BC1">
      <w:pPr>
        <w:spacing w:line="360" w:lineRule="auto"/>
        <w:jc w:val="right"/>
        <w:rPr>
          <w:rFonts w:ascii="宋体" w:hAnsi="宋体"/>
          <w:b/>
          <w:bCs/>
          <w:sz w:val="24"/>
        </w:rPr>
      </w:pPr>
      <w:r w:rsidRPr="0097021E">
        <w:rPr>
          <w:rFonts w:ascii="宋体" w:hAnsi="宋体"/>
          <w:b/>
          <w:bCs/>
          <w:sz w:val="24"/>
        </w:rPr>
        <w:t>易方达基金管理有限公司</w:t>
      </w:r>
    </w:p>
    <w:p w:rsidR="00941F6C" w:rsidRPr="0097021E" w:rsidRDefault="00941F6C" w:rsidP="00394BC1">
      <w:pPr>
        <w:spacing w:line="360" w:lineRule="auto"/>
        <w:jc w:val="right"/>
        <w:rPr>
          <w:rFonts w:ascii="宋体" w:hAnsi="宋体"/>
          <w:b/>
          <w:bCs/>
          <w:sz w:val="24"/>
        </w:rPr>
      </w:pPr>
      <w:r w:rsidRPr="0097021E">
        <w:rPr>
          <w:rFonts w:ascii="宋体" w:hAnsi="宋体"/>
          <w:b/>
          <w:bCs/>
          <w:sz w:val="24"/>
        </w:rPr>
        <w:t>二〇二〇年一月十八日</w:t>
      </w:r>
    </w:p>
    <w:sectPr w:rsidR="00941F6C"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CDF" w:rsidRDefault="00FD0CDF">
      <w:r>
        <w:separator/>
      </w:r>
    </w:p>
  </w:endnote>
  <w:endnote w:type="continuationSeparator" w:id="0">
    <w:p w:rsidR="00FD0CDF" w:rsidRDefault="00FD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6C" w:rsidRPr="001D0DB0" w:rsidRDefault="00941F6C" w:rsidP="001D0DB0">
    <w:pPr>
      <w:pStyle w:val="a5"/>
      <w:jc w:val="center"/>
    </w:pPr>
    <w:r>
      <w:rPr>
        <w:rFonts w:hint="eastAsia"/>
        <w:szCs w:val="21"/>
      </w:rPr>
      <w:t>第</w:t>
    </w:r>
    <w:r w:rsidR="000D7F46">
      <w:rPr>
        <w:szCs w:val="21"/>
      </w:rPr>
      <w:fldChar w:fldCharType="begin"/>
    </w:r>
    <w:r>
      <w:rPr>
        <w:szCs w:val="21"/>
      </w:rPr>
      <w:instrText xml:space="preserve"> PAGE </w:instrText>
    </w:r>
    <w:r w:rsidR="000D7F46">
      <w:rPr>
        <w:szCs w:val="21"/>
      </w:rPr>
      <w:fldChar w:fldCharType="separate"/>
    </w:r>
    <w:r w:rsidR="002001B8">
      <w:rPr>
        <w:noProof/>
        <w:szCs w:val="21"/>
      </w:rPr>
      <w:t>2</w:t>
    </w:r>
    <w:r w:rsidR="000D7F46">
      <w:rPr>
        <w:szCs w:val="21"/>
      </w:rPr>
      <w:fldChar w:fldCharType="end"/>
    </w:r>
    <w:r>
      <w:rPr>
        <w:rFonts w:hint="eastAsia"/>
        <w:szCs w:val="21"/>
      </w:rPr>
      <w:t>页共</w:t>
    </w:r>
    <w:r w:rsidR="000D7F46">
      <w:rPr>
        <w:szCs w:val="21"/>
      </w:rPr>
      <w:fldChar w:fldCharType="begin"/>
    </w:r>
    <w:r>
      <w:rPr>
        <w:szCs w:val="21"/>
      </w:rPr>
      <w:instrText xml:space="preserve"> NUMPAGES </w:instrText>
    </w:r>
    <w:r w:rsidR="000D7F46">
      <w:rPr>
        <w:szCs w:val="21"/>
      </w:rPr>
      <w:fldChar w:fldCharType="separate"/>
    </w:r>
    <w:r w:rsidR="002001B8">
      <w:rPr>
        <w:noProof/>
        <w:szCs w:val="21"/>
      </w:rPr>
      <w:t>2</w:t>
    </w:r>
    <w:r w:rsidR="000D7F46">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CDF" w:rsidRDefault="00FD0CDF">
      <w:r>
        <w:separator/>
      </w:r>
    </w:p>
  </w:footnote>
  <w:footnote w:type="continuationSeparator" w:id="0">
    <w:p w:rsidR="00FD0CDF" w:rsidRDefault="00FD0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6C" w:rsidRPr="004F32E4" w:rsidRDefault="00941F6C" w:rsidP="008379E2">
    <w:pPr>
      <w:pStyle w:val="a4"/>
      <w:pBdr>
        <w:bottom w:val="single" w:sz="6" w:space="0" w:color="auto"/>
      </w:pBdr>
      <w:jc w:val="right"/>
      <w:rPr>
        <w:sz w:val="15"/>
      </w:rPr>
    </w:pPr>
    <w:r w:rsidRPr="004F32E4">
      <w:rPr>
        <w:szCs w:val="21"/>
      </w:rPr>
      <w:t>易方达天天增利货币市场基金</w:t>
    </w:r>
    <w:r w:rsidRPr="004F32E4">
      <w:rPr>
        <w:szCs w:val="21"/>
      </w:rPr>
      <w:t>2019</w:t>
    </w:r>
    <w:r w:rsidRPr="004F32E4">
      <w:rPr>
        <w:szCs w:val="21"/>
      </w:rPr>
      <w:t>年第</w:t>
    </w:r>
    <w:r w:rsidRPr="004F32E4">
      <w:rPr>
        <w:szCs w:val="21"/>
      </w:rPr>
      <w:t>4</w:t>
    </w:r>
    <w:r w:rsidRPr="004F32E4">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7283"/>
    <w:rsid w:val="000028CE"/>
    <w:rsid w:val="00004DE7"/>
    <w:rsid w:val="00005433"/>
    <w:rsid w:val="0001552D"/>
    <w:rsid w:val="0001566B"/>
    <w:rsid w:val="0002085F"/>
    <w:rsid w:val="00035596"/>
    <w:rsid w:val="000417E0"/>
    <w:rsid w:val="00044724"/>
    <w:rsid w:val="00047661"/>
    <w:rsid w:val="00052CA4"/>
    <w:rsid w:val="0005518A"/>
    <w:rsid w:val="00057D26"/>
    <w:rsid w:val="00063BA4"/>
    <w:rsid w:val="00065BBC"/>
    <w:rsid w:val="0006697D"/>
    <w:rsid w:val="00070092"/>
    <w:rsid w:val="0007109E"/>
    <w:rsid w:val="00075BBB"/>
    <w:rsid w:val="00075CA2"/>
    <w:rsid w:val="0007770D"/>
    <w:rsid w:val="00081C7E"/>
    <w:rsid w:val="000A2104"/>
    <w:rsid w:val="000A7480"/>
    <w:rsid w:val="000B2044"/>
    <w:rsid w:val="000B2266"/>
    <w:rsid w:val="000C469F"/>
    <w:rsid w:val="000C572D"/>
    <w:rsid w:val="000D0F44"/>
    <w:rsid w:val="000D12EA"/>
    <w:rsid w:val="000D6294"/>
    <w:rsid w:val="000D66F0"/>
    <w:rsid w:val="000D7F46"/>
    <w:rsid w:val="000E0F6E"/>
    <w:rsid w:val="000E7D73"/>
    <w:rsid w:val="000F2DA3"/>
    <w:rsid w:val="000F3C21"/>
    <w:rsid w:val="000F4826"/>
    <w:rsid w:val="000F5947"/>
    <w:rsid w:val="001007E9"/>
    <w:rsid w:val="00101278"/>
    <w:rsid w:val="001038EF"/>
    <w:rsid w:val="00103B93"/>
    <w:rsid w:val="001074D6"/>
    <w:rsid w:val="00113777"/>
    <w:rsid w:val="00114C97"/>
    <w:rsid w:val="001302DB"/>
    <w:rsid w:val="00145BCE"/>
    <w:rsid w:val="00157B55"/>
    <w:rsid w:val="001614DC"/>
    <w:rsid w:val="00162222"/>
    <w:rsid w:val="001635C7"/>
    <w:rsid w:val="0018401C"/>
    <w:rsid w:val="00186667"/>
    <w:rsid w:val="00186F56"/>
    <w:rsid w:val="001878B0"/>
    <w:rsid w:val="00191B28"/>
    <w:rsid w:val="00193BCF"/>
    <w:rsid w:val="00195C6F"/>
    <w:rsid w:val="00196812"/>
    <w:rsid w:val="00197ED0"/>
    <w:rsid w:val="001A2524"/>
    <w:rsid w:val="001B2821"/>
    <w:rsid w:val="001B42BE"/>
    <w:rsid w:val="001B72D6"/>
    <w:rsid w:val="001B7CC6"/>
    <w:rsid w:val="001C5D80"/>
    <w:rsid w:val="001D0D4C"/>
    <w:rsid w:val="001D0DB0"/>
    <w:rsid w:val="001D3FAC"/>
    <w:rsid w:val="001D65C8"/>
    <w:rsid w:val="001D6ECD"/>
    <w:rsid w:val="001D75D9"/>
    <w:rsid w:val="001F0286"/>
    <w:rsid w:val="002001B8"/>
    <w:rsid w:val="00204CFA"/>
    <w:rsid w:val="0020640F"/>
    <w:rsid w:val="0021251E"/>
    <w:rsid w:val="00232095"/>
    <w:rsid w:val="00233014"/>
    <w:rsid w:val="0024424F"/>
    <w:rsid w:val="002507FE"/>
    <w:rsid w:val="002525C7"/>
    <w:rsid w:val="002611C3"/>
    <w:rsid w:val="002622E8"/>
    <w:rsid w:val="00264E55"/>
    <w:rsid w:val="00267283"/>
    <w:rsid w:val="00267FF0"/>
    <w:rsid w:val="00274FAC"/>
    <w:rsid w:val="0027576B"/>
    <w:rsid w:val="002A4B7F"/>
    <w:rsid w:val="002B45A4"/>
    <w:rsid w:val="002B48D0"/>
    <w:rsid w:val="002C33A0"/>
    <w:rsid w:val="002D1E78"/>
    <w:rsid w:val="002D3ADF"/>
    <w:rsid w:val="002E040C"/>
    <w:rsid w:val="002E0F4A"/>
    <w:rsid w:val="002E303A"/>
    <w:rsid w:val="002F0E9D"/>
    <w:rsid w:val="002F210C"/>
    <w:rsid w:val="002F6539"/>
    <w:rsid w:val="00304E44"/>
    <w:rsid w:val="00307062"/>
    <w:rsid w:val="00307395"/>
    <w:rsid w:val="00311ADA"/>
    <w:rsid w:val="00311AEB"/>
    <w:rsid w:val="00322B07"/>
    <w:rsid w:val="0032323A"/>
    <w:rsid w:val="00323377"/>
    <w:rsid w:val="00327FB0"/>
    <w:rsid w:val="00340292"/>
    <w:rsid w:val="00340C3A"/>
    <w:rsid w:val="00343648"/>
    <w:rsid w:val="00343AF0"/>
    <w:rsid w:val="003446AD"/>
    <w:rsid w:val="00346359"/>
    <w:rsid w:val="00346B82"/>
    <w:rsid w:val="0035022C"/>
    <w:rsid w:val="0035215C"/>
    <w:rsid w:val="0035397F"/>
    <w:rsid w:val="003571ED"/>
    <w:rsid w:val="00361AB7"/>
    <w:rsid w:val="00362E2A"/>
    <w:rsid w:val="00371E26"/>
    <w:rsid w:val="00373AAB"/>
    <w:rsid w:val="00374016"/>
    <w:rsid w:val="0038256A"/>
    <w:rsid w:val="00383631"/>
    <w:rsid w:val="00384942"/>
    <w:rsid w:val="00393DB8"/>
    <w:rsid w:val="00394BC1"/>
    <w:rsid w:val="003A0538"/>
    <w:rsid w:val="003A0EC1"/>
    <w:rsid w:val="003A2D1C"/>
    <w:rsid w:val="003B36B4"/>
    <w:rsid w:val="003B6DC6"/>
    <w:rsid w:val="003C0E8C"/>
    <w:rsid w:val="003C1137"/>
    <w:rsid w:val="003C495A"/>
    <w:rsid w:val="003D1ECF"/>
    <w:rsid w:val="003D21F4"/>
    <w:rsid w:val="003E14FE"/>
    <w:rsid w:val="003E565B"/>
    <w:rsid w:val="003F43EB"/>
    <w:rsid w:val="00402654"/>
    <w:rsid w:val="00403ED2"/>
    <w:rsid w:val="00404A00"/>
    <w:rsid w:val="0041278D"/>
    <w:rsid w:val="004147F3"/>
    <w:rsid w:val="004250C5"/>
    <w:rsid w:val="00425438"/>
    <w:rsid w:val="00433C1E"/>
    <w:rsid w:val="004369B0"/>
    <w:rsid w:val="00440828"/>
    <w:rsid w:val="0044257C"/>
    <w:rsid w:val="00446474"/>
    <w:rsid w:val="004527E3"/>
    <w:rsid w:val="00452968"/>
    <w:rsid w:val="00452D31"/>
    <w:rsid w:val="00460000"/>
    <w:rsid w:val="00461A70"/>
    <w:rsid w:val="004702DF"/>
    <w:rsid w:val="00473E10"/>
    <w:rsid w:val="00473EC9"/>
    <w:rsid w:val="00474896"/>
    <w:rsid w:val="004771B9"/>
    <w:rsid w:val="00483671"/>
    <w:rsid w:val="00496B2E"/>
    <w:rsid w:val="004A1355"/>
    <w:rsid w:val="004A2432"/>
    <w:rsid w:val="004A3251"/>
    <w:rsid w:val="004A357E"/>
    <w:rsid w:val="004A46A0"/>
    <w:rsid w:val="004B1C09"/>
    <w:rsid w:val="004B40EC"/>
    <w:rsid w:val="004C44F3"/>
    <w:rsid w:val="004C5B7C"/>
    <w:rsid w:val="004D18E1"/>
    <w:rsid w:val="004D22E1"/>
    <w:rsid w:val="004D6065"/>
    <w:rsid w:val="004E041A"/>
    <w:rsid w:val="004E3452"/>
    <w:rsid w:val="004E4E63"/>
    <w:rsid w:val="004F32E4"/>
    <w:rsid w:val="00505FFA"/>
    <w:rsid w:val="00506EF6"/>
    <w:rsid w:val="005134E7"/>
    <w:rsid w:val="005141F5"/>
    <w:rsid w:val="00515166"/>
    <w:rsid w:val="0051578D"/>
    <w:rsid w:val="00515B05"/>
    <w:rsid w:val="005212AE"/>
    <w:rsid w:val="00533490"/>
    <w:rsid w:val="0054464B"/>
    <w:rsid w:val="0054785C"/>
    <w:rsid w:val="00555883"/>
    <w:rsid w:val="00560F94"/>
    <w:rsid w:val="005633AD"/>
    <w:rsid w:val="00570F8C"/>
    <w:rsid w:val="005717B1"/>
    <w:rsid w:val="00575970"/>
    <w:rsid w:val="00582960"/>
    <w:rsid w:val="00587524"/>
    <w:rsid w:val="00592D0A"/>
    <w:rsid w:val="00594DCA"/>
    <w:rsid w:val="00595285"/>
    <w:rsid w:val="005A60B7"/>
    <w:rsid w:val="005B527B"/>
    <w:rsid w:val="005C2541"/>
    <w:rsid w:val="005C3044"/>
    <w:rsid w:val="005C4337"/>
    <w:rsid w:val="005D596C"/>
    <w:rsid w:val="005D6138"/>
    <w:rsid w:val="005D6807"/>
    <w:rsid w:val="005E05CC"/>
    <w:rsid w:val="005E1CCF"/>
    <w:rsid w:val="005E2087"/>
    <w:rsid w:val="005E6FA5"/>
    <w:rsid w:val="005F17EC"/>
    <w:rsid w:val="005F41D2"/>
    <w:rsid w:val="005F668B"/>
    <w:rsid w:val="005F6B28"/>
    <w:rsid w:val="005F7007"/>
    <w:rsid w:val="00607D19"/>
    <w:rsid w:val="00613327"/>
    <w:rsid w:val="006214E4"/>
    <w:rsid w:val="0063302E"/>
    <w:rsid w:val="00633177"/>
    <w:rsid w:val="006331F2"/>
    <w:rsid w:val="00636261"/>
    <w:rsid w:val="00636B17"/>
    <w:rsid w:val="0064191E"/>
    <w:rsid w:val="00664834"/>
    <w:rsid w:val="0066598A"/>
    <w:rsid w:val="006662B2"/>
    <w:rsid w:val="00672BEF"/>
    <w:rsid w:val="00673BA5"/>
    <w:rsid w:val="00685DE8"/>
    <w:rsid w:val="006911A1"/>
    <w:rsid w:val="00693EE6"/>
    <w:rsid w:val="006A1E40"/>
    <w:rsid w:val="006A2D00"/>
    <w:rsid w:val="006B01A5"/>
    <w:rsid w:val="006B2957"/>
    <w:rsid w:val="006B4C67"/>
    <w:rsid w:val="006D27DD"/>
    <w:rsid w:val="006D3126"/>
    <w:rsid w:val="006D4647"/>
    <w:rsid w:val="006D4C22"/>
    <w:rsid w:val="006E4EB5"/>
    <w:rsid w:val="006F1C55"/>
    <w:rsid w:val="006F3228"/>
    <w:rsid w:val="006F3CEE"/>
    <w:rsid w:val="006F622C"/>
    <w:rsid w:val="006F73DC"/>
    <w:rsid w:val="00707CB2"/>
    <w:rsid w:val="00710487"/>
    <w:rsid w:val="00712226"/>
    <w:rsid w:val="00714B3D"/>
    <w:rsid w:val="007277D1"/>
    <w:rsid w:val="00727EA0"/>
    <w:rsid w:val="0073105A"/>
    <w:rsid w:val="00734B8E"/>
    <w:rsid w:val="00737060"/>
    <w:rsid w:val="00741288"/>
    <w:rsid w:val="0074455F"/>
    <w:rsid w:val="007521F9"/>
    <w:rsid w:val="00756489"/>
    <w:rsid w:val="00756761"/>
    <w:rsid w:val="00756EA2"/>
    <w:rsid w:val="00757F37"/>
    <w:rsid w:val="00762E87"/>
    <w:rsid w:val="00764629"/>
    <w:rsid w:val="00764CF7"/>
    <w:rsid w:val="00764D09"/>
    <w:rsid w:val="00770628"/>
    <w:rsid w:val="007723FD"/>
    <w:rsid w:val="00772687"/>
    <w:rsid w:val="00774E1E"/>
    <w:rsid w:val="00780252"/>
    <w:rsid w:val="0078105B"/>
    <w:rsid w:val="00782061"/>
    <w:rsid w:val="00785C32"/>
    <w:rsid w:val="00795606"/>
    <w:rsid w:val="007B082A"/>
    <w:rsid w:val="007B1C3E"/>
    <w:rsid w:val="007C42E5"/>
    <w:rsid w:val="007C6CF9"/>
    <w:rsid w:val="007C7149"/>
    <w:rsid w:val="007D3CAD"/>
    <w:rsid w:val="007D6B90"/>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564C2"/>
    <w:rsid w:val="0086245E"/>
    <w:rsid w:val="00866CC9"/>
    <w:rsid w:val="00873984"/>
    <w:rsid w:val="00880EE6"/>
    <w:rsid w:val="00882323"/>
    <w:rsid w:val="00893021"/>
    <w:rsid w:val="008966EA"/>
    <w:rsid w:val="008A3C06"/>
    <w:rsid w:val="008A6C04"/>
    <w:rsid w:val="008B23BD"/>
    <w:rsid w:val="008C6B6D"/>
    <w:rsid w:val="008D0A39"/>
    <w:rsid w:val="008E4638"/>
    <w:rsid w:val="008E6C59"/>
    <w:rsid w:val="008E71D2"/>
    <w:rsid w:val="008F44F3"/>
    <w:rsid w:val="008F602A"/>
    <w:rsid w:val="008F76DB"/>
    <w:rsid w:val="009004F7"/>
    <w:rsid w:val="00902E3F"/>
    <w:rsid w:val="00903E98"/>
    <w:rsid w:val="00906C9B"/>
    <w:rsid w:val="00910FB5"/>
    <w:rsid w:val="00911C0E"/>
    <w:rsid w:val="009153D7"/>
    <w:rsid w:val="00920D1F"/>
    <w:rsid w:val="00941F6C"/>
    <w:rsid w:val="0094213C"/>
    <w:rsid w:val="00943AFD"/>
    <w:rsid w:val="0097021E"/>
    <w:rsid w:val="00971C19"/>
    <w:rsid w:val="00971D35"/>
    <w:rsid w:val="0097327D"/>
    <w:rsid w:val="0099296A"/>
    <w:rsid w:val="009965A5"/>
    <w:rsid w:val="009A2DB3"/>
    <w:rsid w:val="009A5367"/>
    <w:rsid w:val="009A56D7"/>
    <w:rsid w:val="009A5CE7"/>
    <w:rsid w:val="009A755D"/>
    <w:rsid w:val="009B15FD"/>
    <w:rsid w:val="009B2693"/>
    <w:rsid w:val="009B3C3F"/>
    <w:rsid w:val="009B4EB9"/>
    <w:rsid w:val="009B73A7"/>
    <w:rsid w:val="009C1A42"/>
    <w:rsid w:val="009D3827"/>
    <w:rsid w:val="009D4685"/>
    <w:rsid w:val="009D60EB"/>
    <w:rsid w:val="009D74FC"/>
    <w:rsid w:val="009E07F4"/>
    <w:rsid w:val="009E26B0"/>
    <w:rsid w:val="009E2BAA"/>
    <w:rsid w:val="009E3E0B"/>
    <w:rsid w:val="009F480F"/>
    <w:rsid w:val="00A01505"/>
    <w:rsid w:val="00A11CC7"/>
    <w:rsid w:val="00A1530B"/>
    <w:rsid w:val="00A15461"/>
    <w:rsid w:val="00A15E5D"/>
    <w:rsid w:val="00A16747"/>
    <w:rsid w:val="00A16D78"/>
    <w:rsid w:val="00A21EC2"/>
    <w:rsid w:val="00A24DC0"/>
    <w:rsid w:val="00A27322"/>
    <w:rsid w:val="00A3193E"/>
    <w:rsid w:val="00A42A96"/>
    <w:rsid w:val="00A455A0"/>
    <w:rsid w:val="00A50D92"/>
    <w:rsid w:val="00A62DD4"/>
    <w:rsid w:val="00A64F4A"/>
    <w:rsid w:val="00A65A66"/>
    <w:rsid w:val="00A6672A"/>
    <w:rsid w:val="00A7219D"/>
    <w:rsid w:val="00A732C4"/>
    <w:rsid w:val="00A805BC"/>
    <w:rsid w:val="00A80F9F"/>
    <w:rsid w:val="00A81075"/>
    <w:rsid w:val="00A87550"/>
    <w:rsid w:val="00A94718"/>
    <w:rsid w:val="00A95FA9"/>
    <w:rsid w:val="00AA5B03"/>
    <w:rsid w:val="00AA68D4"/>
    <w:rsid w:val="00AB373C"/>
    <w:rsid w:val="00AB5159"/>
    <w:rsid w:val="00AB67DE"/>
    <w:rsid w:val="00AC2B47"/>
    <w:rsid w:val="00AC3A1A"/>
    <w:rsid w:val="00AC3D9E"/>
    <w:rsid w:val="00AC446F"/>
    <w:rsid w:val="00AC6C3D"/>
    <w:rsid w:val="00AD1ADB"/>
    <w:rsid w:val="00AE17F1"/>
    <w:rsid w:val="00AE2FB9"/>
    <w:rsid w:val="00AE342F"/>
    <w:rsid w:val="00AE4F96"/>
    <w:rsid w:val="00AE6D9A"/>
    <w:rsid w:val="00AE7435"/>
    <w:rsid w:val="00AF2397"/>
    <w:rsid w:val="00AF27F9"/>
    <w:rsid w:val="00AF3D19"/>
    <w:rsid w:val="00B040BC"/>
    <w:rsid w:val="00B0441A"/>
    <w:rsid w:val="00B044FC"/>
    <w:rsid w:val="00B06458"/>
    <w:rsid w:val="00B25119"/>
    <w:rsid w:val="00B27004"/>
    <w:rsid w:val="00B33F45"/>
    <w:rsid w:val="00B33FA5"/>
    <w:rsid w:val="00B415B8"/>
    <w:rsid w:val="00B420AC"/>
    <w:rsid w:val="00B4354A"/>
    <w:rsid w:val="00B54CC5"/>
    <w:rsid w:val="00B60E27"/>
    <w:rsid w:val="00B64D62"/>
    <w:rsid w:val="00B6646C"/>
    <w:rsid w:val="00B76BBB"/>
    <w:rsid w:val="00B83944"/>
    <w:rsid w:val="00B92A84"/>
    <w:rsid w:val="00B94530"/>
    <w:rsid w:val="00B94B49"/>
    <w:rsid w:val="00B963A4"/>
    <w:rsid w:val="00BA7AF1"/>
    <w:rsid w:val="00BB03CC"/>
    <w:rsid w:val="00BB1083"/>
    <w:rsid w:val="00BB252C"/>
    <w:rsid w:val="00BB5126"/>
    <w:rsid w:val="00BB7518"/>
    <w:rsid w:val="00BC0205"/>
    <w:rsid w:val="00BC14F5"/>
    <w:rsid w:val="00BC2146"/>
    <w:rsid w:val="00BD1A7F"/>
    <w:rsid w:val="00BD6918"/>
    <w:rsid w:val="00BE439F"/>
    <w:rsid w:val="00BE5584"/>
    <w:rsid w:val="00BF1111"/>
    <w:rsid w:val="00BF3886"/>
    <w:rsid w:val="00BF6648"/>
    <w:rsid w:val="00C009AF"/>
    <w:rsid w:val="00C02FCF"/>
    <w:rsid w:val="00C2005E"/>
    <w:rsid w:val="00C205E4"/>
    <w:rsid w:val="00C2782D"/>
    <w:rsid w:val="00C3040F"/>
    <w:rsid w:val="00C31398"/>
    <w:rsid w:val="00C31708"/>
    <w:rsid w:val="00C365A8"/>
    <w:rsid w:val="00C36C15"/>
    <w:rsid w:val="00C4213A"/>
    <w:rsid w:val="00C4371A"/>
    <w:rsid w:val="00C4627A"/>
    <w:rsid w:val="00C54D3E"/>
    <w:rsid w:val="00C637D1"/>
    <w:rsid w:val="00C640B8"/>
    <w:rsid w:val="00C64FED"/>
    <w:rsid w:val="00C7033B"/>
    <w:rsid w:val="00C83157"/>
    <w:rsid w:val="00C927D5"/>
    <w:rsid w:val="00CA0730"/>
    <w:rsid w:val="00CA1C04"/>
    <w:rsid w:val="00CA3808"/>
    <w:rsid w:val="00CA65DD"/>
    <w:rsid w:val="00CA7D55"/>
    <w:rsid w:val="00CB0E8A"/>
    <w:rsid w:val="00CC05B9"/>
    <w:rsid w:val="00CC171F"/>
    <w:rsid w:val="00CC3F83"/>
    <w:rsid w:val="00CC57FC"/>
    <w:rsid w:val="00CC7DB0"/>
    <w:rsid w:val="00CD2092"/>
    <w:rsid w:val="00CD5F24"/>
    <w:rsid w:val="00CE0B87"/>
    <w:rsid w:val="00CE0E18"/>
    <w:rsid w:val="00CE193A"/>
    <w:rsid w:val="00CE6A71"/>
    <w:rsid w:val="00CF1F4A"/>
    <w:rsid w:val="00CF38CA"/>
    <w:rsid w:val="00CF540B"/>
    <w:rsid w:val="00CF5996"/>
    <w:rsid w:val="00CF6DF0"/>
    <w:rsid w:val="00D0349F"/>
    <w:rsid w:val="00D03770"/>
    <w:rsid w:val="00D05BAA"/>
    <w:rsid w:val="00D06255"/>
    <w:rsid w:val="00D06394"/>
    <w:rsid w:val="00D15D82"/>
    <w:rsid w:val="00D1705E"/>
    <w:rsid w:val="00D25602"/>
    <w:rsid w:val="00D30BD3"/>
    <w:rsid w:val="00D33791"/>
    <w:rsid w:val="00D33BA8"/>
    <w:rsid w:val="00D364EB"/>
    <w:rsid w:val="00D40363"/>
    <w:rsid w:val="00D451BC"/>
    <w:rsid w:val="00D47169"/>
    <w:rsid w:val="00D51E96"/>
    <w:rsid w:val="00D568BB"/>
    <w:rsid w:val="00D630DA"/>
    <w:rsid w:val="00D63B9E"/>
    <w:rsid w:val="00D65D90"/>
    <w:rsid w:val="00D66016"/>
    <w:rsid w:val="00D769BA"/>
    <w:rsid w:val="00D8034F"/>
    <w:rsid w:val="00D81755"/>
    <w:rsid w:val="00D85366"/>
    <w:rsid w:val="00D8617C"/>
    <w:rsid w:val="00D86415"/>
    <w:rsid w:val="00D87D00"/>
    <w:rsid w:val="00D94E23"/>
    <w:rsid w:val="00D9798C"/>
    <w:rsid w:val="00DA133F"/>
    <w:rsid w:val="00DA1983"/>
    <w:rsid w:val="00DA2F1E"/>
    <w:rsid w:val="00DA5831"/>
    <w:rsid w:val="00DB0538"/>
    <w:rsid w:val="00DB2873"/>
    <w:rsid w:val="00DC22A1"/>
    <w:rsid w:val="00DC4482"/>
    <w:rsid w:val="00DD5028"/>
    <w:rsid w:val="00DF1198"/>
    <w:rsid w:val="00DF5A9C"/>
    <w:rsid w:val="00E12082"/>
    <w:rsid w:val="00E21589"/>
    <w:rsid w:val="00E24D9E"/>
    <w:rsid w:val="00E257C8"/>
    <w:rsid w:val="00E26581"/>
    <w:rsid w:val="00E2722E"/>
    <w:rsid w:val="00E31609"/>
    <w:rsid w:val="00E3447D"/>
    <w:rsid w:val="00E36895"/>
    <w:rsid w:val="00E431CE"/>
    <w:rsid w:val="00E445F8"/>
    <w:rsid w:val="00E503E4"/>
    <w:rsid w:val="00E5550E"/>
    <w:rsid w:val="00E55E02"/>
    <w:rsid w:val="00E571C4"/>
    <w:rsid w:val="00E62A69"/>
    <w:rsid w:val="00E63B3D"/>
    <w:rsid w:val="00E64479"/>
    <w:rsid w:val="00E67D99"/>
    <w:rsid w:val="00E71B2F"/>
    <w:rsid w:val="00E75556"/>
    <w:rsid w:val="00E76F1F"/>
    <w:rsid w:val="00E80BE2"/>
    <w:rsid w:val="00E8309D"/>
    <w:rsid w:val="00E90A9C"/>
    <w:rsid w:val="00E92BEC"/>
    <w:rsid w:val="00E95356"/>
    <w:rsid w:val="00E966E5"/>
    <w:rsid w:val="00EA3D96"/>
    <w:rsid w:val="00EA6B69"/>
    <w:rsid w:val="00EA6B7B"/>
    <w:rsid w:val="00EB25E4"/>
    <w:rsid w:val="00EB3D8B"/>
    <w:rsid w:val="00ED093E"/>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3498A"/>
    <w:rsid w:val="00F406E3"/>
    <w:rsid w:val="00F40C82"/>
    <w:rsid w:val="00F45796"/>
    <w:rsid w:val="00F50707"/>
    <w:rsid w:val="00F5114E"/>
    <w:rsid w:val="00F53B1A"/>
    <w:rsid w:val="00F54568"/>
    <w:rsid w:val="00F57249"/>
    <w:rsid w:val="00F62DE3"/>
    <w:rsid w:val="00F70E0A"/>
    <w:rsid w:val="00F77131"/>
    <w:rsid w:val="00F85D7E"/>
    <w:rsid w:val="00F92B0F"/>
    <w:rsid w:val="00FA4C13"/>
    <w:rsid w:val="00FB345F"/>
    <w:rsid w:val="00FB4DA5"/>
    <w:rsid w:val="00FC57A1"/>
    <w:rsid w:val="00FC6069"/>
    <w:rsid w:val="00FD0CDF"/>
    <w:rsid w:val="00FD3820"/>
    <w:rsid w:val="00FD768A"/>
    <w:rsid w:val="00FE3C23"/>
    <w:rsid w:val="00FE6E6D"/>
    <w:rsid w:val="00FF0DAE"/>
    <w:rsid w:val="00FF3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0E7FA0B6-0CD6-4FAF-B1B2-DB9659CC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79613F"/>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79613F"/>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79613F"/>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79613F"/>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79613F"/>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D03770"/>
    <w:pPr>
      <w:snapToGrid w:val="0"/>
      <w:jc w:val="left"/>
    </w:pPr>
    <w:rPr>
      <w:sz w:val="18"/>
      <w:szCs w:val="18"/>
    </w:rPr>
  </w:style>
  <w:style w:type="character" w:customStyle="1" w:styleId="Char6">
    <w:name w:val="脚注文本 Char"/>
    <w:link w:val="ad"/>
    <w:uiPriority w:val="99"/>
    <w:locked/>
    <w:rsid w:val="00D03770"/>
    <w:rPr>
      <w:rFonts w:cs="Times New Roman"/>
      <w:kern w:val="2"/>
      <w:sz w:val="18"/>
      <w:szCs w:val="18"/>
    </w:rPr>
  </w:style>
  <w:style w:type="character" w:styleId="ae">
    <w:name w:val="footnote reference"/>
    <w:uiPriority w:val="99"/>
    <w:rsid w:val="00D03770"/>
    <w:rPr>
      <w:rFonts w:cs="Times New Roman"/>
      <w:vertAlign w:val="superscript"/>
    </w:rPr>
  </w:style>
  <w:style w:type="character" w:styleId="af">
    <w:name w:val="Strong"/>
    <w:uiPriority w:val="22"/>
    <w:qFormat/>
    <w:locked/>
    <w:rsid w:val="000C5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8538">
      <w:marLeft w:val="0"/>
      <w:marRight w:val="0"/>
      <w:marTop w:val="0"/>
      <w:marBottom w:val="0"/>
      <w:divBdr>
        <w:top w:val="none" w:sz="0" w:space="0" w:color="auto"/>
        <w:left w:val="none" w:sz="0" w:space="0" w:color="auto"/>
        <w:bottom w:val="none" w:sz="0" w:space="0" w:color="auto"/>
        <w:right w:val="none" w:sz="0" w:space="0" w:color="auto"/>
      </w:divBdr>
    </w:div>
    <w:div w:id="179708539">
      <w:marLeft w:val="0"/>
      <w:marRight w:val="0"/>
      <w:marTop w:val="0"/>
      <w:marBottom w:val="0"/>
      <w:divBdr>
        <w:top w:val="none" w:sz="0" w:space="0" w:color="auto"/>
        <w:left w:val="none" w:sz="0" w:space="0" w:color="auto"/>
        <w:bottom w:val="none" w:sz="0" w:space="0" w:color="auto"/>
        <w:right w:val="none" w:sz="0" w:space="0" w:color="auto"/>
      </w:divBdr>
    </w:div>
    <w:div w:id="179708540">
      <w:marLeft w:val="0"/>
      <w:marRight w:val="0"/>
      <w:marTop w:val="0"/>
      <w:marBottom w:val="0"/>
      <w:divBdr>
        <w:top w:val="none" w:sz="0" w:space="0" w:color="auto"/>
        <w:left w:val="none" w:sz="0" w:space="0" w:color="auto"/>
        <w:bottom w:val="none" w:sz="0" w:space="0" w:color="auto"/>
        <w:right w:val="none" w:sz="0" w:space="0" w:color="auto"/>
      </w:divBdr>
    </w:div>
    <w:div w:id="1573269872">
      <w:bodyDiv w:val="1"/>
      <w:marLeft w:val="0"/>
      <w:marRight w:val="0"/>
      <w:marTop w:val="0"/>
      <w:marBottom w:val="0"/>
      <w:divBdr>
        <w:top w:val="none" w:sz="0" w:space="0" w:color="auto"/>
        <w:left w:val="none" w:sz="0" w:space="0" w:color="auto"/>
        <w:bottom w:val="none" w:sz="0" w:space="0" w:color="auto"/>
        <w:right w:val="none" w:sz="0" w:space="0" w:color="auto"/>
      </w:divBdr>
    </w:div>
    <w:div w:id="17489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7642</Characters>
  <Application>Microsoft Office Word</Application>
  <DocSecurity>4</DocSecurity>
  <Lines>63</Lines>
  <Paragraphs>17</Paragraphs>
  <ScaleCrop>false</ScaleCrop>
  <Company>jysld</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cp:lastPrinted>2009-01-22T10:11:00Z</cp:lastPrinted>
  <dcterms:created xsi:type="dcterms:W3CDTF">2020-01-13T02:41:00Z</dcterms:created>
  <dcterms:modified xsi:type="dcterms:W3CDTF">2020-01-13T02:41:00Z</dcterms:modified>
</cp:coreProperties>
</file>