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rPr>
      </w:pPr>
      <w:r>
        <w:rPr>
          <w:b/>
        </w:rPr>
        <w:t>公开募集证券投资基金风险揭示书</w:t>
      </w:r>
    </w:p>
    <w:p>
      <w:pPr>
        <w:spacing w:line="360" w:lineRule="auto"/>
        <w:ind w:firstLine="420" w:firstLineChars="200"/>
      </w:pPr>
      <w:r>
        <w:t xml:space="preserve">尊敬的投资者： 投资有风险，投资需谨慎。公开募集证券投资基金（以下简称“基金”）是一种长期投资工具，其主要功能是分散投资，降低投资单一证券所带来的个别风险。基金不同于银行储蓄等能够提供固定收益预期的金融工具，当您购买基金产品时，既可能按持有份额分享基金投资所产生的收益，也可能承担基金投资所带来的损失。 </w:t>
      </w:r>
    </w:p>
    <w:p>
      <w:pPr>
        <w:spacing w:line="360" w:lineRule="auto"/>
        <w:ind w:firstLine="420" w:firstLineChars="200"/>
      </w:pPr>
      <w:r>
        <w:t xml:space="preserve">您在做出投资决策之前，请仔细阅读基金合同、基金招募说明书和基金产品资料概要等产品法律文件和本风险揭示书，充分认识本基金的风险收益特征和产品特性，认真考虑本基金存在的各项风险因素，并根据自身的投资目的、投资期限、投资经验、资产状况等因素充分考虑自身的风险承受能力，在了解产品情况及销售适当性意见的基础上，理性判断并谨慎做出投资决策。 </w:t>
      </w:r>
    </w:p>
    <w:p>
      <w:pPr>
        <w:spacing w:line="360" w:lineRule="auto"/>
        <w:ind w:firstLine="420" w:firstLineChars="200"/>
      </w:pPr>
      <w:r>
        <w:t>根据有关法律法规，</w:t>
      </w:r>
      <w:r>
        <w:rPr>
          <w:rFonts w:hint="eastAsia"/>
        </w:rPr>
        <w:t>川财证券有限责任公司</w:t>
      </w:r>
      <w:r>
        <w:t xml:space="preserve">做出如下风险揭示： </w:t>
      </w:r>
    </w:p>
    <w:p>
      <w:pPr>
        <w:spacing w:line="360" w:lineRule="auto"/>
        <w:ind w:firstLine="420" w:firstLineChars="200"/>
      </w:pPr>
      <w:r>
        <w:t>一、依据投资对象的不同</w:t>
      </w:r>
      <w:r>
        <w:rPr>
          <w:rFonts w:hint="eastAsia"/>
        </w:rPr>
        <w:t>，</w:t>
      </w:r>
      <w:r>
        <w:t xml:space="preserve">基金分为股票基金、混合基金、债券基金、货币市场基金、基金中基金、商品基金等不同类型，您投资不同类型的基金将获得不同的收益预期，也将承担不同程度的风险。一般来说，基金的收益预期越高，您承担的风险也越大。 </w:t>
      </w:r>
    </w:p>
    <w:p>
      <w:pPr>
        <w:spacing w:line="360" w:lineRule="auto"/>
        <w:ind w:firstLine="420" w:firstLineChars="200"/>
      </w:pPr>
      <w:r>
        <w:t xml:space="preserve">二、基金在投资运作过程中可能面临各种风险，既包括市场风险，也包括基金自身的管理风险、技术风险和合规风险等。巨额赎回风险是开放式基金所特有的一种风险，即当单个开放日基金的净赎回申请超过基金总份额的一定比例（开放式基金为百分之十，定期开放基金为百分之二十，中国证监会规定的特殊产品除外）时，您将可能无法及时赎回申请的全部基金份额，或您赎回的款项可能延缓支付。 </w:t>
      </w:r>
    </w:p>
    <w:p>
      <w:pPr>
        <w:spacing w:line="360" w:lineRule="auto"/>
        <w:ind w:firstLine="420" w:firstLineChars="200"/>
      </w:pPr>
      <w:r>
        <w:t xml:space="preserve">三、您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 </w:t>
      </w:r>
    </w:p>
    <w:p>
      <w:pPr>
        <w:spacing w:line="360" w:lineRule="auto"/>
        <w:ind w:firstLine="420" w:firstLineChars="200"/>
      </w:pPr>
      <w:r>
        <w:t xml:space="preserve">四、特殊类型产品风险揭示： </w:t>
      </w:r>
    </w:p>
    <w:p>
      <w:pPr>
        <w:spacing w:line="360" w:lineRule="auto"/>
        <w:ind w:firstLine="420" w:firstLineChars="200"/>
      </w:pPr>
      <w:r>
        <w:t xml:space="preserve">1. 如果您购买的产品为养老目标基金，产品“养老”的名称不代表收益保障或其他任何形式的收益承诺，产品不保本，可能发生亏损。请您仔细阅读专门风险揭示书，确认了解产品特征。 </w:t>
      </w:r>
    </w:p>
    <w:p>
      <w:pPr>
        <w:spacing w:line="360" w:lineRule="auto"/>
        <w:ind w:firstLine="420" w:firstLineChars="200"/>
      </w:pPr>
      <w:r>
        <w:t xml:space="preserve">2. 如果您购买的产品为货币市场基金，购买货币市场基金并不等于将资金作为存款存放在银行或者存款类金融机构，基金管理人不保证基金一定盈利，也不保证最低收益。 </w:t>
      </w:r>
    </w:p>
    <w:p>
      <w:pPr>
        <w:spacing w:line="360" w:lineRule="auto"/>
        <w:ind w:firstLine="420" w:firstLineChars="200"/>
      </w:pPr>
      <w:r>
        <w:t>3. 如果您购买的产品为避险策略基金</w:t>
      </w:r>
      <w:r>
        <w:rPr>
          <w:rFonts w:hint="eastAsia"/>
        </w:rPr>
        <w:t>，川财证券作为代销机构，按照管理人的保障机制配合执行。</w:t>
      </w:r>
      <w:r>
        <w:t>避险策略基金引入保障机制并不必然确保您投资本金的安全，基金份额持有人在极端情况下仍然存在本金损失的风险</w:t>
      </w:r>
      <w:r>
        <w:rPr>
          <w:rFonts w:hint="eastAsia"/>
        </w:rPr>
        <w:t>。</w:t>
      </w:r>
      <w:r>
        <w:t xml:space="preserve">本基金在避险策略期间赎回、转换转出的基金份额可以/无法获得差额补足保障。 </w:t>
      </w:r>
    </w:p>
    <w:p>
      <w:pPr>
        <w:spacing w:line="360" w:lineRule="auto"/>
        <w:ind w:firstLine="420" w:firstLineChars="200"/>
      </w:pPr>
      <w:r>
        <w:t xml:space="preserve">4. 如果您购买的产品投资于境外证券，除了需要承担与境内证券投资基金类似的市场波动风险等一般投资风险之外，本基金还面临汇率风险等境外证券市场投资所面临的特别投资风险。 </w:t>
      </w:r>
    </w:p>
    <w:p>
      <w:pPr>
        <w:spacing w:line="360" w:lineRule="auto"/>
        <w:ind w:firstLine="420" w:firstLineChars="200"/>
      </w:pPr>
      <w:r>
        <w:t xml:space="preserve">5. 如果您购买的产品以定期开放方式运作或者基金合同约定了基金份额最短持有期限，在封闭期或者最短持有期限内，您将面临因不能赎回或卖出基金份额而出现的流动性约束。 </w:t>
      </w:r>
    </w:p>
    <w:p>
      <w:pPr>
        <w:spacing w:line="360" w:lineRule="auto"/>
        <w:ind w:firstLine="420" w:firstLineChars="200"/>
      </w:pPr>
      <w:r>
        <w:t>五、基金管理人承诺以诚实信用、勤勉尽责的原则管理和运用基金资产，但不保证本基金一定盈利，也不保证最低收益。本基金的过往业绩及其净值高低并不预示其未来业绩表现，基金管理人管理的其他基金的业绩并不构成对本基金业绩表现的保证。</w:t>
      </w:r>
      <w:r>
        <w:rPr>
          <w:rFonts w:hint="eastAsia"/>
        </w:rPr>
        <w:t>川财证券</w:t>
      </w:r>
      <w:r>
        <w:t xml:space="preserve">提醒您基金投资的“买者自负”原则，在做出投资决策后，基金运营状况与基金净值变化引致的投资风险，由您自行负担。基金管理人、基金托管人、基金销售机构及相关机构不对基金投资收益做出任何承诺或保证。 </w:t>
      </w:r>
    </w:p>
    <w:p>
      <w:pPr>
        <w:spacing w:line="360" w:lineRule="auto"/>
        <w:ind w:firstLine="420" w:firstLineChars="200"/>
      </w:pPr>
      <w:r>
        <w:t>六、</w:t>
      </w:r>
      <w:r>
        <w:rPr>
          <w:highlight w:val="none"/>
        </w:rPr>
        <w:t>【</w:t>
      </w:r>
      <w:r>
        <w:rPr>
          <w:rFonts w:hint="eastAsia"/>
          <w:highlight w:val="none"/>
        </w:rPr>
        <w:t>南方上证科创板50成份增强策略交易型开放式指数证券投资基金</w:t>
      </w:r>
      <w:r>
        <w:rPr>
          <w:highlight w:val="none"/>
        </w:rPr>
        <w:t>】</w:t>
      </w:r>
      <w:r>
        <w:t>（以下简称“本基金”）由</w:t>
      </w:r>
      <w:r>
        <w:rPr>
          <w:rFonts w:hint="eastAsia"/>
        </w:rPr>
        <w:t>该基金的</w:t>
      </w:r>
      <w:r>
        <w:t>基金管理人依照有关法律法规及约定申请募集，并经中国证券监督管理委员会（以下简称“中国证监会”）许可注册。本基金的基金合同、基金招募说明书和基金产品资料概要已通过中国证监会基金电子披露网站【http://eid.csrc.gov.cn/fund】和基金管理人网站进行了公开披露。中国证监会对本基金的注册，并不表明其对本基金的投资价值、市场前景和收益作出实质性判断</w:t>
      </w:r>
      <w:r>
        <w:rPr>
          <w:rFonts w:hint="eastAsia"/>
        </w:rPr>
        <w:t>、推荐</w:t>
      </w:r>
      <w:r>
        <w:t>或保证，也不表明投资于本基金没有风险。</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54"/>
    <w:rsid w:val="00050E54"/>
    <w:rsid w:val="002A2708"/>
    <w:rsid w:val="004377F9"/>
    <w:rsid w:val="00553335"/>
    <w:rsid w:val="007B213B"/>
    <w:rsid w:val="00870F4F"/>
    <w:rsid w:val="00914CF7"/>
    <w:rsid w:val="00BA65B8"/>
    <w:rsid w:val="00D220F8"/>
    <w:rsid w:val="00D33646"/>
    <w:rsid w:val="00E3150C"/>
    <w:rsid w:val="00FA362C"/>
    <w:rsid w:val="00FE0B37"/>
    <w:rsid w:val="1B663E9B"/>
    <w:rsid w:val="4E6D6282"/>
    <w:rsid w:val="75A31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253</Words>
  <Characters>1446</Characters>
  <Lines>12</Lines>
  <Paragraphs>3</Paragraphs>
  <TotalTime>0</TotalTime>
  <ScaleCrop>false</ScaleCrop>
  <LinksUpToDate>false</LinksUpToDate>
  <CharactersWithSpaces>1696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2022-04-07T06:10:00Z</dcterms:created>
  <dc:creator>赵宏韬</dc:creator>
  <cp:lastModifiedBy>admin</cp:lastModifiedBy>
  <dcterms:modified xsi:type="dcterms:W3CDTF">2022-11-15T02:29:51Z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