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rPr>
      </w:pPr>
      <w:r>
        <w:rPr>
          <w:b/>
        </w:rPr>
        <w:t>公开募集证券投资基金风险揭示书</w:t>
      </w:r>
    </w:p>
    <w:p>
      <w:pPr>
        <w:spacing w:line="360" w:lineRule="auto"/>
        <w:ind w:firstLine="420" w:firstLineChars="200"/>
      </w:pPr>
      <w:r>
        <w:t xml:space="preserve">尊敬的投资者： 投资有风险，投资需谨慎。公开募集证券投资基金（以下简称“基金”）是一种长期投资工具，其主要功能是分散投资，降低投资单一证券所带来的个别风险。基金不同于银行储蓄等能够提供固定收益预期的金融工具，当您购买基金产品时，既可能按持有份额分享基金投资所产生的收益，也可能承担基金投资所带来的损失。 </w:t>
      </w:r>
    </w:p>
    <w:p>
      <w:pPr>
        <w:spacing w:line="360" w:lineRule="auto"/>
        <w:ind w:firstLine="420" w:firstLineChars="200"/>
      </w:pPr>
      <w:r>
        <w:t xml:space="preserve">您在做出投资决策之前，请仔细阅读基金合同、基金招募说明书和基金产品资料概要等产品法律文件和本风险揭示书，充分认识本基金的风险收益特征和产品特性，认真考虑本基金存在的各项风险因素，并根据自身的投资目的、投资期限、投资经验、资产状况等因素充分考虑自身的风险承受能力，在了解产品情况及销售适当性意见的基础上，理性判断并谨慎做出投资决策。 </w:t>
      </w:r>
    </w:p>
    <w:p>
      <w:pPr>
        <w:spacing w:line="360" w:lineRule="auto"/>
        <w:ind w:firstLine="420" w:firstLineChars="200"/>
      </w:pPr>
      <w:r>
        <w:t>根据有关法律法规，</w:t>
      </w:r>
      <w:r>
        <w:rPr>
          <w:rFonts w:hint="eastAsia"/>
        </w:rPr>
        <w:t>川财证券有限责任公司</w:t>
      </w:r>
      <w:r>
        <w:t xml:space="preserve">做出如下风险揭示： </w:t>
      </w:r>
    </w:p>
    <w:p>
      <w:pPr>
        <w:spacing w:line="360" w:lineRule="auto"/>
        <w:ind w:firstLine="420" w:firstLineChars="200"/>
      </w:pPr>
      <w:r>
        <w:t>一、依据投资对象的不同</w:t>
      </w:r>
      <w:r>
        <w:rPr>
          <w:rFonts w:hint="eastAsia"/>
        </w:rPr>
        <w:t>，</w:t>
      </w:r>
      <w:r>
        <w:t xml:space="preserve">基金分为股票基金、混合基金、债券基金、货币市场基金、基金中基金、商品基金等不同类型，您投资不同类型的基金将获得不同的收益预期，也将承担不同程度的风险。一般来说，基金的收益预期越高，您承担的风险也越大。 </w:t>
      </w:r>
    </w:p>
    <w:p>
      <w:pPr>
        <w:spacing w:line="360" w:lineRule="auto"/>
        <w:ind w:firstLine="420" w:firstLineChars="200"/>
      </w:pPr>
      <w:r>
        <w:t xml:space="preserve">二、基金在投资运作过程中可能面临各种风险，既包括市场风险，也包括基金自身的管理风险、技术风险和合规风险等。巨额赎回风险是开放式基金所特有的一种风险，即当单个开放日基金的净赎回申请超过基金总份额的一定比例（开放式基金为百分之十，定期开放基金为百分之二十，中国证监会规定的特殊产品除外）时，您将可能无法及时赎回申请的全部基金份额，或您赎回的款项可能延缓支付。 </w:t>
      </w:r>
    </w:p>
    <w:p>
      <w:pPr>
        <w:spacing w:line="360" w:lineRule="auto"/>
        <w:ind w:firstLine="420" w:firstLineChars="200"/>
      </w:pPr>
      <w:r>
        <w:t xml:space="preserve">三、您应当充分了解基金定期定额投资和零存整取等储蓄方式的区别。定期定额投资是引导投资者进行长期投资、平均投资成本的一种简单易行的投资方式，但并不能规避基金投资所固有的风险，不能保证投资者获得收益，也不是替代储蓄的等效理财方式。 </w:t>
      </w:r>
    </w:p>
    <w:p>
      <w:pPr>
        <w:spacing w:line="360" w:lineRule="auto"/>
        <w:ind w:firstLine="420" w:firstLineChars="200"/>
      </w:pPr>
      <w:r>
        <w:t xml:space="preserve">四、特殊类型产品风险揭示： </w:t>
      </w:r>
    </w:p>
    <w:p>
      <w:pPr>
        <w:spacing w:line="360" w:lineRule="auto"/>
        <w:ind w:firstLine="420" w:firstLineChars="200"/>
      </w:pPr>
      <w:r>
        <w:t xml:space="preserve">1. 如果您购买的产品为养老目标基金，产品“养老”的名称不代表收益保障或其他任何形式的收益承诺，产品不保本，可能发生亏损。请您仔细阅读专门风险揭示书，确认了解产品特征。 </w:t>
      </w:r>
    </w:p>
    <w:p>
      <w:pPr>
        <w:spacing w:line="360" w:lineRule="auto"/>
        <w:ind w:firstLine="420" w:firstLineChars="200"/>
      </w:pPr>
      <w:r>
        <w:t xml:space="preserve">2. 如果您购买的产品为货币市场基金，购买货币市场基金并不等于将资金作为存款存放在银行或者存款类金融机构，基金管理人不保证基金一定盈利，也不保证最低收益。 </w:t>
      </w:r>
    </w:p>
    <w:p>
      <w:pPr>
        <w:spacing w:line="360" w:lineRule="auto"/>
        <w:ind w:firstLine="420" w:firstLineChars="200"/>
      </w:pPr>
      <w:r>
        <w:t>3. 如果您购买的产品为避险策略基金</w:t>
      </w:r>
      <w:r>
        <w:rPr>
          <w:rFonts w:hint="eastAsia"/>
        </w:rPr>
        <w:t>，川财证券作为代销机构，按照管理人的保障机制配合执行。</w:t>
      </w:r>
      <w:r>
        <w:t>避险策略基金引入保障机制并不必然确保您投资本金的安全，基金份额持有人在极端情况下仍然存在本金损失的风险</w:t>
      </w:r>
      <w:r>
        <w:rPr>
          <w:rFonts w:hint="eastAsia"/>
        </w:rPr>
        <w:t>。</w:t>
      </w:r>
      <w:r>
        <w:t xml:space="preserve">本基金在避险策略期间赎回、转换转出的基金份额可以/无法获得差额补足保障。 </w:t>
      </w:r>
    </w:p>
    <w:p>
      <w:pPr>
        <w:spacing w:line="360" w:lineRule="auto"/>
        <w:ind w:firstLine="420" w:firstLineChars="200"/>
      </w:pPr>
      <w:r>
        <w:t xml:space="preserve">4. 如果您购买的产品投资于境外证券，除了需要承担与境内证券投资基金类似的市场波动风险等一般投资风险之外，本基金还面临汇率风险等境外证券市场投资所面临的特别投资风险。 </w:t>
      </w:r>
    </w:p>
    <w:p>
      <w:pPr>
        <w:spacing w:line="360" w:lineRule="auto"/>
        <w:ind w:firstLine="420" w:firstLineChars="200"/>
      </w:pPr>
      <w:r>
        <w:t xml:space="preserve">5. 如果您购买的产品以定期开放方式运作或者基金合同约定了基金份额最短持有期限，在封闭期或者最短持有期限内，您将面临因不能赎回或卖出基金份额而出现的流动性约束。 </w:t>
      </w:r>
    </w:p>
    <w:p>
      <w:pPr>
        <w:spacing w:line="360" w:lineRule="auto"/>
        <w:ind w:firstLine="420" w:firstLineChars="200"/>
      </w:pPr>
      <w:r>
        <w:t>五、基金管理人承诺以诚实信用、勤勉尽责的原则管理和运用基金资产，但不保证本基金一定盈利，也不保证最低收益。本基金的过往业绩及其净值高低并不预示其未来业绩表现，基金管理人管理的其他基金的业绩并不构成对本基金业绩表现的保证。</w:t>
      </w:r>
      <w:r>
        <w:rPr>
          <w:rFonts w:hint="eastAsia"/>
        </w:rPr>
        <w:t>川财证券</w:t>
      </w:r>
      <w:r>
        <w:t xml:space="preserve">提醒您基金投资的“买者自负”原则，在做出投资决策后，基金运营状况与基金净值变化引致的投资风险，由您自行负担。基金管理人、基金托管人、基金销售机构及相关机构不对基金投资收益做出任何承诺或保证。 </w:t>
      </w:r>
    </w:p>
    <w:p>
      <w:pPr>
        <w:spacing w:line="360" w:lineRule="auto"/>
        <w:ind w:firstLine="420" w:firstLineChars="200"/>
      </w:pPr>
      <w:r>
        <w:t>六、</w:t>
      </w:r>
      <w:r>
        <w:rPr>
          <w:highlight w:val="none"/>
        </w:rPr>
        <w:t>【</w:t>
      </w:r>
      <w:r>
        <w:rPr>
          <w:rFonts w:hint="eastAsia"/>
          <w:highlight w:val="none"/>
        </w:rPr>
        <w:t>景顺长城全球半导体芯片产业股票型证券投资基金（QDII-LOF）</w:t>
      </w:r>
      <w:r>
        <w:rPr>
          <w:rFonts w:hint="eastAsia"/>
          <w:highlight w:val="none"/>
          <w:lang w:val="en-US" w:eastAsia="zh-CN"/>
        </w:rPr>
        <w:t xml:space="preserve"> 501225</w:t>
      </w:r>
      <w:bookmarkStart w:id="0" w:name="_GoBack"/>
      <w:bookmarkEnd w:id="0"/>
      <w:r>
        <w:rPr>
          <w:highlight w:val="none"/>
        </w:rPr>
        <w:t>】</w:t>
      </w:r>
      <w:r>
        <w:t>（以下简称“本基金”）由</w:t>
      </w:r>
      <w:r>
        <w:rPr>
          <w:rFonts w:hint="eastAsia"/>
        </w:rPr>
        <w:t>该基金的</w:t>
      </w:r>
      <w:r>
        <w:t>基金管理人依照有关法律法规及约定申请募集，并经中国证券监督管理委员会（以下简称“中国证监会”）许可注册。本基金的基金合同、基金招募说明书和基金产品资料概要已通过中国证监会基金电子披露网站【http://eid.csrc.gov.cn/fund】和基金管理人网站进行了公开披露。中国证监会对本基金的注册，并不表明其对本基金的投资价值、市场前景和收益作出实质性判断</w:t>
      </w:r>
      <w:r>
        <w:rPr>
          <w:rFonts w:hint="eastAsia"/>
        </w:rPr>
        <w:t>、推荐</w:t>
      </w:r>
      <w:r>
        <w:t>或保证，也不表明投资于本基金没有风险。</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4E0"/>
    <w:rsid w:val="00025A26"/>
    <w:rsid w:val="00027C81"/>
    <w:rsid w:val="000354E0"/>
    <w:rsid w:val="001C56C0"/>
    <w:rsid w:val="003B202D"/>
    <w:rsid w:val="00776CF0"/>
    <w:rsid w:val="007B30C0"/>
    <w:rsid w:val="008D5CC3"/>
    <w:rsid w:val="00910826"/>
    <w:rsid w:val="00A47084"/>
    <w:rsid w:val="00AD10C4"/>
    <w:rsid w:val="00B93F93"/>
    <w:rsid w:val="00DB4BFE"/>
    <w:rsid w:val="0260127A"/>
    <w:rsid w:val="02BD480D"/>
    <w:rsid w:val="044927EB"/>
    <w:rsid w:val="061D6D9F"/>
    <w:rsid w:val="076042E7"/>
    <w:rsid w:val="0C483E74"/>
    <w:rsid w:val="0D0B4BED"/>
    <w:rsid w:val="0E0F45AA"/>
    <w:rsid w:val="11F318A7"/>
    <w:rsid w:val="1544305C"/>
    <w:rsid w:val="1798091D"/>
    <w:rsid w:val="18E53CF3"/>
    <w:rsid w:val="19DF4CBC"/>
    <w:rsid w:val="1EAF2ABA"/>
    <w:rsid w:val="202070C7"/>
    <w:rsid w:val="20E66F45"/>
    <w:rsid w:val="215F2942"/>
    <w:rsid w:val="228710A4"/>
    <w:rsid w:val="23557048"/>
    <w:rsid w:val="25CA23A3"/>
    <w:rsid w:val="27FE402E"/>
    <w:rsid w:val="2A120C8B"/>
    <w:rsid w:val="359C0F4B"/>
    <w:rsid w:val="36170F83"/>
    <w:rsid w:val="386F3593"/>
    <w:rsid w:val="3A5F50BB"/>
    <w:rsid w:val="3CA803B8"/>
    <w:rsid w:val="46695986"/>
    <w:rsid w:val="47B732EF"/>
    <w:rsid w:val="4AB3077D"/>
    <w:rsid w:val="4D951914"/>
    <w:rsid w:val="52397D12"/>
    <w:rsid w:val="54C0470F"/>
    <w:rsid w:val="5597411B"/>
    <w:rsid w:val="5853275F"/>
    <w:rsid w:val="5ABF66CB"/>
    <w:rsid w:val="5B7C35D6"/>
    <w:rsid w:val="5C662CD0"/>
    <w:rsid w:val="5F6D4240"/>
    <w:rsid w:val="632F1458"/>
    <w:rsid w:val="638734D1"/>
    <w:rsid w:val="661550E2"/>
    <w:rsid w:val="6E3658E7"/>
    <w:rsid w:val="6E761163"/>
    <w:rsid w:val="723E0769"/>
    <w:rsid w:val="73364E8D"/>
    <w:rsid w:val="75F14F12"/>
    <w:rsid w:val="7796742E"/>
    <w:rsid w:val="791C4865"/>
    <w:rsid w:val="7AAE1F51"/>
    <w:rsid w:val="7EDA6D13"/>
    <w:rsid w:val="7EEC51AE"/>
    <w:rsid w:val="7F374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3"/>
    <w:basedOn w:val="1"/>
    <w:qFormat/>
    <w:uiPriority w:val="0"/>
    <w:pPr>
      <w:spacing w:line="400" w:lineRule="atLeast"/>
      <w:ind w:firstLine="600"/>
    </w:pPr>
    <w:rPr>
      <w:rFonts w:hint="eastAsia" w:ascii="宋体"/>
      <w:sz w:val="28"/>
      <w:szCs w:val="20"/>
    </w:rPr>
  </w:style>
  <w:style w:type="character" w:styleId="7">
    <w:name w:val="FollowedHyperlink"/>
    <w:basedOn w:val="6"/>
    <w:qFormat/>
    <w:uiPriority w:val="0"/>
    <w:rPr>
      <w:color w:val="800080"/>
      <w:u w:val="single"/>
    </w:rPr>
  </w:style>
  <w:style w:type="character" w:styleId="8">
    <w:name w:val="Hyperlink"/>
    <w:basedOn w:val="6"/>
    <w:qFormat/>
    <w:uiPriority w:val="0"/>
    <w:rPr>
      <w:color w:val="0000FF"/>
      <w:u w:val="single"/>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237</Words>
  <Characters>1356</Characters>
  <Lines>11</Lines>
  <Paragraphs>3</Paragraphs>
  <TotalTime>0</TotalTime>
  <ScaleCrop>false</ScaleCrop>
  <LinksUpToDate>false</LinksUpToDate>
  <CharactersWithSpaces>1590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2021-03-19T05:16:00Z</dcterms:created>
  <dc:creator>user</dc:creator>
  <cp:lastModifiedBy>admin</cp:lastModifiedBy>
  <dcterms:modified xsi:type="dcterms:W3CDTF">2023-03-07T05:57:52Z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80EB44CBA7714DC7A4D1BB610C4FC8E0</vt:lpwstr>
  </property>
</Properties>
</file>