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公开募集证券投资基金风险揭示书</w:t>
      </w:r>
    </w:p>
    <w:p>
      <w:pPr>
        <w:spacing w:line="360" w:lineRule="auto"/>
        <w:ind w:firstLine="420" w:firstLineChars="200"/>
      </w:pPr>
      <w:r>
        <w:t xml:space="preserve">尊敬的投资者： 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 </w:t>
      </w:r>
    </w:p>
    <w:p>
      <w:pPr>
        <w:spacing w:line="360" w:lineRule="auto"/>
        <w:ind w:firstLine="420" w:firstLineChars="200"/>
      </w:pPr>
      <w:r>
        <w:t xml:space="preserve">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 </w:t>
      </w:r>
    </w:p>
    <w:p>
      <w:pPr>
        <w:spacing w:line="360" w:lineRule="auto"/>
        <w:ind w:firstLine="420" w:firstLineChars="200"/>
      </w:pPr>
      <w:r>
        <w:t>根据有关法律法规，</w:t>
      </w:r>
      <w:r>
        <w:rPr>
          <w:rFonts w:hint="eastAsia"/>
        </w:rPr>
        <w:t>川财证券有限责任公司</w:t>
      </w:r>
      <w:r>
        <w:t xml:space="preserve">做出如下风险揭示： </w:t>
      </w:r>
    </w:p>
    <w:p>
      <w:pPr>
        <w:spacing w:line="360" w:lineRule="auto"/>
        <w:ind w:firstLine="420" w:firstLineChars="200"/>
      </w:pPr>
      <w:r>
        <w:t>一、依据投资对象的不同</w:t>
      </w:r>
      <w:r>
        <w:rPr>
          <w:rFonts w:hint="eastAsia"/>
        </w:rPr>
        <w:t>，</w:t>
      </w:r>
      <w:r>
        <w:t xml:space="preserve">基金分为股票基金、混合基金、债券基金、货币市场基金、基金中基金、商品基金等不同类型，您投资不同类型的基金将获得不同的收益预期，也将承担不同程度的风险。一般来说，基金的收益预期越高，您承担的风险也越大。 </w:t>
      </w:r>
    </w:p>
    <w:p>
      <w:pPr>
        <w:spacing w:line="360" w:lineRule="auto"/>
        <w:ind w:firstLine="420" w:firstLineChars="200"/>
      </w:pPr>
      <w:r>
        <w:t xml:space="preserve">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 </w:t>
      </w:r>
    </w:p>
    <w:p>
      <w:pPr>
        <w:spacing w:line="360" w:lineRule="auto"/>
        <w:ind w:firstLine="420" w:firstLineChars="200"/>
      </w:pPr>
      <w:r>
        <w:t xml:space="preserve">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 </w:t>
      </w:r>
    </w:p>
    <w:p>
      <w:pPr>
        <w:spacing w:line="360" w:lineRule="auto"/>
        <w:ind w:firstLine="420" w:firstLineChars="200"/>
      </w:pPr>
      <w:r>
        <w:t xml:space="preserve">四、特殊类型产品风险揭示： </w:t>
      </w:r>
    </w:p>
    <w:p>
      <w:pPr>
        <w:spacing w:line="360" w:lineRule="auto"/>
        <w:ind w:firstLine="420" w:firstLineChars="200"/>
      </w:pPr>
      <w:r>
        <w:t xml:space="preserve">1. 如果您购买的产品为养老目标基金，产品“养老”的名称不代表收益保障或其他任何形式的收益承诺，产品不保本，可能发生亏损。请您仔细阅读专门风险揭示书，确认了解产品特征。 </w:t>
      </w:r>
    </w:p>
    <w:p>
      <w:pPr>
        <w:spacing w:line="360" w:lineRule="auto"/>
        <w:ind w:firstLine="420" w:firstLineChars="200"/>
      </w:pPr>
      <w:r>
        <w:t xml:space="preserve">2. 如果您购买的产品为货币市场基金，购买货币市场基金并不等于将资金作为存款存放在银行或者存款类金融机构，基金管理人不保证基金一定盈利，也不保证最低收益。 </w:t>
      </w:r>
    </w:p>
    <w:p>
      <w:pPr>
        <w:spacing w:line="360" w:lineRule="auto"/>
        <w:ind w:firstLine="420" w:firstLineChars="200"/>
      </w:pPr>
      <w:r>
        <w:t>3. 如果您购买的产品为避险策略基金</w:t>
      </w:r>
      <w:r>
        <w:rPr>
          <w:rFonts w:hint="eastAsia"/>
        </w:rPr>
        <w:t>，川财证券作为代销机构，按照管理人的保障机制配合执行。</w:t>
      </w:r>
      <w:r>
        <w:t>避险策略基金引入保障机制并不必然确保您投资本金的安全，基金份额持有人在极端情况下仍然存在本金损失的风险</w:t>
      </w:r>
      <w:r>
        <w:rPr>
          <w:rFonts w:hint="eastAsia"/>
        </w:rPr>
        <w:t>。</w:t>
      </w:r>
      <w:r>
        <w:t xml:space="preserve">本基金在避险策略期间赎回、转换转出的基金份额可以/无法获得差额补足保障。 </w:t>
      </w:r>
    </w:p>
    <w:p>
      <w:pPr>
        <w:spacing w:line="360" w:lineRule="auto"/>
        <w:ind w:firstLine="420" w:firstLineChars="200"/>
      </w:pPr>
      <w:r>
        <w:t xml:space="preserve">4. 如果您购买的产品投资于境外证券，除了需要承担与境内证券投资基金类似的市场波动风险等一般投资风险之外，本基金还面临汇率风险等境外证券市场投资所面临的特别投资风险。 </w:t>
      </w:r>
    </w:p>
    <w:p>
      <w:pPr>
        <w:spacing w:line="360" w:lineRule="auto"/>
        <w:ind w:firstLine="420" w:firstLineChars="200"/>
      </w:pPr>
      <w:r>
        <w:t xml:space="preserve">5. 如果您购买的产品以定期开放方式运作或者基金合同约定了基金份额最短持有期限，在封闭期或者最短持有期限内，您将面临因不能赎回或卖出基金份额而出现的流动性约束。 </w:t>
      </w:r>
    </w:p>
    <w:p>
      <w:pPr>
        <w:spacing w:line="360" w:lineRule="auto"/>
        <w:ind w:firstLine="420" w:firstLineChars="200"/>
      </w:pPr>
      <w: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w:t>
      </w:r>
      <w:r>
        <w:rPr>
          <w:rFonts w:hint="eastAsia"/>
        </w:rPr>
        <w:t>川财证券</w:t>
      </w:r>
      <w:r>
        <w:t xml:space="preserve">提醒您基金投资的“买者自负”原则，在做出投资决策后，基金运营状况与基金净值变化引致的投资风险，由您自行负担。基金管理人、基金托管人、基金销售机构及相关机构不对基金投资收益做出任何承诺或保证。 </w:t>
      </w:r>
    </w:p>
    <w:p>
      <w:pPr>
        <w:spacing w:line="360" w:lineRule="auto"/>
        <w:ind w:firstLine="420" w:firstLineChars="200"/>
      </w:pPr>
      <w:r>
        <w:t>六、</w:t>
      </w:r>
      <w:r>
        <w:rPr>
          <w:highlight w:val="none"/>
        </w:rPr>
        <w:t>【</w:t>
      </w:r>
      <w:r>
        <w:rPr>
          <w:rFonts w:hint="eastAsia"/>
          <w:highlight w:val="none"/>
        </w:rPr>
        <w:t>申万菱信沪深300价值交易型开放式指数证券投资基金</w:t>
      </w:r>
      <w:r>
        <w:rPr>
          <w:rFonts w:hint="eastAsia"/>
          <w:highlight w:val="none"/>
          <w:lang w:val="en-US" w:eastAsia="zh-CN"/>
        </w:rPr>
        <w:t xml:space="preserve"> </w:t>
      </w:r>
      <w:r>
        <w:rPr>
          <w:rFonts w:hint="eastAsia"/>
          <w:bCs/>
        </w:rPr>
        <w:t>5</w:t>
      </w:r>
      <w:r>
        <w:rPr>
          <w:bCs/>
        </w:rPr>
        <w:t>6033</w:t>
      </w:r>
      <w:r>
        <w:rPr>
          <w:rFonts w:hint="eastAsia"/>
          <w:bCs/>
          <w:lang w:val="en-US" w:eastAsia="zh-CN"/>
        </w:rPr>
        <w:t>0</w:t>
      </w:r>
      <w:bookmarkStart w:id="0" w:name="_GoBack"/>
      <w:bookmarkEnd w:id="0"/>
      <w:r>
        <w:rPr>
          <w:highlight w:val="none"/>
        </w:rPr>
        <w:t>】</w:t>
      </w:r>
      <w:r>
        <w:t>（以下简称“本基金”）由</w:t>
      </w:r>
      <w:r>
        <w:rPr>
          <w:rFonts w:hint="eastAsia"/>
        </w:rPr>
        <w:t>该基金的</w:t>
      </w:r>
      <w:r>
        <w:t>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进行了公开披露。中国证监会对本基金的注册，并不表明其对本基金的投资价值、市场前景和收益作出实质性判断</w:t>
      </w:r>
      <w:r>
        <w:rPr>
          <w:rFonts w:hint="eastAsia"/>
        </w:rPr>
        <w:t>、推荐</w:t>
      </w:r>
      <w:r>
        <w:t>或保证，也不表明投资于本基金没有风险。</w:t>
      </w: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E0"/>
    <w:rsid w:val="00025A26"/>
    <w:rsid w:val="00027C81"/>
    <w:rsid w:val="000354E0"/>
    <w:rsid w:val="001C56C0"/>
    <w:rsid w:val="003B202D"/>
    <w:rsid w:val="0057464F"/>
    <w:rsid w:val="00776CF0"/>
    <w:rsid w:val="007B30C0"/>
    <w:rsid w:val="008D5CC3"/>
    <w:rsid w:val="00910826"/>
    <w:rsid w:val="00A47084"/>
    <w:rsid w:val="00AD10C4"/>
    <w:rsid w:val="00B93F93"/>
    <w:rsid w:val="00DB4BFE"/>
    <w:rsid w:val="0260127A"/>
    <w:rsid w:val="02BD480D"/>
    <w:rsid w:val="044927EB"/>
    <w:rsid w:val="061D6D9F"/>
    <w:rsid w:val="076042E7"/>
    <w:rsid w:val="0D0B4BED"/>
    <w:rsid w:val="0E0F45AA"/>
    <w:rsid w:val="11F318A7"/>
    <w:rsid w:val="1544305C"/>
    <w:rsid w:val="1798091D"/>
    <w:rsid w:val="18E53CF3"/>
    <w:rsid w:val="19DF4CBC"/>
    <w:rsid w:val="1EAF2ABA"/>
    <w:rsid w:val="202070C7"/>
    <w:rsid w:val="20E66F45"/>
    <w:rsid w:val="215F2942"/>
    <w:rsid w:val="228710A4"/>
    <w:rsid w:val="23557048"/>
    <w:rsid w:val="25CA23A3"/>
    <w:rsid w:val="27FE402E"/>
    <w:rsid w:val="2A120C8B"/>
    <w:rsid w:val="359C0F4B"/>
    <w:rsid w:val="36170F83"/>
    <w:rsid w:val="386F3593"/>
    <w:rsid w:val="3A5F50BB"/>
    <w:rsid w:val="3CA803B8"/>
    <w:rsid w:val="46695986"/>
    <w:rsid w:val="47B732EF"/>
    <w:rsid w:val="482A32D1"/>
    <w:rsid w:val="4AB3077D"/>
    <w:rsid w:val="4D951914"/>
    <w:rsid w:val="52397D12"/>
    <w:rsid w:val="54C0470F"/>
    <w:rsid w:val="5597411B"/>
    <w:rsid w:val="5853275F"/>
    <w:rsid w:val="5ABF66CB"/>
    <w:rsid w:val="5B7C35D6"/>
    <w:rsid w:val="5C662CD0"/>
    <w:rsid w:val="5F6D4240"/>
    <w:rsid w:val="632F1458"/>
    <w:rsid w:val="638734D1"/>
    <w:rsid w:val="661550E2"/>
    <w:rsid w:val="6A674AE2"/>
    <w:rsid w:val="6E3658E7"/>
    <w:rsid w:val="6E761163"/>
    <w:rsid w:val="723E0769"/>
    <w:rsid w:val="73364E8D"/>
    <w:rsid w:val="75F14F12"/>
    <w:rsid w:val="7796742E"/>
    <w:rsid w:val="791C4865"/>
    <w:rsid w:val="7AAE1F51"/>
    <w:rsid w:val="7EDA6D13"/>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400" w:lineRule="atLeast"/>
      <w:ind w:firstLine="600"/>
    </w:pPr>
    <w:rPr>
      <w:rFonts w:hint="eastAsia" w:ascii="宋体"/>
      <w:sz w:val="28"/>
      <w:szCs w:val="20"/>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237</Words>
  <Characters>1356</Characters>
  <Lines>11</Lines>
  <Paragraphs>3</Paragraphs>
  <TotalTime>0</TotalTime>
  <ScaleCrop>false</ScaleCrop>
  <LinksUpToDate>false</LinksUpToDate>
  <CharactersWithSpaces>1590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林涵茜</cp:lastModifiedBy>
  <dcterms:modified xsi:type="dcterms:W3CDTF">2023-04-18T07:16:37Z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80EB44CBA7714DC7A4D1BB610C4FC8E0</vt:lpwstr>
  </property>
</Properties>
</file>