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07811" w14:textId="77777777" w:rsidR="00175DB4" w:rsidRDefault="00175DB4">
      <w:pPr>
        <w:spacing w:before="100" w:beforeAutospacing="1" w:after="100" w:afterAutospacing="1" w:line="360" w:lineRule="auto"/>
        <w:jc w:val="center"/>
        <w:rPr>
          <w:rFonts w:eastAsia="黑体"/>
          <w:b/>
          <w:bCs/>
          <w:sz w:val="44"/>
        </w:rPr>
      </w:pPr>
    </w:p>
    <w:p w14:paraId="743AD480" w14:textId="77777777" w:rsidR="00175DB4" w:rsidRDefault="00175DB4">
      <w:pPr>
        <w:spacing w:before="100" w:beforeAutospacing="1" w:after="100" w:afterAutospacing="1" w:line="360" w:lineRule="auto"/>
        <w:jc w:val="center"/>
        <w:rPr>
          <w:rFonts w:eastAsia="黑体"/>
          <w:b/>
          <w:bCs/>
          <w:sz w:val="44"/>
        </w:rPr>
      </w:pPr>
    </w:p>
    <w:p w14:paraId="0FF738C6" w14:textId="77777777" w:rsidR="00175DB4" w:rsidRDefault="00175DB4">
      <w:pPr>
        <w:spacing w:before="100" w:beforeAutospacing="1" w:after="100" w:afterAutospacing="1" w:line="360" w:lineRule="auto"/>
        <w:jc w:val="center"/>
        <w:rPr>
          <w:rFonts w:eastAsia="黑体"/>
          <w:b/>
          <w:bCs/>
          <w:sz w:val="44"/>
        </w:rPr>
      </w:pPr>
    </w:p>
    <w:p w14:paraId="0B1F398B" w14:textId="34674864" w:rsidR="00175DB4" w:rsidRDefault="00590BFA">
      <w:pPr>
        <w:spacing w:before="100" w:beforeAutospacing="1" w:after="100" w:afterAutospacing="1" w:line="360" w:lineRule="auto"/>
        <w:jc w:val="center"/>
        <w:rPr>
          <w:rFonts w:eastAsia="黑体"/>
          <w:b/>
          <w:bCs/>
          <w:sz w:val="44"/>
        </w:rPr>
      </w:pPr>
      <w:r>
        <w:rPr>
          <w:rFonts w:eastAsia="黑体" w:hint="eastAsia"/>
          <w:b/>
          <w:bCs/>
          <w:sz w:val="44"/>
        </w:rPr>
        <w:t>景</w:t>
      </w:r>
      <w:r w:rsidR="0064733D" w:rsidRPr="0064733D">
        <w:rPr>
          <w:rFonts w:eastAsia="黑体" w:hint="eastAsia"/>
          <w:b/>
          <w:bCs/>
          <w:sz w:val="44"/>
        </w:rPr>
        <w:t>顺</w:t>
      </w:r>
      <w:proofErr w:type="gramStart"/>
      <w:r w:rsidR="0064733D" w:rsidRPr="0064733D">
        <w:rPr>
          <w:rFonts w:eastAsia="黑体" w:hint="eastAsia"/>
          <w:b/>
          <w:bCs/>
          <w:sz w:val="44"/>
        </w:rPr>
        <w:t>长城国证</w:t>
      </w:r>
      <w:proofErr w:type="gramEnd"/>
      <w:r w:rsidR="0064733D" w:rsidRPr="0064733D">
        <w:rPr>
          <w:rFonts w:eastAsia="黑体" w:hint="eastAsia"/>
          <w:b/>
          <w:bCs/>
          <w:sz w:val="44"/>
        </w:rPr>
        <w:t>2000</w:t>
      </w:r>
      <w:r w:rsidR="0064733D" w:rsidRPr="0064733D">
        <w:rPr>
          <w:rFonts w:eastAsia="黑体" w:hint="eastAsia"/>
          <w:b/>
          <w:bCs/>
          <w:sz w:val="44"/>
        </w:rPr>
        <w:t>交易型开放式指数证券投资基金</w:t>
      </w:r>
      <w:r w:rsidR="000519D1">
        <w:rPr>
          <w:rFonts w:eastAsia="黑体"/>
          <w:b/>
          <w:bCs/>
          <w:sz w:val="44"/>
        </w:rPr>
        <w:t>招募说明书</w:t>
      </w:r>
    </w:p>
    <w:p w14:paraId="47EF448A" w14:textId="77777777" w:rsidR="00175DB4" w:rsidRPr="00EA1719" w:rsidRDefault="00175DB4">
      <w:pPr>
        <w:widowControl/>
        <w:tabs>
          <w:tab w:val="left" w:pos="1080"/>
          <w:tab w:val="left" w:pos="1620"/>
        </w:tabs>
        <w:spacing w:line="560" w:lineRule="exact"/>
        <w:jc w:val="center"/>
        <w:rPr>
          <w:rFonts w:eastAsia="黑体"/>
          <w:b/>
          <w:bCs/>
          <w:sz w:val="44"/>
        </w:rPr>
      </w:pPr>
    </w:p>
    <w:p w14:paraId="41254111" w14:textId="77777777" w:rsidR="00175DB4" w:rsidRDefault="00175DB4">
      <w:pPr>
        <w:widowControl/>
        <w:tabs>
          <w:tab w:val="left" w:pos="1080"/>
          <w:tab w:val="left" w:pos="1620"/>
        </w:tabs>
        <w:spacing w:line="560" w:lineRule="exact"/>
        <w:jc w:val="center"/>
        <w:rPr>
          <w:rFonts w:eastAsia="黑体"/>
          <w:b/>
          <w:bCs/>
          <w:sz w:val="24"/>
        </w:rPr>
      </w:pPr>
    </w:p>
    <w:p w14:paraId="4D3E0856" w14:textId="77777777" w:rsidR="00175DB4" w:rsidRDefault="00175DB4">
      <w:pPr>
        <w:widowControl/>
        <w:tabs>
          <w:tab w:val="left" w:pos="1080"/>
          <w:tab w:val="left" w:pos="1620"/>
        </w:tabs>
        <w:spacing w:line="560" w:lineRule="exact"/>
        <w:jc w:val="center"/>
        <w:rPr>
          <w:rFonts w:eastAsia="黑体"/>
          <w:b/>
          <w:bCs/>
          <w:sz w:val="24"/>
        </w:rPr>
      </w:pPr>
    </w:p>
    <w:p w14:paraId="5FD298F1" w14:textId="77777777" w:rsidR="00175DB4" w:rsidRDefault="00175DB4">
      <w:pPr>
        <w:widowControl/>
        <w:tabs>
          <w:tab w:val="left" w:pos="1080"/>
          <w:tab w:val="left" w:pos="1620"/>
        </w:tabs>
        <w:spacing w:line="560" w:lineRule="exact"/>
        <w:jc w:val="center"/>
        <w:rPr>
          <w:rFonts w:eastAsia="黑体"/>
          <w:b/>
          <w:bCs/>
          <w:sz w:val="24"/>
        </w:rPr>
      </w:pPr>
    </w:p>
    <w:p w14:paraId="2D423D41" w14:textId="77777777" w:rsidR="00175DB4" w:rsidRDefault="00175DB4">
      <w:pPr>
        <w:widowControl/>
        <w:tabs>
          <w:tab w:val="left" w:pos="1080"/>
          <w:tab w:val="left" w:pos="1620"/>
        </w:tabs>
        <w:spacing w:line="560" w:lineRule="exact"/>
        <w:jc w:val="center"/>
        <w:rPr>
          <w:rFonts w:eastAsia="黑体"/>
          <w:b/>
          <w:bCs/>
          <w:sz w:val="24"/>
        </w:rPr>
      </w:pPr>
    </w:p>
    <w:p w14:paraId="6134A913" w14:textId="77777777" w:rsidR="00175DB4" w:rsidRDefault="00175DB4">
      <w:pPr>
        <w:widowControl/>
        <w:tabs>
          <w:tab w:val="left" w:pos="1080"/>
          <w:tab w:val="left" w:pos="1620"/>
        </w:tabs>
        <w:spacing w:line="560" w:lineRule="exact"/>
        <w:jc w:val="center"/>
        <w:rPr>
          <w:rFonts w:eastAsia="黑体"/>
          <w:b/>
          <w:bCs/>
          <w:sz w:val="24"/>
        </w:rPr>
      </w:pPr>
    </w:p>
    <w:p w14:paraId="3C471C2A" w14:textId="77777777" w:rsidR="00175DB4" w:rsidRDefault="00175DB4">
      <w:pPr>
        <w:widowControl/>
        <w:tabs>
          <w:tab w:val="left" w:pos="1080"/>
          <w:tab w:val="left" w:pos="1620"/>
        </w:tabs>
        <w:spacing w:line="560" w:lineRule="exact"/>
        <w:jc w:val="center"/>
        <w:rPr>
          <w:rFonts w:eastAsia="黑体"/>
          <w:b/>
          <w:bCs/>
          <w:sz w:val="24"/>
        </w:rPr>
      </w:pPr>
    </w:p>
    <w:p w14:paraId="0F103E12" w14:textId="77777777" w:rsidR="00175DB4" w:rsidRDefault="000519D1" w:rsidP="0084159B">
      <w:pPr>
        <w:widowControl/>
        <w:tabs>
          <w:tab w:val="left" w:pos="1080"/>
          <w:tab w:val="left" w:pos="1260"/>
        </w:tabs>
        <w:adjustRightInd w:val="0"/>
        <w:ind w:firstLine="1581"/>
        <w:rPr>
          <w:bCs/>
          <w:sz w:val="30"/>
          <w:szCs w:val="30"/>
        </w:rPr>
      </w:pPr>
      <w:r>
        <w:rPr>
          <w:rFonts w:eastAsia="黑体"/>
          <w:b/>
          <w:bCs/>
          <w:sz w:val="30"/>
          <w:szCs w:val="30"/>
        </w:rPr>
        <w:t>基金管理人：景顺长城基金管理有限公司</w:t>
      </w:r>
    </w:p>
    <w:p w14:paraId="7D29DE99" w14:textId="126F7D54" w:rsidR="00175DB4" w:rsidRDefault="000519D1" w:rsidP="0084159B">
      <w:pPr>
        <w:widowControl/>
        <w:tabs>
          <w:tab w:val="left" w:pos="1080"/>
          <w:tab w:val="left" w:pos="1260"/>
        </w:tabs>
        <w:adjustRightInd w:val="0"/>
        <w:ind w:firstLine="1581"/>
        <w:rPr>
          <w:b/>
          <w:bCs/>
          <w:sz w:val="30"/>
          <w:szCs w:val="30"/>
        </w:rPr>
      </w:pPr>
      <w:r>
        <w:rPr>
          <w:rFonts w:eastAsia="黑体" w:hint="eastAsia"/>
          <w:b/>
          <w:bCs/>
          <w:sz w:val="30"/>
          <w:szCs w:val="30"/>
        </w:rPr>
        <w:t>基金托管人：</w:t>
      </w:r>
      <w:r w:rsidR="0064733D" w:rsidRPr="0064733D">
        <w:rPr>
          <w:rFonts w:eastAsia="黑体" w:hint="eastAsia"/>
          <w:b/>
          <w:bCs/>
          <w:sz w:val="30"/>
          <w:szCs w:val="30"/>
        </w:rPr>
        <w:t>广发证券股份有限公司</w:t>
      </w:r>
    </w:p>
    <w:p w14:paraId="4A4D9E46" w14:textId="77777777" w:rsidR="00175DB4" w:rsidRDefault="00175DB4">
      <w:pPr>
        <w:widowControl/>
        <w:tabs>
          <w:tab w:val="left" w:pos="1080"/>
          <w:tab w:val="left" w:pos="1620"/>
        </w:tabs>
        <w:spacing w:line="560" w:lineRule="exact"/>
        <w:jc w:val="center"/>
        <w:rPr>
          <w:rFonts w:eastAsia="黑体"/>
          <w:b/>
          <w:bCs/>
          <w:sz w:val="24"/>
        </w:rPr>
      </w:pPr>
    </w:p>
    <w:p w14:paraId="1EBDC5AA" w14:textId="77777777" w:rsidR="00175DB4" w:rsidRDefault="00175DB4">
      <w:pPr>
        <w:widowControl/>
        <w:tabs>
          <w:tab w:val="left" w:pos="1080"/>
          <w:tab w:val="left" w:pos="1620"/>
        </w:tabs>
        <w:spacing w:line="560" w:lineRule="exact"/>
        <w:jc w:val="center"/>
        <w:rPr>
          <w:rFonts w:eastAsia="黑体"/>
          <w:b/>
          <w:bCs/>
          <w:sz w:val="24"/>
        </w:rPr>
        <w:sectPr w:rsidR="00175DB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980" w:header="851" w:footer="992" w:gutter="0"/>
          <w:cols w:space="425"/>
          <w:titlePg/>
          <w:docGrid w:type="lines" w:linePitch="312"/>
        </w:sectPr>
      </w:pPr>
    </w:p>
    <w:p w14:paraId="7154C340" w14:textId="77777777" w:rsidR="00175DB4" w:rsidRDefault="000519D1">
      <w:pPr>
        <w:widowControl/>
        <w:tabs>
          <w:tab w:val="left" w:pos="1080"/>
          <w:tab w:val="left" w:pos="1620"/>
        </w:tabs>
        <w:spacing w:line="560" w:lineRule="exact"/>
        <w:jc w:val="center"/>
        <w:rPr>
          <w:rFonts w:eastAsia="黑体"/>
          <w:b/>
          <w:bCs/>
          <w:sz w:val="24"/>
        </w:rPr>
      </w:pPr>
      <w:r>
        <w:rPr>
          <w:rFonts w:eastAsia="黑体"/>
          <w:b/>
          <w:bCs/>
          <w:sz w:val="24"/>
        </w:rPr>
        <w:lastRenderedPageBreak/>
        <w:t>重要提示</w:t>
      </w:r>
    </w:p>
    <w:p w14:paraId="5BD36CCD" w14:textId="77777777" w:rsidR="00175DB4" w:rsidRDefault="00175DB4">
      <w:pPr>
        <w:widowControl/>
        <w:tabs>
          <w:tab w:val="left" w:pos="1080"/>
          <w:tab w:val="left" w:pos="1260"/>
        </w:tabs>
        <w:spacing w:line="560" w:lineRule="exact"/>
        <w:rPr>
          <w:rFonts w:eastAsia="方正仿宋简体"/>
          <w:bCs/>
          <w:kern w:val="0"/>
          <w:sz w:val="24"/>
        </w:rPr>
      </w:pPr>
    </w:p>
    <w:p w14:paraId="5901ECBB" w14:textId="0EDBC7C8" w:rsidR="00175DB4" w:rsidRDefault="000519D1">
      <w:pPr>
        <w:widowControl/>
        <w:tabs>
          <w:tab w:val="left" w:pos="1080"/>
          <w:tab w:val="left" w:pos="1260"/>
        </w:tabs>
        <w:ind w:firstLineChars="200" w:firstLine="360"/>
        <w:jc w:val="left"/>
        <w:rPr>
          <w:bCs/>
          <w:kern w:val="0"/>
          <w:sz w:val="18"/>
          <w:szCs w:val="18"/>
        </w:rPr>
      </w:pPr>
      <w:r>
        <w:rPr>
          <w:bCs/>
          <w:kern w:val="0"/>
          <w:sz w:val="18"/>
          <w:szCs w:val="18"/>
        </w:rPr>
        <w:t>（一）</w:t>
      </w:r>
      <w:r w:rsidR="0064733D">
        <w:rPr>
          <w:bCs/>
          <w:kern w:val="0"/>
          <w:sz w:val="18"/>
          <w:szCs w:val="18"/>
        </w:rPr>
        <w:t>景顺</w:t>
      </w:r>
      <w:proofErr w:type="gramStart"/>
      <w:r w:rsidR="0064733D">
        <w:rPr>
          <w:bCs/>
          <w:kern w:val="0"/>
          <w:sz w:val="18"/>
          <w:szCs w:val="18"/>
        </w:rPr>
        <w:t>长城国证</w:t>
      </w:r>
      <w:proofErr w:type="gramEnd"/>
      <w:r w:rsidR="0064733D">
        <w:rPr>
          <w:bCs/>
          <w:kern w:val="0"/>
          <w:sz w:val="18"/>
          <w:szCs w:val="18"/>
        </w:rPr>
        <w:t>2000</w:t>
      </w:r>
      <w:r w:rsidR="0064733D">
        <w:rPr>
          <w:bCs/>
          <w:kern w:val="0"/>
          <w:sz w:val="18"/>
          <w:szCs w:val="18"/>
        </w:rPr>
        <w:t>交易型开放式指数证券投资基金</w:t>
      </w:r>
      <w:r>
        <w:rPr>
          <w:bCs/>
          <w:kern w:val="0"/>
          <w:sz w:val="18"/>
          <w:szCs w:val="18"/>
        </w:rPr>
        <w:t>（以下简称</w:t>
      </w:r>
      <w:r>
        <w:rPr>
          <w:bCs/>
          <w:kern w:val="0"/>
          <w:sz w:val="18"/>
          <w:szCs w:val="18"/>
        </w:rPr>
        <w:t>“</w:t>
      </w:r>
      <w:r>
        <w:rPr>
          <w:bCs/>
          <w:kern w:val="0"/>
          <w:sz w:val="18"/>
          <w:szCs w:val="18"/>
        </w:rPr>
        <w:t>本基金</w:t>
      </w:r>
      <w:r>
        <w:rPr>
          <w:bCs/>
          <w:kern w:val="0"/>
          <w:sz w:val="18"/>
          <w:szCs w:val="18"/>
        </w:rPr>
        <w:t>”</w:t>
      </w:r>
      <w:r>
        <w:rPr>
          <w:bCs/>
          <w:kern w:val="0"/>
          <w:sz w:val="18"/>
          <w:szCs w:val="18"/>
        </w:rPr>
        <w:t>）由基金管理人依照《中华人民共和国证券投资基金法》（以下简称</w:t>
      </w:r>
      <w:r>
        <w:rPr>
          <w:bCs/>
          <w:kern w:val="0"/>
          <w:sz w:val="18"/>
          <w:szCs w:val="18"/>
        </w:rPr>
        <w:t>“</w:t>
      </w:r>
      <w:r>
        <w:rPr>
          <w:bCs/>
          <w:kern w:val="0"/>
          <w:sz w:val="18"/>
          <w:szCs w:val="18"/>
        </w:rPr>
        <w:t>《基金法》</w:t>
      </w:r>
      <w:r>
        <w:rPr>
          <w:bCs/>
          <w:kern w:val="0"/>
          <w:sz w:val="18"/>
          <w:szCs w:val="18"/>
        </w:rPr>
        <w:t>”</w:t>
      </w:r>
      <w:r>
        <w:rPr>
          <w:bCs/>
          <w:kern w:val="0"/>
          <w:sz w:val="18"/>
          <w:szCs w:val="18"/>
        </w:rPr>
        <w:t>）、《</w:t>
      </w:r>
      <w:r>
        <w:rPr>
          <w:rFonts w:hint="eastAsia"/>
          <w:bCs/>
          <w:kern w:val="0"/>
          <w:sz w:val="18"/>
          <w:szCs w:val="18"/>
        </w:rPr>
        <w:t>公开募集</w:t>
      </w:r>
      <w:r>
        <w:rPr>
          <w:bCs/>
          <w:kern w:val="0"/>
          <w:sz w:val="18"/>
          <w:szCs w:val="18"/>
        </w:rPr>
        <w:t>证券投资基金运作管理办法》（以下简称</w:t>
      </w:r>
      <w:r>
        <w:rPr>
          <w:bCs/>
          <w:kern w:val="0"/>
          <w:sz w:val="18"/>
          <w:szCs w:val="18"/>
        </w:rPr>
        <w:t>“</w:t>
      </w:r>
      <w:r>
        <w:rPr>
          <w:bCs/>
          <w:kern w:val="0"/>
          <w:sz w:val="18"/>
          <w:szCs w:val="18"/>
        </w:rPr>
        <w:t>《运作办法》</w:t>
      </w:r>
      <w:r>
        <w:rPr>
          <w:bCs/>
          <w:kern w:val="0"/>
          <w:sz w:val="18"/>
          <w:szCs w:val="18"/>
        </w:rPr>
        <w:t>”</w:t>
      </w:r>
      <w:r>
        <w:rPr>
          <w:bCs/>
          <w:kern w:val="0"/>
          <w:sz w:val="18"/>
          <w:szCs w:val="18"/>
        </w:rPr>
        <w:t>）、</w:t>
      </w:r>
      <w:r>
        <w:rPr>
          <w:rFonts w:hint="eastAsia"/>
          <w:bCs/>
          <w:kern w:val="0"/>
          <w:sz w:val="18"/>
          <w:szCs w:val="18"/>
        </w:rPr>
        <w:t>《公开募集证券投资基金销售机构监督管理办法》</w:t>
      </w:r>
      <w:r>
        <w:rPr>
          <w:bCs/>
          <w:kern w:val="0"/>
          <w:sz w:val="18"/>
          <w:szCs w:val="18"/>
        </w:rPr>
        <w:t>（以下简称</w:t>
      </w:r>
      <w:r>
        <w:rPr>
          <w:bCs/>
          <w:kern w:val="0"/>
          <w:sz w:val="18"/>
          <w:szCs w:val="18"/>
        </w:rPr>
        <w:t>“</w:t>
      </w:r>
      <w:r>
        <w:rPr>
          <w:bCs/>
          <w:kern w:val="0"/>
          <w:sz w:val="18"/>
          <w:szCs w:val="18"/>
        </w:rPr>
        <w:t>《销售办法》</w:t>
      </w:r>
      <w:r>
        <w:rPr>
          <w:bCs/>
          <w:kern w:val="0"/>
          <w:sz w:val="18"/>
          <w:szCs w:val="18"/>
        </w:rPr>
        <w:t>”</w:t>
      </w:r>
      <w:r>
        <w:rPr>
          <w:bCs/>
          <w:kern w:val="0"/>
          <w:sz w:val="18"/>
          <w:szCs w:val="18"/>
        </w:rPr>
        <w:t>）、《</w:t>
      </w:r>
      <w:r>
        <w:rPr>
          <w:rFonts w:hint="eastAsia"/>
          <w:bCs/>
          <w:kern w:val="0"/>
          <w:sz w:val="18"/>
          <w:szCs w:val="18"/>
        </w:rPr>
        <w:t>公开募集</w:t>
      </w:r>
      <w:r>
        <w:rPr>
          <w:bCs/>
          <w:kern w:val="0"/>
          <w:sz w:val="18"/>
          <w:szCs w:val="18"/>
        </w:rPr>
        <w:t>证券投资基金信息披露管理办法》（以下简称</w:t>
      </w:r>
      <w:r>
        <w:rPr>
          <w:bCs/>
          <w:kern w:val="0"/>
          <w:sz w:val="18"/>
          <w:szCs w:val="18"/>
        </w:rPr>
        <w:t>“</w:t>
      </w:r>
      <w:r>
        <w:rPr>
          <w:bCs/>
          <w:kern w:val="0"/>
          <w:sz w:val="18"/>
          <w:szCs w:val="18"/>
        </w:rPr>
        <w:t>《信息披露办法》</w:t>
      </w:r>
      <w:r>
        <w:rPr>
          <w:bCs/>
          <w:kern w:val="0"/>
          <w:sz w:val="18"/>
          <w:szCs w:val="18"/>
        </w:rPr>
        <w:t>”</w:t>
      </w:r>
      <w:r>
        <w:rPr>
          <w:bCs/>
          <w:kern w:val="0"/>
          <w:sz w:val="18"/>
          <w:szCs w:val="18"/>
        </w:rPr>
        <w:t>）、</w:t>
      </w:r>
      <w:r>
        <w:rPr>
          <w:rFonts w:hint="eastAsia"/>
          <w:bCs/>
          <w:kern w:val="0"/>
          <w:sz w:val="18"/>
          <w:szCs w:val="18"/>
        </w:rPr>
        <w:t>《公开募集开放式证券投资基金流动性风险管理规定》（以下简称</w:t>
      </w:r>
      <w:r>
        <w:rPr>
          <w:bCs/>
          <w:kern w:val="0"/>
          <w:sz w:val="18"/>
          <w:szCs w:val="18"/>
        </w:rPr>
        <w:t>“</w:t>
      </w:r>
      <w:r>
        <w:rPr>
          <w:rFonts w:hint="eastAsia"/>
          <w:bCs/>
          <w:kern w:val="0"/>
          <w:sz w:val="18"/>
          <w:szCs w:val="18"/>
        </w:rPr>
        <w:t>《流动性风险管理规定》</w:t>
      </w:r>
      <w:r>
        <w:rPr>
          <w:bCs/>
          <w:kern w:val="0"/>
          <w:sz w:val="18"/>
          <w:szCs w:val="18"/>
        </w:rPr>
        <w:t>”</w:t>
      </w:r>
      <w:r>
        <w:rPr>
          <w:rFonts w:hint="eastAsia"/>
          <w:bCs/>
          <w:kern w:val="0"/>
          <w:sz w:val="18"/>
          <w:szCs w:val="18"/>
        </w:rPr>
        <w:t>）、</w:t>
      </w:r>
      <w:r w:rsidRPr="00D41605">
        <w:rPr>
          <w:rFonts w:hint="eastAsia"/>
          <w:bCs/>
          <w:kern w:val="0"/>
          <w:sz w:val="18"/>
          <w:szCs w:val="18"/>
        </w:rPr>
        <w:t>《公开募集证券投资基金运作指引第</w:t>
      </w:r>
      <w:r w:rsidRPr="00D41605">
        <w:rPr>
          <w:bCs/>
          <w:kern w:val="0"/>
          <w:sz w:val="18"/>
          <w:szCs w:val="18"/>
        </w:rPr>
        <w:t xml:space="preserve">3 </w:t>
      </w:r>
      <w:r w:rsidRPr="00D41605">
        <w:rPr>
          <w:rFonts w:hint="eastAsia"/>
          <w:bCs/>
          <w:kern w:val="0"/>
          <w:sz w:val="18"/>
          <w:szCs w:val="18"/>
        </w:rPr>
        <w:t>号——指数基金指引》（以下简称“《指数基金指引》”）、</w:t>
      </w:r>
      <w:r>
        <w:rPr>
          <w:bCs/>
          <w:kern w:val="0"/>
          <w:sz w:val="18"/>
          <w:szCs w:val="18"/>
        </w:rPr>
        <w:t>《</w:t>
      </w:r>
      <w:r w:rsidR="0064733D">
        <w:rPr>
          <w:bCs/>
          <w:kern w:val="0"/>
          <w:sz w:val="18"/>
          <w:szCs w:val="18"/>
        </w:rPr>
        <w:t>景顺长城国证</w:t>
      </w:r>
      <w:r w:rsidR="0064733D">
        <w:rPr>
          <w:bCs/>
          <w:kern w:val="0"/>
          <w:sz w:val="18"/>
          <w:szCs w:val="18"/>
        </w:rPr>
        <w:t>2000</w:t>
      </w:r>
      <w:r w:rsidR="0064733D">
        <w:rPr>
          <w:bCs/>
          <w:kern w:val="0"/>
          <w:sz w:val="18"/>
          <w:szCs w:val="18"/>
        </w:rPr>
        <w:t>交易型开放式指数证券投资基金</w:t>
      </w:r>
      <w:r>
        <w:rPr>
          <w:bCs/>
          <w:kern w:val="0"/>
          <w:sz w:val="18"/>
          <w:szCs w:val="18"/>
        </w:rPr>
        <w:t>基金合同》（以下简称</w:t>
      </w:r>
      <w:r>
        <w:rPr>
          <w:bCs/>
          <w:kern w:val="0"/>
          <w:sz w:val="18"/>
          <w:szCs w:val="18"/>
        </w:rPr>
        <w:t>“</w:t>
      </w:r>
      <w:r>
        <w:rPr>
          <w:bCs/>
          <w:kern w:val="0"/>
          <w:sz w:val="18"/>
          <w:szCs w:val="18"/>
        </w:rPr>
        <w:t>基金合同</w:t>
      </w:r>
      <w:r>
        <w:rPr>
          <w:bCs/>
          <w:kern w:val="0"/>
          <w:sz w:val="18"/>
          <w:szCs w:val="18"/>
        </w:rPr>
        <w:t>”</w:t>
      </w:r>
      <w:r>
        <w:rPr>
          <w:bCs/>
          <w:kern w:val="0"/>
          <w:sz w:val="18"/>
          <w:szCs w:val="18"/>
        </w:rPr>
        <w:t>）及其他有关规定募集，并经</w:t>
      </w:r>
      <w:r w:rsidR="00E95FDB" w:rsidRPr="00E95FDB">
        <w:rPr>
          <w:rFonts w:hint="eastAsia"/>
          <w:bCs/>
          <w:kern w:val="0"/>
          <w:sz w:val="18"/>
          <w:szCs w:val="18"/>
        </w:rPr>
        <w:t>中国证券监督管理委员会（以下简称“</w:t>
      </w:r>
      <w:r>
        <w:rPr>
          <w:bCs/>
          <w:kern w:val="0"/>
          <w:sz w:val="18"/>
          <w:szCs w:val="18"/>
        </w:rPr>
        <w:t>中国证监会</w:t>
      </w:r>
      <w:r w:rsidR="00E95FDB">
        <w:rPr>
          <w:rFonts w:hint="eastAsia"/>
          <w:bCs/>
          <w:kern w:val="0"/>
          <w:sz w:val="18"/>
          <w:szCs w:val="18"/>
        </w:rPr>
        <w:t>”）</w:t>
      </w:r>
      <w:r>
        <w:rPr>
          <w:bCs/>
          <w:kern w:val="0"/>
          <w:sz w:val="18"/>
          <w:szCs w:val="18"/>
        </w:rPr>
        <w:t>证监许可【</w:t>
      </w:r>
      <w:r w:rsidR="001E728F">
        <w:rPr>
          <w:rFonts w:hint="eastAsia"/>
          <w:bCs/>
          <w:kern w:val="0"/>
          <w:sz w:val="18"/>
          <w:szCs w:val="18"/>
        </w:rPr>
        <w:t>2023</w:t>
      </w:r>
      <w:r>
        <w:rPr>
          <w:bCs/>
          <w:kern w:val="0"/>
          <w:sz w:val="18"/>
          <w:szCs w:val="18"/>
        </w:rPr>
        <w:t>】</w:t>
      </w:r>
      <w:r w:rsidR="001E728F">
        <w:rPr>
          <w:bCs/>
          <w:kern w:val="0"/>
          <w:sz w:val="18"/>
          <w:szCs w:val="18"/>
        </w:rPr>
        <w:t>1486</w:t>
      </w:r>
      <w:r>
        <w:rPr>
          <w:bCs/>
          <w:kern w:val="0"/>
          <w:sz w:val="18"/>
          <w:szCs w:val="18"/>
        </w:rPr>
        <w:t>号文准予募集注册。</w:t>
      </w:r>
    </w:p>
    <w:p w14:paraId="39E3B03B" w14:textId="3DD412A9" w:rsidR="00175DB4" w:rsidRDefault="000519D1">
      <w:pPr>
        <w:widowControl/>
        <w:tabs>
          <w:tab w:val="left" w:pos="1080"/>
          <w:tab w:val="left" w:pos="1260"/>
        </w:tabs>
        <w:ind w:firstLineChars="200" w:firstLine="360"/>
        <w:jc w:val="left"/>
        <w:rPr>
          <w:bCs/>
          <w:kern w:val="0"/>
          <w:sz w:val="18"/>
          <w:szCs w:val="18"/>
        </w:rPr>
      </w:pPr>
      <w:r>
        <w:rPr>
          <w:bCs/>
          <w:kern w:val="0"/>
          <w:sz w:val="18"/>
          <w:szCs w:val="18"/>
        </w:rPr>
        <w:t>（二）基金管理人保证招募说明书的内容真实、准确、完整。本招募说明书经中国</w:t>
      </w:r>
      <w:r w:rsidR="00DF516A" w:rsidRPr="00DF516A">
        <w:rPr>
          <w:rFonts w:hint="eastAsia"/>
          <w:bCs/>
          <w:kern w:val="0"/>
          <w:sz w:val="18"/>
          <w:szCs w:val="18"/>
        </w:rPr>
        <w:t>证监会</w:t>
      </w:r>
      <w:r>
        <w:rPr>
          <w:bCs/>
          <w:kern w:val="0"/>
          <w:sz w:val="18"/>
          <w:szCs w:val="18"/>
        </w:rPr>
        <w:t>注册，但中国证监会对本基金募集的注册，并不表明其对本基金的</w:t>
      </w:r>
      <w:r w:rsidR="00DF516A" w:rsidRPr="00DF516A">
        <w:rPr>
          <w:rFonts w:hint="eastAsia"/>
          <w:bCs/>
          <w:kern w:val="0"/>
          <w:sz w:val="18"/>
          <w:szCs w:val="18"/>
        </w:rPr>
        <w:t>投资价值和市场前景</w:t>
      </w:r>
      <w:proofErr w:type="gramStart"/>
      <w:r>
        <w:rPr>
          <w:bCs/>
          <w:kern w:val="0"/>
          <w:sz w:val="18"/>
          <w:szCs w:val="18"/>
        </w:rPr>
        <w:t>作出</w:t>
      </w:r>
      <w:proofErr w:type="gramEnd"/>
      <w:r>
        <w:rPr>
          <w:bCs/>
          <w:kern w:val="0"/>
          <w:sz w:val="18"/>
          <w:szCs w:val="18"/>
        </w:rPr>
        <w:t>实质性判断或保证，也不表明投资于本基金没有风险。</w:t>
      </w:r>
    </w:p>
    <w:p w14:paraId="522E2A09" w14:textId="479D0240" w:rsidR="00DF516A" w:rsidRDefault="00DF516A">
      <w:pPr>
        <w:widowControl/>
        <w:tabs>
          <w:tab w:val="left" w:pos="1080"/>
          <w:tab w:val="left" w:pos="1260"/>
        </w:tabs>
        <w:ind w:firstLineChars="200" w:firstLine="360"/>
        <w:jc w:val="left"/>
        <w:rPr>
          <w:bCs/>
          <w:kern w:val="0"/>
          <w:sz w:val="18"/>
          <w:szCs w:val="18"/>
        </w:rPr>
      </w:pPr>
      <w:r w:rsidRPr="00DF516A">
        <w:rPr>
          <w:rFonts w:hint="eastAsia"/>
          <w:bCs/>
          <w:kern w:val="0"/>
          <w:sz w:val="18"/>
          <w:szCs w:val="18"/>
        </w:rPr>
        <w:t>（三）投资有风险，投资人认购（或申购）本基金时应认真阅读本招募说明书、基金产品资料概要，自主判断基金的投资价值，自主做出投资决策，自行承担投资风险。</w:t>
      </w:r>
    </w:p>
    <w:p w14:paraId="6EEC894B" w14:textId="0BDCB284" w:rsidR="00175DB4" w:rsidRDefault="000519D1">
      <w:pPr>
        <w:widowControl/>
        <w:tabs>
          <w:tab w:val="left" w:pos="1080"/>
          <w:tab w:val="left" w:pos="1260"/>
        </w:tabs>
        <w:ind w:firstLineChars="200" w:firstLine="360"/>
        <w:jc w:val="left"/>
        <w:rPr>
          <w:bCs/>
          <w:kern w:val="0"/>
          <w:sz w:val="18"/>
          <w:szCs w:val="18"/>
        </w:rPr>
      </w:pPr>
      <w:r>
        <w:rPr>
          <w:bCs/>
          <w:kern w:val="0"/>
          <w:sz w:val="18"/>
          <w:szCs w:val="18"/>
        </w:rPr>
        <w:t>（</w:t>
      </w:r>
      <w:r w:rsidR="00DF516A">
        <w:rPr>
          <w:bCs/>
          <w:kern w:val="0"/>
          <w:sz w:val="18"/>
          <w:szCs w:val="18"/>
        </w:rPr>
        <w:t>四）</w:t>
      </w:r>
      <w:r>
        <w:rPr>
          <w:bCs/>
          <w:kern w:val="0"/>
          <w:sz w:val="18"/>
          <w:szCs w:val="18"/>
        </w:rPr>
        <w:t>基金的过往业绩并不预示其未来表现。</w:t>
      </w:r>
      <w:r w:rsidR="00DF516A" w:rsidRPr="00DF516A">
        <w:rPr>
          <w:rFonts w:hint="eastAsia"/>
          <w:bCs/>
          <w:kern w:val="0"/>
          <w:sz w:val="18"/>
          <w:szCs w:val="18"/>
        </w:rPr>
        <w:t>基金管理人管理的其他基金的业绩并不构成对本基金业绩表现的保证。</w:t>
      </w:r>
    </w:p>
    <w:p w14:paraId="035BF57D" w14:textId="2CB9329E" w:rsidR="00175DB4" w:rsidRDefault="000519D1">
      <w:pPr>
        <w:widowControl/>
        <w:tabs>
          <w:tab w:val="left" w:pos="1080"/>
          <w:tab w:val="left" w:pos="1260"/>
        </w:tabs>
        <w:ind w:firstLineChars="200" w:firstLine="360"/>
        <w:jc w:val="left"/>
        <w:rPr>
          <w:bCs/>
          <w:kern w:val="0"/>
          <w:sz w:val="18"/>
          <w:szCs w:val="18"/>
        </w:rPr>
      </w:pPr>
      <w:r>
        <w:rPr>
          <w:bCs/>
          <w:kern w:val="0"/>
          <w:sz w:val="18"/>
          <w:szCs w:val="18"/>
        </w:rPr>
        <w:t>（</w:t>
      </w:r>
      <w:r w:rsidR="00DF516A">
        <w:rPr>
          <w:bCs/>
          <w:kern w:val="0"/>
          <w:sz w:val="18"/>
          <w:szCs w:val="18"/>
        </w:rPr>
        <w:t>五</w:t>
      </w:r>
      <w:r>
        <w:rPr>
          <w:bCs/>
          <w:kern w:val="0"/>
          <w:sz w:val="18"/>
          <w:szCs w:val="18"/>
        </w:rPr>
        <w:t>）基金合同是约定基金当事人之间权利、义务的法律文件。基金</w:t>
      </w:r>
      <w:proofErr w:type="gramStart"/>
      <w:r>
        <w:rPr>
          <w:bCs/>
          <w:kern w:val="0"/>
          <w:sz w:val="18"/>
          <w:szCs w:val="18"/>
        </w:rPr>
        <w:t>投资人自依基金</w:t>
      </w:r>
      <w:proofErr w:type="gramEnd"/>
      <w:r>
        <w:rPr>
          <w:bCs/>
          <w:kern w:val="0"/>
          <w:sz w:val="18"/>
          <w:szCs w:val="18"/>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79E57DF8" w14:textId="57D7A7DF" w:rsidR="00175DB4" w:rsidRDefault="000519D1">
      <w:pPr>
        <w:widowControl/>
        <w:tabs>
          <w:tab w:val="left" w:pos="1080"/>
          <w:tab w:val="left" w:pos="1260"/>
        </w:tabs>
        <w:ind w:firstLineChars="200" w:firstLine="360"/>
        <w:jc w:val="left"/>
        <w:rPr>
          <w:bCs/>
          <w:kern w:val="0"/>
          <w:sz w:val="18"/>
          <w:szCs w:val="18"/>
        </w:rPr>
      </w:pPr>
      <w:r>
        <w:rPr>
          <w:bCs/>
          <w:kern w:val="0"/>
          <w:sz w:val="18"/>
          <w:szCs w:val="18"/>
        </w:rPr>
        <w:t>（</w:t>
      </w:r>
      <w:r w:rsidR="00DF516A">
        <w:rPr>
          <w:bCs/>
          <w:kern w:val="0"/>
          <w:sz w:val="18"/>
          <w:szCs w:val="18"/>
        </w:rPr>
        <w:t>六</w:t>
      </w:r>
      <w:r>
        <w:rPr>
          <w:bCs/>
          <w:kern w:val="0"/>
          <w:sz w:val="18"/>
          <w:szCs w:val="18"/>
        </w:rPr>
        <w:t>）基金管理人依照恪尽职守、诚实信用、谨慎勤勉的原则管理和运用基金财产，但不保证投资本基金一定盈利，也不保证最低收益。</w:t>
      </w:r>
    </w:p>
    <w:p w14:paraId="741E90D2" w14:textId="7FF1E003" w:rsidR="00175DB4" w:rsidRDefault="000519D1">
      <w:pPr>
        <w:widowControl/>
        <w:tabs>
          <w:tab w:val="left" w:pos="1080"/>
          <w:tab w:val="left" w:pos="1260"/>
        </w:tabs>
        <w:ind w:firstLineChars="200" w:firstLine="360"/>
        <w:jc w:val="left"/>
        <w:rPr>
          <w:bCs/>
          <w:kern w:val="0"/>
          <w:sz w:val="18"/>
          <w:szCs w:val="18"/>
        </w:rPr>
      </w:pPr>
      <w:r>
        <w:rPr>
          <w:bCs/>
          <w:kern w:val="0"/>
          <w:sz w:val="18"/>
          <w:szCs w:val="18"/>
        </w:rPr>
        <w:t>（</w:t>
      </w:r>
      <w:r w:rsidR="00DF516A">
        <w:rPr>
          <w:bCs/>
          <w:kern w:val="0"/>
          <w:sz w:val="18"/>
          <w:szCs w:val="18"/>
        </w:rPr>
        <w:t>七</w:t>
      </w:r>
      <w:r>
        <w:rPr>
          <w:bCs/>
          <w:kern w:val="0"/>
          <w:sz w:val="18"/>
          <w:szCs w:val="18"/>
        </w:rPr>
        <w:t>）本基金投资于证券市场，基金净值会因为证券市场波动等因素产生波动，投资人根据所持有的基金份额享受基金收益，同时承担相应的投资风险。本基金为交易型开放式指数证券投资基金（</w:t>
      </w:r>
      <w:r>
        <w:rPr>
          <w:bCs/>
          <w:kern w:val="0"/>
          <w:sz w:val="18"/>
          <w:szCs w:val="18"/>
        </w:rPr>
        <w:t>ETF</w:t>
      </w:r>
      <w:r>
        <w:rPr>
          <w:bCs/>
          <w:kern w:val="0"/>
          <w:sz w:val="18"/>
          <w:szCs w:val="18"/>
        </w:rPr>
        <w:t>），将在深圳证券交易所上市。由于本基金的标的指数组合证券横跨深圳及上海两个证券交易所，本基金的申购、赎回流程将采用</w:t>
      </w:r>
      <w:r>
        <w:rPr>
          <w:rFonts w:hint="eastAsia"/>
          <w:bCs/>
          <w:kern w:val="0"/>
          <w:sz w:val="18"/>
          <w:szCs w:val="18"/>
        </w:rPr>
        <w:t>深圳证券交易所场内“深市股票实物申赎，沪市股票现金替代”的</w:t>
      </w:r>
      <w:proofErr w:type="gramStart"/>
      <w:r>
        <w:rPr>
          <w:rFonts w:hint="eastAsia"/>
          <w:bCs/>
          <w:kern w:val="0"/>
          <w:sz w:val="18"/>
          <w:szCs w:val="18"/>
        </w:rPr>
        <w:t>申赎模式</w:t>
      </w:r>
      <w:proofErr w:type="gramEnd"/>
      <w:r>
        <w:rPr>
          <w:rFonts w:hint="eastAsia"/>
          <w:bCs/>
          <w:kern w:val="0"/>
          <w:sz w:val="18"/>
          <w:szCs w:val="18"/>
        </w:rPr>
        <w:t>进行</w:t>
      </w:r>
      <w:r>
        <w:rPr>
          <w:bCs/>
          <w:kern w:val="0"/>
          <w:sz w:val="18"/>
          <w:szCs w:val="18"/>
        </w:rPr>
        <w:t>，其申购、赎回流程与仅在深圳或上海交易所上市</w:t>
      </w:r>
      <w:proofErr w:type="gramStart"/>
      <w:r>
        <w:rPr>
          <w:bCs/>
          <w:kern w:val="0"/>
          <w:sz w:val="18"/>
          <w:szCs w:val="18"/>
        </w:rPr>
        <w:t>的非跨市场</w:t>
      </w:r>
      <w:proofErr w:type="gramEnd"/>
      <w:r>
        <w:rPr>
          <w:bCs/>
          <w:kern w:val="0"/>
          <w:sz w:val="18"/>
          <w:szCs w:val="18"/>
        </w:rPr>
        <w:t>ETF</w:t>
      </w:r>
      <w:r>
        <w:rPr>
          <w:bCs/>
          <w:kern w:val="0"/>
          <w:sz w:val="18"/>
          <w:szCs w:val="18"/>
        </w:rPr>
        <w:t>产品有所差异。通常情况下，</w:t>
      </w:r>
      <w:r>
        <w:rPr>
          <w:rFonts w:hint="eastAsia"/>
          <w:bCs/>
          <w:kern w:val="0"/>
          <w:sz w:val="18"/>
          <w:szCs w:val="18"/>
        </w:rPr>
        <w:t>投资人</w:t>
      </w:r>
      <w:r>
        <w:rPr>
          <w:rFonts w:hint="eastAsia"/>
          <w:bCs/>
          <w:kern w:val="0"/>
          <w:sz w:val="18"/>
          <w:szCs w:val="18"/>
        </w:rPr>
        <w:t>T</w:t>
      </w:r>
      <w:r>
        <w:rPr>
          <w:rFonts w:hint="eastAsia"/>
          <w:bCs/>
          <w:kern w:val="0"/>
          <w:sz w:val="18"/>
          <w:szCs w:val="18"/>
        </w:rPr>
        <w:t>日申购的</w:t>
      </w:r>
      <w:r>
        <w:rPr>
          <w:rFonts w:hint="eastAsia"/>
          <w:bCs/>
          <w:kern w:val="0"/>
          <w:sz w:val="18"/>
          <w:szCs w:val="18"/>
        </w:rPr>
        <w:t>ETF</w:t>
      </w:r>
      <w:r>
        <w:rPr>
          <w:rFonts w:hint="eastAsia"/>
          <w:bCs/>
          <w:kern w:val="0"/>
          <w:sz w:val="18"/>
          <w:szCs w:val="18"/>
        </w:rPr>
        <w:t>份额，当日可竞价卖出，</w:t>
      </w:r>
      <w:r>
        <w:rPr>
          <w:rFonts w:hint="eastAsia"/>
          <w:bCs/>
          <w:kern w:val="0"/>
          <w:sz w:val="18"/>
          <w:szCs w:val="18"/>
        </w:rPr>
        <w:t>T+1</w:t>
      </w:r>
      <w:r>
        <w:rPr>
          <w:rFonts w:hint="eastAsia"/>
          <w:bCs/>
          <w:kern w:val="0"/>
          <w:sz w:val="18"/>
          <w:szCs w:val="18"/>
        </w:rPr>
        <w:t>日可以赎回；</w:t>
      </w:r>
      <w:r>
        <w:rPr>
          <w:rFonts w:hint="eastAsia"/>
          <w:bCs/>
          <w:kern w:val="0"/>
          <w:sz w:val="18"/>
          <w:szCs w:val="18"/>
        </w:rPr>
        <w:t>T</w:t>
      </w:r>
      <w:r>
        <w:rPr>
          <w:rFonts w:hint="eastAsia"/>
          <w:bCs/>
          <w:kern w:val="0"/>
          <w:sz w:val="18"/>
          <w:szCs w:val="18"/>
        </w:rPr>
        <w:t>日赎回得到的股票，当日可竞价卖出，</w:t>
      </w:r>
      <w:r>
        <w:rPr>
          <w:rFonts w:hint="eastAsia"/>
          <w:bCs/>
          <w:kern w:val="0"/>
          <w:sz w:val="18"/>
          <w:szCs w:val="18"/>
        </w:rPr>
        <w:t>T+1</w:t>
      </w:r>
      <w:r>
        <w:rPr>
          <w:rFonts w:hint="eastAsia"/>
          <w:bCs/>
          <w:kern w:val="0"/>
          <w:sz w:val="18"/>
          <w:szCs w:val="18"/>
        </w:rPr>
        <w:t>日可用于申购</w:t>
      </w:r>
      <w:r>
        <w:rPr>
          <w:rFonts w:hint="eastAsia"/>
          <w:bCs/>
          <w:kern w:val="0"/>
          <w:sz w:val="18"/>
          <w:szCs w:val="18"/>
        </w:rPr>
        <w:t>ETF</w:t>
      </w:r>
      <w:r>
        <w:rPr>
          <w:rFonts w:hint="eastAsia"/>
          <w:bCs/>
          <w:kern w:val="0"/>
          <w:sz w:val="18"/>
          <w:szCs w:val="18"/>
        </w:rPr>
        <w:t>份额；当日竞价买入的股票，当日可用于申购</w:t>
      </w:r>
      <w:r>
        <w:rPr>
          <w:rFonts w:hint="eastAsia"/>
          <w:bCs/>
          <w:kern w:val="0"/>
          <w:sz w:val="18"/>
          <w:szCs w:val="18"/>
        </w:rPr>
        <w:t>ETF</w:t>
      </w:r>
      <w:r>
        <w:rPr>
          <w:rFonts w:hint="eastAsia"/>
          <w:bCs/>
          <w:kern w:val="0"/>
          <w:sz w:val="18"/>
          <w:szCs w:val="18"/>
        </w:rPr>
        <w:t>份额。</w:t>
      </w:r>
      <w:r>
        <w:rPr>
          <w:bCs/>
          <w:kern w:val="0"/>
          <w:sz w:val="18"/>
          <w:szCs w:val="18"/>
        </w:rPr>
        <w:t>如投资人需要通过申购赎回代理券商参与本基金的申购、赎回，则应持有并使用深圳</w:t>
      </w:r>
      <w:r w:rsidR="00EF778E">
        <w:rPr>
          <w:rFonts w:ascii="宋体" w:hAnsi="宋体" w:cs="宋体"/>
          <w:bCs/>
          <w:color w:val="000000" w:themeColor="text1"/>
          <w:kern w:val="0"/>
          <w:sz w:val="18"/>
          <w:szCs w:val="18"/>
        </w:rPr>
        <w:t>证券交易所</w:t>
      </w:r>
      <w:r>
        <w:rPr>
          <w:bCs/>
          <w:kern w:val="0"/>
          <w:sz w:val="18"/>
          <w:szCs w:val="18"/>
        </w:rPr>
        <w:t>A</w:t>
      </w:r>
      <w:r>
        <w:rPr>
          <w:bCs/>
          <w:kern w:val="0"/>
          <w:sz w:val="18"/>
          <w:szCs w:val="18"/>
        </w:rPr>
        <w:t>股账户</w:t>
      </w:r>
      <w:r>
        <w:rPr>
          <w:rFonts w:hint="eastAsia"/>
          <w:bCs/>
          <w:kern w:val="0"/>
          <w:sz w:val="18"/>
          <w:szCs w:val="18"/>
        </w:rPr>
        <w:t>。</w:t>
      </w:r>
      <w:r>
        <w:rPr>
          <w:rFonts w:ascii="宋体" w:hAnsi="宋体" w:cs="宋体"/>
          <w:bCs/>
          <w:color w:val="000000" w:themeColor="text1"/>
          <w:kern w:val="0"/>
          <w:sz w:val="18"/>
          <w:szCs w:val="18"/>
        </w:rPr>
        <w:t>但需注意，使用</w:t>
      </w:r>
      <w:r>
        <w:rPr>
          <w:rFonts w:ascii="宋体" w:hAnsi="宋体" w:cs="宋体" w:hint="eastAsia"/>
          <w:bCs/>
          <w:color w:val="000000" w:themeColor="text1"/>
          <w:kern w:val="0"/>
          <w:sz w:val="18"/>
          <w:szCs w:val="18"/>
        </w:rPr>
        <w:t>深圳</w:t>
      </w:r>
      <w:r>
        <w:rPr>
          <w:rFonts w:ascii="宋体" w:hAnsi="宋体" w:cs="宋体"/>
          <w:bCs/>
          <w:color w:val="000000" w:themeColor="text1"/>
          <w:kern w:val="0"/>
          <w:sz w:val="18"/>
          <w:szCs w:val="18"/>
        </w:rPr>
        <w:t>证券交易所基金账户只能进行基金的现金认购和二级市场交易</w:t>
      </w:r>
      <w:r>
        <w:rPr>
          <w:rFonts w:ascii="宋体" w:hAnsi="宋体" w:cs="宋体" w:hint="eastAsia"/>
          <w:bCs/>
          <w:color w:val="000000" w:themeColor="text1"/>
          <w:kern w:val="0"/>
          <w:sz w:val="18"/>
          <w:szCs w:val="18"/>
        </w:rPr>
        <w:t>。。</w:t>
      </w:r>
    </w:p>
    <w:p w14:paraId="53A6C0B3" w14:textId="212A0A70" w:rsidR="00175DB4" w:rsidRDefault="000519D1">
      <w:pPr>
        <w:widowControl/>
        <w:tabs>
          <w:tab w:val="left" w:pos="1080"/>
          <w:tab w:val="left" w:pos="1260"/>
        </w:tabs>
        <w:ind w:firstLineChars="200" w:firstLine="360"/>
        <w:jc w:val="left"/>
        <w:rPr>
          <w:bCs/>
          <w:kern w:val="0"/>
          <w:sz w:val="18"/>
          <w:szCs w:val="18"/>
        </w:rPr>
      </w:pPr>
      <w:r>
        <w:rPr>
          <w:rFonts w:hint="eastAsia"/>
          <w:bCs/>
          <w:kern w:val="0"/>
          <w:sz w:val="18"/>
          <w:szCs w:val="18"/>
        </w:rPr>
        <w:t>（</w:t>
      </w:r>
      <w:r w:rsidR="00DF516A">
        <w:rPr>
          <w:rFonts w:hint="eastAsia"/>
          <w:bCs/>
          <w:kern w:val="0"/>
          <w:sz w:val="18"/>
          <w:szCs w:val="18"/>
        </w:rPr>
        <w:t>八</w:t>
      </w:r>
      <w:r>
        <w:rPr>
          <w:rFonts w:hint="eastAsia"/>
          <w:bCs/>
          <w:kern w:val="0"/>
          <w:sz w:val="18"/>
          <w:szCs w:val="18"/>
        </w:rPr>
        <w:t>）基金合同生效后，若深圳证券交易所和中国证券登记结算有限责任公司针对跨市场交易型开放式指数证券投资基金调整现存的清算交收与登记模式或未来不时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3F3B68F8" w14:textId="64DF3072" w:rsidR="00175DB4" w:rsidRDefault="000519D1">
      <w:pPr>
        <w:widowControl/>
        <w:tabs>
          <w:tab w:val="left" w:pos="1080"/>
          <w:tab w:val="left" w:pos="1260"/>
        </w:tabs>
        <w:ind w:firstLineChars="200" w:firstLine="360"/>
        <w:jc w:val="left"/>
        <w:rPr>
          <w:bCs/>
          <w:kern w:val="0"/>
          <w:sz w:val="18"/>
          <w:szCs w:val="18"/>
        </w:rPr>
      </w:pPr>
      <w:r>
        <w:rPr>
          <w:bCs/>
          <w:kern w:val="0"/>
          <w:sz w:val="18"/>
          <w:szCs w:val="18"/>
        </w:rPr>
        <w:t>（</w:t>
      </w:r>
      <w:r w:rsidR="00DF516A">
        <w:rPr>
          <w:rFonts w:hint="eastAsia"/>
          <w:bCs/>
          <w:kern w:val="0"/>
          <w:sz w:val="18"/>
          <w:szCs w:val="18"/>
        </w:rPr>
        <w:t>九</w:t>
      </w:r>
      <w:r>
        <w:rPr>
          <w:bCs/>
          <w:kern w:val="0"/>
          <w:sz w:val="18"/>
          <w:szCs w:val="18"/>
        </w:rPr>
        <w:t>）投资人在投资本基金前，请认真阅读本招募说明书，全面认识本基金产品的风险收益特征和产品特性，充分考虑自身的风险承受能力，理性判断市场，对认购和</w:t>
      </w:r>
      <w:r>
        <w:rPr>
          <w:bCs/>
          <w:kern w:val="0"/>
          <w:sz w:val="18"/>
          <w:szCs w:val="18"/>
        </w:rPr>
        <w:t>/</w:t>
      </w:r>
      <w:r>
        <w:rPr>
          <w:bCs/>
          <w:kern w:val="0"/>
          <w:sz w:val="18"/>
          <w:szCs w:val="18"/>
        </w:rPr>
        <w:t>或申购基金的意愿、时机、数量等投资行为</w:t>
      </w:r>
      <w:proofErr w:type="gramStart"/>
      <w:r>
        <w:rPr>
          <w:bCs/>
          <w:kern w:val="0"/>
          <w:sz w:val="18"/>
          <w:szCs w:val="18"/>
        </w:rPr>
        <w:t>作出</w:t>
      </w:r>
      <w:proofErr w:type="gramEnd"/>
      <w:r>
        <w:rPr>
          <w:bCs/>
          <w:kern w:val="0"/>
          <w:sz w:val="18"/>
          <w:szCs w:val="18"/>
        </w:rPr>
        <w:t>独立决策，获得基金投资收益，</w:t>
      </w:r>
      <w:proofErr w:type="gramStart"/>
      <w:r>
        <w:rPr>
          <w:bCs/>
          <w:kern w:val="0"/>
          <w:sz w:val="18"/>
          <w:szCs w:val="18"/>
        </w:rPr>
        <w:t>亦承担</w:t>
      </w:r>
      <w:proofErr w:type="gramEnd"/>
      <w:r>
        <w:rPr>
          <w:bCs/>
          <w:kern w:val="0"/>
          <w:sz w:val="18"/>
          <w:szCs w:val="18"/>
        </w:rPr>
        <w:t>基金投资中出现的各类风险。投资本基金可能遇到的风险包括但不限于：市场风险、信用风险、管理风险、流动性风险、操作或技术风险、合</w:t>
      </w:r>
      <w:proofErr w:type="gramStart"/>
      <w:r>
        <w:rPr>
          <w:bCs/>
          <w:kern w:val="0"/>
          <w:sz w:val="18"/>
          <w:szCs w:val="18"/>
        </w:rPr>
        <w:t>规</w:t>
      </w:r>
      <w:proofErr w:type="gramEnd"/>
      <w:r>
        <w:rPr>
          <w:bCs/>
          <w:kern w:val="0"/>
          <w:sz w:val="18"/>
          <w:szCs w:val="18"/>
        </w:rPr>
        <w:t>风险、本基金的特有风险和其他风险等。</w:t>
      </w:r>
    </w:p>
    <w:p w14:paraId="6536D90B" w14:textId="6152635F" w:rsidR="00175DB4" w:rsidRDefault="000519D1">
      <w:pPr>
        <w:widowControl/>
        <w:tabs>
          <w:tab w:val="left" w:pos="1080"/>
          <w:tab w:val="left" w:pos="1260"/>
        </w:tabs>
        <w:ind w:firstLineChars="200" w:firstLine="360"/>
        <w:jc w:val="left"/>
        <w:rPr>
          <w:bCs/>
          <w:kern w:val="0"/>
          <w:sz w:val="18"/>
          <w:szCs w:val="18"/>
        </w:rPr>
      </w:pPr>
      <w:r>
        <w:rPr>
          <w:rFonts w:hint="eastAsia"/>
          <w:bCs/>
          <w:kern w:val="0"/>
          <w:sz w:val="18"/>
          <w:szCs w:val="18"/>
        </w:rPr>
        <w:lastRenderedPageBreak/>
        <w:t>（</w:t>
      </w:r>
      <w:r w:rsidR="00DF516A">
        <w:rPr>
          <w:rFonts w:hint="eastAsia"/>
          <w:bCs/>
          <w:kern w:val="0"/>
          <w:sz w:val="18"/>
          <w:szCs w:val="18"/>
        </w:rPr>
        <w:t>十</w:t>
      </w:r>
      <w:r>
        <w:rPr>
          <w:rFonts w:hint="eastAsia"/>
          <w:bCs/>
          <w:kern w:val="0"/>
          <w:sz w:val="18"/>
          <w:szCs w:val="18"/>
        </w:rPr>
        <w:t>）本基金为股票型基金，其长期平均风险和预期收益率高于混合型基金、债券型基金及货币市场基金。同时，本基金为指数型基金，被动跟踪标的指数的表现，具有与标的指数以及标的指数所代表的股票市场相似的风险收益特征。</w:t>
      </w:r>
      <w:r>
        <w:rPr>
          <w:bCs/>
          <w:kern w:val="0"/>
          <w:sz w:val="18"/>
          <w:szCs w:val="18"/>
        </w:rPr>
        <w:t>基金管理人提醒投资人基金投资的</w:t>
      </w:r>
      <w:r>
        <w:rPr>
          <w:bCs/>
          <w:kern w:val="0"/>
          <w:sz w:val="18"/>
          <w:szCs w:val="18"/>
        </w:rPr>
        <w:t>“</w:t>
      </w:r>
      <w:r>
        <w:rPr>
          <w:bCs/>
          <w:kern w:val="0"/>
          <w:sz w:val="18"/>
          <w:szCs w:val="18"/>
        </w:rPr>
        <w:t>买者自负</w:t>
      </w:r>
      <w:r>
        <w:rPr>
          <w:bCs/>
          <w:kern w:val="0"/>
          <w:sz w:val="18"/>
          <w:szCs w:val="18"/>
        </w:rPr>
        <w:t>”</w:t>
      </w:r>
      <w:r>
        <w:rPr>
          <w:bCs/>
          <w:kern w:val="0"/>
          <w:sz w:val="18"/>
          <w:szCs w:val="18"/>
        </w:rPr>
        <w:t>原则，在投资人</w:t>
      </w:r>
      <w:proofErr w:type="gramStart"/>
      <w:r>
        <w:rPr>
          <w:bCs/>
          <w:kern w:val="0"/>
          <w:sz w:val="18"/>
          <w:szCs w:val="18"/>
        </w:rPr>
        <w:t>作出</w:t>
      </w:r>
      <w:proofErr w:type="gramEnd"/>
      <w:r>
        <w:rPr>
          <w:bCs/>
          <w:kern w:val="0"/>
          <w:sz w:val="18"/>
          <w:szCs w:val="18"/>
        </w:rPr>
        <w:t>投资决策后，基金运营状况与基金净值变化引致的投资风险，由投资人自行负责。</w:t>
      </w:r>
    </w:p>
    <w:p w14:paraId="04316ADE" w14:textId="30BB2B2C" w:rsidR="00175DB4" w:rsidRDefault="000519D1">
      <w:pPr>
        <w:widowControl/>
        <w:tabs>
          <w:tab w:val="left" w:pos="1080"/>
          <w:tab w:val="left" w:pos="1260"/>
        </w:tabs>
        <w:ind w:firstLineChars="200" w:firstLine="360"/>
        <w:jc w:val="left"/>
        <w:rPr>
          <w:bCs/>
          <w:kern w:val="0"/>
          <w:sz w:val="18"/>
          <w:szCs w:val="18"/>
        </w:rPr>
      </w:pPr>
      <w:r>
        <w:rPr>
          <w:rFonts w:hint="eastAsia"/>
          <w:bCs/>
          <w:kern w:val="0"/>
          <w:sz w:val="18"/>
          <w:szCs w:val="18"/>
        </w:rPr>
        <w:t>（十</w:t>
      </w:r>
      <w:r w:rsidR="00DF516A">
        <w:rPr>
          <w:rFonts w:hint="eastAsia"/>
          <w:bCs/>
          <w:kern w:val="0"/>
          <w:sz w:val="18"/>
          <w:szCs w:val="18"/>
        </w:rPr>
        <w:t>一</w:t>
      </w:r>
      <w:r>
        <w:rPr>
          <w:rFonts w:hint="eastAsia"/>
          <w:bCs/>
          <w:kern w:val="0"/>
          <w:sz w:val="18"/>
          <w:szCs w:val="18"/>
        </w:rPr>
        <w:t>）</w:t>
      </w:r>
      <w:r w:rsidRPr="00D41605">
        <w:rPr>
          <w:rFonts w:hint="eastAsia"/>
          <w:bCs/>
          <w:kern w:val="0"/>
          <w:sz w:val="18"/>
          <w:szCs w:val="18"/>
        </w:rPr>
        <w:t>本基金为指数基金，投资者投资于本基金面临跟踪误差控制未达约定目标、指数编制机构停止服务、成份</w:t>
      </w:r>
      <w:r>
        <w:rPr>
          <w:rFonts w:hint="eastAsia"/>
          <w:bCs/>
          <w:kern w:val="0"/>
          <w:sz w:val="18"/>
          <w:szCs w:val="18"/>
        </w:rPr>
        <w:t>股</w:t>
      </w:r>
      <w:r w:rsidRPr="00D41605">
        <w:rPr>
          <w:rFonts w:hint="eastAsia"/>
          <w:bCs/>
          <w:kern w:val="0"/>
          <w:sz w:val="18"/>
          <w:szCs w:val="18"/>
        </w:rPr>
        <w:t>停牌等潜在风险，</w:t>
      </w:r>
      <w:r w:rsidR="00DF516A" w:rsidRPr="00DF516A">
        <w:rPr>
          <w:rFonts w:hint="eastAsia"/>
          <w:bCs/>
          <w:kern w:val="0"/>
          <w:sz w:val="18"/>
          <w:szCs w:val="18"/>
        </w:rPr>
        <w:t>具体风险烦请查阅本招募说明书的“风险揭示”部分的具体内容</w:t>
      </w:r>
      <w:r w:rsidRPr="00D41605">
        <w:rPr>
          <w:rFonts w:hint="eastAsia"/>
          <w:bCs/>
          <w:kern w:val="0"/>
          <w:sz w:val="18"/>
          <w:szCs w:val="18"/>
        </w:rPr>
        <w:t>。</w:t>
      </w:r>
    </w:p>
    <w:p w14:paraId="7B05EBA0" w14:textId="23A48A61" w:rsidR="004A6B07" w:rsidRDefault="004A6B07">
      <w:pPr>
        <w:widowControl/>
        <w:tabs>
          <w:tab w:val="left" w:pos="1080"/>
          <w:tab w:val="left" w:pos="1260"/>
        </w:tabs>
        <w:ind w:firstLineChars="200" w:firstLine="360"/>
        <w:jc w:val="left"/>
        <w:rPr>
          <w:bCs/>
          <w:kern w:val="0"/>
          <w:sz w:val="18"/>
          <w:szCs w:val="18"/>
        </w:rPr>
      </w:pPr>
      <w:r>
        <w:rPr>
          <w:rFonts w:hint="eastAsia"/>
          <w:bCs/>
          <w:kern w:val="0"/>
          <w:sz w:val="18"/>
          <w:szCs w:val="18"/>
        </w:rPr>
        <w:t>（十二）</w:t>
      </w:r>
      <w:r w:rsidRPr="004A6B07">
        <w:rPr>
          <w:rFonts w:hint="eastAsia"/>
          <w:bCs/>
          <w:kern w:val="0"/>
          <w:sz w:val="18"/>
          <w:szCs w:val="18"/>
        </w:rPr>
        <w:t>本基金投资</w:t>
      </w:r>
      <w:proofErr w:type="gramStart"/>
      <w:r w:rsidRPr="004A6B07">
        <w:rPr>
          <w:rFonts w:hint="eastAsia"/>
          <w:bCs/>
          <w:kern w:val="0"/>
          <w:sz w:val="18"/>
          <w:szCs w:val="18"/>
        </w:rPr>
        <w:t>科创板</w:t>
      </w:r>
      <w:proofErr w:type="gramEnd"/>
      <w:r w:rsidRPr="004A6B07">
        <w:rPr>
          <w:rFonts w:hint="eastAsia"/>
          <w:bCs/>
          <w:kern w:val="0"/>
          <w:sz w:val="18"/>
          <w:szCs w:val="18"/>
        </w:rPr>
        <w:t>上市交易股票的，会</w:t>
      </w:r>
      <w:proofErr w:type="gramStart"/>
      <w:r w:rsidRPr="004A6B07">
        <w:rPr>
          <w:rFonts w:hint="eastAsia"/>
          <w:bCs/>
          <w:kern w:val="0"/>
          <w:sz w:val="18"/>
          <w:szCs w:val="18"/>
        </w:rPr>
        <w:t>面临科创板机制</w:t>
      </w:r>
      <w:proofErr w:type="gramEnd"/>
      <w:r w:rsidRPr="004A6B07">
        <w:rPr>
          <w:rFonts w:hint="eastAsia"/>
          <w:bCs/>
          <w:kern w:val="0"/>
          <w:sz w:val="18"/>
          <w:szCs w:val="18"/>
        </w:rPr>
        <w:t>下因投资标的、市场制度以及交易规则等差异带来的特有风险，包括但不限于市场风险、流动性风险、退市风险、集中度风险、系统性风险、政策风险等。具体风险烦请查阅本招募说明书的“风险揭示”部分的具体内容。</w:t>
      </w:r>
    </w:p>
    <w:p w14:paraId="67782339" w14:textId="6E3D962A" w:rsidR="00DF516A" w:rsidRDefault="00DF516A">
      <w:pPr>
        <w:widowControl/>
        <w:tabs>
          <w:tab w:val="left" w:pos="1080"/>
          <w:tab w:val="left" w:pos="1260"/>
        </w:tabs>
        <w:ind w:firstLineChars="200" w:firstLine="360"/>
        <w:jc w:val="left"/>
        <w:rPr>
          <w:bCs/>
          <w:kern w:val="0"/>
          <w:sz w:val="18"/>
          <w:szCs w:val="18"/>
        </w:rPr>
      </w:pPr>
      <w:r w:rsidRPr="00DF516A">
        <w:rPr>
          <w:rFonts w:hint="eastAsia"/>
          <w:bCs/>
          <w:kern w:val="0"/>
          <w:sz w:val="18"/>
          <w:szCs w:val="18"/>
        </w:rPr>
        <w:t>（十</w:t>
      </w:r>
      <w:r w:rsidR="004A6B07">
        <w:rPr>
          <w:rFonts w:hint="eastAsia"/>
          <w:bCs/>
          <w:kern w:val="0"/>
          <w:sz w:val="18"/>
          <w:szCs w:val="18"/>
        </w:rPr>
        <w:t>三</w:t>
      </w:r>
      <w:r w:rsidRPr="00DF516A">
        <w:rPr>
          <w:rFonts w:hint="eastAsia"/>
          <w:bCs/>
          <w:kern w:val="0"/>
          <w:sz w:val="18"/>
          <w:szCs w:val="18"/>
        </w:rPr>
        <w:t>）本基金的投资范围包括存托凭证，若投资</w:t>
      </w:r>
      <w:r w:rsidR="0044005B">
        <w:rPr>
          <w:rFonts w:hint="eastAsia"/>
          <w:bCs/>
          <w:kern w:val="0"/>
          <w:sz w:val="18"/>
          <w:szCs w:val="18"/>
        </w:rPr>
        <w:t>，</w:t>
      </w:r>
      <w:r w:rsidRPr="00DF516A">
        <w:rPr>
          <w:rFonts w:hint="eastAsia"/>
          <w:bCs/>
          <w:kern w:val="0"/>
          <w:sz w:val="18"/>
          <w:szCs w:val="18"/>
        </w:rPr>
        <w:t>可能面临中国存托凭证价格大幅波动甚至出现较大亏损的风险，以及与创新企业、境外发行人、中国存托凭证发行机制以及交易机制等相关的风险。具体风险烦请查阅本招募说明书的“风险揭示”部分的具体内容。</w:t>
      </w:r>
    </w:p>
    <w:p w14:paraId="2984A911" w14:textId="3C8856A5" w:rsidR="00DF516A" w:rsidRPr="00DF516A" w:rsidRDefault="004A6B07" w:rsidP="00DF516A">
      <w:pPr>
        <w:widowControl/>
        <w:tabs>
          <w:tab w:val="left" w:pos="1080"/>
          <w:tab w:val="left" w:pos="1260"/>
        </w:tabs>
        <w:ind w:firstLineChars="200" w:firstLine="360"/>
        <w:jc w:val="left"/>
        <w:rPr>
          <w:bCs/>
          <w:kern w:val="0"/>
          <w:sz w:val="18"/>
          <w:szCs w:val="18"/>
        </w:rPr>
      </w:pPr>
      <w:r>
        <w:rPr>
          <w:rFonts w:hint="eastAsia"/>
          <w:bCs/>
          <w:kern w:val="0"/>
          <w:sz w:val="18"/>
          <w:szCs w:val="18"/>
        </w:rPr>
        <w:t>（十四</w:t>
      </w:r>
      <w:r w:rsidR="00DF516A" w:rsidRPr="00DF516A">
        <w:rPr>
          <w:rFonts w:hint="eastAsia"/>
          <w:bCs/>
          <w:kern w:val="0"/>
          <w:sz w:val="18"/>
          <w:szCs w:val="18"/>
        </w:rPr>
        <w:t>）本基金的标的指数为</w:t>
      </w:r>
      <w:r w:rsidR="00DF516A">
        <w:rPr>
          <w:rFonts w:hint="eastAsia"/>
          <w:bCs/>
          <w:kern w:val="0"/>
          <w:sz w:val="18"/>
          <w:szCs w:val="18"/>
        </w:rPr>
        <w:t>国证</w:t>
      </w:r>
      <w:r w:rsidR="00DF516A">
        <w:rPr>
          <w:rFonts w:hint="eastAsia"/>
          <w:bCs/>
          <w:kern w:val="0"/>
          <w:sz w:val="18"/>
          <w:szCs w:val="18"/>
        </w:rPr>
        <w:t>2</w:t>
      </w:r>
      <w:r w:rsidR="00DF516A">
        <w:rPr>
          <w:bCs/>
          <w:kern w:val="0"/>
          <w:sz w:val="18"/>
          <w:szCs w:val="18"/>
        </w:rPr>
        <w:t>000</w:t>
      </w:r>
      <w:r w:rsidR="00DF516A" w:rsidRPr="00DF516A">
        <w:rPr>
          <w:rFonts w:hint="eastAsia"/>
          <w:bCs/>
          <w:kern w:val="0"/>
          <w:sz w:val="18"/>
          <w:szCs w:val="18"/>
        </w:rPr>
        <w:t>指数。</w:t>
      </w:r>
    </w:p>
    <w:p w14:paraId="31E76270" w14:textId="177413E6" w:rsidR="00DF516A" w:rsidRPr="00DF516A" w:rsidRDefault="00DF516A" w:rsidP="00DF516A">
      <w:pPr>
        <w:widowControl/>
        <w:tabs>
          <w:tab w:val="left" w:pos="1080"/>
          <w:tab w:val="left" w:pos="1260"/>
        </w:tabs>
        <w:ind w:firstLineChars="200" w:firstLine="360"/>
        <w:jc w:val="left"/>
        <w:rPr>
          <w:bCs/>
          <w:kern w:val="0"/>
          <w:sz w:val="18"/>
          <w:szCs w:val="18"/>
        </w:rPr>
      </w:pPr>
      <w:r w:rsidRPr="00DF516A">
        <w:rPr>
          <w:rFonts w:hint="eastAsia"/>
          <w:bCs/>
          <w:kern w:val="0"/>
          <w:sz w:val="18"/>
          <w:szCs w:val="18"/>
        </w:rPr>
        <w:t>标的指数相关信息请详见本招募说明书“二十五、标的指数的编制方</w:t>
      </w:r>
      <w:r w:rsidR="0044005B">
        <w:rPr>
          <w:rFonts w:hint="eastAsia"/>
          <w:bCs/>
          <w:kern w:val="0"/>
          <w:sz w:val="18"/>
          <w:szCs w:val="18"/>
        </w:rPr>
        <w:t>案</w:t>
      </w:r>
      <w:r w:rsidRPr="00DF516A">
        <w:rPr>
          <w:rFonts w:hint="eastAsia"/>
          <w:bCs/>
          <w:kern w:val="0"/>
          <w:sz w:val="18"/>
          <w:szCs w:val="18"/>
        </w:rPr>
        <w:t>及指数信息查阅方式”。</w:t>
      </w:r>
    </w:p>
    <w:p w14:paraId="14B82FCB" w14:textId="77777777" w:rsidR="00DF516A" w:rsidRPr="00DF516A" w:rsidRDefault="00DF516A" w:rsidP="00DF516A">
      <w:pPr>
        <w:widowControl/>
        <w:tabs>
          <w:tab w:val="left" w:pos="1080"/>
          <w:tab w:val="left" w:pos="1260"/>
        </w:tabs>
        <w:ind w:firstLineChars="200" w:firstLine="360"/>
        <w:jc w:val="left"/>
        <w:rPr>
          <w:bCs/>
          <w:kern w:val="0"/>
          <w:sz w:val="18"/>
          <w:szCs w:val="18"/>
        </w:rPr>
      </w:pPr>
      <w:r w:rsidRPr="00DF516A">
        <w:rPr>
          <w:rFonts w:hint="eastAsia"/>
          <w:bCs/>
          <w:kern w:val="0"/>
          <w:sz w:val="18"/>
          <w:szCs w:val="18"/>
        </w:rPr>
        <w:t>投资者可</w:t>
      </w:r>
      <w:proofErr w:type="gramStart"/>
      <w:r w:rsidRPr="00DF516A">
        <w:rPr>
          <w:rFonts w:hint="eastAsia"/>
          <w:bCs/>
          <w:kern w:val="0"/>
          <w:sz w:val="18"/>
          <w:szCs w:val="18"/>
        </w:rPr>
        <w:t>通过国证指数</w:t>
      </w:r>
      <w:proofErr w:type="gramEnd"/>
      <w:r w:rsidRPr="00DF516A">
        <w:rPr>
          <w:rFonts w:hint="eastAsia"/>
          <w:bCs/>
          <w:kern w:val="0"/>
          <w:sz w:val="18"/>
          <w:szCs w:val="18"/>
        </w:rPr>
        <w:t>官网（</w:t>
      </w:r>
      <w:r w:rsidRPr="00DF516A">
        <w:rPr>
          <w:rFonts w:hint="eastAsia"/>
          <w:bCs/>
          <w:kern w:val="0"/>
          <w:sz w:val="18"/>
          <w:szCs w:val="18"/>
        </w:rPr>
        <w:t>http://www.cnindex.com.cn</w:t>
      </w:r>
      <w:r w:rsidRPr="00DF516A">
        <w:rPr>
          <w:rFonts w:hint="eastAsia"/>
          <w:bCs/>
          <w:kern w:val="0"/>
          <w:sz w:val="18"/>
          <w:szCs w:val="18"/>
        </w:rPr>
        <w:t>）免费查阅指数相关信息。</w:t>
      </w:r>
    </w:p>
    <w:p w14:paraId="6126CD94" w14:textId="22C0251F" w:rsidR="00DF516A" w:rsidRDefault="004A6B07" w:rsidP="00DF516A">
      <w:pPr>
        <w:widowControl/>
        <w:tabs>
          <w:tab w:val="left" w:pos="1080"/>
          <w:tab w:val="left" w:pos="1260"/>
        </w:tabs>
        <w:ind w:firstLineChars="200" w:firstLine="360"/>
        <w:jc w:val="left"/>
        <w:rPr>
          <w:bCs/>
          <w:kern w:val="0"/>
          <w:sz w:val="18"/>
          <w:szCs w:val="18"/>
        </w:rPr>
      </w:pPr>
      <w:r>
        <w:rPr>
          <w:rFonts w:hint="eastAsia"/>
          <w:bCs/>
          <w:kern w:val="0"/>
          <w:sz w:val="18"/>
          <w:szCs w:val="18"/>
        </w:rPr>
        <w:t>（十五</w:t>
      </w:r>
      <w:r w:rsidR="00DF516A" w:rsidRPr="00DF516A">
        <w:rPr>
          <w:rFonts w:hint="eastAsia"/>
          <w:bCs/>
          <w:kern w:val="0"/>
          <w:sz w:val="18"/>
          <w:szCs w:val="18"/>
        </w:rPr>
        <w:t>）基金管理人深知个人信息对投资者的重要性，致力于投资者个人信息的保护。基金管理人承诺按照法律法规和相关监管要求的规定处理投资者的个人信息，包括通过基金管理人直销、销售机构或场内经纪机构购买景顺长城基金管理有限公司旗下基金产品的所有个人投资者。基金管理人需处理的机构投资者信息中可能涉及其法定代表人、受益所有人、经办人等个人信息，也将遵守上述承诺进行处理。</w:t>
      </w:r>
    </w:p>
    <w:p w14:paraId="76DD8164" w14:textId="77777777" w:rsidR="00175DB4" w:rsidRDefault="00175DB4">
      <w:pPr>
        <w:widowControl/>
        <w:tabs>
          <w:tab w:val="left" w:pos="1080"/>
          <w:tab w:val="left" w:pos="1260"/>
        </w:tabs>
        <w:jc w:val="left"/>
        <w:rPr>
          <w:bCs/>
          <w:kern w:val="0"/>
          <w:sz w:val="18"/>
          <w:szCs w:val="18"/>
        </w:rPr>
      </w:pPr>
    </w:p>
    <w:p w14:paraId="2AB9C2C1" w14:textId="77777777" w:rsidR="00175DB4" w:rsidRDefault="000519D1">
      <w:pPr>
        <w:jc w:val="center"/>
        <w:rPr>
          <w:sz w:val="24"/>
        </w:rPr>
      </w:pPr>
      <w:r>
        <w:br w:type="page"/>
      </w:r>
      <w:r>
        <w:rPr>
          <w:rFonts w:eastAsia="黑体"/>
          <w:b/>
          <w:sz w:val="30"/>
          <w:szCs w:val="30"/>
        </w:rPr>
        <w:lastRenderedPageBreak/>
        <w:t>目录</w:t>
      </w:r>
    </w:p>
    <w:p w14:paraId="1777C8F3" w14:textId="77777777" w:rsidR="0084159B" w:rsidRDefault="000519D1">
      <w:pPr>
        <w:pStyle w:val="10"/>
        <w:rPr>
          <w:rFonts w:asciiTheme="minorHAnsi" w:eastAsiaTheme="minorEastAsia" w:hAnsiTheme="minorHAnsi" w:cstheme="minorBidi"/>
          <w:b w:val="0"/>
          <w:bCs w:val="0"/>
          <w:caps w:val="0"/>
          <w:noProof/>
          <w:sz w:val="21"/>
          <w:szCs w:val="22"/>
        </w:rPr>
      </w:pPr>
      <w:r>
        <w:rPr>
          <w:rFonts w:ascii="Times New Roman"/>
          <w:szCs w:val="24"/>
        </w:rPr>
        <w:fldChar w:fldCharType="begin"/>
      </w:r>
      <w:r>
        <w:rPr>
          <w:rFonts w:ascii="Times New Roman"/>
          <w:szCs w:val="24"/>
        </w:rPr>
        <w:instrText xml:space="preserve"> TOC \o "1-1" \h \z \u </w:instrText>
      </w:r>
      <w:r>
        <w:rPr>
          <w:rFonts w:ascii="Times New Roman"/>
          <w:szCs w:val="24"/>
        </w:rPr>
        <w:fldChar w:fldCharType="separate"/>
      </w:r>
      <w:hyperlink w:anchor="_Toc135741003" w:history="1">
        <w:r w:rsidR="0084159B" w:rsidRPr="00EE719E">
          <w:rPr>
            <w:rStyle w:val="af5"/>
            <w:rFonts w:hint="eastAsia"/>
            <w:noProof/>
          </w:rPr>
          <w:t>一、绪言</w:t>
        </w:r>
        <w:r w:rsidR="0084159B">
          <w:rPr>
            <w:noProof/>
            <w:webHidden/>
          </w:rPr>
          <w:tab/>
        </w:r>
        <w:r w:rsidR="0084159B">
          <w:rPr>
            <w:noProof/>
            <w:webHidden/>
          </w:rPr>
          <w:fldChar w:fldCharType="begin"/>
        </w:r>
        <w:r w:rsidR="0084159B">
          <w:rPr>
            <w:noProof/>
            <w:webHidden/>
          </w:rPr>
          <w:instrText xml:space="preserve"> PAGEREF _Toc135741003 \h </w:instrText>
        </w:r>
        <w:r w:rsidR="0084159B">
          <w:rPr>
            <w:noProof/>
            <w:webHidden/>
          </w:rPr>
        </w:r>
        <w:r w:rsidR="0084159B">
          <w:rPr>
            <w:noProof/>
            <w:webHidden/>
          </w:rPr>
          <w:fldChar w:fldCharType="separate"/>
        </w:r>
        <w:r w:rsidR="00A15C48">
          <w:rPr>
            <w:noProof/>
            <w:webHidden/>
          </w:rPr>
          <w:t>1</w:t>
        </w:r>
        <w:r w:rsidR="0084159B">
          <w:rPr>
            <w:noProof/>
            <w:webHidden/>
          </w:rPr>
          <w:fldChar w:fldCharType="end"/>
        </w:r>
      </w:hyperlink>
    </w:p>
    <w:p w14:paraId="6964C2D4"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4" w:history="1">
        <w:r w:rsidR="0084159B" w:rsidRPr="00EE719E">
          <w:rPr>
            <w:rStyle w:val="af5"/>
            <w:rFonts w:hint="eastAsia"/>
            <w:noProof/>
          </w:rPr>
          <w:t>二、释义</w:t>
        </w:r>
        <w:r w:rsidR="0084159B">
          <w:rPr>
            <w:noProof/>
            <w:webHidden/>
          </w:rPr>
          <w:tab/>
        </w:r>
        <w:r w:rsidR="0084159B">
          <w:rPr>
            <w:noProof/>
            <w:webHidden/>
          </w:rPr>
          <w:fldChar w:fldCharType="begin"/>
        </w:r>
        <w:r w:rsidR="0084159B">
          <w:rPr>
            <w:noProof/>
            <w:webHidden/>
          </w:rPr>
          <w:instrText xml:space="preserve"> PAGEREF _Toc135741004 \h </w:instrText>
        </w:r>
        <w:r w:rsidR="0084159B">
          <w:rPr>
            <w:noProof/>
            <w:webHidden/>
          </w:rPr>
        </w:r>
        <w:r w:rsidR="0084159B">
          <w:rPr>
            <w:noProof/>
            <w:webHidden/>
          </w:rPr>
          <w:fldChar w:fldCharType="separate"/>
        </w:r>
        <w:r w:rsidR="00A15C48">
          <w:rPr>
            <w:noProof/>
            <w:webHidden/>
          </w:rPr>
          <w:t>2</w:t>
        </w:r>
        <w:r w:rsidR="0084159B">
          <w:rPr>
            <w:noProof/>
            <w:webHidden/>
          </w:rPr>
          <w:fldChar w:fldCharType="end"/>
        </w:r>
      </w:hyperlink>
    </w:p>
    <w:p w14:paraId="599333D4"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5" w:history="1">
        <w:r w:rsidR="0084159B" w:rsidRPr="00EE719E">
          <w:rPr>
            <w:rStyle w:val="af5"/>
            <w:rFonts w:hint="eastAsia"/>
            <w:noProof/>
          </w:rPr>
          <w:t>三、基金管理人</w:t>
        </w:r>
        <w:r w:rsidR="0084159B">
          <w:rPr>
            <w:noProof/>
            <w:webHidden/>
          </w:rPr>
          <w:tab/>
        </w:r>
        <w:r w:rsidR="0084159B">
          <w:rPr>
            <w:noProof/>
            <w:webHidden/>
          </w:rPr>
          <w:fldChar w:fldCharType="begin"/>
        </w:r>
        <w:r w:rsidR="0084159B">
          <w:rPr>
            <w:noProof/>
            <w:webHidden/>
          </w:rPr>
          <w:instrText xml:space="preserve"> PAGEREF _Toc135741005 \h </w:instrText>
        </w:r>
        <w:r w:rsidR="0084159B">
          <w:rPr>
            <w:noProof/>
            <w:webHidden/>
          </w:rPr>
        </w:r>
        <w:r w:rsidR="0084159B">
          <w:rPr>
            <w:noProof/>
            <w:webHidden/>
          </w:rPr>
          <w:fldChar w:fldCharType="separate"/>
        </w:r>
        <w:r w:rsidR="00A15C48">
          <w:rPr>
            <w:noProof/>
            <w:webHidden/>
          </w:rPr>
          <w:t>8</w:t>
        </w:r>
        <w:r w:rsidR="0084159B">
          <w:rPr>
            <w:noProof/>
            <w:webHidden/>
          </w:rPr>
          <w:fldChar w:fldCharType="end"/>
        </w:r>
      </w:hyperlink>
    </w:p>
    <w:p w14:paraId="7F382CAB"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6" w:history="1">
        <w:r w:rsidR="0084159B" w:rsidRPr="00EE719E">
          <w:rPr>
            <w:rStyle w:val="af5"/>
            <w:rFonts w:hint="eastAsia"/>
            <w:noProof/>
          </w:rPr>
          <w:t>四、基金托管人</w:t>
        </w:r>
        <w:r w:rsidR="0084159B">
          <w:rPr>
            <w:noProof/>
            <w:webHidden/>
          </w:rPr>
          <w:tab/>
        </w:r>
        <w:r w:rsidR="0084159B">
          <w:rPr>
            <w:noProof/>
            <w:webHidden/>
          </w:rPr>
          <w:fldChar w:fldCharType="begin"/>
        </w:r>
        <w:r w:rsidR="0084159B">
          <w:rPr>
            <w:noProof/>
            <w:webHidden/>
          </w:rPr>
          <w:instrText xml:space="preserve"> PAGEREF _Toc135741006 \h </w:instrText>
        </w:r>
        <w:r w:rsidR="0084159B">
          <w:rPr>
            <w:noProof/>
            <w:webHidden/>
          </w:rPr>
        </w:r>
        <w:r w:rsidR="0084159B">
          <w:rPr>
            <w:noProof/>
            <w:webHidden/>
          </w:rPr>
          <w:fldChar w:fldCharType="separate"/>
        </w:r>
        <w:r w:rsidR="00A15C48">
          <w:rPr>
            <w:noProof/>
            <w:webHidden/>
          </w:rPr>
          <w:t>20</w:t>
        </w:r>
        <w:r w:rsidR="0084159B">
          <w:rPr>
            <w:noProof/>
            <w:webHidden/>
          </w:rPr>
          <w:fldChar w:fldCharType="end"/>
        </w:r>
      </w:hyperlink>
    </w:p>
    <w:p w14:paraId="2916A877"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7" w:history="1">
        <w:r w:rsidR="0084159B" w:rsidRPr="00EE719E">
          <w:rPr>
            <w:rStyle w:val="af5"/>
            <w:rFonts w:hint="eastAsia"/>
            <w:noProof/>
          </w:rPr>
          <w:t>五、相关服务机构</w:t>
        </w:r>
        <w:r w:rsidR="0084159B">
          <w:rPr>
            <w:noProof/>
            <w:webHidden/>
          </w:rPr>
          <w:tab/>
        </w:r>
        <w:r w:rsidR="0084159B">
          <w:rPr>
            <w:noProof/>
            <w:webHidden/>
          </w:rPr>
          <w:fldChar w:fldCharType="begin"/>
        </w:r>
        <w:r w:rsidR="0084159B">
          <w:rPr>
            <w:noProof/>
            <w:webHidden/>
          </w:rPr>
          <w:instrText xml:space="preserve"> PAGEREF _Toc135741007 \h </w:instrText>
        </w:r>
        <w:r w:rsidR="0084159B">
          <w:rPr>
            <w:noProof/>
            <w:webHidden/>
          </w:rPr>
        </w:r>
        <w:r w:rsidR="0084159B">
          <w:rPr>
            <w:noProof/>
            <w:webHidden/>
          </w:rPr>
          <w:fldChar w:fldCharType="separate"/>
        </w:r>
        <w:r w:rsidR="00A15C48">
          <w:rPr>
            <w:noProof/>
            <w:webHidden/>
          </w:rPr>
          <w:t>25</w:t>
        </w:r>
        <w:r w:rsidR="0084159B">
          <w:rPr>
            <w:noProof/>
            <w:webHidden/>
          </w:rPr>
          <w:fldChar w:fldCharType="end"/>
        </w:r>
      </w:hyperlink>
    </w:p>
    <w:p w14:paraId="654998F2"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8" w:history="1">
        <w:r w:rsidR="0084159B" w:rsidRPr="00EE719E">
          <w:rPr>
            <w:rStyle w:val="af5"/>
            <w:rFonts w:hint="eastAsia"/>
            <w:noProof/>
          </w:rPr>
          <w:t>六、基金的募集</w:t>
        </w:r>
        <w:r w:rsidR="0084159B">
          <w:rPr>
            <w:noProof/>
            <w:webHidden/>
          </w:rPr>
          <w:tab/>
        </w:r>
        <w:r w:rsidR="0084159B">
          <w:rPr>
            <w:noProof/>
            <w:webHidden/>
          </w:rPr>
          <w:fldChar w:fldCharType="begin"/>
        </w:r>
        <w:r w:rsidR="0084159B">
          <w:rPr>
            <w:noProof/>
            <w:webHidden/>
          </w:rPr>
          <w:instrText xml:space="preserve"> PAGEREF _Toc135741008 \h </w:instrText>
        </w:r>
        <w:r w:rsidR="0084159B">
          <w:rPr>
            <w:noProof/>
            <w:webHidden/>
          </w:rPr>
        </w:r>
        <w:r w:rsidR="0084159B">
          <w:rPr>
            <w:noProof/>
            <w:webHidden/>
          </w:rPr>
          <w:fldChar w:fldCharType="separate"/>
        </w:r>
        <w:r w:rsidR="00A15C48">
          <w:rPr>
            <w:noProof/>
            <w:webHidden/>
          </w:rPr>
          <w:t>27</w:t>
        </w:r>
        <w:r w:rsidR="0084159B">
          <w:rPr>
            <w:noProof/>
            <w:webHidden/>
          </w:rPr>
          <w:fldChar w:fldCharType="end"/>
        </w:r>
      </w:hyperlink>
    </w:p>
    <w:p w14:paraId="537D7333"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09" w:history="1">
        <w:r w:rsidR="0084159B" w:rsidRPr="00EE719E">
          <w:rPr>
            <w:rStyle w:val="af5"/>
            <w:rFonts w:hint="eastAsia"/>
            <w:noProof/>
          </w:rPr>
          <w:t>七、基金合同的生效</w:t>
        </w:r>
        <w:bookmarkStart w:id="0" w:name="_GoBack"/>
        <w:bookmarkEnd w:id="0"/>
        <w:r w:rsidR="0084159B">
          <w:rPr>
            <w:noProof/>
            <w:webHidden/>
          </w:rPr>
          <w:tab/>
        </w:r>
        <w:r w:rsidR="0084159B">
          <w:rPr>
            <w:noProof/>
            <w:webHidden/>
          </w:rPr>
          <w:fldChar w:fldCharType="begin"/>
        </w:r>
        <w:r w:rsidR="0084159B">
          <w:rPr>
            <w:noProof/>
            <w:webHidden/>
          </w:rPr>
          <w:instrText xml:space="preserve"> PAGEREF _Toc135741009 \h </w:instrText>
        </w:r>
        <w:r w:rsidR="0084159B">
          <w:rPr>
            <w:noProof/>
            <w:webHidden/>
          </w:rPr>
        </w:r>
        <w:r w:rsidR="0084159B">
          <w:rPr>
            <w:noProof/>
            <w:webHidden/>
          </w:rPr>
          <w:fldChar w:fldCharType="separate"/>
        </w:r>
        <w:r w:rsidR="00A15C48">
          <w:rPr>
            <w:noProof/>
            <w:webHidden/>
          </w:rPr>
          <w:t>34</w:t>
        </w:r>
        <w:r w:rsidR="0084159B">
          <w:rPr>
            <w:noProof/>
            <w:webHidden/>
          </w:rPr>
          <w:fldChar w:fldCharType="end"/>
        </w:r>
      </w:hyperlink>
    </w:p>
    <w:p w14:paraId="0EB94BF7"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0" w:history="1">
        <w:r w:rsidR="0084159B" w:rsidRPr="00EE719E">
          <w:rPr>
            <w:rStyle w:val="af5"/>
            <w:rFonts w:hint="eastAsia"/>
            <w:noProof/>
          </w:rPr>
          <w:t>八、基金份额折算与变更登记</w:t>
        </w:r>
        <w:r w:rsidR="0084159B">
          <w:rPr>
            <w:noProof/>
            <w:webHidden/>
          </w:rPr>
          <w:tab/>
        </w:r>
        <w:r w:rsidR="0084159B">
          <w:rPr>
            <w:noProof/>
            <w:webHidden/>
          </w:rPr>
          <w:fldChar w:fldCharType="begin"/>
        </w:r>
        <w:r w:rsidR="0084159B">
          <w:rPr>
            <w:noProof/>
            <w:webHidden/>
          </w:rPr>
          <w:instrText xml:space="preserve"> PAGEREF _Toc135741010 \h </w:instrText>
        </w:r>
        <w:r w:rsidR="0084159B">
          <w:rPr>
            <w:noProof/>
            <w:webHidden/>
          </w:rPr>
        </w:r>
        <w:r w:rsidR="0084159B">
          <w:rPr>
            <w:noProof/>
            <w:webHidden/>
          </w:rPr>
          <w:fldChar w:fldCharType="separate"/>
        </w:r>
        <w:r w:rsidR="00A15C48">
          <w:rPr>
            <w:noProof/>
            <w:webHidden/>
          </w:rPr>
          <w:t>35</w:t>
        </w:r>
        <w:r w:rsidR="0084159B">
          <w:rPr>
            <w:noProof/>
            <w:webHidden/>
          </w:rPr>
          <w:fldChar w:fldCharType="end"/>
        </w:r>
      </w:hyperlink>
    </w:p>
    <w:p w14:paraId="75A3ED70"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1" w:history="1">
        <w:r w:rsidR="0084159B" w:rsidRPr="00EE719E">
          <w:rPr>
            <w:rStyle w:val="af5"/>
            <w:rFonts w:hint="eastAsia"/>
            <w:noProof/>
          </w:rPr>
          <w:t>九、基金份额的上市交易</w:t>
        </w:r>
        <w:r w:rsidR="0084159B">
          <w:rPr>
            <w:noProof/>
            <w:webHidden/>
          </w:rPr>
          <w:tab/>
        </w:r>
        <w:r w:rsidR="0084159B">
          <w:rPr>
            <w:noProof/>
            <w:webHidden/>
          </w:rPr>
          <w:fldChar w:fldCharType="begin"/>
        </w:r>
        <w:r w:rsidR="0084159B">
          <w:rPr>
            <w:noProof/>
            <w:webHidden/>
          </w:rPr>
          <w:instrText xml:space="preserve"> PAGEREF _Toc135741011 \h </w:instrText>
        </w:r>
        <w:r w:rsidR="0084159B">
          <w:rPr>
            <w:noProof/>
            <w:webHidden/>
          </w:rPr>
        </w:r>
        <w:r w:rsidR="0084159B">
          <w:rPr>
            <w:noProof/>
            <w:webHidden/>
          </w:rPr>
          <w:fldChar w:fldCharType="separate"/>
        </w:r>
        <w:r w:rsidR="00A15C48">
          <w:rPr>
            <w:noProof/>
            <w:webHidden/>
          </w:rPr>
          <w:t>36</w:t>
        </w:r>
        <w:r w:rsidR="0084159B">
          <w:rPr>
            <w:noProof/>
            <w:webHidden/>
          </w:rPr>
          <w:fldChar w:fldCharType="end"/>
        </w:r>
      </w:hyperlink>
    </w:p>
    <w:p w14:paraId="2CD8D00F"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2" w:history="1">
        <w:r w:rsidR="0084159B" w:rsidRPr="00EE719E">
          <w:rPr>
            <w:rStyle w:val="af5"/>
            <w:rFonts w:hint="eastAsia"/>
            <w:noProof/>
          </w:rPr>
          <w:t>十、基金份额的申购、赎回与非交易过户</w:t>
        </w:r>
        <w:r w:rsidR="0084159B">
          <w:rPr>
            <w:noProof/>
            <w:webHidden/>
          </w:rPr>
          <w:tab/>
        </w:r>
        <w:r w:rsidR="0084159B">
          <w:rPr>
            <w:noProof/>
            <w:webHidden/>
          </w:rPr>
          <w:fldChar w:fldCharType="begin"/>
        </w:r>
        <w:r w:rsidR="0084159B">
          <w:rPr>
            <w:noProof/>
            <w:webHidden/>
          </w:rPr>
          <w:instrText xml:space="preserve"> PAGEREF _Toc135741012 \h </w:instrText>
        </w:r>
        <w:r w:rsidR="0084159B">
          <w:rPr>
            <w:noProof/>
            <w:webHidden/>
          </w:rPr>
        </w:r>
        <w:r w:rsidR="0084159B">
          <w:rPr>
            <w:noProof/>
            <w:webHidden/>
          </w:rPr>
          <w:fldChar w:fldCharType="separate"/>
        </w:r>
        <w:r w:rsidR="00A15C48">
          <w:rPr>
            <w:noProof/>
            <w:webHidden/>
          </w:rPr>
          <w:t>38</w:t>
        </w:r>
        <w:r w:rsidR="0084159B">
          <w:rPr>
            <w:noProof/>
            <w:webHidden/>
          </w:rPr>
          <w:fldChar w:fldCharType="end"/>
        </w:r>
      </w:hyperlink>
    </w:p>
    <w:p w14:paraId="14B2985B"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3" w:history="1">
        <w:r w:rsidR="0084159B" w:rsidRPr="00EE719E">
          <w:rPr>
            <w:rStyle w:val="af5"/>
            <w:rFonts w:hint="eastAsia"/>
            <w:noProof/>
          </w:rPr>
          <w:t>十一、基金的投资</w:t>
        </w:r>
        <w:r w:rsidR="0084159B">
          <w:rPr>
            <w:noProof/>
            <w:webHidden/>
          </w:rPr>
          <w:tab/>
        </w:r>
        <w:r w:rsidR="0084159B">
          <w:rPr>
            <w:noProof/>
            <w:webHidden/>
          </w:rPr>
          <w:fldChar w:fldCharType="begin"/>
        </w:r>
        <w:r w:rsidR="0084159B">
          <w:rPr>
            <w:noProof/>
            <w:webHidden/>
          </w:rPr>
          <w:instrText xml:space="preserve"> PAGEREF _Toc135741013 \h </w:instrText>
        </w:r>
        <w:r w:rsidR="0084159B">
          <w:rPr>
            <w:noProof/>
            <w:webHidden/>
          </w:rPr>
        </w:r>
        <w:r w:rsidR="0084159B">
          <w:rPr>
            <w:noProof/>
            <w:webHidden/>
          </w:rPr>
          <w:fldChar w:fldCharType="separate"/>
        </w:r>
        <w:r w:rsidR="00A15C48">
          <w:rPr>
            <w:noProof/>
            <w:webHidden/>
          </w:rPr>
          <w:t>51</w:t>
        </w:r>
        <w:r w:rsidR="0084159B">
          <w:rPr>
            <w:noProof/>
            <w:webHidden/>
          </w:rPr>
          <w:fldChar w:fldCharType="end"/>
        </w:r>
      </w:hyperlink>
    </w:p>
    <w:p w14:paraId="228BAAC9"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4" w:history="1">
        <w:r w:rsidR="0084159B" w:rsidRPr="00EE719E">
          <w:rPr>
            <w:rStyle w:val="af5"/>
            <w:rFonts w:hint="eastAsia"/>
            <w:noProof/>
          </w:rPr>
          <w:t>十二、基金的财产</w:t>
        </w:r>
        <w:r w:rsidR="0084159B">
          <w:rPr>
            <w:noProof/>
            <w:webHidden/>
          </w:rPr>
          <w:tab/>
        </w:r>
        <w:r w:rsidR="0084159B">
          <w:rPr>
            <w:noProof/>
            <w:webHidden/>
          </w:rPr>
          <w:fldChar w:fldCharType="begin"/>
        </w:r>
        <w:r w:rsidR="0084159B">
          <w:rPr>
            <w:noProof/>
            <w:webHidden/>
          </w:rPr>
          <w:instrText xml:space="preserve"> PAGEREF _Toc135741014 \h </w:instrText>
        </w:r>
        <w:r w:rsidR="0084159B">
          <w:rPr>
            <w:noProof/>
            <w:webHidden/>
          </w:rPr>
        </w:r>
        <w:r w:rsidR="0084159B">
          <w:rPr>
            <w:noProof/>
            <w:webHidden/>
          </w:rPr>
          <w:fldChar w:fldCharType="separate"/>
        </w:r>
        <w:r w:rsidR="00A15C48">
          <w:rPr>
            <w:noProof/>
            <w:webHidden/>
          </w:rPr>
          <w:t>58</w:t>
        </w:r>
        <w:r w:rsidR="0084159B">
          <w:rPr>
            <w:noProof/>
            <w:webHidden/>
          </w:rPr>
          <w:fldChar w:fldCharType="end"/>
        </w:r>
      </w:hyperlink>
    </w:p>
    <w:p w14:paraId="63239EAF"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5" w:history="1">
        <w:r w:rsidR="0084159B" w:rsidRPr="00EE719E">
          <w:rPr>
            <w:rStyle w:val="af5"/>
            <w:rFonts w:hint="eastAsia"/>
            <w:noProof/>
          </w:rPr>
          <w:t>十三、基金资产的估值</w:t>
        </w:r>
        <w:r w:rsidR="0084159B">
          <w:rPr>
            <w:noProof/>
            <w:webHidden/>
          </w:rPr>
          <w:tab/>
        </w:r>
        <w:r w:rsidR="0084159B">
          <w:rPr>
            <w:noProof/>
            <w:webHidden/>
          </w:rPr>
          <w:fldChar w:fldCharType="begin"/>
        </w:r>
        <w:r w:rsidR="0084159B">
          <w:rPr>
            <w:noProof/>
            <w:webHidden/>
          </w:rPr>
          <w:instrText xml:space="preserve"> PAGEREF _Toc135741015 \h </w:instrText>
        </w:r>
        <w:r w:rsidR="0084159B">
          <w:rPr>
            <w:noProof/>
            <w:webHidden/>
          </w:rPr>
        </w:r>
        <w:r w:rsidR="0084159B">
          <w:rPr>
            <w:noProof/>
            <w:webHidden/>
          </w:rPr>
          <w:fldChar w:fldCharType="separate"/>
        </w:r>
        <w:r w:rsidR="00A15C48">
          <w:rPr>
            <w:noProof/>
            <w:webHidden/>
          </w:rPr>
          <w:t>59</w:t>
        </w:r>
        <w:r w:rsidR="0084159B">
          <w:rPr>
            <w:noProof/>
            <w:webHidden/>
          </w:rPr>
          <w:fldChar w:fldCharType="end"/>
        </w:r>
      </w:hyperlink>
    </w:p>
    <w:p w14:paraId="688B8C38"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6" w:history="1">
        <w:r w:rsidR="0084159B" w:rsidRPr="00EE719E">
          <w:rPr>
            <w:rStyle w:val="af5"/>
            <w:rFonts w:hint="eastAsia"/>
            <w:noProof/>
          </w:rPr>
          <w:t>十四、基金的收益与分配</w:t>
        </w:r>
        <w:r w:rsidR="0084159B">
          <w:rPr>
            <w:noProof/>
            <w:webHidden/>
          </w:rPr>
          <w:tab/>
        </w:r>
        <w:r w:rsidR="0084159B">
          <w:rPr>
            <w:noProof/>
            <w:webHidden/>
          </w:rPr>
          <w:fldChar w:fldCharType="begin"/>
        </w:r>
        <w:r w:rsidR="0084159B">
          <w:rPr>
            <w:noProof/>
            <w:webHidden/>
          </w:rPr>
          <w:instrText xml:space="preserve"> PAGEREF _Toc135741016 \h </w:instrText>
        </w:r>
        <w:r w:rsidR="0084159B">
          <w:rPr>
            <w:noProof/>
            <w:webHidden/>
          </w:rPr>
        </w:r>
        <w:r w:rsidR="0084159B">
          <w:rPr>
            <w:noProof/>
            <w:webHidden/>
          </w:rPr>
          <w:fldChar w:fldCharType="separate"/>
        </w:r>
        <w:r w:rsidR="00A15C48">
          <w:rPr>
            <w:noProof/>
            <w:webHidden/>
          </w:rPr>
          <w:t>64</w:t>
        </w:r>
        <w:r w:rsidR="0084159B">
          <w:rPr>
            <w:noProof/>
            <w:webHidden/>
          </w:rPr>
          <w:fldChar w:fldCharType="end"/>
        </w:r>
      </w:hyperlink>
    </w:p>
    <w:p w14:paraId="4C8F28B8"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7" w:history="1">
        <w:r w:rsidR="0084159B" w:rsidRPr="00EE719E">
          <w:rPr>
            <w:rStyle w:val="af5"/>
            <w:rFonts w:hint="eastAsia"/>
            <w:noProof/>
          </w:rPr>
          <w:t>十五、基金的费用与税收</w:t>
        </w:r>
        <w:r w:rsidR="0084159B">
          <w:rPr>
            <w:noProof/>
            <w:webHidden/>
          </w:rPr>
          <w:tab/>
        </w:r>
        <w:r w:rsidR="0084159B">
          <w:rPr>
            <w:noProof/>
            <w:webHidden/>
          </w:rPr>
          <w:fldChar w:fldCharType="begin"/>
        </w:r>
        <w:r w:rsidR="0084159B">
          <w:rPr>
            <w:noProof/>
            <w:webHidden/>
          </w:rPr>
          <w:instrText xml:space="preserve"> PAGEREF _Toc135741017 \h </w:instrText>
        </w:r>
        <w:r w:rsidR="0084159B">
          <w:rPr>
            <w:noProof/>
            <w:webHidden/>
          </w:rPr>
        </w:r>
        <w:r w:rsidR="0084159B">
          <w:rPr>
            <w:noProof/>
            <w:webHidden/>
          </w:rPr>
          <w:fldChar w:fldCharType="separate"/>
        </w:r>
        <w:r w:rsidR="00A15C48">
          <w:rPr>
            <w:noProof/>
            <w:webHidden/>
          </w:rPr>
          <w:t>65</w:t>
        </w:r>
        <w:r w:rsidR="0084159B">
          <w:rPr>
            <w:noProof/>
            <w:webHidden/>
          </w:rPr>
          <w:fldChar w:fldCharType="end"/>
        </w:r>
      </w:hyperlink>
    </w:p>
    <w:p w14:paraId="2B19F5A9"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8" w:history="1">
        <w:r w:rsidR="0084159B" w:rsidRPr="00EE719E">
          <w:rPr>
            <w:rStyle w:val="af5"/>
            <w:rFonts w:hint="eastAsia"/>
            <w:noProof/>
          </w:rPr>
          <w:t>十六、基金的会计与审计</w:t>
        </w:r>
        <w:r w:rsidR="0084159B">
          <w:rPr>
            <w:noProof/>
            <w:webHidden/>
          </w:rPr>
          <w:tab/>
        </w:r>
        <w:r w:rsidR="0084159B">
          <w:rPr>
            <w:noProof/>
            <w:webHidden/>
          </w:rPr>
          <w:fldChar w:fldCharType="begin"/>
        </w:r>
        <w:r w:rsidR="0084159B">
          <w:rPr>
            <w:noProof/>
            <w:webHidden/>
          </w:rPr>
          <w:instrText xml:space="preserve"> PAGEREF _Toc135741018 \h </w:instrText>
        </w:r>
        <w:r w:rsidR="0084159B">
          <w:rPr>
            <w:noProof/>
            <w:webHidden/>
          </w:rPr>
        </w:r>
        <w:r w:rsidR="0084159B">
          <w:rPr>
            <w:noProof/>
            <w:webHidden/>
          </w:rPr>
          <w:fldChar w:fldCharType="separate"/>
        </w:r>
        <w:r w:rsidR="00A15C48">
          <w:rPr>
            <w:noProof/>
            <w:webHidden/>
          </w:rPr>
          <w:t>67</w:t>
        </w:r>
        <w:r w:rsidR="0084159B">
          <w:rPr>
            <w:noProof/>
            <w:webHidden/>
          </w:rPr>
          <w:fldChar w:fldCharType="end"/>
        </w:r>
      </w:hyperlink>
    </w:p>
    <w:p w14:paraId="1DF20D91"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19" w:history="1">
        <w:r w:rsidR="0084159B" w:rsidRPr="00EE719E">
          <w:rPr>
            <w:rStyle w:val="af5"/>
            <w:rFonts w:hint="eastAsia"/>
            <w:noProof/>
          </w:rPr>
          <w:t>十七、基金的信息披露</w:t>
        </w:r>
        <w:r w:rsidR="0084159B">
          <w:rPr>
            <w:noProof/>
            <w:webHidden/>
          </w:rPr>
          <w:tab/>
        </w:r>
        <w:r w:rsidR="0084159B">
          <w:rPr>
            <w:noProof/>
            <w:webHidden/>
          </w:rPr>
          <w:fldChar w:fldCharType="begin"/>
        </w:r>
        <w:r w:rsidR="0084159B">
          <w:rPr>
            <w:noProof/>
            <w:webHidden/>
          </w:rPr>
          <w:instrText xml:space="preserve"> PAGEREF _Toc135741019 \h </w:instrText>
        </w:r>
        <w:r w:rsidR="0084159B">
          <w:rPr>
            <w:noProof/>
            <w:webHidden/>
          </w:rPr>
        </w:r>
        <w:r w:rsidR="0084159B">
          <w:rPr>
            <w:noProof/>
            <w:webHidden/>
          </w:rPr>
          <w:fldChar w:fldCharType="separate"/>
        </w:r>
        <w:r w:rsidR="00A15C48">
          <w:rPr>
            <w:noProof/>
            <w:webHidden/>
          </w:rPr>
          <w:t>68</w:t>
        </w:r>
        <w:r w:rsidR="0084159B">
          <w:rPr>
            <w:noProof/>
            <w:webHidden/>
          </w:rPr>
          <w:fldChar w:fldCharType="end"/>
        </w:r>
      </w:hyperlink>
    </w:p>
    <w:p w14:paraId="69FF3DDA"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0" w:history="1">
        <w:r w:rsidR="0084159B" w:rsidRPr="00EE719E">
          <w:rPr>
            <w:rStyle w:val="af5"/>
            <w:rFonts w:hint="eastAsia"/>
            <w:noProof/>
          </w:rPr>
          <w:t>十八、风险揭示</w:t>
        </w:r>
        <w:r w:rsidR="0084159B">
          <w:rPr>
            <w:noProof/>
            <w:webHidden/>
          </w:rPr>
          <w:tab/>
        </w:r>
        <w:r w:rsidR="0084159B">
          <w:rPr>
            <w:noProof/>
            <w:webHidden/>
          </w:rPr>
          <w:fldChar w:fldCharType="begin"/>
        </w:r>
        <w:r w:rsidR="0084159B">
          <w:rPr>
            <w:noProof/>
            <w:webHidden/>
          </w:rPr>
          <w:instrText xml:space="preserve"> PAGEREF _Toc135741020 \h </w:instrText>
        </w:r>
        <w:r w:rsidR="0084159B">
          <w:rPr>
            <w:noProof/>
            <w:webHidden/>
          </w:rPr>
        </w:r>
        <w:r w:rsidR="0084159B">
          <w:rPr>
            <w:noProof/>
            <w:webHidden/>
          </w:rPr>
          <w:fldChar w:fldCharType="separate"/>
        </w:r>
        <w:r w:rsidR="00A15C48">
          <w:rPr>
            <w:noProof/>
            <w:webHidden/>
          </w:rPr>
          <w:t>74</w:t>
        </w:r>
        <w:r w:rsidR="0084159B">
          <w:rPr>
            <w:noProof/>
            <w:webHidden/>
          </w:rPr>
          <w:fldChar w:fldCharType="end"/>
        </w:r>
      </w:hyperlink>
    </w:p>
    <w:p w14:paraId="7FF4CDA7"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1" w:history="1">
        <w:r w:rsidR="0084159B" w:rsidRPr="00EE719E">
          <w:rPr>
            <w:rStyle w:val="af5"/>
            <w:rFonts w:hint="eastAsia"/>
            <w:noProof/>
          </w:rPr>
          <w:t>十九、基金合同的变更、终止与清算</w:t>
        </w:r>
        <w:r w:rsidR="0084159B">
          <w:rPr>
            <w:noProof/>
            <w:webHidden/>
          </w:rPr>
          <w:tab/>
        </w:r>
        <w:r w:rsidR="0084159B">
          <w:rPr>
            <w:noProof/>
            <w:webHidden/>
          </w:rPr>
          <w:fldChar w:fldCharType="begin"/>
        </w:r>
        <w:r w:rsidR="0084159B">
          <w:rPr>
            <w:noProof/>
            <w:webHidden/>
          </w:rPr>
          <w:instrText xml:space="preserve"> PAGEREF _Toc135741021 \h </w:instrText>
        </w:r>
        <w:r w:rsidR="0084159B">
          <w:rPr>
            <w:noProof/>
            <w:webHidden/>
          </w:rPr>
        </w:r>
        <w:r w:rsidR="0084159B">
          <w:rPr>
            <w:noProof/>
            <w:webHidden/>
          </w:rPr>
          <w:fldChar w:fldCharType="separate"/>
        </w:r>
        <w:r w:rsidR="00A15C48">
          <w:rPr>
            <w:noProof/>
            <w:webHidden/>
          </w:rPr>
          <w:t>83</w:t>
        </w:r>
        <w:r w:rsidR="0084159B">
          <w:rPr>
            <w:noProof/>
            <w:webHidden/>
          </w:rPr>
          <w:fldChar w:fldCharType="end"/>
        </w:r>
      </w:hyperlink>
    </w:p>
    <w:p w14:paraId="6D826A5D"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2" w:history="1">
        <w:r w:rsidR="0084159B" w:rsidRPr="00EE719E">
          <w:rPr>
            <w:rStyle w:val="af5"/>
            <w:rFonts w:hint="eastAsia"/>
            <w:noProof/>
          </w:rPr>
          <w:t>二十、基金合同的内容摘要</w:t>
        </w:r>
        <w:r w:rsidR="0084159B">
          <w:rPr>
            <w:noProof/>
            <w:webHidden/>
          </w:rPr>
          <w:tab/>
        </w:r>
        <w:r w:rsidR="0084159B">
          <w:rPr>
            <w:noProof/>
            <w:webHidden/>
          </w:rPr>
          <w:fldChar w:fldCharType="begin"/>
        </w:r>
        <w:r w:rsidR="0084159B">
          <w:rPr>
            <w:noProof/>
            <w:webHidden/>
          </w:rPr>
          <w:instrText xml:space="preserve"> PAGEREF _Toc135741022 \h </w:instrText>
        </w:r>
        <w:r w:rsidR="0084159B">
          <w:rPr>
            <w:noProof/>
            <w:webHidden/>
          </w:rPr>
        </w:r>
        <w:r w:rsidR="0084159B">
          <w:rPr>
            <w:noProof/>
            <w:webHidden/>
          </w:rPr>
          <w:fldChar w:fldCharType="separate"/>
        </w:r>
        <w:r w:rsidR="00A15C48">
          <w:rPr>
            <w:noProof/>
            <w:webHidden/>
          </w:rPr>
          <w:t>85</w:t>
        </w:r>
        <w:r w:rsidR="0084159B">
          <w:rPr>
            <w:noProof/>
            <w:webHidden/>
          </w:rPr>
          <w:fldChar w:fldCharType="end"/>
        </w:r>
      </w:hyperlink>
    </w:p>
    <w:p w14:paraId="3F3764CD"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3" w:history="1">
        <w:r w:rsidR="0084159B" w:rsidRPr="00EE719E">
          <w:rPr>
            <w:rStyle w:val="af5"/>
            <w:rFonts w:hint="eastAsia"/>
            <w:noProof/>
          </w:rPr>
          <w:t>二十一、基金托管协议的内容摘要</w:t>
        </w:r>
        <w:r w:rsidR="0084159B">
          <w:rPr>
            <w:noProof/>
            <w:webHidden/>
          </w:rPr>
          <w:tab/>
        </w:r>
        <w:r w:rsidR="0084159B">
          <w:rPr>
            <w:noProof/>
            <w:webHidden/>
          </w:rPr>
          <w:fldChar w:fldCharType="begin"/>
        </w:r>
        <w:r w:rsidR="0084159B">
          <w:rPr>
            <w:noProof/>
            <w:webHidden/>
          </w:rPr>
          <w:instrText xml:space="preserve"> PAGEREF _Toc135741023 \h </w:instrText>
        </w:r>
        <w:r w:rsidR="0084159B">
          <w:rPr>
            <w:noProof/>
            <w:webHidden/>
          </w:rPr>
        </w:r>
        <w:r w:rsidR="0084159B">
          <w:rPr>
            <w:noProof/>
            <w:webHidden/>
          </w:rPr>
          <w:fldChar w:fldCharType="separate"/>
        </w:r>
        <w:r w:rsidR="00A15C48">
          <w:rPr>
            <w:noProof/>
            <w:webHidden/>
          </w:rPr>
          <w:t>101</w:t>
        </w:r>
        <w:r w:rsidR="0084159B">
          <w:rPr>
            <w:noProof/>
            <w:webHidden/>
          </w:rPr>
          <w:fldChar w:fldCharType="end"/>
        </w:r>
      </w:hyperlink>
    </w:p>
    <w:p w14:paraId="4B22DF6B"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4" w:history="1">
        <w:r w:rsidR="0084159B" w:rsidRPr="00EE719E">
          <w:rPr>
            <w:rStyle w:val="af5"/>
            <w:rFonts w:hint="eastAsia"/>
            <w:noProof/>
          </w:rPr>
          <w:t>二十二、对基金份额持有人的服务</w:t>
        </w:r>
        <w:r w:rsidR="0084159B">
          <w:rPr>
            <w:noProof/>
            <w:webHidden/>
          </w:rPr>
          <w:tab/>
        </w:r>
        <w:r w:rsidR="0084159B">
          <w:rPr>
            <w:noProof/>
            <w:webHidden/>
          </w:rPr>
          <w:fldChar w:fldCharType="begin"/>
        </w:r>
        <w:r w:rsidR="0084159B">
          <w:rPr>
            <w:noProof/>
            <w:webHidden/>
          </w:rPr>
          <w:instrText xml:space="preserve"> PAGEREF _Toc135741024 \h </w:instrText>
        </w:r>
        <w:r w:rsidR="0084159B">
          <w:rPr>
            <w:noProof/>
            <w:webHidden/>
          </w:rPr>
        </w:r>
        <w:r w:rsidR="0084159B">
          <w:rPr>
            <w:noProof/>
            <w:webHidden/>
          </w:rPr>
          <w:fldChar w:fldCharType="separate"/>
        </w:r>
        <w:r w:rsidR="00A15C48">
          <w:rPr>
            <w:noProof/>
            <w:webHidden/>
          </w:rPr>
          <w:t>116</w:t>
        </w:r>
        <w:r w:rsidR="0084159B">
          <w:rPr>
            <w:noProof/>
            <w:webHidden/>
          </w:rPr>
          <w:fldChar w:fldCharType="end"/>
        </w:r>
      </w:hyperlink>
    </w:p>
    <w:p w14:paraId="13E1E8A3"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5" w:history="1">
        <w:r w:rsidR="0084159B" w:rsidRPr="00EE719E">
          <w:rPr>
            <w:rStyle w:val="af5"/>
            <w:rFonts w:hint="eastAsia"/>
            <w:noProof/>
          </w:rPr>
          <w:t>二十三、其他应披露事项</w:t>
        </w:r>
        <w:r w:rsidR="0084159B">
          <w:rPr>
            <w:noProof/>
            <w:webHidden/>
          </w:rPr>
          <w:tab/>
        </w:r>
        <w:r w:rsidR="0084159B">
          <w:rPr>
            <w:noProof/>
            <w:webHidden/>
          </w:rPr>
          <w:fldChar w:fldCharType="begin"/>
        </w:r>
        <w:r w:rsidR="0084159B">
          <w:rPr>
            <w:noProof/>
            <w:webHidden/>
          </w:rPr>
          <w:instrText xml:space="preserve"> PAGEREF _Toc135741025 \h </w:instrText>
        </w:r>
        <w:r w:rsidR="0084159B">
          <w:rPr>
            <w:noProof/>
            <w:webHidden/>
          </w:rPr>
        </w:r>
        <w:r w:rsidR="0084159B">
          <w:rPr>
            <w:noProof/>
            <w:webHidden/>
          </w:rPr>
          <w:fldChar w:fldCharType="separate"/>
        </w:r>
        <w:r w:rsidR="00A15C48">
          <w:rPr>
            <w:noProof/>
            <w:webHidden/>
          </w:rPr>
          <w:t>118</w:t>
        </w:r>
        <w:r w:rsidR="0084159B">
          <w:rPr>
            <w:noProof/>
            <w:webHidden/>
          </w:rPr>
          <w:fldChar w:fldCharType="end"/>
        </w:r>
      </w:hyperlink>
    </w:p>
    <w:p w14:paraId="5CA663BE"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6" w:history="1">
        <w:r w:rsidR="0084159B" w:rsidRPr="00EE719E">
          <w:rPr>
            <w:rStyle w:val="af5"/>
            <w:rFonts w:hint="eastAsia"/>
            <w:noProof/>
          </w:rPr>
          <w:t>二十四、招募说明书的存放及查阅方式</w:t>
        </w:r>
        <w:r w:rsidR="0084159B">
          <w:rPr>
            <w:noProof/>
            <w:webHidden/>
          </w:rPr>
          <w:tab/>
        </w:r>
        <w:r w:rsidR="0084159B">
          <w:rPr>
            <w:noProof/>
            <w:webHidden/>
          </w:rPr>
          <w:fldChar w:fldCharType="begin"/>
        </w:r>
        <w:r w:rsidR="0084159B">
          <w:rPr>
            <w:noProof/>
            <w:webHidden/>
          </w:rPr>
          <w:instrText xml:space="preserve"> PAGEREF _Toc135741026 \h </w:instrText>
        </w:r>
        <w:r w:rsidR="0084159B">
          <w:rPr>
            <w:noProof/>
            <w:webHidden/>
          </w:rPr>
        </w:r>
        <w:r w:rsidR="0084159B">
          <w:rPr>
            <w:noProof/>
            <w:webHidden/>
          </w:rPr>
          <w:fldChar w:fldCharType="separate"/>
        </w:r>
        <w:r w:rsidR="00A15C48">
          <w:rPr>
            <w:noProof/>
            <w:webHidden/>
          </w:rPr>
          <w:t>119</w:t>
        </w:r>
        <w:r w:rsidR="0084159B">
          <w:rPr>
            <w:noProof/>
            <w:webHidden/>
          </w:rPr>
          <w:fldChar w:fldCharType="end"/>
        </w:r>
      </w:hyperlink>
    </w:p>
    <w:p w14:paraId="764D6881"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7" w:history="1">
        <w:r w:rsidR="0084159B" w:rsidRPr="00EE719E">
          <w:rPr>
            <w:rStyle w:val="af5"/>
            <w:rFonts w:hint="eastAsia"/>
            <w:noProof/>
          </w:rPr>
          <w:t>二十五、标的指数的编制方案及指数信息查阅方式</w:t>
        </w:r>
        <w:r w:rsidR="0084159B">
          <w:rPr>
            <w:noProof/>
            <w:webHidden/>
          </w:rPr>
          <w:tab/>
        </w:r>
        <w:r w:rsidR="0084159B">
          <w:rPr>
            <w:noProof/>
            <w:webHidden/>
          </w:rPr>
          <w:fldChar w:fldCharType="begin"/>
        </w:r>
        <w:r w:rsidR="0084159B">
          <w:rPr>
            <w:noProof/>
            <w:webHidden/>
          </w:rPr>
          <w:instrText xml:space="preserve"> PAGEREF _Toc135741027 \h </w:instrText>
        </w:r>
        <w:r w:rsidR="0084159B">
          <w:rPr>
            <w:noProof/>
            <w:webHidden/>
          </w:rPr>
        </w:r>
        <w:r w:rsidR="0084159B">
          <w:rPr>
            <w:noProof/>
            <w:webHidden/>
          </w:rPr>
          <w:fldChar w:fldCharType="separate"/>
        </w:r>
        <w:r w:rsidR="00A15C48">
          <w:rPr>
            <w:noProof/>
            <w:webHidden/>
          </w:rPr>
          <w:t>120</w:t>
        </w:r>
        <w:r w:rsidR="0084159B">
          <w:rPr>
            <w:noProof/>
            <w:webHidden/>
          </w:rPr>
          <w:fldChar w:fldCharType="end"/>
        </w:r>
      </w:hyperlink>
    </w:p>
    <w:p w14:paraId="12AF2011" w14:textId="77777777" w:rsidR="0084159B" w:rsidRDefault="00D03BD4">
      <w:pPr>
        <w:pStyle w:val="10"/>
        <w:rPr>
          <w:rFonts w:asciiTheme="minorHAnsi" w:eastAsiaTheme="minorEastAsia" w:hAnsiTheme="minorHAnsi" w:cstheme="minorBidi"/>
          <w:b w:val="0"/>
          <w:bCs w:val="0"/>
          <w:caps w:val="0"/>
          <w:noProof/>
          <w:sz w:val="21"/>
          <w:szCs w:val="22"/>
        </w:rPr>
      </w:pPr>
      <w:hyperlink w:anchor="_Toc135741028" w:history="1">
        <w:r w:rsidR="0084159B" w:rsidRPr="00EE719E">
          <w:rPr>
            <w:rStyle w:val="af5"/>
            <w:rFonts w:hint="eastAsia"/>
            <w:noProof/>
          </w:rPr>
          <w:t>二十六、备查文件</w:t>
        </w:r>
        <w:r w:rsidR="0084159B">
          <w:rPr>
            <w:noProof/>
            <w:webHidden/>
          </w:rPr>
          <w:tab/>
        </w:r>
        <w:r w:rsidR="0084159B">
          <w:rPr>
            <w:noProof/>
            <w:webHidden/>
          </w:rPr>
          <w:fldChar w:fldCharType="begin"/>
        </w:r>
        <w:r w:rsidR="0084159B">
          <w:rPr>
            <w:noProof/>
            <w:webHidden/>
          </w:rPr>
          <w:instrText xml:space="preserve"> PAGEREF _Toc135741028 \h </w:instrText>
        </w:r>
        <w:r w:rsidR="0084159B">
          <w:rPr>
            <w:noProof/>
            <w:webHidden/>
          </w:rPr>
        </w:r>
        <w:r w:rsidR="0084159B">
          <w:rPr>
            <w:noProof/>
            <w:webHidden/>
          </w:rPr>
          <w:fldChar w:fldCharType="separate"/>
        </w:r>
        <w:r w:rsidR="00A15C48">
          <w:rPr>
            <w:noProof/>
            <w:webHidden/>
          </w:rPr>
          <w:t>122</w:t>
        </w:r>
        <w:r w:rsidR="0084159B">
          <w:rPr>
            <w:noProof/>
            <w:webHidden/>
          </w:rPr>
          <w:fldChar w:fldCharType="end"/>
        </w:r>
      </w:hyperlink>
    </w:p>
    <w:p w14:paraId="6F91964B" w14:textId="77777777" w:rsidR="00175DB4" w:rsidRDefault="000519D1">
      <w:pPr>
        <w:pStyle w:val="10"/>
        <w:tabs>
          <w:tab w:val="clear" w:pos="8302"/>
          <w:tab w:val="right" w:pos="8296"/>
        </w:tabs>
        <w:spacing w:before="0" w:after="0" w:line="360" w:lineRule="auto"/>
        <w:rPr>
          <w:rFonts w:ascii="Times New Roman"/>
        </w:rPr>
        <w:sectPr w:rsidR="00175DB4">
          <w:footerReference w:type="default" r:id="rId15"/>
          <w:footerReference w:type="first" r:id="rId16"/>
          <w:pgSz w:w="11906" w:h="16838"/>
          <w:pgMar w:top="1440" w:right="1797" w:bottom="1440" w:left="1980" w:header="851" w:footer="992" w:gutter="0"/>
          <w:pgNumType w:start="1"/>
          <w:cols w:space="425"/>
          <w:titlePg/>
          <w:docGrid w:type="lines" w:linePitch="312"/>
        </w:sectPr>
      </w:pPr>
      <w:r>
        <w:rPr>
          <w:rFonts w:ascii="Times New Roman"/>
          <w:szCs w:val="24"/>
        </w:rPr>
        <w:fldChar w:fldCharType="end"/>
      </w:r>
    </w:p>
    <w:p w14:paraId="3F3FBF58" w14:textId="77777777" w:rsidR="00175DB4" w:rsidRDefault="000519D1">
      <w:pPr>
        <w:pStyle w:val="1"/>
        <w:spacing w:line="360" w:lineRule="exact"/>
        <w:rPr>
          <w:rFonts w:eastAsia="宋体"/>
          <w:color w:val="000000"/>
          <w:sz w:val="30"/>
          <w:szCs w:val="30"/>
        </w:rPr>
      </w:pPr>
      <w:bookmarkStart w:id="1" w:name="_Toc86589164"/>
      <w:bookmarkStart w:id="2" w:name="_Toc92531647"/>
      <w:bookmarkStart w:id="3" w:name="_Toc135741003"/>
      <w:r>
        <w:rPr>
          <w:rFonts w:eastAsia="宋体"/>
          <w:color w:val="000000"/>
          <w:sz w:val="30"/>
          <w:szCs w:val="30"/>
        </w:rPr>
        <w:lastRenderedPageBreak/>
        <w:t>一、绪言</w:t>
      </w:r>
      <w:bookmarkEnd w:id="1"/>
      <w:bookmarkEnd w:id="2"/>
      <w:bookmarkEnd w:id="3"/>
    </w:p>
    <w:p w14:paraId="0B9C75CD" w14:textId="77777777" w:rsidR="00175DB4" w:rsidRDefault="000519D1">
      <w:pPr>
        <w:snapToGrid w:val="0"/>
        <w:spacing w:line="360" w:lineRule="auto"/>
        <w:ind w:firstLineChars="200" w:firstLine="420"/>
        <w:rPr>
          <w:color w:val="000000"/>
          <w:szCs w:val="21"/>
        </w:rPr>
      </w:pPr>
      <w:r>
        <w:rPr>
          <w:color w:val="000000"/>
          <w:szCs w:val="21"/>
        </w:rPr>
        <w:t>本基金由景顺长城基金管理有限公司依照《基金法》、《运作办法》、《销售办法》、基金合同及其它有关规定募集。</w:t>
      </w:r>
    </w:p>
    <w:p w14:paraId="0C60035B" w14:textId="46157F0F" w:rsidR="00175DB4" w:rsidRDefault="0064733D">
      <w:pPr>
        <w:tabs>
          <w:tab w:val="left" w:pos="540"/>
        </w:tabs>
        <w:snapToGrid w:val="0"/>
        <w:spacing w:line="360" w:lineRule="auto"/>
        <w:ind w:firstLineChars="200" w:firstLine="420"/>
        <w:rPr>
          <w:color w:val="000000"/>
          <w:szCs w:val="21"/>
        </w:rPr>
      </w:pPr>
      <w:r>
        <w:rPr>
          <w:color w:val="000000"/>
          <w:szCs w:val="21"/>
        </w:rPr>
        <w:t>景顺</w:t>
      </w:r>
      <w:proofErr w:type="gramStart"/>
      <w:r>
        <w:rPr>
          <w:color w:val="000000"/>
          <w:szCs w:val="21"/>
        </w:rPr>
        <w:t>长城国证</w:t>
      </w:r>
      <w:proofErr w:type="gramEnd"/>
      <w:r>
        <w:rPr>
          <w:color w:val="000000"/>
          <w:szCs w:val="21"/>
        </w:rPr>
        <w:t>2000</w:t>
      </w:r>
      <w:r>
        <w:rPr>
          <w:color w:val="000000"/>
          <w:szCs w:val="21"/>
        </w:rPr>
        <w:t>交易型开放式指数证券投资基金</w:t>
      </w:r>
      <w:r w:rsidR="000519D1">
        <w:rPr>
          <w:color w:val="000000"/>
          <w:szCs w:val="21"/>
        </w:rPr>
        <w:t>招募说明书（以下简称</w:t>
      </w:r>
      <w:r w:rsidR="000519D1">
        <w:rPr>
          <w:color w:val="000000"/>
          <w:szCs w:val="21"/>
        </w:rPr>
        <w:t>“</w:t>
      </w:r>
      <w:r w:rsidR="000519D1">
        <w:rPr>
          <w:color w:val="000000"/>
          <w:szCs w:val="21"/>
        </w:rPr>
        <w:t>招募说明书</w:t>
      </w:r>
      <w:r w:rsidR="000519D1">
        <w:rPr>
          <w:color w:val="000000"/>
          <w:szCs w:val="21"/>
        </w:rPr>
        <w:t>”</w:t>
      </w:r>
      <w:r w:rsidR="000519D1">
        <w:rPr>
          <w:color w:val="000000"/>
          <w:szCs w:val="21"/>
        </w:rPr>
        <w:t>或</w:t>
      </w:r>
      <w:r w:rsidR="000519D1">
        <w:rPr>
          <w:color w:val="000000"/>
          <w:szCs w:val="21"/>
        </w:rPr>
        <w:t>“</w:t>
      </w:r>
      <w:r w:rsidR="000519D1">
        <w:rPr>
          <w:color w:val="000000"/>
          <w:szCs w:val="21"/>
        </w:rPr>
        <w:t>本招募说明书</w:t>
      </w:r>
      <w:r w:rsidR="000519D1">
        <w:rPr>
          <w:color w:val="000000"/>
          <w:szCs w:val="21"/>
        </w:rPr>
        <w:t>”</w:t>
      </w:r>
      <w:r w:rsidR="000519D1">
        <w:rPr>
          <w:color w:val="000000"/>
          <w:szCs w:val="21"/>
        </w:rPr>
        <w:t>）依据《基金法》、《运作办法》、《销售办法》、《信息披露办法》</w:t>
      </w:r>
      <w:r w:rsidR="000519D1">
        <w:rPr>
          <w:rFonts w:hint="eastAsia"/>
          <w:color w:val="000000"/>
          <w:szCs w:val="21"/>
        </w:rPr>
        <w:t>、《流动性风险管理规定》、《指数基金指引》等</w:t>
      </w:r>
      <w:r w:rsidR="000519D1">
        <w:rPr>
          <w:color w:val="000000"/>
          <w:szCs w:val="21"/>
        </w:rPr>
        <w:t>相关法律法规以及基金合同等编写。</w:t>
      </w:r>
    </w:p>
    <w:p w14:paraId="5A6D7148" w14:textId="77777777" w:rsidR="00175DB4" w:rsidRDefault="000519D1">
      <w:pPr>
        <w:tabs>
          <w:tab w:val="left" w:pos="540"/>
        </w:tabs>
        <w:snapToGrid w:val="0"/>
        <w:spacing w:line="360" w:lineRule="auto"/>
        <w:ind w:firstLineChars="200" w:firstLine="420"/>
        <w:rPr>
          <w:color w:val="000000"/>
          <w:szCs w:val="21"/>
        </w:rPr>
      </w:pPr>
      <w:r>
        <w:rPr>
          <w:color w:val="000000"/>
          <w:szCs w:val="21"/>
        </w:rPr>
        <w:t>本招募说明书阐述了本基金的投资目标、投资策略、风险、费率、管理等与投资人投资决策有关的全部必要事项，投资人在做出投资决策前应当仔细阅读本招募说明书。</w:t>
      </w:r>
    </w:p>
    <w:p w14:paraId="339FABFA"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F9560FA" w14:textId="77777777" w:rsidR="00175DB4" w:rsidRDefault="000519D1">
      <w:pPr>
        <w:tabs>
          <w:tab w:val="left" w:pos="540"/>
        </w:tabs>
        <w:snapToGrid w:val="0"/>
        <w:spacing w:line="360" w:lineRule="auto"/>
        <w:ind w:firstLineChars="200" w:firstLine="420"/>
        <w:rPr>
          <w:color w:val="000000"/>
          <w:szCs w:val="21"/>
        </w:rPr>
      </w:pPr>
      <w:r>
        <w:rPr>
          <w:color w:val="000000"/>
          <w:szCs w:val="21"/>
        </w:rPr>
        <w:t>本招募说明书根据本基金的基金合同编写，并经中国证监会注册。基金合同是约定基金</w:t>
      </w:r>
      <w:r>
        <w:rPr>
          <w:rFonts w:hint="eastAsia"/>
          <w:color w:val="000000"/>
          <w:szCs w:val="21"/>
        </w:rPr>
        <w:t>合同</w:t>
      </w:r>
      <w:r>
        <w:rPr>
          <w:color w:val="000000"/>
          <w:szCs w:val="21"/>
        </w:rPr>
        <w:t>当事人之间权利、义务的法律文件。基金</w:t>
      </w:r>
      <w:proofErr w:type="gramStart"/>
      <w:r>
        <w:rPr>
          <w:color w:val="000000"/>
          <w:szCs w:val="21"/>
        </w:rPr>
        <w:t>投资人自依基金</w:t>
      </w:r>
      <w:proofErr w:type="gramEnd"/>
      <w:r>
        <w:rPr>
          <w:color w:val="000000"/>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70B61169" w14:textId="77777777" w:rsidR="00175DB4" w:rsidRDefault="00175DB4">
      <w:pPr>
        <w:snapToGrid w:val="0"/>
        <w:spacing w:line="360" w:lineRule="auto"/>
        <w:ind w:firstLineChars="200" w:firstLine="420"/>
        <w:rPr>
          <w:color w:val="FF0000"/>
        </w:rPr>
      </w:pPr>
    </w:p>
    <w:p w14:paraId="13C6EB00" w14:textId="77777777" w:rsidR="00175DB4" w:rsidRDefault="00175DB4">
      <w:pPr>
        <w:snapToGrid w:val="0"/>
        <w:spacing w:line="360" w:lineRule="auto"/>
        <w:ind w:firstLineChars="200" w:firstLine="420"/>
        <w:rPr>
          <w:color w:val="FF0000"/>
        </w:rPr>
      </w:pPr>
    </w:p>
    <w:p w14:paraId="51320A3C" w14:textId="77777777" w:rsidR="00175DB4" w:rsidRDefault="00175DB4">
      <w:pPr>
        <w:spacing w:line="360" w:lineRule="exact"/>
        <w:rPr>
          <w:color w:val="FF0000"/>
        </w:rPr>
      </w:pPr>
    </w:p>
    <w:p w14:paraId="07BF7239" w14:textId="77777777" w:rsidR="00175DB4" w:rsidRDefault="00175DB4">
      <w:pPr>
        <w:spacing w:line="360" w:lineRule="exact"/>
        <w:rPr>
          <w:color w:val="FF0000"/>
        </w:rPr>
      </w:pPr>
    </w:p>
    <w:p w14:paraId="568DA0B0" w14:textId="77777777" w:rsidR="00175DB4" w:rsidRDefault="00175DB4">
      <w:pPr>
        <w:spacing w:line="360" w:lineRule="exact"/>
        <w:rPr>
          <w:color w:val="FF0000"/>
        </w:rPr>
      </w:pPr>
    </w:p>
    <w:p w14:paraId="125A71AF" w14:textId="77777777" w:rsidR="00175DB4" w:rsidRDefault="00175DB4">
      <w:pPr>
        <w:spacing w:line="360" w:lineRule="exact"/>
        <w:rPr>
          <w:color w:val="FF0000"/>
        </w:rPr>
      </w:pPr>
    </w:p>
    <w:p w14:paraId="32C7EFB6" w14:textId="77777777" w:rsidR="00175DB4" w:rsidRDefault="00175DB4">
      <w:pPr>
        <w:spacing w:line="360" w:lineRule="exact"/>
        <w:rPr>
          <w:color w:val="FF0000"/>
        </w:rPr>
      </w:pPr>
    </w:p>
    <w:p w14:paraId="3B43E83E" w14:textId="77777777" w:rsidR="00175DB4" w:rsidRDefault="00175DB4">
      <w:pPr>
        <w:spacing w:line="360" w:lineRule="exact"/>
        <w:rPr>
          <w:color w:val="FF0000"/>
        </w:rPr>
      </w:pPr>
    </w:p>
    <w:p w14:paraId="3731652C" w14:textId="77777777" w:rsidR="00175DB4" w:rsidRDefault="00175DB4">
      <w:pPr>
        <w:spacing w:line="360" w:lineRule="exact"/>
        <w:rPr>
          <w:color w:val="FF0000"/>
        </w:rPr>
      </w:pPr>
    </w:p>
    <w:p w14:paraId="7D0309DE" w14:textId="77777777" w:rsidR="00175DB4" w:rsidRDefault="00175DB4">
      <w:pPr>
        <w:pStyle w:val="1"/>
        <w:rPr>
          <w:rFonts w:eastAsia="宋体"/>
          <w:color w:val="000000"/>
          <w:sz w:val="30"/>
          <w:szCs w:val="30"/>
        </w:rPr>
        <w:sectPr w:rsidR="00175DB4">
          <w:footerReference w:type="default" r:id="rId17"/>
          <w:pgSz w:w="11906" w:h="16838"/>
          <w:pgMar w:top="1440" w:right="1797" w:bottom="1440" w:left="1980" w:header="851" w:footer="992" w:gutter="0"/>
          <w:pgNumType w:start="1"/>
          <w:cols w:space="425"/>
          <w:docGrid w:type="lines" w:linePitch="312"/>
        </w:sectPr>
      </w:pPr>
      <w:bookmarkStart w:id="4" w:name="_Toc86589165"/>
      <w:bookmarkStart w:id="5" w:name="_Toc92531648"/>
    </w:p>
    <w:p w14:paraId="789E9563" w14:textId="77777777" w:rsidR="00175DB4" w:rsidRDefault="000519D1">
      <w:pPr>
        <w:pStyle w:val="1"/>
        <w:spacing w:line="360" w:lineRule="exact"/>
        <w:rPr>
          <w:rFonts w:eastAsia="宋体"/>
          <w:color w:val="000000"/>
          <w:sz w:val="30"/>
          <w:szCs w:val="30"/>
        </w:rPr>
      </w:pPr>
      <w:bookmarkStart w:id="6" w:name="_Toc135741004"/>
      <w:r>
        <w:rPr>
          <w:rFonts w:eastAsia="宋体"/>
          <w:color w:val="000000"/>
          <w:sz w:val="30"/>
          <w:szCs w:val="30"/>
        </w:rPr>
        <w:lastRenderedPageBreak/>
        <w:t>二、释义</w:t>
      </w:r>
      <w:bookmarkEnd w:id="4"/>
      <w:bookmarkEnd w:id="5"/>
      <w:bookmarkEnd w:id="6"/>
    </w:p>
    <w:p w14:paraId="76D5EE06" w14:textId="77777777" w:rsidR="00175DB4" w:rsidRDefault="000519D1">
      <w:pPr>
        <w:tabs>
          <w:tab w:val="left" w:pos="540"/>
        </w:tabs>
        <w:snapToGrid w:val="0"/>
        <w:spacing w:line="360" w:lineRule="auto"/>
        <w:ind w:firstLineChars="200" w:firstLine="420"/>
        <w:rPr>
          <w:color w:val="000000"/>
          <w:szCs w:val="21"/>
        </w:rPr>
      </w:pPr>
      <w:r>
        <w:rPr>
          <w:color w:val="000000"/>
          <w:szCs w:val="21"/>
        </w:rPr>
        <w:t>在本招募说明书中，除非文义另有所指，下列词语或简称具有以下含义：</w:t>
      </w:r>
    </w:p>
    <w:p w14:paraId="08194E26" w14:textId="41B84009" w:rsidR="00175DB4" w:rsidRDefault="000519D1">
      <w:pPr>
        <w:tabs>
          <w:tab w:val="left" w:pos="540"/>
        </w:tabs>
        <w:snapToGrid w:val="0"/>
        <w:spacing w:line="360" w:lineRule="auto"/>
        <w:ind w:firstLineChars="200" w:firstLine="420"/>
        <w:rPr>
          <w:color w:val="000000"/>
          <w:szCs w:val="21"/>
        </w:rPr>
      </w:pPr>
      <w:r>
        <w:rPr>
          <w:color w:val="000000"/>
          <w:szCs w:val="21"/>
        </w:rPr>
        <w:t>1</w:t>
      </w:r>
      <w:r>
        <w:rPr>
          <w:rFonts w:hint="eastAsia"/>
          <w:color w:val="000000"/>
          <w:szCs w:val="21"/>
        </w:rPr>
        <w:t>、</w:t>
      </w:r>
      <w:r>
        <w:rPr>
          <w:color w:val="000000"/>
          <w:szCs w:val="21"/>
        </w:rPr>
        <w:t>基金或本基金：</w:t>
      </w:r>
      <w:proofErr w:type="gramStart"/>
      <w:r>
        <w:rPr>
          <w:color w:val="000000"/>
          <w:szCs w:val="21"/>
        </w:rPr>
        <w:t>指</w:t>
      </w:r>
      <w:r w:rsidR="0064733D">
        <w:rPr>
          <w:rFonts w:hint="eastAsia"/>
          <w:color w:val="000000"/>
          <w:szCs w:val="21"/>
        </w:rPr>
        <w:t>景顺长城国证</w:t>
      </w:r>
      <w:proofErr w:type="gramEnd"/>
      <w:r w:rsidR="0064733D">
        <w:rPr>
          <w:rFonts w:hint="eastAsia"/>
          <w:color w:val="000000"/>
          <w:szCs w:val="21"/>
        </w:rPr>
        <w:t>2000</w:t>
      </w:r>
      <w:r w:rsidR="0064733D">
        <w:rPr>
          <w:rFonts w:hint="eastAsia"/>
          <w:color w:val="000000"/>
          <w:szCs w:val="21"/>
        </w:rPr>
        <w:t>交易型开放式指数证券投资基金</w:t>
      </w:r>
    </w:p>
    <w:p w14:paraId="4DD7C5EB"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rFonts w:hint="eastAsia"/>
          <w:color w:val="000000"/>
          <w:szCs w:val="21"/>
        </w:rPr>
        <w:t>、</w:t>
      </w:r>
      <w:r>
        <w:rPr>
          <w:color w:val="000000"/>
          <w:szCs w:val="21"/>
        </w:rPr>
        <w:t>基金管理人：指</w:t>
      </w:r>
      <w:r>
        <w:rPr>
          <w:rFonts w:hint="eastAsia"/>
          <w:color w:val="000000"/>
          <w:szCs w:val="21"/>
        </w:rPr>
        <w:t>景顺长城基金管理有限公司</w:t>
      </w:r>
    </w:p>
    <w:p w14:paraId="69D0B876" w14:textId="547D6E16" w:rsidR="00175DB4" w:rsidRDefault="000519D1">
      <w:pPr>
        <w:tabs>
          <w:tab w:val="left" w:pos="540"/>
        </w:tabs>
        <w:snapToGrid w:val="0"/>
        <w:spacing w:line="360" w:lineRule="auto"/>
        <w:ind w:firstLineChars="200" w:firstLine="420"/>
        <w:rPr>
          <w:color w:val="000000"/>
          <w:szCs w:val="21"/>
        </w:rPr>
      </w:pPr>
      <w:r>
        <w:rPr>
          <w:color w:val="000000"/>
          <w:szCs w:val="21"/>
        </w:rPr>
        <w:t>3</w:t>
      </w:r>
      <w:r>
        <w:rPr>
          <w:rFonts w:hint="eastAsia"/>
          <w:color w:val="000000"/>
          <w:szCs w:val="21"/>
        </w:rPr>
        <w:t>、</w:t>
      </w:r>
      <w:r>
        <w:rPr>
          <w:color w:val="000000"/>
          <w:szCs w:val="21"/>
        </w:rPr>
        <w:t>基金托管人：指</w:t>
      </w:r>
      <w:r w:rsidR="004E21A4" w:rsidRPr="004E21A4">
        <w:rPr>
          <w:rFonts w:hint="eastAsia"/>
          <w:color w:val="000000"/>
          <w:szCs w:val="21"/>
        </w:rPr>
        <w:t>广发证券股份有限公司</w:t>
      </w:r>
    </w:p>
    <w:p w14:paraId="07417CE2" w14:textId="6AF53382" w:rsidR="00175DB4" w:rsidRDefault="000519D1">
      <w:pPr>
        <w:tabs>
          <w:tab w:val="left" w:pos="540"/>
        </w:tabs>
        <w:snapToGrid w:val="0"/>
        <w:spacing w:line="360" w:lineRule="auto"/>
        <w:ind w:firstLineChars="200" w:firstLine="420"/>
        <w:rPr>
          <w:color w:val="000000"/>
          <w:szCs w:val="21"/>
        </w:rPr>
      </w:pPr>
      <w:r>
        <w:rPr>
          <w:color w:val="000000"/>
          <w:szCs w:val="21"/>
        </w:rPr>
        <w:t>4</w:t>
      </w:r>
      <w:r>
        <w:rPr>
          <w:rFonts w:hint="eastAsia"/>
          <w:color w:val="000000"/>
          <w:szCs w:val="21"/>
        </w:rPr>
        <w:t>、</w:t>
      </w:r>
      <w:r>
        <w:rPr>
          <w:color w:val="000000"/>
          <w:szCs w:val="21"/>
        </w:rPr>
        <w:t>基金合同：指《</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color w:val="000000"/>
          <w:szCs w:val="21"/>
        </w:rPr>
        <w:t>基金合同》及对基金合同的任何有效修订和补充</w:t>
      </w:r>
    </w:p>
    <w:p w14:paraId="7660A0CC" w14:textId="5BC5E32F" w:rsidR="00175DB4" w:rsidRDefault="000519D1">
      <w:pPr>
        <w:tabs>
          <w:tab w:val="left" w:pos="540"/>
        </w:tabs>
        <w:snapToGrid w:val="0"/>
        <w:spacing w:line="360" w:lineRule="auto"/>
        <w:ind w:firstLineChars="200" w:firstLine="420"/>
        <w:rPr>
          <w:color w:val="000000"/>
          <w:szCs w:val="21"/>
        </w:rPr>
      </w:pPr>
      <w:r>
        <w:rPr>
          <w:color w:val="000000"/>
          <w:szCs w:val="21"/>
        </w:rPr>
        <w:t>5</w:t>
      </w:r>
      <w:r>
        <w:rPr>
          <w:rFonts w:hint="eastAsia"/>
          <w:color w:val="000000"/>
          <w:szCs w:val="21"/>
        </w:rPr>
        <w:t>、</w:t>
      </w:r>
      <w:r>
        <w:rPr>
          <w:color w:val="000000"/>
          <w:szCs w:val="21"/>
        </w:rPr>
        <w:t>托管协议：指基金管理人与基金托管人就本基金签订之《</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color w:val="000000"/>
          <w:szCs w:val="21"/>
        </w:rPr>
        <w:t>托管协议》及对该托管协议的任何有效修订和补充</w:t>
      </w:r>
    </w:p>
    <w:p w14:paraId="7405A2E0" w14:textId="51A95DB6" w:rsidR="00175DB4" w:rsidRDefault="000519D1">
      <w:pPr>
        <w:tabs>
          <w:tab w:val="left" w:pos="540"/>
        </w:tabs>
        <w:snapToGrid w:val="0"/>
        <w:spacing w:line="360" w:lineRule="auto"/>
        <w:ind w:firstLineChars="200" w:firstLine="420"/>
        <w:rPr>
          <w:color w:val="000000"/>
          <w:szCs w:val="21"/>
        </w:rPr>
      </w:pPr>
      <w:r>
        <w:rPr>
          <w:color w:val="000000"/>
          <w:szCs w:val="21"/>
        </w:rPr>
        <w:t>6</w:t>
      </w:r>
      <w:r>
        <w:rPr>
          <w:rFonts w:hint="eastAsia"/>
          <w:color w:val="000000"/>
          <w:szCs w:val="21"/>
        </w:rPr>
        <w:t>、</w:t>
      </w:r>
      <w:r>
        <w:rPr>
          <w:color w:val="000000"/>
          <w:szCs w:val="21"/>
        </w:rPr>
        <w:t>招募说明书</w:t>
      </w:r>
      <w:r>
        <w:rPr>
          <w:rFonts w:hint="eastAsia"/>
          <w:color w:val="000000"/>
          <w:szCs w:val="21"/>
        </w:rPr>
        <w:t>或本招募说明书</w:t>
      </w:r>
      <w:r>
        <w:rPr>
          <w:color w:val="000000"/>
          <w:szCs w:val="21"/>
        </w:rPr>
        <w:t>：指《</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color w:val="000000"/>
          <w:szCs w:val="21"/>
        </w:rPr>
        <w:t>招募说明书》及其更新</w:t>
      </w:r>
    </w:p>
    <w:p w14:paraId="17465374" w14:textId="697CEE93" w:rsidR="00175DB4" w:rsidRDefault="000519D1">
      <w:pPr>
        <w:tabs>
          <w:tab w:val="left" w:pos="540"/>
        </w:tabs>
        <w:snapToGrid w:val="0"/>
        <w:spacing w:line="360" w:lineRule="auto"/>
        <w:ind w:firstLineChars="200" w:firstLine="420"/>
        <w:rPr>
          <w:color w:val="000000"/>
          <w:szCs w:val="21"/>
        </w:rPr>
      </w:pPr>
      <w:r>
        <w:rPr>
          <w:rFonts w:hint="eastAsia"/>
          <w:color w:val="000000"/>
          <w:szCs w:val="21"/>
        </w:rPr>
        <w:t>7</w:t>
      </w:r>
      <w:r>
        <w:rPr>
          <w:rFonts w:hint="eastAsia"/>
          <w:color w:val="000000"/>
          <w:szCs w:val="21"/>
        </w:rPr>
        <w:t>、基金产品资料概要：指《</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rFonts w:hint="eastAsia"/>
          <w:color w:val="000000"/>
          <w:szCs w:val="21"/>
        </w:rPr>
        <w:t>基金产品资料概要》及其更新</w:t>
      </w:r>
    </w:p>
    <w:p w14:paraId="7FFC4827" w14:textId="47505C09" w:rsidR="00175DB4" w:rsidRDefault="000519D1">
      <w:pPr>
        <w:spacing w:line="360" w:lineRule="auto"/>
        <w:ind w:firstLineChars="200" w:firstLine="420"/>
        <w:rPr>
          <w:color w:val="000000"/>
          <w:szCs w:val="21"/>
        </w:rPr>
      </w:pPr>
      <w:r>
        <w:rPr>
          <w:color w:val="000000"/>
          <w:szCs w:val="21"/>
        </w:rPr>
        <w:t>8</w:t>
      </w:r>
      <w:r>
        <w:rPr>
          <w:rFonts w:hint="eastAsia"/>
          <w:color w:val="000000"/>
          <w:szCs w:val="21"/>
        </w:rPr>
        <w:t>、基金份额发售公告：指《</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rFonts w:hint="eastAsia"/>
          <w:color w:val="000000"/>
          <w:szCs w:val="21"/>
        </w:rPr>
        <w:t>基金份额发售公告》</w:t>
      </w:r>
    </w:p>
    <w:p w14:paraId="0C68F728" w14:textId="70E7AF97" w:rsidR="00175DB4" w:rsidRDefault="000519D1">
      <w:pPr>
        <w:widowControl/>
        <w:autoSpaceDE w:val="0"/>
        <w:autoSpaceDN w:val="0"/>
        <w:adjustRightInd w:val="0"/>
        <w:spacing w:line="360" w:lineRule="auto"/>
        <w:ind w:firstLine="420"/>
        <w:jc w:val="left"/>
        <w:rPr>
          <w:color w:val="000000"/>
          <w:szCs w:val="21"/>
        </w:rPr>
      </w:pPr>
      <w:r>
        <w:rPr>
          <w:color w:val="000000"/>
          <w:szCs w:val="21"/>
        </w:rPr>
        <w:t>9</w:t>
      </w:r>
      <w:r>
        <w:rPr>
          <w:rFonts w:hint="eastAsia"/>
          <w:color w:val="000000"/>
          <w:szCs w:val="21"/>
        </w:rPr>
        <w:t>、上市交易公告书：指《</w:t>
      </w:r>
      <w:r w:rsidR="0064733D">
        <w:rPr>
          <w:rFonts w:hint="eastAsia"/>
          <w:color w:val="000000"/>
          <w:szCs w:val="21"/>
        </w:rPr>
        <w:t>景顺长城国证</w:t>
      </w:r>
      <w:r w:rsidR="0064733D">
        <w:rPr>
          <w:rFonts w:hint="eastAsia"/>
          <w:color w:val="000000"/>
          <w:szCs w:val="21"/>
        </w:rPr>
        <w:t>2000</w:t>
      </w:r>
      <w:r w:rsidR="0064733D">
        <w:rPr>
          <w:rFonts w:hint="eastAsia"/>
          <w:color w:val="000000"/>
          <w:szCs w:val="21"/>
        </w:rPr>
        <w:t>交易型开放式指数证券投资基金</w:t>
      </w:r>
      <w:r>
        <w:rPr>
          <w:rFonts w:hint="eastAsia"/>
          <w:color w:val="000000"/>
          <w:szCs w:val="21"/>
        </w:rPr>
        <w:t>基金份额上市交易公告书》</w:t>
      </w:r>
    </w:p>
    <w:p w14:paraId="31DE7E18" w14:textId="77777777" w:rsidR="00175DB4" w:rsidRDefault="000519D1">
      <w:pPr>
        <w:spacing w:line="360" w:lineRule="auto"/>
        <w:ind w:firstLineChars="200" w:firstLine="420"/>
        <w:rPr>
          <w:color w:val="000000"/>
          <w:szCs w:val="21"/>
        </w:rPr>
      </w:pPr>
      <w:r>
        <w:rPr>
          <w:color w:val="000000"/>
          <w:szCs w:val="21"/>
        </w:rPr>
        <w:t>10</w:t>
      </w:r>
      <w:r>
        <w:rPr>
          <w:rFonts w:hint="eastAsia"/>
          <w:color w:val="000000"/>
          <w:szCs w:val="21"/>
        </w:rPr>
        <w:t>、法律法规：指中国现行有效并公布实施的法律、行政法规、规范性文件、司法解释、行政规章以及其他对基金合同当事人有约束力的决定、决议、通知等</w:t>
      </w:r>
    </w:p>
    <w:p w14:paraId="3F9819EA" w14:textId="48AFE380" w:rsidR="00175DB4" w:rsidRDefault="000519D1">
      <w:pPr>
        <w:spacing w:line="360" w:lineRule="auto"/>
        <w:ind w:firstLineChars="200" w:firstLine="420"/>
        <w:rPr>
          <w:color w:val="000000"/>
          <w:szCs w:val="21"/>
        </w:rPr>
      </w:pPr>
      <w:r>
        <w:rPr>
          <w:color w:val="000000"/>
          <w:szCs w:val="21"/>
        </w:rPr>
        <w:t>11</w:t>
      </w:r>
      <w:r>
        <w:rPr>
          <w:rFonts w:hint="eastAsia"/>
          <w:color w:val="000000"/>
          <w:szCs w:val="21"/>
        </w:rPr>
        <w:t>、《基金法》：指</w:t>
      </w:r>
      <w:r>
        <w:rPr>
          <w:color w:val="000000"/>
          <w:szCs w:val="21"/>
        </w:rPr>
        <w:t>2003</w:t>
      </w:r>
      <w:r>
        <w:rPr>
          <w:rFonts w:hint="eastAsia"/>
          <w:color w:val="000000"/>
          <w:szCs w:val="21"/>
        </w:rPr>
        <w:t>年</w:t>
      </w:r>
      <w:r>
        <w:rPr>
          <w:color w:val="000000"/>
          <w:szCs w:val="21"/>
        </w:rPr>
        <w:t>10</w:t>
      </w:r>
      <w:r>
        <w:rPr>
          <w:rFonts w:hint="eastAsia"/>
          <w:color w:val="000000"/>
          <w:szCs w:val="21"/>
        </w:rPr>
        <w:t>月</w:t>
      </w:r>
      <w:r>
        <w:rPr>
          <w:color w:val="000000"/>
          <w:szCs w:val="21"/>
        </w:rPr>
        <w:t>28</w:t>
      </w:r>
      <w:r>
        <w:rPr>
          <w:rFonts w:hint="eastAsia"/>
          <w:color w:val="000000"/>
          <w:szCs w:val="21"/>
        </w:rPr>
        <w:t>日经第十届全国人民代表大会常务委员会第五次会议通过，经</w:t>
      </w:r>
      <w:r>
        <w:rPr>
          <w:color w:val="000000"/>
          <w:szCs w:val="21"/>
        </w:rPr>
        <w:t>2012</w:t>
      </w:r>
      <w:r>
        <w:rPr>
          <w:rFonts w:hint="eastAsia"/>
          <w:color w:val="000000"/>
          <w:szCs w:val="21"/>
        </w:rPr>
        <w:t>年</w:t>
      </w:r>
      <w:r>
        <w:rPr>
          <w:color w:val="000000"/>
          <w:szCs w:val="21"/>
        </w:rPr>
        <w:t>12</w:t>
      </w:r>
      <w:r>
        <w:rPr>
          <w:rFonts w:hint="eastAsia"/>
          <w:color w:val="000000"/>
          <w:szCs w:val="21"/>
        </w:rPr>
        <w:t>月</w:t>
      </w:r>
      <w:r>
        <w:rPr>
          <w:color w:val="000000"/>
          <w:szCs w:val="21"/>
        </w:rPr>
        <w:t>28</w:t>
      </w:r>
      <w:r>
        <w:rPr>
          <w:rFonts w:hint="eastAsia"/>
          <w:color w:val="000000"/>
          <w:szCs w:val="21"/>
        </w:rPr>
        <w:t>日第十一届全国人民代表大会常务委员会第三十次会议修订</w:t>
      </w:r>
      <w:r w:rsidR="009F6254">
        <w:rPr>
          <w:rFonts w:hint="eastAsia"/>
          <w:color w:val="000000"/>
          <w:szCs w:val="21"/>
        </w:rPr>
        <w:t>，</w:t>
      </w:r>
      <w:r>
        <w:rPr>
          <w:rFonts w:hint="eastAsia"/>
          <w:color w:val="000000"/>
          <w:szCs w:val="21"/>
        </w:rPr>
        <w:t>自</w:t>
      </w:r>
      <w:r>
        <w:rPr>
          <w:color w:val="000000"/>
          <w:szCs w:val="21"/>
        </w:rPr>
        <w:t>2013</w:t>
      </w:r>
      <w:r>
        <w:rPr>
          <w:rFonts w:hint="eastAsia"/>
          <w:color w:val="000000"/>
          <w:szCs w:val="21"/>
        </w:rPr>
        <w:t>年</w:t>
      </w:r>
      <w:r>
        <w:rPr>
          <w:color w:val="000000"/>
          <w:szCs w:val="21"/>
        </w:rPr>
        <w:t>6</w:t>
      </w:r>
      <w:r>
        <w:rPr>
          <w:rFonts w:hint="eastAsia"/>
          <w:color w:val="000000"/>
          <w:szCs w:val="21"/>
        </w:rPr>
        <w:t>月</w:t>
      </w:r>
      <w:r>
        <w:rPr>
          <w:color w:val="000000"/>
          <w:szCs w:val="21"/>
        </w:rPr>
        <w:t>1</w:t>
      </w:r>
      <w:r>
        <w:rPr>
          <w:rFonts w:hint="eastAsia"/>
          <w:color w:val="000000"/>
          <w:szCs w:val="21"/>
        </w:rPr>
        <w:t>日</w:t>
      </w:r>
      <w:r w:rsidR="000051A4">
        <w:rPr>
          <w:rFonts w:hint="eastAsia"/>
          <w:color w:val="000000"/>
          <w:szCs w:val="21"/>
        </w:rPr>
        <w:t>起</w:t>
      </w:r>
      <w:r>
        <w:rPr>
          <w:rFonts w:hint="eastAsia"/>
          <w:color w:val="000000"/>
          <w:szCs w:val="21"/>
        </w:rPr>
        <w:t>实施，并经</w:t>
      </w:r>
      <w:r>
        <w:rPr>
          <w:color w:val="000000"/>
          <w:szCs w:val="21"/>
        </w:rPr>
        <w:t>2015</w:t>
      </w:r>
      <w:r>
        <w:rPr>
          <w:rFonts w:hint="eastAsia"/>
          <w:color w:val="000000"/>
          <w:szCs w:val="21"/>
        </w:rPr>
        <w:t>年</w:t>
      </w:r>
      <w:r>
        <w:rPr>
          <w:color w:val="000000"/>
          <w:szCs w:val="21"/>
        </w:rPr>
        <w:t>4</w:t>
      </w:r>
      <w:r>
        <w:rPr>
          <w:rFonts w:hint="eastAsia"/>
          <w:color w:val="000000"/>
          <w:szCs w:val="21"/>
        </w:rPr>
        <w:t>月</w:t>
      </w:r>
      <w:r>
        <w:rPr>
          <w:color w:val="000000"/>
          <w:szCs w:val="21"/>
        </w:rPr>
        <w:t>24</w:t>
      </w:r>
      <w:r>
        <w:rPr>
          <w:rFonts w:hint="eastAsia"/>
          <w:color w:val="000000"/>
          <w:szCs w:val="21"/>
        </w:rPr>
        <w:t>日第十二届全国人民代表大会常务委员会第十四次会议《全国人民代表大会常务委员会关于修改</w:t>
      </w:r>
      <w:r>
        <w:rPr>
          <w:color w:val="000000"/>
          <w:szCs w:val="21"/>
        </w:rPr>
        <w:t>&lt;</w:t>
      </w:r>
      <w:r>
        <w:rPr>
          <w:rFonts w:hint="eastAsia"/>
          <w:color w:val="000000"/>
          <w:szCs w:val="21"/>
        </w:rPr>
        <w:t>中华人民共和国港口法</w:t>
      </w:r>
      <w:r>
        <w:rPr>
          <w:color w:val="000000"/>
          <w:szCs w:val="21"/>
        </w:rPr>
        <w:t>&gt;</w:t>
      </w:r>
      <w:r>
        <w:rPr>
          <w:rFonts w:hint="eastAsia"/>
          <w:color w:val="000000"/>
          <w:szCs w:val="21"/>
        </w:rPr>
        <w:t>等七部法律的决定》修正的《中华人民共和国证券投资基金法》及颁布机关对其不时做出的修订</w:t>
      </w:r>
    </w:p>
    <w:p w14:paraId="4926EC84" w14:textId="77777777" w:rsidR="00175DB4" w:rsidRDefault="000519D1">
      <w:pPr>
        <w:spacing w:line="360" w:lineRule="auto"/>
        <w:ind w:firstLineChars="200" w:firstLine="420"/>
        <w:rPr>
          <w:color w:val="000000"/>
          <w:szCs w:val="21"/>
        </w:rPr>
      </w:pPr>
      <w:r>
        <w:rPr>
          <w:color w:val="000000"/>
          <w:szCs w:val="21"/>
        </w:rPr>
        <w:t>12</w:t>
      </w:r>
      <w:r>
        <w:rPr>
          <w:rFonts w:hint="eastAsia"/>
          <w:color w:val="000000"/>
          <w:szCs w:val="21"/>
        </w:rPr>
        <w:t>、《销售办法》：指中国证监会</w:t>
      </w:r>
      <w:r>
        <w:rPr>
          <w:color w:val="000000"/>
          <w:szCs w:val="21"/>
        </w:rPr>
        <w:t>2020</w:t>
      </w:r>
      <w:r>
        <w:rPr>
          <w:rFonts w:hint="eastAsia"/>
          <w:color w:val="000000"/>
          <w:szCs w:val="21"/>
        </w:rPr>
        <w:t>年</w:t>
      </w:r>
      <w:r>
        <w:rPr>
          <w:color w:val="000000"/>
          <w:szCs w:val="21"/>
        </w:rPr>
        <w:t>8</w:t>
      </w:r>
      <w:r>
        <w:rPr>
          <w:rFonts w:hint="eastAsia"/>
          <w:color w:val="000000"/>
          <w:szCs w:val="21"/>
        </w:rPr>
        <w:t>月</w:t>
      </w:r>
      <w:r>
        <w:rPr>
          <w:color w:val="000000"/>
          <w:szCs w:val="21"/>
        </w:rPr>
        <w:t>28</w:t>
      </w:r>
      <w:r>
        <w:rPr>
          <w:rFonts w:hint="eastAsia"/>
          <w:color w:val="000000"/>
          <w:szCs w:val="21"/>
        </w:rPr>
        <w:t>日颁布、同年</w:t>
      </w:r>
      <w:r>
        <w:rPr>
          <w:color w:val="000000"/>
          <w:szCs w:val="21"/>
        </w:rPr>
        <w:t>10</w:t>
      </w:r>
      <w:r>
        <w:rPr>
          <w:rFonts w:hint="eastAsia"/>
          <w:color w:val="000000"/>
          <w:szCs w:val="21"/>
        </w:rPr>
        <w:t>月</w:t>
      </w:r>
      <w:r>
        <w:rPr>
          <w:color w:val="000000"/>
          <w:szCs w:val="21"/>
        </w:rPr>
        <w:t>1</w:t>
      </w:r>
      <w:r>
        <w:rPr>
          <w:rFonts w:hint="eastAsia"/>
          <w:color w:val="000000"/>
          <w:szCs w:val="21"/>
        </w:rPr>
        <w:t>日实施的《公开募集证券投资基金销售机构监督管理办法》及颁布机关对其不时做出的修订</w:t>
      </w:r>
    </w:p>
    <w:p w14:paraId="754C5ADE" w14:textId="77777777" w:rsidR="00175DB4" w:rsidRDefault="000519D1">
      <w:pPr>
        <w:spacing w:line="360" w:lineRule="auto"/>
        <w:ind w:firstLineChars="200" w:firstLine="420"/>
        <w:rPr>
          <w:color w:val="000000"/>
          <w:szCs w:val="21"/>
        </w:rPr>
      </w:pPr>
      <w:r>
        <w:rPr>
          <w:color w:val="000000"/>
          <w:szCs w:val="21"/>
        </w:rPr>
        <w:t>13</w:t>
      </w:r>
      <w:r>
        <w:rPr>
          <w:rFonts w:hint="eastAsia"/>
          <w:color w:val="000000"/>
          <w:szCs w:val="21"/>
        </w:rPr>
        <w:t>、《信息披露办法》：指中国证监会</w:t>
      </w:r>
      <w:r>
        <w:rPr>
          <w:color w:val="000000"/>
          <w:szCs w:val="21"/>
        </w:rPr>
        <w:t>2019</w:t>
      </w:r>
      <w:r>
        <w:rPr>
          <w:rFonts w:hint="eastAsia"/>
          <w:color w:val="000000"/>
          <w:szCs w:val="21"/>
        </w:rPr>
        <w:t>年</w:t>
      </w:r>
      <w:r>
        <w:rPr>
          <w:color w:val="000000"/>
          <w:szCs w:val="21"/>
        </w:rPr>
        <w:t>7</w:t>
      </w:r>
      <w:r>
        <w:rPr>
          <w:rFonts w:hint="eastAsia"/>
          <w:color w:val="000000"/>
          <w:szCs w:val="21"/>
        </w:rPr>
        <w:t>月</w:t>
      </w:r>
      <w:r>
        <w:rPr>
          <w:color w:val="000000"/>
          <w:szCs w:val="21"/>
        </w:rPr>
        <w:t>26</w:t>
      </w:r>
      <w:r>
        <w:rPr>
          <w:rFonts w:hint="eastAsia"/>
          <w:color w:val="000000"/>
          <w:szCs w:val="21"/>
        </w:rPr>
        <w:t>日颁布、同年</w:t>
      </w:r>
      <w:r>
        <w:rPr>
          <w:color w:val="000000"/>
          <w:szCs w:val="21"/>
        </w:rPr>
        <w:t>9</w:t>
      </w:r>
      <w:r>
        <w:rPr>
          <w:rFonts w:hint="eastAsia"/>
          <w:color w:val="000000"/>
          <w:szCs w:val="21"/>
        </w:rPr>
        <w:t>月</w:t>
      </w:r>
      <w:r>
        <w:rPr>
          <w:color w:val="000000"/>
          <w:szCs w:val="21"/>
        </w:rPr>
        <w:t>1</w:t>
      </w:r>
      <w:r>
        <w:rPr>
          <w:rFonts w:hint="eastAsia"/>
          <w:color w:val="000000"/>
          <w:szCs w:val="21"/>
        </w:rPr>
        <w:t>日实施的，并经</w:t>
      </w:r>
      <w:r>
        <w:rPr>
          <w:color w:val="000000"/>
          <w:szCs w:val="21"/>
        </w:rPr>
        <w:t>2020</w:t>
      </w:r>
      <w:r>
        <w:rPr>
          <w:rFonts w:hint="eastAsia"/>
          <w:color w:val="000000"/>
          <w:szCs w:val="21"/>
        </w:rPr>
        <w:t>年</w:t>
      </w:r>
      <w:r>
        <w:rPr>
          <w:color w:val="000000"/>
          <w:szCs w:val="21"/>
        </w:rPr>
        <w:t>3</w:t>
      </w:r>
      <w:r>
        <w:rPr>
          <w:rFonts w:hint="eastAsia"/>
          <w:color w:val="000000"/>
          <w:szCs w:val="21"/>
        </w:rPr>
        <w:t>月</w:t>
      </w:r>
      <w:r>
        <w:rPr>
          <w:color w:val="000000"/>
          <w:szCs w:val="21"/>
        </w:rPr>
        <w:t>20</w:t>
      </w:r>
      <w:r>
        <w:rPr>
          <w:rFonts w:hint="eastAsia"/>
          <w:color w:val="000000"/>
          <w:szCs w:val="21"/>
        </w:rPr>
        <w:t>日中国证监会《关于修改部分证券期货规章的决定》修正的《公开募集证券投资基金信息披露管理办法》及颁布机关对其不时做出的修订</w:t>
      </w:r>
    </w:p>
    <w:p w14:paraId="0D46EB77" w14:textId="77777777" w:rsidR="00175DB4" w:rsidRDefault="000519D1">
      <w:pPr>
        <w:spacing w:line="360" w:lineRule="auto"/>
        <w:ind w:firstLineChars="200" w:firstLine="420"/>
        <w:rPr>
          <w:color w:val="000000"/>
          <w:szCs w:val="21"/>
        </w:rPr>
      </w:pPr>
      <w:r>
        <w:rPr>
          <w:color w:val="000000"/>
          <w:szCs w:val="21"/>
        </w:rPr>
        <w:t>14</w:t>
      </w:r>
      <w:r>
        <w:rPr>
          <w:rFonts w:hint="eastAsia"/>
          <w:color w:val="000000"/>
          <w:szCs w:val="21"/>
        </w:rPr>
        <w:t>、《运作办法》：指中国证监会</w:t>
      </w:r>
      <w:r>
        <w:rPr>
          <w:color w:val="000000"/>
          <w:szCs w:val="21"/>
        </w:rPr>
        <w:t>2014</w:t>
      </w:r>
      <w:r>
        <w:rPr>
          <w:rFonts w:hint="eastAsia"/>
          <w:color w:val="000000"/>
          <w:szCs w:val="21"/>
        </w:rPr>
        <w:t>年</w:t>
      </w:r>
      <w:r>
        <w:rPr>
          <w:color w:val="000000"/>
          <w:szCs w:val="21"/>
        </w:rPr>
        <w:t>7</w:t>
      </w:r>
      <w:r>
        <w:rPr>
          <w:rFonts w:hint="eastAsia"/>
          <w:color w:val="000000"/>
          <w:szCs w:val="21"/>
        </w:rPr>
        <w:t>月</w:t>
      </w:r>
      <w:r>
        <w:rPr>
          <w:color w:val="000000"/>
          <w:szCs w:val="21"/>
        </w:rPr>
        <w:t>7</w:t>
      </w:r>
      <w:r>
        <w:rPr>
          <w:rFonts w:hint="eastAsia"/>
          <w:color w:val="000000"/>
          <w:szCs w:val="21"/>
        </w:rPr>
        <w:t>日颁布、同年</w:t>
      </w:r>
      <w:r>
        <w:rPr>
          <w:color w:val="000000"/>
          <w:szCs w:val="21"/>
        </w:rPr>
        <w:t>8</w:t>
      </w:r>
      <w:r>
        <w:rPr>
          <w:rFonts w:hint="eastAsia"/>
          <w:color w:val="000000"/>
          <w:szCs w:val="21"/>
        </w:rPr>
        <w:t>月</w:t>
      </w:r>
      <w:r>
        <w:rPr>
          <w:color w:val="000000"/>
          <w:szCs w:val="21"/>
        </w:rPr>
        <w:t>8</w:t>
      </w:r>
      <w:r>
        <w:rPr>
          <w:rFonts w:hint="eastAsia"/>
          <w:color w:val="000000"/>
          <w:szCs w:val="21"/>
        </w:rPr>
        <w:t>日实施的《公开</w:t>
      </w:r>
      <w:r>
        <w:rPr>
          <w:rFonts w:hint="eastAsia"/>
          <w:color w:val="000000"/>
          <w:szCs w:val="21"/>
        </w:rPr>
        <w:lastRenderedPageBreak/>
        <w:t>募集证券投资基金运作管理办法》及颁布机关对其不时做出的修订</w:t>
      </w:r>
    </w:p>
    <w:p w14:paraId="74C3EE99" w14:textId="77777777" w:rsidR="00175DB4" w:rsidRDefault="000519D1">
      <w:pPr>
        <w:spacing w:line="360" w:lineRule="auto"/>
        <w:ind w:firstLineChars="200" w:firstLine="420"/>
        <w:rPr>
          <w:color w:val="000000"/>
          <w:szCs w:val="21"/>
        </w:rPr>
      </w:pPr>
      <w:bookmarkStart w:id="7" w:name="_Hlk4881796"/>
      <w:r>
        <w:rPr>
          <w:color w:val="000000"/>
          <w:szCs w:val="21"/>
        </w:rPr>
        <w:t>15</w:t>
      </w:r>
      <w:r>
        <w:rPr>
          <w:rFonts w:hint="eastAsia"/>
          <w:color w:val="000000"/>
          <w:szCs w:val="21"/>
        </w:rPr>
        <w:t>、《流动性风险管理规定》：指中国证监会</w:t>
      </w:r>
      <w:r>
        <w:rPr>
          <w:color w:val="000000"/>
          <w:szCs w:val="21"/>
        </w:rPr>
        <w:t>2017</w:t>
      </w:r>
      <w:r>
        <w:rPr>
          <w:rFonts w:hint="eastAsia"/>
          <w:color w:val="000000"/>
          <w:szCs w:val="21"/>
        </w:rPr>
        <w:t>年</w:t>
      </w:r>
      <w:r>
        <w:rPr>
          <w:color w:val="000000"/>
          <w:szCs w:val="21"/>
        </w:rPr>
        <w:t>8</w:t>
      </w:r>
      <w:r>
        <w:rPr>
          <w:rFonts w:hint="eastAsia"/>
          <w:color w:val="000000"/>
          <w:szCs w:val="21"/>
        </w:rPr>
        <w:t>月</w:t>
      </w:r>
      <w:r>
        <w:rPr>
          <w:color w:val="000000"/>
          <w:szCs w:val="21"/>
        </w:rPr>
        <w:t>31</w:t>
      </w:r>
      <w:r>
        <w:rPr>
          <w:rFonts w:hint="eastAsia"/>
          <w:color w:val="000000"/>
          <w:szCs w:val="21"/>
        </w:rPr>
        <w:t>日颁布、同年</w:t>
      </w:r>
      <w:r>
        <w:rPr>
          <w:color w:val="000000"/>
          <w:szCs w:val="21"/>
        </w:rPr>
        <w:t>10</w:t>
      </w:r>
      <w:r>
        <w:rPr>
          <w:rFonts w:hint="eastAsia"/>
          <w:color w:val="000000"/>
          <w:szCs w:val="21"/>
        </w:rPr>
        <w:t>月</w:t>
      </w:r>
      <w:r>
        <w:rPr>
          <w:color w:val="000000"/>
          <w:szCs w:val="21"/>
        </w:rPr>
        <w:t>1</w:t>
      </w:r>
      <w:r>
        <w:rPr>
          <w:rFonts w:hint="eastAsia"/>
          <w:color w:val="000000"/>
          <w:szCs w:val="21"/>
        </w:rPr>
        <w:t>日实施的《公开募集开放式证券投资基金流动性风险管理规定》及颁布机关对其不时做出的修订</w:t>
      </w:r>
    </w:p>
    <w:p w14:paraId="1BA55088" w14:textId="1EB77885" w:rsidR="00175DB4" w:rsidRDefault="000519D1">
      <w:pPr>
        <w:spacing w:line="360" w:lineRule="auto"/>
        <w:ind w:firstLineChars="200" w:firstLine="420"/>
        <w:rPr>
          <w:color w:val="000000"/>
          <w:szCs w:val="21"/>
        </w:rPr>
      </w:pPr>
      <w:r>
        <w:rPr>
          <w:color w:val="000000"/>
          <w:szCs w:val="21"/>
        </w:rPr>
        <w:t>16</w:t>
      </w:r>
      <w:r>
        <w:rPr>
          <w:rFonts w:hint="eastAsia"/>
          <w:color w:val="000000"/>
          <w:szCs w:val="21"/>
        </w:rPr>
        <w:t>、《业务规则》：指深圳证券交易所发布实施的《深圳证券交易所证券投资基金交易和申购赎回实施细则》、中国证券登记结算有限责任公司发布实施的《中国证券登记结算有限责任公司关于交易所交易型开放式证券投资基金登记结算业务实施细则》及中国证券登记结算有限责任公司、深圳证券交易所及景顺长城基金管理有限公司发布的其他相关规则、规定、通知及指南等</w:t>
      </w:r>
      <w:bookmarkEnd w:id="7"/>
    </w:p>
    <w:p w14:paraId="300F2914" w14:textId="33F64C0D" w:rsidR="00175DB4" w:rsidRDefault="000519D1">
      <w:pPr>
        <w:spacing w:line="360" w:lineRule="auto"/>
        <w:ind w:firstLineChars="200" w:firstLine="420"/>
        <w:rPr>
          <w:color w:val="000000"/>
          <w:szCs w:val="21"/>
        </w:rPr>
      </w:pPr>
      <w:r>
        <w:rPr>
          <w:color w:val="000000"/>
          <w:szCs w:val="21"/>
        </w:rPr>
        <w:t>17</w:t>
      </w:r>
      <w:r>
        <w:rPr>
          <w:rFonts w:hint="eastAsia"/>
          <w:color w:val="000000"/>
          <w:szCs w:val="21"/>
        </w:rPr>
        <w:t>、交易型开放式指数证券投资基金：指《业务规则》定义的“交易型</w:t>
      </w:r>
      <w:r w:rsidR="004E21A4">
        <w:rPr>
          <w:rFonts w:hint="eastAsia"/>
          <w:color w:val="000000"/>
          <w:szCs w:val="21"/>
        </w:rPr>
        <w:t>开放式</w:t>
      </w:r>
      <w:r>
        <w:rPr>
          <w:rFonts w:hint="eastAsia"/>
          <w:color w:val="000000"/>
          <w:szCs w:val="21"/>
        </w:rPr>
        <w:t>基金”</w:t>
      </w:r>
      <w:r w:rsidR="004E21A4" w:rsidRPr="004E21A4">
        <w:rPr>
          <w:rFonts w:hint="eastAsia"/>
          <w:color w:val="000000"/>
          <w:szCs w:val="21"/>
        </w:rPr>
        <w:t>，简称“</w:t>
      </w:r>
      <w:r w:rsidR="004E21A4" w:rsidRPr="004E21A4">
        <w:rPr>
          <w:rFonts w:hint="eastAsia"/>
          <w:color w:val="000000"/>
          <w:szCs w:val="21"/>
        </w:rPr>
        <w:t>ETF</w:t>
      </w:r>
      <w:r w:rsidR="004E21A4" w:rsidRPr="004E21A4">
        <w:rPr>
          <w:rFonts w:hint="eastAsia"/>
          <w:color w:val="000000"/>
          <w:szCs w:val="21"/>
        </w:rPr>
        <w:t>”</w:t>
      </w:r>
    </w:p>
    <w:p w14:paraId="50A7BC88" w14:textId="77777777" w:rsidR="00175DB4" w:rsidRDefault="000519D1">
      <w:pPr>
        <w:spacing w:line="360" w:lineRule="auto"/>
        <w:ind w:firstLineChars="200" w:firstLine="420"/>
        <w:rPr>
          <w:color w:val="000000"/>
          <w:szCs w:val="21"/>
        </w:rPr>
      </w:pPr>
      <w:r>
        <w:rPr>
          <w:color w:val="000000"/>
          <w:szCs w:val="21"/>
        </w:rPr>
        <w:t>18</w:t>
      </w:r>
      <w:r>
        <w:rPr>
          <w:rFonts w:hint="eastAsia"/>
          <w:color w:val="000000"/>
          <w:szCs w:val="21"/>
        </w:rPr>
        <w:t>、联接基金：指将绝大</w:t>
      </w:r>
      <w:r>
        <w:rPr>
          <w:color w:val="000000"/>
          <w:szCs w:val="21"/>
        </w:rPr>
        <w:t>部分</w:t>
      </w:r>
      <w:r>
        <w:rPr>
          <w:rFonts w:hint="eastAsia"/>
          <w:color w:val="000000"/>
          <w:szCs w:val="21"/>
        </w:rPr>
        <w:t>基金财产投资于本基金，与本基金的投资目标类似，紧密跟踪业绩比较基准，追求跟踪偏离度和跟踪误差最小化，采用开放式运作方式的基金</w:t>
      </w:r>
    </w:p>
    <w:p w14:paraId="4DF88632" w14:textId="77777777" w:rsidR="00175DB4" w:rsidRDefault="000519D1">
      <w:pPr>
        <w:spacing w:line="360" w:lineRule="auto"/>
        <w:ind w:firstLineChars="200" w:firstLine="420"/>
        <w:rPr>
          <w:color w:val="000000"/>
          <w:szCs w:val="21"/>
        </w:rPr>
      </w:pPr>
      <w:r>
        <w:rPr>
          <w:color w:val="000000"/>
          <w:szCs w:val="21"/>
        </w:rPr>
        <w:t>19</w:t>
      </w:r>
      <w:r>
        <w:rPr>
          <w:rFonts w:hint="eastAsia"/>
          <w:color w:val="000000"/>
          <w:szCs w:val="21"/>
        </w:rPr>
        <w:t>、中国证监会：指中国证券监督管理委员会</w:t>
      </w:r>
    </w:p>
    <w:p w14:paraId="24F775DF" w14:textId="7C178763" w:rsidR="00175DB4" w:rsidRDefault="004E21A4">
      <w:pPr>
        <w:spacing w:line="360" w:lineRule="auto"/>
        <w:ind w:firstLineChars="200" w:firstLine="420"/>
        <w:rPr>
          <w:color w:val="000000"/>
          <w:szCs w:val="21"/>
        </w:rPr>
      </w:pPr>
      <w:r>
        <w:rPr>
          <w:color w:val="000000"/>
          <w:szCs w:val="21"/>
        </w:rPr>
        <w:t>20</w:t>
      </w:r>
      <w:r w:rsidR="000519D1">
        <w:rPr>
          <w:rFonts w:hint="eastAsia"/>
          <w:color w:val="000000"/>
          <w:szCs w:val="21"/>
        </w:rPr>
        <w:t>、基金合同当事人：指受基金合同约束，根据基金合同享有权利并承担义务的法律主体，包括基金管理人、基金托管人和基金份额持有人</w:t>
      </w:r>
    </w:p>
    <w:p w14:paraId="4471B4FE" w14:textId="2DB1C898" w:rsidR="00175DB4" w:rsidRDefault="004E21A4">
      <w:pPr>
        <w:spacing w:line="360" w:lineRule="auto"/>
        <w:ind w:firstLineChars="200" w:firstLine="420"/>
        <w:rPr>
          <w:color w:val="000000"/>
          <w:szCs w:val="21"/>
        </w:rPr>
      </w:pPr>
      <w:r>
        <w:rPr>
          <w:color w:val="000000"/>
          <w:szCs w:val="21"/>
        </w:rPr>
        <w:t>21</w:t>
      </w:r>
      <w:r w:rsidR="000519D1">
        <w:rPr>
          <w:rFonts w:hint="eastAsia"/>
          <w:color w:val="000000"/>
          <w:szCs w:val="21"/>
        </w:rPr>
        <w:t>、个人投资者：指依据有关法律法规规定可投资于证券投资基金的自然人</w:t>
      </w:r>
    </w:p>
    <w:p w14:paraId="59394AF7" w14:textId="18692ACA" w:rsidR="00175DB4" w:rsidRDefault="004E21A4">
      <w:pPr>
        <w:spacing w:line="360" w:lineRule="auto"/>
        <w:ind w:firstLineChars="200" w:firstLine="420"/>
        <w:rPr>
          <w:color w:val="000000"/>
          <w:szCs w:val="21"/>
        </w:rPr>
      </w:pPr>
      <w:r>
        <w:rPr>
          <w:color w:val="000000"/>
          <w:szCs w:val="21"/>
        </w:rPr>
        <w:t>22</w:t>
      </w:r>
      <w:r w:rsidR="000519D1">
        <w:rPr>
          <w:rFonts w:hint="eastAsia"/>
          <w:color w:val="000000"/>
          <w:szCs w:val="21"/>
        </w:rPr>
        <w:t>、机构投资者：指依法可以投资证券投资基金的、在中华人民共和国境内合法登记并存续或经有关政府部门批准设立并存续的企业法人、事业法人、社会团体或其他组织</w:t>
      </w:r>
    </w:p>
    <w:p w14:paraId="05FDC5A4" w14:textId="159B4A5F" w:rsidR="00175DB4" w:rsidRDefault="004E21A4">
      <w:pPr>
        <w:spacing w:line="360" w:lineRule="auto"/>
        <w:ind w:firstLineChars="200" w:firstLine="420"/>
        <w:rPr>
          <w:color w:val="000000"/>
          <w:szCs w:val="21"/>
        </w:rPr>
      </w:pPr>
      <w:r>
        <w:rPr>
          <w:color w:val="000000"/>
          <w:szCs w:val="21"/>
        </w:rPr>
        <w:t>23</w:t>
      </w:r>
      <w:r w:rsidR="000519D1">
        <w:rPr>
          <w:rFonts w:hint="eastAsia"/>
          <w:color w:val="000000"/>
          <w:szCs w:val="21"/>
        </w:rPr>
        <w:t>、合格境外投资者：指符合《合格境外机构投资者和人民币合格境外机构投资者境内证券期货投资管理办法》</w:t>
      </w:r>
      <w:r w:rsidRPr="004E21A4">
        <w:rPr>
          <w:rFonts w:hint="eastAsia"/>
          <w:color w:val="000000"/>
          <w:szCs w:val="21"/>
        </w:rPr>
        <w:t>（包括其不时修订）</w:t>
      </w:r>
      <w:r w:rsidR="000519D1">
        <w:rPr>
          <w:rFonts w:hint="eastAsia"/>
          <w:color w:val="000000"/>
          <w:szCs w:val="21"/>
        </w:rPr>
        <w:t>及相关法律法规规定使用来自境外的资金进行境内证券期货投资的境外机构投资者，包括合格境外机构投资者和人民币合格境外机构投资者</w:t>
      </w:r>
    </w:p>
    <w:p w14:paraId="7393EB3C" w14:textId="0180E0D4" w:rsidR="00175DB4" w:rsidRDefault="004E21A4">
      <w:pPr>
        <w:spacing w:line="360" w:lineRule="auto"/>
        <w:ind w:firstLineChars="200" w:firstLine="420"/>
        <w:rPr>
          <w:color w:val="000000"/>
          <w:szCs w:val="21"/>
        </w:rPr>
      </w:pPr>
      <w:r>
        <w:rPr>
          <w:rFonts w:hint="eastAsia"/>
          <w:color w:val="000000"/>
          <w:szCs w:val="21"/>
        </w:rPr>
        <w:t>2</w:t>
      </w:r>
      <w:r>
        <w:rPr>
          <w:color w:val="000000"/>
          <w:szCs w:val="21"/>
        </w:rPr>
        <w:t>4</w:t>
      </w:r>
      <w:r w:rsidR="000519D1">
        <w:rPr>
          <w:rFonts w:hint="eastAsia"/>
          <w:color w:val="000000"/>
          <w:szCs w:val="21"/>
        </w:rPr>
        <w:t>、投资人、投资者：指个人投资者、机构投资者、合格境外投资者以及法律法规或中国证监会允许购买证券投资基金的其他投资人的合称</w:t>
      </w:r>
    </w:p>
    <w:p w14:paraId="0CB441A7" w14:textId="483DCEFA" w:rsidR="00175DB4" w:rsidRDefault="004E21A4">
      <w:pPr>
        <w:spacing w:line="360" w:lineRule="auto"/>
        <w:ind w:firstLineChars="200" w:firstLine="420"/>
        <w:rPr>
          <w:color w:val="000000"/>
          <w:szCs w:val="21"/>
        </w:rPr>
      </w:pPr>
      <w:r>
        <w:rPr>
          <w:rFonts w:hint="eastAsia"/>
          <w:color w:val="000000"/>
          <w:szCs w:val="21"/>
        </w:rPr>
        <w:t>2</w:t>
      </w:r>
      <w:r>
        <w:rPr>
          <w:color w:val="000000"/>
          <w:szCs w:val="21"/>
        </w:rPr>
        <w:t>5</w:t>
      </w:r>
      <w:r w:rsidR="000519D1">
        <w:rPr>
          <w:rFonts w:hint="eastAsia"/>
          <w:color w:val="000000"/>
          <w:szCs w:val="21"/>
        </w:rPr>
        <w:t>、基金份额持有人：指依基金合同和招募说明书合法取得基金份额的投资人</w:t>
      </w:r>
    </w:p>
    <w:p w14:paraId="7A476A06" w14:textId="063A1BE0" w:rsidR="00175DB4" w:rsidRDefault="004E21A4">
      <w:pPr>
        <w:spacing w:line="360" w:lineRule="auto"/>
        <w:ind w:firstLineChars="200" w:firstLine="420"/>
        <w:rPr>
          <w:color w:val="000000"/>
          <w:szCs w:val="21"/>
        </w:rPr>
      </w:pPr>
      <w:r>
        <w:rPr>
          <w:rFonts w:hint="eastAsia"/>
          <w:color w:val="000000"/>
          <w:szCs w:val="21"/>
        </w:rPr>
        <w:t>2</w:t>
      </w:r>
      <w:r>
        <w:rPr>
          <w:color w:val="000000"/>
          <w:szCs w:val="21"/>
        </w:rPr>
        <w:t>6</w:t>
      </w:r>
      <w:r w:rsidR="000519D1">
        <w:rPr>
          <w:rFonts w:hint="eastAsia"/>
          <w:color w:val="000000"/>
          <w:szCs w:val="21"/>
        </w:rPr>
        <w:t>、基金份额持有人大会：指按照基金合同之规定召集、召开并由基金份额持有人或其合法的代理人进行表决的会议</w:t>
      </w:r>
    </w:p>
    <w:p w14:paraId="20BB5786" w14:textId="7E4C1126" w:rsidR="00175DB4" w:rsidRDefault="004E21A4">
      <w:pPr>
        <w:spacing w:line="360" w:lineRule="auto"/>
        <w:ind w:firstLineChars="200" w:firstLine="420"/>
        <w:rPr>
          <w:color w:val="000000"/>
          <w:szCs w:val="21"/>
        </w:rPr>
      </w:pPr>
      <w:r>
        <w:rPr>
          <w:rFonts w:hint="eastAsia"/>
          <w:color w:val="000000"/>
          <w:szCs w:val="21"/>
        </w:rPr>
        <w:t>2</w:t>
      </w:r>
      <w:r>
        <w:rPr>
          <w:color w:val="000000"/>
          <w:szCs w:val="21"/>
        </w:rPr>
        <w:t>7</w:t>
      </w:r>
      <w:r w:rsidR="000519D1">
        <w:rPr>
          <w:rFonts w:hint="eastAsia"/>
          <w:color w:val="000000"/>
          <w:szCs w:val="21"/>
        </w:rPr>
        <w:t>、基金销售业务：指基金管理人或销售机构宣传推介基金，发售基金份额，办理基金份额的申购、赎回等业务</w:t>
      </w:r>
    </w:p>
    <w:p w14:paraId="4E198685" w14:textId="473AE886" w:rsidR="00175DB4" w:rsidRDefault="004E21A4">
      <w:pPr>
        <w:spacing w:line="360" w:lineRule="auto"/>
        <w:ind w:firstLineChars="200" w:firstLine="420"/>
        <w:rPr>
          <w:color w:val="000000"/>
          <w:szCs w:val="21"/>
        </w:rPr>
      </w:pPr>
      <w:r>
        <w:rPr>
          <w:rFonts w:hint="eastAsia"/>
          <w:color w:val="000000"/>
          <w:szCs w:val="21"/>
        </w:rPr>
        <w:lastRenderedPageBreak/>
        <w:t>2</w:t>
      </w:r>
      <w:r>
        <w:rPr>
          <w:color w:val="000000"/>
          <w:szCs w:val="21"/>
        </w:rPr>
        <w:t>8</w:t>
      </w:r>
      <w:r w:rsidR="000519D1">
        <w:rPr>
          <w:rFonts w:hint="eastAsia"/>
          <w:color w:val="000000"/>
          <w:szCs w:val="21"/>
        </w:rPr>
        <w:t>、销售机构：指景顺长城基金管理有限公司以及符合《销售办法》和中国证监会规定的其他条件，取得基金销售业务资格并与基金管理人签订了基金销售服务协议，办理基金销售业务的机构，包括直销机构和代销机构</w:t>
      </w:r>
    </w:p>
    <w:p w14:paraId="444A8A29" w14:textId="39F73120" w:rsidR="00175DB4" w:rsidRDefault="004E21A4">
      <w:pPr>
        <w:spacing w:line="360" w:lineRule="auto"/>
        <w:ind w:firstLineChars="200" w:firstLine="420"/>
        <w:rPr>
          <w:color w:val="000000"/>
          <w:szCs w:val="21"/>
        </w:rPr>
      </w:pPr>
      <w:r>
        <w:rPr>
          <w:color w:val="000000"/>
          <w:szCs w:val="21"/>
        </w:rPr>
        <w:t>29</w:t>
      </w:r>
      <w:r w:rsidR="000519D1">
        <w:rPr>
          <w:rFonts w:hint="eastAsia"/>
          <w:color w:val="000000"/>
          <w:szCs w:val="21"/>
        </w:rPr>
        <w:t>、直销机构：指景顺长城基金管理有限公司</w:t>
      </w:r>
    </w:p>
    <w:p w14:paraId="7AA32BAB" w14:textId="5B24674C"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0</w:t>
      </w:r>
      <w:r w:rsidR="000519D1">
        <w:rPr>
          <w:rFonts w:hint="eastAsia"/>
          <w:color w:val="000000"/>
          <w:szCs w:val="21"/>
        </w:rPr>
        <w:t>、代销机构：指符合《销售办法》和中国证监会规定的其他条件，取得基金销售业务资格并接受基金管理人委托，代为办理基金认购、申购、赎回和其他基金业务的机构，包括发售代理机构和申购赎回代理券商（代办证券公司）</w:t>
      </w:r>
    </w:p>
    <w:p w14:paraId="60CF4B16" w14:textId="1E9BC42D"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1</w:t>
      </w:r>
      <w:r w:rsidR="000519D1">
        <w:rPr>
          <w:rFonts w:hint="eastAsia"/>
          <w:color w:val="000000"/>
          <w:szCs w:val="21"/>
        </w:rPr>
        <w:t>、发售代理机构：指符合《销售办法》和中国证监会规定的其他条件，由基金管理人指定的在募集期间代理本基金发售业务的机构</w:t>
      </w:r>
    </w:p>
    <w:p w14:paraId="0B807086" w14:textId="58C1A599"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2</w:t>
      </w:r>
      <w:r w:rsidR="000519D1">
        <w:rPr>
          <w:rFonts w:hint="eastAsia"/>
          <w:color w:val="000000"/>
          <w:szCs w:val="21"/>
        </w:rPr>
        <w:t>、申购赎回代理券商：指符合《销售办法》和中国证监会规定的其他条件，由基金管理人指定的办理本基金申购、赎回业务的证券公司，又称为代办证券公司</w:t>
      </w:r>
    </w:p>
    <w:p w14:paraId="59697CE0" w14:textId="17FAC1B7"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3</w:t>
      </w:r>
      <w:r w:rsidR="000519D1">
        <w:rPr>
          <w:rFonts w:hint="eastAsia"/>
          <w:color w:val="000000"/>
          <w:szCs w:val="21"/>
        </w:rPr>
        <w:t>、登记业务：指《业务规则》定义的基金份额的登记、托管和结算及相关业务</w:t>
      </w:r>
    </w:p>
    <w:p w14:paraId="3EE8800E" w14:textId="09E648E0"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4</w:t>
      </w:r>
      <w:r w:rsidR="000519D1">
        <w:rPr>
          <w:rFonts w:hint="eastAsia"/>
          <w:color w:val="000000"/>
          <w:szCs w:val="21"/>
        </w:rPr>
        <w:t>、登记机构：</w:t>
      </w:r>
      <w:proofErr w:type="gramStart"/>
      <w:r w:rsidR="000519D1">
        <w:rPr>
          <w:rFonts w:hint="eastAsia"/>
          <w:color w:val="000000"/>
          <w:szCs w:val="21"/>
        </w:rPr>
        <w:t>指办理</w:t>
      </w:r>
      <w:proofErr w:type="gramEnd"/>
      <w:r w:rsidR="000519D1">
        <w:rPr>
          <w:rFonts w:hint="eastAsia"/>
          <w:color w:val="000000"/>
          <w:szCs w:val="21"/>
        </w:rPr>
        <w:t>登记业务的机构。基金的登记机构为中国证券登记结算有限责任公司</w:t>
      </w:r>
    </w:p>
    <w:p w14:paraId="78857B64" w14:textId="6286601C"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5</w:t>
      </w:r>
      <w:r w:rsidR="000519D1">
        <w:rPr>
          <w:rFonts w:hint="eastAsia"/>
          <w:color w:val="000000"/>
          <w:szCs w:val="21"/>
        </w:rPr>
        <w:t>、基金合同生效日：指基金募集达到法律法规规定及基金合同规定的条件，基金管理人向中国证监会办理基金备案手续完毕，并获得中国证监会书面确认的日期</w:t>
      </w:r>
    </w:p>
    <w:p w14:paraId="33DB9128" w14:textId="58220EDA"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6</w:t>
      </w:r>
      <w:r w:rsidR="000519D1">
        <w:rPr>
          <w:rFonts w:hint="eastAsia"/>
          <w:color w:val="000000"/>
          <w:szCs w:val="21"/>
        </w:rPr>
        <w:t>、基金合同终止日：指基金合同规定的基金合同终止事由出现后，基金财产清算完毕，清算结果报中国证监会备案并予以公告的日期</w:t>
      </w:r>
    </w:p>
    <w:p w14:paraId="095C7FAE" w14:textId="2DA0A4A0" w:rsidR="00175DB4" w:rsidRDefault="004E21A4">
      <w:pPr>
        <w:spacing w:line="360" w:lineRule="auto"/>
        <w:ind w:firstLineChars="200" w:firstLine="420"/>
        <w:rPr>
          <w:color w:val="000000"/>
          <w:szCs w:val="21"/>
        </w:rPr>
      </w:pPr>
      <w:r>
        <w:rPr>
          <w:rFonts w:hint="eastAsia"/>
          <w:color w:val="000000"/>
          <w:szCs w:val="21"/>
        </w:rPr>
        <w:t>3</w:t>
      </w:r>
      <w:r>
        <w:rPr>
          <w:color w:val="000000"/>
          <w:szCs w:val="21"/>
        </w:rPr>
        <w:t>7</w:t>
      </w:r>
      <w:r w:rsidR="000519D1">
        <w:rPr>
          <w:rFonts w:hint="eastAsia"/>
          <w:color w:val="000000"/>
          <w:szCs w:val="21"/>
        </w:rPr>
        <w:t>、基金募集期：指自基金份额发售之日起至发售结束之日止的期间，最长不得超过</w:t>
      </w:r>
      <w:r w:rsidR="000519D1">
        <w:rPr>
          <w:color w:val="000000"/>
          <w:szCs w:val="21"/>
        </w:rPr>
        <w:t>3</w:t>
      </w:r>
      <w:r w:rsidR="000519D1">
        <w:rPr>
          <w:rFonts w:hint="eastAsia"/>
          <w:color w:val="000000"/>
          <w:szCs w:val="21"/>
        </w:rPr>
        <w:t>个月</w:t>
      </w:r>
    </w:p>
    <w:p w14:paraId="3C9AE903" w14:textId="06D86964" w:rsidR="00175DB4" w:rsidRDefault="000A391E">
      <w:pPr>
        <w:spacing w:line="360" w:lineRule="auto"/>
        <w:ind w:firstLineChars="200" w:firstLine="420"/>
        <w:rPr>
          <w:color w:val="000000"/>
          <w:szCs w:val="21"/>
        </w:rPr>
      </w:pPr>
      <w:r>
        <w:rPr>
          <w:rFonts w:hint="eastAsia"/>
          <w:color w:val="000000"/>
          <w:szCs w:val="21"/>
        </w:rPr>
        <w:t>3</w:t>
      </w:r>
      <w:r>
        <w:rPr>
          <w:color w:val="000000"/>
          <w:szCs w:val="21"/>
        </w:rPr>
        <w:t>8</w:t>
      </w:r>
      <w:r w:rsidR="000519D1">
        <w:rPr>
          <w:rFonts w:hint="eastAsia"/>
          <w:color w:val="000000"/>
          <w:szCs w:val="21"/>
        </w:rPr>
        <w:t>、存续期：指基金合同生效至终止之间的不定期期限</w:t>
      </w:r>
    </w:p>
    <w:p w14:paraId="1DE9F7C7" w14:textId="374FDDF2" w:rsidR="00175DB4" w:rsidRDefault="000A391E">
      <w:pPr>
        <w:spacing w:line="360" w:lineRule="auto"/>
        <w:ind w:firstLineChars="200" w:firstLine="420"/>
        <w:rPr>
          <w:color w:val="000000"/>
          <w:szCs w:val="21"/>
        </w:rPr>
      </w:pPr>
      <w:r>
        <w:rPr>
          <w:color w:val="000000"/>
          <w:szCs w:val="21"/>
        </w:rPr>
        <w:t>39</w:t>
      </w:r>
      <w:r w:rsidR="000519D1">
        <w:rPr>
          <w:rFonts w:hint="eastAsia"/>
          <w:color w:val="000000"/>
          <w:szCs w:val="21"/>
        </w:rPr>
        <w:t>、工作日：指上海证券交易所、深圳证券交易所的正常交易日</w:t>
      </w:r>
    </w:p>
    <w:p w14:paraId="33D33F0C" w14:textId="0E0264BC" w:rsidR="00175DB4" w:rsidRDefault="000519D1">
      <w:pPr>
        <w:spacing w:line="360" w:lineRule="auto"/>
        <w:ind w:firstLineChars="200" w:firstLine="420"/>
        <w:rPr>
          <w:color w:val="000000"/>
          <w:szCs w:val="21"/>
        </w:rPr>
      </w:pPr>
      <w:r>
        <w:rPr>
          <w:rFonts w:hint="eastAsia"/>
          <w:color w:val="000000"/>
          <w:szCs w:val="21"/>
        </w:rPr>
        <w:t>4</w:t>
      </w:r>
      <w:r w:rsidR="000A391E">
        <w:rPr>
          <w:color w:val="000000"/>
          <w:szCs w:val="21"/>
        </w:rPr>
        <w:t>0</w:t>
      </w:r>
      <w:r>
        <w:rPr>
          <w:rFonts w:hint="eastAsia"/>
          <w:color w:val="000000"/>
          <w:szCs w:val="21"/>
        </w:rPr>
        <w:t>、</w:t>
      </w:r>
      <w:r>
        <w:rPr>
          <w:color w:val="000000"/>
          <w:szCs w:val="21"/>
        </w:rPr>
        <w:t>T</w:t>
      </w:r>
      <w:r>
        <w:rPr>
          <w:rFonts w:hint="eastAsia"/>
          <w:color w:val="000000"/>
          <w:szCs w:val="21"/>
        </w:rPr>
        <w:t>日：指销售机构在规定时间受理投资人申购、赎回或其他业务申请的开放日</w:t>
      </w:r>
    </w:p>
    <w:p w14:paraId="4A267A36" w14:textId="0CDF2F48" w:rsidR="00175DB4" w:rsidRDefault="000519D1">
      <w:pPr>
        <w:spacing w:line="360" w:lineRule="auto"/>
        <w:ind w:firstLineChars="200" w:firstLine="420"/>
        <w:rPr>
          <w:color w:val="000000"/>
          <w:szCs w:val="21"/>
        </w:rPr>
      </w:pPr>
      <w:r>
        <w:rPr>
          <w:rFonts w:hint="eastAsia"/>
          <w:color w:val="000000"/>
          <w:szCs w:val="21"/>
        </w:rPr>
        <w:t>4</w:t>
      </w:r>
      <w:r w:rsidR="000A391E">
        <w:rPr>
          <w:color w:val="000000"/>
          <w:szCs w:val="21"/>
        </w:rPr>
        <w:t>1</w:t>
      </w:r>
      <w:r>
        <w:rPr>
          <w:rFonts w:hint="eastAsia"/>
          <w:color w:val="000000"/>
          <w:szCs w:val="21"/>
        </w:rPr>
        <w:t>、</w:t>
      </w:r>
      <w:r>
        <w:rPr>
          <w:color w:val="000000"/>
          <w:szCs w:val="21"/>
        </w:rPr>
        <w:t>T+n</w:t>
      </w:r>
      <w:r>
        <w:rPr>
          <w:rFonts w:hint="eastAsia"/>
          <w:color w:val="000000"/>
          <w:szCs w:val="21"/>
        </w:rPr>
        <w:t>日：指自</w:t>
      </w:r>
      <w:r>
        <w:rPr>
          <w:color w:val="000000"/>
          <w:szCs w:val="21"/>
        </w:rPr>
        <w:t>T</w:t>
      </w:r>
      <w:r>
        <w:rPr>
          <w:rFonts w:hint="eastAsia"/>
          <w:color w:val="000000"/>
          <w:szCs w:val="21"/>
        </w:rPr>
        <w:t>日起第</w:t>
      </w:r>
      <w:r>
        <w:rPr>
          <w:color w:val="000000"/>
          <w:szCs w:val="21"/>
        </w:rPr>
        <w:t>n</w:t>
      </w:r>
      <w:proofErr w:type="gramStart"/>
      <w:r>
        <w:rPr>
          <w:rFonts w:hint="eastAsia"/>
          <w:color w:val="000000"/>
          <w:szCs w:val="21"/>
        </w:rPr>
        <w:t>个</w:t>
      </w:r>
      <w:proofErr w:type="gramEnd"/>
      <w:r>
        <w:rPr>
          <w:rFonts w:hint="eastAsia"/>
          <w:color w:val="000000"/>
          <w:szCs w:val="21"/>
        </w:rPr>
        <w:t>工作日</w:t>
      </w:r>
      <w:r>
        <w:rPr>
          <w:color w:val="000000"/>
          <w:szCs w:val="21"/>
        </w:rPr>
        <w:t>(</w:t>
      </w:r>
      <w:r>
        <w:rPr>
          <w:rFonts w:hint="eastAsia"/>
          <w:color w:val="000000"/>
          <w:szCs w:val="21"/>
        </w:rPr>
        <w:t>不包含</w:t>
      </w:r>
      <w:r>
        <w:rPr>
          <w:color w:val="000000"/>
          <w:szCs w:val="21"/>
        </w:rPr>
        <w:t>T</w:t>
      </w:r>
      <w:r>
        <w:rPr>
          <w:rFonts w:hint="eastAsia"/>
          <w:color w:val="000000"/>
          <w:szCs w:val="21"/>
        </w:rPr>
        <w:t>日</w:t>
      </w:r>
      <w:r>
        <w:rPr>
          <w:color w:val="000000"/>
          <w:szCs w:val="21"/>
        </w:rPr>
        <w:t>)</w:t>
      </w:r>
    </w:p>
    <w:p w14:paraId="412B5511" w14:textId="69258C5C"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2</w:t>
      </w:r>
      <w:r w:rsidR="000519D1">
        <w:rPr>
          <w:rFonts w:hint="eastAsia"/>
          <w:color w:val="000000"/>
          <w:szCs w:val="21"/>
        </w:rPr>
        <w:t>、收益评价日：指基金管理人计算本基金份额净值增长率与标的指数</w:t>
      </w:r>
      <w:r w:rsidR="000051A4">
        <w:rPr>
          <w:rFonts w:hint="eastAsia"/>
          <w:color w:val="000000"/>
          <w:szCs w:val="21"/>
        </w:rPr>
        <w:t>同期</w:t>
      </w:r>
      <w:r w:rsidR="000519D1">
        <w:rPr>
          <w:rFonts w:hint="eastAsia"/>
          <w:color w:val="000000"/>
          <w:szCs w:val="21"/>
        </w:rPr>
        <w:t>增长率差额之日</w:t>
      </w:r>
    </w:p>
    <w:p w14:paraId="366B32C9" w14:textId="60868FE5"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3</w:t>
      </w:r>
      <w:r w:rsidR="000519D1">
        <w:rPr>
          <w:rFonts w:hint="eastAsia"/>
          <w:color w:val="000000"/>
          <w:szCs w:val="21"/>
        </w:rPr>
        <w:t>、开放日：指为投资人办理基金份额申购、赎回或其他业务的工作日</w:t>
      </w:r>
    </w:p>
    <w:p w14:paraId="4988190B" w14:textId="254B224E"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4</w:t>
      </w:r>
      <w:r w:rsidR="000519D1">
        <w:rPr>
          <w:rFonts w:hint="eastAsia"/>
          <w:color w:val="000000"/>
          <w:szCs w:val="21"/>
        </w:rPr>
        <w:t>、开放时间：指开放日基金接受申购、赎回或其他交易的时间段</w:t>
      </w:r>
    </w:p>
    <w:p w14:paraId="0535948A" w14:textId="4E6FC335"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5</w:t>
      </w:r>
      <w:r w:rsidR="000519D1">
        <w:rPr>
          <w:rFonts w:hint="eastAsia"/>
          <w:color w:val="000000"/>
          <w:szCs w:val="21"/>
        </w:rPr>
        <w:t>、认购：指在基金募集期内，投资人根据基金合同和招募说明书的规定申请购买基金份额的行为</w:t>
      </w:r>
    </w:p>
    <w:p w14:paraId="739027EE" w14:textId="30A09CED" w:rsidR="00175DB4" w:rsidRDefault="000A391E">
      <w:pPr>
        <w:spacing w:line="360" w:lineRule="auto"/>
        <w:ind w:firstLineChars="200" w:firstLine="420"/>
        <w:rPr>
          <w:color w:val="000000"/>
          <w:szCs w:val="21"/>
        </w:rPr>
      </w:pPr>
      <w:r>
        <w:rPr>
          <w:rFonts w:hint="eastAsia"/>
          <w:color w:val="000000"/>
          <w:szCs w:val="21"/>
        </w:rPr>
        <w:lastRenderedPageBreak/>
        <w:t>4</w:t>
      </w:r>
      <w:r>
        <w:rPr>
          <w:color w:val="000000"/>
          <w:szCs w:val="21"/>
        </w:rPr>
        <w:t>6</w:t>
      </w:r>
      <w:r w:rsidR="000519D1">
        <w:rPr>
          <w:rFonts w:hint="eastAsia"/>
          <w:color w:val="000000"/>
          <w:szCs w:val="21"/>
        </w:rPr>
        <w:t>、申购：指基金合同生效后，投资人根据基金合同和招募说明书的规定，以申购赎回清单规定的申购对价向基金管理人申请购买基金份额的行为</w:t>
      </w:r>
    </w:p>
    <w:p w14:paraId="7C58BF55" w14:textId="1E298815"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7</w:t>
      </w:r>
      <w:r w:rsidR="000519D1">
        <w:rPr>
          <w:rFonts w:hint="eastAsia"/>
          <w:color w:val="000000"/>
          <w:szCs w:val="21"/>
        </w:rPr>
        <w:t>、赎回：指基金合同生效后，基金份额持有人根据基金合同和招募说明书的规定申请将其持有的本</w:t>
      </w:r>
      <w:proofErr w:type="gramStart"/>
      <w:r w:rsidR="000519D1">
        <w:rPr>
          <w:rFonts w:hint="eastAsia"/>
          <w:color w:val="000000"/>
          <w:szCs w:val="21"/>
        </w:rPr>
        <w:t>基金基金</w:t>
      </w:r>
      <w:proofErr w:type="gramEnd"/>
      <w:r w:rsidR="000519D1">
        <w:rPr>
          <w:rFonts w:hint="eastAsia"/>
          <w:color w:val="000000"/>
          <w:szCs w:val="21"/>
        </w:rPr>
        <w:t>份额兑换为申购赎回清单所规定的对</w:t>
      </w:r>
      <w:proofErr w:type="gramStart"/>
      <w:r w:rsidR="000519D1">
        <w:rPr>
          <w:rFonts w:hint="eastAsia"/>
          <w:color w:val="000000"/>
          <w:szCs w:val="21"/>
        </w:rPr>
        <w:t>价资产</w:t>
      </w:r>
      <w:proofErr w:type="gramEnd"/>
      <w:r w:rsidR="000519D1">
        <w:rPr>
          <w:rFonts w:hint="eastAsia"/>
          <w:color w:val="000000"/>
          <w:szCs w:val="21"/>
        </w:rPr>
        <w:t>的行为</w:t>
      </w:r>
    </w:p>
    <w:p w14:paraId="73B1130A" w14:textId="3A563FD5" w:rsidR="00175DB4" w:rsidRDefault="000A391E">
      <w:pPr>
        <w:spacing w:line="360" w:lineRule="auto"/>
        <w:ind w:firstLineChars="200" w:firstLine="420"/>
        <w:rPr>
          <w:color w:val="000000"/>
          <w:szCs w:val="21"/>
        </w:rPr>
      </w:pPr>
      <w:r>
        <w:rPr>
          <w:rFonts w:hint="eastAsia"/>
          <w:color w:val="000000"/>
          <w:szCs w:val="21"/>
        </w:rPr>
        <w:t>4</w:t>
      </w:r>
      <w:r>
        <w:rPr>
          <w:color w:val="000000"/>
          <w:szCs w:val="21"/>
        </w:rPr>
        <w:t>8</w:t>
      </w:r>
      <w:r w:rsidR="000519D1">
        <w:rPr>
          <w:rFonts w:hint="eastAsia"/>
          <w:color w:val="000000"/>
          <w:szCs w:val="21"/>
        </w:rPr>
        <w:t>、申购赎回清单：指由基金管理人编制的用以公告申购对价、赎回对价等信息的文件</w:t>
      </w:r>
    </w:p>
    <w:p w14:paraId="6B346DE0" w14:textId="19DB9CAE" w:rsidR="00175DB4" w:rsidRDefault="000A391E">
      <w:pPr>
        <w:spacing w:line="360" w:lineRule="auto"/>
        <w:ind w:firstLineChars="200" w:firstLine="420"/>
        <w:rPr>
          <w:color w:val="000000"/>
          <w:szCs w:val="21"/>
        </w:rPr>
      </w:pPr>
      <w:r>
        <w:rPr>
          <w:color w:val="000000"/>
          <w:szCs w:val="21"/>
        </w:rPr>
        <w:t>49</w:t>
      </w:r>
      <w:r w:rsidR="000519D1">
        <w:rPr>
          <w:rFonts w:hint="eastAsia"/>
          <w:color w:val="000000"/>
          <w:szCs w:val="21"/>
        </w:rPr>
        <w:t>、申购对价：指投资人申购基金份额时，按基金合同和招募说明书规定应交付的组合证券、现金替代、现金差额及其他对价</w:t>
      </w:r>
    </w:p>
    <w:p w14:paraId="55682555" w14:textId="191691EF"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0</w:t>
      </w:r>
      <w:r w:rsidR="000519D1">
        <w:rPr>
          <w:rFonts w:hint="eastAsia"/>
          <w:color w:val="000000"/>
          <w:szCs w:val="21"/>
        </w:rPr>
        <w:t>、赎回对价：指基金份额持有人赎回基金份额时，基金管理人按基金合同和招募说明书规定应交付给赎回人的组合证券、现金替代、现金差额及其他对价</w:t>
      </w:r>
    </w:p>
    <w:p w14:paraId="176D0A91" w14:textId="3D230578"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1</w:t>
      </w:r>
      <w:r w:rsidR="000519D1">
        <w:rPr>
          <w:rFonts w:hint="eastAsia"/>
          <w:color w:val="000000"/>
          <w:szCs w:val="21"/>
        </w:rPr>
        <w:t>、标的指数：指</w:t>
      </w:r>
      <w:r w:rsidR="000519D1">
        <w:rPr>
          <w:color w:val="000000"/>
          <w:szCs w:val="21"/>
        </w:rPr>
        <w:t>深圳证券信息有限公司</w:t>
      </w:r>
      <w:r w:rsidR="000519D1">
        <w:rPr>
          <w:rFonts w:hint="eastAsia"/>
          <w:color w:val="000000"/>
          <w:szCs w:val="21"/>
        </w:rPr>
        <w:t>编制并发布</w:t>
      </w:r>
      <w:proofErr w:type="gramStart"/>
      <w:r w:rsidR="000519D1">
        <w:rPr>
          <w:rFonts w:hint="eastAsia"/>
          <w:color w:val="000000"/>
          <w:szCs w:val="21"/>
        </w:rPr>
        <w:t>的国证</w:t>
      </w:r>
      <w:proofErr w:type="gramEnd"/>
      <w:r>
        <w:rPr>
          <w:rFonts w:hint="eastAsia"/>
          <w:color w:val="000000"/>
          <w:szCs w:val="21"/>
        </w:rPr>
        <w:t>2</w:t>
      </w:r>
      <w:r>
        <w:rPr>
          <w:color w:val="000000"/>
          <w:szCs w:val="21"/>
        </w:rPr>
        <w:t>000</w:t>
      </w:r>
      <w:r w:rsidR="000519D1">
        <w:rPr>
          <w:rFonts w:hint="eastAsia"/>
          <w:color w:val="000000"/>
          <w:szCs w:val="21"/>
        </w:rPr>
        <w:t>指数及其未来可能发生的变更</w:t>
      </w:r>
    </w:p>
    <w:p w14:paraId="4D3B2A9A" w14:textId="03959D98"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2</w:t>
      </w:r>
      <w:r w:rsidR="000519D1">
        <w:rPr>
          <w:rFonts w:hint="eastAsia"/>
          <w:color w:val="000000"/>
          <w:szCs w:val="21"/>
        </w:rPr>
        <w:t>、组合证券：指本基金标的指数所包含的全部或部分证券</w:t>
      </w:r>
    </w:p>
    <w:p w14:paraId="71DE2C2F" w14:textId="2E703BD8"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3</w:t>
      </w:r>
      <w:r w:rsidR="000519D1">
        <w:rPr>
          <w:rFonts w:hint="eastAsia"/>
          <w:color w:val="000000"/>
          <w:szCs w:val="21"/>
        </w:rPr>
        <w:t>、</w:t>
      </w:r>
      <w:r w:rsidRPr="000A391E">
        <w:rPr>
          <w:rFonts w:hint="eastAsia"/>
          <w:color w:val="000000"/>
          <w:szCs w:val="21"/>
        </w:rPr>
        <w:t>抽样复制法：指一种构建跟踪指数的投资组合的方法。在标的指数成份股数量较多、个别成份股流动性不足等情况下，为了降低交易成本而采取一些复杂的计算程序</w:t>
      </w:r>
      <w:r w:rsidR="000051A4">
        <w:rPr>
          <w:rFonts w:hint="eastAsia"/>
          <w:color w:val="000000"/>
          <w:szCs w:val="21"/>
        </w:rPr>
        <w:t>，</w:t>
      </w:r>
      <w:r w:rsidRPr="000A391E">
        <w:rPr>
          <w:rFonts w:hint="eastAsia"/>
          <w:color w:val="000000"/>
          <w:szCs w:val="21"/>
        </w:rPr>
        <w:t>即根据个股行业、市值等指标，在指数成份股中选取更有代表性的样本股，并通过长期稳定的风险模型采用“跟踪误差最小化”的优化方式设计样本股的组合比例</w:t>
      </w:r>
    </w:p>
    <w:p w14:paraId="735209E5" w14:textId="22B492C8"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4</w:t>
      </w:r>
      <w:r w:rsidR="000519D1">
        <w:rPr>
          <w:rFonts w:hint="eastAsia"/>
          <w:color w:val="000000"/>
          <w:szCs w:val="21"/>
        </w:rPr>
        <w:t>、最小申购赎回单位：指本基金申购份额、赎回份额的最低数量，投资人申购或赎回的基金份额数应为最小申购赎回单位的整数倍</w:t>
      </w:r>
    </w:p>
    <w:p w14:paraId="2D529C17" w14:textId="046FB6CF"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5</w:t>
      </w:r>
      <w:r w:rsidR="000519D1">
        <w:rPr>
          <w:rFonts w:hint="eastAsia"/>
          <w:color w:val="000000"/>
          <w:szCs w:val="21"/>
        </w:rPr>
        <w:t>、现金替代：指申购或赎回过程中，投资人按基金合同和招募说明书的规定，用于替代组合证券中部分证券的一定数量的现金</w:t>
      </w:r>
    </w:p>
    <w:p w14:paraId="553AE89C" w14:textId="4CC4E6DC"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6</w:t>
      </w:r>
      <w:r w:rsidR="000519D1">
        <w:rPr>
          <w:rFonts w:hint="eastAsia"/>
          <w:color w:val="000000"/>
          <w:szCs w:val="21"/>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p>
    <w:p w14:paraId="4FFA82BC" w14:textId="38D96096"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7</w:t>
      </w:r>
      <w:r w:rsidR="000519D1">
        <w:rPr>
          <w:rFonts w:hint="eastAsia"/>
          <w:color w:val="000000"/>
          <w:szCs w:val="21"/>
        </w:rPr>
        <w:t>、现金差额：指最小申购</w:t>
      </w:r>
      <w:r w:rsidR="008C3BF6">
        <w:rPr>
          <w:rFonts w:hint="eastAsia"/>
          <w:color w:val="000000"/>
          <w:szCs w:val="21"/>
        </w:rPr>
        <w:t>、</w:t>
      </w:r>
      <w:r w:rsidR="000519D1">
        <w:rPr>
          <w:rFonts w:hint="eastAsia"/>
          <w:color w:val="000000"/>
          <w:szCs w:val="21"/>
        </w:rPr>
        <w:t>赎回单位的</w:t>
      </w:r>
      <w:r>
        <w:rPr>
          <w:rFonts w:hint="eastAsia"/>
          <w:color w:val="000000"/>
          <w:szCs w:val="21"/>
        </w:rPr>
        <w:t>基金</w:t>
      </w:r>
      <w:r w:rsidR="000519D1">
        <w:rPr>
          <w:rFonts w:hint="eastAsia"/>
          <w:color w:val="000000"/>
          <w:szCs w:val="21"/>
        </w:rPr>
        <w:t>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58764CDF" w14:textId="065B2C18" w:rsidR="00175DB4" w:rsidRDefault="000A391E">
      <w:pPr>
        <w:spacing w:line="360" w:lineRule="auto"/>
        <w:ind w:firstLineChars="200" w:firstLine="420"/>
        <w:rPr>
          <w:color w:val="000000"/>
          <w:szCs w:val="21"/>
        </w:rPr>
      </w:pPr>
      <w:r>
        <w:rPr>
          <w:rFonts w:hint="eastAsia"/>
          <w:color w:val="000000"/>
          <w:szCs w:val="21"/>
        </w:rPr>
        <w:t>5</w:t>
      </w:r>
      <w:r>
        <w:rPr>
          <w:color w:val="000000"/>
          <w:szCs w:val="21"/>
        </w:rPr>
        <w:t>8</w:t>
      </w:r>
      <w:r w:rsidR="000519D1">
        <w:rPr>
          <w:rFonts w:hint="eastAsia"/>
          <w:color w:val="000000"/>
          <w:szCs w:val="21"/>
        </w:rPr>
        <w:t>、预估现金差额：指由基金管理人计算并在</w:t>
      </w:r>
      <w:r w:rsidR="000519D1">
        <w:rPr>
          <w:color w:val="000000"/>
          <w:szCs w:val="21"/>
        </w:rPr>
        <w:t xml:space="preserve"> T </w:t>
      </w:r>
      <w:r w:rsidR="000519D1">
        <w:rPr>
          <w:rFonts w:hint="eastAsia"/>
          <w:color w:val="000000"/>
          <w:szCs w:val="21"/>
        </w:rPr>
        <w:t>日申购赎回清单中公布的当日现金差额预估值，预估现金差额由申购赎回代理券商预先冻结</w:t>
      </w:r>
    </w:p>
    <w:p w14:paraId="4D6FFA67" w14:textId="72B740C6" w:rsidR="00175DB4" w:rsidRDefault="000A391E">
      <w:pPr>
        <w:spacing w:line="360" w:lineRule="auto"/>
        <w:ind w:firstLineChars="200" w:firstLine="420"/>
        <w:rPr>
          <w:color w:val="000000"/>
          <w:szCs w:val="21"/>
        </w:rPr>
      </w:pPr>
      <w:r>
        <w:rPr>
          <w:color w:val="000000"/>
          <w:szCs w:val="21"/>
        </w:rPr>
        <w:lastRenderedPageBreak/>
        <w:t>59</w:t>
      </w:r>
      <w:r w:rsidR="000519D1">
        <w:rPr>
          <w:rFonts w:hint="eastAsia"/>
          <w:color w:val="000000"/>
          <w:szCs w:val="21"/>
        </w:rPr>
        <w:t>、基金份额参考净值：指基金管理人或者基金管理人委托其他机构根据申购赎回清单和组合证券内各只证券的实时成交数据计算并由深圳证券交易所在交易时间内发布的基金份额参考净值，简称</w:t>
      </w:r>
      <w:r w:rsidR="000519D1">
        <w:rPr>
          <w:color w:val="000000"/>
          <w:szCs w:val="21"/>
        </w:rPr>
        <w:t>IOPV</w:t>
      </w:r>
    </w:p>
    <w:p w14:paraId="5BE610C4" w14:textId="7B3CE4A3" w:rsidR="00175DB4" w:rsidRDefault="000A391E">
      <w:pPr>
        <w:spacing w:line="360" w:lineRule="auto"/>
        <w:ind w:firstLineChars="200" w:firstLine="420"/>
        <w:rPr>
          <w:color w:val="000000"/>
          <w:szCs w:val="21"/>
        </w:rPr>
      </w:pPr>
      <w:r>
        <w:rPr>
          <w:rFonts w:hint="eastAsia"/>
          <w:color w:val="000000"/>
          <w:szCs w:val="21"/>
        </w:rPr>
        <w:t>6</w:t>
      </w:r>
      <w:r>
        <w:rPr>
          <w:color w:val="000000"/>
          <w:szCs w:val="21"/>
        </w:rPr>
        <w:t>0</w:t>
      </w:r>
      <w:r w:rsidR="000519D1">
        <w:rPr>
          <w:rFonts w:hint="eastAsia"/>
          <w:color w:val="000000"/>
          <w:szCs w:val="21"/>
        </w:rPr>
        <w:t>、指令：指基金管理人在管理基金资产时，向基金托管人发出的资金划拨及实物</w:t>
      </w:r>
      <w:proofErr w:type="gramStart"/>
      <w:r w:rsidR="000519D1">
        <w:rPr>
          <w:rFonts w:hint="eastAsia"/>
          <w:color w:val="000000"/>
          <w:szCs w:val="21"/>
        </w:rPr>
        <w:t>券</w:t>
      </w:r>
      <w:proofErr w:type="gramEnd"/>
      <w:r w:rsidR="000519D1">
        <w:rPr>
          <w:rFonts w:hint="eastAsia"/>
          <w:color w:val="000000"/>
          <w:szCs w:val="21"/>
        </w:rPr>
        <w:t>调拨等指令</w:t>
      </w:r>
    </w:p>
    <w:p w14:paraId="241E16C2" w14:textId="6A1C3307"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1</w:t>
      </w:r>
      <w:r w:rsidR="000519D1">
        <w:rPr>
          <w:rFonts w:hint="eastAsia"/>
          <w:color w:val="000000"/>
          <w:szCs w:val="21"/>
        </w:rPr>
        <w:t>、元：指人民币元</w:t>
      </w:r>
    </w:p>
    <w:p w14:paraId="315BC501" w14:textId="56DE9073"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2</w:t>
      </w:r>
      <w:r w:rsidR="000519D1">
        <w:rPr>
          <w:rFonts w:hint="eastAsia"/>
          <w:color w:val="000000"/>
          <w:szCs w:val="21"/>
        </w:rPr>
        <w:t>、基金收益：指基金投资所得红利、股息、债券利息、买卖证券价差、银行存款利息、已实现的其他合法收入及因运用基金财产带来的成本和费用的节约</w:t>
      </w:r>
    </w:p>
    <w:p w14:paraId="28A17781" w14:textId="60115DA6"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3</w:t>
      </w:r>
      <w:r w:rsidR="000519D1">
        <w:rPr>
          <w:rFonts w:hint="eastAsia"/>
          <w:color w:val="000000"/>
          <w:szCs w:val="21"/>
        </w:rPr>
        <w:t>、基金份额净值增长率：</w:t>
      </w:r>
      <w:proofErr w:type="gramStart"/>
      <w:r w:rsidR="000519D1">
        <w:rPr>
          <w:rFonts w:hint="eastAsia"/>
          <w:color w:val="000000"/>
          <w:szCs w:val="21"/>
        </w:rPr>
        <w:t>指收益评价日</w:t>
      </w:r>
      <w:proofErr w:type="gramEnd"/>
      <w:r w:rsidR="000519D1">
        <w:rPr>
          <w:rFonts w:hint="eastAsia"/>
          <w:color w:val="000000"/>
          <w:szCs w:val="21"/>
        </w:rPr>
        <w:t>基金份额净值与基金上市前一日基金份额净值之比减去</w:t>
      </w:r>
      <w:r w:rsidR="000519D1">
        <w:rPr>
          <w:color w:val="000000"/>
          <w:szCs w:val="21"/>
        </w:rPr>
        <w:t>1</w:t>
      </w:r>
      <w:r w:rsidR="000519D1">
        <w:rPr>
          <w:rFonts w:hint="eastAsia"/>
          <w:color w:val="000000"/>
          <w:szCs w:val="21"/>
        </w:rPr>
        <w:t>乘以</w:t>
      </w:r>
      <w:r w:rsidR="000519D1">
        <w:rPr>
          <w:color w:val="000000"/>
          <w:szCs w:val="21"/>
        </w:rPr>
        <w:t>100%</w:t>
      </w:r>
      <w:r w:rsidR="000519D1">
        <w:rPr>
          <w:rFonts w:hint="eastAsia"/>
          <w:color w:val="000000"/>
          <w:szCs w:val="21"/>
        </w:rPr>
        <w:t>（期间如发生基金份额折算，则以基金份额折算日为初始日重新计算）</w:t>
      </w:r>
    </w:p>
    <w:p w14:paraId="557255EC" w14:textId="3537C266"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4</w:t>
      </w:r>
      <w:r w:rsidR="000519D1">
        <w:rPr>
          <w:rFonts w:hint="eastAsia"/>
          <w:color w:val="000000"/>
          <w:szCs w:val="21"/>
        </w:rPr>
        <w:t>、标的指数同期增长率：</w:t>
      </w:r>
      <w:proofErr w:type="gramStart"/>
      <w:r w:rsidR="000519D1">
        <w:rPr>
          <w:rFonts w:hint="eastAsia"/>
          <w:color w:val="000000"/>
          <w:szCs w:val="21"/>
        </w:rPr>
        <w:t>指收益</w:t>
      </w:r>
      <w:proofErr w:type="gramEnd"/>
      <w:r w:rsidR="000519D1">
        <w:rPr>
          <w:rFonts w:hint="eastAsia"/>
          <w:color w:val="000000"/>
          <w:szCs w:val="21"/>
        </w:rPr>
        <w:t>评价日标的指数</w:t>
      </w:r>
      <w:proofErr w:type="gramStart"/>
      <w:r w:rsidR="000519D1">
        <w:rPr>
          <w:rFonts w:hint="eastAsia"/>
          <w:color w:val="000000"/>
          <w:szCs w:val="21"/>
        </w:rPr>
        <w:t>收盘值</w:t>
      </w:r>
      <w:proofErr w:type="gramEnd"/>
      <w:r w:rsidR="000519D1">
        <w:rPr>
          <w:rFonts w:hint="eastAsia"/>
          <w:color w:val="000000"/>
          <w:szCs w:val="21"/>
        </w:rPr>
        <w:t>与基金上市前一日标的指数</w:t>
      </w:r>
      <w:proofErr w:type="gramStart"/>
      <w:r w:rsidR="000519D1">
        <w:rPr>
          <w:rFonts w:hint="eastAsia"/>
          <w:color w:val="000000"/>
          <w:szCs w:val="21"/>
        </w:rPr>
        <w:t>收盘值</w:t>
      </w:r>
      <w:proofErr w:type="gramEnd"/>
      <w:r w:rsidR="000519D1">
        <w:rPr>
          <w:rFonts w:hint="eastAsia"/>
          <w:color w:val="000000"/>
          <w:szCs w:val="21"/>
        </w:rPr>
        <w:t>之比减去</w:t>
      </w:r>
      <w:r w:rsidR="000519D1">
        <w:rPr>
          <w:color w:val="000000"/>
          <w:szCs w:val="21"/>
        </w:rPr>
        <w:t>1</w:t>
      </w:r>
      <w:r w:rsidR="000519D1">
        <w:rPr>
          <w:rFonts w:hint="eastAsia"/>
          <w:color w:val="000000"/>
          <w:szCs w:val="21"/>
        </w:rPr>
        <w:t>乘以</w:t>
      </w:r>
      <w:r w:rsidR="000519D1">
        <w:rPr>
          <w:color w:val="000000"/>
          <w:szCs w:val="21"/>
        </w:rPr>
        <w:t>100%</w:t>
      </w:r>
      <w:r w:rsidR="000519D1">
        <w:rPr>
          <w:rFonts w:hint="eastAsia"/>
          <w:color w:val="000000"/>
          <w:szCs w:val="21"/>
        </w:rPr>
        <w:t>（期间如发生基金份额折算，则以基金份额折算日为初始日重新计算）</w:t>
      </w:r>
    </w:p>
    <w:p w14:paraId="1E571235" w14:textId="372980F2"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5</w:t>
      </w:r>
      <w:r w:rsidR="000519D1">
        <w:rPr>
          <w:rFonts w:hint="eastAsia"/>
          <w:color w:val="000000"/>
          <w:szCs w:val="21"/>
        </w:rPr>
        <w:t>、基金资产总值：指基金拥有的各类有价证券、银行存款本息、基金应收款项及其他资产的价值总和</w:t>
      </w:r>
    </w:p>
    <w:p w14:paraId="0D623C12" w14:textId="4E449F1A"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6</w:t>
      </w:r>
      <w:r w:rsidR="000519D1">
        <w:rPr>
          <w:rFonts w:hint="eastAsia"/>
          <w:color w:val="000000"/>
          <w:szCs w:val="21"/>
        </w:rPr>
        <w:t>、基金资产净值：指基金资产总值减去基金负债后的价值</w:t>
      </w:r>
    </w:p>
    <w:p w14:paraId="0CA73697" w14:textId="39988475"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7</w:t>
      </w:r>
      <w:r w:rsidR="000519D1">
        <w:rPr>
          <w:rFonts w:hint="eastAsia"/>
          <w:color w:val="000000"/>
          <w:szCs w:val="21"/>
        </w:rPr>
        <w:t>、基金份额净值：指计算日基金资产净值除以计算日基金份额总数</w:t>
      </w:r>
    </w:p>
    <w:p w14:paraId="05E5ED3D" w14:textId="2B1E5871" w:rsidR="00175DB4" w:rsidRDefault="009E4B3D">
      <w:pPr>
        <w:spacing w:line="360" w:lineRule="auto"/>
        <w:ind w:firstLineChars="200" w:firstLine="420"/>
        <w:rPr>
          <w:color w:val="000000"/>
          <w:szCs w:val="21"/>
        </w:rPr>
      </w:pPr>
      <w:r>
        <w:rPr>
          <w:rFonts w:hint="eastAsia"/>
          <w:color w:val="000000"/>
          <w:szCs w:val="21"/>
        </w:rPr>
        <w:t>6</w:t>
      </w:r>
      <w:r>
        <w:rPr>
          <w:color w:val="000000"/>
          <w:szCs w:val="21"/>
        </w:rPr>
        <w:t>8</w:t>
      </w:r>
      <w:r w:rsidR="000519D1">
        <w:rPr>
          <w:rFonts w:hint="eastAsia"/>
          <w:color w:val="000000"/>
          <w:szCs w:val="21"/>
        </w:rPr>
        <w:t>、基金资产估值：指计算评估基金资产和负债的价值，以确定基金资产净值和基金份额净值的过程</w:t>
      </w:r>
    </w:p>
    <w:p w14:paraId="60CB0158" w14:textId="4633BC05" w:rsidR="00175DB4" w:rsidRDefault="009E4B3D">
      <w:pPr>
        <w:spacing w:line="360" w:lineRule="auto"/>
        <w:ind w:firstLineChars="200" w:firstLine="420"/>
        <w:rPr>
          <w:color w:val="000000"/>
          <w:szCs w:val="21"/>
        </w:rPr>
      </w:pPr>
      <w:r>
        <w:rPr>
          <w:color w:val="000000"/>
          <w:szCs w:val="21"/>
        </w:rPr>
        <w:t>69</w:t>
      </w:r>
      <w:r w:rsidR="000519D1">
        <w:rPr>
          <w:rFonts w:hint="eastAsia"/>
          <w:color w:val="000000"/>
          <w:szCs w:val="21"/>
        </w:rPr>
        <w:t>、规定媒介：指符合中国证监会规定条件的用以进行信息披露的全国性报刊及《信息披露办法》规定的互联网网站（包括基金管理人网站、基金托管人网站、中国证监会基金电子披露网站）等媒介</w:t>
      </w:r>
    </w:p>
    <w:p w14:paraId="66FF720C" w14:textId="49C0E4E8" w:rsidR="00175DB4" w:rsidRDefault="009E4B3D">
      <w:pPr>
        <w:spacing w:line="360" w:lineRule="auto"/>
        <w:ind w:firstLineChars="200" w:firstLine="420"/>
        <w:rPr>
          <w:color w:val="000000"/>
          <w:szCs w:val="21"/>
        </w:rPr>
      </w:pPr>
      <w:r>
        <w:rPr>
          <w:rFonts w:hint="eastAsia"/>
          <w:color w:val="000000"/>
          <w:szCs w:val="21"/>
        </w:rPr>
        <w:t>7</w:t>
      </w:r>
      <w:r>
        <w:rPr>
          <w:color w:val="000000"/>
          <w:szCs w:val="21"/>
        </w:rPr>
        <w:t>0</w:t>
      </w:r>
      <w:r w:rsidR="000519D1">
        <w:rPr>
          <w:rFonts w:hint="eastAsia"/>
          <w:color w:val="000000"/>
          <w:szCs w:val="21"/>
        </w:rPr>
        <w:t>、流动性受限资产：指由于法律法规、监管、合同或操作障碍等原因无法以合理价格予以变现的资产，包括但不限于到期日在</w:t>
      </w:r>
      <w:r w:rsidR="000519D1">
        <w:rPr>
          <w:color w:val="000000"/>
          <w:szCs w:val="21"/>
        </w:rPr>
        <w:t>10</w:t>
      </w:r>
      <w:r w:rsidR="000519D1">
        <w:rPr>
          <w:rFonts w:hint="eastAsia"/>
          <w:color w:val="000000"/>
          <w:szCs w:val="21"/>
        </w:rPr>
        <w:t>个交易日以上的逆回购与银行定期存款（</w:t>
      </w:r>
      <w:proofErr w:type="gramStart"/>
      <w:r w:rsidR="000519D1">
        <w:rPr>
          <w:rFonts w:hint="eastAsia"/>
          <w:color w:val="000000"/>
          <w:szCs w:val="21"/>
        </w:rPr>
        <w:t>含协议</w:t>
      </w:r>
      <w:proofErr w:type="gramEnd"/>
      <w:r w:rsidR="000519D1">
        <w:rPr>
          <w:rFonts w:hint="eastAsia"/>
          <w:color w:val="000000"/>
          <w:szCs w:val="21"/>
        </w:rPr>
        <w:t>约定有条件提前支取的银行存款）、停牌股票、流通受限的新股及非公开发行股票、资产支持证券、因发行人债务违约无法进行转让或交易的债券等</w:t>
      </w:r>
    </w:p>
    <w:p w14:paraId="70C71178" w14:textId="081A7100" w:rsidR="00175DB4" w:rsidRDefault="009E4B3D">
      <w:pPr>
        <w:spacing w:line="360" w:lineRule="auto"/>
        <w:ind w:firstLineChars="200" w:firstLine="420"/>
        <w:rPr>
          <w:color w:val="000000"/>
          <w:szCs w:val="21"/>
        </w:rPr>
      </w:pPr>
      <w:r>
        <w:rPr>
          <w:rFonts w:hint="eastAsia"/>
          <w:color w:val="000000"/>
          <w:szCs w:val="21"/>
        </w:rPr>
        <w:t>7</w:t>
      </w:r>
      <w:r>
        <w:rPr>
          <w:color w:val="000000"/>
          <w:szCs w:val="21"/>
        </w:rPr>
        <w:t>1</w:t>
      </w:r>
      <w:r w:rsidR="000519D1">
        <w:rPr>
          <w:rFonts w:hint="eastAsia"/>
          <w:color w:val="000000"/>
          <w:szCs w:val="21"/>
        </w:rPr>
        <w:t>、转融通证券出借业务：指本基金以一定费率通过证券交易所综合业务平台向中国证券金融股份有限公司出借证券，中国证券金融股份有限公司到期归还所借证券及相应权益补偿并支付费用的业务</w:t>
      </w:r>
    </w:p>
    <w:p w14:paraId="1FF62401" w14:textId="796DC2DF" w:rsidR="00175DB4" w:rsidRDefault="009E4B3D">
      <w:pPr>
        <w:spacing w:line="360" w:lineRule="auto"/>
        <w:ind w:firstLineChars="200" w:firstLine="420"/>
        <w:rPr>
          <w:color w:val="000000"/>
          <w:szCs w:val="21"/>
        </w:rPr>
      </w:pPr>
      <w:r>
        <w:rPr>
          <w:rFonts w:hint="eastAsia"/>
          <w:color w:val="000000"/>
          <w:szCs w:val="21"/>
        </w:rPr>
        <w:lastRenderedPageBreak/>
        <w:t>7</w:t>
      </w:r>
      <w:r>
        <w:rPr>
          <w:color w:val="000000"/>
          <w:szCs w:val="21"/>
        </w:rPr>
        <w:t>2</w:t>
      </w:r>
      <w:r w:rsidR="000519D1">
        <w:rPr>
          <w:rFonts w:hint="eastAsia"/>
          <w:color w:val="000000"/>
          <w:szCs w:val="21"/>
        </w:rPr>
        <w:t>、《指数基金指引》：指中国证监会</w:t>
      </w:r>
      <w:r w:rsidR="000519D1">
        <w:rPr>
          <w:color w:val="000000"/>
          <w:szCs w:val="21"/>
        </w:rPr>
        <w:t>2021</w:t>
      </w:r>
      <w:r w:rsidR="000519D1">
        <w:rPr>
          <w:rFonts w:hint="eastAsia"/>
          <w:color w:val="000000"/>
          <w:szCs w:val="21"/>
        </w:rPr>
        <w:t>年</w:t>
      </w:r>
      <w:r w:rsidR="000519D1">
        <w:rPr>
          <w:color w:val="000000"/>
          <w:szCs w:val="21"/>
        </w:rPr>
        <w:t>1</w:t>
      </w:r>
      <w:r w:rsidR="000519D1">
        <w:rPr>
          <w:rFonts w:hint="eastAsia"/>
          <w:color w:val="000000"/>
          <w:szCs w:val="21"/>
        </w:rPr>
        <w:t>月</w:t>
      </w:r>
      <w:r w:rsidR="000519D1">
        <w:rPr>
          <w:color w:val="000000"/>
          <w:szCs w:val="21"/>
        </w:rPr>
        <w:t>22</w:t>
      </w:r>
      <w:r w:rsidR="000519D1">
        <w:rPr>
          <w:rFonts w:hint="eastAsia"/>
          <w:color w:val="000000"/>
          <w:szCs w:val="21"/>
        </w:rPr>
        <w:t>日颁布、同年</w:t>
      </w:r>
      <w:r w:rsidR="000519D1">
        <w:rPr>
          <w:color w:val="000000"/>
          <w:szCs w:val="21"/>
        </w:rPr>
        <w:t>2</w:t>
      </w:r>
      <w:r w:rsidR="000519D1">
        <w:rPr>
          <w:rFonts w:hint="eastAsia"/>
          <w:color w:val="000000"/>
          <w:szCs w:val="21"/>
        </w:rPr>
        <w:t>月</w:t>
      </w:r>
      <w:r w:rsidR="000519D1">
        <w:rPr>
          <w:color w:val="000000"/>
          <w:szCs w:val="21"/>
        </w:rPr>
        <w:t>1</w:t>
      </w:r>
      <w:r w:rsidR="000519D1">
        <w:rPr>
          <w:rFonts w:hint="eastAsia"/>
          <w:color w:val="000000"/>
          <w:szCs w:val="21"/>
        </w:rPr>
        <w:t>日实施的《公开募集证券投资基金运作指引第</w:t>
      </w:r>
      <w:r w:rsidR="000519D1">
        <w:rPr>
          <w:color w:val="000000"/>
          <w:szCs w:val="21"/>
        </w:rPr>
        <w:t>3</w:t>
      </w:r>
      <w:r w:rsidR="000519D1">
        <w:rPr>
          <w:rFonts w:hint="eastAsia"/>
          <w:color w:val="000000"/>
          <w:szCs w:val="21"/>
        </w:rPr>
        <w:t>号——指数基金指引》及颁布机关对其不时做出的修订</w:t>
      </w:r>
    </w:p>
    <w:p w14:paraId="40CFF422" w14:textId="02D9D5DC" w:rsidR="00175DB4" w:rsidRDefault="009E4B3D">
      <w:pPr>
        <w:tabs>
          <w:tab w:val="left" w:pos="540"/>
        </w:tabs>
        <w:snapToGrid w:val="0"/>
        <w:spacing w:line="360" w:lineRule="auto"/>
        <w:ind w:firstLineChars="200" w:firstLine="420"/>
        <w:rPr>
          <w:color w:val="000000"/>
          <w:szCs w:val="21"/>
        </w:rPr>
        <w:sectPr w:rsidR="00175DB4">
          <w:pgSz w:w="11906" w:h="16838"/>
          <w:pgMar w:top="1440" w:right="1797" w:bottom="1440" w:left="1980" w:header="851" w:footer="992" w:gutter="0"/>
          <w:cols w:space="425"/>
          <w:docGrid w:type="lines" w:linePitch="312"/>
        </w:sectPr>
      </w:pPr>
      <w:r>
        <w:rPr>
          <w:rFonts w:hint="eastAsia"/>
          <w:color w:val="000000"/>
          <w:szCs w:val="21"/>
        </w:rPr>
        <w:t>7</w:t>
      </w:r>
      <w:r>
        <w:rPr>
          <w:color w:val="000000"/>
          <w:szCs w:val="21"/>
        </w:rPr>
        <w:t>3</w:t>
      </w:r>
      <w:r w:rsidR="000519D1">
        <w:rPr>
          <w:rFonts w:hint="eastAsia"/>
          <w:color w:val="000000"/>
          <w:szCs w:val="21"/>
        </w:rPr>
        <w:t>、不可抗力：指基金合同当事人不能预见、不能避免且不能克服的客观事件</w:t>
      </w:r>
      <w:bookmarkStart w:id="8" w:name="_Toc86589166"/>
      <w:bookmarkStart w:id="9" w:name="_Toc92531649"/>
    </w:p>
    <w:p w14:paraId="04D597EB" w14:textId="77777777" w:rsidR="00175DB4" w:rsidRDefault="000519D1">
      <w:pPr>
        <w:pStyle w:val="1"/>
        <w:spacing w:line="360" w:lineRule="exact"/>
        <w:rPr>
          <w:rFonts w:eastAsia="宋体"/>
          <w:color w:val="000000"/>
          <w:sz w:val="30"/>
          <w:szCs w:val="30"/>
        </w:rPr>
      </w:pPr>
      <w:bookmarkStart w:id="10" w:name="_Toc135741005"/>
      <w:r>
        <w:rPr>
          <w:rFonts w:eastAsia="宋体"/>
          <w:color w:val="000000"/>
          <w:sz w:val="30"/>
          <w:szCs w:val="30"/>
        </w:rPr>
        <w:lastRenderedPageBreak/>
        <w:t>三、基金管理人</w:t>
      </w:r>
      <w:bookmarkEnd w:id="8"/>
      <w:bookmarkEnd w:id="9"/>
      <w:bookmarkEnd w:id="10"/>
    </w:p>
    <w:p w14:paraId="1131C480" w14:textId="77777777" w:rsidR="00175DB4" w:rsidRDefault="000519D1">
      <w:pPr>
        <w:tabs>
          <w:tab w:val="left" w:pos="540"/>
        </w:tabs>
        <w:snapToGrid w:val="0"/>
        <w:spacing w:line="360" w:lineRule="auto"/>
        <w:ind w:firstLineChars="200" w:firstLine="420"/>
        <w:rPr>
          <w:color w:val="000000"/>
          <w:szCs w:val="21"/>
        </w:rPr>
      </w:pPr>
      <w:r>
        <w:rPr>
          <w:color w:val="000000"/>
          <w:szCs w:val="21"/>
        </w:rPr>
        <w:t>（一）基金管理人概况</w:t>
      </w:r>
    </w:p>
    <w:p w14:paraId="3D4C29D5" w14:textId="77777777" w:rsidR="00175DB4" w:rsidRDefault="000519D1">
      <w:pPr>
        <w:tabs>
          <w:tab w:val="left" w:pos="540"/>
        </w:tabs>
        <w:snapToGrid w:val="0"/>
        <w:spacing w:line="360" w:lineRule="auto"/>
        <w:ind w:firstLineChars="200" w:firstLine="420"/>
        <w:rPr>
          <w:color w:val="000000"/>
          <w:szCs w:val="21"/>
        </w:rPr>
      </w:pPr>
      <w:r>
        <w:rPr>
          <w:color w:val="000000"/>
          <w:szCs w:val="21"/>
        </w:rPr>
        <w:t>名称：景顺长城基金管理有限公司</w:t>
      </w:r>
    </w:p>
    <w:p w14:paraId="2DEDA739" w14:textId="77777777" w:rsidR="00175DB4" w:rsidRDefault="000519D1">
      <w:pPr>
        <w:tabs>
          <w:tab w:val="left" w:pos="540"/>
        </w:tabs>
        <w:snapToGrid w:val="0"/>
        <w:spacing w:line="360" w:lineRule="auto"/>
        <w:ind w:firstLineChars="200" w:firstLine="420"/>
        <w:rPr>
          <w:color w:val="000000"/>
          <w:szCs w:val="21"/>
        </w:rPr>
      </w:pPr>
      <w:r>
        <w:rPr>
          <w:color w:val="000000"/>
          <w:szCs w:val="21"/>
        </w:rPr>
        <w:t>住所：深圳市福田区中心四路</w:t>
      </w:r>
      <w:r>
        <w:rPr>
          <w:color w:val="000000"/>
          <w:szCs w:val="21"/>
        </w:rPr>
        <w:t>1</w:t>
      </w:r>
      <w:r>
        <w:rPr>
          <w:color w:val="000000"/>
          <w:szCs w:val="21"/>
        </w:rPr>
        <w:t>号嘉里建设广场第</w:t>
      </w:r>
      <w:r>
        <w:rPr>
          <w:color w:val="000000"/>
          <w:szCs w:val="21"/>
        </w:rPr>
        <w:t>1</w:t>
      </w:r>
      <w:r>
        <w:rPr>
          <w:color w:val="000000"/>
          <w:szCs w:val="21"/>
        </w:rPr>
        <w:t>座</w:t>
      </w:r>
      <w:r>
        <w:rPr>
          <w:color w:val="000000"/>
          <w:szCs w:val="21"/>
        </w:rPr>
        <w:t>21</w:t>
      </w:r>
      <w:r>
        <w:rPr>
          <w:color w:val="000000"/>
          <w:szCs w:val="21"/>
        </w:rPr>
        <w:t>层</w:t>
      </w:r>
    </w:p>
    <w:p w14:paraId="1134FD31" w14:textId="77777777" w:rsidR="00175DB4" w:rsidRDefault="000519D1">
      <w:pPr>
        <w:tabs>
          <w:tab w:val="left" w:pos="540"/>
        </w:tabs>
        <w:snapToGrid w:val="0"/>
        <w:spacing w:line="360" w:lineRule="auto"/>
        <w:ind w:firstLineChars="200" w:firstLine="420"/>
        <w:rPr>
          <w:color w:val="000000"/>
          <w:szCs w:val="21"/>
        </w:rPr>
      </w:pPr>
      <w:r>
        <w:rPr>
          <w:color w:val="000000"/>
          <w:szCs w:val="21"/>
        </w:rPr>
        <w:t>设立日期：</w:t>
      </w:r>
      <w:r>
        <w:rPr>
          <w:color w:val="000000"/>
          <w:szCs w:val="21"/>
        </w:rPr>
        <w:t>2003</w:t>
      </w:r>
      <w:r>
        <w:rPr>
          <w:color w:val="000000"/>
          <w:szCs w:val="21"/>
        </w:rPr>
        <w:t>年</w:t>
      </w:r>
      <w:r>
        <w:rPr>
          <w:color w:val="000000"/>
          <w:szCs w:val="21"/>
        </w:rPr>
        <w:t>6</w:t>
      </w:r>
      <w:r>
        <w:rPr>
          <w:color w:val="000000"/>
          <w:szCs w:val="21"/>
        </w:rPr>
        <w:t>月</w:t>
      </w:r>
      <w:r>
        <w:rPr>
          <w:color w:val="000000"/>
          <w:szCs w:val="21"/>
        </w:rPr>
        <w:t>12</w:t>
      </w:r>
      <w:r>
        <w:rPr>
          <w:color w:val="000000"/>
          <w:szCs w:val="21"/>
        </w:rPr>
        <w:t>日</w:t>
      </w:r>
    </w:p>
    <w:p w14:paraId="38E1FF38" w14:textId="77777777" w:rsidR="00175DB4" w:rsidRDefault="000519D1">
      <w:pPr>
        <w:tabs>
          <w:tab w:val="left" w:pos="540"/>
        </w:tabs>
        <w:snapToGrid w:val="0"/>
        <w:spacing w:line="360" w:lineRule="auto"/>
        <w:ind w:firstLineChars="200" w:firstLine="420"/>
        <w:rPr>
          <w:color w:val="000000"/>
          <w:szCs w:val="21"/>
        </w:rPr>
      </w:pPr>
      <w:r>
        <w:rPr>
          <w:color w:val="000000"/>
          <w:szCs w:val="21"/>
        </w:rPr>
        <w:t>法定代表人：</w:t>
      </w:r>
      <w:r>
        <w:rPr>
          <w:rFonts w:hint="eastAsia"/>
          <w:color w:val="000000"/>
          <w:szCs w:val="21"/>
        </w:rPr>
        <w:t>李进</w:t>
      </w:r>
    </w:p>
    <w:p w14:paraId="5108C695" w14:textId="77777777" w:rsidR="00175DB4" w:rsidRDefault="000519D1">
      <w:pPr>
        <w:tabs>
          <w:tab w:val="left" w:pos="540"/>
        </w:tabs>
        <w:snapToGrid w:val="0"/>
        <w:spacing w:line="360" w:lineRule="auto"/>
        <w:ind w:firstLineChars="200" w:firstLine="420"/>
        <w:rPr>
          <w:color w:val="000000"/>
          <w:szCs w:val="21"/>
        </w:rPr>
      </w:pPr>
      <w:r>
        <w:rPr>
          <w:color w:val="000000"/>
          <w:szCs w:val="21"/>
        </w:rPr>
        <w:t>注册资本：</w:t>
      </w:r>
      <w:r>
        <w:rPr>
          <w:color w:val="000000"/>
          <w:szCs w:val="21"/>
        </w:rPr>
        <w:t>1.3</w:t>
      </w:r>
      <w:r>
        <w:rPr>
          <w:color w:val="000000"/>
          <w:szCs w:val="21"/>
        </w:rPr>
        <w:t>亿元人民币</w:t>
      </w:r>
    </w:p>
    <w:p w14:paraId="58B727A8" w14:textId="77777777" w:rsidR="00175DB4" w:rsidRDefault="000519D1">
      <w:pPr>
        <w:tabs>
          <w:tab w:val="left" w:pos="540"/>
        </w:tabs>
        <w:snapToGrid w:val="0"/>
        <w:spacing w:line="360" w:lineRule="auto"/>
        <w:ind w:firstLineChars="200" w:firstLine="420"/>
        <w:rPr>
          <w:color w:val="000000"/>
          <w:szCs w:val="21"/>
        </w:rPr>
      </w:pPr>
      <w:r>
        <w:rPr>
          <w:color w:val="000000"/>
          <w:szCs w:val="21"/>
        </w:rPr>
        <w:t>批准设立文号：证</w:t>
      </w:r>
      <w:proofErr w:type="gramStart"/>
      <w:r>
        <w:rPr>
          <w:color w:val="000000"/>
          <w:szCs w:val="21"/>
        </w:rPr>
        <w:t>监基金字</w:t>
      </w:r>
      <w:proofErr w:type="gramEnd"/>
      <w:r>
        <w:rPr>
          <w:color w:val="000000"/>
          <w:szCs w:val="21"/>
        </w:rPr>
        <w:t>［</w:t>
      </w:r>
      <w:r>
        <w:rPr>
          <w:color w:val="000000"/>
          <w:szCs w:val="21"/>
        </w:rPr>
        <w:t>2003</w:t>
      </w:r>
      <w:r>
        <w:rPr>
          <w:color w:val="000000"/>
          <w:szCs w:val="21"/>
        </w:rPr>
        <w:t>］</w:t>
      </w:r>
      <w:r>
        <w:rPr>
          <w:color w:val="000000"/>
          <w:szCs w:val="21"/>
        </w:rPr>
        <w:t>76</w:t>
      </w:r>
      <w:r>
        <w:rPr>
          <w:color w:val="000000"/>
          <w:szCs w:val="21"/>
        </w:rPr>
        <w:t>号</w:t>
      </w:r>
    </w:p>
    <w:p w14:paraId="05793698" w14:textId="77777777" w:rsidR="00175DB4" w:rsidRDefault="000519D1">
      <w:pPr>
        <w:tabs>
          <w:tab w:val="left" w:pos="540"/>
        </w:tabs>
        <w:snapToGrid w:val="0"/>
        <w:spacing w:line="360" w:lineRule="auto"/>
        <w:ind w:firstLineChars="200" w:firstLine="420"/>
        <w:rPr>
          <w:color w:val="000000"/>
          <w:szCs w:val="21"/>
        </w:rPr>
      </w:pPr>
      <w:r>
        <w:rPr>
          <w:color w:val="000000"/>
          <w:szCs w:val="21"/>
        </w:rPr>
        <w:t>办公地址：深圳市福田区中心四路</w:t>
      </w:r>
      <w:r>
        <w:rPr>
          <w:color w:val="000000"/>
          <w:szCs w:val="21"/>
        </w:rPr>
        <w:t>1</w:t>
      </w:r>
      <w:r>
        <w:rPr>
          <w:color w:val="000000"/>
          <w:szCs w:val="21"/>
        </w:rPr>
        <w:t>号嘉里建设广场第</w:t>
      </w:r>
      <w:r>
        <w:rPr>
          <w:color w:val="000000"/>
          <w:szCs w:val="21"/>
        </w:rPr>
        <w:t>1</w:t>
      </w:r>
      <w:r>
        <w:rPr>
          <w:color w:val="000000"/>
          <w:szCs w:val="21"/>
        </w:rPr>
        <w:t>座</w:t>
      </w:r>
      <w:r>
        <w:rPr>
          <w:color w:val="000000"/>
          <w:szCs w:val="21"/>
        </w:rPr>
        <w:t>21</w:t>
      </w:r>
      <w:r>
        <w:rPr>
          <w:color w:val="000000"/>
          <w:szCs w:val="21"/>
        </w:rPr>
        <w:t>层</w:t>
      </w:r>
    </w:p>
    <w:p w14:paraId="1630218A" w14:textId="77777777" w:rsidR="00175DB4" w:rsidRDefault="000519D1">
      <w:pPr>
        <w:tabs>
          <w:tab w:val="left" w:pos="540"/>
        </w:tabs>
        <w:snapToGrid w:val="0"/>
        <w:spacing w:line="360" w:lineRule="auto"/>
        <w:ind w:firstLineChars="200" w:firstLine="420"/>
        <w:rPr>
          <w:color w:val="000000"/>
          <w:szCs w:val="21"/>
        </w:rPr>
      </w:pPr>
      <w:r>
        <w:rPr>
          <w:color w:val="000000"/>
          <w:szCs w:val="21"/>
        </w:rPr>
        <w:t>电话：</w:t>
      </w:r>
      <w:r>
        <w:rPr>
          <w:color w:val="000000"/>
          <w:szCs w:val="21"/>
        </w:rPr>
        <w:t>0755-82370388</w:t>
      </w:r>
    </w:p>
    <w:p w14:paraId="4F836713" w14:textId="77777777" w:rsidR="00175DB4" w:rsidRDefault="000519D1">
      <w:pPr>
        <w:tabs>
          <w:tab w:val="left" w:pos="540"/>
        </w:tabs>
        <w:snapToGrid w:val="0"/>
        <w:spacing w:line="360" w:lineRule="auto"/>
        <w:ind w:firstLineChars="200" w:firstLine="420"/>
        <w:rPr>
          <w:color w:val="000000"/>
          <w:szCs w:val="21"/>
        </w:rPr>
      </w:pPr>
      <w:r>
        <w:rPr>
          <w:color w:val="000000"/>
          <w:szCs w:val="21"/>
        </w:rPr>
        <w:t>客户服务电话：</w:t>
      </w:r>
      <w:r>
        <w:rPr>
          <w:color w:val="000000"/>
          <w:szCs w:val="21"/>
        </w:rPr>
        <w:t>400 8888 606</w:t>
      </w:r>
    </w:p>
    <w:p w14:paraId="7F1629BA" w14:textId="77777777" w:rsidR="00175DB4" w:rsidRDefault="000519D1">
      <w:pPr>
        <w:tabs>
          <w:tab w:val="left" w:pos="540"/>
        </w:tabs>
        <w:snapToGrid w:val="0"/>
        <w:spacing w:line="360" w:lineRule="auto"/>
        <w:ind w:firstLineChars="200" w:firstLine="420"/>
        <w:rPr>
          <w:color w:val="000000"/>
          <w:szCs w:val="21"/>
        </w:rPr>
      </w:pPr>
      <w:r>
        <w:rPr>
          <w:color w:val="000000"/>
          <w:szCs w:val="21"/>
        </w:rPr>
        <w:t>传真：</w:t>
      </w:r>
      <w:r>
        <w:rPr>
          <w:color w:val="000000"/>
          <w:szCs w:val="21"/>
        </w:rPr>
        <w:t>0755-22381339</w:t>
      </w:r>
    </w:p>
    <w:p w14:paraId="104BBF02" w14:textId="77777777" w:rsidR="00175DB4" w:rsidRDefault="000519D1">
      <w:pPr>
        <w:tabs>
          <w:tab w:val="left" w:pos="540"/>
        </w:tabs>
        <w:snapToGrid w:val="0"/>
        <w:spacing w:line="360" w:lineRule="auto"/>
        <w:ind w:firstLineChars="200" w:firstLine="420"/>
        <w:rPr>
          <w:color w:val="000000"/>
          <w:szCs w:val="21"/>
        </w:rPr>
      </w:pPr>
      <w:r>
        <w:rPr>
          <w:color w:val="000000"/>
          <w:szCs w:val="21"/>
        </w:rPr>
        <w:t>联系人：杨皞阳</w:t>
      </w:r>
    </w:p>
    <w:p w14:paraId="44EB5BB6" w14:textId="77777777" w:rsidR="00175DB4" w:rsidRDefault="000519D1">
      <w:pPr>
        <w:tabs>
          <w:tab w:val="left" w:pos="540"/>
        </w:tabs>
        <w:snapToGrid w:val="0"/>
        <w:spacing w:line="360" w:lineRule="auto"/>
        <w:ind w:firstLineChars="200" w:firstLine="420"/>
        <w:rPr>
          <w:color w:val="000000"/>
          <w:szCs w:val="21"/>
        </w:rPr>
      </w:pPr>
      <w:r>
        <w:rPr>
          <w:color w:val="000000"/>
          <w:szCs w:val="21"/>
        </w:rPr>
        <w:t>股东名称及出资比例：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4155"/>
        <w:gridCol w:w="1678"/>
      </w:tblGrid>
      <w:tr w:rsidR="00175DB4" w14:paraId="63161740" w14:textId="77777777">
        <w:trPr>
          <w:jc w:val="center"/>
        </w:trPr>
        <w:tc>
          <w:tcPr>
            <w:tcW w:w="914" w:type="dxa"/>
            <w:shd w:val="clear" w:color="auto" w:fill="auto"/>
            <w:vAlign w:val="center"/>
          </w:tcPr>
          <w:p w14:paraId="142A2080" w14:textId="77777777" w:rsidR="00175DB4" w:rsidRDefault="000519D1">
            <w:pPr>
              <w:tabs>
                <w:tab w:val="left" w:pos="540"/>
              </w:tabs>
              <w:snapToGrid w:val="0"/>
              <w:spacing w:line="360" w:lineRule="auto"/>
              <w:jc w:val="center"/>
              <w:rPr>
                <w:color w:val="000000"/>
                <w:szCs w:val="21"/>
              </w:rPr>
            </w:pPr>
            <w:r>
              <w:rPr>
                <w:color w:val="000000"/>
                <w:szCs w:val="21"/>
              </w:rPr>
              <w:t>序号</w:t>
            </w:r>
          </w:p>
        </w:tc>
        <w:tc>
          <w:tcPr>
            <w:tcW w:w="4155" w:type="dxa"/>
            <w:shd w:val="clear" w:color="auto" w:fill="auto"/>
            <w:vAlign w:val="center"/>
          </w:tcPr>
          <w:p w14:paraId="2F2D77A3" w14:textId="77777777" w:rsidR="00175DB4" w:rsidRDefault="000519D1">
            <w:pPr>
              <w:tabs>
                <w:tab w:val="left" w:pos="540"/>
              </w:tabs>
              <w:snapToGrid w:val="0"/>
              <w:spacing w:line="360" w:lineRule="auto"/>
              <w:jc w:val="center"/>
              <w:rPr>
                <w:color w:val="000000"/>
                <w:szCs w:val="21"/>
              </w:rPr>
            </w:pPr>
            <w:r>
              <w:rPr>
                <w:color w:val="000000"/>
                <w:szCs w:val="21"/>
              </w:rPr>
              <w:t>股东名称</w:t>
            </w:r>
          </w:p>
        </w:tc>
        <w:tc>
          <w:tcPr>
            <w:tcW w:w="1678" w:type="dxa"/>
            <w:shd w:val="clear" w:color="auto" w:fill="auto"/>
            <w:vAlign w:val="center"/>
          </w:tcPr>
          <w:p w14:paraId="7E537756" w14:textId="77777777" w:rsidR="00175DB4" w:rsidRDefault="000519D1">
            <w:pPr>
              <w:tabs>
                <w:tab w:val="left" w:pos="540"/>
              </w:tabs>
              <w:snapToGrid w:val="0"/>
              <w:spacing w:line="360" w:lineRule="auto"/>
              <w:jc w:val="center"/>
              <w:rPr>
                <w:color w:val="000000"/>
                <w:szCs w:val="21"/>
              </w:rPr>
            </w:pPr>
            <w:r>
              <w:rPr>
                <w:color w:val="000000"/>
                <w:szCs w:val="21"/>
              </w:rPr>
              <w:t>出资比例</w:t>
            </w:r>
          </w:p>
        </w:tc>
      </w:tr>
      <w:tr w:rsidR="00175DB4" w14:paraId="29DE948D" w14:textId="77777777">
        <w:trPr>
          <w:jc w:val="center"/>
        </w:trPr>
        <w:tc>
          <w:tcPr>
            <w:tcW w:w="914" w:type="dxa"/>
            <w:shd w:val="clear" w:color="auto" w:fill="auto"/>
            <w:vAlign w:val="center"/>
          </w:tcPr>
          <w:p w14:paraId="6186D993" w14:textId="77777777" w:rsidR="00175DB4" w:rsidRDefault="000519D1">
            <w:pPr>
              <w:tabs>
                <w:tab w:val="left" w:pos="540"/>
              </w:tabs>
              <w:snapToGrid w:val="0"/>
              <w:spacing w:line="360" w:lineRule="auto"/>
              <w:jc w:val="center"/>
              <w:rPr>
                <w:color w:val="000000"/>
                <w:szCs w:val="21"/>
              </w:rPr>
            </w:pPr>
            <w:r>
              <w:rPr>
                <w:color w:val="000000"/>
                <w:szCs w:val="21"/>
              </w:rPr>
              <w:t>1</w:t>
            </w:r>
          </w:p>
        </w:tc>
        <w:tc>
          <w:tcPr>
            <w:tcW w:w="4155" w:type="dxa"/>
            <w:shd w:val="clear" w:color="auto" w:fill="auto"/>
            <w:vAlign w:val="center"/>
          </w:tcPr>
          <w:p w14:paraId="0D55C8C1" w14:textId="77777777" w:rsidR="00175DB4" w:rsidRDefault="000519D1">
            <w:pPr>
              <w:tabs>
                <w:tab w:val="left" w:pos="540"/>
              </w:tabs>
              <w:snapToGrid w:val="0"/>
              <w:spacing w:line="360" w:lineRule="auto"/>
              <w:jc w:val="center"/>
              <w:rPr>
                <w:color w:val="000000"/>
                <w:szCs w:val="21"/>
              </w:rPr>
            </w:pPr>
            <w:r>
              <w:rPr>
                <w:color w:val="000000"/>
                <w:szCs w:val="21"/>
              </w:rPr>
              <w:t>长城证券股份有限公司</w:t>
            </w:r>
          </w:p>
        </w:tc>
        <w:tc>
          <w:tcPr>
            <w:tcW w:w="1678" w:type="dxa"/>
            <w:shd w:val="clear" w:color="auto" w:fill="auto"/>
            <w:vAlign w:val="center"/>
          </w:tcPr>
          <w:p w14:paraId="2F033A41" w14:textId="77777777" w:rsidR="00175DB4" w:rsidRDefault="000519D1">
            <w:pPr>
              <w:tabs>
                <w:tab w:val="left" w:pos="540"/>
              </w:tabs>
              <w:snapToGrid w:val="0"/>
              <w:spacing w:line="360" w:lineRule="auto"/>
              <w:jc w:val="center"/>
              <w:rPr>
                <w:color w:val="000000"/>
                <w:szCs w:val="21"/>
              </w:rPr>
            </w:pPr>
            <w:r>
              <w:rPr>
                <w:color w:val="000000"/>
                <w:szCs w:val="21"/>
              </w:rPr>
              <w:t>49%</w:t>
            </w:r>
          </w:p>
        </w:tc>
      </w:tr>
      <w:tr w:rsidR="00175DB4" w14:paraId="747F9A73" w14:textId="77777777">
        <w:trPr>
          <w:jc w:val="center"/>
        </w:trPr>
        <w:tc>
          <w:tcPr>
            <w:tcW w:w="914" w:type="dxa"/>
            <w:shd w:val="clear" w:color="auto" w:fill="auto"/>
            <w:vAlign w:val="center"/>
          </w:tcPr>
          <w:p w14:paraId="5AF59CE5" w14:textId="77777777" w:rsidR="00175DB4" w:rsidRDefault="000519D1">
            <w:pPr>
              <w:tabs>
                <w:tab w:val="left" w:pos="540"/>
              </w:tabs>
              <w:snapToGrid w:val="0"/>
              <w:spacing w:line="360" w:lineRule="auto"/>
              <w:jc w:val="center"/>
              <w:rPr>
                <w:color w:val="000000"/>
                <w:szCs w:val="21"/>
              </w:rPr>
            </w:pPr>
            <w:r>
              <w:rPr>
                <w:color w:val="000000"/>
                <w:szCs w:val="21"/>
              </w:rPr>
              <w:t>2</w:t>
            </w:r>
          </w:p>
        </w:tc>
        <w:tc>
          <w:tcPr>
            <w:tcW w:w="4155" w:type="dxa"/>
            <w:shd w:val="clear" w:color="auto" w:fill="auto"/>
            <w:vAlign w:val="center"/>
          </w:tcPr>
          <w:p w14:paraId="1B90D576" w14:textId="77777777" w:rsidR="00175DB4" w:rsidRDefault="000519D1">
            <w:pPr>
              <w:tabs>
                <w:tab w:val="left" w:pos="540"/>
              </w:tabs>
              <w:snapToGrid w:val="0"/>
              <w:spacing w:line="360" w:lineRule="auto"/>
              <w:jc w:val="center"/>
              <w:rPr>
                <w:color w:val="000000"/>
                <w:szCs w:val="21"/>
              </w:rPr>
            </w:pPr>
            <w:r>
              <w:rPr>
                <w:color w:val="000000"/>
                <w:szCs w:val="21"/>
              </w:rPr>
              <w:t>景顺资产管理有限公司</w:t>
            </w:r>
          </w:p>
        </w:tc>
        <w:tc>
          <w:tcPr>
            <w:tcW w:w="1678" w:type="dxa"/>
            <w:shd w:val="clear" w:color="auto" w:fill="auto"/>
            <w:vAlign w:val="center"/>
          </w:tcPr>
          <w:p w14:paraId="1E59C24C" w14:textId="77777777" w:rsidR="00175DB4" w:rsidRDefault="000519D1">
            <w:pPr>
              <w:tabs>
                <w:tab w:val="left" w:pos="540"/>
              </w:tabs>
              <w:snapToGrid w:val="0"/>
              <w:spacing w:line="360" w:lineRule="auto"/>
              <w:jc w:val="center"/>
              <w:rPr>
                <w:color w:val="000000"/>
                <w:szCs w:val="21"/>
              </w:rPr>
            </w:pPr>
            <w:r>
              <w:rPr>
                <w:color w:val="000000"/>
                <w:szCs w:val="21"/>
              </w:rPr>
              <w:t>49%</w:t>
            </w:r>
          </w:p>
        </w:tc>
      </w:tr>
      <w:tr w:rsidR="00175DB4" w14:paraId="78692EAC" w14:textId="77777777">
        <w:trPr>
          <w:jc w:val="center"/>
        </w:trPr>
        <w:tc>
          <w:tcPr>
            <w:tcW w:w="914" w:type="dxa"/>
            <w:shd w:val="clear" w:color="auto" w:fill="auto"/>
            <w:vAlign w:val="center"/>
          </w:tcPr>
          <w:p w14:paraId="5E551A7F" w14:textId="77777777" w:rsidR="00175DB4" w:rsidRDefault="000519D1">
            <w:pPr>
              <w:tabs>
                <w:tab w:val="left" w:pos="540"/>
              </w:tabs>
              <w:snapToGrid w:val="0"/>
              <w:spacing w:line="360" w:lineRule="auto"/>
              <w:jc w:val="center"/>
              <w:rPr>
                <w:color w:val="000000"/>
                <w:szCs w:val="21"/>
              </w:rPr>
            </w:pPr>
            <w:r>
              <w:rPr>
                <w:color w:val="000000"/>
                <w:szCs w:val="21"/>
              </w:rPr>
              <w:t>3</w:t>
            </w:r>
          </w:p>
        </w:tc>
        <w:tc>
          <w:tcPr>
            <w:tcW w:w="4155" w:type="dxa"/>
            <w:shd w:val="clear" w:color="auto" w:fill="auto"/>
            <w:vAlign w:val="center"/>
          </w:tcPr>
          <w:p w14:paraId="01E6698F" w14:textId="77777777" w:rsidR="00175DB4" w:rsidRDefault="000519D1">
            <w:pPr>
              <w:tabs>
                <w:tab w:val="left" w:pos="540"/>
              </w:tabs>
              <w:snapToGrid w:val="0"/>
              <w:spacing w:line="360" w:lineRule="auto"/>
              <w:jc w:val="center"/>
              <w:rPr>
                <w:color w:val="000000"/>
                <w:szCs w:val="21"/>
              </w:rPr>
            </w:pPr>
            <w:r>
              <w:rPr>
                <w:color w:val="000000"/>
                <w:szCs w:val="21"/>
              </w:rPr>
              <w:t>开滦（集团）有限责任公司</w:t>
            </w:r>
          </w:p>
        </w:tc>
        <w:tc>
          <w:tcPr>
            <w:tcW w:w="1678" w:type="dxa"/>
            <w:shd w:val="clear" w:color="auto" w:fill="auto"/>
            <w:vAlign w:val="center"/>
          </w:tcPr>
          <w:p w14:paraId="7F6C4A3E" w14:textId="77777777" w:rsidR="00175DB4" w:rsidRDefault="000519D1">
            <w:pPr>
              <w:tabs>
                <w:tab w:val="left" w:pos="540"/>
              </w:tabs>
              <w:snapToGrid w:val="0"/>
              <w:spacing w:line="360" w:lineRule="auto"/>
              <w:jc w:val="center"/>
              <w:rPr>
                <w:color w:val="000000"/>
                <w:szCs w:val="21"/>
              </w:rPr>
            </w:pPr>
            <w:r>
              <w:rPr>
                <w:color w:val="000000"/>
                <w:szCs w:val="21"/>
              </w:rPr>
              <w:t>1%</w:t>
            </w:r>
          </w:p>
        </w:tc>
      </w:tr>
      <w:tr w:rsidR="00175DB4" w14:paraId="32940028" w14:textId="77777777">
        <w:trPr>
          <w:jc w:val="center"/>
        </w:trPr>
        <w:tc>
          <w:tcPr>
            <w:tcW w:w="914" w:type="dxa"/>
            <w:shd w:val="clear" w:color="auto" w:fill="auto"/>
            <w:vAlign w:val="center"/>
          </w:tcPr>
          <w:p w14:paraId="763080E1" w14:textId="77777777" w:rsidR="00175DB4" w:rsidRDefault="000519D1">
            <w:pPr>
              <w:tabs>
                <w:tab w:val="left" w:pos="540"/>
              </w:tabs>
              <w:snapToGrid w:val="0"/>
              <w:spacing w:line="360" w:lineRule="auto"/>
              <w:jc w:val="center"/>
              <w:rPr>
                <w:color w:val="000000"/>
                <w:szCs w:val="21"/>
              </w:rPr>
            </w:pPr>
            <w:r>
              <w:rPr>
                <w:color w:val="000000"/>
                <w:szCs w:val="21"/>
              </w:rPr>
              <w:t>4</w:t>
            </w:r>
          </w:p>
        </w:tc>
        <w:tc>
          <w:tcPr>
            <w:tcW w:w="4155" w:type="dxa"/>
            <w:shd w:val="clear" w:color="auto" w:fill="auto"/>
            <w:vAlign w:val="center"/>
          </w:tcPr>
          <w:p w14:paraId="3DCD3671" w14:textId="77777777" w:rsidR="00175DB4" w:rsidRDefault="000519D1">
            <w:pPr>
              <w:tabs>
                <w:tab w:val="left" w:pos="540"/>
              </w:tabs>
              <w:snapToGrid w:val="0"/>
              <w:spacing w:line="360" w:lineRule="auto"/>
              <w:jc w:val="center"/>
              <w:rPr>
                <w:color w:val="000000"/>
                <w:szCs w:val="21"/>
              </w:rPr>
            </w:pPr>
            <w:r>
              <w:rPr>
                <w:color w:val="000000"/>
                <w:szCs w:val="21"/>
              </w:rPr>
              <w:t>大连实德集团有限公司</w:t>
            </w:r>
          </w:p>
        </w:tc>
        <w:tc>
          <w:tcPr>
            <w:tcW w:w="1678" w:type="dxa"/>
            <w:shd w:val="clear" w:color="auto" w:fill="auto"/>
            <w:vAlign w:val="center"/>
          </w:tcPr>
          <w:p w14:paraId="04AE6CE3" w14:textId="77777777" w:rsidR="00175DB4" w:rsidRDefault="000519D1">
            <w:pPr>
              <w:tabs>
                <w:tab w:val="left" w:pos="540"/>
              </w:tabs>
              <w:snapToGrid w:val="0"/>
              <w:spacing w:line="360" w:lineRule="auto"/>
              <w:jc w:val="center"/>
              <w:rPr>
                <w:color w:val="000000"/>
                <w:szCs w:val="21"/>
              </w:rPr>
            </w:pPr>
            <w:r>
              <w:rPr>
                <w:color w:val="000000"/>
                <w:szCs w:val="21"/>
              </w:rPr>
              <w:t>1%</w:t>
            </w:r>
          </w:p>
        </w:tc>
      </w:tr>
      <w:tr w:rsidR="00175DB4" w14:paraId="5EDF585B" w14:textId="77777777">
        <w:trPr>
          <w:jc w:val="center"/>
        </w:trPr>
        <w:tc>
          <w:tcPr>
            <w:tcW w:w="5069" w:type="dxa"/>
            <w:gridSpan w:val="2"/>
            <w:shd w:val="clear" w:color="auto" w:fill="auto"/>
            <w:vAlign w:val="center"/>
          </w:tcPr>
          <w:p w14:paraId="72D6C124" w14:textId="77777777" w:rsidR="00175DB4" w:rsidRDefault="000519D1">
            <w:pPr>
              <w:tabs>
                <w:tab w:val="left" w:pos="540"/>
              </w:tabs>
              <w:snapToGrid w:val="0"/>
              <w:spacing w:line="360" w:lineRule="auto"/>
              <w:jc w:val="center"/>
              <w:rPr>
                <w:color w:val="000000"/>
                <w:szCs w:val="21"/>
              </w:rPr>
            </w:pPr>
            <w:r>
              <w:rPr>
                <w:color w:val="000000"/>
                <w:szCs w:val="21"/>
              </w:rPr>
              <w:t>合计</w:t>
            </w:r>
          </w:p>
        </w:tc>
        <w:tc>
          <w:tcPr>
            <w:tcW w:w="1678" w:type="dxa"/>
            <w:shd w:val="clear" w:color="auto" w:fill="auto"/>
            <w:vAlign w:val="center"/>
          </w:tcPr>
          <w:p w14:paraId="33BC6E47" w14:textId="77777777" w:rsidR="00175DB4" w:rsidRDefault="000519D1">
            <w:pPr>
              <w:tabs>
                <w:tab w:val="left" w:pos="540"/>
              </w:tabs>
              <w:snapToGrid w:val="0"/>
              <w:spacing w:line="360" w:lineRule="auto"/>
              <w:jc w:val="center"/>
              <w:rPr>
                <w:color w:val="000000"/>
                <w:szCs w:val="21"/>
              </w:rPr>
            </w:pPr>
            <w:r>
              <w:rPr>
                <w:color w:val="000000"/>
                <w:szCs w:val="21"/>
              </w:rPr>
              <w:t>100%</w:t>
            </w:r>
          </w:p>
        </w:tc>
      </w:tr>
    </w:tbl>
    <w:p w14:paraId="394D8E99" w14:textId="77777777" w:rsidR="00175DB4" w:rsidRDefault="00175DB4">
      <w:pPr>
        <w:tabs>
          <w:tab w:val="left" w:pos="540"/>
        </w:tabs>
        <w:snapToGrid w:val="0"/>
        <w:spacing w:line="360" w:lineRule="auto"/>
        <w:ind w:firstLineChars="200" w:firstLine="420"/>
        <w:rPr>
          <w:color w:val="000000"/>
          <w:szCs w:val="21"/>
        </w:rPr>
      </w:pPr>
    </w:p>
    <w:p w14:paraId="6F6460DD" w14:textId="77777777" w:rsidR="00175DB4" w:rsidRDefault="000519D1">
      <w:pPr>
        <w:tabs>
          <w:tab w:val="left" w:pos="540"/>
        </w:tabs>
        <w:snapToGrid w:val="0"/>
        <w:spacing w:line="360" w:lineRule="auto"/>
        <w:ind w:firstLineChars="200" w:firstLine="420"/>
        <w:rPr>
          <w:color w:val="000000"/>
          <w:szCs w:val="21"/>
        </w:rPr>
      </w:pPr>
      <w:r>
        <w:rPr>
          <w:color w:val="000000"/>
          <w:szCs w:val="21"/>
        </w:rPr>
        <w:t>（二）</w:t>
      </w:r>
      <w:r>
        <w:rPr>
          <w:rFonts w:hint="eastAsia"/>
          <w:color w:val="000000"/>
          <w:szCs w:val="21"/>
        </w:rPr>
        <w:t>主要人员情况</w:t>
      </w:r>
    </w:p>
    <w:p w14:paraId="30C99809"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1</w:t>
      </w:r>
      <w:r w:rsidRPr="00F12740">
        <w:rPr>
          <w:rFonts w:hint="eastAsia"/>
          <w:color w:val="000000"/>
          <w:szCs w:val="21"/>
        </w:rPr>
        <w:t>、基金管理人董事会成员</w:t>
      </w:r>
    </w:p>
    <w:p w14:paraId="40DA68C9"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李进先生，董事长，经济学硕士。曾任职于中国科技财务公司及担任中国华能财务公司上海营业部副主任、综合计划部副经理、计划部副经理、综合计划部经理，中国华能财务有限责任公司副总经理、党组成员、总经理，永</w:t>
      </w:r>
      <w:proofErr w:type="gramStart"/>
      <w:r w:rsidRPr="00F12740">
        <w:rPr>
          <w:rFonts w:hint="eastAsia"/>
          <w:color w:val="000000"/>
          <w:szCs w:val="21"/>
        </w:rPr>
        <w:t>诚财产</w:t>
      </w:r>
      <w:proofErr w:type="gramEnd"/>
      <w:r w:rsidRPr="00F12740">
        <w:rPr>
          <w:rFonts w:hint="eastAsia"/>
          <w:color w:val="000000"/>
          <w:szCs w:val="21"/>
        </w:rPr>
        <w:t>保险股份有限公司总经理、党委委员，华</w:t>
      </w:r>
      <w:proofErr w:type="gramStart"/>
      <w:r w:rsidRPr="00F12740">
        <w:rPr>
          <w:rFonts w:hint="eastAsia"/>
          <w:color w:val="000000"/>
          <w:szCs w:val="21"/>
        </w:rPr>
        <w:t>能资本</w:t>
      </w:r>
      <w:proofErr w:type="gramEnd"/>
      <w:r w:rsidRPr="00F12740">
        <w:rPr>
          <w:rFonts w:hint="eastAsia"/>
          <w:color w:val="000000"/>
          <w:szCs w:val="21"/>
        </w:rPr>
        <w:t>服务有限公司副总经理、党组成员、总法律顾问、纪检组组长、工会主席、副总经理（主持经营工作）、总经理、党组副书记、党委副书记，</w:t>
      </w:r>
      <w:r w:rsidRPr="00F12740">
        <w:rPr>
          <w:rFonts w:hint="eastAsia"/>
          <w:color w:val="000000"/>
          <w:szCs w:val="21"/>
        </w:rPr>
        <w:t>2011</w:t>
      </w:r>
      <w:r w:rsidRPr="00F12740">
        <w:rPr>
          <w:rFonts w:hint="eastAsia"/>
          <w:color w:val="000000"/>
          <w:szCs w:val="21"/>
        </w:rPr>
        <w:t>年至</w:t>
      </w:r>
      <w:r w:rsidRPr="00F12740">
        <w:rPr>
          <w:rFonts w:hint="eastAsia"/>
          <w:color w:val="000000"/>
          <w:szCs w:val="21"/>
        </w:rPr>
        <w:t>2016</w:t>
      </w:r>
      <w:r w:rsidRPr="00F12740">
        <w:rPr>
          <w:rFonts w:hint="eastAsia"/>
          <w:color w:val="000000"/>
          <w:szCs w:val="21"/>
        </w:rPr>
        <w:t>年兼任</w:t>
      </w:r>
      <w:proofErr w:type="gramStart"/>
      <w:r w:rsidRPr="00F12740">
        <w:rPr>
          <w:rFonts w:hint="eastAsia"/>
          <w:color w:val="000000"/>
          <w:szCs w:val="21"/>
        </w:rPr>
        <w:t>华能贵诚信</w:t>
      </w:r>
      <w:proofErr w:type="gramEnd"/>
      <w:r w:rsidRPr="00F12740">
        <w:rPr>
          <w:rFonts w:hint="eastAsia"/>
          <w:color w:val="000000"/>
          <w:szCs w:val="21"/>
        </w:rPr>
        <w:t>托有限公司董事长。现任华</w:t>
      </w:r>
      <w:proofErr w:type="gramStart"/>
      <w:r w:rsidRPr="00F12740">
        <w:rPr>
          <w:rFonts w:hint="eastAsia"/>
          <w:color w:val="000000"/>
          <w:szCs w:val="21"/>
        </w:rPr>
        <w:t>能资本</w:t>
      </w:r>
      <w:proofErr w:type="gramEnd"/>
      <w:r w:rsidRPr="00F12740">
        <w:rPr>
          <w:rFonts w:hint="eastAsia"/>
          <w:color w:val="000000"/>
          <w:szCs w:val="21"/>
        </w:rPr>
        <w:t>服务有限公司党委书记、副董事长，景顺长城基金管理有限公司董事长。</w:t>
      </w:r>
    </w:p>
    <w:p w14:paraId="31B28FC3" w14:textId="5FE93F37" w:rsidR="00300CDC" w:rsidRPr="00F12740" w:rsidRDefault="00300CDC" w:rsidP="00F12740">
      <w:pPr>
        <w:tabs>
          <w:tab w:val="left" w:pos="540"/>
        </w:tabs>
        <w:snapToGrid w:val="0"/>
        <w:spacing w:line="360" w:lineRule="auto"/>
        <w:ind w:firstLineChars="200" w:firstLine="420"/>
        <w:rPr>
          <w:color w:val="000000"/>
          <w:szCs w:val="21"/>
        </w:rPr>
      </w:pPr>
      <w:r w:rsidRPr="00300CDC">
        <w:rPr>
          <w:rFonts w:hint="eastAsia"/>
          <w:color w:val="000000"/>
          <w:szCs w:val="21"/>
        </w:rPr>
        <w:t>康乐先生，董事、总经理、财务负责人，经济学硕士。曾任中国人</w:t>
      </w:r>
      <w:proofErr w:type="gramStart"/>
      <w:r w:rsidRPr="00300CDC">
        <w:rPr>
          <w:rFonts w:hint="eastAsia"/>
          <w:color w:val="000000"/>
          <w:szCs w:val="21"/>
        </w:rPr>
        <w:t>寿资产</w:t>
      </w:r>
      <w:proofErr w:type="gramEnd"/>
      <w:r w:rsidRPr="00300CDC">
        <w:rPr>
          <w:rFonts w:hint="eastAsia"/>
          <w:color w:val="000000"/>
          <w:szCs w:val="21"/>
        </w:rPr>
        <w:t>管理有限公司研究部研究员、组合管理部投资经理、国际业务部投资经理，景</w:t>
      </w:r>
      <w:proofErr w:type="gramStart"/>
      <w:r w:rsidRPr="00300CDC">
        <w:rPr>
          <w:rFonts w:hint="eastAsia"/>
          <w:color w:val="000000"/>
          <w:szCs w:val="21"/>
        </w:rPr>
        <w:t>顺投资</w:t>
      </w:r>
      <w:proofErr w:type="gramEnd"/>
      <w:r w:rsidRPr="00300CDC">
        <w:rPr>
          <w:rFonts w:hint="eastAsia"/>
          <w:color w:val="000000"/>
          <w:szCs w:val="21"/>
        </w:rPr>
        <w:t>管理有限公司市</w:t>
      </w:r>
      <w:r w:rsidRPr="00300CDC">
        <w:rPr>
          <w:rFonts w:hint="eastAsia"/>
          <w:color w:val="000000"/>
          <w:szCs w:val="21"/>
        </w:rPr>
        <w:lastRenderedPageBreak/>
        <w:t>场销售部经理、北京代表处首席代表，中国国际金融有限公司销售交易部副总经理。</w:t>
      </w:r>
      <w:r w:rsidRPr="00300CDC">
        <w:rPr>
          <w:rFonts w:hint="eastAsia"/>
          <w:color w:val="000000"/>
          <w:szCs w:val="21"/>
        </w:rPr>
        <w:t>2011</w:t>
      </w:r>
      <w:r w:rsidRPr="00300CDC">
        <w:rPr>
          <w:rFonts w:hint="eastAsia"/>
          <w:color w:val="000000"/>
          <w:szCs w:val="21"/>
        </w:rPr>
        <w:t>年</w:t>
      </w:r>
      <w:r w:rsidRPr="00300CDC">
        <w:rPr>
          <w:rFonts w:hint="eastAsia"/>
          <w:color w:val="000000"/>
          <w:szCs w:val="21"/>
        </w:rPr>
        <w:t>7</w:t>
      </w:r>
      <w:r w:rsidRPr="00300CDC">
        <w:rPr>
          <w:rFonts w:hint="eastAsia"/>
          <w:color w:val="000000"/>
          <w:szCs w:val="21"/>
        </w:rPr>
        <w:t>月加入本公司，现任公司董事、总经理。</w:t>
      </w:r>
    </w:p>
    <w:p w14:paraId="1DC37F40"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罗德城先生，董事，工商管理硕士。曾任大通银行信用分析师、花旗银行投资管理部副总裁、</w:t>
      </w:r>
      <w:r w:rsidRPr="00F12740">
        <w:rPr>
          <w:rFonts w:hint="eastAsia"/>
          <w:color w:val="000000"/>
          <w:szCs w:val="21"/>
        </w:rPr>
        <w:t>Capital House</w:t>
      </w:r>
      <w:r w:rsidRPr="00F12740">
        <w:rPr>
          <w:rFonts w:hint="eastAsia"/>
          <w:color w:val="000000"/>
          <w:szCs w:val="21"/>
        </w:rPr>
        <w:t>亚洲分公司的董事总经理，并于</w:t>
      </w:r>
      <w:r w:rsidRPr="00F12740">
        <w:rPr>
          <w:rFonts w:hint="eastAsia"/>
          <w:color w:val="000000"/>
          <w:szCs w:val="21"/>
        </w:rPr>
        <w:t>1992</w:t>
      </w:r>
      <w:r w:rsidRPr="00F12740">
        <w:rPr>
          <w:rFonts w:hint="eastAsia"/>
          <w:color w:val="000000"/>
          <w:szCs w:val="21"/>
        </w:rPr>
        <w:t>至</w:t>
      </w:r>
      <w:r w:rsidRPr="00F12740">
        <w:rPr>
          <w:rFonts w:hint="eastAsia"/>
          <w:color w:val="000000"/>
          <w:szCs w:val="21"/>
        </w:rPr>
        <w:t>1996</w:t>
      </w:r>
      <w:r w:rsidRPr="00F12740">
        <w:rPr>
          <w:rFonts w:hint="eastAsia"/>
          <w:color w:val="000000"/>
          <w:szCs w:val="21"/>
        </w:rPr>
        <w:t>年间出任香港投资基金公会管理委员会成员，</w:t>
      </w:r>
      <w:r w:rsidRPr="00F12740">
        <w:rPr>
          <w:rFonts w:hint="eastAsia"/>
          <w:color w:val="000000"/>
          <w:szCs w:val="21"/>
        </w:rPr>
        <w:t>1996</w:t>
      </w:r>
      <w:r w:rsidRPr="00F12740">
        <w:rPr>
          <w:rFonts w:hint="eastAsia"/>
          <w:color w:val="000000"/>
          <w:szCs w:val="21"/>
        </w:rPr>
        <w:t>至</w:t>
      </w:r>
      <w:r w:rsidRPr="00F12740">
        <w:rPr>
          <w:rFonts w:hint="eastAsia"/>
          <w:color w:val="000000"/>
          <w:szCs w:val="21"/>
        </w:rPr>
        <w:t>1997</w:t>
      </w:r>
      <w:r w:rsidRPr="00F12740">
        <w:rPr>
          <w:rFonts w:hint="eastAsia"/>
          <w:color w:val="000000"/>
          <w:szCs w:val="21"/>
        </w:rPr>
        <w:t>年间出任香港投资基金公会主席，</w:t>
      </w:r>
      <w:r w:rsidRPr="00F12740">
        <w:rPr>
          <w:rFonts w:hint="eastAsia"/>
          <w:color w:val="000000"/>
          <w:szCs w:val="21"/>
        </w:rPr>
        <w:t>1997</w:t>
      </w:r>
      <w:r w:rsidRPr="00F12740">
        <w:rPr>
          <w:rFonts w:hint="eastAsia"/>
          <w:color w:val="000000"/>
          <w:szCs w:val="21"/>
        </w:rPr>
        <w:t>至</w:t>
      </w:r>
      <w:r w:rsidRPr="00F12740">
        <w:rPr>
          <w:rFonts w:hint="eastAsia"/>
          <w:color w:val="000000"/>
          <w:szCs w:val="21"/>
        </w:rPr>
        <w:t>2000</w:t>
      </w:r>
      <w:r w:rsidRPr="00F12740">
        <w:rPr>
          <w:rFonts w:hint="eastAsia"/>
          <w:color w:val="000000"/>
          <w:szCs w:val="21"/>
        </w:rPr>
        <w:t>年间出任香港联交所委员会成员，</w:t>
      </w:r>
      <w:r w:rsidRPr="00F12740">
        <w:rPr>
          <w:rFonts w:hint="eastAsia"/>
          <w:color w:val="000000"/>
          <w:szCs w:val="21"/>
        </w:rPr>
        <w:t>1997</w:t>
      </w:r>
      <w:r w:rsidRPr="00F12740">
        <w:rPr>
          <w:rFonts w:hint="eastAsia"/>
          <w:color w:val="000000"/>
          <w:szCs w:val="21"/>
        </w:rPr>
        <w:t>至</w:t>
      </w:r>
      <w:r w:rsidRPr="00F12740">
        <w:rPr>
          <w:rFonts w:hint="eastAsia"/>
          <w:color w:val="000000"/>
          <w:szCs w:val="21"/>
        </w:rPr>
        <w:t>2001</w:t>
      </w:r>
      <w:r w:rsidRPr="00F12740">
        <w:rPr>
          <w:rFonts w:hint="eastAsia"/>
          <w:color w:val="000000"/>
          <w:szCs w:val="21"/>
        </w:rPr>
        <w:t>年间出任香港证券及期货事务监察委员会咨询委员会委员。</w:t>
      </w:r>
      <w:r w:rsidRPr="00F12740">
        <w:rPr>
          <w:rFonts w:hint="eastAsia"/>
          <w:color w:val="000000"/>
          <w:szCs w:val="21"/>
        </w:rPr>
        <w:t>1994</w:t>
      </w:r>
      <w:r w:rsidRPr="00F12740">
        <w:rPr>
          <w:rFonts w:hint="eastAsia"/>
          <w:color w:val="000000"/>
          <w:szCs w:val="21"/>
        </w:rPr>
        <w:t>年加入景顺集团，现任亚太区首席执行官。</w:t>
      </w:r>
    </w:p>
    <w:p w14:paraId="6FF57CDC"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张巍先生，董事，工商管理硕士。曾任北京动力经济学院教务处干部，中国电力企业联合会</w:t>
      </w:r>
      <w:proofErr w:type="gramStart"/>
      <w:r w:rsidRPr="00F12740">
        <w:rPr>
          <w:rFonts w:hint="eastAsia"/>
          <w:color w:val="000000"/>
          <w:szCs w:val="21"/>
        </w:rPr>
        <w:t>教培部干部</w:t>
      </w:r>
      <w:proofErr w:type="gramEnd"/>
      <w:r w:rsidRPr="00F12740">
        <w:rPr>
          <w:rFonts w:hint="eastAsia"/>
          <w:color w:val="000000"/>
          <w:szCs w:val="21"/>
        </w:rPr>
        <w:t>、主任科员，中国华能集团公司市场营销主管，华能国际电力股份有限公司营销部高级工程师、营销部营销一处副处长、营销部综合处副处长（主持工作），华</w:t>
      </w:r>
      <w:proofErr w:type="gramStart"/>
      <w:r w:rsidRPr="00F12740">
        <w:rPr>
          <w:rFonts w:hint="eastAsia"/>
          <w:color w:val="000000"/>
          <w:szCs w:val="21"/>
        </w:rPr>
        <w:t>能资本</w:t>
      </w:r>
      <w:proofErr w:type="gramEnd"/>
      <w:r w:rsidRPr="00F12740">
        <w:rPr>
          <w:rFonts w:hint="eastAsia"/>
          <w:color w:val="000000"/>
          <w:szCs w:val="21"/>
        </w:rPr>
        <w:t>服务有限公司总经理工作部副经理、总经理工作部经理，中国华能财务有限责任公司党组成员、纪检组长、副总经理，华</w:t>
      </w:r>
      <w:proofErr w:type="gramStart"/>
      <w:r w:rsidRPr="00F12740">
        <w:rPr>
          <w:rFonts w:hint="eastAsia"/>
          <w:color w:val="000000"/>
          <w:szCs w:val="21"/>
        </w:rPr>
        <w:t>能碳资产</w:t>
      </w:r>
      <w:proofErr w:type="gramEnd"/>
      <w:r w:rsidRPr="00F12740">
        <w:rPr>
          <w:rFonts w:hint="eastAsia"/>
          <w:color w:val="000000"/>
          <w:szCs w:val="21"/>
        </w:rPr>
        <w:t>经营有限公司党组成员、副总经理、党组书记、党委书记、党委副书记、总经理，华能能源交通产业控股有限公司总经理、党委委员、副书记，</w:t>
      </w:r>
      <w:r w:rsidRPr="00F12740">
        <w:rPr>
          <w:rFonts w:hint="eastAsia"/>
          <w:color w:val="000000"/>
          <w:szCs w:val="21"/>
        </w:rPr>
        <w:t>2008</w:t>
      </w:r>
      <w:r w:rsidRPr="00F12740">
        <w:rPr>
          <w:rFonts w:hint="eastAsia"/>
          <w:color w:val="000000"/>
          <w:szCs w:val="21"/>
        </w:rPr>
        <w:t>年</w:t>
      </w:r>
      <w:r w:rsidRPr="00F12740">
        <w:rPr>
          <w:rFonts w:hint="eastAsia"/>
          <w:color w:val="000000"/>
          <w:szCs w:val="21"/>
        </w:rPr>
        <w:t>11</w:t>
      </w:r>
      <w:r w:rsidRPr="00F12740">
        <w:rPr>
          <w:rFonts w:hint="eastAsia"/>
          <w:color w:val="000000"/>
          <w:szCs w:val="21"/>
        </w:rPr>
        <w:t>月至</w:t>
      </w:r>
      <w:r w:rsidRPr="00F12740">
        <w:rPr>
          <w:rFonts w:hint="eastAsia"/>
          <w:color w:val="000000"/>
          <w:szCs w:val="21"/>
        </w:rPr>
        <w:t>2012</w:t>
      </w:r>
      <w:r w:rsidRPr="00F12740">
        <w:rPr>
          <w:rFonts w:hint="eastAsia"/>
          <w:color w:val="000000"/>
          <w:szCs w:val="21"/>
        </w:rPr>
        <w:t>年</w:t>
      </w:r>
      <w:r w:rsidRPr="00F12740">
        <w:rPr>
          <w:rFonts w:hint="eastAsia"/>
          <w:color w:val="000000"/>
          <w:szCs w:val="21"/>
        </w:rPr>
        <w:t>4</w:t>
      </w:r>
      <w:r w:rsidRPr="00F12740">
        <w:rPr>
          <w:rFonts w:hint="eastAsia"/>
          <w:color w:val="000000"/>
          <w:szCs w:val="21"/>
        </w:rPr>
        <w:t>月兼任长城证券有限责任公司董事，</w:t>
      </w:r>
      <w:r w:rsidRPr="00F12740">
        <w:rPr>
          <w:rFonts w:hint="eastAsia"/>
          <w:color w:val="000000"/>
          <w:szCs w:val="21"/>
        </w:rPr>
        <w:t>2016</w:t>
      </w:r>
      <w:r w:rsidRPr="00F12740">
        <w:rPr>
          <w:rFonts w:hint="eastAsia"/>
          <w:color w:val="000000"/>
          <w:szCs w:val="21"/>
        </w:rPr>
        <w:t>年</w:t>
      </w:r>
      <w:r w:rsidRPr="00F12740">
        <w:rPr>
          <w:rFonts w:hint="eastAsia"/>
          <w:color w:val="000000"/>
          <w:szCs w:val="21"/>
        </w:rPr>
        <w:t>12</w:t>
      </w:r>
      <w:r w:rsidRPr="00F12740">
        <w:rPr>
          <w:rFonts w:hint="eastAsia"/>
          <w:color w:val="000000"/>
          <w:szCs w:val="21"/>
        </w:rPr>
        <w:t>月至</w:t>
      </w:r>
      <w:r w:rsidRPr="00F12740">
        <w:rPr>
          <w:rFonts w:hint="eastAsia"/>
          <w:color w:val="000000"/>
          <w:szCs w:val="21"/>
        </w:rPr>
        <w:t>2019</w:t>
      </w:r>
      <w:r w:rsidRPr="00F12740">
        <w:rPr>
          <w:rFonts w:hint="eastAsia"/>
          <w:color w:val="000000"/>
          <w:szCs w:val="21"/>
        </w:rPr>
        <w:t>年</w:t>
      </w:r>
      <w:r w:rsidRPr="00F12740">
        <w:rPr>
          <w:rFonts w:hint="eastAsia"/>
          <w:color w:val="000000"/>
          <w:szCs w:val="21"/>
        </w:rPr>
        <w:t>1</w:t>
      </w:r>
      <w:r w:rsidRPr="00F12740">
        <w:rPr>
          <w:rFonts w:hint="eastAsia"/>
          <w:color w:val="000000"/>
          <w:szCs w:val="21"/>
        </w:rPr>
        <w:t>月挂职于四川省科技厅党组成员、副厅长（正厅级），</w:t>
      </w:r>
      <w:r w:rsidRPr="00F12740">
        <w:rPr>
          <w:rFonts w:hint="eastAsia"/>
          <w:color w:val="000000"/>
          <w:szCs w:val="21"/>
        </w:rPr>
        <w:t>2017</w:t>
      </w:r>
      <w:r w:rsidRPr="00F12740">
        <w:rPr>
          <w:rFonts w:hint="eastAsia"/>
          <w:color w:val="000000"/>
          <w:szCs w:val="21"/>
        </w:rPr>
        <w:t>年</w:t>
      </w:r>
      <w:r w:rsidRPr="00F12740">
        <w:rPr>
          <w:rFonts w:hint="eastAsia"/>
          <w:color w:val="000000"/>
          <w:szCs w:val="21"/>
        </w:rPr>
        <w:t>9</w:t>
      </w:r>
      <w:r w:rsidRPr="00F12740">
        <w:rPr>
          <w:rFonts w:hint="eastAsia"/>
          <w:color w:val="000000"/>
          <w:szCs w:val="21"/>
        </w:rPr>
        <w:t>月至</w:t>
      </w:r>
      <w:r w:rsidRPr="00F12740">
        <w:rPr>
          <w:rFonts w:hint="eastAsia"/>
          <w:color w:val="000000"/>
          <w:szCs w:val="21"/>
        </w:rPr>
        <w:t>2018</w:t>
      </w:r>
      <w:r w:rsidRPr="00F12740">
        <w:rPr>
          <w:rFonts w:hint="eastAsia"/>
          <w:color w:val="000000"/>
          <w:szCs w:val="21"/>
        </w:rPr>
        <w:t>年</w:t>
      </w:r>
      <w:r w:rsidRPr="00F12740">
        <w:rPr>
          <w:rFonts w:hint="eastAsia"/>
          <w:color w:val="000000"/>
          <w:szCs w:val="21"/>
        </w:rPr>
        <w:t>12</w:t>
      </w:r>
      <w:r w:rsidRPr="00F12740">
        <w:rPr>
          <w:rFonts w:hint="eastAsia"/>
          <w:color w:val="000000"/>
          <w:szCs w:val="21"/>
        </w:rPr>
        <w:t>月兼任四川发展（控股）有限责任公司外部董事、四川省旅游投资集团有限责任公司外部董事，现任华</w:t>
      </w:r>
      <w:proofErr w:type="gramStart"/>
      <w:r w:rsidRPr="00F12740">
        <w:rPr>
          <w:rFonts w:hint="eastAsia"/>
          <w:color w:val="000000"/>
          <w:szCs w:val="21"/>
        </w:rPr>
        <w:t>能资本</w:t>
      </w:r>
      <w:proofErr w:type="gramEnd"/>
      <w:r w:rsidRPr="00F12740">
        <w:rPr>
          <w:rFonts w:hint="eastAsia"/>
          <w:color w:val="000000"/>
          <w:szCs w:val="21"/>
        </w:rPr>
        <w:t>服务有限公司党委委员，长城证券股份有限公司党委书记、董事长。</w:t>
      </w:r>
    </w:p>
    <w:p w14:paraId="37C3F01F"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伍同明先生，独立董事，文学学士。香港会计师公会会员（</w:t>
      </w:r>
      <w:r w:rsidRPr="00F12740">
        <w:rPr>
          <w:rFonts w:hint="eastAsia"/>
          <w:color w:val="000000"/>
          <w:szCs w:val="21"/>
        </w:rPr>
        <w:t>HKICPA</w:t>
      </w:r>
      <w:r w:rsidRPr="00F12740">
        <w:rPr>
          <w:rFonts w:hint="eastAsia"/>
          <w:color w:val="000000"/>
          <w:szCs w:val="21"/>
        </w:rPr>
        <w:t>）、英国特许公认会计师（</w:t>
      </w:r>
      <w:r w:rsidRPr="00F12740">
        <w:rPr>
          <w:rFonts w:hint="eastAsia"/>
          <w:color w:val="000000"/>
          <w:szCs w:val="21"/>
        </w:rPr>
        <w:t>ACCA</w:t>
      </w:r>
      <w:r w:rsidRPr="00F12740">
        <w:rPr>
          <w:rFonts w:hint="eastAsia"/>
          <w:color w:val="000000"/>
          <w:szCs w:val="21"/>
        </w:rPr>
        <w:t>）、香港执业会计师（</w:t>
      </w:r>
      <w:r w:rsidRPr="00F12740">
        <w:rPr>
          <w:rFonts w:hint="eastAsia"/>
          <w:color w:val="000000"/>
          <w:szCs w:val="21"/>
        </w:rPr>
        <w:t>CPA</w:t>
      </w:r>
      <w:r w:rsidRPr="00F12740">
        <w:rPr>
          <w:rFonts w:hint="eastAsia"/>
          <w:color w:val="000000"/>
          <w:szCs w:val="21"/>
        </w:rPr>
        <w:t>）、加拿大公认管理会计师（</w:t>
      </w:r>
      <w:r w:rsidRPr="00F12740">
        <w:rPr>
          <w:rFonts w:hint="eastAsia"/>
          <w:color w:val="000000"/>
          <w:szCs w:val="21"/>
        </w:rPr>
        <w:t>CMA</w:t>
      </w:r>
      <w:r w:rsidRPr="00F12740">
        <w:rPr>
          <w:rFonts w:hint="eastAsia"/>
          <w:color w:val="000000"/>
          <w:szCs w:val="21"/>
        </w:rPr>
        <w:t>）。拥有超过二十年以上的会计、审核、管治税务的专业经验及知识，</w:t>
      </w:r>
      <w:r w:rsidRPr="00F12740">
        <w:rPr>
          <w:rFonts w:hint="eastAsia"/>
          <w:color w:val="000000"/>
          <w:szCs w:val="21"/>
        </w:rPr>
        <w:t>1972-1977</w:t>
      </w:r>
      <w:r w:rsidRPr="00F12740">
        <w:rPr>
          <w:rFonts w:hint="eastAsia"/>
          <w:color w:val="000000"/>
          <w:szCs w:val="21"/>
        </w:rPr>
        <w:t>受训于国际知名会计师楼“毕马威会计师行”</w:t>
      </w:r>
      <w:r w:rsidRPr="00F12740">
        <w:rPr>
          <w:rFonts w:hint="eastAsia"/>
          <w:color w:val="000000"/>
          <w:szCs w:val="21"/>
        </w:rPr>
        <w:t>[KPMG]</w:t>
      </w:r>
      <w:r w:rsidRPr="00F12740">
        <w:rPr>
          <w:rFonts w:hint="eastAsia"/>
          <w:color w:val="000000"/>
          <w:szCs w:val="21"/>
        </w:rPr>
        <w:t>。现为“伍同明会计师行”所有者。</w:t>
      </w:r>
    </w:p>
    <w:p w14:paraId="72DF93D3"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靳庆军先生，独立董事，法学硕士。曾任中信律师事务所涉外专职律师，在香港马士</w:t>
      </w:r>
      <w:proofErr w:type="gramStart"/>
      <w:r w:rsidRPr="00F12740">
        <w:rPr>
          <w:rFonts w:hint="eastAsia"/>
          <w:color w:val="000000"/>
          <w:szCs w:val="21"/>
        </w:rPr>
        <w:t>打律师</w:t>
      </w:r>
      <w:proofErr w:type="gramEnd"/>
      <w:r w:rsidRPr="00F12740">
        <w:rPr>
          <w:rFonts w:hint="eastAsia"/>
          <w:color w:val="000000"/>
          <w:szCs w:val="21"/>
        </w:rPr>
        <w:t>行、英国律师行</w:t>
      </w:r>
      <w:r w:rsidRPr="00F12740">
        <w:rPr>
          <w:rFonts w:hint="eastAsia"/>
          <w:color w:val="000000"/>
          <w:szCs w:val="21"/>
        </w:rPr>
        <w:t>C1yde</w:t>
      </w:r>
      <w:r w:rsidRPr="00F12740">
        <w:rPr>
          <w:rFonts w:hint="eastAsia"/>
          <w:color w:val="000000"/>
          <w:szCs w:val="21"/>
        </w:rPr>
        <w:t>＆</w:t>
      </w:r>
      <w:r w:rsidRPr="00F12740">
        <w:rPr>
          <w:rFonts w:hint="eastAsia"/>
          <w:color w:val="000000"/>
          <w:szCs w:val="21"/>
        </w:rPr>
        <w:t>Co.</w:t>
      </w:r>
      <w:r w:rsidRPr="00F12740">
        <w:rPr>
          <w:rFonts w:hint="eastAsia"/>
          <w:color w:val="000000"/>
          <w:szCs w:val="21"/>
        </w:rPr>
        <w:t>从事律师工作，</w:t>
      </w:r>
      <w:r w:rsidRPr="00F12740">
        <w:rPr>
          <w:rFonts w:hint="eastAsia"/>
          <w:color w:val="000000"/>
          <w:szCs w:val="21"/>
        </w:rPr>
        <w:t>1993</w:t>
      </w:r>
      <w:r w:rsidRPr="00F12740">
        <w:rPr>
          <w:rFonts w:hint="eastAsia"/>
          <w:color w:val="000000"/>
          <w:szCs w:val="21"/>
        </w:rPr>
        <w:t>年发起设立信达律师事务所，担任执行合伙人。现任金杜律师事务所合伙人。</w:t>
      </w:r>
    </w:p>
    <w:p w14:paraId="0636F932"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闵路浩先生，独立董事，经济学硕士。曾任中国人民银行金融管理公司科员、主任科员，中国人民银行非银行金融机构监管司副处长、处长，中国银行业监督管理委员会非银行金融机构</w:t>
      </w:r>
      <w:proofErr w:type="gramStart"/>
      <w:r w:rsidRPr="00F12740">
        <w:rPr>
          <w:rFonts w:hint="eastAsia"/>
          <w:color w:val="000000"/>
          <w:szCs w:val="21"/>
        </w:rPr>
        <w:t>监管部</w:t>
      </w:r>
      <w:proofErr w:type="gramEnd"/>
      <w:r w:rsidRPr="00F12740">
        <w:rPr>
          <w:rFonts w:hint="eastAsia"/>
          <w:color w:val="000000"/>
          <w:szCs w:val="21"/>
        </w:rPr>
        <w:t>处长、副巡视员、巡视员，中国小额贷款公司协会会长，重庆富民银行行长。现任北京中泰创汇股权投资基金管理有限公司总裁。</w:t>
      </w:r>
    </w:p>
    <w:p w14:paraId="0602AA3D"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2</w:t>
      </w:r>
      <w:r w:rsidRPr="00F12740">
        <w:rPr>
          <w:rFonts w:hint="eastAsia"/>
          <w:color w:val="000000"/>
          <w:szCs w:val="21"/>
        </w:rPr>
        <w:t>、基金管理人监事会成员</w:t>
      </w:r>
    </w:p>
    <w:p w14:paraId="2F49AD0B"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阮惠仙女士，监事，会计学硕士。现任长城证券股份有限公司财务部总经理。</w:t>
      </w:r>
    </w:p>
    <w:p w14:paraId="38805264"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郭慧娜女士，监事，管理学硕士。曾任伦敦安永会计师事务所核数师，景顺投资管理有限公司项目主管、业务发展部副经理、企业发展部经理、亚太区监察总监、亚太区首席行政官。现任景顺投资管理有限公司亚太区首席营运总监。</w:t>
      </w:r>
    </w:p>
    <w:p w14:paraId="2DE5A68A"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邵媛媛女士，监事，管理学硕士。曾任职于深圳市天健（信德）会计师事务所，福建</w:t>
      </w:r>
      <w:r w:rsidRPr="00F12740">
        <w:rPr>
          <w:rFonts w:hint="eastAsia"/>
          <w:color w:val="000000"/>
          <w:szCs w:val="21"/>
        </w:rPr>
        <w:lastRenderedPageBreak/>
        <w:t>兴业银行深圳分行计财部。</w:t>
      </w:r>
      <w:r w:rsidRPr="00F12740">
        <w:rPr>
          <w:rFonts w:hint="eastAsia"/>
          <w:color w:val="000000"/>
          <w:szCs w:val="21"/>
        </w:rPr>
        <w:t>2003</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月加入本公司，现任基金事务部总经理。</w:t>
      </w:r>
    </w:p>
    <w:p w14:paraId="5E32B84C"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杨波先生，监事，工商管理硕士。曾任职于长城证券经纪业务管理部。</w:t>
      </w:r>
      <w:r w:rsidRPr="00F12740">
        <w:rPr>
          <w:rFonts w:hint="eastAsia"/>
          <w:color w:val="000000"/>
          <w:szCs w:val="21"/>
        </w:rPr>
        <w:t>2003</w:t>
      </w:r>
      <w:r w:rsidRPr="00F12740">
        <w:rPr>
          <w:rFonts w:hint="eastAsia"/>
          <w:color w:val="000000"/>
          <w:szCs w:val="21"/>
        </w:rPr>
        <w:t>年</w:t>
      </w:r>
      <w:r w:rsidRPr="00F12740">
        <w:rPr>
          <w:rFonts w:hint="eastAsia"/>
          <w:color w:val="000000"/>
          <w:szCs w:val="21"/>
        </w:rPr>
        <w:t>8</w:t>
      </w:r>
      <w:r w:rsidRPr="00F12740">
        <w:rPr>
          <w:rFonts w:hint="eastAsia"/>
          <w:color w:val="000000"/>
          <w:szCs w:val="21"/>
        </w:rPr>
        <w:t>月加入本公司，现任交易管理部总经理。</w:t>
      </w:r>
    </w:p>
    <w:p w14:paraId="5AD53657"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3</w:t>
      </w:r>
      <w:r w:rsidRPr="00F12740">
        <w:rPr>
          <w:rFonts w:hint="eastAsia"/>
          <w:color w:val="000000"/>
          <w:szCs w:val="21"/>
        </w:rPr>
        <w:t>、高级管理人员</w:t>
      </w:r>
    </w:p>
    <w:p w14:paraId="409295AD"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李进先生，董事长，简历同上。</w:t>
      </w:r>
    </w:p>
    <w:p w14:paraId="5284E12B"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康乐先生，总经理，简历同上。</w:t>
      </w:r>
    </w:p>
    <w:p w14:paraId="4EBF07DC"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CHEN WENYU</w:t>
      </w:r>
      <w:r w:rsidRPr="00F12740">
        <w:rPr>
          <w:rFonts w:hint="eastAsia"/>
          <w:color w:val="000000"/>
          <w:szCs w:val="21"/>
        </w:rPr>
        <w:t>（陈文宇先生），工商管理硕士。曾任中国海口电视台每日新闻记者及每</w:t>
      </w:r>
      <w:proofErr w:type="gramStart"/>
      <w:r w:rsidRPr="00F12740">
        <w:rPr>
          <w:rFonts w:hint="eastAsia"/>
          <w:color w:val="000000"/>
          <w:szCs w:val="21"/>
        </w:rPr>
        <w:t>周金融</w:t>
      </w:r>
      <w:proofErr w:type="gramEnd"/>
      <w:r w:rsidRPr="00F12740">
        <w:rPr>
          <w:rFonts w:hint="eastAsia"/>
          <w:color w:val="000000"/>
          <w:szCs w:val="21"/>
        </w:rPr>
        <w:t>新闻节目制作人，安盛罗森堡投资管理公司（美国加州）美洲区副首席投资官，以及研究、投资组合管理和策略等其他多个职位，安盛投资管理亚洲有限公司（新加坡）泛亚地区首席投资官。</w:t>
      </w:r>
      <w:r w:rsidRPr="00F12740">
        <w:rPr>
          <w:rFonts w:hint="eastAsia"/>
          <w:color w:val="000000"/>
          <w:szCs w:val="21"/>
        </w:rPr>
        <w:t>2018</w:t>
      </w:r>
      <w:r w:rsidRPr="00F12740">
        <w:rPr>
          <w:rFonts w:hint="eastAsia"/>
          <w:color w:val="000000"/>
          <w:szCs w:val="21"/>
        </w:rPr>
        <w:t>年加入本公司，现任公司副总经理。</w:t>
      </w:r>
    </w:p>
    <w:p w14:paraId="119D6994"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毛从容女士，副总经理，经济学硕士。曾任职于交通银行深圳市分行国际业务部及担任长城证券金融研究所高级分析师、债券小组组长。</w:t>
      </w:r>
      <w:r w:rsidRPr="00F12740">
        <w:rPr>
          <w:rFonts w:hint="eastAsia"/>
          <w:color w:val="000000"/>
          <w:szCs w:val="21"/>
        </w:rPr>
        <w:t>2003</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月加入本公司，现任公司副总经理。</w:t>
      </w:r>
    </w:p>
    <w:p w14:paraId="5EE80065"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刘彦春先生，副总经理，管理学硕士。曾任汉唐证券研究部研究员，香港中信投资研究有限公司研究员，博时基金研究员、基金经理助理、基金经理。</w:t>
      </w:r>
      <w:r w:rsidRPr="00F12740">
        <w:rPr>
          <w:rFonts w:hint="eastAsia"/>
          <w:color w:val="000000"/>
          <w:szCs w:val="21"/>
        </w:rPr>
        <w:t>2015</w:t>
      </w:r>
      <w:r w:rsidRPr="00F12740">
        <w:rPr>
          <w:rFonts w:hint="eastAsia"/>
          <w:color w:val="000000"/>
          <w:szCs w:val="21"/>
        </w:rPr>
        <w:t>年</w:t>
      </w:r>
      <w:r w:rsidRPr="00F12740">
        <w:rPr>
          <w:rFonts w:hint="eastAsia"/>
          <w:color w:val="000000"/>
          <w:szCs w:val="21"/>
        </w:rPr>
        <w:t>1</w:t>
      </w:r>
      <w:r w:rsidRPr="00F12740">
        <w:rPr>
          <w:rFonts w:hint="eastAsia"/>
          <w:color w:val="000000"/>
          <w:szCs w:val="21"/>
        </w:rPr>
        <w:t>月加入本公司，现任公司副总经理。</w:t>
      </w:r>
    </w:p>
    <w:p w14:paraId="05641449"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黎海威先生，副总经理，经济学硕士，</w:t>
      </w:r>
      <w:r w:rsidRPr="00F12740">
        <w:rPr>
          <w:rFonts w:hint="eastAsia"/>
          <w:color w:val="000000"/>
          <w:szCs w:val="21"/>
        </w:rPr>
        <w:t>CFA</w:t>
      </w:r>
      <w:r w:rsidRPr="00F12740">
        <w:rPr>
          <w:rFonts w:hint="eastAsia"/>
          <w:color w:val="000000"/>
          <w:szCs w:val="21"/>
        </w:rPr>
        <w:t>。曾任美国穆迪</w:t>
      </w:r>
      <w:r w:rsidRPr="00F12740">
        <w:rPr>
          <w:rFonts w:hint="eastAsia"/>
          <w:color w:val="000000"/>
          <w:szCs w:val="21"/>
        </w:rPr>
        <w:t>KMV</w:t>
      </w:r>
      <w:r w:rsidRPr="00F12740">
        <w:rPr>
          <w:rFonts w:hint="eastAsia"/>
          <w:color w:val="000000"/>
          <w:szCs w:val="21"/>
        </w:rPr>
        <w:t>公司研究员，美国贝莱德集团（原巴克莱国际投资管理有限公司）基金经理、主动股票部副总裁，香港海通国际资产管理有限公司</w:t>
      </w:r>
      <w:r w:rsidRPr="00F12740">
        <w:rPr>
          <w:rFonts w:hint="eastAsia"/>
          <w:color w:val="000000"/>
          <w:szCs w:val="21"/>
        </w:rPr>
        <w:t>(</w:t>
      </w:r>
      <w:r w:rsidRPr="00F12740">
        <w:rPr>
          <w:rFonts w:hint="eastAsia"/>
          <w:color w:val="000000"/>
          <w:szCs w:val="21"/>
        </w:rPr>
        <w:t>海通国际投资管理有限公司</w:t>
      </w:r>
      <w:r w:rsidRPr="00F12740">
        <w:rPr>
          <w:rFonts w:hint="eastAsia"/>
          <w:color w:val="000000"/>
          <w:szCs w:val="21"/>
        </w:rPr>
        <w:t>)</w:t>
      </w:r>
      <w:r w:rsidRPr="00F12740">
        <w:rPr>
          <w:rFonts w:hint="eastAsia"/>
          <w:color w:val="000000"/>
          <w:szCs w:val="21"/>
        </w:rPr>
        <w:t>量化总监。</w:t>
      </w:r>
      <w:r w:rsidRPr="00F12740">
        <w:rPr>
          <w:rFonts w:hint="eastAsia"/>
          <w:color w:val="000000"/>
          <w:szCs w:val="21"/>
        </w:rPr>
        <w:t>2012</w:t>
      </w:r>
      <w:r w:rsidRPr="00F12740">
        <w:rPr>
          <w:rFonts w:hint="eastAsia"/>
          <w:color w:val="000000"/>
          <w:szCs w:val="21"/>
        </w:rPr>
        <w:t>年</w:t>
      </w:r>
      <w:r w:rsidRPr="00F12740">
        <w:rPr>
          <w:rFonts w:hint="eastAsia"/>
          <w:color w:val="000000"/>
          <w:szCs w:val="21"/>
        </w:rPr>
        <w:t>8</w:t>
      </w:r>
      <w:r w:rsidRPr="00F12740">
        <w:rPr>
          <w:rFonts w:hint="eastAsia"/>
          <w:color w:val="000000"/>
          <w:szCs w:val="21"/>
        </w:rPr>
        <w:t>月加入本公司，现任公司副总经理。</w:t>
      </w:r>
    </w:p>
    <w:p w14:paraId="6B6AF614"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赵代中先生，副总经理，理学硕士。曾任深圳发展银行北京分行金融同业部投资经理、宁夏嘉川集团项目部项目负责人、全国社会保障基金理事会境外投资</w:t>
      </w:r>
      <w:proofErr w:type="gramStart"/>
      <w:r w:rsidRPr="00F12740">
        <w:rPr>
          <w:rFonts w:hint="eastAsia"/>
          <w:color w:val="000000"/>
          <w:szCs w:val="21"/>
        </w:rPr>
        <w:t>部全球</w:t>
      </w:r>
      <w:proofErr w:type="gramEnd"/>
      <w:r w:rsidRPr="00F12740">
        <w:rPr>
          <w:rFonts w:hint="eastAsia"/>
          <w:color w:val="000000"/>
          <w:szCs w:val="21"/>
        </w:rPr>
        <w:t>股票处处长、浙江大钧资产管理有限公司合伙人兼副总经理。</w:t>
      </w:r>
      <w:r w:rsidRPr="00F12740">
        <w:rPr>
          <w:rFonts w:hint="eastAsia"/>
          <w:color w:val="000000"/>
          <w:szCs w:val="21"/>
        </w:rPr>
        <w:t>2016</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月加入本公司，现任公司副总经理。</w:t>
      </w:r>
    </w:p>
    <w:p w14:paraId="016F5B00"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李黎女士，副总经理，经济学硕士。曾任职于广发证券机构客户中心及景顺长城基金管理有限公司市场部，之后加入国</w:t>
      </w:r>
      <w:proofErr w:type="gramStart"/>
      <w:r w:rsidRPr="00F12740">
        <w:rPr>
          <w:rFonts w:hint="eastAsia"/>
          <w:color w:val="000000"/>
          <w:szCs w:val="21"/>
        </w:rPr>
        <w:t>投瑞银基金</w:t>
      </w:r>
      <w:proofErr w:type="gramEnd"/>
      <w:r w:rsidRPr="00F12740">
        <w:rPr>
          <w:rFonts w:hint="eastAsia"/>
          <w:color w:val="000000"/>
          <w:szCs w:val="21"/>
        </w:rPr>
        <w:t>市场服务部担任副总监。</w:t>
      </w:r>
      <w:r w:rsidRPr="00F12740">
        <w:rPr>
          <w:rFonts w:hint="eastAsia"/>
          <w:color w:val="000000"/>
          <w:szCs w:val="21"/>
        </w:rPr>
        <w:t>2009</w:t>
      </w:r>
      <w:r w:rsidRPr="00F12740">
        <w:rPr>
          <w:rFonts w:hint="eastAsia"/>
          <w:color w:val="000000"/>
          <w:szCs w:val="21"/>
        </w:rPr>
        <w:t>年</w:t>
      </w:r>
      <w:r w:rsidRPr="00F12740">
        <w:rPr>
          <w:rFonts w:hint="eastAsia"/>
          <w:color w:val="000000"/>
          <w:szCs w:val="21"/>
        </w:rPr>
        <w:t>6</w:t>
      </w:r>
      <w:r w:rsidRPr="00F12740">
        <w:rPr>
          <w:rFonts w:hint="eastAsia"/>
          <w:color w:val="000000"/>
          <w:szCs w:val="21"/>
        </w:rPr>
        <w:t>月再次加入本公司，现任公司副总经理。</w:t>
      </w:r>
    </w:p>
    <w:p w14:paraId="2802BAAF"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吴建军先生，副总经理，经济学硕士。曾任海南汇通国际信托投资公司证券部副经理，长城证券有限责任公司机构管理部总经理、公司总裁助理。</w:t>
      </w:r>
      <w:r w:rsidRPr="00F12740">
        <w:rPr>
          <w:rFonts w:hint="eastAsia"/>
          <w:color w:val="000000"/>
          <w:szCs w:val="21"/>
        </w:rPr>
        <w:t>2003</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月加入本公司，现任公司副总经理。</w:t>
      </w:r>
    </w:p>
    <w:p w14:paraId="0BC0A172"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刘焕喜先生，副总经理，投资与金融系博士。曾任武汉大学教师工作处副科长、成人教育学院讲师，《证券时报》社编辑记者，长城证券研发中心研究员、总裁办副主任、行政部副总经理。</w:t>
      </w:r>
      <w:r w:rsidRPr="00F12740">
        <w:rPr>
          <w:rFonts w:hint="eastAsia"/>
          <w:color w:val="000000"/>
          <w:szCs w:val="21"/>
        </w:rPr>
        <w:t>2003</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月加入本公司，现任公司副总经理。</w:t>
      </w:r>
    </w:p>
    <w:p w14:paraId="77FE5788"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杨皞阳先生，督察长，法学硕士。曾任黑龙江省大庆市红岗区人民法院助理审判员，</w:t>
      </w:r>
      <w:r w:rsidRPr="00F12740">
        <w:rPr>
          <w:rFonts w:hint="eastAsia"/>
          <w:color w:val="000000"/>
          <w:szCs w:val="21"/>
        </w:rPr>
        <w:lastRenderedPageBreak/>
        <w:t>南方基金管理有限公司监察稽核经理、监察稽核高级经理、总监助理。</w:t>
      </w:r>
      <w:r w:rsidRPr="00F12740">
        <w:rPr>
          <w:rFonts w:hint="eastAsia"/>
          <w:color w:val="000000"/>
          <w:szCs w:val="21"/>
        </w:rPr>
        <w:t>2008</w:t>
      </w:r>
      <w:r w:rsidRPr="00F12740">
        <w:rPr>
          <w:rFonts w:hint="eastAsia"/>
          <w:color w:val="000000"/>
          <w:szCs w:val="21"/>
        </w:rPr>
        <w:t>年</w:t>
      </w:r>
      <w:r w:rsidRPr="00F12740">
        <w:rPr>
          <w:rFonts w:hint="eastAsia"/>
          <w:color w:val="000000"/>
          <w:szCs w:val="21"/>
        </w:rPr>
        <w:t>10</w:t>
      </w:r>
      <w:r w:rsidRPr="00F12740">
        <w:rPr>
          <w:rFonts w:hint="eastAsia"/>
          <w:color w:val="000000"/>
          <w:szCs w:val="21"/>
        </w:rPr>
        <w:t>月加入本公司，现任公司督察长。</w:t>
      </w:r>
    </w:p>
    <w:p w14:paraId="7370FF0A"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张明先生，首席信息官，工商管理硕士。曾任平安证券股份有限公司信息技术部架构与开发</w:t>
      </w:r>
      <w:proofErr w:type="gramStart"/>
      <w:r w:rsidRPr="00F12740">
        <w:rPr>
          <w:rFonts w:hint="eastAsia"/>
          <w:color w:val="000000"/>
          <w:szCs w:val="21"/>
        </w:rPr>
        <w:t>支持组</w:t>
      </w:r>
      <w:proofErr w:type="gramEnd"/>
      <w:r w:rsidRPr="00F12740">
        <w:rPr>
          <w:rFonts w:hint="eastAsia"/>
          <w:color w:val="000000"/>
          <w:szCs w:val="21"/>
        </w:rPr>
        <w:t>经理、信息技术中心技术开发部执行总经理。</w:t>
      </w:r>
      <w:r w:rsidRPr="00F12740">
        <w:rPr>
          <w:rFonts w:hint="eastAsia"/>
          <w:color w:val="000000"/>
          <w:szCs w:val="21"/>
        </w:rPr>
        <w:t>2020</w:t>
      </w:r>
      <w:r w:rsidRPr="00F12740">
        <w:rPr>
          <w:rFonts w:hint="eastAsia"/>
          <w:color w:val="000000"/>
          <w:szCs w:val="21"/>
        </w:rPr>
        <w:t>年</w:t>
      </w:r>
      <w:r w:rsidRPr="00F12740">
        <w:rPr>
          <w:rFonts w:hint="eastAsia"/>
          <w:color w:val="000000"/>
          <w:szCs w:val="21"/>
        </w:rPr>
        <w:t>3</w:t>
      </w:r>
      <w:r w:rsidRPr="00F12740">
        <w:rPr>
          <w:rFonts w:hint="eastAsia"/>
          <w:color w:val="000000"/>
          <w:szCs w:val="21"/>
        </w:rPr>
        <w:t>月加入本公司，现任公司首席信息官、信息技术部总经理。</w:t>
      </w:r>
    </w:p>
    <w:p w14:paraId="50F52A2D"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4</w:t>
      </w:r>
      <w:r w:rsidRPr="00F12740">
        <w:rPr>
          <w:rFonts w:hint="eastAsia"/>
          <w:color w:val="000000"/>
          <w:szCs w:val="21"/>
        </w:rPr>
        <w:t>、本基金拟任基金经理简历</w:t>
      </w:r>
    </w:p>
    <w:p w14:paraId="685FF0D0"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本公司采用团队投资方式，即通过整个投资部门全体人员的共同努力，争取良好投资业绩。本基金拟任基金经理如下：</w:t>
      </w:r>
    </w:p>
    <w:p w14:paraId="7DB87899" w14:textId="2721D8C5" w:rsidR="00300CDC" w:rsidRPr="00F12740" w:rsidRDefault="00300CDC" w:rsidP="00F12740">
      <w:pPr>
        <w:tabs>
          <w:tab w:val="left" w:pos="540"/>
        </w:tabs>
        <w:snapToGrid w:val="0"/>
        <w:spacing w:line="360" w:lineRule="auto"/>
        <w:ind w:firstLineChars="200" w:firstLine="420"/>
        <w:rPr>
          <w:color w:val="000000"/>
          <w:szCs w:val="21"/>
        </w:rPr>
      </w:pPr>
      <w:r>
        <w:rPr>
          <w:color w:val="000000"/>
          <w:szCs w:val="21"/>
        </w:rPr>
        <w:t>郑天行</w:t>
      </w:r>
      <w:r w:rsidR="00F12740" w:rsidRPr="00F12740">
        <w:rPr>
          <w:rFonts w:hint="eastAsia"/>
          <w:color w:val="000000"/>
          <w:szCs w:val="21"/>
        </w:rPr>
        <w:t>先生，</w:t>
      </w:r>
      <w:r w:rsidRPr="00300CDC">
        <w:rPr>
          <w:rFonts w:hint="eastAsia"/>
          <w:color w:val="000000"/>
          <w:szCs w:val="21"/>
        </w:rPr>
        <w:t>理学硕士，</w:t>
      </w:r>
      <w:r w:rsidRPr="00300CDC">
        <w:rPr>
          <w:rFonts w:hint="eastAsia"/>
          <w:color w:val="000000"/>
          <w:szCs w:val="21"/>
        </w:rPr>
        <w:t>CFA</w:t>
      </w:r>
      <w:r w:rsidRPr="00300CDC">
        <w:rPr>
          <w:rFonts w:hint="eastAsia"/>
          <w:color w:val="000000"/>
          <w:szCs w:val="21"/>
        </w:rPr>
        <w:t>。曾任美国摩根斯坦利（纽约）对冲基金投资组合分析员，美国</w:t>
      </w:r>
      <w:r w:rsidRPr="00300CDC">
        <w:rPr>
          <w:rFonts w:hint="eastAsia"/>
          <w:color w:val="000000"/>
          <w:szCs w:val="21"/>
        </w:rPr>
        <w:t>Aristeia</w:t>
      </w:r>
      <w:r w:rsidRPr="00300CDC">
        <w:rPr>
          <w:rFonts w:hint="eastAsia"/>
          <w:color w:val="000000"/>
          <w:szCs w:val="21"/>
        </w:rPr>
        <w:t>基金（纽约）数据分析员，美国城堡基金（纽约）大数据研究员。</w:t>
      </w:r>
      <w:r w:rsidRPr="00300CDC">
        <w:rPr>
          <w:rFonts w:hint="eastAsia"/>
          <w:color w:val="000000"/>
          <w:szCs w:val="21"/>
        </w:rPr>
        <w:t>2019</w:t>
      </w:r>
      <w:r w:rsidRPr="00300CDC">
        <w:rPr>
          <w:rFonts w:hint="eastAsia"/>
          <w:color w:val="000000"/>
          <w:szCs w:val="21"/>
        </w:rPr>
        <w:t>年</w:t>
      </w:r>
      <w:r w:rsidRPr="00300CDC">
        <w:rPr>
          <w:rFonts w:hint="eastAsia"/>
          <w:color w:val="000000"/>
          <w:szCs w:val="21"/>
        </w:rPr>
        <w:t>5</w:t>
      </w:r>
      <w:r w:rsidRPr="00300CDC">
        <w:rPr>
          <w:rFonts w:hint="eastAsia"/>
          <w:color w:val="000000"/>
          <w:szCs w:val="21"/>
        </w:rPr>
        <w:t>月加入本公司，历任养老及资产</w:t>
      </w:r>
      <w:proofErr w:type="gramStart"/>
      <w:r w:rsidRPr="00300CDC">
        <w:rPr>
          <w:rFonts w:hint="eastAsia"/>
          <w:color w:val="000000"/>
          <w:szCs w:val="21"/>
        </w:rPr>
        <w:t>配置部</w:t>
      </w:r>
      <w:proofErr w:type="gramEnd"/>
      <w:r w:rsidRPr="00300CDC">
        <w:rPr>
          <w:rFonts w:hint="eastAsia"/>
          <w:color w:val="000000"/>
          <w:szCs w:val="21"/>
        </w:rPr>
        <w:t>研究员、</w:t>
      </w:r>
      <w:r w:rsidRPr="00300CDC">
        <w:rPr>
          <w:rFonts w:hint="eastAsia"/>
          <w:color w:val="000000"/>
          <w:szCs w:val="21"/>
        </w:rPr>
        <w:t>ETF</w:t>
      </w:r>
      <w:r w:rsidRPr="00300CDC">
        <w:rPr>
          <w:rFonts w:hint="eastAsia"/>
          <w:color w:val="000000"/>
          <w:szCs w:val="21"/>
        </w:rPr>
        <w:t>投资部研究员、专户投资部投资经理，自</w:t>
      </w:r>
      <w:r w:rsidRPr="00300CDC">
        <w:rPr>
          <w:rFonts w:hint="eastAsia"/>
          <w:color w:val="000000"/>
          <w:szCs w:val="21"/>
        </w:rPr>
        <w:t>2022</w:t>
      </w:r>
      <w:r w:rsidRPr="00300CDC">
        <w:rPr>
          <w:rFonts w:hint="eastAsia"/>
          <w:color w:val="000000"/>
          <w:szCs w:val="21"/>
        </w:rPr>
        <w:t>年</w:t>
      </w:r>
      <w:r w:rsidRPr="00300CDC">
        <w:rPr>
          <w:rFonts w:hint="eastAsia"/>
          <w:color w:val="000000"/>
          <w:szCs w:val="21"/>
        </w:rPr>
        <w:t>8</w:t>
      </w:r>
      <w:r w:rsidRPr="00300CDC">
        <w:rPr>
          <w:rFonts w:hint="eastAsia"/>
          <w:color w:val="000000"/>
          <w:szCs w:val="21"/>
        </w:rPr>
        <w:t>月起担任</w:t>
      </w:r>
      <w:r w:rsidRPr="00300CDC">
        <w:rPr>
          <w:rFonts w:hint="eastAsia"/>
          <w:color w:val="000000"/>
          <w:szCs w:val="21"/>
        </w:rPr>
        <w:t>ETF</w:t>
      </w:r>
      <w:r w:rsidRPr="00300CDC">
        <w:rPr>
          <w:rFonts w:hint="eastAsia"/>
          <w:color w:val="000000"/>
          <w:szCs w:val="21"/>
        </w:rPr>
        <w:t>与创新投资</w:t>
      </w:r>
      <w:proofErr w:type="gramStart"/>
      <w:r w:rsidRPr="00300CDC">
        <w:rPr>
          <w:rFonts w:hint="eastAsia"/>
          <w:color w:val="000000"/>
          <w:szCs w:val="21"/>
        </w:rPr>
        <w:t>部基金</w:t>
      </w:r>
      <w:proofErr w:type="gramEnd"/>
      <w:r w:rsidRPr="00300CDC">
        <w:rPr>
          <w:rFonts w:hint="eastAsia"/>
          <w:color w:val="000000"/>
          <w:szCs w:val="21"/>
        </w:rPr>
        <w:t>经理。具有</w:t>
      </w:r>
      <w:r w:rsidRPr="00300CDC">
        <w:rPr>
          <w:rFonts w:hint="eastAsia"/>
          <w:color w:val="000000"/>
          <w:szCs w:val="21"/>
        </w:rPr>
        <w:t>9</w:t>
      </w:r>
      <w:r w:rsidRPr="00300CDC">
        <w:rPr>
          <w:rFonts w:hint="eastAsia"/>
          <w:color w:val="000000"/>
          <w:szCs w:val="21"/>
        </w:rPr>
        <w:t>年证券、基金行业从业经验。</w:t>
      </w:r>
    </w:p>
    <w:p w14:paraId="5E0D378A"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5</w:t>
      </w:r>
      <w:r w:rsidRPr="00F12740">
        <w:rPr>
          <w:rFonts w:hint="eastAsia"/>
          <w:color w:val="000000"/>
          <w:szCs w:val="21"/>
        </w:rPr>
        <w:t>、本基金拟任基金经理曾管理的基金名称及管理时间</w:t>
      </w:r>
    </w:p>
    <w:p w14:paraId="336B205B" w14:textId="77777777" w:rsidR="00300CDC" w:rsidRDefault="00300CDC" w:rsidP="00F12740">
      <w:pPr>
        <w:tabs>
          <w:tab w:val="left" w:pos="540"/>
        </w:tabs>
        <w:snapToGrid w:val="0"/>
        <w:spacing w:line="360" w:lineRule="auto"/>
        <w:ind w:firstLineChars="200" w:firstLine="420"/>
        <w:rPr>
          <w:color w:val="000000"/>
          <w:szCs w:val="21"/>
        </w:rPr>
      </w:pPr>
      <w:r>
        <w:rPr>
          <w:rFonts w:hint="eastAsia"/>
          <w:color w:val="000000"/>
          <w:szCs w:val="21"/>
        </w:rPr>
        <w:t>无</w:t>
      </w:r>
    </w:p>
    <w:p w14:paraId="171CD153" w14:textId="2C9035C2"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6</w:t>
      </w:r>
      <w:r w:rsidRPr="00F12740">
        <w:rPr>
          <w:rFonts w:hint="eastAsia"/>
          <w:color w:val="000000"/>
          <w:szCs w:val="21"/>
        </w:rPr>
        <w:t>、本基金拟任基金经理兼任其他</w:t>
      </w:r>
      <w:proofErr w:type="gramStart"/>
      <w:r w:rsidRPr="00F12740">
        <w:rPr>
          <w:rFonts w:hint="eastAsia"/>
          <w:color w:val="000000"/>
          <w:szCs w:val="21"/>
        </w:rPr>
        <w:t>基金基金</w:t>
      </w:r>
      <w:proofErr w:type="gramEnd"/>
      <w:r w:rsidRPr="00F12740">
        <w:rPr>
          <w:rFonts w:hint="eastAsia"/>
          <w:color w:val="000000"/>
          <w:szCs w:val="21"/>
        </w:rPr>
        <w:t>经理的情况</w:t>
      </w:r>
    </w:p>
    <w:p w14:paraId="1043EE6C" w14:textId="77777777" w:rsidR="004A3190" w:rsidRPr="00F12740" w:rsidRDefault="004A3190" w:rsidP="004A3190">
      <w:pPr>
        <w:tabs>
          <w:tab w:val="left" w:pos="540"/>
        </w:tabs>
        <w:snapToGrid w:val="0"/>
        <w:spacing w:line="360" w:lineRule="auto"/>
        <w:ind w:firstLineChars="200" w:firstLine="420"/>
        <w:rPr>
          <w:color w:val="000000"/>
          <w:szCs w:val="21"/>
        </w:rPr>
      </w:pPr>
      <w:r w:rsidRPr="00F12740">
        <w:rPr>
          <w:rFonts w:hint="eastAsia"/>
          <w:color w:val="000000"/>
          <w:szCs w:val="21"/>
        </w:rPr>
        <w:t>本基金拟任基金经理</w:t>
      </w:r>
      <w:r>
        <w:rPr>
          <w:color w:val="000000"/>
          <w:szCs w:val="21"/>
        </w:rPr>
        <w:t>郑天行</w:t>
      </w:r>
      <w:r w:rsidRPr="00F12740">
        <w:rPr>
          <w:rFonts w:hint="eastAsia"/>
          <w:color w:val="000000"/>
          <w:szCs w:val="21"/>
        </w:rPr>
        <w:t>先生兼任</w:t>
      </w:r>
      <w:r w:rsidRPr="0000687C">
        <w:rPr>
          <w:rFonts w:hint="eastAsia"/>
          <w:color w:val="000000"/>
          <w:szCs w:val="21"/>
        </w:rPr>
        <w:t>景顺长城中证</w:t>
      </w:r>
      <w:r w:rsidRPr="0000687C">
        <w:rPr>
          <w:rFonts w:hint="eastAsia"/>
          <w:color w:val="000000"/>
          <w:szCs w:val="21"/>
        </w:rPr>
        <w:t>500</w:t>
      </w:r>
      <w:r w:rsidRPr="0000687C">
        <w:rPr>
          <w:rFonts w:hint="eastAsia"/>
          <w:color w:val="000000"/>
          <w:szCs w:val="21"/>
        </w:rPr>
        <w:t>交易型开放式指数证券投资基金</w:t>
      </w:r>
      <w:r>
        <w:rPr>
          <w:rFonts w:hint="eastAsia"/>
          <w:color w:val="000000"/>
          <w:szCs w:val="21"/>
        </w:rPr>
        <w:t>、</w:t>
      </w:r>
      <w:r w:rsidRPr="00300CDC">
        <w:rPr>
          <w:rFonts w:hint="eastAsia"/>
          <w:color w:val="000000"/>
          <w:szCs w:val="21"/>
        </w:rPr>
        <w:t>景顺长城研究精选股票型证券投资基金</w:t>
      </w:r>
      <w:r>
        <w:rPr>
          <w:rFonts w:hint="eastAsia"/>
          <w:color w:val="000000"/>
          <w:szCs w:val="21"/>
        </w:rPr>
        <w:t>、</w:t>
      </w:r>
      <w:r w:rsidRPr="0000687C">
        <w:rPr>
          <w:rFonts w:hint="eastAsia"/>
          <w:color w:val="000000"/>
          <w:szCs w:val="21"/>
        </w:rPr>
        <w:t>景顺长城中证</w:t>
      </w:r>
      <w:r w:rsidRPr="0000687C">
        <w:rPr>
          <w:rFonts w:hint="eastAsia"/>
          <w:color w:val="000000"/>
          <w:szCs w:val="21"/>
        </w:rPr>
        <w:t>500</w:t>
      </w:r>
      <w:r w:rsidRPr="0000687C">
        <w:rPr>
          <w:rFonts w:hint="eastAsia"/>
          <w:color w:val="000000"/>
          <w:szCs w:val="21"/>
        </w:rPr>
        <w:t>交易型开放式指数证券投资基金联接基金</w:t>
      </w:r>
      <w:r>
        <w:rPr>
          <w:rFonts w:hint="eastAsia"/>
          <w:color w:val="000000"/>
          <w:szCs w:val="21"/>
        </w:rPr>
        <w:t>、</w:t>
      </w:r>
      <w:r w:rsidRPr="00300CDC">
        <w:rPr>
          <w:rFonts w:hint="eastAsia"/>
          <w:color w:val="000000"/>
          <w:szCs w:val="21"/>
        </w:rPr>
        <w:t>景顺长城</w:t>
      </w:r>
      <w:proofErr w:type="gramStart"/>
      <w:r w:rsidRPr="00300CDC">
        <w:rPr>
          <w:rFonts w:hint="eastAsia"/>
          <w:color w:val="000000"/>
          <w:szCs w:val="21"/>
        </w:rPr>
        <w:t>睿</w:t>
      </w:r>
      <w:proofErr w:type="gramEnd"/>
      <w:r w:rsidRPr="00300CDC">
        <w:rPr>
          <w:rFonts w:hint="eastAsia"/>
          <w:color w:val="000000"/>
          <w:szCs w:val="21"/>
        </w:rPr>
        <w:t>成灵活配置混合型证券投资基金</w:t>
      </w:r>
      <w:r>
        <w:rPr>
          <w:rFonts w:hint="eastAsia"/>
          <w:color w:val="000000"/>
          <w:szCs w:val="21"/>
        </w:rPr>
        <w:t>、</w:t>
      </w:r>
      <w:r w:rsidRPr="0000687C">
        <w:rPr>
          <w:rFonts w:hint="eastAsia"/>
          <w:color w:val="000000"/>
          <w:szCs w:val="21"/>
        </w:rPr>
        <w:t>景顺长城</w:t>
      </w:r>
      <w:r w:rsidRPr="0000687C">
        <w:rPr>
          <w:rFonts w:hint="eastAsia"/>
          <w:color w:val="000000"/>
          <w:szCs w:val="21"/>
        </w:rPr>
        <w:t>MSCI</w:t>
      </w:r>
      <w:r w:rsidRPr="0000687C">
        <w:rPr>
          <w:rFonts w:hint="eastAsia"/>
          <w:color w:val="000000"/>
          <w:szCs w:val="21"/>
        </w:rPr>
        <w:t>中国</w:t>
      </w:r>
      <w:r w:rsidRPr="0000687C">
        <w:rPr>
          <w:rFonts w:hint="eastAsia"/>
          <w:color w:val="000000"/>
          <w:szCs w:val="21"/>
        </w:rPr>
        <w:t>A</w:t>
      </w:r>
      <w:proofErr w:type="gramStart"/>
      <w:r w:rsidRPr="0000687C">
        <w:rPr>
          <w:rFonts w:hint="eastAsia"/>
          <w:color w:val="000000"/>
          <w:szCs w:val="21"/>
        </w:rPr>
        <w:t>股国际通交易</w:t>
      </w:r>
      <w:proofErr w:type="gramEnd"/>
      <w:r w:rsidRPr="0000687C">
        <w:rPr>
          <w:rFonts w:hint="eastAsia"/>
          <w:color w:val="000000"/>
          <w:szCs w:val="21"/>
        </w:rPr>
        <w:t>型开放式指数证券投资基金</w:t>
      </w:r>
      <w:r>
        <w:rPr>
          <w:rFonts w:hint="eastAsia"/>
          <w:color w:val="000000"/>
          <w:szCs w:val="21"/>
        </w:rPr>
        <w:t>、</w:t>
      </w:r>
      <w:r w:rsidRPr="00300CDC">
        <w:rPr>
          <w:rFonts w:hint="eastAsia"/>
          <w:color w:val="000000"/>
          <w:szCs w:val="21"/>
        </w:rPr>
        <w:t>景顺长城中证红利低波动</w:t>
      </w:r>
      <w:r w:rsidRPr="00300CDC">
        <w:rPr>
          <w:rFonts w:hint="eastAsia"/>
          <w:color w:val="000000"/>
          <w:szCs w:val="21"/>
        </w:rPr>
        <w:t>100</w:t>
      </w:r>
      <w:r w:rsidRPr="00300CDC">
        <w:rPr>
          <w:rFonts w:hint="eastAsia"/>
          <w:color w:val="000000"/>
          <w:szCs w:val="21"/>
        </w:rPr>
        <w:t>交易型开放式指数证券投资基金</w:t>
      </w:r>
      <w:r>
        <w:rPr>
          <w:rFonts w:hint="eastAsia"/>
          <w:color w:val="000000"/>
          <w:szCs w:val="21"/>
        </w:rPr>
        <w:t>、</w:t>
      </w:r>
      <w:r w:rsidRPr="0000687C">
        <w:rPr>
          <w:rFonts w:hint="eastAsia"/>
          <w:color w:val="000000"/>
          <w:szCs w:val="21"/>
        </w:rPr>
        <w:t>景顺长城中证</w:t>
      </w:r>
      <w:r w:rsidRPr="0000687C">
        <w:rPr>
          <w:rFonts w:hint="eastAsia"/>
          <w:color w:val="000000"/>
          <w:szCs w:val="21"/>
        </w:rPr>
        <w:t>500</w:t>
      </w:r>
      <w:r w:rsidRPr="0000687C">
        <w:rPr>
          <w:rFonts w:hint="eastAsia"/>
          <w:color w:val="000000"/>
          <w:szCs w:val="21"/>
        </w:rPr>
        <w:t>增强策略交易型开放式指数证券投资基金</w:t>
      </w:r>
      <w:r>
        <w:rPr>
          <w:rFonts w:hint="eastAsia"/>
          <w:color w:val="000000"/>
          <w:szCs w:val="21"/>
        </w:rPr>
        <w:t>、</w:t>
      </w:r>
      <w:r w:rsidRPr="00300CDC">
        <w:rPr>
          <w:rFonts w:hint="eastAsia"/>
          <w:color w:val="000000"/>
          <w:szCs w:val="21"/>
        </w:rPr>
        <w:t>景顺长城中证红利低波动</w:t>
      </w:r>
      <w:r w:rsidRPr="00300CDC">
        <w:rPr>
          <w:rFonts w:hint="eastAsia"/>
          <w:color w:val="000000"/>
          <w:szCs w:val="21"/>
        </w:rPr>
        <w:t>100</w:t>
      </w:r>
      <w:r w:rsidRPr="00300CDC">
        <w:rPr>
          <w:rFonts w:hint="eastAsia"/>
          <w:color w:val="000000"/>
          <w:szCs w:val="21"/>
        </w:rPr>
        <w:t>交易型开放式指数证券投资基金发起式联接</w:t>
      </w:r>
      <w:proofErr w:type="gramStart"/>
      <w:r w:rsidRPr="00300CDC">
        <w:rPr>
          <w:rFonts w:hint="eastAsia"/>
          <w:color w:val="000000"/>
          <w:szCs w:val="21"/>
        </w:rPr>
        <w:t>基金</w:t>
      </w:r>
      <w:r w:rsidRPr="00F12740">
        <w:rPr>
          <w:rFonts w:hint="eastAsia"/>
          <w:color w:val="000000"/>
          <w:szCs w:val="21"/>
        </w:rPr>
        <w:t>基金</w:t>
      </w:r>
      <w:proofErr w:type="gramEnd"/>
      <w:r w:rsidRPr="00F12740">
        <w:rPr>
          <w:rFonts w:hint="eastAsia"/>
          <w:color w:val="000000"/>
          <w:szCs w:val="21"/>
        </w:rPr>
        <w:t>经理。</w:t>
      </w:r>
    </w:p>
    <w:p w14:paraId="0BE10595"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7</w:t>
      </w:r>
      <w:r w:rsidRPr="00F12740">
        <w:rPr>
          <w:rFonts w:hint="eastAsia"/>
          <w:color w:val="000000"/>
          <w:szCs w:val="21"/>
        </w:rPr>
        <w:t>、本基金历任基金经理姓名及管理时间</w:t>
      </w:r>
    </w:p>
    <w:p w14:paraId="529FE21F"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无。</w:t>
      </w:r>
    </w:p>
    <w:p w14:paraId="5AB2938E"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8</w:t>
      </w:r>
      <w:r w:rsidRPr="00F12740">
        <w:rPr>
          <w:rFonts w:hint="eastAsia"/>
          <w:color w:val="000000"/>
          <w:szCs w:val="21"/>
        </w:rPr>
        <w:t>、投资决策委员会委员名单</w:t>
      </w:r>
    </w:p>
    <w:p w14:paraId="0FD395B1"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本公司投资决策委员会由分管投资的副总经理、各相关投资部门负责人、研究部门负责人、基金经理代表等组成。</w:t>
      </w:r>
    </w:p>
    <w:p w14:paraId="43225861"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公司的投资决策委员会成员姓名及职务如下：</w:t>
      </w:r>
    </w:p>
    <w:p w14:paraId="17A55A1B"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CHEN WENYU</w:t>
      </w:r>
      <w:r w:rsidRPr="00F12740">
        <w:rPr>
          <w:rFonts w:hint="eastAsia"/>
          <w:color w:val="000000"/>
          <w:szCs w:val="21"/>
        </w:rPr>
        <w:t>（陈文宇）先生，公司副总经理；</w:t>
      </w:r>
    </w:p>
    <w:p w14:paraId="3D7E819F"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毛从容女士，公司副总经理、固定收益</w:t>
      </w:r>
      <w:proofErr w:type="gramStart"/>
      <w:r w:rsidRPr="00F12740">
        <w:rPr>
          <w:rFonts w:hint="eastAsia"/>
          <w:color w:val="000000"/>
          <w:szCs w:val="21"/>
        </w:rPr>
        <w:t>部基金</w:t>
      </w:r>
      <w:proofErr w:type="gramEnd"/>
      <w:r w:rsidRPr="00F12740">
        <w:rPr>
          <w:rFonts w:hint="eastAsia"/>
          <w:color w:val="000000"/>
          <w:szCs w:val="21"/>
        </w:rPr>
        <w:t>经理；</w:t>
      </w:r>
    </w:p>
    <w:p w14:paraId="393F7300"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刘彦春先生，公司副总经理、股票投资</w:t>
      </w:r>
      <w:proofErr w:type="gramStart"/>
      <w:r w:rsidRPr="00F12740">
        <w:rPr>
          <w:rFonts w:hint="eastAsia"/>
          <w:color w:val="000000"/>
          <w:szCs w:val="21"/>
        </w:rPr>
        <w:t>部基金</w:t>
      </w:r>
      <w:proofErr w:type="gramEnd"/>
      <w:r w:rsidRPr="00F12740">
        <w:rPr>
          <w:rFonts w:hint="eastAsia"/>
          <w:color w:val="000000"/>
          <w:szCs w:val="21"/>
        </w:rPr>
        <w:t>经理；</w:t>
      </w:r>
    </w:p>
    <w:p w14:paraId="522B905B"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黎海威先生，公司副总经理、量化及指数投资部总经理、基金经理；</w:t>
      </w:r>
    </w:p>
    <w:p w14:paraId="6C4DC63A"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余广先生，公司总经理助理、股票投资部总经理、基金经理；</w:t>
      </w:r>
    </w:p>
    <w:p w14:paraId="7EBA90BC"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王勇先生，公司总经理助理、首席资产配置官、养老及资产</w:t>
      </w:r>
      <w:proofErr w:type="gramStart"/>
      <w:r w:rsidRPr="00F12740">
        <w:rPr>
          <w:rFonts w:hint="eastAsia"/>
          <w:color w:val="000000"/>
          <w:szCs w:val="21"/>
        </w:rPr>
        <w:t>配置部</w:t>
      </w:r>
      <w:proofErr w:type="gramEnd"/>
      <w:r w:rsidRPr="00F12740">
        <w:rPr>
          <w:rFonts w:hint="eastAsia"/>
          <w:color w:val="000000"/>
          <w:szCs w:val="21"/>
        </w:rPr>
        <w:t>总经理；</w:t>
      </w:r>
    </w:p>
    <w:p w14:paraId="564F6B44"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lastRenderedPageBreak/>
        <w:t>刘苏先生，研究部总经理、股票投资</w:t>
      </w:r>
      <w:proofErr w:type="gramStart"/>
      <w:r w:rsidRPr="00F12740">
        <w:rPr>
          <w:rFonts w:hint="eastAsia"/>
          <w:color w:val="000000"/>
          <w:szCs w:val="21"/>
        </w:rPr>
        <w:t>部基金</w:t>
      </w:r>
      <w:proofErr w:type="gramEnd"/>
      <w:r w:rsidRPr="00F12740">
        <w:rPr>
          <w:rFonts w:hint="eastAsia"/>
          <w:color w:val="000000"/>
          <w:szCs w:val="21"/>
        </w:rPr>
        <w:t>经理；</w:t>
      </w:r>
    </w:p>
    <w:p w14:paraId="3FD2E9FE"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汪洋先生，</w:t>
      </w:r>
      <w:r w:rsidRPr="00F12740">
        <w:rPr>
          <w:rFonts w:hint="eastAsia"/>
          <w:color w:val="000000"/>
          <w:szCs w:val="21"/>
        </w:rPr>
        <w:t>ETF</w:t>
      </w:r>
      <w:r w:rsidRPr="00F12740">
        <w:rPr>
          <w:rFonts w:hint="eastAsia"/>
          <w:color w:val="000000"/>
          <w:szCs w:val="21"/>
        </w:rPr>
        <w:t>与创新投资部总经理、基金经理；</w:t>
      </w:r>
    </w:p>
    <w:p w14:paraId="19678A65" w14:textId="77777777" w:rsidR="00F12740" w:rsidRP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彭成军先生，固定收益部总经理、基金经理；</w:t>
      </w:r>
    </w:p>
    <w:p w14:paraId="711B4487" w14:textId="77777777" w:rsidR="00F12740" w:rsidRDefault="00F12740" w:rsidP="00F12740">
      <w:pPr>
        <w:tabs>
          <w:tab w:val="left" w:pos="540"/>
        </w:tabs>
        <w:snapToGrid w:val="0"/>
        <w:spacing w:line="360" w:lineRule="auto"/>
        <w:ind w:firstLineChars="200" w:firstLine="420"/>
        <w:rPr>
          <w:color w:val="000000"/>
          <w:szCs w:val="21"/>
        </w:rPr>
      </w:pPr>
      <w:r w:rsidRPr="00F12740">
        <w:rPr>
          <w:rFonts w:hint="eastAsia"/>
          <w:color w:val="000000"/>
          <w:szCs w:val="21"/>
        </w:rPr>
        <w:t>李怡文女士，混合资产投资部总经理、基金经理。</w:t>
      </w:r>
    </w:p>
    <w:p w14:paraId="0A4E806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 xml:space="preserve"> </w:t>
      </w:r>
      <w:r>
        <w:rPr>
          <w:color w:val="000000"/>
          <w:szCs w:val="21"/>
        </w:rPr>
        <w:t>9</w:t>
      </w:r>
      <w:r>
        <w:rPr>
          <w:color w:val="000000"/>
          <w:szCs w:val="21"/>
        </w:rPr>
        <w:t>、上述人员之间不存在近亲属关系。</w:t>
      </w:r>
    </w:p>
    <w:p w14:paraId="009FB8D2" w14:textId="77777777" w:rsidR="00175DB4" w:rsidRDefault="000519D1">
      <w:pPr>
        <w:tabs>
          <w:tab w:val="left" w:pos="540"/>
        </w:tabs>
        <w:snapToGrid w:val="0"/>
        <w:spacing w:line="360" w:lineRule="auto"/>
        <w:ind w:firstLineChars="200" w:firstLine="420"/>
        <w:rPr>
          <w:color w:val="000000"/>
          <w:szCs w:val="21"/>
        </w:rPr>
      </w:pPr>
      <w:r>
        <w:rPr>
          <w:color w:val="000000"/>
          <w:szCs w:val="21"/>
        </w:rPr>
        <w:t>（三）基金管理人的权利和义务</w:t>
      </w:r>
      <w:bookmarkStart w:id="11" w:name="_Hlt88897298"/>
      <w:bookmarkEnd w:id="11"/>
    </w:p>
    <w:p w14:paraId="0A8210E1" w14:textId="77777777" w:rsidR="00175DB4" w:rsidRDefault="000519D1">
      <w:pPr>
        <w:spacing w:line="360" w:lineRule="auto"/>
        <w:ind w:firstLineChars="200" w:firstLine="420"/>
        <w:rPr>
          <w:color w:val="000000"/>
          <w:szCs w:val="21"/>
        </w:rPr>
      </w:pPr>
      <w:bookmarkStart w:id="12" w:name="_Hlk4797199"/>
      <w:r>
        <w:rPr>
          <w:color w:val="000000"/>
          <w:szCs w:val="21"/>
        </w:rPr>
        <w:t>1</w:t>
      </w:r>
      <w:r>
        <w:rPr>
          <w:rFonts w:hint="eastAsia"/>
          <w:color w:val="000000"/>
          <w:szCs w:val="21"/>
        </w:rPr>
        <w:t>、根据《基金法》、《运作办法》及其他有关规定，基金管理人的权利包括但不限于：</w:t>
      </w:r>
    </w:p>
    <w:p w14:paraId="3ACE513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）依法募集资金；</w:t>
      </w:r>
    </w:p>
    <w:p w14:paraId="180FA42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）自《基金合同》生效之日起，根据法律法规和《基金合同》独立运用并管理基金财产；</w:t>
      </w:r>
    </w:p>
    <w:p w14:paraId="2B187E0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）依照《基金合同》收取基金管理费以及法律法规规定或中国证监会批准的其他费用；</w:t>
      </w:r>
    </w:p>
    <w:p w14:paraId="65A7859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）销售基金份额；</w:t>
      </w:r>
    </w:p>
    <w:p w14:paraId="66BC004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）按照规定召集基金份额持有人大会；</w:t>
      </w:r>
    </w:p>
    <w:p w14:paraId="5562FC7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）依据《基金合同》及有关法律规定监督基金托管人，如认为基金托管人违反了《基金合同》及国家有关法律规定，应呈报中国证监会和其他监管部门，并采取必要措施保护基金投资人的利益；</w:t>
      </w:r>
    </w:p>
    <w:p w14:paraId="517BE07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）在基金托管人更换时，提名新的基金托管人；</w:t>
      </w:r>
    </w:p>
    <w:p w14:paraId="185FAF92"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）选择、更换基金销售机构，对基金销售机构的相关行为进行监督和处理；</w:t>
      </w:r>
      <w:r>
        <w:rPr>
          <w:color w:val="000000"/>
          <w:szCs w:val="21"/>
        </w:rPr>
        <w:t xml:space="preserve"> </w:t>
      </w:r>
    </w:p>
    <w:p w14:paraId="29DF2232"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）担任或委托其他符合条件的机构担任基金登记机构办理基金登记业务并获得《基金合同》规定的费用；</w:t>
      </w:r>
      <w:r>
        <w:rPr>
          <w:color w:val="000000"/>
          <w:szCs w:val="21"/>
        </w:rPr>
        <w:t xml:space="preserve"> </w:t>
      </w:r>
    </w:p>
    <w:p w14:paraId="702FADCE"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）依据《基金合同》及有关法律规定决定基金收益的分配方案；</w:t>
      </w:r>
      <w:r>
        <w:rPr>
          <w:color w:val="000000"/>
          <w:szCs w:val="21"/>
        </w:rPr>
        <w:tab/>
      </w:r>
    </w:p>
    <w:p w14:paraId="702BA946"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）在《基金合同》约定的范围内，拒绝或暂停受理申购与赎回申请；</w:t>
      </w:r>
      <w:r>
        <w:rPr>
          <w:color w:val="000000"/>
          <w:szCs w:val="21"/>
        </w:rPr>
        <w:t xml:space="preserve"> </w:t>
      </w:r>
    </w:p>
    <w:p w14:paraId="5609E2EE"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）依照法律法规为基金的利益对被投资公司行使股东权利，为基金的利益行使因基金财产投资于证券所产生的权利；</w:t>
      </w:r>
      <w:r>
        <w:rPr>
          <w:color w:val="000000"/>
          <w:szCs w:val="21"/>
        </w:rPr>
        <w:tab/>
      </w:r>
    </w:p>
    <w:p w14:paraId="5453B215"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）在法律法规允许的前提下，为基金的利益依法为基金进行融资和参与转融通证券出借业务；</w:t>
      </w:r>
      <w:r>
        <w:rPr>
          <w:color w:val="000000"/>
          <w:szCs w:val="21"/>
        </w:rPr>
        <w:t xml:space="preserve"> </w:t>
      </w:r>
    </w:p>
    <w:p w14:paraId="29E39F81"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）以基金管理人的名义，代表基金份额持有人的利益行使诉讼权利或者实施其他法律行为；</w:t>
      </w:r>
      <w:r>
        <w:rPr>
          <w:color w:val="000000"/>
          <w:szCs w:val="21"/>
        </w:rPr>
        <w:tab/>
      </w:r>
    </w:p>
    <w:p w14:paraId="1C6AE378" w14:textId="6F55476C"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）选择、更换律师事务所、会计师事务所、证券</w:t>
      </w:r>
      <w:r>
        <w:rPr>
          <w:color w:val="000000"/>
          <w:szCs w:val="21"/>
        </w:rPr>
        <w:t>/</w:t>
      </w:r>
      <w:r>
        <w:rPr>
          <w:rFonts w:hint="eastAsia"/>
          <w:color w:val="000000"/>
          <w:szCs w:val="21"/>
        </w:rPr>
        <w:t>期货经纪</w:t>
      </w:r>
      <w:r w:rsidR="003B6952">
        <w:rPr>
          <w:rFonts w:hint="eastAsia"/>
          <w:color w:val="000000"/>
          <w:szCs w:val="21"/>
        </w:rPr>
        <w:t>机构</w:t>
      </w:r>
      <w:r>
        <w:rPr>
          <w:rFonts w:hint="eastAsia"/>
          <w:color w:val="000000"/>
          <w:szCs w:val="21"/>
        </w:rPr>
        <w:t>或其他为基金提供服务的外部机构</w:t>
      </w:r>
      <w:r w:rsidR="003B6952" w:rsidRPr="003B6952">
        <w:rPr>
          <w:rFonts w:hint="eastAsia"/>
          <w:color w:val="000000"/>
          <w:szCs w:val="21"/>
        </w:rPr>
        <w:t>，并与选择的证券经纪机构签订相关协议，就证券经纪机构应履行的异常</w:t>
      </w:r>
      <w:r w:rsidR="003B6952" w:rsidRPr="003B6952">
        <w:rPr>
          <w:rFonts w:hint="eastAsia"/>
          <w:color w:val="000000"/>
          <w:szCs w:val="21"/>
        </w:rPr>
        <w:lastRenderedPageBreak/>
        <w:t>交易监控等职责进行约定</w:t>
      </w:r>
      <w:r>
        <w:rPr>
          <w:rFonts w:hint="eastAsia"/>
          <w:color w:val="000000"/>
          <w:szCs w:val="21"/>
        </w:rPr>
        <w:t>；</w:t>
      </w:r>
      <w:r>
        <w:rPr>
          <w:color w:val="000000"/>
          <w:szCs w:val="21"/>
        </w:rPr>
        <w:tab/>
      </w:r>
    </w:p>
    <w:p w14:paraId="4BA530A2"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16</w:t>
      </w:r>
      <w:r>
        <w:rPr>
          <w:rFonts w:hint="eastAsia"/>
          <w:color w:val="000000"/>
          <w:szCs w:val="21"/>
        </w:rPr>
        <w:t>）在符合有关法律法规、基金合同、相关证券交易所及登记机构相关业务规则的规定的前提下，制订和调整有关基金认购、申购、赎回、收益分配等业务的规则，在法律法规和基金合同规定的范围内决定和调整基金的除调高托管费率和管理费率之外的相关费率结构和收费方式；</w:t>
      </w:r>
    </w:p>
    <w:p w14:paraId="1B479FFB"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）法律法规及中国证监会规定的和《基金合同》约定的其他权利。</w:t>
      </w:r>
    </w:p>
    <w:p w14:paraId="25D10D98" w14:textId="77777777" w:rsidR="00175DB4" w:rsidRDefault="000519D1">
      <w:pPr>
        <w:spacing w:line="440" w:lineRule="atLeast"/>
        <w:ind w:firstLineChars="200" w:firstLine="420"/>
        <w:rPr>
          <w:color w:val="000000"/>
          <w:szCs w:val="21"/>
        </w:rPr>
      </w:pPr>
      <w:r>
        <w:rPr>
          <w:color w:val="000000"/>
          <w:szCs w:val="21"/>
        </w:rPr>
        <w:t>2</w:t>
      </w:r>
      <w:r>
        <w:rPr>
          <w:rFonts w:hint="eastAsia"/>
          <w:color w:val="000000"/>
          <w:szCs w:val="21"/>
        </w:rPr>
        <w:t>、根据《基金法》、《运作办法》及其他有关规定，基金管理人的义务包括但不限于：</w:t>
      </w:r>
    </w:p>
    <w:p w14:paraId="6003368A"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）依法募集资金，办理或者委托经中国证监会认定的其他机构代为办理基金份额的发售、申购、赎回和登记事宜；</w:t>
      </w:r>
    </w:p>
    <w:p w14:paraId="7650406B"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）办理基金备案手续；</w:t>
      </w:r>
    </w:p>
    <w:p w14:paraId="7FC44579"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）自《基金合同》生效之日起，以诚实信用、谨慎勤勉的原则管理和运用基金财产；</w:t>
      </w:r>
    </w:p>
    <w:p w14:paraId="27AA35DC"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）配备足够的具有专业资格的人员进行基金投资分析、决策，以专业化的经营方式管理和运作基金财产；</w:t>
      </w:r>
    </w:p>
    <w:p w14:paraId="47E0F8FC"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）建立健全内部风险控制、监察与稽核、财务管理及人事管理等制度，保证所管理的基金财产和基金管理人的财产相互独立，对所管理的不同基金分别管理，分别记账，进行证券投资；</w:t>
      </w:r>
    </w:p>
    <w:p w14:paraId="1CBCC10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）除依据《基金法》、《基金合同》及其他有关规定外，不得利用基金财产为自己及任何第三人谋取利益，不得委托第三人运作基金财产；</w:t>
      </w:r>
    </w:p>
    <w:p w14:paraId="1044F49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）依法接受基金托管人的监督；</w:t>
      </w:r>
    </w:p>
    <w:p w14:paraId="40682BA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）采取适当合理的措施使计算基金份额认购价格、申购对价、赎回对价的方法符合基金合同等法律文件的规定；计算并公告基金净值信息，确定基金份额申购、赎回对价，编制申购赎回清单；</w:t>
      </w:r>
    </w:p>
    <w:p w14:paraId="775FADF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）进行基金会计核算并编制基金财务会计报告；</w:t>
      </w:r>
    </w:p>
    <w:p w14:paraId="2CA19FB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）编制季度报告、中期报告和年度报告；</w:t>
      </w:r>
    </w:p>
    <w:p w14:paraId="4F79184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）严格按照《基金法》、《基金合同》及其他有关规定，履行信息披露及报告义务；</w:t>
      </w:r>
    </w:p>
    <w:p w14:paraId="73A64698" w14:textId="35A1DDD1"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）保守基金商业秘密，不泄露基金投资计划、投资意向等。除《基金法》、《基金合同》及其他有关规定另有规定外，在基金信息公开披露前应予保密，不向他人泄露，</w:t>
      </w:r>
      <w:r w:rsidR="002F46A0" w:rsidRPr="002F46A0">
        <w:rPr>
          <w:rFonts w:hint="eastAsia"/>
          <w:color w:val="000000"/>
          <w:szCs w:val="21"/>
        </w:rPr>
        <w:t>但因监管机构、司法机关等有权机关的要求，或</w:t>
      </w:r>
      <w:r>
        <w:rPr>
          <w:rFonts w:hint="eastAsia"/>
          <w:color w:val="000000"/>
          <w:szCs w:val="21"/>
        </w:rPr>
        <w:t>因审计、法律等外部专业顾问提供</w:t>
      </w:r>
      <w:r w:rsidR="002F46A0" w:rsidRPr="002F46A0">
        <w:rPr>
          <w:rFonts w:hint="eastAsia"/>
          <w:color w:val="000000"/>
          <w:szCs w:val="21"/>
        </w:rPr>
        <w:t>服务需要</w:t>
      </w:r>
      <w:r>
        <w:rPr>
          <w:rFonts w:hint="eastAsia"/>
          <w:color w:val="000000"/>
          <w:szCs w:val="21"/>
        </w:rPr>
        <w:t>的情况除外；</w:t>
      </w:r>
    </w:p>
    <w:p w14:paraId="4CEF226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）按《基金合同》的约定确定基金收益分配方案，及时向基金份额持有人分配基</w:t>
      </w:r>
      <w:r>
        <w:rPr>
          <w:rFonts w:hint="eastAsia"/>
          <w:color w:val="000000"/>
          <w:szCs w:val="21"/>
        </w:rPr>
        <w:lastRenderedPageBreak/>
        <w:t>金收益；</w:t>
      </w:r>
    </w:p>
    <w:p w14:paraId="0D0722D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）按规定受理申购和赎回申请，及时、足额支付投资人申购或赎回之基金份额的投资人应收对价；</w:t>
      </w:r>
    </w:p>
    <w:p w14:paraId="65D00A5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）依据《基金法》、《基金合同》及其他有关规定召集基金份额持有人大会或配合基金托管人、基金份额持有人依法召集基金份额持有人大会；</w:t>
      </w:r>
    </w:p>
    <w:p w14:paraId="79287D18" w14:textId="51168C10"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16</w:t>
      </w:r>
      <w:r>
        <w:rPr>
          <w:rFonts w:hint="eastAsia"/>
          <w:color w:val="000000"/>
          <w:szCs w:val="21"/>
        </w:rPr>
        <w:t>）按规定保存基金财产管理业务活动的会计账册、报表、记录和其他相关资料</w:t>
      </w:r>
      <w:r>
        <w:rPr>
          <w:rFonts w:hint="eastAsia"/>
          <w:bCs/>
          <w:sz w:val="24"/>
        </w:rPr>
        <w:t>不</w:t>
      </w:r>
      <w:r>
        <w:rPr>
          <w:rFonts w:hint="eastAsia"/>
          <w:color w:val="000000"/>
          <w:szCs w:val="21"/>
        </w:rPr>
        <w:t>低于法律法规规定的</w:t>
      </w:r>
      <w:r w:rsidR="003C017B">
        <w:rPr>
          <w:rFonts w:hint="eastAsia"/>
          <w:color w:val="000000"/>
          <w:szCs w:val="21"/>
        </w:rPr>
        <w:t>最低</w:t>
      </w:r>
      <w:r>
        <w:rPr>
          <w:rFonts w:hint="eastAsia"/>
          <w:color w:val="000000"/>
          <w:szCs w:val="21"/>
        </w:rPr>
        <w:t>期限；</w:t>
      </w:r>
    </w:p>
    <w:p w14:paraId="2154005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2E9E2F4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18</w:t>
      </w:r>
      <w:r>
        <w:rPr>
          <w:rFonts w:hint="eastAsia"/>
          <w:color w:val="000000"/>
          <w:szCs w:val="21"/>
        </w:rPr>
        <w:t>）组织并参加基金财产清算小组，参与基金财产的保管、清理、估价、变现和分配；</w:t>
      </w:r>
    </w:p>
    <w:p w14:paraId="05885B3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19</w:t>
      </w:r>
      <w:r>
        <w:rPr>
          <w:rFonts w:hint="eastAsia"/>
          <w:color w:val="000000"/>
          <w:szCs w:val="21"/>
        </w:rPr>
        <w:t>）面临解散、依法被撤销或者被依法宣告破产时，及时报告中国证监会并通知基金托管人；</w:t>
      </w:r>
    </w:p>
    <w:p w14:paraId="5B1FE4B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20</w:t>
      </w:r>
      <w:r>
        <w:rPr>
          <w:rFonts w:hint="eastAsia"/>
          <w:color w:val="000000"/>
          <w:szCs w:val="21"/>
        </w:rPr>
        <w:t>）因违反《基金合同》导致基金财产的损失或损害基金份额持有人合法权益时，应当承担赔偿责任，其赔偿责任不因其退任而免除；</w:t>
      </w:r>
    </w:p>
    <w:p w14:paraId="7196CA0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21</w:t>
      </w:r>
      <w:r>
        <w:rPr>
          <w:rFonts w:hint="eastAsia"/>
          <w:color w:val="000000"/>
          <w:szCs w:val="21"/>
        </w:rPr>
        <w:t>）监督基金托管人按法律法规和《基金合同》规定履行自己的义务，基金托管人违反《基金合同》造成基金财产损失时，基金管理人应为基金份额持有人利益向基金托管人追偿；</w:t>
      </w:r>
    </w:p>
    <w:p w14:paraId="40D13E31"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22</w:t>
      </w:r>
      <w:r>
        <w:rPr>
          <w:rFonts w:hint="eastAsia"/>
          <w:color w:val="000000"/>
          <w:szCs w:val="21"/>
        </w:rPr>
        <w:t>）当基金管理人将其义务委托第三方处理时，应当对第三方处理有关基金事务的行为承担责任；</w:t>
      </w:r>
    </w:p>
    <w:p w14:paraId="364BBAF0"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23</w:t>
      </w:r>
      <w:r>
        <w:rPr>
          <w:rFonts w:hint="eastAsia"/>
          <w:color w:val="000000"/>
          <w:szCs w:val="21"/>
        </w:rPr>
        <w:t>）以基金管理人名义，代表基金份额持有人利益行使诉讼权利或实施其他法律行为；</w:t>
      </w:r>
      <w:r>
        <w:rPr>
          <w:color w:val="000000"/>
          <w:szCs w:val="21"/>
        </w:rPr>
        <w:tab/>
      </w:r>
    </w:p>
    <w:p w14:paraId="124F5A90" w14:textId="77777777" w:rsidR="00175DB4" w:rsidRDefault="000519D1" w:rsidP="0084159B">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24</w:t>
      </w:r>
      <w:r>
        <w:rPr>
          <w:rFonts w:hint="eastAsia"/>
          <w:color w:val="000000"/>
          <w:szCs w:val="21"/>
        </w:rPr>
        <w:t>）基金管理人在募集期间未能达到基金的备案条件，《基金合同》不能生效，基金管理人承担全部募集费用，将已募集的认购款项、股票连同认购款项的银行同期活期存款利息在基金募集期结束后</w:t>
      </w:r>
      <w:r>
        <w:rPr>
          <w:color w:val="000000"/>
          <w:szCs w:val="21"/>
        </w:rPr>
        <w:t>30</w:t>
      </w:r>
      <w:r>
        <w:rPr>
          <w:rFonts w:hint="eastAsia"/>
          <w:color w:val="000000"/>
          <w:szCs w:val="21"/>
        </w:rPr>
        <w:t>日内退还基金认购人；</w:t>
      </w:r>
    </w:p>
    <w:p w14:paraId="095203D5" w14:textId="77777777" w:rsidR="00175DB4" w:rsidRDefault="000519D1" w:rsidP="0084159B">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25</w:t>
      </w:r>
      <w:r>
        <w:rPr>
          <w:rFonts w:hint="eastAsia"/>
          <w:color w:val="000000"/>
          <w:szCs w:val="21"/>
        </w:rPr>
        <w:t>）执行生效的基金份额持有人大会的决议；</w:t>
      </w:r>
    </w:p>
    <w:p w14:paraId="2A69BABA" w14:textId="77777777" w:rsidR="00175DB4" w:rsidRDefault="000519D1" w:rsidP="0084159B">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26</w:t>
      </w:r>
      <w:r>
        <w:rPr>
          <w:rFonts w:hint="eastAsia"/>
          <w:color w:val="000000"/>
          <w:szCs w:val="21"/>
        </w:rPr>
        <w:t>）建立并保存基金份额持有人名册；</w:t>
      </w:r>
    </w:p>
    <w:p w14:paraId="352D3BD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27</w:t>
      </w:r>
      <w:r>
        <w:rPr>
          <w:rFonts w:hint="eastAsia"/>
          <w:color w:val="000000"/>
          <w:szCs w:val="21"/>
        </w:rPr>
        <w:t>）法律法规及中国证监会规定的和《基金合同》约定的其他义务。</w:t>
      </w:r>
      <w:bookmarkEnd w:id="12"/>
    </w:p>
    <w:p w14:paraId="235CE7B8" w14:textId="77777777" w:rsidR="00175DB4" w:rsidRDefault="000519D1">
      <w:pPr>
        <w:tabs>
          <w:tab w:val="left" w:pos="540"/>
        </w:tabs>
        <w:snapToGrid w:val="0"/>
        <w:spacing w:line="360" w:lineRule="auto"/>
        <w:ind w:firstLineChars="200" w:firstLine="420"/>
        <w:rPr>
          <w:color w:val="000000"/>
          <w:szCs w:val="21"/>
        </w:rPr>
      </w:pPr>
      <w:bookmarkStart w:id="13" w:name="_Hlt88823209"/>
      <w:bookmarkEnd w:id="13"/>
      <w:r>
        <w:rPr>
          <w:color w:val="000000"/>
          <w:szCs w:val="21"/>
        </w:rPr>
        <w:t>（四）基金管理人承诺</w:t>
      </w:r>
    </w:p>
    <w:p w14:paraId="3E323E0F"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、本基金管理人承诺严格遵守现行有效的相关法律法规、基金合同和中国证监会的</w:t>
      </w:r>
      <w:r>
        <w:rPr>
          <w:color w:val="000000"/>
          <w:szCs w:val="21"/>
        </w:rPr>
        <w:lastRenderedPageBreak/>
        <w:t>有关规定，建立健全内部控制制度，采取有效措施，防止违反现行有效的有关法律法规、基金合同和中国证监会有关规定的行为发生。</w:t>
      </w:r>
    </w:p>
    <w:p w14:paraId="2883927A"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、本基金管理人承诺严格遵守《中华人民共和国证券法》、《基金法》及有关法律法规，建立健全的内部控制制度，采取有效措施，防止下列行为发生：</w:t>
      </w:r>
    </w:p>
    <w:p w14:paraId="5A9721A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）将其固有财产或者他人财产混同于基金财产从事证券投资；</w:t>
      </w:r>
    </w:p>
    <w:p w14:paraId="72F384A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）不公平地对待其管理的不同基金财产；</w:t>
      </w:r>
    </w:p>
    <w:p w14:paraId="0335956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）利用基金财产或职务之便为基金份额持有人以外的第三人牟取利益；</w:t>
      </w:r>
    </w:p>
    <w:p w14:paraId="39B0441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）向基金份额持有人违规承诺收益或者承担损失；</w:t>
      </w:r>
    </w:p>
    <w:p w14:paraId="3A30F363"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）侵占、挪用基金财产；</w:t>
      </w:r>
    </w:p>
    <w:p w14:paraId="02F5DCF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6</w:t>
      </w:r>
      <w:r>
        <w:rPr>
          <w:color w:val="000000"/>
          <w:szCs w:val="21"/>
        </w:rPr>
        <w:t>）泄露因职务便利获取的未公开信息、利用该信息从事或者明示、暗示他人从事相关的交易活动；</w:t>
      </w:r>
    </w:p>
    <w:p w14:paraId="2D2A5B2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7</w:t>
      </w:r>
      <w:r>
        <w:rPr>
          <w:color w:val="000000"/>
          <w:szCs w:val="21"/>
        </w:rPr>
        <w:t>）玩忽职守，不按照规定履行职责；</w:t>
      </w:r>
    </w:p>
    <w:p w14:paraId="4CF6B65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8</w:t>
      </w:r>
      <w:r>
        <w:rPr>
          <w:color w:val="000000"/>
          <w:szCs w:val="21"/>
        </w:rPr>
        <w:t>）法律、行政法规或中国证监会规定禁止的其他行为。</w:t>
      </w:r>
    </w:p>
    <w:p w14:paraId="2FBDFEAC"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、本基金管理人承诺加强人员管理，强化职业操守，督促和约束员工遵守国家有关法律、法规及行业规范，诚实信用、勤勉尽责，不从事以下活动：</w:t>
      </w:r>
    </w:p>
    <w:p w14:paraId="26DFE8D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）越权或违规经营；</w:t>
      </w:r>
    </w:p>
    <w:p w14:paraId="76F58B6D"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）违反基金合同或托管协议；</w:t>
      </w:r>
    </w:p>
    <w:p w14:paraId="44F2BB53"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）故意损害基金份额持有人或其他基金相关机构的合法利益；</w:t>
      </w:r>
    </w:p>
    <w:p w14:paraId="2F093A3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）在向中国证监会报送的资料中弄虚作假；</w:t>
      </w:r>
    </w:p>
    <w:p w14:paraId="100A37E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）拒绝、干扰、阻挠或严重影响中国证监会依法监管；</w:t>
      </w:r>
    </w:p>
    <w:p w14:paraId="730E708D"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6</w:t>
      </w:r>
      <w:r>
        <w:rPr>
          <w:color w:val="000000"/>
          <w:szCs w:val="21"/>
        </w:rPr>
        <w:t>）玩忽职守、滥用职权，不按照规定履行职责；</w:t>
      </w:r>
    </w:p>
    <w:p w14:paraId="0C00CBC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7</w:t>
      </w:r>
      <w:r>
        <w:rPr>
          <w:color w:val="000000"/>
          <w:szCs w:val="21"/>
        </w:rPr>
        <w:t>）违反现行有效的有关法律、法规、规章、基金合同和中国证监会的有关规定，泄漏在任职期间知悉的有关证券、基金的商业秘密，尚未依法公开的基金投资内容、基金投资计划等信息，或利用该信息从事或者明示、暗示他人从事相关的交易活动；</w:t>
      </w:r>
    </w:p>
    <w:p w14:paraId="15977DF9"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8</w:t>
      </w:r>
      <w:r>
        <w:rPr>
          <w:color w:val="000000"/>
          <w:szCs w:val="21"/>
        </w:rPr>
        <w:t>）违反证券交易场所业务规则，利用对敲、倒仓等手段操纵市场价格，扰乱市场秩序；</w:t>
      </w:r>
    </w:p>
    <w:p w14:paraId="6FC86EA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9</w:t>
      </w:r>
      <w:r>
        <w:rPr>
          <w:color w:val="000000"/>
          <w:szCs w:val="21"/>
        </w:rPr>
        <w:t>）贬损同行，以抬高自己；</w:t>
      </w:r>
    </w:p>
    <w:p w14:paraId="7749FB8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10</w:t>
      </w:r>
      <w:r>
        <w:rPr>
          <w:color w:val="000000"/>
          <w:szCs w:val="21"/>
        </w:rPr>
        <w:t>）以不正当手段谋求业务发展；</w:t>
      </w:r>
    </w:p>
    <w:p w14:paraId="6C430B1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11</w:t>
      </w:r>
      <w:r>
        <w:rPr>
          <w:color w:val="000000"/>
          <w:szCs w:val="21"/>
        </w:rPr>
        <w:t>）有悖社会公德，损害证券投资基金人员形象；</w:t>
      </w:r>
    </w:p>
    <w:p w14:paraId="630D28E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12</w:t>
      </w:r>
      <w:r>
        <w:rPr>
          <w:color w:val="000000"/>
          <w:szCs w:val="21"/>
        </w:rPr>
        <w:t>）在公开信息披露和广告中故意含有虚假、误导、欺诈成分；</w:t>
      </w:r>
    </w:p>
    <w:p w14:paraId="0AE60A2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13</w:t>
      </w:r>
      <w:r>
        <w:rPr>
          <w:color w:val="000000"/>
          <w:szCs w:val="21"/>
        </w:rPr>
        <w:t>）其他法律、行政法规以及中国证监会禁止的行为。</w:t>
      </w:r>
    </w:p>
    <w:p w14:paraId="361FEF14"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、基金经理承诺</w:t>
      </w:r>
    </w:p>
    <w:p w14:paraId="0223B09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）依照有关法律法规和基金合同的规定，本着谨慎的原则为基金份额持有人谋取最大利益；</w:t>
      </w:r>
    </w:p>
    <w:p w14:paraId="2E3AD1B9"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w:t>
      </w:r>
      <w:r>
        <w:rPr>
          <w:color w:val="000000"/>
          <w:szCs w:val="21"/>
        </w:rPr>
        <w:t>2</w:t>
      </w:r>
      <w:r>
        <w:rPr>
          <w:color w:val="000000"/>
          <w:szCs w:val="21"/>
        </w:rPr>
        <w:t>）不利用职务之便为自己及其代理人、受雇人或任何第三人谋取利益；</w:t>
      </w:r>
    </w:p>
    <w:p w14:paraId="218C6E84"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不违反现行有效的有关法律法规、基金合同和中国证监会的有关规定，泄漏在任职期间知悉的有关证券、基金的商业秘密、尚未依法公开的基金投资内容、基金投资计划等信息，或利用该信息从事或者明示、暗示他人从事相关的交易活动；</w:t>
      </w:r>
    </w:p>
    <w:p w14:paraId="2378934C"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）不从事损害基金财产和基金份额持有人利益的证券交易及其他活动。</w:t>
      </w:r>
    </w:p>
    <w:p w14:paraId="63B7A02D" w14:textId="77777777" w:rsidR="00175DB4" w:rsidRDefault="000519D1">
      <w:pPr>
        <w:tabs>
          <w:tab w:val="left" w:pos="540"/>
        </w:tabs>
        <w:snapToGrid w:val="0"/>
        <w:spacing w:line="360" w:lineRule="auto"/>
        <w:ind w:firstLineChars="200" w:firstLine="420"/>
        <w:rPr>
          <w:color w:val="000000"/>
          <w:szCs w:val="21"/>
        </w:rPr>
      </w:pPr>
      <w:r>
        <w:rPr>
          <w:color w:val="000000"/>
          <w:szCs w:val="21"/>
        </w:rPr>
        <w:t>（五）基金管理人的风险管理和内部控制体系</w:t>
      </w:r>
    </w:p>
    <w:p w14:paraId="1688C8D3"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、风险管理理念与目标</w:t>
      </w:r>
    </w:p>
    <w:p w14:paraId="188CFE6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）确保合法合</w:t>
      </w:r>
      <w:proofErr w:type="gramStart"/>
      <w:r>
        <w:rPr>
          <w:color w:val="000000"/>
          <w:szCs w:val="21"/>
        </w:rPr>
        <w:t>规</w:t>
      </w:r>
      <w:proofErr w:type="gramEnd"/>
      <w:r>
        <w:rPr>
          <w:color w:val="000000"/>
          <w:szCs w:val="21"/>
        </w:rPr>
        <w:t>经营；</w:t>
      </w:r>
    </w:p>
    <w:p w14:paraId="74086E49"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）防范和化解风险；</w:t>
      </w:r>
    </w:p>
    <w:p w14:paraId="027BE18E"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）提高经营效率；</w:t>
      </w:r>
    </w:p>
    <w:p w14:paraId="6588C1F3"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）保护投资者和股东的合法权益。</w:t>
      </w:r>
    </w:p>
    <w:p w14:paraId="4A857E6A"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、风险管理措施</w:t>
      </w:r>
    </w:p>
    <w:p w14:paraId="7E4F920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）建立健全公司组织架构；</w:t>
      </w:r>
    </w:p>
    <w:p w14:paraId="4DA126F9"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）树立监察稽核功能的权威性和独立性；</w:t>
      </w:r>
    </w:p>
    <w:p w14:paraId="3A610CFA"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）加强内控培训，培养全体员工的风险管理意识和监察文化；</w:t>
      </w:r>
    </w:p>
    <w:p w14:paraId="383BA99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）制定员工行为规范和纪律程序；</w:t>
      </w:r>
    </w:p>
    <w:p w14:paraId="63E5C65E"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）建立岗位分离制度；</w:t>
      </w:r>
    </w:p>
    <w:p w14:paraId="00F7ED0D"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6</w:t>
      </w:r>
      <w:r>
        <w:rPr>
          <w:color w:val="000000"/>
          <w:szCs w:val="21"/>
        </w:rPr>
        <w:t>）建立危机处理和灾难恢复计划。</w:t>
      </w:r>
    </w:p>
    <w:p w14:paraId="424DCA96"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、风险管理和内部控制的原则</w:t>
      </w:r>
    </w:p>
    <w:p w14:paraId="3D61C58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）全面性原则：公司风险管理必须覆盖公司的所有部门和岗位，渗透各项业务过程和业务环节；</w:t>
      </w:r>
    </w:p>
    <w:p w14:paraId="6AE43DC2"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）独立性原则：公司各机构、部门和岗位职责应当保持相对独立，公司基金财产、自有资产、其他资产的运作应当分离；</w:t>
      </w:r>
    </w:p>
    <w:p w14:paraId="51223AA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）相互制约原则：公司及各部门在内部组织结构的设计上要形成一种相互制约机制，建立不同岗位之间的制衡体系；</w:t>
      </w:r>
    </w:p>
    <w:p w14:paraId="293015C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）定性和定量相结合原则：建立完备的风险管理指标体系，使风险管理更具客观性和操作性；</w:t>
      </w:r>
    </w:p>
    <w:p w14:paraId="34BFF3E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）防火墙原则：基金财产、公司自有资产、其他资产的运作应当严格分开并独立核算。</w:t>
      </w:r>
    </w:p>
    <w:p w14:paraId="42FC5D0D"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、内部控制体系</w:t>
      </w:r>
    </w:p>
    <w:p w14:paraId="668A92CA"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）内部控制的组织架构</w:t>
      </w:r>
    </w:p>
    <w:p w14:paraId="6D2E2BC4"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）董事会审计与风险控制委员会：负责对公司经营管理和基金投资业务进行合</w:t>
      </w:r>
      <w:proofErr w:type="gramStart"/>
      <w:r>
        <w:rPr>
          <w:color w:val="000000"/>
          <w:szCs w:val="21"/>
        </w:rPr>
        <w:t>规</w:t>
      </w:r>
      <w:proofErr w:type="gramEnd"/>
      <w:r>
        <w:rPr>
          <w:color w:val="000000"/>
          <w:szCs w:val="21"/>
        </w:rPr>
        <w:t>性控制，并对公司内部稽核审计工作进行审核监督。该委员会主要职责是：审议并批准公司内控制度和政策并检查其实施情况；监督公司内部审计制度的实施；向董事会提名外部审</w:t>
      </w:r>
      <w:r>
        <w:rPr>
          <w:color w:val="000000"/>
          <w:szCs w:val="21"/>
        </w:rPr>
        <w:lastRenderedPageBreak/>
        <w:t>计机构；负责内部审计和外部审计之间的协调；审议公司的关联交易；对公司的风险及管理状况及风险管理能力及水平进行评价，提出完善风险管理和内部制度的意见、制定公司日常经营、拟募集基金及运用基金资产进行投资的风险控制指标和监督制度，并不定期地对风险控制情况进行检查和监督，形成风险评估报告和建议，在例行董事会会议上提出公司上半个年度风险控制工作总结报告；监督和指导经理层所设立的风险管理委员会的工作及董事会赋予的其他职责。</w:t>
      </w:r>
    </w:p>
    <w:p w14:paraId="1F51FCFC"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风险管理委员会：是公司日常经营中整体风险控制的决策机构，该委员会是对公司各种风险的识别、防范和控制的非常设机构，负责公司整体运作风险的评估和控制，由总经理、副总经理、督察长、以及其他相关部门负责人或相关人员组成，其主要职责是：评估公司各机构、部门制度本身隐含的风险，以及这些制度在执行过程中显现的问题，并负责审定风险控制政策和策略；审议基金财产风险状况分析报告，基于风险与回报对业务策略提出质疑，需要时指导业务方向；审定公司的业务授权方案；负责协调处理突发性重大事件；负责界定业务风险损失责任人的责任；审议公司各项风险与内控状况的评价报告；需要风险管理委员会审议、决策的其他重大风险管理事项。</w:t>
      </w:r>
    </w:p>
    <w:p w14:paraId="27630FE9"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投资决策委员会：是公司投资领域的最高决策机构，以定期或不定期会议的形式讨论和决定公司投资的重大问题。投资决策委员会由公司总经理、分管投资的副总经理、各投资总监、研究总监、基金经理代表等组成，其主要职责包括：依照基金合同、资产管理合同的规定，确立各基金、特定客户资产管理的投资方针及投资方向；审定基金资产、特定客户资产管理的配置方案，包括基金资产、特定客户资产管理在股票、债券、现金之间的配置比例；制定基金、特定客户资产管理投资授权方案；对超出投资负责人权限的投资项目做出决定；考核包括基金经理、投资经理在内的投资团队的工作绩效；需要投资决策委员会决定的其它重大投资事项。</w:t>
      </w:r>
    </w:p>
    <w:p w14:paraId="1E66389C"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）督察长：督察</w:t>
      </w:r>
      <w:proofErr w:type="gramStart"/>
      <w:r>
        <w:rPr>
          <w:color w:val="000000"/>
          <w:szCs w:val="21"/>
        </w:rPr>
        <w:t>长制度</w:t>
      </w:r>
      <w:proofErr w:type="gramEnd"/>
      <w:r>
        <w:rPr>
          <w:color w:val="000000"/>
          <w:szCs w:val="21"/>
        </w:rPr>
        <w:t>是基金管理人特有的制度。督察长负责组织指导公司的监察稽核工作；可列席公司任何会议，调阅公司任何档案材料，对基金运作、内部管理、制度执行及遵规守法情况进行内部监察、稽核；每月独立出具稽核报告，报送中国证监会和董事长。</w:t>
      </w:r>
    </w:p>
    <w:p w14:paraId="52967FC7" w14:textId="72CEB8CB"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法律监察稽核部：公司设立法律监察稽核部，开展公司的监察稽核工作，并保证其工作的独立性和权威性，充分发挥其职能作用。法律监察稽核部有权对公司各类规章制度及内部风险控制制度的完备性、合理性、有效性进行检查并提出相应意见和建议，并将意见和建议上报公司总经理、督察长和风险管理委员会进行讨论。法律监察稽核部协助对全公司员工进行相关法律、法规、规章制度培训，回答公司各部门提出的法律咨询，并对公司出现的法律纠纷提出解决方案，同时组织各部门对公司管理上存在的风险隐患或出现的风险问题进行讨论、研究，提出解决方案，提交风险管理委员会、投资决策委员会或总经理办公会等进行审核、讨论，并监督整改。</w:t>
      </w:r>
    </w:p>
    <w:p w14:paraId="72B0DD97"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w:t>
      </w:r>
      <w:r>
        <w:rPr>
          <w:color w:val="000000"/>
          <w:szCs w:val="21"/>
        </w:rPr>
        <w:t>2</w:t>
      </w:r>
      <w:r>
        <w:rPr>
          <w:color w:val="000000"/>
          <w:szCs w:val="21"/>
        </w:rPr>
        <w:t>）内部控制的原则</w:t>
      </w:r>
    </w:p>
    <w:p w14:paraId="0631E411" w14:textId="77777777" w:rsidR="00175DB4" w:rsidRDefault="000519D1">
      <w:pPr>
        <w:tabs>
          <w:tab w:val="left" w:pos="540"/>
        </w:tabs>
        <w:snapToGrid w:val="0"/>
        <w:spacing w:line="360" w:lineRule="auto"/>
        <w:ind w:firstLineChars="200" w:firstLine="420"/>
        <w:rPr>
          <w:color w:val="000000"/>
          <w:szCs w:val="21"/>
        </w:rPr>
      </w:pPr>
      <w:r>
        <w:rPr>
          <w:color w:val="000000"/>
          <w:szCs w:val="21"/>
        </w:rPr>
        <w:t>公司的内部控制遵循以下原则：</w:t>
      </w:r>
    </w:p>
    <w:p w14:paraId="43071D8B"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）健全性原则：内部控制应当包括公司的各项业务、各个部门或机构和各级人员，并涵盖到决策、执行、监督、反馈等各个环节；</w:t>
      </w:r>
    </w:p>
    <w:p w14:paraId="03052E46"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）有效性原则：通过科学的内控手段和方法，建立合理的内控程序，维护内控制度的有效执行；</w:t>
      </w:r>
    </w:p>
    <w:p w14:paraId="78CCDF8F" w14:textId="71BE23F6"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）独立性原则：公司设立独立的法律监察稽核部，法律监察稽核部保持高度的独立性和权威性，负责对公司各部门风险控制工作进行稽核和检查；</w:t>
      </w:r>
    </w:p>
    <w:p w14:paraId="66A970A1"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）相互制约原则：公司内部部门和岗位的设置应当权责分明、相互制衡；</w:t>
      </w:r>
    </w:p>
    <w:p w14:paraId="0D52AED4"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）成本效益原则：公司运用科学化的经营管理方法降低运作成本，提高经济效益，以合理的控制成本达到最佳的内部控制效果。</w:t>
      </w:r>
    </w:p>
    <w:p w14:paraId="3809A26E" w14:textId="77777777" w:rsidR="00175DB4" w:rsidRDefault="000519D1">
      <w:pPr>
        <w:tabs>
          <w:tab w:val="left" w:pos="540"/>
        </w:tabs>
        <w:snapToGrid w:val="0"/>
        <w:spacing w:line="360" w:lineRule="auto"/>
        <w:ind w:firstLineChars="200" w:firstLine="420"/>
        <w:rPr>
          <w:color w:val="000000"/>
          <w:szCs w:val="21"/>
        </w:rPr>
      </w:pPr>
      <w:r>
        <w:rPr>
          <w:color w:val="000000"/>
          <w:szCs w:val="21"/>
        </w:rPr>
        <w:t>公司制订内部控制制度遵循以下原则：</w:t>
      </w:r>
    </w:p>
    <w:p w14:paraId="64A91E44"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）合法合</w:t>
      </w:r>
      <w:proofErr w:type="gramStart"/>
      <w:r>
        <w:rPr>
          <w:color w:val="000000"/>
          <w:szCs w:val="21"/>
        </w:rPr>
        <w:t>规</w:t>
      </w:r>
      <w:proofErr w:type="gramEnd"/>
      <w:r>
        <w:rPr>
          <w:color w:val="000000"/>
          <w:szCs w:val="21"/>
        </w:rPr>
        <w:t>性原则：公司内控制度应当符合国家法律、法规、规章和各项规定；</w:t>
      </w:r>
    </w:p>
    <w:p w14:paraId="46FAFB68"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）全面性原则：内部控制制度涵盖公司管理的各个环节，不得留有制度上的空白或漏洞；</w:t>
      </w:r>
    </w:p>
    <w:p w14:paraId="258BA36B"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）审慎性原则：制定内部控制制度应当以审慎经营、防范和化解风险为出发点；</w:t>
      </w:r>
    </w:p>
    <w:p w14:paraId="79090327"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）适时性原则：内部控制制度的制定应当随着有关法律法规的调整和公司经营战略、经营方针、经营理念等内外部环境的变化进行及时的修改或完善。</w:t>
      </w:r>
    </w:p>
    <w:p w14:paraId="69CAF3B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）内部风险控制措施</w:t>
      </w:r>
    </w:p>
    <w:p w14:paraId="29F499C2" w14:textId="77777777" w:rsidR="00175DB4" w:rsidRDefault="000519D1">
      <w:pPr>
        <w:tabs>
          <w:tab w:val="left" w:pos="540"/>
        </w:tabs>
        <w:snapToGrid w:val="0"/>
        <w:spacing w:line="360" w:lineRule="auto"/>
        <w:ind w:firstLineChars="200" w:firstLine="420"/>
        <w:rPr>
          <w:color w:val="000000"/>
          <w:szCs w:val="21"/>
        </w:rPr>
      </w:pPr>
      <w:r>
        <w:rPr>
          <w:color w:val="000000"/>
          <w:szCs w:val="21"/>
        </w:rPr>
        <w:t>建立科学合理、控制严密、运行高效的内部控制体系和完善的内部控制制度。公司成立以来，根据中国证监会的要求，借鉴外方股东的经验，建立了科学合理的层次分明的内控组织架构、控制程序和控制措施以及控制职责在内的运行高效、严密的内部控制体系。通过不断地对内部控制制度进行修改，公司已初步形成了较为完善的内部控制制度。</w:t>
      </w:r>
    </w:p>
    <w:p w14:paraId="27BB7EFF" w14:textId="77777777" w:rsidR="00175DB4" w:rsidRDefault="000519D1">
      <w:pPr>
        <w:tabs>
          <w:tab w:val="left" w:pos="540"/>
        </w:tabs>
        <w:snapToGrid w:val="0"/>
        <w:spacing w:line="360" w:lineRule="auto"/>
        <w:ind w:firstLineChars="200" w:firstLine="420"/>
        <w:rPr>
          <w:color w:val="000000"/>
          <w:szCs w:val="21"/>
        </w:rPr>
      </w:pPr>
      <w:r>
        <w:rPr>
          <w:color w:val="000000"/>
          <w:szCs w:val="21"/>
        </w:rPr>
        <w:t>建立健全了管理制度和业务规章。公司建立了包括风险管理制度、投资管理制度、基金会计制度、信息披露制度、监察稽核制度、信息技术管理制度、公司财务制度等基本管理制度以及包括岗位设置、岗位职责、操作流程手册在内的业务流程、规章等，从基本管理制度和业务流程上进行风险控制。</w:t>
      </w:r>
    </w:p>
    <w:p w14:paraId="5F03B61B" w14:textId="77777777" w:rsidR="00175DB4" w:rsidRDefault="000519D1">
      <w:pPr>
        <w:tabs>
          <w:tab w:val="left" w:pos="540"/>
        </w:tabs>
        <w:snapToGrid w:val="0"/>
        <w:spacing w:line="360" w:lineRule="auto"/>
        <w:ind w:firstLineChars="200" w:firstLine="420"/>
        <w:rPr>
          <w:color w:val="000000"/>
          <w:szCs w:val="21"/>
        </w:rPr>
      </w:pPr>
      <w:r>
        <w:rPr>
          <w:color w:val="000000"/>
          <w:szCs w:val="21"/>
        </w:rPr>
        <w:t>建立了岗位分离、相互制衡的内控机制。公司在岗位设置上采取了严格的分离制度，实现了基金投资与交易，交易与清算，公司会计与基金会计等业务岗位的分离制度，形成了不同岗位之间的相互制衡机制，从岗位设置上减少和防范操作及操守风险。</w:t>
      </w:r>
    </w:p>
    <w:p w14:paraId="2C6E0FDD" w14:textId="77777777" w:rsidR="00175DB4" w:rsidRDefault="000519D1">
      <w:pPr>
        <w:tabs>
          <w:tab w:val="left" w:pos="540"/>
        </w:tabs>
        <w:snapToGrid w:val="0"/>
        <w:spacing w:line="360" w:lineRule="auto"/>
        <w:ind w:firstLineChars="200" w:firstLine="420"/>
        <w:rPr>
          <w:color w:val="000000"/>
          <w:szCs w:val="21"/>
        </w:rPr>
      </w:pPr>
      <w:r>
        <w:rPr>
          <w:color w:val="000000"/>
          <w:szCs w:val="21"/>
        </w:rPr>
        <w:t>建立健全了岗位责任制。公司通过建立健全了岗位责任制使每位员工都能明确自己的岗位职责和风险管理责任。</w:t>
      </w:r>
    </w:p>
    <w:p w14:paraId="156353E6" w14:textId="77777777" w:rsidR="00175DB4" w:rsidRDefault="000519D1">
      <w:pPr>
        <w:tabs>
          <w:tab w:val="left" w:pos="540"/>
        </w:tabs>
        <w:snapToGrid w:val="0"/>
        <w:spacing w:line="360" w:lineRule="auto"/>
        <w:ind w:firstLineChars="200" w:firstLine="420"/>
        <w:rPr>
          <w:color w:val="000000"/>
          <w:szCs w:val="21"/>
        </w:rPr>
      </w:pPr>
      <w:r>
        <w:rPr>
          <w:color w:val="000000"/>
          <w:szCs w:val="21"/>
        </w:rPr>
        <w:t>构建了风险管理系统。公司通过建立风险评估、预警、报告和控制以及监督程序，并经过适当的控制流程，定期或实时对风险进行评估、预警、监督，从而确认、评估和预警</w:t>
      </w:r>
      <w:r>
        <w:rPr>
          <w:color w:val="000000"/>
          <w:szCs w:val="21"/>
        </w:rPr>
        <w:lastRenderedPageBreak/>
        <w:t>与公司管理及基金运作有关的风险，通过顺畅的报告渠道，对风险问题进行层层监督、管理、控制，使部门和管理层及时把握风险状况并快速做出风险控制决策。建立自动化监督控制系统：公司启用了电子化投资、交易系统，对投资比例进行限制，在</w:t>
      </w:r>
      <w:r>
        <w:rPr>
          <w:color w:val="000000"/>
          <w:szCs w:val="21"/>
        </w:rPr>
        <w:t>“</w:t>
      </w:r>
      <w:r>
        <w:rPr>
          <w:color w:val="000000"/>
          <w:szCs w:val="21"/>
        </w:rPr>
        <w:t>股票黑名单</w:t>
      </w:r>
      <w:r>
        <w:rPr>
          <w:color w:val="000000"/>
          <w:szCs w:val="21"/>
        </w:rPr>
        <w:t>”</w:t>
      </w:r>
      <w:r>
        <w:rPr>
          <w:color w:val="000000"/>
          <w:szCs w:val="21"/>
        </w:rPr>
        <w:t>、交叉交易以及防范操守风险等方面进行电子化自动控制，将有效地防止合</w:t>
      </w:r>
      <w:proofErr w:type="gramStart"/>
      <w:r>
        <w:rPr>
          <w:color w:val="000000"/>
          <w:szCs w:val="21"/>
        </w:rPr>
        <w:t>规性运作</w:t>
      </w:r>
      <w:proofErr w:type="gramEnd"/>
      <w:r>
        <w:rPr>
          <w:color w:val="000000"/>
          <w:szCs w:val="21"/>
        </w:rPr>
        <w:t>风险和操守风险。</w:t>
      </w:r>
    </w:p>
    <w:p w14:paraId="1E966464" w14:textId="77777777" w:rsidR="00175DB4" w:rsidRDefault="000519D1">
      <w:pPr>
        <w:tabs>
          <w:tab w:val="left" w:pos="540"/>
        </w:tabs>
        <w:snapToGrid w:val="0"/>
        <w:spacing w:line="360" w:lineRule="auto"/>
        <w:ind w:firstLineChars="200" w:firstLine="420"/>
        <w:rPr>
          <w:color w:val="000000"/>
          <w:szCs w:val="21"/>
        </w:rPr>
      </w:pPr>
      <w:r>
        <w:rPr>
          <w:color w:val="000000"/>
          <w:szCs w:val="21"/>
        </w:rPr>
        <w:t>使用数量化的风险管理手段。采用数量化、技术化的风险控制手段，建立数量化的风险管理模型，用以提示指数趋势、行业及个股的风险，以便公司及时采取有效的措施，对风险进行分散、规避和控制，尽可能减少损失。</w:t>
      </w:r>
    </w:p>
    <w:p w14:paraId="0A960EE6" w14:textId="77777777" w:rsidR="00175DB4" w:rsidRDefault="000519D1">
      <w:pPr>
        <w:tabs>
          <w:tab w:val="left" w:pos="540"/>
        </w:tabs>
        <w:snapToGrid w:val="0"/>
        <w:spacing w:line="360" w:lineRule="auto"/>
        <w:ind w:firstLineChars="200" w:firstLine="420"/>
        <w:rPr>
          <w:color w:val="000000"/>
          <w:szCs w:val="21"/>
        </w:rPr>
      </w:pPr>
      <w:r>
        <w:rPr>
          <w:color w:val="000000"/>
          <w:szCs w:val="21"/>
        </w:rPr>
        <w:t>提供足够的培训。制定了完整的培训计划，为所有员工提供足够和适当的培训，使员工具有较高的职业水准，从培养职业化专业理财队伍角度控制职业化问题带来的风险。</w:t>
      </w:r>
    </w:p>
    <w:p w14:paraId="39C6345E"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、基金管理人关于内部控制制度的声明</w:t>
      </w:r>
    </w:p>
    <w:p w14:paraId="03D3D770"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基金管理人承诺以上关于内部控制制度的披露真实、准确。</w:t>
      </w:r>
    </w:p>
    <w:p w14:paraId="70FC9CA1" w14:textId="77777777" w:rsidR="00175DB4" w:rsidRDefault="000519D1">
      <w:pPr>
        <w:tabs>
          <w:tab w:val="left" w:pos="540"/>
        </w:tabs>
        <w:snapToGrid w:val="0"/>
        <w:spacing w:line="360" w:lineRule="auto"/>
        <w:ind w:firstLineChars="200" w:firstLine="420"/>
        <w:rPr>
          <w:color w:val="000000"/>
        </w:rPr>
      </w:pPr>
      <w:r>
        <w:rPr>
          <w:color w:val="000000"/>
          <w:szCs w:val="21"/>
        </w:rPr>
        <w:t>基金管理人承诺根据市场变化和基金管理人发展不断完善内部控制制度。</w:t>
      </w:r>
    </w:p>
    <w:p w14:paraId="2611CE7E" w14:textId="77777777" w:rsidR="00175DB4" w:rsidRDefault="00175DB4">
      <w:pPr>
        <w:pStyle w:val="1"/>
        <w:spacing w:line="460" w:lineRule="exact"/>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14" w:name="_Toc92531650"/>
      <w:bookmarkStart w:id="15" w:name="_Toc86589167"/>
    </w:p>
    <w:p w14:paraId="142B70F2" w14:textId="77777777" w:rsidR="00175DB4" w:rsidRDefault="000519D1">
      <w:pPr>
        <w:pStyle w:val="1"/>
        <w:spacing w:line="360" w:lineRule="exact"/>
        <w:rPr>
          <w:rFonts w:eastAsia="宋体"/>
          <w:color w:val="000000"/>
          <w:sz w:val="30"/>
          <w:szCs w:val="30"/>
        </w:rPr>
      </w:pPr>
      <w:bookmarkStart w:id="16" w:name="_Toc135741006"/>
      <w:r>
        <w:rPr>
          <w:rFonts w:eastAsia="宋体"/>
          <w:color w:val="000000"/>
          <w:sz w:val="30"/>
          <w:szCs w:val="30"/>
        </w:rPr>
        <w:lastRenderedPageBreak/>
        <w:t>四、基金托管人</w:t>
      </w:r>
      <w:bookmarkEnd w:id="16"/>
    </w:p>
    <w:p w14:paraId="6198BE1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（一）基金托管人情况</w:t>
      </w:r>
    </w:p>
    <w:p w14:paraId="2B5E254F" w14:textId="77777777" w:rsidR="0034409C" w:rsidRPr="0084159B" w:rsidRDefault="0034409C" w:rsidP="0034409C">
      <w:pPr>
        <w:spacing w:before="50" w:after="50" w:line="360" w:lineRule="auto"/>
        <w:ind w:firstLineChars="200" w:firstLine="420"/>
        <w:rPr>
          <w:rFonts w:asciiTheme="minorEastAsia" w:eastAsiaTheme="minorEastAsia" w:hAnsiTheme="minorEastAsia"/>
          <w:bCs/>
        </w:rPr>
      </w:pPr>
      <w:r w:rsidRPr="0084159B">
        <w:rPr>
          <w:rFonts w:asciiTheme="minorEastAsia" w:eastAsiaTheme="minorEastAsia" w:hAnsiTheme="minorEastAsia"/>
          <w:bCs/>
        </w:rPr>
        <w:t>1</w:t>
      </w:r>
      <w:r w:rsidRPr="0084159B">
        <w:rPr>
          <w:rFonts w:asciiTheme="minorEastAsia" w:eastAsiaTheme="minorEastAsia" w:hAnsiTheme="minorEastAsia" w:hint="eastAsia"/>
          <w:bCs/>
        </w:rPr>
        <w:t>、基本情况</w:t>
      </w:r>
    </w:p>
    <w:p w14:paraId="55CA12DA"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hint="eastAsia"/>
          <w:kern w:val="0"/>
          <w:sz w:val="21"/>
        </w:rPr>
        <w:t>名</w:t>
      </w:r>
      <w:r w:rsidRPr="0084159B">
        <w:rPr>
          <w:rFonts w:asciiTheme="minorEastAsia" w:eastAsiaTheme="minorEastAsia" w:hAnsiTheme="minorEastAsia"/>
          <w:kern w:val="0"/>
          <w:sz w:val="21"/>
        </w:rPr>
        <w:t>称：</w:t>
      </w:r>
      <w:r w:rsidRPr="0084159B">
        <w:rPr>
          <w:rFonts w:asciiTheme="minorEastAsia" w:eastAsiaTheme="minorEastAsia" w:hAnsiTheme="minorEastAsia" w:hint="eastAsia"/>
          <w:kern w:val="0"/>
          <w:sz w:val="21"/>
        </w:rPr>
        <w:t>广发证券股份有限公司</w:t>
      </w:r>
      <w:r w:rsidRPr="0084159B">
        <w:rPr>
          <w:rFonts w:asciiTheme="minorEastAsia" w:eastAsiaTheme="minorEastAsia" w:hAnsiTheme="minorEastAsia"/>
          <w:kern w:val="0"/>
          <w:sz w:val="21"/>
        </w:rPr>
        <w:t>（简称：</w:t>
      </w:r>
      <w:r w:rsidRPr="0084159B">
        <w:rPr>
          <w:rFonts w:asciiTheme="minorEastAsia" w:eastAsiaTheme="minorEastAsia" w:hAnsiTheme="minorEastAsia" w:hint="eastAsia"/>
          <w:kern w:val="0"/>
          <w:sz w:val="21"/>
        </w:rPr>
        <w:t>广发证券</w:t>
      </w:r>
      <w:r w:rsidRPr="0084159B">
        <w:rPr>
          <w:rFonts w:asciiTheme="minorEastAsia" w:eastAsiaTheme="minorEastAsia" w:hAnsiTheme="minorEastAsia"/>
          <w:kern w:val="0"/>
          <w:sz w:val="21"/>
        </w:rPr>
        <w:t>）</w:t>
      </w:r>
    </w:p>
    <w:p w14:paraId="44421627"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hint="eastAsia"/>
          <w:kern w:val="0"/>
          <w:sz w:val="21"/>
        </w:rPr>
        <w:t>住所</w:t>
      </w:r>
      <w:r w:rsidRPr="0084159B">
        <w:rPr>
          <w:rFonts w:asciiTheme="minorEastAsia" w:eastAsiaTheme="minorEastAsia" w:hAnsiTheme="minorEastAsia"/>
          <w:kern w:val="0"/>
          <w:sz w:val="21"/>
        </w:rPr>
        <w:t>：</w:t>
      </w:r>
      <w:r w:rsidRPr="0084159B">
        <w:rPr>
          <w:rFonts w:asciiTheme="minorEastAsia" w:eastAsiaTheme="minorEastAsia" w:hAnsiTheme="minorEastAsia" w:hint="eastAsia"/>
          <w:kern w:val="0"/>
          <w:sz w:val="21"/>
        </w:rPr>
        <w:t>广东省广州市黄埔区中新广州知识城腾飞一街</w:t>
      </w:r>
      <w:r w:rsidRPr="0084159B">
        <w:rPr>
          <w:rFonts w:asciiTheme="minorEastAsia" w:eastAsiaTheme="minorEastAsia" w:hAnsiTheme="minorEastAsia"/>
          <w:kern w:val="0"/>
          <w:sz w:val="21"/>
        </w:rPr>
        <w:t>2</w:t>
      </w:r>
      <w:r w:rsidRPr="0084159B">
        <w:rPr>
          <w:rFonts w:asciiTheme="minorEastAsia" w:eastAsiaTheme="minorEastAsia" w:hAnsiTheme="minorEastAsia" w:hint="eastAsia"/>
          <w:kern w:val="0"/>
          <w:sz w:val="21"/>
        </w:rPr>
        <w:t>号</w:t>
      </w:r>
      <w:r w:rsidRPr="0084159B">
        <w:rPr>
          <w:rFonts w:asciiTheme="minorEastAsia" w:eastAsiaTheme="minorEastAsia" w:hAnsiTheme="minorEastAsia"/>
          <w:kern w:val="0"/>
          <w:sz w:val="21"/>
        </w:rPr>
        <w:t>618</w:t>
      </w:r>
      <w:r w:rsidRPr="0084159B">
        <w:rPr>
          <w:rFonts w:asciiTheme="minorEastAsia" w:eastAsiaTheme="minorEastAsia" w:hAnsiTheme="minorEastAsia" w:hint="eastAsia"/>
          <w:kern w:val="0"/>
          <w:sz w:val="21"/>
        </w:rPr>
        <w:t>室</w:t>
      </w:r>
    </w:p>
    <w:p w14:paraId="3658B1A8"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办公地址：广东省</w:t>
      </w:r>
      <w:r w:rsidRPr="0084159B">
        <w:rPr>
          <w:rFonts w:asciiTheme="minorEastAsia" w:eastAsiaTheme="minorEastAsia" w:hAnsiTheme="minorEastAsia" w:hint="eastAsia"/>
          <w:kern w:val="0"/>
          <w:sz w:val="21"/>
        </w:rPr>
        <w:t>广州市天河区</w:t>
      </w:r>
      <w:proofErr w:type="gramStart"/>
      <w:r w:rsidRPr="0084159B">
        <w:rPr>
          <w:rFonts w:asciiTheme="minorEastAsia" w:eastAsiaTheme="minorEastAsia" w:hAnsiTheme="minorEastAsia" w:hint="eastAsia"/>
          <w:kern w:val="0"/>
          <w:sz w:val="21"/>
        </w:rPr>
        <w:t>马场路</w:t>
      </w:r>
      <w:proofErr w:type="gramEnd"/>
      <w:r w:rsidRPr="0084159B">
        <w:rPr>
          <w:rFonts w:asciiTheme="minorEastAsia" w:eastAsiaTheme="minorEastAsia" w:hAnsiTheme="minorEastAsia"/>
          <w:kern w:val="0"/>
          <w:sz w:val="21"/>
        </w:rPr>
        <w:t>26</w:t>
      </w:r>
      <w:r w:rsidRPr="0084159B">
        <w:rPr>
          <w:rFonts w:asciiTheme="minorEastAsia" w:eastAsiaTheme="minorEastAsia" w:hAnsiTheme="minorEastAsia" w:hint="eastAsia"/>
          <w:kern w:val="0"/>
          <w:sz w:val="21"/>
        </w:rPr>
        <w:t>号广发</w:t>
      </w:r>
      <w:r w:rsidRPr="0084159B">
        <w:rPr>
          <w:rFonts w:asciiTheme="minorEastAsia" w:eastAsiaTheme="minorEastAsia" w:hAnsiTheme="minorEastAsia"/>
          <w:kern w:val="0"/>
          <w:sz w:val="21"/>
        </w:rPr>
        <w:t>证券大厦34</w:t>
      </w:r>
      <w:r w:rsidRPr="0084159B">
        <w:rPr>
          <w:rFonts w:asciiTheme="minorEastAsia" w:eastAsiaTheme="minorEastAsia" w:hAnsiTheme="minorEastAsia" w:hint="eastAsia"/>
          <w:kern w:val="0"/>
          <w:sz w:val="21"/>
        </w:rPr>
        <w:t>楼</w:t>
      </w:r>
    </w:p>
    <w:p w14:paraId="03A44B8F"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法定代表人：</w:t>
      </w:r>
      <w:r w:rsidRPr="0084159B">
        <w:rPr>
          <w:rFonts w:asciiTheme="minorEastAsia" w:eastAsiaTheme="minorEastAsia" w:hAnsiTheme="minorEastAsia" w:hint="eastAsia"/>
          <w:kern w:val="0"/>
          <w:sz w:val="21"/>
        </w:rPr>
        <w:t>林传辉</w:t>
      </w:r>
    </w:p>
    <w:p w14:paraId="50F3520A"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成立时间：1994</w:t>
      </w:r>
      <w:r w:rsidRPr="0084159B">
        <w:rPr>
          <w:rFonts w:asciiTheme="minorEastAsia" w:eastAsiaTheme="minorEastAsia" w:hAnsiTheme="minorEastAsia" w:hint="eastAsia"/>
          <w:kern w:val="0"/>
          <w:sz w:val="21"/>
        </w:rPr>
        <w:t>年</w:t>
      </w:r>
      <w:r w:rsidRPr="0084159B">
        <w:rPr>
          <w:rFonts w:asciiTheme="minorEastAsia" w:eastAsiaTheme="minorEastAsia" w:hAnsiTheme="minorEastAsia"/>
          <w:kern w:val="0"/>
          <w:sz w:val="21"/>
        </w:rPr>
        <w:t>1</w:t>
      </w:r>
      <w:r w:rsidRPr="0084159B">
        <w:rPr>
          <w:rFonts w:asciiTheme="minorEastAsia" w:eastAsiaTheme="minorEastAsia" w:hAnsiTheme="minorEastAsia" w:hint="eastAsia"/>
          <w:kern w:val="0"/>
          <w:sz w:val="21"/>
        </w:rPr>
        <w:t>月</w:t>
      </w:r>
      <w:r w:rsidRPr="0084159B">
        <w:rPr>
          <w:rFonts w:asciiTheme="minorEastAsia" w:eastAsiaTheme="minorEastAsia" w:hAnsiTheme="minorEastAsia"/>
          <w:kern w:val="0"/>
          <w:sz w:val="21"/>
        </w:rPr>
        <w:t>21</w:t>
      </w:r>
      <w:r w:rsidRPr="0084159B">
        <w:rPr>
          <w:rFonts w:asciiTheme="minorEastAsia" w:eastAsiaTheme="minorEastAsia" w:hAnsiTheme="minorEastAsia" w:hint="eastAsia"/>
          <w:kern w:val="0"/>
          <w:sz w:val="21"/>
        </w:rPr>
        <w:t>日</w:t>
      </w:r>
    </w:p>
    <w:p w14:paraId="219F201A"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基金托管资格批文及文号：</w:t>
      </w:r>
      <w:r w:rsidRPr="0084159B">
        <w:rPr>
          <w:rFonts w:asciiTheme="minorEastAsia" w:eastAsiaTheme="minorEastAsia" w:hAnsiTheme="minorEastAsia" w:hint="eastAsia"/>
          <w:kern w:val="0"/>
          <w:sz w:val="21"/>
        </w:rPr>
        <w:t>证监许可【</w:t>
      </w:r>
      <w:r w:rsidRPr="0084159B">
        <w:rPr>
          <w:rFonts w:asciiTheme="minorEastAsia" w:eastAsiaTheme="minorEastAsia" w:hAnsiTheme="minorEastAsia"/>
          <w:kern w:val="0"/>
          <w:sz w:val="21"/>
        </w:rPr>
        <w:t>2014</w:t>
      </w:r>
      <w:r w:rsidRPr="0084159B">
        <w:rPr>
          <w:rFonts w:asciiTheme="minorEastAsia" w:eastAsiaTheme="minorEastAsia" w:hAnsiTheme="minorEastAsia" w:hint="eastAsia"/>
          <w:kern w:val="0"/>
          <w:sz w:val="21"/>
        </w:rPr>
        <w:t>】</w:t>
      </w:r>
      <w:r w:rsidRPr="0084159B">
        <w:rPr>
          <w:rFonts w:asciiTheme="minorEastAsia" w:eastAsiaTheme="minorEastAsia" w:hAnsiTheme="minorEastAsia"/>
          <w:kern w:val="0"/>
          <w:sz w:val="21"/>
        </w:rPr>
        <w:t>510</w:t>
      </w:r>
      <w:r w:rsidRPr="0084159B">
        <w:rPr>
          <w:rFonts w:asciiTheme="minorEastAsia" w:eastAsiaTheme="minorEastAsia" w:hAnsiTheme="minorEastAsia" w:hint="eastAsia"/>
          <w:kern w:val="0"/>
          <w:sz w:val="21"/>
        </w:rPr>
        <w:t>号</w:t>
      </w:r>
    </w:p>
    <w:p w14:paraId="709F5072"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注册资本：</w:t>
      </w:r>
      <w:r w:rsidRPr="0084159B">
        <w:rPr>
          <w:rFonts w:asciiTheme="minorEastAsia" w:eastAsiaTheme="minorEastAsia" w:hAnsiTheme="minorEastAsia" w:hint="eastAsia"/>
          <w:kern w:val="0"/>
          <w:sz w:val="21"/>
        </w:rPr>
        <w:t>人民币</w:t>
      </w:r>
      <w:r w:rsidRPr="0084159B">
        <w:rPr>
          <w:rFonts w:asciiTheme="minorEastAsia" w:eastAsiaTheme="minorEastAsia" w:hAnsiTheme="minorEastAsia"/>
          <w:kern w:val="0"/>
          <w:sz w:val="21"/>
        </w:rPr>
        <w:t>7,621,087,664</w:t>
      </w:r>
      <w:r w:rsidRPr="0084159B">
        <w:rPr>
          <w:rFonts w:asciiTheme="minorEastAsia" w:eastAsiaTheme="minorEastAsia" w:hAnsiTheme="minorEastAsia" w:hint="eastAsia"/>
          <w:kern w:val="0"/>
          <w:sz w:val="21"/>
        </w:rPr>
        <w:t>元</w:t>
      </w:r>
    </w:p>
    <w:p w14:paraId="2ADE1ECD"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kern w:val="0"/>
          <w:sz w:val="21"/>
        </w:rPr>
        <w:t>存续期间：</w:t>
      </w:r>
      <w:r w:rsidRPr="0084159B">
        <w:rPr>
          <w:rFonts w:asciiTheme="minorEastAsia" w:eastAsiaTheme="minorEastAsia" w:hAnsiTheme="minorEastAsia" w:hint="eastAsia"/>
          <w:kern w:val="0"/>
          <w:sz w:val="21"/>
        </w:rPr>
        <w:t>长期</w:t>
      </w:r>
    </w:p>
    <w:p w14:paraId="26505BD7" w14:textId="77777777" w:rsidR="0034409C" w:rsidRPr="0084159B" w:rsidRDefault="0034409C" w:rsidP="0034409C">
      <w:pPr>
        <w:pStyle w:val="210"/>
        <w:spacing w:before="50" w:after="50"/>
        <w:ind w:firstLineChars="200" w:firstLine="420"/>
        <w:rPr>
          <w:rFonts w:asciiTheme="minorEastAsia" w:eastAsiaTheme="minorEastAsia" w:hAnsiTheme="minorEastAsia"/>
          <w:kern w:val="0"/>
          <w:sz w:val="21"/>
        </w:rPr>
      </w:pPr>
      <w:r w:rsidRPr="0084159B">
        <w:rPr>
          <w:rFonts w:asciiTheme="minorEastAsia" w:eastAsiaTheme="minorEastAsia" w:hAnsiTheme="minorEastAsia" w:hint="eastAsia"/>
          <w:kern w:val="0"/>
          <w:sz w:val="21"/>
        </w:rPr>
        <w:t>联系人：罗琦</w:t>
      </w:r>
    </w:p>
    <w:p w14:paraId="73E017E0"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联系电话：</w:t>
      </w:r>
      <w:r w:rsidRPr="0084159B">
        <w:rPr>
          <w:rFonts w:asciiTheme="minorEastAsia" w:eastAsiaTheme="minorEastAsia" w:hAnsiTheme="minorEastAsia"/>
          <w:bCs/>
          <w:sz w:val="21"/>
          <w:szCs w:val="21"/>
        </w:rPr>
        <w:t>020-66338888</w:t>
      </w:r>
    </w:p>
    <w:p w14:paraId="7700E53B"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广发证券是国内首批综合类证券公司，先后于</w:t>
      </w:r>
      <w:r w:rsidRPr="0084159B">
        <w:rPr>
          <w:rFonts w:asciiTheme="minorEastAsia" w:eastAsiaTheme="minorEastAsia" w:hAnsiTheme="minorEastAsia"/>
          <w:bCs/>
          <w:sz w:val="21"/>
          <w:szCs w:val="21"/>
        </w:rPr>
        <w:t>2010</w:t>
      </w:r>
      <w:r w:rsidRPr="0084159B">
        <w:rPr>
          <w:rFonts w:asciiTheme="minorEastAsia" w:eastAsiaTheme="minorEastAsia" w:hAnsiTheme="minorEastAsia" w:hint="eastAsia"/>
          <w:bCs/>
          <w:sz w:val="21"/>
          <w:szCs w:val="21"/>
        </w:rPr>
        <w:t>年和</w:t>
      </w:r>
      <w:r w:rsidRPr="0084159B">
        <w:rPr>
          <w:rFonts w:asciiTheme="minorEastAsia" w:eastAsiaTheme="minorEastAsia" w:hAnsiTheme="minorEastAsia"/>
          <w:bCs/>
          <w:sz w:val="21"/>
          <w:szCs w:val="21"/>
        </w:rPr>
        <w:t>2015</w:t>
      </w:r>
      <w:r w:rsidRPr="0084159B">
        <w:rPr>
          <w:rFonts w:asciiTheme="minorEastAsia" w:eastAsiaTheme="minorEastAsia" w:hAnsiTheme="minorEastAsia" w:hint="eastAsia"/>
          <w:bCs/>
          <w:sz w:val="21"/>
          <w:szCs w:val="21"/>
        </w:rPr>
        <w:t>年分别在深圳证券交易所及香港联合交易所有限公司主板上市（股票代码：</w:t>
      </w:r>
      <w:r w:rsidRPr="0084159B">
        <w:rPr>
          <w:rFonts w:asciiTheme="minorEastAsia" w:eastAsiaTheme="minorEastAsia" w:hAnsiTheme="minorEastAsia"/>
          <w:bCs/>
          <w:sz w:val="21"/>
          <w:szCs w:val="21"/>
        </w:rPr>
        <w:t>000776.SZ</w:t>
      </w:r>
      <w:r w:rsidRPr="0084159B">
        <w:rPr>
          <w:rFonts w:asciiTheme="minorEastAsia" w:eastAsiaTheme="minorEastAsia" w:hAnsiTheme="minorEastAsia" w:hint="eastAsia"/>
          <w:bCs/>
          <w:sz w:val="21"/>
          <w:szCs w:val="21"/>
        </w:rPr>
        <w:t>，</w:t>
      </w:r>
      <w:r w:rsidRPr="0084159B">
        <w:rPr>
          <w:rFonts w:asciiTheme="minorEastAsia" w:eastAsiaTheme="minorEastAsia" w:hAnsiTheme="minorEastAsia"/>
          <w:bCs/>
          <w:sz w:val="21"/>
          <w:szCs w:val="21"/>
        </w:rPr>
        <w:t>1776.HK</w:t>
      </w:r>
      <w:r w:rsidRPr="0084159B">
        <w:rPr>
          <w:rFonts w:asciiTheme="minorEastAsia" w:eastAsiaTheme="minorEastAsia" w:hAnsiTheme="minorEastAsia" w:hint="eastAsia"/>
          <w:bCs/>
          <w:sz w:val="21"/>
          <w:szCs w:val="21"/>
        </w:rPr>
        <w:t>）。截至</w:t>
      </w:r>
      <w:r w:rsidRPr="0084159B">
        <w:rPr>
          <w:rFonts w:asciiTheme="minorEastAsia" w:eastAsiaTheme="minorEastAsia" w:hAnsiTheme="minorEastAsia"/>
          <w:bCs/>
          <w:sz w:val="21"/>
          <w:szCs w:val="21"/>
        </w:rPr>
        <w:t>2022</w:t>
      </w:r>
      <w:r w:rsidRPr="0084159B">
        <w:rPr>
          <w:rFonts w:asciiTheme="minorEastAsia" w:eastAsiaTheme="minorEastAsia" w:hAnsiTheme="minorEastAsia" w:hint="eastAsia"/>
          <w:bCs/>
          <w:sz w:val="21"/>
          <w:szCs w:val="21"/>
        </w:rPr>
        <w:t>年</w:t>
      </w:r>
      <w:r w:rsidRPr="0084159B">
        <w:rPr>
          <w:rFonts w:asciiTheme="minorEastAsia" w:eastAsiaTheme="minorEastAsia" w:hAnsiTheme="minorEastAsia"/>
          <w:bCs/>
          <w:sz w:val="21"/>
          <w:szCs w:val="21"/>
        </w:rPr>
        <w:t>12</w:t>
      </w:r>
      <w:r w:rsidRPr="0084159B">
        <w:rPr>
          <w:rFonts w:asciiTheme="minorEastAsia" w:eastAsiaTheme="minorEastAsia" w:hAnsiTheme="minorEastAsia" w:hint="eastAsia"/>
          <w:bCs/>
          <w:sz w:val="21"/>
          <w:szCs w:val="21"/>
        </w:rPr>
        <w:t>月</w:t>
      </w:r>
      <w:r w:rsidRPr="0084159B">
        <w:rPr>
          <w:rFonts w:asciiTheme="minorEastAsia" w:eastAsiaTheme="minorEastAsia" w:hAnsiTheme="minorEastAsia"/>
          <w:bCs/>
          <w:sz w:val="21"/>
          <w:szCs w:val="21"/>
        </w:rPr>
        <w:t>31</w:t>
      </w:r>
      <w:r w:rsidRPr="0084159B">
        <w:rPr>
          <w:rFonts w:asciiTheme="minorEastAsia" w:eastAsiaTheme="minorEastAsia" w:hAnsiTheme="minorEastAsia" w:hint="eastAsia"/>
          <w:bCs/>
          <w:sz w:val="21"/>
          <w:szCs w:val="21"/>
        </w:rPr>
        <w:t>日，公司共设立证券营业部</w:t>
      </w:r>
      <w:r w:rsidRPr="0084159B">
        <w:rPr>
          <w:rFonts w:asciiTheme="minorEastAsia" w:eastAsiaTheme="minorEastAsia" w:hAnsiTheme="minorEastAsia"/>
          <w:bCs/>
          <w:sz w:val="21"/>
          <w:szCs w:val="21"/>
        </w:rPr>
        <w:t>313</w:t>
      </w:r>
      <w:r w:rsidRPr="0084159B">
        <w:rPr>
          <w:rFonts w:asciiTheme="minorEastAsia" w:eastAsiaTheme="minorEastAsia" w:hAnsiTheme="minorEastAsia" w:hint="eastAsia"/>
          <w:bCs/>
          <w:sz w:val="21"/>
          <w:szCs w:val="21"/>
        </w:rPr>
        <w:t>家。</w:t>
      </w:r>
    </w:p>
    <w:p w14:paraId="7867082F"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广发证券具备完整的业务体系、科学均衡的业务结构，综合金融服务能力行业领先，主要经营指标连续多年稳居中国十大券商行列，是中国资本市场最具影响力的证券公司之一。截至</w:t>
      </w:r>
      <w:r w:rsidRPr="0084159B">
        <w:rPr>
          <w:rFonts w:asciiTheme="minorEastAsia" w:eastAsiaTheme="minorEastAsia" w:hAnsiTheme="minorEastAsia"/>
          <w:bCs/>
          <w:sz w:val="21"/>
          <w:szCs w:val="21"/>
        </w:rPr>
        <w:t>2022</w:t>
      </w:r>
      <w:r w:rsidRPr="0084159B">
        <w:rPr>
          <w:rFonts w:asciiTheme="minorEastAsia" w:eastAsiaTheme="minorEastAsia" w:hAnsiTheme="minorEastAsia" w:hint="eastAsia"/>
          <w:bCs/>
          <w:sz w:val="21"/>
          <w:szCs w:val="21"/>
        </w:rPr>
        <w:t>年</w:t>
      </w:r>
      <w:r w:rsidRPr="0084159B">
        <w:rPr>
          <w:rFonts w:asciiTheme="minorEastAsia" w:eastAsiaTheme="minorEastAsia" w:hAnsiTheme="minorEastAsia"/>
          <w:bCs/>
          <w:sz w:val="21"/>
          <w:szCs w:val="21"/>
        </w:rPr>
        <w:t>12</w:t>
      </w:r>
      <w:r w:rsidRPr="0084159B">
        <w:rPr>
          <w:rFonts w:asciiTheme="minorEastAsia" w:eastAsiaTheme="minorEastAsia" w:hAnsiTheme="minorEastAsia" w:hint="eastAsia"/>
          <w:bCs/>
          <w:sz w:val="21"/>
          <w:szCs w:val="21"/>
        </w:rPr>
        <w:t>月</w:t>
      </w:r>
      <w:r w:rsidRPr="0084159B">
        <w:rPr>
          <w:rFonts w:asciiTheme="minorEastAsia" w:eastAsiaTheme="minorEastAsia" w:hAnsiTheme="minorEastAsia"/>
          <w:bCs/>
          <w:sz w:val="21"/>
          <w:szCs w:val="21"/>
        </w:rPr>
        <w:t>31</w:t>
      </w:r>
      <w:r w:rsidRPr="0084159B">
        <w:rPr>
          <w:rFonts w:asciiTheme="minorEastAsia" w:eastAsiaTheme="minorEastAsia" w:hAnsiTheme="minorEastAsia" w:hint="eastAsia"/>
          <w:bCs/>
          <w:sz w:val="21"/>
          <w:szCs w:val="21"/>
        </w:rPr>
        <w:t>日，集团总资产</w:t>
      </w:r>
      <w:r w:rsidRPr="0084159B">
        <w:rPr>
          <w:rFonts w:asciiTheme="minorEastAsia" w:eastAsiaTheme="minorEastAsia" w:hAnsiTheme="minorEastAsia"/>
          <w:bCs/>
          <w:sz w:val="21"/>
          <w:szCs w:val="21"/>
        </w:rPr>
        <w:t>6,172.56</w:t>
      </w:r>
      <w:r w:rsidRPr="0084159B">
        <w:rPr>
          <w:rFonts w:asciiTheme="minorEastAsia" w:eastAsiaTheme="minorEastAsia" w:hAnsiTheme="minorEastAsia" w:hint="eastAsia"/>
          <w:bCs/>
          <w:sz w:val="21"/>
          <w:szCs w:val="21"/>
        </w:rPr>
        <w:t>亿元，归属于上市公司股东的所有者权益为</w:t>
      </w:r>
      <w:r w:rsidRPr="0084159B">
        <w:rPr>
          <w:rFonts w:asciiTheme="minorEastAsia" w:eastAsiaTheme="minorEastAsia" w:hAnsiTheme="minorEastAsia"/>
          <w:bCs/>
          <w:sz w:val="21"/>
          <w:szCs w:val="21"/>
        </w:rPr>
        <w:t>1,201.46</w:t>
      </w:r>
      <w:r w:rsidRPr="0084159B">
        <w:rPr>
          <w:rFonts w:asciiTheme="minorEastAsia" w:eastAsiaTheme="minorEastAsia" w:hAnsiTheme="minorEastAsia" w:hint="eastAsia"/>
          <w:bCs/>
          <w:sz w:val="21"/>
          <w:szCs w:val="21"/>
        </w:rPr>
        <w:t>亿元，</w:t>
      </w:r>
      <w:r w:rsidRPr="0084159B">
        <w:rPr>
          <w:rFonts w:asciiTheme="minorEastAsia" w:eastAsiaTheme="minorEastAsia" w:hAnsiTheme="minorEastAsia"/>
          <w:bCs/>
          <w:sz w:val="21"/>
          <w:szCs w:val="21"/>
        </w:rPr>
        <w:t>2022</w:t>
      </w:r>
      <w:r w:rsidRPr="0084159B">
        <w:rPr>
          <w:rFonts w:asciiTheme="minorEastAsia" w:eastAsiaTheme="minorEastAsia" w:hAnsiTheme="minorEastAsia" w:hint="eastAsia"/>
          <w:bCs/>
          <w:sz w:val="21"/>
          <w:szCs w:val="21"/>
        </w:rPr>
        <w:t>年营业收入为</w:t>
      </w:r>
      <w:r w:rsidRPr="0084159B">
        <w:rPr>
          <w:rFonts w:asciiTheme="minorEastAsia" w:eastAsiaTheme="minorEastAsia" w:hAnsiTheme="minorEastAsia"/>
          <w:bCs/>
          <w:sz w:val="21"/>
          <w:szCs w:val="21"/>
        </w:rPr>
        <w:t>251.32</w:t>
      </w:r>
      <w:r w:rsidRPr="0084159B">
        <w:rPr>
          <w:rFonts w:asciiTheme="minorEastAsia" w:eastAsiaTheme="minorEastAsia" w:hAnsiTheme="minorEastAsia" w:hint="eastAsia"/>
          <w:bCs/>
          <w:sz w:val="21"/>
          <w:szCs w:val="21"/>
        </w:rPr>
        <w:t>亿元，营业利润为</w:t>
      </w:r>
      <w:r w:rsidRPr="0084159B">
        <w:rPr>
          <w:rFonts w:asciiTheme="minorEastAsia" w:eastAsiaTheme="minorEastAsia" w:hAnsiTheme="minorEastAsia"/>
          <w:bCs/>
          <w:sz w:val="21"/>
          <w:szCs w:val="21"/>
        </w:rPr>
        <w:t>104.48</w:t>
      </w:r>
      <w:r w:rsidRPr="0084159B">
        <w:rPr>
          <w:rFonts w:asciiTheme="minorEastAsia" w:eastAsiaTheme="minorEastAsia" w:hAnsiTheme="minorEastAsia" w:hint="eastAsia"/>
          <w:bCs/>
          <w:sz w:val="21"/>
          <w:szCs w:val="21"/>
        </w:rPr>
        <w:t>亿元，归属于上市公司股东的净利润为</w:t>
      </w:r>
      <w:r w:rsidRPr="0084159B">
        <w:rPr>
          <w:rFonts w:asciiTheme="minorEastAsia" w:eastAsiaTheme="minorEastAsia" w:hAnsiTheme="minorEastAsia"/>
          <w:bCs/>
          <w:sz w:val="21"/>
          <w:szCs w:val="21"/>
        </w:rPr>
        <w:t>79.29</w:t>
      </w:r>
      <w:r w:rsidRPr="0084159B">
        <w:rPr>
          <w:rFonts w:asciiTheme="minorEastAsia" w:eastAsiaTheme="minorEastAsia" w:hAnsiTheme="minorEastAsia" w:hint="eastAsia"/>
          <w:bCs/>
          <w:sz w:val="21"/>
          <w:szCs w:val="21"/>
        </w:rPr>
        <w:t>亿元。</w:t>
      </w:r>
    </w:p>
    <w:p w14:paraId="23B1E7BD"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2</w:t>
      </w:r>
      <w:r w:rsidRPr="0084159B">
        <w:rPr>
          <w:rFonts w:asciiTheme="minorEastAsia" w:eastAsiaTheme="minorEastAsia" w:hAnsiTheme="minorEastAsia" w:hint="eastAsia"/>
          <w:bCs/>
          <w:sz w:val="21"/>
          <w:szCs w:val="21"/>
        </w:rPr>
        <w:t>、主要人员情况</w:t>
      </w:r>
    </w:p>
    <w:p w14:paraId="7B141074" w14:textId="77777777" w:rsidR="0034409C" w:rsidRPr="0084159B" w:rsidRDefault="0034409C" w:rsidP="0034409C">
      <w:pPr>
        <w:pStyle w:val="210"/>
        <w:spacing w:before="50" w:after="50"/>
        <w:ind w:firstLineChars="200" w:firstLine="420"/>
        <w:rPr>
          <w:rFonts w:asciiTheme="minorEastAsia" w:eastAsiaTheme="minorEastAsia" w:hAnsiTheme="minorEastAsia" w:cs="宋体"/>
          <w:sz w:val="21"/>
        </w:rPr>
      </w:pPr>
      <w:r w:rsidRPr="0084159B">
        <w:rPr>
          <w:rFonts w:asciiTheme="minorEastAsia" w:eastAsiaTheme="minorEastAsia" w:hAnsiTheme="minorEastAsia" w:hint="eastAsia"/>
          <w:bCs/>
          <w:sz w:val="21"/>
          <w:szCs w:val="21"/>
        </w:rPr>
        <w:t>刘洋先生现任广发证券资产托管部总经理。曾就职于大成基金管理有限公司、招商银行股份有限公司、</w:t>
      </w:r>
      <w:proofErr w:type="gramStart"/>
      <w:r w:rsidRPr="0084159B">
        <w:rPr>
          <w:rFonts w:asciiTheme="minorEastAsia" w:eastAsiaTheme="minorEastAsia" w:hAnsiTheme="minorEastAsia" w:hint="eastAsia"/>
          <w:bCs/>
          <w:sz w:val="21"/>
          <w:szCs w:val="21"/>
        </w:rPr>
        <w:t>浦银安盛基金</w:t>
      </w:r>
      <w:proofErr w:type="gramEnd"/>
      <w:r w:rsidRPr="0084159B">
        <w:rPr>
          <w:rFonts w:asciiTheme="minorEastAsia" w:eastAsiaTheme="minorEastAsia" w:hAnsiTheme="minorEastAsia" w:hint="eastAsia"/>
          <w:bCs/>
          <w:sz w:val="21"/>
          <w:szCs w:val="21"/>
        </w:rPr>
        <w:t>管理有限公司、上海银行股份有限公司、美国道富银行。</w:t>
      </w:r>
      <w:r w:rsidRPr="0084159B">
        <w:rPr>
          <w:rFonts w:asciiTheme="minorEastAsia" w:eastAsiaTheme="minorEastAsia" w:hAnsiTheme="minorEastAsia" w:cs="宋体" w:hint="eastAsia"/>
          <w:sz w:val="21"/>
        </w:rPr>
        <w:t>刘洋先生于</w:t>
      </w:r>
      <w:r w:rsidRPr="0084159B">
        <w:rPr>
          <w:rFonts w:asciiTheme="minorEastAsia" w:eastAsiaTheme="minorEastAsia" w:hAnsiTheme="minorEastAsia" w:cs="宋体"/>
          <w:sz w:val="21"/>
        </w:rPr>
        <w:t>2000</w:t>
      </w:r>
      <w:r w:rsidRPr="0084159B">
        <w:rPr>
          <w:rFonts w:asciiTheme="minorEastAsia" w:eastAsiaTheme="minorEastAsia" w:hAnsiTheme="minorEastAsia" w:cs="宋体" w:hint="eastAsia"/>
          <w:sz w:val="21"/>
        </w:rPr>
        <w:t>年</w:t>
      </w:r>
      <w:r w:rsidRPr="0084159B">
        <w:rPr>
          <w:rFonts w:asciiTheme="minorEastAsia" w:eastAsiaTheme="minorEastAsia" w:hAnsiTheme="minorEastAsia" w:cs="宋体"/>
          <w:sz w:val="21"/>
        </w:rPr>
        <w:t>7</w:t>
      </w:r>
      <w:r w:rsidRPr="0084159B">
        <w:rPr>
          <w:rFonts w:asciiTheme="minorEastAsia" w:eastAsiaTheme="minorEastAsia" w:hAnsiTheme="minorEastAsia" w:cs="宋体" w:hint="eastAsia"/>
          <w:sz w:val="21"/>
        </w:rPr>
        <w:t>月获得北京大学理学学士，并于</w:t>
      </w:r>
      <w:r w:rsidRPr="0084159B">
        <w:rPr>
          <w:rFonts w:asciiTheme="minorEastAsia" w:eastAsiaTheme="minorEastAsia" w:hAnsiTheme="minorEastAsia" w:cs="宋体"/>
          <w:sz w:val="21"/>
        </w:rPr>
        <w:t>2003</w:t>
      </w:r>
      <w:r w:rsidRPr="0084159B">
        <w:rPr>
          <w:rFonts w:asciiTheme="minorEastAsia" w:eastAsiaTheme="minorEastAsia" w:hAnsiTheme="minorEastAsia" w:cs="宋体" w:hint="eastAsia"/>
          <w:sz w:val="21"/>
        </w:rPr>
        <w:t>年</w:t>
      </w:r>
      <w:r w:rsidRPr="0084159B">
        <w:rPr>
          <w:rFonts w:asciiTheme="minorEastAsia" w:eastAsiaTheme="minorEastAsia" w:hAnsiTheme="minorEastAsia" w:cs="宋体"/>
          <w:sz w:val="21"/>
        </w:rPr>
        <w:t>7</w:t>
      </w:r>
      <w:r w:rsidRPr="0084159B">
        <w:rPr>
          <w:rFonts w:asciiTheme="minorEastAsia" w:eastAsiaTheme="minorEastAsia" w:hAnsiTheme="minorEastAsia" w:cs="宋体" w:hint="eastAsia"/>
          <w:sz w:val="21"/>
        </w:rPr>
        <w:t>月获得北京大学经济学硕士学位。</w:t>
      </w:r>
    </w:p>
    <w:p w14:paraId="4BC82754" w14:textId="77777777" w:rsidR="0034409C" w:rsidRPr="0084159B" w:rsidRDefault="0034409C" w:rsidP="0034409C">
      <w:pPr>
        <w:pStyle w:val="210"/>
        <w:spacing w:before="50" w:after="50"/>
        <w:ind w:firstLineChars="200" w:firstLine="420"/>
        <w:jc w:val="left"/>
        <w:rPr>
          <w:rFonts w:asciiTheme="minorEastAsia" w:eastAsiaTheme="minorEastAsia" w:hAnsiTheme="minorEastAsia"/>
          <w:bCs/>
          <w:sz w:val="21"/>
          <w:szCs w:val="21"/>
        </w:rPr>
      </w:pPr>
      <w:r w:rsidRPr="0084159B">
        <w:rPr>
          <w:rFonts w:asciiTheme="minorEastAsia" w:eastAsiaTheme="minorEastAsia" w:hAnsiTheme="minorEastAsia" w:hint="eastAsia"/>
          <w:sz w:val="21"/>
        </w:rPr>
        <w:t>广发证券资产托管部主要人员均具备多年基金、证券、银行等金融机构从业经历或</w:t>
      </w:r>
      <w:r w:rsidRPr="0084159B">
        <w:rPr>
          <w:rFonts w:asciiTheme="minorEastAsia" w:eastAsiaTheme="minorEastAsia" w:hAnsiTheme="minorEastAsia" w:hint="eastAsia"/>
          <w:sz w:val="21"/>
        </w:rPr>
        <w:lastRenderedPageBreak/>
        <w:t>会计师事务所审计经验，从业经验丰富，具备基金从业资格，熟悉基金托管工作。资产托管部员工学历均在本科以上，专业背景涵盖了金融、法律、会计、统计、计算机等领域，是一支诚实勤勉、积极进取的专业团队。</w:t>
      </w:r>
    </w:p>
    <w:p w14:paraId="58999EA6"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3</w:t>
      </w:r>
      <w:r w:rsidRPr="0084159B">
        <w:rPr>
          <w:rFonts w:asciiTheme="minorEastAsia" w:eastAsiaTheme="minorEastAsia" w:hAnsiTheme="minorEastAsia" w:hint="eastAsia"/>
          <w:bCs/>
          <w:sz w:val="21"/>
          <w:szCs w:val="21"/>
        </w:rPr>
        <w:t>、基金托管业务经营情况</w:t>
      </w:r>
    </w:p>
    <w:p w14:paraId="18683E0B"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广发证券于</w:t>
      </w:r>
      <w:r w:rsidRPr="0084159B">
        <w:rPr>
          <w:rFonts w:asciiTheme="minorEastAsia" w:eastAsiaTheme="minorEastAsia" w:hAnsiTheme="minorEastAsia"/>
          <w:bCs/>
          <w:sz w:val="21"/>
          <w:szCs w:val="21"/>
        </w:rPr>
        <w:t>2014</w:t>
      </w:r>
      <w:r w:rsidRPr="0084159B">
        <w:rPr>
          <w:rFonts w:asciiTheme="minorEastAsia" w:eastAsiaTheme="minorEastAsia" w:hAnsiTheme="minorEastAsia" w:hint="eastAsia"/>
          <w:bCs/>
          <w:sz w:val="21"/>
          <w:szCs w:val="21"/>
        </w:rPr>
        <w:t>年</w:t>
      </w:r>
      <w:r w:rsidRPr="0084159B">
        <w:rPr>
          <w:rFonts w:asciiTheme="minorEastAsia" w:eastAsiaTheme="minorEastAsia" w:hAnsiTheme="minorEastAsia"/>
          <w:bCs/>
          <w:sz w:val="21"/>
          <w:szCs w:val="21"/>
        </w:rPr>
        <w:t>5</w:t>
      </w:r>
      <w:r w:rsidRPr="0084159B">
        <w:rPr>
          <w:rFonts w:asciiTheme="minorEastAsia" w:eastAsiaTheme="minorEastAsia" w:hAnsiTheme="minorEastAsia" w:hint="eastAsia"/>
          <w:bCs/>
          <w:sz w:val="21"/>
          <w:szCs w:val="21"/>
        </w:rPr>
        <w:t>月取得中国证监会核准证券投资基金托管资格。广发证券严格履行基金托管人的各项职责，不断加强风险管理和内部控制，确保基金资产的完整性和独立性，切实维护基金份额持有人的合法权益，提供高质量的基金托管服务。截至</w:t>
      </w:r>
      <w:r w:rsidRPr="0084159B">
        <w:rPr>
          <w:rFonts w:asciiTheme="minorEastAsia" w:eastAsiaTheme="minorEastAsia" w:hAnsiTheme="minorEastAsia"/>
          <w:bCs/>
          <w:sz w:val="21"/>
          <w:szCs w:val="21"/>
        </w:rPr>
        <w:t>2022</w:t>
      </w:r>
      <w:r w:rsidRPr="0084159B">
        <w:rPr>
          <w:rFonts w:asciiTheme="minorEastAsia" w:eastAsiaTheme="minorEastAsia" w:hAnsiTheme="minorEastAsia" w:hint="eastAsia"/>
          <w:bCs/>
          <w:sz w:val="21"/>
          <w:szCs w:val="21"/>
        </w:rPr>
        <w:t>年</w:t>
      </w:r>
      <w:r w:rsidRPr="0084159B">
        <w:rPr>
          <w:rFonts w:asciiTheme="minorEastAsia" w:eastAsiaTheme="minorEastAsia" w:hAnsiTheme="minorEastAsia"/>
          <w:bCs/>
          <w:sz w:val="21"/>
          <w:szCs w:val="21"/>
        </w:rPr>
        <w:t>12</w:t>
      </w:r>
      <w:r w:rsidRPr="0084159B">
        <w:rPr>
          <w:rFonts w:asciiTheme="minorEastAsia" w:eastAsiaTheme="minorEastAsia" w:hAnsiTheme="minorEastAsia" w:hint="eastAsia"/>
          <w:bCs/>
          <w:sz w:val="21"/>
          <w:szCs w:val="21"/>
        </w:rPr>
        <w:t>月</w:t>
      </w:r>
      <w:r w:rsidRPr="0084159B">
        <w:rPr>
          <w:rFonts w:asciiTheme="minorEastAsia" w:eastAsiaTheme="minorEastAsia" w:hAnsiTheme="minorEastAsia"/>
          <w:bCs/>
          <w:sz w:val="21"/>
          <w:szCs w:val="21"/>
        </w:rPr>
        <w:t>31</w:t>
      </w:r>
      <w:r w:rsidRPr="0084159B">
        <w:rPr>
          <w:rFonts w:asciiTheme="minorEastAsia" w:eastAsiaTheme="minorEastAsia" w:hAnsiTheme="minorEastAsia" w:hint="eastAsia"/>
          <w:bCs/>
          <w:sz w:val="21"/>
          <w:szCs w:val="21"/>
        </w:rPr>
        <w:t>日，广发证券托管的公开募集证券投资基金共</w:t>
      </w:r>
      <w:r w:rsidRPr="0084159B">
        <w:rPr>
          <w:rFonts w:asciiTheme="minorEastAsia" w:eastAsiaTheme="minorEastAsia" w:hAnsiTheme="minorEastAsia"/>
          <w:bCs/>
          <w:sz w:val="21"/>
          <w:szCs w:val="21"/>
        </w:rPr>
        <w:t>42</w:t>
      </w:r>
      <w:r w:rsidRPr="0084159B">
        <w:rPr>
          <w:rFonts w:asciiTheme="minorEastAsia" w:eastAsiaTheme="minorEastAsia" w:hAnsiTheme="minorEastAsia" w:hint="eastAsia"/>
          <w:bCs/>
          <w:sz w:val="21"/>
          <w:szCs w:val="21"/>
        </w:rPr>
        <w:t>只。</w:t>
      </w:r>
    </w:p>
    <w:p w14:paraId="7220E982"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（二）基金托管人的风险管理原则和内部控制制度</w:t>
      </w:r>
    </w:p>
    <w:p w14:paraId="73AB254C"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公司开展基金托管业务遵循以下风险管理原则：</w:t>
      </w:r>
    </w:p>
    <w:p w14:paraId="07C2C53B"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1</w:t>
      </w:r>
      <w:r w:rsidRPr="0084159B">
        <w:rPr>
          <w:rFonts w:asciiTheme="minorEastAsia" w:eastAsiaTheme="minorEastAsia" w:hAnsiTheme="minorEastAsia" w:hint="eastAsia"/>
          <w:bCs/>
          <w:sz w:val="21"/>
          <w:szCs w:val="21"/>
        </w:rPr>
        <w:t>、合</w:t>
      </w:r>
      <w:proofErr w:type="gramStart"/>
      <w:r w:rsidRPr="0084159B">
        <w:rPr>
          <w:rFonts w:asciiTheme="minorEastAsia" w:eastAsiaTheme="minorEastAsia" w:hAnsiTheme="minorEastAsia" w:hint="eastAsia"/>
          <w:bCs/>
          <w:sz w:val="21"/>
          <w:szCs w:val="21"/>
        </w:rPr>
        <w:t>规</w:t>
      </w:r>
      <w:proofErr w:type="gramEnd"/>
      <w:r w:rsidRPr="0084159B">
        <w:rPr>
          <w:rFonts w:asciiTheme="minorEastAsia" w:eastAsiaTheme="minorEastAsia" w:hAnsiTheme="minorEastAsia" w:hint="eastAsia"/>
          <w:bCs/>
          <w:sz w:val="21"/>
          <w:szCs w:val="21"/>
        </w:rPr>
        <w:t>性原则。保持风险管理政策与监管部门要求相一致，并把监管规定作为业务开展和风险管理应遵从的最基本要求。</w:t>
      </w:r>
    </w:p>
    <w:p w14:paraId="56151C35"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2</w:t>
      </w:r>
      <w:r w:rsidRPr="0084159B">
        <w:rPr>
          <w:rFonts w:asciiTheme="minorEastAsia" w:eastAsiaTheme="minorEastAsia" w:hAnsiTheme="minorEastAsia" w:hint="eastAsia"/>
          <w:bCs/>
          <w:sz w:val="21"/>
          <w:szCs w:val="21"/>
        </w:rPr>
        <w:t>、全面性原则。资产托管业务风险管理应涵盖可能出现的所有风险类型，应渗透到决策、执行、监督、反馈等各个环节，风险控制应落实到业务涉及的所有岗位、所有环节，包含事前风险控制、事中风险监控、事后风险报告和处理。</w:t>
      </w:r>
    </w:p>
    <w:p w14:paraId="02E80ACE"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3</w:t>
      </w:r>
      <w:r w:rsidRPr="0084159B">
        <w:rPr>
          <w:rFonts w:asciiTheme="minorEastAsia" w:eastAsiaTheme="minorEastAsia" w:hAnsiTheme="minorEastAsia" w:hint="eastAsia"/>
          <w:bCs/>
          <w:sz w:val="21"/>
          <w:szCs w:val="21"/>
        </w:rPr>
        <w:t>、制衡性原则。资产托管业务各级业务部门和岗位的设置应当权责分明、相互制约，建立不同部门、不同岗位之间的制衡体系。</w:t>
      </w:r>
    </w:p>
    <w:p w14:paraId="1AF32361"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4</w:t>
      </w:r>
      <w:r w:rsidRPr="0084159B">
        <w:rPr>
          <w:rFonts w:asciiTheme="minorEastAsia" w:eastAsiaTheme="minorEastAsia" w:hAnsiTheme="minorEastAsia" w:hint="eastAsia"/>
          <w:bCs/>
          <w:sz w:val="21"/>
          <w:szCs w:val="21"/>
        </w:rPr>
        <w:t>、独立性原则。公司的风险控制相关部门，包括合</w:t>
      </w:r>
      <w:proofErr w:type="gramStart"/>
      <w:r w:rsidRPr="0084159B">
        <w:rPr>
          <w:rFonts w:asciiTheme="minorEastAsia" w:eastAsiaTheme="minorEastAsia" w:hAnsiTheme="minorEastAsia" w:hint="eastAsia"/>
          <w:bCs/>
          <w:sz w:val="21"/>
          <w:szCs w:val="21"/>
        </w:rPr>
        <w:t>规</w:t>
      </w:r>
      <w:proofErr w:type="gramEnd"/>
      <w:r w:rsidRPr="0084159B">
        <w:rPr>
          <w:rFonts w:asciiTheme="minorEastAsia" w:eastAsiaTheme="minorEastAsia" w:hAnsiTheme="minorEastAsia" w:hint="eastAsia"/>
          <w:bCs/>
          <w:sz w:val="21"/>
          <w:szCs w:val="21"/>
        </w:rPr>
        <w:t>与法律事务部、风险管理部、稽核部等，均应保持高度的独立性，各自从独立的风险控制角度出发，对资产托管业务的风险进行管理。</w:t>
      </w:r>
    </w:p>
    <w:p w14:paraId="7CA10FF6"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bCs/>
          <w:sz w:val="21"/>
          <w:szCs w:val="21"/>
        </w:rPr>
        <w:t>5</w:t>
      </w:r>
      <w:r w:rsidRPr="0084159B">
        <w:rPr>
          <w:rFonts w:asciiTheme="minorEastAsia" w:eastAsiaTheme="minorEastAsia" w:hAnsiTheme="minorEastAsia" w:hint="eastAsia"/>
          <w:bCs/>
          <w:sz w:val="21"/>
          <w:szCs w:val="21"/>
        </w:rPr>
        <w:t>、持续性原则。公司对资产托管业务开展持续的风险管理工作，根据实际情况动态</w:t>
      </w:r>
      <w:proofErr w:type="gramStart"/>
      <w:r w:rsidRPr="0084159B">
        <w:rPr>
          <w:rFonts w:asciiTheme="minorEastAsia" w:eastAsiaTheme="minorEastAsia" w:hAnsiTheme="minorEastAsia" w:hint="eastAsia"/>
          <w:bCs/>
          <w:sz w:val="21"/>
          <w:szCs w:val="21"/>
        </w:rPr>
        <w:t>调整风控措施</w:t>
      </w:r>
      <w:proofErr w:type="gramEnd"/>
      <w:r w:rsidRPr="0084159B">
        <w:rPr>
          <w:rFonts w:asciiTheme="minorEastAsia" w:eastAsiaTheme="minorEastAsia" w:hAnsiTheme="minorEastAsia" w:hint="eastAsia"/>
          <w:bCs/>
          <w:sz w:val="21"/>
          <w:szCs w:val="21"/>
        </w:rPr>
        <w:t>和风控手段，并通过顺畅的风险报告和传导机制，及时有效地处理各种风险事项，确保风险管理政策和措施的贯彻实施。</w:t>
      </w:r>
    </w:p>
    <w:p w14:paraId="49EE4B66"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szCs w:val="21"/>
        </w:rPr>
      </w:pPr>
      <w:r w:rsidRPr="0084159B">
        <w:rPr>
          <w:rFonts w:asciiTheme="minorEastAsia" w:eastAsiaTheme="minorEastAsia" w:hAnsiTheme="minorEastAsia" w:hint="eastAsia"/>
          <w:bCs/>
          <w:sz w:val="21"/>
          <w:szCs w:val="21"/>
        </w:rPr>
        <w:t>广发证券根据相关法律法规和公司制度的相关要求，制定了完善的内部控制制度，具体包括《广发证券资产托管业务管理办法》、《广发证券资产托管业务信息披露管理规定》、《广发证券资产托管业务账户管理规定》、《广发证券资产托管业务基金估值核算管理规定》、《广发证券资产托管业务资金清算管理规定》、《广发证券公募基金投资监督管理规定》、《广发证券资产托管部业务信息保密与业务档案管理规定》、《广发证券资产托管业务应急</w:t>
      </w:r>
      <w:r w:rsidRPr="0084159B">
        <w:rPr>
          <w:rFonts w:asciiTheme="minorEastAsia" w:eastAsiaTheme="minorEastAsia" w:hAnsiTheme="minorEastAsia" w:hint="eastAsia"/>
          <w:bCs/>
          <w:sz w:val="21"/>
          <w:szCs w:val="21"/>
        </w:rPr>
        <w:lastRenderedPageBreak/>
        <w:t>管理规定》、《广发证券资产托管部从业人员管理规定》、《广发证券股份有限公司资产托管业务公开募集证券投资基金风险准备金管理规定》等，囊括了基金托管业务的账户管理、估值核算、资金清算、投资监督、内部控制、风险管理、业务系统管理、保密和档案管理、应急处理、从业人员管理等全部业务环节。</w:t>
      </w:r>
    </w:p>
    <w:p w14:paraId="55CF6BC9" w14:textId="77777777" w:rsidR="0034409C" w:rsidRPr="0084159B" w:rsidRDefault="0034409C" w:rsidP="0034409C">
      <w:pPr>
        <w:pStyle w:val="210"/>
        <w:spacing w:before="50" w:after="50"/>
        <w:ind w:firstLineChars="200" w:firstLine="420"/>
        <w:rPr>
          <w:rFonts w:asciiTheme="minorEastAsia" w:eastAsiaTheme="minorEastAsia" w:hAnsiTheme="minorEastAsia"/>
          <w:bCs/>
          <w:sz w:val="21"/>
        </w:rPr>
      </w:pPr>
      <w:r w:rsidRPr="0084159B">
        <w:rPr>
          <w:rFonts w:asciiTheme="minorEastAsia" w:eastAsiaTheme="minorEastAsia" w:hAnsiTheme="minorEastAsia" w:hint="eastAsia"/>
          <w:bCs/>
          <w:sz w:val="21"/>
        </w:rPr>
        <w:t>（三）基金托管人对基金管理人运作基金进行监督的方法和程序</w:t>
      </w:r>
    </w:p>
    <w:p w14:paraId="1166CECC" w14:textId="2676892F" w:rsidR="0034409C" w:rsidRPr="0084159B" w:rsidRDefault="0034409C" w:rsidP="0034409C">
      <w:pPr>
        <w:pStyle w:val="210"/>
        <w:spacing w:before="50" w:after="50"/>
        <w:ind w:firstLineChars="200" w:firstLine="420"/>
        <w:rPr>
          <w:rFonts w:asciiTheme="minorEastAsia" w:eastAsiaTheme="minorEastAsia" w:hAnsiTheme="minorEastAsia"/>
          <w:bCs/>
          <w:sz w:val="21"/>
        </w:rPr>
      </w:pPr>
      <w:r w:rsidRPr="0084159B">
        <w:rPr>
          <w:rFonts w:asciiTheme="minorEastAsia" w:eastAsiaTheme="minorEastAsia" w:hAnsiTheme="minorEastAsia" w:hint="eastAsia"/>
          <w:bCs/>
          <w:sz w:val="21"/>
        </w:rPr>
        <w:t>根据《基金法》等有关法律法规规定以及基金合同、基金托管协议相关约定，</w:t>
      </w:r>
      <w:bookmarkStart w:id="17" w:name="baidusnap0"/>
      <w:bookmarkEnd w:id="17"/>
      <w:r w:rsidRPr="0084159B">
        <w:rPr>
          <w:rFonts w:asciiTheme="minorEastAsia" w:eastAsiaTheme="minorEastAsia" w:hAnsiTheme="minorEastAsia" w:hint="eastAsia"/>
          <w:bCs/>
          <w:sz w:val="21"/>
        </w:rPr>
        <w:t>基金托管人对基金的投资范围和投资对象、基金投融资比例、基金投资禁止行为、基金参与银行间债券市场、基金资产净值的计算、基金份额净值计算、应收资金到账、基金费用开支及收入确定、基金收益分配、信息披露等进行监督。</w:t>
      </w:r>
    </w:p>
    <w:p w14:paraId="05F88705" w14:textId="1964FADA" w:rsidR="00175DB4" w:rsidRDefault="0034409C" w:rsidP="0084159B">
      <w:pPr>
        <w:pStyle w:val="210"/>
        <w:rPr>
          <w:color w:val="000000"/>
          <w:szCs w:val="21"/>
        </w:rPr>
      </w:pPr>
      <w:r w:rsidRPr="0084159B">
        <w:rPr>
          <w:rFonts w:asciiTheme="minorEastAsia" w:eastAsiaTheme="minorEastAsia" w:hAnsiTheme="minorEastAsia" w:hint="eastAsia"/>
          <w:bCs/>
          <w:sz w:val="21"/>
        </w:rPr>
        <w:t>基金托管人发现基金管理人违反《基金法》等有关法律法规规定或基金合同、基金托管协议相关约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基金托管人发现基金管理人有重大违规行为，应立即报告中国证监会，同时通知基金管理人限期纠正。</w:t>
      </w:r>
      <w:bookmarkStart w:id="18" w:name="_Hlt140627910"/>
      <w:bookmarkEnd w:id="18"/>
    </w:p>
    <w:p w14:paraId="2A607873" w14:textId="77777777" w:rsidR="00175DB4" w:rsidRDefault="000519D1">
      <w:pPr>
        <w:spacing w:line="440" w:lineRule="exact"/>
        <w:rPr>
          <w:color w:val="000000"/>
          <w:szCs w:val="21"/>
        </w:rPr>
      </w:pPr>
      <w:r>
        <w:rPr>
          <w:bCs/>
          <w:sz w:val="24"/>
        </w:rPr>
        <w:t xml:space="preserve">   </w:t>
      </w:r>
      <w:r>
        <w:rPr>
          <w:rFonts w:hint="eastAsia"/>
          <w:color w:val="000000"/>
          <w:szCs w:val="21"/>
        </w:rPr>
        <w:t>（四）</w:t>
      </w:r>
      <w:r>
        <w:rPr>
          <w:color w:val="000000"/>
          <w:szCs w:val="21"/>
        </w:rPr>
        <w:t>基金托管人的权利与义务</w:t>
      </w:r>
    </w:p>
    <w:p w14:paraId="51F99F01" w14:textId="77777777" w:rsidR="00175DB4" w:rsidRDefault="000519D1">
      <w:pPr>
        <w:spacing w:line="440" w:lineRule="exact"/>
        <w:ind w:firstLineChars="200" w:firstLine="420"/>
        <w:rPr>
          <w:color w:val="000000"/>
          <w:szCs w:val="21"/>
        </w:rPr>
      </w:pPr>
      <w:r>
        <w:rPr>
          <w:color w:val="000000"/>
          <w:szCs w:val="21"/>
        </w:rPr>
        <w:t>1</w:t>
      </w:r>
      <w:r>
        <w:rPr>
          <w:rFonts w:hint="eastAsia"/>
          <w:color w:val="000000"/>
          <w:szCs w:val="21"/>
        </w:rPr>
        <w:t>、根据《基金法》、《运作办法》及其他有关规定，基金托管人的权利包括但不限于：</w:t>
      </w:r>
    </w:p>
    <w:p w14:paraId="7055D14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）自《基金合同》生效之日起，依法</w:t>
      </w:r>
      <w:proofErr w:type="gramStart"/>
      <w:r>
        <w:rPr>
          <w:rFonts w:hint="eastAsia"/>
          <w:color w:val="000000"/>
          <w:szCs w:val="21"/>
        </w:rPr>
        <w:t>律法规</w:t>
      </w:r>
      <w:proofErr w:type="gramEnd"/>
      <w:r>
        <w:rPr>
          <w:rFonts w:hint="eastAsia"/>
          <w:color w:val="000000"/>
          <w:szCs w:val="21"/>
        </w:rPr>
        <w:t>和《基金合同》的规定安全保管基金财产；</w:t>
      </w:r>
    </w:p>
    <w:p w14:paraId="274ADB4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）依《基金合同》约定获得基金托管费以及法律法规规定或监管部门批准的其他费用；</w:t>
      </w:r>
    </w:p>
    <w:p w14:paraId="7DC9F84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4847517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）根据相关市场规则，为基金开设资金账户、证券账户和期货结算账户等投资所需账户，为基金办理证券、期货交易资金清算；</w:t>
      </w:r>
    </w:p>
    <w:p w14:paraId="730D957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）提议召开或召集基金份额持有人大会；</w:t>
      </w:r>
    </w:p>
    <w:p w14:paraId="6B2B5EB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）在基金管理人更换时，提名新的基金管理人；</w:t>
      </w:r>
    </w:p>
    <w:p w14:paraId="79DCF80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）法律法规及中国证监会规定的和《基金合同》约定的其他权利。</w:t>
      </w:r>
    </w:p>
    <w:p w14:paraId="2D242040" w14:textId="77777777" w:rsidR="00175DB4" w:rsidRDefault="000519D1">
      <w:pPr>
        <w:spacing w:line="360" w:lineRule="auto"/>
        <w:ind w:firstLineChars="200" w:firstLine="420"/>
        <w:rPr>
          <w:color w:val="000000"/>
          <w:szCs w:val="21"/>
        </w:rPr>
      </w:pPr>
      <w:r>
        <w:rPr>
          <w:color w:val="000000"/>
          <w:szCs w:val="21"/>
        </w:rPr>
        <w:lastRenderedPageBreak/>
        <w:t>2</w:t>
      </w:r>
      <w:r>
        <w:rPr>
          <w:rFonts w:hint="eastAsia"/>
          <w:color w:val="000000"/>
          <w:szCs w:val="21"/>
        </w:rPr>
        <w:t>、根据《基金法》、《运作办法》及其他有关规定，基金托管人的义务包括但不限于：</w:t>
      </w:r>
    </w:p>
    <w:p w14:paraId="5DF60CE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）以诚实信用、勤勉尽责的原则持有并安全保管基金财产；</w:t>
      </w:r>
    </w:p>
    <w:p w14:paraId="4359784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）设立专门的基金托管部门，具有符合要求的营业场所，配备足够的、合格的熟悉基金托管业务的专职人员，负责基金财产托管事宜；</w:t>
      </w:r>
    </w:p>
    <w:p w14:paraId="5A67C90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A98FDB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）除依据《基金法》、《基金合同》及其他有关规定外，不得利用基金财产为自己及任何第三人谋取利益，不得委托第三人托管基金财产；</w:t>
      </w:r>
    </w:p>
    <w:p w14:paraId="3A4966D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）保管由基金管理人代表基金签订的与基金有关的重大合同及有关凭证；</w:t>
      </w:r>
    </w:p>
    <w:p w14:paraId="2CFA088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）按规定开设基金财产的资金账户、证券账户和期货结算账户等投资所需账户，按照《基金合同》的约定，根据基金管理人的投资指令，及时办理清算、交割事宜；</w:t>
      </w:r>
    </w:p>
    <w:p w14:paraId="0F265AD8" w14:textId="1DBD322A"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）保守基金商业秘密，除《基金法》、《基金合同》及其他有关规定另有规定外，在基金信息公开披露前予以保密，不得向他人泄露</w:t>
      </w:r>
      <w:r w:rsidR="008973BA" w:rsidRPr="008973BA">
        <w:rPr>
          <w:rFonts w:hint="eastAsia"/>
          <w:color w:val="000000"/>
          <w:szCs w:val="21"/>
        </w:rPr>
        <w:t>，但因监管机构、司法机关等有权机关的要求，或因审计、法律等外部专业顾问提供服务需要提供的情况除外</w:t>
      </w:r>
      <w:r>
        <w:rPr>
          <w:rFonts w:hint="eastAsia"/>
          <w:color w:val="000000"/>
          <w:szCs w:val="21"/>
        </w:rPr>
        <w:t>；</w:t>
      </w:r>
    </w:p>
    <w:p w14:paraId="4D77D99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）复核、审查基金管理人计算的基金资产净值、基金份额净值和基金份额申购、赎回对价的现金部分；</w:t>
      </w:r>
    </w:p>
    <w:p w14:paraId="09E3A73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）办理与基金托管业务活动有关的信息披露事项；</w:t>
      </w:r>
    </w:p>
    <w:p w14:paraId="7D929A4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C35A9EC" w14:textId="336E2AF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）保存基金托管业务活动的记录、账册、报表和其他相关资料不低于法律法规规定的</w:t>
      </w:r>
      <w:r w:rsidR="008973BA">
        <w:rPr>
          <w:rFonts w:hint="eastAsia"/>
          <w:color w:val="000000"/>
          <w:szCs w:val="21"/>
        </w:rPr>
        <w:t>最低</w:t>
      </w:r>
      <w:r>
        <w:rPr>
          <w:rFonts w:hint="eastAsia"/>
          <w:color w:val="000000"/>
          <w:szCs w:val="21"/>
        </w:rPr>
        <w:t>期限；</w:t>
      </w:r>
    </w:p>
    <w:p w14:paraId="31C4C6F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）建立并保存基金份额持有人名册；</w:t>
      </w:r>
    </w:p>
    <w:p w14:paraId="65127BF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）按规定制作相关账册并与基金管理人核对；</w:t>
      </w:r>
    </w:p>
    <w:p w14:paraId="112A014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）依据基金管理人的指令或有关规定向基金份额持有人支付基金收益和赎回对价的现金部分；</w:t>
      </w:r>
    </w:p>
    <w:p w14:paraId="137FDF2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）依据《基金法》、《基金合同》及其他有关规定，召集基金份额持有人大会或配合基金管理人、基金份额持有人依法召集基金份额持有人大会；</w:t>
      </w:r>
    </w:p>
    <w:p w14:paraId="2B9FC2C4" w14:textId="77777777" w:rsidR="00175DB4" w:rsidRDefault="000519D1">
      <w:pPr>
        <w:spacing w:line="360" w:lineRule="auto"/>
        <w:ind w:firstLineChars="200" w:firstLine="420"/>
        <w:rPr>
          <w:color w:val="000000"/>
          <w:szCs w:val="21"/>
        </w:rPr>
      </w:pPr>
      <w:r>
        <w:rPr>
          <w:rFonts w:hint="eastAsia"/>
          <w:color w:val="000000"/>
          <w:szCs w:val="21"/>
        </w:rPr>
        <w:lastRenderedPageBreak/>
        <w:t>（</w:t>
      </w:r>
      <w:r>
        <w:rPr>
          <w:color w:val="000000"/>
          <w:szCs w:val="21"/>
        </w:rPr>
        <w:t>16</w:t>
      </w:r>
      <w:r>
        <w:rPr>
          <w:rFonts w:hint="eastAsia"/>
          <w:color w:val="000000"/>
          <w:szCs w:val="21"/>
        </w:rPr>
        <w:t>）按照法律法规和《基金合同》的规定监督基金管理人的投资运作；</w:t>
      </w:r>
    </w:p>
    <w:p w14:paraId="2AFFA18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）参加基金财产清算小组，参与基金财产的保管、清理、估价、变现和分配；</w:t>
      </w:r>
    </w:p>
    <w:p w14:paraId="2BE3DCEF" w14:textId="51F83671"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18</w:t>
      </w:r>
      <w:r>
        <w:rPr>
          <w:rFonts w:hint="eastAsia"/>
          <w:color w:val="000000"/>
          <w:szCs w:val="21"/>
        </w:rPr>
        <w:t>）面临解散、依法被撤销或者被依法宣告破产时，及时报告中国证监会，并通知基金管理人；</w:t>
      </w:r>
    </w:p>
    <w:p w14:paraId="5F9F751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19</w:t>
      </w:r>
      <w:r>
        <w:rPr>
          <w:rFonts w:hint="eastAsia"/>
          <w:color w:val="000000"/>
          <w:szCs w:val="21"/>
        </w:rPr>
        <w:t>）因违反《基金合同》导致基金财产损失时，应承担赔偿责任，其赔偿责任不因其退任而免除；</w:t>
      </w:r>
    </w:p>
    <w:p w14:paraId="035C035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20</w:t>
      </w:r>
      <w:r>
        <w:rPr>
          <w:rFonts w:hint="eastAsia"/>
          <w:color w:val="000000"/>
          <w:szCs w:val="21"/>
        </w:rPr>
        <w:t>）按规定监督基金管理人按法律法规和《基金合同》规定履行自己的义务，基金管理人因违反《基金合同》造成基金财产损失时，应为基金份额持有人利益向基金管理人追偿；</w:t>
      </w:r>
    </w:p>
    <w:p w14:paraId="7BFA0B5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21</w:t>
      </w:r>
      <w:r>
        <w:rPr>
          <w:rFonts w:hint="eastAsia"/>
          <w:color w:val="000000"/>
          <w:szCs w:val="21"/>
        </w:rPr>
        <w:t>）执行生效的基金份额持有人大会的决议；</w:t>
      </w:r>
    </w:p>
    <w:p w14:paraId="4291A21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22</w:t>
      </w:r>
      <w:r>
        <w:rPr>
          <w:rFonts w:hint="eastAsia"/>
          <w:color w:val="000000"/>
          <w:szCs w:val="21"/>
        </w:rPr>
        <w:t>）法律法规及中国证监会规定的和《基金合同》约定的其他义务。</w:t>
      </w:r>
      <w:bookmarkStart w:id="19" w:name="_Toc523711670"/>
      <w:bookmarkEnd w:id="19"/>
    </w:p>
    <w:p w14:paraId="6803D02D" w14:textId="77777777" w:rsidR="00175DB4" w:rsidRDefault="00175DB4">
      <w:pPr>
        <w:tabs>
          <w:tab w:val="left" w:pos="540"/>
        </w:tabs>
        <w:snapToGrid w:val="0"/>
        <w:spacing w:line="360" w:lineRule="auto"/>
        <w:ind w:firstLineChars="200" w:firstLine="420"/>
        <w:rPr>
          <w:color w:val="000000"/>
          <w:szCs w:val="21"/>
        </w:rPr>
      </w:pPr>
    </w:p>
    <w:p w14:paraId="7556324D" w14:textId="77777777" w:rsidR="00175DB4" w:rsidRDefault="00175DB4">
      <w:pPr>
        <w:tabs>
          <w:tab w:val="left" w:pos="540"/>
        </w:tabs>
        <w:snapToGrid w:val="0"/>
        <w:spacing w:line="360" w:lineRule="auto"/>
        <w:ind w:firstLineChars="200" w:firstLine="420"/>
        <w:rPr>
          <w:color w:val="000000"/>
          <w:szCs w:val="21"/>
        </w:rPr>
      </w:pPr>
    </w:p>
    <w:p w14:paraId="06D499A7" w14:textId="77777777" w:rsidR="00175DB4" w:rsidRDefault="00175DB4">
      <w:pPr>
        <w:tabs>
          <w:tab w:val="left" w:pos="540"/>
        </w:tabs>
        <w:snapToGrid w:val="0"/>
        <w:spacing w:line="360" w:lineRule="auto"/>
        <w:ind w:firstLineChars="200" w:firstLine="420"/>
        <w:rPr>
          <w:color w:val="000000"/>
        </w:rPr>
      </w:pPr>
    </w:p>
    <w:p w14:paraId="251761E1" w14:textId="77777777" w:rsidR="00175DB4" w:rsidRDefault="00175DB4">
      <w:pPr>
        <w:tabs>
          <w:tab w:val="left" w:pos="540"/>
        </w:tabs>
        <w:snapToGrid w:val="0"/>
        <w:spacing w:line="360" w:lineRule="auto"/>
        <w:ind w:firstLineChars="200" w:firstLine="420"/>
        <w:rPr>
          <w:color w:val="000000"/>
        </w:rPr>
      </w:pPr>
    </w:p>
    <w:p w14:paraId="0D12AFC9" w14:textId="77777777" w:rsidR="00175DB4" w:rsidRDefault="00175DB4">
      <w:pPr>
        <w:spacing w:line="460" w:lineRule="exact"/>
        <w:ind w:firstLineChars="200" w:firstLine="420"/>
        <w:rPr>
          <w:color w:val="000000"/>
        </w:rPr>
      </w:pPr>
    </w:p>
    <w:bookmarkEnd w:id="14"/>
    <w:bookmarkEnd w:id="15"/>
    <w:p w14:paraId="20EE6A98" w14:textId="77777777" w:rsidR="00175DB4" w:rsidRDefault="00175DB4">
      <w:pPr>
        <w:tabs>
          <w:tab w:val="left" w:pos="540"/>
        </w:tabs>
        <w:snapToGrid w:val="0"/>
        <w:spacing w:line="360" w:lineRule="auto"/>
        <w:ind w:firstLineChars="200" w:firstLine="420"/>
        <w:rPr>
          <w:color w:val="000000"/>
        </w:rPr>
      </w:pPr>
    </w:p>
    <w:p w14:paraId="757C0203" w14:textId="77777777" w:rsidR="00175DB4" w:rsidRDefault="00175DB4">
      <w:pPr>
        <w:pStyle w:val="1"/>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20" w:name="_Toc92531651"/>
      <w:bookmarkStart w:id="21" w:name="_Toc86589168"/>
    </w:p>
    <w:p w14:paraId="31662128" w14:textId="77777777" w:rsidR="00175DB4" w:rsidRDefault="000519D1">
      <w:pPr>
        <w:pStyle w:val="1"/>
        <w:spacing w:line="360" w:lineRule="exact"/>
        <w:rPr>
          <w:rFonts w:eastAsia="宋体"/>
          <w:color w:val="000000"/>
          <w:sz w:val="30"/>
          <w:szCs w:val="30"/>
        </w:rPr>
      </w:pPr>
      <w:bookmarkStart w:id="22" w:name="_Toc135741007"/>
      <w:r>
        <w:rPr>
          <w:rFonts w:eastAsia="宋体"/>
          <w:color w:val="000000"/>
          <w:sz w:val="30"/>
          <w:szCs w:val="30"/>
        </w:rPr>
        <w:lastRenderedPageBreak/>
        <w:t>五、相关服务机构</w:t>
      </w:r>
      <w:bookmarkEnd w:id="20"/>
      <w:bookmarkEnd w:id="21"/>
      <w:bookmarkEnd w:id="22"/>
    </w:p>
    <w:p w14:paraId="3612BCF2" w14:textId="77777777" w:rsidR="00175DB4" w:rsidRDefault="00175DB4">
      <w:pPr>
        <w:autoSpaceDE w:val="0"/>
        <w:autoSpaceDN w:val="0"/>
        <w:adjustRightInd w:val="0"/>
        <w:jc w:val="left"/>
        <w:rPr>
          <w:color w:val="000000"/>
          <w:kern w:val="0"/>
          <w:sz w:val="24"/>
        </w:rPr>
      </w:pPr>
    </w:p>
    <w:p w14:paraId="07E75959" w14:textId="0B89740A" w:rsidR="00175DB4" w:rsidRDefault="00746769">
      <w:pPr>
        <w:spacing w:line="360" w:lineRule="auto"/>
        <w:ind w:firstLineChars="200" w:firstLine="420"/>
        <w:rPr>
          <w:color w:val="000000"/>
          <w:szCs w:val="21"/>
        </w:rPr>
      </w:pPr>
      <w:r>
        <w:rPr>
          <w:rFonts w:hint="eastAsia"/>
          <w:color w:val="000000"/>
          <w:szCs w:val="21"/>
        </w:rPr>
        <w:t>（</w:t>
      </w:r>
      <w:r w:rsidR="000519D1">
        <w:rPr>
          <w:color w:val="000000"/>
          <w:szCs w:val="21"/>
        </w:rPr>
        <w:t>一</w:t>
      </w:r>
      <w:r>
        <w:rPr>
          <w:rFonts w:hint="eastAsia"/>
          <w:color w:val="000000"/>
          <w:szCs w:val="21"/>
        </w:rPr>
        <w:t>）</w:t>
      </w:r>
      <w:r w:rsidR="000519D1">
        <w:rPr>
          <w:color w:val="000000"/>
          <w:szCs w:val="21"/>
        </w:rPr>
        <w:t>基金份额发售机构</w:t>
      </w:r>
    </w:p>
    <w:p w14:paraId="2C1B77F7" w14:textId="12A9CFD8" w:rsidR="00175DB4" w:rsidRDefault="000519D1" w:rsidP="008647F5">
      <w:pPr>
        <w:spacing w:line="360" w:lineRule="auto"/>
        <w:ind w:firstLineChars="200" w:firstLine="420"/>
        <w:rPr>
          <w:color w:val="000000"/>
          <w:szCs w:val="21"/>
        </w:rPr>
      </w:pPr>
      <w:r>
        <w:rPr>
          <w:rFonts w:hint="eastAsia"/>
          <w:color w:val="000000"/>
          <w:szCs w:val="21"/>
        </w:rPr>
        <w:t>1</w:t>
      </w:r>
      <w:r>
        <w:rPr>
          <w:rFonts w:hint="eastAsia"/>
          <w:color w:val="000000"/>
          <w:szCs w:val="21"/>
        </w:rPr>
        <w:t>、网下现金发售直销机构</w:t>
      </w:r>
    </w:p>
    <w:p w14:paraId="34D60E75" w14:textId="77777777" w:rsidR="00175DB4" w:rsidRDefault="000519D1">
      <w:pPr>
        <w:spacing w:line="360" w:lineRule="auto"/>
        <w:ind w:firstLineChars="200" w:firstLine="420"/>
        <w:rPr>
          <w:color w:val="000000"/>
          <w:szCs w:val="21"/>
        </w:rPr>
      </w:pPr>
      <w:r>
        <w:rPr>
          <w:rFonts w:hint="eastAsia"/>
          <w:color w:val="000000"/>
          <w:szCs w:val="21"/>
        </w:rPr>
        <w:t>名</w:t>
      </w:r>
      <w:r>
        <w:rPr>
          <w:rFonts w:hint="eastAsia"/>
          <w:color w:val="000000"/>
          <w:szCs w:val="21"/>
        </w:rPr>
        <w:t xml:space="preserve">  </w:t>
      </w:r>
      <w:r>
        <w:rPr>
          <w:rFonts w:hint="eastAsia"/>
          <w:color w:val="000000"/>
          <w:szCs w:val="21"/>
        </w:rPr>
        <w:t>称：景顺长城基金管理有限公司</w:t>
      </w:r>
    </w:p>
    <w:p w14:paraId="12F55C2C" w14:textId="77777777" w:rsidR="00175DB4" w:rsidRDefault="000519D1">
      <w:pPr>
        <w:spacing w:line="360" w:lineRule="auto"/>
        <w:ind w:firstLineChars="200" w:firstLine="420"/>
        <w:rPr>
          <w:color w:val="000000"/>
          <w:szCs w:val="21"/>
        </w:rPr>
      </w:pPr>
      <w:r>
        <w:rPr>
          <w:rFonts w:hint="eastAsia"/>
          <w:color w:val="000000"/>
          <w:szCs w:val="21"/>
        </w:rPr>
        <w:t>住</w:t>
      </w:r>
      <w:r>
        <w:rPr>
          <w:rFonts w:hint="eastAsia"/>
          <w:color w:val="000000"/>
          <w:szCs w:val="21"/>
        </w:rPr>
        <w:t xml:space="preserve">  </w:t>
      </w:r>
      <w:r>
        <w:rPr>
          <w:rFonts w:hint="eastAsia"/>
          <w:color w:val="000000"/>
          <w:szCs w:val="21"/>
        </w:rPr>
        <w:t>所：深圳市福田区中心四路</w:t>
      </w:r>
      <w:r>
        <w:rPr>
          <w:color w:val="000000"/>
          <w:szCs w:val="21"/>
        </w:rPr>
        <w:t>1</w:t>
      </w:r>
      <w:r>
        <w:rPr>
          <w:rFonts w:hint="eastAsia"/>
          <w:color w:val="000000"/>
          <w:szCs w:val="21"/>
        </w:rPr>
        <w:t>号嘉里建设广场第</w:t>
      </w:r>
      <w:r>
        <w:rPr>
          <w:rFonts w:hint="eastAsia"/>
          <w:color w:val="000000"/>
          <w:szCs w:val="21"/>
        </w:rPr>
        <w:t>1</w:t>
      </w:r>
      <w:r>
        <w:rPr>
          <w:rFonts w:hint="eastAsia"/>
          <w:color w:val="000000"/>
          <w:szCs w:val="21"/>
        </w:rPr>
        <w:t>座</w:t>
      </w:r>
      <w:r>
        <w:rPr>
          <w:color w:val="000000"/>
          <w:szCs w:val="21"/>
        </w:rPr>
        <w:t>21</w:t>
      </w:r>
      <w:r>
        <w:rPr>
          <w:rFonts w:hint="eastAsia"/>
          <w:color w:val="000000"/>
          <w:szCs w:val="21"/>
        </w:rPr>
        <w:t>层</w:t>
      </w:r>
    </w:p>
    <w:p w14:paraId="69DDCA44" w14:textId="77777777" w:rsidR="00175DB4" w:rsidRDefault="000519D1">
      <w:pPr>
        <w:spacing w:line="360" w:lineRule="auto"/>
        <w:ind w:firstLineChars="200" w:firstLine="420"/>
        <w:rPr>
          <w:color w:val="000000"/>
          <w:szCs w:val="21"/>
        </w:rPr>
      </w:pPr>
      <w:r>
        <w:rPr>
          <w:rFonts w:hint="eastAsia"/>
          <w:color w:val="000000"/>
          <w:szCs w:val="21"/>
        </w:rPr>
        <w:t>办公地址：深圳市福田区中心四路</w:t>
      </w:r>
      <w:r>
        <w:rPr>
          <w:rFonts w:hint="eastAsia"/>
          <w:color w:val="000000"/>
          <w:szCs w:val="21"/>
        </w:rPr>
        <w:t>1</w:t>
      </w:r>
      <w:r>
        <w:rPr>
          <w:rFonts w:hint="eastAsia"/>
          <w:color w:val="000000"/>
          <w:szCs w:val="21"/>
        </w:rPr>
        <w:t>号嘉里建设广场第</w:t>
      </w:r>
      <w:r>
        <w:rPr>
          <w:rFonts w:hint="eastAsia"/>
          <w:color w:val="000000"/>
          <w:szCs w:val="21"/>
        </w:rPr>
        <w:t>1</w:t>
      </w:r>
      <w:r>
        <w:rPr>
          <w:rFonts w:hint="eastAsia"/>
          <w:color w:val="000000"/>
          <w:szCs w:val="21"/>
        </w:rPr>
        <w:t>座</w:t>
      </w:r>
      <w:r>
        <w:rPr>
          <w:rFonts w:hint="eastAsia"/>
          <w:color w:val="000000"/>
          <w:szCs w:val="21"/>
        </w:rPr>
        <w:t>21</w:t>
      </w:r>
      <w:r>
        <w:rPr>
          <w:rFonts w:hint="eastAsia"/>
          <w:color w:val="000000"/>
          <w:szCs w:val="21"/>
        </w:rPr>
        <w:t>层</w:t>
      </w:r>
    </w:p>
    <w:p w14:paraId="7CA57B13" w14:textId="77777777" w:rsidR="00175DB4" w:rsidRDefault="000519D1">
      <w:pPr>
        <w:spacing w:line="360" w:lineRule="auto"/>
        <w:ind w:firstLineChars="200" w:firstLine="420"/>
        <w:rPr>
          <w:color w:val="000000"/>
          <w:szCs w:val="21"/>
        </w:rPr>
      </w:pPr>
      <w:r>
        <w:rPr>
          <w:rFonts w:hint="eastAsia"/>
          <w:color w:val="000000"/>
          <w:szCs w:val="21"/>
        </w:rPr>
        <w:t>法定代表人：李进</w:t>
      </w:r>
    </w:p>
    <w:p w14:paraId="736F8913" w14:textId="77777777" w:rsidR="00175DB4" w:rsidRDefault="000519D1">
      <w:pPr>
        <w:spacing w:line="360" w:lineRule="auto"/>
        <w:ind w:firstLineChars="200" w:firstLine="420"/>
        <w:rPr>
          <w:color w:val="000000"/>
          <w:szCs w:val="21"/>
        </w:rPr>
      </w:pPr>
      <w:r>
        <w:rPr>
          <w:rFonts w:hint="eastAsia"/>
          <w:color w:val="000000"/>
          <w:szCs w:val="21"/>
        </w:rPr>
        <w:t>批准设立文号：中国证监会证</w:t>
      </w:r>
      <w:proofErr w:type="gramStart"/>
      <w:r>
        <w:rPr>
          <w:rFonts w:hint="eastAsia"/>
          <w:color w:val="000000"/>
          <w:szCs w:val="21"/>
        </w:rPr>
        <w:t>监基金字</w:t>
      </w:r>
      <w:proofErr w:type="gramEnd"/>
      <w:r>
        <w:rPr>
          <w:rFonts w:hint="eastAsia"/>
          <w:color w:val="000000"/>
          <w:szCs w:val="21"/>
        </w:rPr>
        <w:t>［</w:t>
      </w:r>
      <w:r>
        <w:rPr>
          <w:rFonts w:hint="eastAsia"/>
          <w:color w:val="000000"/>
          <w:szCs w:val="21"/>
        </w:rPr>
        <w:t>2003</w:t>
      </w:r>
      <w:r>
        <w:rPr>
          <w:rFonts w:hint="eastAsia"/>
          <w:color w:val="000000"/>
          <w:szCs w:val="21"/>
        </w:rPr>
        <w:t>］</w:t>
      </w:r>
      <w:r>
        <w:rPr>
          <w:rFonts w:hint="eastAsia"/>
          <w:color w:val="000000"/>
          <w:szCs w:val="21"/>
        </w:rPr>
        <w:t>76</w:t>
      </w:r>
      <w:r>
        <w:rPr>
          <w:rFonts w:hint="eastAsia"/>
          <w:color w:val="000000"/>
          <w:szCs w:val="21"/>
        </w:rPr>
        <w:t>号</w:t>
      </w:r>
    </w:p>
    <w:p w14:paraId="18EAA3CD" w14:textId="77777777" w:rsidR="00175DB4" w:rsidRDefault="000519D1">
      <w:pPr>
        <w:spacing w:line="360" w:lineRule="auto"/>
        <w:ind w:firstLineChars="200" w:firstLine="420"/>
        <w:rPr>
          <w:color w:val="000000"/>
          <w:szCs w:val="21"/>
        </w:rPr>
      </w:pPr>
      <w:r>
        <w:rPr>
          <w:rFonts w:hint="eastAsia"/>
          <w:color w:val="000000"/>
          <w:szCs w:val="21"/>
        </w:rPr>
        <w:t>电</w:t>
      </w:r>
      <w:r>
        <w:rPr>
          <w:rFonts w:hint="eastAsia"/>
          <w:color w:val="000000"/>
          <w:szCs w:val="21"/>
        </w:rPr>
        <w:t xml:space="preserve">  </w:t>
      </w:r>
      <w:r>
        <w:rPr>
          <w:rFonts w:hint="eastAsia"/>
          <w:color w:val="000000"/>
          <w:szCs w:val="21"/>
        </w:rPr>
        <w:t>话：</w:t>
      </w:r>
      <w:r>
        <w:rPr>
          <w:rFonts w:hint="eastAsia"/>
          <w:color w:val="000000"/>
          <w:szCs w:val="21"/>
        </w:rPr>
        <w:t>0755-82370388-1663</w:t>
      </w:r>
    </w:p>
    <w:p w14:paraId="7C9AB9B9" w14:textId="77777777" w:rsidR="00175DB4" w:rsidRDefault="000519D1">
      <w:pPr>
        <w:spacing w:line="360" w:lineRule="auto"/>
        <w:ind w:firstLineChars="200" w:firstLine="420"/>
        <w:rPr>
          <w:color w:val="000000"/>
          <w:szCs w:val="21"/>
        </w:rPr>
      </w:pPr>
      <w:r>
        <w:rPr>
          <w:rFonts w:hint="eastAsia"/>
          <w:color w:val="000000"/>
          <w:szCs w:val="21"/>
        </w:rPr>
        <w:t>传</w:t>
      </w:r>
      <w:r>
        <w:rPr>
          <w:rFonts w:hint="eastAsia"/>
          <w:color w:val="000000"/>
          <w:szCs w:val="21"/>
        </w:rPr>
        <w:t xml:space="preserve">  </w:t>
      </w:r>
      <w:r>
        <w:rPr>
          <w:rFonts w:hint="eastAsia"/>
          <w:color w:val="000000"/>
          <w:szCs w:val="21"/>
        </w:rPr>
        <w:t>真：</w:t>
      </w:r>
      <w:r>
        <w:rPr>
          <w:rFonts w:hint="eastAsia"/>
          <w:color w:val="000000"/>
          <w:szCs w:val="21"/>
        </w:rPr>
        <w:t>0755-22381325</w:t>
      </w:r>
    </w:p>
    <w:p w14:paraId="56D3EEA2" w14:textId="77777777" w:rsidR="00175DB4" w:rsidRDefault="000519D1">
      <w:pPr>
        <w:spacing w:line="360" w:lineRule="auto"/>
        <w:ind w:firstLineChars="200" w:firstLine="420"/>
        <w:rPr>
          <w:color w:val="000000"/>
          <w:szCs w:val="21"/>
        </w:rPr>
      </w:pPr>
      <w:r>
        <w:rPr>
          <w:rFonts w:hint="eastAsia"/>
          <w:color w:val="000000"/>
          <w:szCs w:val="21"/>
        </w:rPr>
        <w:t>联系人：周婷</w:t>
      </w:r>
    </w:p>
    <w:p w14:paraId="1B76A395" w14:textId="77777777" w:rsidR="00175DB4" w:rsidRDefault="000519D1">
      <w:pPr>
        <w:spacing w:line="360" w:lineRule="auto"/>
        <w:ind w:firstLineChars="200" w:firstLine="420"/>
        <w:rPr>
          <w:color w:val="000000"/>
          <w:szCs w:val="21"/>
        </w:rPr>
      </w:pPr>
      <w:r>
        <w:rPr>
          <w:rFonts w:hint="eastAsia"/>
          <w:color w:val="000000"/>
          <w:szCs w:val="21"/>
        </w:rPr>
        <w:t>客户服务电话：</w:t>
      </w:r>
      <w:r>
        <w:rPr>
          <w:rFonts w:hint="eastAsia"/>
          <w:color w:val="000000"/>
          <w:szCs w:val="21"/>
        </w:rPr>
        <w:t>0755-82370688</w:t>
      </w:r>
      <w:r>
        <w:rPr>
          <w:rFonts w:hint="eastAsia"/>
          <w:color w:val="000000"/>
          <w:szCs w:val="21"/>
        </w:rPr>
        <w:t>、</w:t>
      </w:r>
      <w:r>
        <w:rPr>
          <w:rFonts w:hint="eastAsia"/>
          <w:color w:val="000000"/>
          <w:szCs w:val="21"/>
        </w:rPr>
        <w:t>4008888606</w:t>
      </w:r>
    </w:p>
    <w:p w14:paraId="316E3FBB" w14:textId="77777777" w:rsidR="00175DB4" w:rsidRDefault="000519D1">
      <w:pPr>
        <w:spacing w:line="360" w:lineRule="auto"/>
        <w:ind w:firstLineChars="200" w:firstLine="420"/>
        <w:rPr>
          <w:color w:val="000000"/>
          <w:szCs w:val="21"/>
        </w:rPr>
      </w:pPr>
      <w:r>
        <w:rPr>
          <w:rFonts w:hint="eastAsia"/>
          <w:color w:val="000000"/>
          <w:szCs w:val="21"/>
        </w:rPr>
        <w:t>网</w:t>
      </w:r>
      <w:r>
        <w:rPr>
          <w:rFonts w:hint="eastAsia"/>
          <w:color w:val="000000"/>
          <w:szCs w:val="21"/>
        </w:rPr>
        <w:t xml:space="preserve">  </w:t>
      </w:r>
      <w:r>
        <w:rPr>
          <w:rFonts w:hint="eastAsia"/>
          <w:color w:val="000000"/>
          <w:szCs w:val="21"/>
        </w:rPr>
        <w:t>址：</w:t>
      </w:r>
      <w:hyperlink r:id="rId18" w:history="1">
        <w:r>
          <w:rPr>
            <w:rFonts w:hint="eastAsia"/>
            <w:color w:val="000000"/>
            <w:szCs w:val="21"/>
          </w:rPr>
          <w:t>www.igwfmc.com</w:t>
        </w:r>
      </w:hyperlink>
    </w:p>
    <w:p w14:paraId="6D8FB00A" w14:textId="77777777" w:rsidR="00175DB4" w:rsidRDefault="000519D1">
      <w:pPr>
        <w:spacing w:line="360" w:lineRule="auto"/>
        <w:ind w:firstLineChars="200" w:firstLine="420"/>
        <w:rPr>
          <w:color w:val="000000"/>
          <w:szCs w:val="21"/>
        </w:rPr>
      </w:pPr>
      <w:r>
        <w:rPr>
          <w:rFonts w:hint="eastAsia"/>
          <w:color w:val="000000"/>
          <w:szCs w:val="21"/>
        </w:rPr>
        <w:t>（具体以</w:t>
      </w:r>
      <w:proofErr w:type="gramStart"/>
      <w:r>
        <w:rPr>
          <w:rFonts w:hint="eastAsia"/>
          <w:color w:val="000000"/>
          <w:szCs w:val="21"/>
        </w:rPr>
        <w:t>本公司官网列示</w:t>
      </w:r>
      <w:proofErr w:type="gramEnd"/>
      <w:r>
        <w:rPr>
          <w:rFonts w:hint="eastAsia"/>
          <w:color w:val="000000"/>
          <w:szCs w:val="21"/>
        </w:rPr>
        <w:t>为准）</w:t>
      </w:r>
    </w:p>
    <w:p w14:paraId="7D773FAA" w14:textId="17975954" w:rsidR="00175DB4" w:rsidRDefault="008647F5">
      <w:pPr>
        <w:spacing w:line="360" w:lineRule="auto"/>
        <w:ind w:firstLineChars="200" w:firstLine="420"/>
        <w:rPr>
          <w:color w:val="000000"/>
          <w:szCs w:val="21"/>
        </w:rPr>
      </w:pPr>
      <w:r>
        <w:rPr>
          <w:rFonts w:hint="eastAsia"/>
          <w:color w:val="000000"/>
          <w:szCs w:val="21"/>
        </w:rPr>
        <w:t>2</w:t>
      </w:r>
      <w:r w:rsidR="000519D1">
        <w:rPr>
          <w:rFonts w:hint="eastAsia"/>
          <w:color w:val="000000"/>
          <w:szCs w:val="21"/>
        </w:rPr>
        <w:t>、网下股票发售代理机构</w:t>
      </w:r>
    </w:p>
    <w:p w14:paraId="62D266C6" w14:textId="77777777" w:rsidR="00175DB4" w:rsidRDefault="000519D1">
      <w:pPr>
        <w:spacing w:line="360" w:lineRule="auto"/>
        <w:ind w:firstLineChars="200" w:firstLine="420"/>
        <w:rPr>
          <w:color w:val="000000"/>
          <w:szCs w:val="21"/>
        </w:rPr>
      </w:pPr>
      <w:r>
        <w:rPr>
          <w:rFonts w:hint="eastAsia"/>
          <w:color w:val="000000"/>
          <w:szCs w:val="21"/>
        </w:rPr>
        <w:t>详见基金份额发售公告。</w:t>
      </w:r>
    </w:p>
    <w:p w14:paraId="53391771" w14:textId="244AA669" w:rsidR="00175DB4" w:rsidRDefault="008647F5">
      <w:pPr>
        <w:spacing w:line="360" w:lineRule="auto"/>
        <w:ind w:firstLineChars="200" w:firstLine="420"/>
        <w:rPr>
          <w:color w:val="000000"/>
          <w:szCs w:val="21"/>
        </w:rPr>
      </w:pPr>
      <w:r>
        <w:rPr>
          <w:rFonts w:hint="eastAsia"/>
          <w:color w:val="000000"/>
          <w:szCs w:val="21"/>
        </w:rPr>
        <w:t>3</w:t>
      </w:r>
      <w:r w:rsidR="000519D1">
        <w:rPr>
          <w:rFonts w:hint="eastAsia"/>
          <w:color w:val="000000"/>
          <w:szCs w:val="21"/>
        </w:rPr>
        <w:t>、网下现金发售代理机构</w:t>
      </w:r>
    </w:p>
    <w:p w14:paraId="50451ABF" w14:textId="77777777" w:rsidR="00175DB4" w:rsidRDefault="000519D1">
      <w:pPr>
        <w:spacing w:line="360" w:lineRule="auto"/>
        <w:ind w:firstLineChars="200" w:firstLine="420"/>
        <w:rPr>
          <w:color w:val="000000"/>
          <w:szCs w:val="21"/>
        </w:rPr>
      </w:pPr>
      <w:r>
        <w:rPr>
          <w:rFonts w:hint="eastAsia"/>
          <w:color w:val="000000"/>
          <w:szCs w:val="21"/>
        </w:rPr>
        <w:t>详见基金份额发售公告。</w:t>
      </w:r>
    </w:p>
    <w:p w14:paraId="152A983B" w14:textId="5EDEDB24" w:rsidR="00175DB4" w:rsidRDefault="008647F5">
      <w:pPr>
        <w:spacing w:line="360" w:lineRule="auto"/>
        <w:ind w:firstLineChars="200" w:firstLine="420"/>
        <w:rPr>
          <w:color w:val="000000"/>
          <w:szCs w:val="21"/>
        </w:rPr>
      </w:pPr>
      <w:r>
        <w:rPr>
          <w:rFonts w:hint="eastAsia"/>
          <w:color w:val="000000"/>
          <w:szCs w:val="21"/>
        </w:rPr>
        <w:t>4</w:t>
      </w:r>
      <w:r w:rsidR="000519D1">
        <w:rPr>
          <w:rFonts w:hint="eastAsia"/>
          <w:color w:val="000000"/>
          <w:szCs w:val="21"/>
        </w:rPr>
        <w:t>、网上现金发售代理机构</w:t>
      </w:r>
    </w:p>
    <w:p w14:paraId="1E1ED651" w14:textId="77777777" w:rsidR="00175DB4" w:rsidRDefault="000519D1">
      <w:pPr>
        <w:spacing w:line="360" w:lineRule="auto"/>
        <w:ind w:firstLineChars="200" w:firstLine="420"/>
        <w:rPr>
          <w:color w:val="000000"/>
          <w:szCs w:val="21"/>
        </w:rPr>
      </w:pPr>
      <w:r>
        <w:rPr>
          <w:rFonts w:hint="eastAsia"/>
          <w:color w:val="000000"/>
          <w:szCs w:val="21"/>
        </w:rPr>
        <w:t>具有基金销售业务资格及深圳证券交易所会员资格的证券公司，详见基金份额发售公告。</w:t>
      </w:r>
      <w:r>
        <w:rPr>
          <w:color w:val="000000"/>
          <w:szCs w:val="21"/>
        </w:rPr>
        <w:t xml:space="preserve"> </w:t>
      </w:r>
      <w:r>
        <w:rPr>
          <w:rFonts w:hint="eastAsia"/>
          <w:color w:val="000000"/>
          <w:szCs w:val="21"/>
        </w:rPr>
        <w:t>基金管理人可以根据情况调整或增加其他发售代理机构。</w:t>
      </w:r>
      <w:r>
        <w:rPr>
          <w:rFonts w:hint="eastAsia"/>
          <w:color w:val="000000"/>
          <w:szCs w:val="21"/>
        </w:rPr>
        <w:tab/>
      </w:r>
    </w:p>
    <w:p w14:paraId="3BF5BC7F" w14:textId="33356BF1" w:rsidR="00175DB4" w:rsidRDefault="00746769">
      <w:pPr>
        <w:spacing w:line="360" w:lineRule="auto"/>
        <w:ind w:firstLineChars="200" w:firstLine="420"/>
        <w:rPr>
          <w:color w:val="000000"/>
          <w:szCs w:val="21"/>
        </w:rPr>
      </w:pPr>
      <w:r>
        <w:rPr>
          <w:rFonts w:hint="eastAsia"/>
          <w:color w:val="000000"/>
          <w:szCs w:val="21"/>
        </w:rPr>
        <w:t>（</w:t>
      </w:r>
      <w:r w:rsidR="000519D1">
        <w:rPr>
          <w:color w:val="000000"/>
          <w:szCs w:val="21"/>
        </w:rPr>
        <w:t>二</w:t>
      </w:r>
      <w:r>
        <w:rPr>
          <w:rFonts w:hint="eastAsia"/>
          <w:color w:val="000000"/>
          <w:szCs w:val="21"/>
        </w:rPr>
        <w:t>）</w:t>
      </w:r>
      <w:r w:rsidR="000519D1">
        <w:rPr>
          <w:rFonts w:hint="eastAsia"/>
          <w:color w:val="000000"/>
          <w:szCs w:val="21"/>
        </w:rPr>
        <w:t>登记机构</w:t>
      </w:r>
    </w:p>
    <w:p w14:paraId="5D4D36AA" w14:textId="77777777" w:rsidR="00175DB4" w:rsidRDefault="000519D1">
      <w:pPr>
        <w:spacing w:line="360" w:lineRule="auto"/>
        <w:ind w:firstLineChars="200" w:firstLine="420"/>
        <w:rPr>
          <w:color w:val="000000"/>
          <w:szCs w:val="21"/>
        </w:rPr>
      </w:pPr>
      <w:r>
        <w:rPr>
          <w:rFonts w:hint="eastAsia"/>
          <w:color w:val="000000"/>
          <w:szCs w:val="21"/>
        </w:rPr>
        <w:t>名称：中国证券登记结算有限责任公司</w:t>
      </w:r>
      <w:r>
        <w:rPr>
          <w:color w:val="000000"/>
          <w:szCs w:val="21"/>
        </w:rPr>
        <w:t xml:space="preserve"> </w:t>
      </w:r>
    </w:p>
    <w:p w14:paraId="7637127D" w14:textId="77777777" w:rsidR="00175DB4" w:rsidRDefault="000519D1">
      <w:pPr>
        <w:spacing w:line="360" w:lineRule="auto"/>
        <w:ind w:firstLineChars="200" w:firstLine="420"/>
        <w:rPr>
          <w:color w:val="000000"/>
          <w:szCs w:val="21"/>
        </w:rPr>
      </w:pPr>
      <w:r>
        <w:rPr>
          <w:rFonts w:hint="eastAsia"/>
          <w:color w:val="000000"/>
          <w:szCs w:val="21"/>
        </w:rPr>
        <w:t>注册地址：北京市西城区太平桥大街</w:t>
      </w:r>
      <w:r>
        <w:rPr>
          <w:color w:val="000000"/>
          <w:szCs w:val="21"/>
        </w:rPr>
        <w:t>17</w:t>
      </w:r>
      <w:r>
        <w:rPr>
          <w:rFonts w:hint="eastAsia"/>
          <w:color w:val="000000"/>
          <w:szCs w:val="21"/>
        </w:rPr>
        <w:t>号</w:t>
      </w:r>
      <w:r>
        <w:rPr>
          <w:color w:val="000000"/>
          <w:szCs w:val="21"/>
        </w:rPr>
        <w:t xml:space="preserve"> </w:t>
      </w:r>
    </w:p>
    <w:p w14:paraId="39CD337B" w14:textId="77777777" w:rsidR="00175DB4" w:rsidRDefault="000519D1">
      <w:pPr>
        <w:spacing w:line="360" w:lineRule="auto"/>
        <w:ind w:firstLineChars="200" w:firstLine="420"/>
        <w:rPr>
          <w:color w:val="000000"/>
          <w:szCs w:val="21"/>
        </w:rPr>
      </w:pPr>
      <w:r>
        <w:rPr>
          <w:rFonts w:hint="eastAsia"/>
          <w:color w:val="000000"/>
          <w:szCs w:val="21"/>
        </w:rPr>
        <w:t>办公地址：北京市西城区太平桥大街</w:t>
      </w:r>
      <w:r>
        <w:rPr>
          <w:color w:val="000000"/>
          <w:szCs w:val="21"/>
        </w:rPr>
        <w:t>17</w:t>
      </w:r>
      <w:r>
        <w:rPr>
          <w:rFonts w:hint="eastAsia"/>
          <w:color w:val="000000"/>
          <w:szCs w:val="21"/>
        </w:rPr>
        <w:t>号</w:t>
      </w:r>
      <w:r>
        <w:rPr>
          <w:color w:val="000000"/>
          <w:szCs w:val="21"/>
        </w:rPr>
        <w:t xml:space="preserve"> </w:t>
      </w:r>
    </w:p>
    <w:p w14:paraId="103CC915" w14:textId="36609B77" w:rsidR="00175DB4" w:rsidRDefault="000519D1">
      <w:pPr>
        <w:spacing w:line="360" w:lineRule="auto"/>
        <w:ind w:firstLineChars="200" w:firstLine="420"/>
        <w:rPr>
          <w:color w:val="000000"/>
          <w:szCs w:val="21"/>
        </w:rPr>
      </w:pPr>
      <w:r>
        <w:rPr>
          <w:rFonts w:hint="eastAsia"/>
          <w:color w:val="000000"/>
          <w:szCs w:val="21"/>
        </w:rPr>
        <w:t>法定代表人：</w:t>
      </w:r>
      <w:r w:rsidR="0034409C" w:rsidRPr="0034409C">
        <w:rPr>
          <w:rFonts w:hint="eastAsia"/>
          <w:color w:val="000000"/>
          <w:szCs w:val="21"/>
        </w:rPr>
        <w:t>于文强</w:t>
      </w:r>
    </w:p>
    <w:p w14:paraId="4FBEC7F4" w14:textId="77777777" w:rsidR="00A408CA" w:rsidRPr="00BF6650" w:rsidRDefault="00A408CA" w:rsidP="00A408CA">
      <w:pPr>
        <w:spacing w:line="360" w:lineRule="auto"/>
        <w:ind w:firstLineChars="200" w:firstLine="420"/>
        <w:rPr>
          <w:color w:val="000000"/>
          <w:szCs w:val="21"/>
        </w:rPr>
      </w:pPr>
      <w:r w:rsidRPr="00BF6650">
        <w:rPr>
          <w:rFonts w:hint="eastAsia"/>
          <w:color w:val="000000"/>
          <w:szCs w:val="21"/>
        </w:rPr>
        <w:t>联系人：</w:t>
      </w:r>
      <w:r w:rsidRPr="00D3256F">
        <w:rPr>
          <w:rFonts w:hint="eastAsia"/>
          <w:color w:val="000000"/>
          <w:szCs w:val="21"/>
        </w:rPr>
        <w:t>廖文琳</w:t>
      </w:r>
    </w:p>
    <w:p w14:paraId="6509C9DC" w14:textId="77777777" w:rsidR="00A408CA" w:rsidRPr="00BF6650" w:rsidRDefault="00A408CA" w:rsidP="00A408CA">
      <w:pPr>
        <w:spacing w:line="360" w:lineRule="auto"/>
        <w:ind w:firstLineChars="200" w:firstLine="420"/>
        <w:rPr>
          <w:color w:val="000000"/>
          <w:szCs w:val="21"/>
        </w:rPr>
      </w:pPr>
      <w:r w:rsidRPr="00BF6650">
        <w:rPr>
          <w:rFonts w:hint="eastAsia"/>
          <w:color w:val="000000"/>
          <w:szCs w:val="21"/>
        </w:rPr>
        <w:t>联系电话：</w:t>
      </w:r>
      <w:r w:rsidRPr="00D3256F">
        <w:rPr>
          <w:color w:val="000000"/>
          <w:szCs w:val="21"/>
        </w:rPr>
        <w:t>0755-21899329</w:t>
      </w:r>
    </w:p>
    <w:p w14:paraId="63304B5C" w14:textId="3338E784" w:rsidR="00175DB4" w:rsidRDefault="00746769">
      <w:pPr>
        <w:spacing w:line="360" w:lineRule="auto"/>
        <w:ind w:firstLineChars="200" w:firstLine="420"/>
        <w:rPr>
          <w:color w:val="000000"/>
          <w:szCs w:val="21"/>
        </w:rPr>
      </w:pPr>
      <w:r>
        <w:rPr>
          <w:rFonts w:hint="eastAsia"/>
          <w:color w:val="000000"/>
          <w:szCs w:val="21"/>
        </w:rPr>
        <w:lastRenderedPageBreak/>
        <w:t>（</w:t>
      </w:r>
      <w:r w:rsidR="000519D1">
        <w:rPr>
          <w:color w:val="000000"/>
          <w:szCs w:val="21"/>
        </w:rPr>
        <w:t>三</w:t>
      </w:r>
      <w:r>
        <w:rPr>
          <w:rFonts w:hint="eastAsia"/>
          <w:color w:val="000000"/>
          <w:szCs w:val="21"/>
        </w:rPr>
        <w:t>）</w:t>
      </w:r>
      <w:r w:rsidR="000519D1">
        <w:rPr>
          <w:color w:val="000000"/>
          <w:szCs w:val="21"/>
        </w:rPr>
        <w:t>出具法律意见书的律师事务所</w:t>
      </w:r>
    </w:p>
    <w:p w14:paraId="4EC8021B" w14:textId="77777777" w:rsidR="00175DB4" w:rsidRDefault="000519D1">
      <w:pPr>
        <w:spacing w:line="360" w:lineRule="auto"/>
        <w:ind w:firstLineChars="200" w:firstLine="420"/>
        <w:rPr>
          <w:color w:val="000000"/>
          <w:szCs w:val="21"/>
        </w:rPr>
      </w:pPr>
      <w:r>
        <w:rPr>
          <w:color w:val="000000"/>
          <w:szCs w:val="21"/>
        </w:rPr>
        <w:t>名称：</w:t>
      </w:r>
      <w:r>
        <w:rPr>
          <w:rFonts w:hint="eastAsia"/>
          <w:color w:val="000000"/>
          <w:szCs w:val="21"/>
        </w:rPr>
        <w:t>上海市通力律师事务所</w:t>
      </w:r>
    </w:p>
    <w:p w14:paraId="6A059F0C" w14:textId="77777777" w:rsidR="00175DB4" w:rsidRDefault="000519D1">
      <w:pPr>
        <w:spacing w:line="360" w:lineRule="auto"/>
        <w:ind w:firstLineChars="200" w:firstLine="420"/>
        <w:rPr>
          <w:color w:val="000000"/>
          <w:szCs w:val="21"/>
        </w:rPr>
      </w:pPr>
      <w:r>
        <w:rPr>
          <w:color w:val="000000"/>
          <w:szCs w:val="21"/>
        </w:rPr>
        <w:t>住所：</w:t>
      </w:r>
      <w:r>
        <w:rPr>
          <w:rFonts w:hint="eastAsia"/>
          <w:color w:val="000000"/>
          <w:szCs w:val="21"/>
        </w:rPr>
        <w:t>上海市银城中路</w:t>
      </w:r>
      <w:r>
        <w:rPr>
          <w:color w:val="000000"/>
          <w:szCs w:val="21"/>
        </w:rPr>
        <w:t>68</w:t>
      </w:r>
      <w:r>
        <w:rPr>
          <w:rFonts w:hint="eastAsia"/>
          <w:color w:val="000000"/>
          <w:szCs w:val="21"/>
        </w:rPr>
        <w:t>号时代金融中心</w:t>
      </w:r>
      <w:r>
        <w:rPr>
          <w:color w:val="000000"/>
          <w:szCs w:val="21"/>
        </w:rPr>
        <w:t>19</w:t>
      </w:r>
      <w:r>
        <w:rPr>
          <w:rFonts w:hint="eastAsia"/>
          <w:color w:val="000000"/>
          <w:szCs w:val="21"/>
        </w:rPr>
        <w:t>楼</w:t>
      </w:r>
    </w:p>
    <w:p w14:paraId="74B37602" w14:textId="77777777" w:rsidR="00175DB4" w:rsidRDefault="000519D1">
      <w:pPr>
        <w:spacing w:line="360" w:lineRule="auto"/>
        <w:ind w:firstLineChars="200" w:firstLine="420"/>
        <w:rPr>
          <w:color w:val="000000"/>
          <w:szCs w:val="21"/>
        </w:rPr>
      </w:pPr>
      <w:r>
        <w:rPr>
          <w:rFonts w:hint="eastAsia"/>
          <w:color w:val="000000"/>
          <w:szCs w:val="21"/>
        </w:rPr>
        <w:t>办公地址：上海市银城中路</w:t>
      </w:r>
      <w:r>
        <w:rPr>
          <w:color w:val="000000"/>
          <w:szCs w:val="21"/>
        </w:rPr>
        <w:t>68</w:t>
      </w:r>
      <w:r>
        <w:rPr>
          <w:rFonts w:hint="eastAsia"/>
          <w:color w:val="000000"/>
          <w:szCs w:val="21"/>
        </w:rPr>
        <w:t>号时代金融中心</w:t>
      </w:r>
      <w:r>
        <w:rPr>
          <w:color w:val="000000"/>
          <w:szCs w:val="21"/>
        </w:rPr>
        <w:t>19</w:t>
      </w:r>
      <w:r>
        <w:rPr>
          <w:rFonts w:hint="eastAsia"/>
          <w:color w:val="000000"/>
          <w:szCs w:val="21"/>
        </w:rPr>
        <w:t>楼</w:t>
      </w:r>
    </w:p>
    <w:p w14:paraId="23C32516" w14:textId="77777777" w:rsidR="00175DB4" w:rsidRDefault="000519D1">
      <w:pPr>
        <w:spacing w:line="360" w:lineRule="auto"/>
        <w:ind w:firstLineChars="200" w:firstLine="420"/>
        <w:rPr>
          <w:color w:val="000000"/>
          <w:szCs w:val="21"/>
        </w:rPr>
      </w:pPr>
      <w:r>
        <w:rPr>
          <w:color w:val="000000"/>
          <w:szCs w:val="21"/>
        </w:rPr>
        <w:t>负责人：</w:t>
      </w:r>
      <w:r>
        <w:rPr>
          <w:rFonts w:hint="eastAsia"/>
          <w:color w:val="000000"/>
          <w:szCs w:val="21"/>
        </w:rPr>
        <w:t>韩炯</w:t>
      </w:r>
    </w:p>
    <w:p w14:paraId="1072884C" w14:textId="77777777" w:rsidR="00175DB4" w:rsidRDefault="000519D1">
      <w:pPr>
        <w:spacing w:line="360" w:lineRule="auto"/>
        <w:ind w:firstLineChars="200" w:firstLine="420"/>
        <w:rPr>
          <w:color w:val="000000"/>
          <w:szCs w:val="21"/>
        </w:rPr>
      </w:pPr>
      <w:r>
        <w:rPr>
          <w:color w:val="000000"/>
          <w:szCs w:val="21"/>
        </w:rPr>
        <w:t>电话：</w:t>
      </w:r>
      <w:r>
        <w:rPr>
          <w:color w:val="000000"/>
          <w:szCs w:val="21"/>
        </w:rPr>
        <w:t>021-31358666</w:t>
      </w:r>
    </w:p>
    <w:p w14:paraId="14E39425" w14:textId="77777777" w:rsidR="00175DB4" w:rsidRDefault="000519D1">
      <w:pPr>
        <w:spacing w:line="360" w:lineRule="auto"/>
        <w:ind w:firstLineChars="200" w:firstLine="420"/>
        <w:rPr>
          <w:color w:val="000000"/>
          <w:szCs w:val="21"/>
        </w:rPr>
      </w:pPr>
      <w:r>
        <w:rPr>
          <w:color w:val="000000"/>
          <w:szCs w:val="21"/>
        </w:rPr>
        <w:t>传真</w:t>
      </w:r>
      <w:r>
        <w:rPr>
          <w:rFonts w:hint="eastAsia"/>
          <w:color w:val="000000"/>
          <w:szCs w:val="21"/>
        </w:rPr>
        <w:t>：</w:t>
      </w:r>
      <w:r>
        <w:rPr>
          <w:color w:val="000000"/>
          <w:szCs w:val="21"/>
        </w:rPr>
        <w:t>021-31358600</w:t>
      </w:r>
    </w:p>
    <w:p w14:paraId="79B6FC52" w14:textId="77777777" w:rsidR="00175DB4" w:rsidRDefault="000519D1">
      <w:pPr>
        <w:spacing w:line="360" w:lineRule="auto"/>
        <w:ind w:firstLineChars="200" w:firstLine="420"/>
        <w:rPr>
          <w:color w:val="000000"/>
          <w:szCs w:val="21"/>
        </w:rPr>
      </w:pPr>
      <w:r>
        <w:rPr>
          <w:color w:val="000000"/>
          <w:szCs w:val="21"/>
        </w:rPr>
        <w:t>经办律师：</w:t>
      </w:r>
      <w:r>
        <w:rPr>
          <w:rFonts w:hint="eastAsia"/>
          <w:color w:val="000000"/>
          <w:szCs w:val="21"/>
        </w:rPr>
        <w:t>黎明、陈颖华</w:t>
      </w:r>
    </w:p>
    <w:p w14:paraId="7BFACE6C" w14:textId="77777777" w:rsidR="00175DB4" w:rsidRDefault="000519D1">
      <w:pPr>
        <w:spacing w:line="360" w:lineRule="auto"/>
        <w:ind w:firstLineChars="200" w:firstLine="420"/>
        <w:rPr>
          <w:color w:val="000000"/>
          <w:szCs w:val="21"/>
        </w:rPr>
      </w:pPr>
      <w:r>
        <w:rPr>
          <w:rFonts w:hint="eastAsia"/>
          <w:color w:val="000000"/>
          <w:szCs w:val="21"/>
        </w:rPr>
        <w:t>联系人：陈颖华</w:t>
      </w:r>
    </w:p>
    <w:p w14:paraId="7A831029" w14:textId="29169124" w:rsidR="00175DB4" w:rsidRDefault="00746769">
      <w:pPr>
        <w:spacing w:line="360" w:lineRule="auto"/>
        <w:ind w:firstLineChars="200" w:firstLine="420"/>
        <w:rPr>
          <w:color w:val="000000"/>
          <w:szCs w:val="21"/>
        </w:rPr>
      </w:pPr>
      <w:r>
        <w:rPr>
          <w:rFonts w:hint="eastAsia"/>
          <w:color w:val="000000"/>
          <w:szCs w:val="21"/>
        </w:rPr>
        <w:t>（</w:t>
      </w:r>
      <w:r w:rsidR="000519D1">
        <w:rPr>
          <w:color w:val="000000"/>
          <w:szCs w:val="21"/>
        </w:rPr>
        <w:t>四</w:t>
      </w:r>
      <w:r>
        <w:rPr>
          <w:rFonts w:hint="eastAsia"/>
          <w:color w:val="000000"/>
          <w:szCs w:val="21"/>
        </w:rPr>
        <w:t>）</w:t>
      </w:r>
      <w:r w:rsidR="000519D1">
        <w:rPr>
          <w:color w:val="000000"/>
          <w:szCs w:val="21"/>
        </w:rPr>
        <w:t>审计基金</w:t>
      </w:r>
      <w:r w:rsidR="000519D1">
        <w:rPr>
          <w:rFonts w:hint="eastAsia"/>
          <w:color w:val="000000"/>
          <w:szCs w:val="21"/>
        </w:rPr>
        <w:t>财</w:t>
      </w:r>
      <w:r w:rsidR="000519D1">
        <w:rPr>
          <w:color w:val="000000"/>
          <w:szCs w:val="21"/>
        </w:rPr>
        <w:t>产的会计师事务所</w:t>
      </w:r>
    </w:p>
    <w:p w14:paraId="22AA25CF"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法定名称：普华永道中天会计师事务所（特殊普通合伙）</w:t>
      </w:r>
    </w:p>
    <w:p w14:paraId="74793E47"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注册地址：上海市浦东新区陆家嘴环路1318号</w:t>
      </w:r>
      <w:proofErr w:type="gramStart"/>
      <w:r w:rsidRPr="0034409C">
        <w:rPr>
          <w:rFonts w:ascii="宋体" w:hAnsi="Courier New" w:cs="Courier New" w:hint="eastAsia"/>
          <w:color w:val="000000"/>
          <w:szCs w:val="21"/>
        </w:rPr>
        <w:t>星展银行</w:t>
      </w:r>
      <w:proofErr w:type="gramEnd"/>
      <w:r w:rsidRPr="0034409C">
        <w:rPr>
          <w:rFonts w:ascii="宋体" w:hAnsi="Courier New" w:cs="Courier New" w:hint="eastAsia"/>
          <w:color w:val="000000"/>
          <w:szCs w:val="21"/>
        </w:rPr>
        <w:t>大厦6楼</w:t>
      </w:r>
    </w:p>
    <w:p w14:paraId="6A571FF4"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办公地址：中国上海市浦东</w:t>
      </w:r>
      <w:proofErr w:type="gramStart"/>
      <w:r w:rsidRPr="0034409C">
        <w:rPr>
          <w:rFonts w:ascii="宋体" w:hAnsi="Courier New" w:cs="Courier New" w:hint="eastAsia"/>
          <w:color w:val="000000"/>
          <w:szCs w:val="21"/>
        </w:rPr>
        <w:t>新区东育路</w:t>
      </w:r>
      <w:proofErr w:type="gramEnd"/>
      <w:r w:rsidRPr="0034409C">
        <w:rPr>
          <w:rFonts w:ascii="宋体" w:hAnsi="Courier New" w:cs="Courier New" w:hint="eastAsia"/>
          <w:color w:val="000000"/>
          <w:szCs w:val="21"/>
        </w:rPr>
        <w:t>588号前</w:t>
      </w:r>
      <w:proofErr w:type="gramStart"/>
      <w:r w:rsidRPr="0034409C">
        <w:rPr>
          <w:rFonts w:ascii="宋体" w:hAnsi="Courier New" w:cs="Courier New" w:hint="eastAsia"/>
          <w:color w:val="000000"/>
          <w:szCs w:val="21"/>
        </w:rPr>
        <w:t>滩中心</w:t>
      </w:r>
      <w:proofErr w:type="gramEnd"/>
      <w:r w:rsidRPr="0034409C">
        <w:rPr>
          <w:rFonts w:ascii="宋体" w:hAnsi="Courier New" w:cs="Courier New" w:hint="eastAsia"/>
          <w:color w:val="000000"/>
          <w:szCs w:val="21"/>
        </w:rPr>
        <w:t>42楼</w:t>
      </w:r>
    </w:p>
    <w:p w14:paraId="2B71BEB7"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执行事务合伙人：李丹</w:t>
      </w:r>
    </w:p>
    <w:p w14:paraId="45AE3B9C"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电话：021-23238888</w:t>
      </w:r>
    </w:p>
    <w:p w14:paraId="4831B44D" w14:textId="77777777" w:rsidR="0034409C" w:rsidRPr="0034409C" w:rsidRDefault="0034409C" w:rsidP="0034409C">
      <w:pPr>
        <w:spacing w:line="360" w:lineRule="auto"/>
        <w:ind w:firstLineChars="200" w:firstLine="420"/>
        <w:rPr>
          <w:rFonts w:ascii="宋体" w:hAnsi="Courier New" w:cs="Courier New"/>
          <w:color w:val="000000"/>
          <w:szCs w:val="21"/>
        </w:rPr>
      </w:pPr>
      <w:r w:rsidRPr="0034409C">
        <w:rPr>
          <w:rFonts w:ascii="宋体" w:hAnsi="Courier New" w:cs="Courier New" w:hint="eastAsia"/>
          <w:color w:val="000000"/>
          <w:szCs w:val="21"/>
        </w:rPr>
        <w:t>传真：021-23238800</w:t>
      </w:r>
    </w:p>
    <w:p w14:paraId="4F710B74" w14:textId="7E84CF0E" w:rsidR="00175DB4" w:rsidRDefault="0034409C">
      <w:pPr>
        <w:pStyle w:val="ac"/>
        <w:ind w:firstLine="420"/>
        <w:rPr>
          <w:rFonts w:ascii="Times New Roman" w:hAnsi="Times New Roman" w:cs="Times New Roman"/>
          <w:color w:val="000000"/>
        </w:rPr>
      </w:pPr>
      <w:r w:rsidRPr="0034409C">
        <w:rPr>
          <w:rFonts w:hint="eastAsia"/>
          <w:color w:val="000000"/>
        </w:rPr>
        <w:t>经办注册会计师：单峰、郭劲扬</w:t>
      </w:r>
    </w:p>
    <w:p w14:paraId="3ED13E5A" w14:textId="77777777" w:rsidR="00175DB4" w:rsidRDefault="00175DB4">
      <w:pPr>
        <w:tabs>
          <w:tab w:val="left" w:pos="540"/>
        </w:tabs>
        <w:snapToGrid w:val="0"/>
        <w:spacing w:line="360" w:lineRule="auto"/>
        <w:ind w:firstLineChars="200" w:firstLine="420"/>
        <w:rPr>
          <w:color w:val="000000"/>
          <w:szCs w:val="21"/>
        </w:rPr>
      </w:pPr>
    </w:p>
    <w:p w14:paraId="7C51DB08" w14:textId="77777777" w:rsidR="00175DB4" w:rsidRDefault="00175DB4">
      <w:pPr>
        <w:pStyle w:val="1"/>
        <w:ind w:firstLine="482"/>
        <w:rPr>
          <w:rFonts w:eastAsia="宋体"/>
          <w:bCs w:val="0"/>
          <w:color w:val="000000"/>
          <w:sz w:val="30"/>
          <w:szCs w:val="30"/>
        </w:rPr>
        <w:sectPr w:rsidR="00175DB4">
          <w:pgSz w:w="11906" w:h="16838"/>
          <w:pgMar w:top="1440" w:right="1797" w:bottom="1440" w:left="1980" w:header="851" w:footer="992" w:gutter="0"/>
          <w:cols w:space="425"/>
          <w:docGrid w:type="lines" w:linePitch="312"/>
        </w:sectPr>
      </w:pPr>
      <w:bookmarkStart w:id="23" w:name="_Toc86659715"/>
    </w:p>
    <w:p w14:paraId="6B4CC807" w14:textId="77777777" w:rsidR="00175DB4" w:rsidRDefault="000519D1">
      <w:pPr>
        <w:pStyle w:val="1"/>
        <w:spacing w:line="360" w:lineRule="exact"/>
        <w:rPr>
          <w:color w:val="000000"/>
        </w:rPr>
      </w:pPr>
      <w:bookmarkStart w:id="24" w:name="_Toc135741008"/>
      <w:r>
        <w:rPr>
          <w:rFonts w:eastAsia="宋体"/>
          <w:color w:val="000000"/>
          <w:sz w:val="30"/>
          <w:szCs w:val="30"/>
        </w:rPr>
        <w:lastRenderedPageBreak/>
        <w:t>六、基金的募集</w:t>
      </w:r>
      <w:bookmarkEnd w:id="23"/>
      <w:bookmarkEnd w:id="24"/>
    </w:p>
    <w:p w14:paraId="7BA293C6" w14:textId="77777777" w:rsidR="00175DB4" w:rsidRDefault="000519D1">
      <w:pPr>
        <w:tabs>
          <w:tab w:val="left" w:pos="540"/>
        </w:tabs>
        <w:snapToGrid w:val="0"/>
        <w:spacing w:line="360" w:lineRule="auto"/>
        <w:ind w:firstLineChars="200" w:firstLine="420"/>
        <w:rPr>
          <w:color w:val="000000"/>
          <w:szCs w:val="21"/>
        </w:rPr>
      </w:pPr>
      <w:r>
        <w:rPr>
          <w:color w:val="000000"/>
          <w:szCs w:val="21"/>
        </w:rPr>
        <w:t>（一）基金募集的依据</w:t>
      </w:r>
    </w:p>
    <w:p w14:paraId="148359E5" w14:textId="1F9AF6BB" w:rsidR="008647F5" w:rsidRDefault="000519D1">
      <w:pPr>
        <w:tabs>
          <w:tab w:val="left" w:pos="540"/>
        </w:tabs>
        <w:snapToGrid w:val="0"/>
        <w:spacing w:line="360" w:lineRule="auto"/>
        <w:ind w:firstLineChars="200" w:firstLine="420"/>
        <w:rPr>
          <w:color w:val="000000"/>
          <w:szCs w:val="21"/>
        </w:rPr>
      </w:pPr>
      <w:r>
        <w:rPr>
          <w:color w:val="000000"/>
          <w:szCs w:val="21"/>
        </w:rPr>
        <w:t>本基金由基金管理人依照《基金法》、《运作办法》、《销售办法》、基金合同及其他法律法规的有关规定募集。本基金募集申请已经中国证监会证监许可【</w:t>
      </w:r>
      <w:r w:rsidR="001E728F">
        <w:rPr>
          <w:color w:val="000000"/>
          <w:szCs w:val="21"/>
        </w:rPr>
        <w:t>2023</w:t>
      </w:r>
      <w:r>
        <w:rPr>
          <w:color w:val="000000"/>
          <w:szCs w:val="21"/>
        </w:rPr>
        <w:t>】</w:t>
      </w:r>
      <w:r w:rsidR="001E728F">
        <w:rPr>
          <w:color w:val="000000"/>
          <w:szCs w:val="21"/>
        </w:rPr>
        <w:t>1486</w:t>
      </w:r>
      <w:r>
        <w:rPr>
          <w:color w:val="000000"/>
          <w:szCs w:val="21"/>
        </w:rPr>
        <w:t>号文准予募集注册。</w:t>
      </w:r>
    </w:p>
    <w:p w14:paraId="0E1C6BE1" w14:textId="77777777" w:rsidR="00175DB4" w:rsidRDefault="000519D1">
      <w:pPr>
        <w:tabs>
          <w:tab w:val="left" w:pos="540"/>
        </w:tabs>
        <w:snapToGrid w:val="0"/>
        <w:spacing w:line="360" w:lineRule="auto"/>
        <w:ind w:firstLineChars="200" w:firstLine="420"/>
        <w:rPr>
          <w:color w:val="000000"/>
          <w:szCs w:val="21"/>
        </w:rPr>
      </w:pPr>
      <w:r>
        <w:rPr>
          <w:color w:val="000000"/>
          <w:szCs w:val="21"/>
        </w:rPr>
        <w:t>（二）基金类型</w:t>
      </w:r>
    </w:p>
    <w:p w14:paraId="7363475D" w14:textId="77777777" w:rsidR="00175DB4" w:rsidRDefault="000519D1">
      <w:pPr>
        <w:tabs>
          <w:tab w:val="left" w:pos="540"/>
        </w:tabs>
        <w:snapToGrid w:val="0"/>
        <w:spacing w:line="360" w:lineRule="auto"/>
        <w:ind w:firstLineChars="200" w:firstLine="420"/>
        <w:rPr>
          <w:color w:val="000000"/>
          <w:szCs w:val="21"/>
        </w:rPr>
      </w:pPr>
      <w:r>
        <w:rPr>
          <w:color w:val="000000"/>
          <w:szCs w:val="21"/>
        </w:rPr>
        <w:t>股票型证券投资基金</w:t>
      </w:r>
    </w:p>
    <w:p w14:paraId="42B5B691" w14:textId="77777777" w:rsidR="00175DB4" w:rsidRDefault="000519D1">
      <w:pPr>
        <w:tabs>
          <w:tab w:val="left" w:pos="540"/>
        </w:tabs>
        <w:snapToGrid w:val="0"/>
        <w:spacing w:line="360" w:lineRule="auto"/>
        <w:ind w:firstLineChars="200" w:firstLine="420"/>
        <w:rPr>
          <w:color w:val="000000"/>
          <w:szCs w:val="21"/>
        </w:rPr>
      </w:pPr>
      <w:r>
        <w:rPr>
          <w:color w:val="000000"/>
          <w:szCs w:val="21"/>
        </w:rPr>
        <w:t>（三）基金的运作方式</w:t>
      </w:r>
    </w:p>
    <w:p w14:paraId="5029B536" w14:textId="77777777" w:rsidR="00175DB4" w:rsidRDefault="000519D1">
      <w:pPr>
        <w:tabs>
          <w:tab w:val="left" w:pos="540"/>
        </w:tabs>
        <w:snapToGrid w:val="0"/>
        <w:spacing w:line="360" w:lineRule="auto"/>
        <w:ind w:firstLineChars="200" w:firstLine="420"/>
        <w:rPr>
          <w:color w:val="000000"/>
          <w:szCs w:val="21"/>
        </w:rPr>
      </w:pPr>
      <w:r>
        <w:rPr>
          <w:color w:val="000000"/>
          <w:szCs w:val="21"/>
        </w:rPr>
        <w:t>交易型开放式</w:t>
      </w:r>
    </w:p>
    <w:p w14:paraId="6B19BEF8" w14:textId="77777777" w:rsidR="00175DB4" w:rsidRDefault="000519D1">
      <w:pPr>
        <w:tabs>
          <w:tab w:val="left" w:pos="540"/>
        </w:tabs>
        <w:snapToGrid w:val="0"/>
        <w:spacing w:line="360" w:lineRule="auto"/>
        <w:ind w:firstLineChars="200" w:firstLine="420"/>
        <w:rPr>
          <w:color w:val="000000"/>
          <w:szCs w:val="21"/>
        </w:rPr>
      </w:pPr>
      <w:r>
        <w:rPr>
          <w:color w:val="000000"/>
          <w:szCs w:val="21"/>
        </w:rPr>
        <w:t>（四）</w:t>
      </w:r>
      <w:r>
        <w:rPr>
          <w:rFonts w:hint="eastAsia"/>
          <w:color w:val="000000"/>
          <w:szCs w:val="21"/>
        </w:rPr>
        <w:t>基金的</w:t>
      </w:r>
      <w:r>
        <w:rPr>
          <w:color w:val="000000"/>
          <w:szCs w:val="21"/>
        </w:rPr>
        <w:t>标的指数</w:t>
      </w:r>
    </w:p>
    <w:p w14:paraId="55C00E94" w14:textId="2C272642"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本基金的标的指数为：</w:t>
      </w:r>
      <w:proofErr w:type="gramStart"/>
      <w:r w:rsidR="0034409C">
        <w:rPr>
          <w:rFonts w:hint="eastAsia"/>
          <w:color w:val="000000"/>
          <w:szCs w:val="21"/>
        </w:rPr>
        <w:t>国证</w:t>
      </w:r>
      <w:proofErr w:type="gramEnd"/>
      <w:r w:rsidR="0034409C">
        <w:rPr>
          <w:rFonts w:hint="eastAsia"/>
          <w:color w:val="000000"/>
          <w:szCs w:val="21"/>
        </w:rPr>
        <w:t>2</w:t>
      </w:r>
      <w:r w:rsidR="0034409C">
        <w:rPr>
          <w:color w:val="000000"/>
          <w:szCs w:val="21"/>
        </w:rPr>
        <w:t>000</w:t>
      </w:r>
      <w:r>
        <w:rPr>
          <w:color w:val="000000"/>
          <w:szCs w:val="21"/>
        </w:rPr>
        <w:t>指数</w:t>
      </w:r>
      <w:r>
        <w:rPr>
          <w:rFonts w:hint="eastAsia"/>
          <w:color w:val="000000"/>
          <w:szCs w:val="21"/>
        </w:rPr>
        <w:t>及其未来可能发生的变更。</w:t>
      </w:r>
    </w:p>
    <w:p w14:paraId="43FC1F8E" w14:textId="77777777" w:rsidR="00175DB4" w:rsidRDefault="000519D1">
      <w:pPr>
        <w:tabs>
          <w:tab w:val="left" w:pos="540"/>
        </w:tabs>
        <w:snapToGrid w:val="0"/>
        <w:spacing w:line="360" w:lineRule="auto"/>
        <w:ind w:firstLineChars="200" w:firstLine="420"/>
        <w:rPr>
          <w:color w:val="000000"/>
          <w:szCs w:val="21"/>
        </w:rPr>
      </w:pPr>
      <w:r>
        <w:rPr>
          <w:color w:val="000000"/>
          <w:szCs w:val="21"/>
        </w:rPr>
        <w:t>（五）基金存续期间</w:t>
      </w:r>
    </w:p>
    <w:p w14:paraId="3A53519E" w14:textId="77777777" w:rsidR="00175DB4" w:rsidRDefault="000519D1">
      <w:pPr>
        <w:tabs>
          <w:tab w:val="left" w:pos="540"/>
        </w:tabs>
        <w:snapToGrid w:val="0"/>
        <w:spacing w:line="360" w:lineRule="auto"/>
        <w:ind w:firstLineChars="200" w:firstLine="420"/>
        <w:rPr>
          <w:color w:val="000000"/>
          <w:szCs w:val="21"/>
        </w:rPr>
      </w:pPr>
      <w:r>
        <w:rPr>
          <w:color w:val="000000"/>
          <w:szCs w:val="21"/>
        </w:rPr>
        <w:t>不定期</w:t>
      </w:r>
    </w:p>
    <w:p w14:paraId="296EFBBB" w14:textId="77777777" w:rsidR="00175DB4" w:rsidRDefault="000519D1">
      <w:pPr>
        <w:tabs>
          <w:tab w:val="left" w:pos="540"/>
        </w:tabs>
        <w:snapToGrid w:val="0"/>
        <w:spacing w:line="360" w:lineRule="auto"/>
        <w:ind w:firstLineChars="200" w:firstLine="420"/>
        <w:rPr>
          <w:color w:val="000000"/>
          <w:szCs w:val="21"/>
        </w:rPr>
      </w:pPr>
      <w:r>
        <w:rPr>
          <w:color w:val="000000"/>
          <w:szCs w:val="21"/>
        </w:rPr>
        <w:t>（六）基金份额发售面值</w:t>
      </w:r>
      <w:r>
        <w:rPr>
          <w:rFonts w:hint="eastAsia"/>
          <w:color w:val="000000"/>
          <w:szCs w:val="21"/>
        </w:rPr>
        <w:t>、</w:t>
      </w:r>
      <w:r>
        <w:rPr>
          <w:color w:val="000000"/>
          <w:szCs w:val="21"/>
        </w:rPr>
        <w:t>认购价格</w:t>
      </w:r>
    </w:p>
    <w:p w14:paraId="21BC0CE7" w14:textId="77777777" w:rsidR="00175DB4" w:rsidRDefault="000519D1">
      <w:pPr>
        <w:tabs>
          <w:tab w:val="left" w:pos="540"/>
        </w:tabs>
        <w:snapToGrid w:val="0"/>
        <w:spacing w:line="360" w:lineRule="auto"/>
        <w:ind w:firstLineChars="200" w:firstLine="420"/>
        <w:rPr>
          <w:color w:val="000000"/>
          <w:szCs w:val="21"/>
        </w:rPr>
      </w:pPr>
      <w:r>
        <w:rPr>
          <w:color w:val="000000"/>
          <w:szCs w:val="21"/>
        </w:rPr>
        <w:t>本</w:t>
      </w:r>
      <w:proofErr w:type="gramStart"/>
      <w:r>
        <w:rPr>
          <w:color w:val="000000"/>
          <w:szCs w:val="21"/>
        </w:rPr>
        <w:t>基金基金</w:t>
      </w:r>
      <w:proofErr w:type="gramEnd"/>
      <w:r>
        <w:rPr>
          <w:color w:val="000000"/>
          <w:szCs w:val="21"/>
        </w:rPr>
        <w:t>份额的发售面值</w:t>
      </w:r>
      <w:r>
        <w:rPr>
          <w:rFonts w:hint="eastAsia"/>
          <w:color w:val="000000"/>
          <w:szCs w:val="21"/>
        </w:rPr>
        <w:t>、</w:t>
      </w:r>
      <w:r>
        <w:rPr>
          <w:color w:val="000000"/>
          <w:szCs w:val="21"/>
        </w:rPr>
        <w:t>认购价格为人民币</w:t>
      </w:r>
      <w:r>
        <w:rPr>
          <w:color w:val="000000"/>
          <w:szCs w:val="21"/>
        </w:rPr>
        <w:t>1.00</w:t>
      </w:r>
      <w:r>
        <w:rPr>
          <w:color w:val="000000"/>
          <w:szCs w:val="21"/>
        </w:rPr>
        <w:t>元</w:t>
      </w:r>
      <w:r>
        <w:rPr>
          <w:rFonts w:hint="eastAsia"/>
          <w:color w:val="000000"/>
          <w:szCs w:val="21"/>
        </w:rPr>
        <w:t>。</w:t>
      </w:r>
    </w:p>
    <w:p w14:paraId="4647B6D6" w14:textId="77777777" w:rsidR="00175DB4" w:rsidRDefault="000519D1">
      <w:pPr>
        <w:tabs>
          <w:tab w:val="left" w:pos="540"/>
        </w:tabs>
        <w:snapToGrid w:val="0"/>
        <w:spacing w:line="360" w:lineRule="auto"/>
        <w:ind w:firstLineChars="200" w:firstLine="420"/>
        <w:rPr>
          <w:color w:val="000000"/>
          <w:szCs w:val="21"/>
        </w:rPr>
      </w:pPr>
      <w:r>
        <w:rPr>
          <w:color w:val="000000"/>
          <w:szCs w:val="21"/>
        </w:rPr>
        <w:t>（七）基金最低募集份额总额和最低募集金额</w:t>
      </w:r>
    </w:p>
    <w:p w14:paraId="483DFD11" w14:textId="028E7AFE" w:rsidR="00175DB4" w:rsidRDefault="000519D1">
      <w:pPr>
        <w:tabs>
          <w:tab w:val="left" w:pos="540"/>
        </w:tabs>
        <w:snapToGrid w:val="0"/>
        <w:spacing w:line="360" w:lineRule="auto"/>
        <w:ind w:firstLineChars="200" w:firstLine="420"/>
        <w:rPr>
          <w:color w:val="000000"/>
          <w:szCs w:val="21"/>
        </w:rPr>
      </w:pPr>
      <w:r>
        <w:rPr>
          <w:color w:val="000000"/>
          <w:szCs w:val="21"/>
        </w:rPr>
        <w:t>本基金的最低募集份额总额为</w:t>
      </w:r>
      <w:r>
        <w:rPr>
          <w:color w:val="000000"/>
          <w:szCs w:val="21"/>
        </w:rPr>
        <w:t>2</w:t>
      </w:r>
      <w:r>
        <w:rPr>
          <w:color w:val="000000"/>
          <w:szCs w:val="21"/>
        </w:rPr>
        <w:t>亿份，基金募集金额（含网下股票认购所募集的股票市值）不少于</w:t>
      </w:r>
      <w:r>
        <w:rPr>
          <w:color w:val="000000"/>
          <w:szCs w:val="21"/>
        </w:rPr>
        <w:t>2</w:t>
      </w:r>
      <w:r>
        <w:rPr>
          <w:color w:val="000000"/>
          <w:szCs w:val="21"/>
        </w:rPr>
        <w:t>亿元人民币。</w:t>
      </w:r>
    </w:p>
    <w:p w14:paraId="7656F14A" w14:textId="7570F256" w:rsidR="000F5666" w:rsidRDefault="000F5666">
      <w:pPr>
        <w:tabs>
          <w:tab w:val="left" w:pos="540"/>
        </w:tabs>
        <w:snapToGrid w:val="0"/>
        <w:spacing w:line="360" w:lineRule="auto"/>
        <w:ind w:firstLineChars="200" w:firstLine="420"/>
        <w:rPr>
          <w:color w:val="000000"/>
          <w:szCs w:val="21"/>
        </w:rPr>
      </w:pPr>
      <w:r w:rsidRPr="000F5666">
        <w:rPr>
          <w:rFonts w:hint="eastAsia"/>
          <w:color w:val="000000"/>
          <w:szCs w:val="21"/>
        </w:rPr>
        <w:t>基金管理人可根据基金发售情况对本基金的发售进行规模控制，具体规定见本基金的基金份额发售公告或基金管理人发布的其他公告。《基金合同》生效后不受前述募集规模的限制。</w:t>
      </w:r>
    </w:p>
    <w:p w14:paraId="0D226067" w14:textId="77777777" w:rsidR="00175DB4" w:rsidRDefault="000519D1">
      <w:pPr>
        <w:tabs>
          <w:tab w:val="left" w:pos="540"/>
        </w:tabs>
        <w:snapToGrid w:val="0"/>
        <w:spacing w:line="360" w:lineRule="auto"/>
        <w:ind w:firstLineChars="200" w:firstLine="420"/>
        <w:rPr>
          <w:color w:val="000000"/>
          <w:szCs w:val="21"/>
        </w:rPr>
      </w:pPr>
      <w:r>
        <w:rPr>
          <w:color w:val="000000"/>
          <w:szCs w:val="21"/>
        </w:rPr>
        <w:t>（八）募集方式</w:t>
      </w:r>
    </w:p>
    <w:p w14:paraId="7AD9001E" w14:textId="1B0090AD" w:rsidR="00175DB4" w:rsidRDefault="000519D1">
      <w:pPr>
        <w:tabs>
          <w:tab w:val="left" w:pos="540"/>
        </w:tabs>
        <w:snapToGrid w:val="0"/>
        <w:spacing w:line="360" w:lineRule="auto"/>
        <w:ind w:firstLineChars="200" w:firstLine="420"/>
        <w:rPr>
          <w:color w:val="000000"/>
          <w:szCs w:val="21"/>
        </w:rPr>
      </w:pPr>
      <w:bookmarkStart w:id="25" w:name="_Hlk62592562"/>
      <w:r>
        <w:rPr>
          <w:color w:val="000000"/>
          <w:szCs w:val="21"/>
        </w:rPr>
        <w:t>投资人可选择网上现金认购、网下现金认购和网下股票认购三种方式</w:t>
      </w:r>
      <w:r w:rsidR="000F5666">
        <w:rPr>
          <w:color w:val="000000"/>
          <w:szCs w:val="21"/>
        </w:rPr>
        <w:t>认购本基金</w:t>
      </w:r>
      <w:r>
        <w:rPr>
          <w:color w:val="000000"/>
          <w:szCs w:val="21"/>
        </w:rPr>
        <w:t>。</w:t>
      </w:r>
    </w:p>
    <w:p w14:paraId="71E681A5" w14:textId="26C319E5" w:rsidR="004B0127" w:rsidRPr="004B0127" w:rsidRDefault="004B0127">
      <w:pPr>
        <w:tabs>
          <w:tab w:val="left" w:pos="540"/>
        </w:tabs>
        <w:snapToGrid w:val="0"/>
        <w:spacing w:line="360" w:lineRule="auto"/>
        <w:ind w:firstLineChars="200" w:firstLine="420"/>
        <w:rPr>
          <w:color w:val="000000"/>
          <w:szCs w:val="21"/>
        </w:rPr>
      </w:pPr>
      <w:r w:rsidRPr="001D25A8">
        <w:rPr>
          <w:rFonts w:hint="eastAsia"/>
          <w:color w:val="000000"/>
          <w:szCs w:val="21"/>
        </w:rPr>
        <w:t>基金管理人可以根据具体情况调整本基金的</w:t>
      </w:r>
      <w:r w:rsidRPr="000F01B4">
        <w:rPr>
          <w:rFonts w:hint="eastAsia"/>
          <w:color w:val="000000"/>
          <w:szCs w:val="21"/>
        </w:rPr>
        <w:t>募集</w:t>
      </w:r>
      <w:r w:rsidRPr="001D25A8">
        <w:rPr>
          <w:rFonts w:hint="eastAsia"/>
          <w:color w:val="000000"/>
          <w:szCs w:val="21"/>
        </w:rPr>
        <w:t>方式，并在基金份额发售公告或相关公告中列明。</w:t>
      </w:r>
      <w:r w:rsidR="000F5666" w:rsidRPr="000F5666">
        <w:rPr>
          <w:rFonts w:hint="eastAsia"/>
          <w:color w:val="000000"/>
          <w:szCs w:val="21"/>
        </w:rPr>
        <w:t>基金管理人可以根据情况调整基金销售机构。</w:t>
      </w:r>
    </w:p>
    <w:p w14:paraId="330895CC" w14:textId="77777777" w:rsidR="00175DB4" w:rsidRDefault="000519D1">
      <w:pPr>
        <w:tabs>
          <w:tab w:val="left" w:pos="540"/>
        </w:tabs>
        <w:snapToGrid w:val="0"/>
        <w:spacing w:line="360" w:lineRule="auto"/>
        <w:ind w:firstLineChars="200" w:firstLine="420"/>
        <w:rPr>
          <w:color w:val="000000"/>
          <w:szCs w:val="21"/>
        </w:rPr>
      </w:pPr>
      <w:r>
        <w:rPr>
          <w:color w:val="000000"/>
          <w:szCs w:val="21"/>
        </w:rPr>
        <w:t>网上现金认购是指投资人通过基金管理人指定的发售代理机构利用深圳证券交易所网上系统以现金进行认购。</w:t>
      </w:r>
    </w:p>
    <w:p w14:paraId="6B677A84" w14:textId="77777777" w:rsidR="00175DB4" w:rsidRDefault="000519D1">
      <w:pPr>
        <w:tabs>
          <w:tab w:val="left" w:pos="540"/>
        </w:tabs>
        <w:snapToGrid w:val="0"/>
        <w:spacing w:line="360" w:lineRule="auto"/>
        <w:ind w:firstLineChars="200" w:firstLine="420"/>
        <w:rPr>
          <w:color w:val="000000"/>
          <w:szCs w:val="21"/>
        </w:rPr>
      </w:pPr>
      <w:r>
        <w:rPr>
          <w:color w:val="000000"/>
          <w:szCs w:val="21"/>
        </w:rPr>
        <w:t>网下现金认购是指投资人通过基金管理人</w:t>
      </w:r>
      <w:r>
        <w:rPr>
          <w:rFonts w:hint="eastAsia"/>
          <w:color w:val="000000"/>
          <w:szCs w:val="21"/>
        </w:rPr>
        <w:t>及其指定的发售代理机构</w:t>
      </w:r>
      <w:r>
        <w:rPr>
          <w:color w:val="000000"/>
          <w:szCs w:val="21"/>
        </w:rPr>
        <w:t>以现金进行认购。</w:t>
      </w:r>
    </w:p>
    <w:p w14:paraId="7BD3F7C3" w14:textId="77777777" w:rsidR="00175DB4" w:rsidRDefault="000519D1">
      <w:pPr>
        <w:tabs>
          <w:tab w:val="left" w:pos="540"/>
        </w:tabs>
        <w:snapToGrid w:val="0"/>
        <w:spacing w:line="360" w:lineRule="auto"/>
        <w:ind w:firstLineChars="200" w:firstLine="420"/>
        <w:rPr>
          <w:color w:val="000000"/>
          <w:szCs w:val="21"/>
        </w:rPr>
      </w:pPr>
      <w:r>
        <w:rPr>
          <w:color w:val="000000"/>
          <w:szCs w:val="21"/>
        </w:rPr>
        <w:t>网下股票认购是指投资人通过基金管理人和</w:t>
      </w:r>
      <w:r>
        <w:rPr>
          <w:color w:val="000000"/>
          <w:szCs w:val="21"/>
        </w:rPr>
        <w:t>/</w:t>
      </w:r>
      <w:r>
        <w:rPr>
          <w:color w:val="000000"/>
          <w:szCs w:val="21"/>
        </w:rPr>
        <w:t>或其指定的发售代理机构以股票进行认购。</w:t>
      </w:r>
    </w:p>
    <w:p w14:paraId="0DD4DD91" w14:textId="77777777" w:rsidR="00175DB4" w:rsidRDefault="000519D1">
      <w:pPr>
        <w:tabs>
          <w:tab w:val="left" w:pos="540"/>
        </w:tabs>
        <w:snapToGrid w:val="0"/>
        <w:spacing w:line="360" w:lineRule="auto"/>
        <w:ind w:firstLineChars="200" w:firstLine="420"/>
        <w:rPr>
          <w:color w:val="000000"/>
          <w:szCs w:val="21"/>
        </w:rPr>
      </w:pPr>
      <w:r>
        <w:rPr>
          <w:color w:val="000000"/>
          <w:szCs w:val="21"/>
        </w:rPr>
        <w:t>销售机构对认购申请的受理并不代表该申请一定成功，而仅代表销售机构确实接收到认购申请。认购的确认以登记机构的确认结果为准。</w:t>
      </w:r>
      <w:r>
        <w:rPr>
          <w:rFonts w:hint="eastAsia"/>
          <w:color w:val="000000"/>
          <w:szCs w:val="21"/>
        </w:rPr>
        <w:t>对于认购申请及认购份额的确认情况，投资者应及时查询并妥善行使合法权利。</w:t>
      </w:r>
      <w:bookmarkEnd w:id="25"/>
    </w:p>
    <w:p w14:paraId="3A44C28B"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（九）募集场所</w:t>
      </w:r>
    </w:p>
    <w:p w14:paraId="7AE8112E" w14:textId="77777777" w:rsidR="00175DB4" w:rsidRDefault="000519D1">
      <w:pPr>
        <w:tabs>
          <w:tab w:val="left" w:pos="540"/>
        </w:tabs>
        <w:snapToGrid w:val="0"/>
        <w:spacing w:line="360" w:lineRule="auto"/>
        <w:ind w:firstLineChars="200" w:firstLine="420"/>
        <w:rPr>
          <w:color w:val="000000"/>
          <w:szCs w:val="21"/>
        </w:rPr>
      </w:pPr>
      <w:r>
        <w:rPr>
          <w:color w:val="000000"/>
          <w:szCs w:val="21"/>
        </w:rPr>
        <w:t>投资人应当在基金管理人</w:t>
      </w:r>
      <w:r>
        <w:rPr>
          <w:rFonts w:hint="eastAsia"/>
          <w:color w:val="000000"/>
          <w:szCs w:val="21"/>
        </w:rPr>
        <w:t>和</w:t>
      </w:r>
      <w:r>
        <w:rPr>
          <w:rFonts w:hint="eastAsia"/>
          <w:color w:val="000000"/>
          <w:szCs w:val="21"/>
        </w:rPr>
        <w:t>/</w:t>
      </w:r>
      <w:r>
        <w:rPr>
          <w:rFonts w:hint="eastAsia"/>
          <w:color w:val="000000"/>
          <w:szCs w:val="21"/>
        </w:rPr>
        <w:t>或</w:t>
      </w:r>
      <w:r>
        <w:rPr>
          <w:color w:val="000000"/>
          <w:szCs w:val="21"/>
        </w:rPr>
        <w:t>其指定发售代理机构办理基金发售业务的营业场所，或者按基金管理人或发售代理机构提供的方式办理基金份额的认购。</w:t>
      </w:r>
    </w:p>
    <w:p w14:paraId="670FE641" w14:textId="17C81336" w:rsidR="00175DB4" w:rsidRDefault="000519D1">
      <w:pPr>
        <w:tabs>
          <w:tab w:val="left" w:pos="540"/>
        </w:tabs>
        <w:snapToGrid w:val="0"/>
        <w:spacing w:line="360" w:lineRule="auto"/>
        <w:ind w:firstLineChars="200" w:firstLine="420"/>
        <w:rPr>
          <w:color w:val="000000"/>
          <w:szCs w:val="21"/>
        </w:rPr>
      </w:pPr>
      <w:r>
        <w:rPr>
          <w:color w:val="000000"/>
          <w:szCs w:val="21"/>
        </w:rPr>
        <w:t>基金管理人、发售代理机构可接受的认购方式、办理基金发售业务的具体情况和联系方式，请参见</w:t>
      </w:r>
      <w:r>
        <w:rPr>
          <w:rFonts w:hint="eastAsia"/>
          <w:color w:val="000000"/>
          <w:szCs w:val="21"/>
        </w:rPr>
        <w:t>基金管理人披露的基金销售机构名录</w:t>
      </w:r>
      <w:r>
        <w:rPr>
          <w:color w:val="000000"/>
          <w:szCs w:val="21"/>
        </w:rPr>
        <w:t>。</w:t>
      </w:r>
    </w:p>
    <w:p w14:paraId="13FA4BC8" w14:textId="77777777" w:rsidR="00175DB4" w:rsidRDefault="000519D1">
      <w:pPr>
        <w:tabs>
          <w:tab w:val="left" w:pos="540"/>
        </w:tabs>
        <w:snapToGrid w:val="0"/>
        <w:spacing w:line="360" w:lineRule="auto"/>
        <w:ind w:firstLineChars="200" w:firstLine="420"/>
        <w:rPr>
          <w:color w:val="000000"/>
          <w:szCs w:val="21"/>
        </w:rPr>
      </w:pPr>
      <w:r>
        <w:rPr>
          <w:color w:val="000000"/>
          <w:szCs w:val="21"/>
        </w:rPr>
        <w:t>（十）募集期限</w:t>
      </w:r>
    </w:p>
    <w:p w14:paraId="043A02BD" w14:textId="77777777" w:rsidR="00175DB4" w:rsidRDefault="000519D1">
      <w:pPr>
        <w:tabs>
          <w:tab w:val="left" w:pos="540"/>
        </w:tabs>
        <w:snapToGrid w:val="0"/>
        <w:spacing w:line="360" w:lineRule="auto"/>
        <w:ind w:firstLineChars="200" w:firstLine="420"/>
        <w:rPr>
          <w:color w:val="000000"/>
          <w:szCs w:val="21"/>
        </w:rPr>
      </w:pPr>
      <w:r>
        <w:rPr>
          <w:color w:val="000000"/>
          <w:szCs w:val="21"/>
        </w:rPr>
        <w:t>自基金份额发售之日起，最长不得超过</w:t>
      </w:r>
      <w:r>
        <w:rPr>
          <w:color w:val="000000"/>
          <w:szCs w:val="21"/>
        </w:rPr>
        <w:t>3</w:t>
      </w:r>
      <w:r>
        <w:rPr>
          <w:color w:val="000000"/>
          <w:szCs w:val="21"/>
        </w:rPr>
        <w:t>个月，具体发售时间</w:t>
      </w:r>
      <w:proofErr w:type="gramStart"/>
      <w:r>
        <w:rPr>
          <w:color w:val="000000"/>
          <w:szCs w:val="21"/>
        </w:rPr>
        <w:t>见基金</w:t>
      </w:r>
      <w:proofErr w:type="gramEnd"/>
      <w:r>
        <w:rPr>
          <w:color w:val="000000"/>
          <w:szCs w:val="21"/>
        </w:rPr>
        <w:t>份额发售公告。</w:t>
      </w:r>
    </w:p>
    <w:p w14:paraId="4087C049"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基金管理人可根据基金销售情况在募集期限内适当延长或缩短基金发售时间，并及时公告。</w:t>
      </w:r>
    </w:p>
    <w:p w14:paraId="32E89021" w14:textId="77777777" w:rsidR="00175DB4" w:rsidRDefault="000519D1">
      <w:pPr>
        <w:tabs>
          <w:tab w:val="left" w:pos="540"/>
        </w:tabs>
        <w:snapToGrid w:val="0"/>
        <w:spacing w:line="360" w:lineRule="auto"/>
        <w:ind w:firstLineChars="200" w:firstLine="420"/>
        <w:rPr>
          <w:color w:val="000000"/>
          <w:szCs w:val="21"/>
        </w:rPr>
      </w:pPr>
      <w:r>
        <w:rPr>
          <w:color w:val="000000"/>
          <w:szCs w:val="21"/>
        </w:rPr>
        <w:t>（十一）募集对象</w:t>
      </w:r>
    </w:p>
    <w:p w14:paraId="1EEE132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符合法律法规规定的可投资于证券投资基金的个人投资者、机构投资者、合格境外投资者以及法律法规或中国证监会允许购买证券投资基金的其他投资人。</w:t>
      </w:r>
    </w:p>
    <w:p w14:paraId="2E60F4B1" w14:textId="77777777" w:rsidR="00175DB4" w:rsidRDefault="000519D1">
      <w:pPr>
        <w:tabs>
          <w:tab w:val="left" w:pos="540"/>
        </w:tabs>
        <w:snapToGrid w:val="0"/>
        <w:spacing w:line="360" w:lineRule="auto"/>
        <w:ind w:firstLineChars="200" w:firstLine="420"/>
        <w:rPr>
          <w:color w:val="000000"/>
          <w:szCs w:val="21"/>
        </w:rPr>
      </w:pPr>
      <w:r>
        <w:rPr>
          <w:color w:val="000000"/>
          <w:szCs w:val="21"/>
        </w:rPr>
        <w:t>（十二）认购开户</w:t>
      </w:r>
    </w:p>
    <w:p w14:paraId="5897EF02"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、投资人认购本基金时需具有深圳证券交易所</w:t>
      </w:r>
      <w:r>
        <w:rPr>
          <w:color w:val="000000"/>
          <w:szCs w:val="21"/>
        </w:rPr>
        <w:t>A</w:t>
      </w:r>
      <w:r>
        <w:rPr>
          <w:color w:val="000000"/>
          <w:szCs w:val="21"/>
        </w:rPr>
        <w:t>股账户（以下简称</w:t>
      </w:r>
      <w:r>
        <w:rPr>
          <w:color w:val="000000"/>
          <w:szCs w:val="21"/>
        </w:rPr>
        <w:t>“</w:t>
      </w:r>
      <w:r>
        <w:rPr>
          <w:color w:val="000000"/>
          <w:szCs w:val="21"/>
        </w:rPr>
        <w:t>深圳</w:t>
      </w:r>
      <w:r>
        <w:rPr>
          <w:color w:val="000000"/>
          <w:szCs w:val="21"/>
        </w:rPr>
        <w:t>A</w:t>
      </w:r>
      <w:r>
        <w:rPr>
          <w:color w:val="000000"/>
          <w:szCs w:val="21"/>
        </w:rPr>
        <w:t>股账户</w:t>
      </w:r>
      <w:r>
        <w:rPr>
          <w:color w:val="000000"/>
          <w:szCs w:val="21"/>
        </w:rPr>
        <w:t>”</w:t>
      </w:r>
      <w:r>
        <w:rPr>
          <w:color w:val="000000"/>
          <w:szCs w:val="21"/>
        </w:rPr>
        <w:t>）或深圳证券交易所证券投资基金账户（以下简称</w:t>
      </w:r>
      <w:r>
        <w:rPr>
          <w:color w:val="000000"/>
          <w:szCs w:val="21"/>
        </w:rPr>
        <w:t>“</w:t>
      </w:r>
      <w:r>
        <w:rPr>
          <w:color w:val="000000"/>
          <w:szCs w:val="21"/>
        </w:rPr>
        <w:t>深圳证券投资基金账户</w:t>
      </w:r>
      <w:r>
        <w:rPr>
          <w:color w:val="000000"/>
          <w:szCs w:val="21"/>
        </w:rPr>
        <w:t>”</w:t>
      </w:r>
      <w:r>
        <w:rPr>
          <w:color w:val="000000"/>
          <w:szCs w:val="21"/>
        </w:rPr>
        <w:t>）。</w:t>
      </w:r>
    </w:p>
    <w:p w14:paraId="57B90F38"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已有深圳</w:t>
      </w:r>
      <w:r>
        <w:rPr>
          <w:color w:val="000000"/>
          <w:szCs w:val="21"/>
        </w:rPr>
        <w:t>A</w:t>
      </w:r>
      <w:r>
        <w:rPr>
          <w:color w:val="000000"/>
          <w:szCs w:val="21"/>
        </w:rPr>
        <w:t>股账户或深圳证券投资基金账户的投资人不必再办理开户手续。</w:t>
      </w:r>
    </w:p>
    <w:p w14:paraId="7189BBF8"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尚无深圳</w:t>
      </w:r>
      <w:r>
        <w:rPr>
          <w:color w:val="000000"/>
          <w:szCs w:val="21"/>
        </w:rPr>
        <w:t>A</w:t>
      </w:r>
      <w:r>
        <w:rPr>
          <w:color w:val="000000"/>
          <w:szCs w:val="21"/>
        </w:rPr>
        <w:t>股账户或深圳证券投资基金账户的投资人，需在</w:t>
      </w:r>
      <w:proofErr w:type="gramStart"/>
      <w:r>
        <w:rPr>
          <w:color w:val="000000"/>
          <w:szCs w:val="21"/>
        </w:rPr>
        <w:t>认购前持本人</w:t>
      </w:r>
      <w:proofErr w:type="gramEnd"/>
      <w:r>
        <w:rPr>
          <w:color w:val="000000"/>
          <w:szCs w:val="21"/>
        </w:rPr>
        <w:t>身份证到中国证券登记结算有限责任公司深圳分公司的开户代理机构办理深圳</w:t>
      </w:r>
      <w:r>
        <w:rPr>
          <w:color w:val="000000"/>
          <w:szCs w:val="21"/>
        </w:rPr>
        <w:t>A</w:t>
      </w:r>
      <w:r>
        <w:rPr>
          <w:color w:val="000000"/>
          <w:szCs w:val="21"/>
        </w:rPr>
        <w:t>股账户或深圳证券投资基金账户的开户手续。有关开设深圳</w:t>
      </w:r>
      <w:r>
        <w:rPr>
          <w:color w:val="000000"/>
          <w:szCs w:val="21"/>
        </w:rPr>
        <w:t>A</w:t>
      </w:r>
      <w:r>
        <w:rPr>
          <w:color w:val="000000"/>
          <w:szCs w:val="21"/>
        </w:rPr>
        <w:t>股账户和深圳证券投资基金账户的具体程序和办法，请到各开户网点详细咨询有关规定。</w:t>
      </w:r>
    </w:p>
    <w:p w14:paraId="4BFD171F"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、账户使用注意事项</w:t>
      </w:r>
      <w:r>
        <w:rPr>
          <w:color w:val="000000"/>
          <w:szCs w:val="21"/>
        </w:rPr>
        <w:tab/>
      </w:r>
    </w:p>
    <w:p w14:paraId="476CEE2E"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如投资人需要参与网下现金认购或网上现金认购，应使用深圳</w:t>
      </w:r>
      <w:r>
        <w:rPr>
          <w:color w:val="000000"/>
          <w:szCs w:val="21"/>
        </w:rPr>
        <w:t>A</w:t>
      </w:r>
      <w:r>
        <w:rPr>
          <w:color w:val="000000"/>
          <w:szCs w:val="21"/>
        </w:rPr>
        <w:t>股账户或深圳证券投资基金账户；深圳证券投资基金账户只能进行本基金的现金认购和二级市场交易。</w:t>
      </w:r>
    </w:p>
    <w:p w14:paraId="38FA4675"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如投资人以深圳证券交易所上市交易的本基金</w:t>
      </w:r>
      <w:r>
        <w:rPr>
          <w:rFonts w:hint="eastAsia"/>
          <w:color w:val="000000"/>
          <w:szCs w:val="21"/>
        </w:rPr>
        <w:t>公告的允许网下股票认购的股票</w:t>
      </w:r>
      <w:r>
        <w:rPr>
          <w:color w:val="000000"/>
          <w:szCs w:val="21"/>
        </w:rPr>
        <w:t>进行网下股票认购的，应开立并使用深圳</w:t>
      </w:r>
      <w:r>
        <w:rPr>
          <w:color w:val="000000"/>
          <w:szCs w:val="21"/>
        </w:rPr>
        <w:t>A</w:t>
      </w:r>
      <w:r>
        <w:rPr>
          <w:color w:val="000000"/>
          <w:szCs w:val="21"/>
        </w:rPr>
        <w:t>股账户。</w:t>
      </w:r>
    </w:p>
    <w:p w14:paraId="746DD7FC"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如投资人以上海证券交易所上市交易的本基金</w:t>
      </w:r>
      <w:r>
        <w:rPr>
          <w:rFonts w:hint="eastAsia"/>
          <w:color w:val="000000"/>
          <w:szCs w:val="21"/>
        </w:rPr>
        <w:t>公告的允许网下股票认购的股票</w:t>
      </w:r>
      <w:r>
        <w:rPr>
          <w:color w:val="000000"/>
          <w:szCs w:val="21"/>
        </w:rPr>
        <w:t>进行网下股票认购的，除了需持有深圳</w:t>
      </w:r>
      <w:r>
        <w:rPr>
          <w:color w:val="000000"/>
          <w:szCs w:val="21"/>
        </w:rPr>
        <w:t>A</w:t>
      </w:r>
      <w:r>
        <w:rPr>
          <w:color w:val="000000"/>
          <w:szCs w:val="21"/>
        </w:rPr>
        <w:t>股账户或深圳证券投资基金账户外，还应持有上海证券交易所</w:t>
      </w:r>
      <w:r>
        <w:rPr>
          <w:color w:val="000000"/>
          <w:szCs w:val="21"/>
        </w:rPr>
        <w:t>A</w:t>
      </w:r>
      <w:r>
        <w:rPr>
          <w:color w:val="000000"/>
          <w:szCs w:val="21"/>
        </w:rPr>
        <w:t>股账户（以下简称</w:t>
      </w:r>
      <w:r>
        <w:rPr>
          <w:color w:val="000000"/>
          <w:szCs w:val="21"/>
        </w:rPr>
        <w:t>“</w:t>
      </w:r>
      <w:r>
        <w:rPr>
          <w:color w:val="000000"/>
          <w:szCs w:val="21"/>
        </w:rPr>
        <w:t>上海</w:t>
      </w:r>
      <w:r>
        <w:rPr>
          <w:color w:val="000000"/>
          <w:szCs w:val="21"/>
        </w:rPr>
        <w:t>A</w:t>
      </w:r>
      <w:r>
        <w:rPr>
          <w:color w:val="000000"/>
          <w:szCs w:val="21"/>
        </w:rPr>
        <w:t>股账户</w:t>
      </w:r>
      <w:r>
        <w:rPr>
          <w:color w:val="000000"/>
          <w:szCs w:val="21"/>
        </w:rPr>
        <w:t>”</w:t>
      </w:r>
      <w:r>
        <w:rPr>
          <w:color w:val="000000"/>
          <w:szCs w:val="21"/>
        </w:rPr>
        <w:t>），且该两个账户的证件号码及名称属于同一投资人所有，并注意投资人用以认购基金份额的深圳</w:t>
      </w:r>
      <w:r>
        <w:rPr>
          <w:color w:val="000000"/>
          <w:szCs w:val="21"/>
        </w:rPr>
        <w:t>A</w:t>
      </w:r>
      <w:r>
        <w:rPr>
          <w:color w:val="000000"/>
          <w:szCs w:val="21"/>
        </w:rPr>
        <w:t>股账户或深圳证券投资基金账户的托管证券公司与上海</w:t>
      </w:r>
      <w:r>
        <w:rPr>
          <w:color w:val="000000"/>
          <w:szCs w:val="21"/>
        </w:rPr>
        <w:t>A</w:t>
      </w:r>
      <w:r>
        <w:rPr>
          <w:color w:val="000000"/>
          <w:szCs w:val="21"/>
        </w:rPr>
        <w:t>股账户指定交易的证券公司应为同一发售代理机构。</w:t>
      </w:r>
    </w:p>
    <w:p w14:paraId="3503C473"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如投资人需要通过申购赎回代理券商参与本基金的申购、赎回，应持有并使用深圳</w:t>
      </w:r>
      <w:r>
        <w:rPr>
          <w:color w:val="000000"/>
          <w:szCs w:val="21"/>
        </w:rPr>
        <w:t>A</w:t>
      </w:r>
      <w:r>
        <w:rPr>
          <w:color w:val="000000"/>
          <w:szCs w:val="21"/>
        </w:rPr>
        <w:t>股账户。</w:t>
      </w:r>
    </w:p>
    <w:p w14:paraId="6C944AD0" w14:textId="2AC680F2"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已购买过由景顺长城基金管理有限公司担任登记机构的基金的投资人，其所持有的景顺长城基金管理有限公司开放式基金账户不能用于认购</w:t>
      </w:r>
      <w:r>
        <w:rPr>
          <w:rFonts w:hint="eastAsia"/>
          <w:color w:val="000000"/>
          <w:szCs w:val="21"/>
        </w:rPr>
        <w:t>和</w:t>
      </w:r>
      <w:r>
        <w:rPr>
          <w:color w:val="000000"/>
          <w:szCs w:val="21"/>
        </w:rPr>
        <w:t>申购本基金。</w:t>
      </w:r>
    </w:p>
    <w:p w14:paraId="10070201"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（十三）认购费用</w:t>
      </w:r>
    </w:p>
    <w:p w14:paraId="77E49E53"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本基金的认购采用份额认购的原则。</w:t>
      </w:r>
    </w:p>
    <w:p w14:paraId="6BB931C8" w14:textId="77777777" w:rsidR="000F5666" w:rsidRPr="000F5666" w:rsidRDefault="000F5666" w:rsidP="000F5666">
      <w:pPr>
        <w:tabs>
          <w:tab w:val="left" w:pos="540"/>
        </w:tabs>
        <w:snapToGrid w:val="0"/>
        <w:spacing w:line="360" w:lineRule="auto"/>
        <w:ind w:firstLineChars="200" w:firstLine="420"/>
        <w:rPr>
          <w:color w:val="000000"/>
          <w:szCs w:val="21"/>
        </w:rPr>
      </w:pPr>
      <w:bookmarkStart w:id="26" w:name="_Hlk134740342"/>
      <w:r w:rsidRPr="000F5666">
        <w:rPr>
          <w:color w:val="000000"/>
          <w:szCs w:val="21"/>
        </w:rPr>
        <w:t>基金管理人办理网下现金认购时按照下表费率收取认购费用。基金管理人办理网下股票认购</w:t>
      </w:r>
      <w:r w:rsidRPr="000F5666">
        <w:rPr>
          <w:rFonts w:hint="eastAsia"/>
          <w:color w:val="000000"/>
          <w:szCs w:val="21"/>
        </w:rPr>
        <w:t>、</w:t>
      </w:r>
      <w:r w:rsidRPr="000F5666">
        <w:rPr>
          <w:color w:val="000000"/>
          <w:szCs w:val="21"/>
        </w:rPr>
        <w:t>发售代理机构办理网上现金认购、网下现金认购</w:t>
      </w:r>
      <w:r w:rsidRPr="000F5666">
        <w:rPr>
          <w:rFonts w:hint="eastAsia"/>
          <w:color w:val="000000"/>
          <w:szCs w:val="21"/>
        </w:rPr>
        <w:t>、</w:t>
      </w:r>
      <w:r w:rsidRPr="000F5666">
        <w:rPr>
          <w:color w:val="000000"/>
          <w:szCs w:val="21"/>
        </w:rPr>
        <w:t>网下股票认购时，可参照下表费率结构收取一定的佣金。</w:t>
      </w:r>
    </w:p>
    <w:tbl>
      <w:tblPr>
        <w:tblW w:w="6912" w:type="dxa"/>
        <w:jc w:val="center"/>
        <w:tblCellMar>
          <w:left w:w="0" w:type="dxa"/>
          <w:right w:w="0" w:type="dxa"/>
        </w:tblCellMar>
        <w:tblLook w:val="04A0" w:firstRow="1" w:lastRow="0" w:firstColumn="1" w:lastColumn="0" w:noHBand="0" w:noVBand="1"/>
      </w:tblPr>
      <w:tblGrid>
        <w:gridCol w:w="3227"/>
        <w:gridCol w:w="3685"/>
      </w:tblGrid>
      <w:tr w:rsidR="00175DB4" w14:paraId="044F1DAB" w14:textId="77777777">
        <w:trPr>
          <w:trHeight w:val="409"/>
          <w:jc w:val="center"/>
        </w:trPr>
        <w:tc>
          <w:tcPr>
            <w:tcW w:w="3227" w:type="dxa"/>
            <w:tcBorders>
              <w:top w:val="single" w:sz="8" w:space="0" w:color="000000"/>
              <w:left w:val="single" w:sz="8" w:space="0" w:color="000000"/>
              <w:bottom w:val="single" w:sz="8" w:space="0" w:color="000000"/>
              <w:right w:val="single" w:sz="8" w:space="0" w:color="000000"/>
            </w:tcBorders>
            <w:shd w:val="clear" w:color="auto" w:fill="19194D"/>
            <w:tcMar>
              <w:top w:w="15" w:type="dxa"/>
              <w:left w:w="108" w:type="dxa"/>
              <w:bottom w:w="0" w:type="dxa"/>
              <w:right w:w="108" w:type="dxa"/>
            </w:tcMar>
          </w:tcPr>
          <w:bookmarkEnd w:id="26"/>
          <w:p w14:paraId="085D4487" w14:textId="77777777" w:rsidR="00175DB4" w:rsidRDefault="000519D1" w:rsidP="00975E0D">
            <w:pPr>
              <w:tabs>
                <w:tab w:val="left" w:pos="540"/>
              </w:tabs>
              <w:spacing w:line="360" w:lineRule="auto"/>
              <w:ind w:firstLineChars="200" w:firstLine="422"/>
              <w:rPr>
                <w:color w:val="FFFFFF"/>
                <w:szCs w:val="21"/>
              </w:rPr>
            </w:pPr>
            <w:r>
              <w:rPr>
                <w:b/>
                <w:bCs/>
                <w:color w:val="FFFFFF"/>
                <w:szCs w:val="21"/>
              </w:rPr>
              <w:t>认购份额</w:t>
            </w:r>
            <w:r>
              <w:rPr>
                <w:rFonts w:hint="eastAsia"/>
                <w:b/>
                <w:bCs/>
                <w:color w:val="FFFFFF"/>
                <w:szCs w:val="21"/>
              </w:rPr>
              <w:t>（</w:t>
            </w:r>
            <w:r>
              <w:rPr>
                <w:rFonts w:hint="eastAsia"/>
                <w:b/>
                <w:bCs/>
                <w:color w:val="FFFFFF"/>
                <w:szCs w:val="21"/>
              </w:rPr>
              <w:t>M</w:t>
            </w:r>
            <w:r>
              <w:rPr>
                <w:rFonts w:hint="eastAsia"/>
                <w:b/>
                <w:bCs/>
                <w:color w:val="FFFFFF"/>
                <w:szCs w:val="21"/>
              </w:rPr>
              <w:t>）</w:t>
            </w:r>
          </w:p>
        </w:tc>
        <w:tc>
          <w:tcPr>
            <w:tcW w:w="3685" w:type="dxa"/>
            <w:tcBorders>
              <w:top w:val="single" w:sz="8" w:space="0" w:color="000000"/>
              <w:left w:val="single" w:sz="8" w:space="0" w:color="000000"/>
              <w:bottom w:val="single" w:sz="8" w:space="0" w:color="000000"/>
              <w:right w:val="single" w:sz="8" w:space="0" w:color="000000"/>
            </w:tcBorders>
            <w:shd w:val="clear" w:color="auto" w:fill="19194D"/>
            <w:tcMar>
              <w:top w:w="15" w:type="dxa"/>
              <w:left w:w="108" w:type="dxa"/>
              <w:bottom w:w="0" w:type="dxa"/>
              <w:right w:w="108" w:type="dxa"/>
            </w:tcMar>
          </w:tcPr>
          <w:p w14:paraId="7D1AB2ED" w14:textId="77777777" w:rsidR="00175DB4" w:rsidRDefault="000519D1" w:rsidP="00D41605">
            <w:pPr>
              <w:tabs>
                <w:tab w:val="left" w:pos="540"/>
              </w:tabs>
              <w:spacing w:line="360" w:lineRule="auto"/>
              <w:ind w:firstLineChars="200" w:firstLine="422"/>
              <w:rPr>
                <w:color w:val="FFFFFF"/>
                <w:szCs w:val="21"/>
              </w:rPr>
            </w:pPr>
            <w:r>
              <w:rPr>
                <w:b/>
                <w:bCs/>
                <w:color w:val="FFFFFF"/>
                <w:szCs w:val="21"/>
              </w:rPr>
              <w:t>认购费率</w:t>
            </w:r>
            <w:r>
              <w:rPr>
                <w:b/>
                <w:bCs/>
                <w:color w:val="FFFFFF"/>
                <w:szCs w:val="21"/>
              </w:rPr>
              <w:t>/</w:t>
            </w:r>
            <w:r>
              <w:rPr>
                <w:b/>
                <w:bCs/>
                <w:color w:val="FFFFFF"/>
                <w:szCs w:val="21"/>
              </w:rPr>
              <w:t>佣金比率</w:t>
            </w:r>
          </w:p>
        </w:tc>
      </w:tr>
      <w:tr w:rsidR="00175DB4" w14:paraId="1F7527FC" w14:textId="77777777">
        <w:trPr>
          <w:trHeight w:val="465"/>
          <w:jc w:val="center"/>
        </w:trPr>
        <w:tc>
          <w:tcPr>
            <w:tcW w:w="3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1EE6D" w14:textId="77777777" w:rsidR="00175DB4" w:rsidRDefault="000519D1">
            <w:pPr>
              <w:tabs>
                <w:tab w:val="left" w:pos="540"/>
              </w:tabs>
              <w:spacing w:line="360" w:lineRule="auto"/>
              <w:ind w:firstLineChars="200" w:firstLine="420"/>
              <w:rPr>
                <w:szCs w:val="21"/>
              </w:rPr>
            </w:pPr>
            <w:r>
              <w:rPr>
                <w:szCs w:val="21"/>
              </w:rPr>
              <w:t>M&lt; 50</w:t>
            </w:r>
            <w:r>
              <w:rPr>
                <w:szCs w:val="21"/>
              </w:rPr>
              <w:t>万</w:t>
            </w:r>
            <w:r>
              <w:rPr>
                <w:rFonts w:hint="eastAsia"/>
                <w:szCs w:val="21"/>
              </w:rPr>
              <w:t>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94CC7A" w14:textId="2A79FCD8" w:rsidR="00175DB4" w:rsidRDefault="000519D1" w:rsidP="000F5666">
            <w:pPr>
              <w:tabs>
                <w:tab w:val="left" w:pos="540"/>
              </w:tabs>
              <w:spacing w:line="360" w:lineRule="auto"/>
              <w:ind w:firstLineChars="200" w:firstLine="420"/>
              <w:rPr>
                <w:color w:val="000000"/>
                <w:szCs w:val="21"/>
              </w:rPr>
            </w:pPr>
            <w:r>
              <w:rPr>
                <w:szCs w:val="21"/>
              </w:rPr>
              <w:t>0.</w:t>
            </w:r>
            <w:r w:rsidR="000F5666">
              <w:rPr>
                <w:szCs w:val="21"/>
              </w:rPr>
              <w:t>80</w:t>
            </w:r>
            <w:r>
              <w:rPr>
                <w:szCs w:val="21"/>
              </w:rPr>
              <w:t>%</w:t>
            </w:r>
          </w:p>
        </w:tc>
      </w:tr>
      <w:tr w:rsidR="00175DB4" w14:paraId="6395BE75" w14:textId="77777777">
        <w:trPr>
          <w:trHeight w:val="516"/>
          <w:jc w:val="center"/>
        </w:trPr>
        <w:tc>
          <w:tcPr>
            <w:tcW w:w="3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8BA2D8" w14:textId="77777777" w:rsidR="00175DB4" w:rsidRDefault="000519D1">
            <w:pPr>
              <w:tabs>
                <w:tab w:val="left" w:pos="540"/>
              </w:tabs>
              <w:spacing w:line="360" w:lineRule="auto"/>
              <w:ind w:firstLineChars="200" w:firstLine="420"/>
              <w:rPr>
                <w:szCs w:val="21"/>
              </w:rPr>
            </w:pPr>
            <w:r>
              <w:rPr>
                <w:szCs w:val="21"/>
              </w:rPr>
              <w:t>50</w:t>
            </w:r>
            <w:r>
              <w:rPr>
                <w:szCs w:val="21"/>
              </w:rPr>
              <w:t>万</w:t>
            </w:r>
            <w:r>
              <w:rPr>
                <w:rFonts w:hint="eastAsia"/>
                <w:szCs w:val="21"/>
              </w:rPr>
              <w:t>份</w:t>
            </w:r>
            <w:r>
              <w:rPr>
                <w:szCs w:val="21"/>
              </w:rPr>
              <w:t>≤M&lt; 100</w:t>
            </w:r>
            <w:r>
              <w:rPr>
                <w:szCs w:val="21"/>
              </w:rPr>
              <w:t>万</w:t>
            </w:r>
            <w:r>
              <w:rPr>
                <w:rFonts w:hint="eastAsia"/>
                <w:szCs w:val="21"/>
              </w:rPr>
              <w:t>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F3306E" w14:textId="24E5A5AA" w:rsidR="00175DB4" w:rsidRDefault="000519D1" w:rsidP="000F5666">
            <w:pPr>
              <w:tabs>
                <w:tab w:val="left" w:pos="540"/>
              </w:tabs>
              <w:spacing w:line="360" w:lineRule="auto"/>
              <w:ind w:firstLineChars="200" w:firstLine="420"/>
              <w:rPr>
                <w:color w:val="000000"/>
                <w:szCs w:val="21"/>
              </w:rPr>
            </w:pPr>
            <w:r>
              <w:rPr>
                <w:szCs w:val="21"/>
              </w:rPr>
              <w:t>0.</w:t>
            </w:r>
            <w:r w:rsidR="000F5666">
              <w:rPr>
                <w:szCs w:val="21"/>
              </w:rPr>
              <w:t>50</w:t>
            </w:r>
            <w:r>
              <w:rPr>
                <w:szCs w:val="21"/>
              </w:rPr>
              <w:t>%</w:t>
            </w:r>
          </w:p>
        </w:tc>
      </w:tr>
      <w:tr w:rsidR="00175DB4" w14:paraId="2B628CBD" w14:textId="77777777">
        <w:trPr>
          <w:trHeight w:val="409"/>
          <w:jc w:val="center"/>
        </w:trPr>
        <w:tc>
          <w:tcPr>
            <w:tcW w:w="3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B867D3" w14:textId="77777777" w:rsidR="00175DB4" w:rsidRDefault="000519D1">
            <w:pPr>
              <w:tabs>
                <w:tab w:val="left" w:pos="540"/>
              </w:tabs>
              <w:spacing w:line="360" w:lineRule="auto"/>
              <w:ind w:firstLineChars="200" w:firstLine="420"/>
              <w:rPr>
                <w:szCs w:val="21"/>
              </w:rPr>
            </w:pPr>
            <w:r>
              <w:rPr>
                <w:szCs w:val="21"/>
              </w:rPr>
              <w:t>M≥100</w:t>
            </w:r>
            <w:r>
              <w:rPr>
                <w:szCs w:val="21"/>
              </w:rPr>
              <w:t>万</w:t>
            </w:r>
            <w:r>
              <w:rPr>
                <w:rFonts w:hint="eastAsia"/>
                <w:szCs w:val="21"/>
              </w:rPr>
              <w:t>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73AA8B" w14:textId="77777777" w:rsidR="00175DB4" w:rsidRDefault="000519D1">
            <w:pPr>
              <w:tabs>
                <w:tab w:val="left" w:pos="540"/>
              </w:tabs>
              <w:spacing w:line="360" w:lineRule="auto"/>
              <w:ind w:firstLineChars="200" w:firstLine="420"/>
              <w:rPr>
                <w:color w:val="000000"/>
                <w:szCs w:val="21"/>
              </w:rPr>
            </w:pPr>
            <w:r>
              <w:rPr>
                <w:szCs w:val="21"/>
              </w:rPr>
              <w:t>每笔</w:t>
            </w:r>
            <w:r>
              <w:rPr>
                <w:szCs w:val="21"/>
              </w:rPr>
              <w:t>500</w:t>
            </w:r>
            <w:r>
              <w:rPr>
                <w:szCs w:val="21"/>
              </w:rPr>
              <w:t>元</w:t>
            </w:r>
          </w:p>
        </w:tc>
      </w:tr>
    </w:tbl>
    <w:p w14:paraId="7EBDEAF9" w14:textId="77777777" w:rsidR="00175DB4" w:rsidRDefault="00175DB4">
      <w:pPr>
        <w:tabs>
          <w:tab w:val="left" w:pos="540"/>
        </w:tabs>
        <w:spacing w:line="360" w:lineRule="auto"/>
        <w:rPr>
          <w:color w:val="000000"/>
          <w:szCs w:val="21"/>
        </w:rPr>
      </w:pPr>
    </w:p>
    <w:p w14:paraId="56EC5B20"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基金认购费用不列入基金财产，主要用于基金的市场推广、销售、登记等基金募集期间发生的各项费用。</w:t>
      </w:r>
    </w:p>
    <w:p w14:paraId="4470C074" w14:textId="77777777" w:rsidR="00175DB4" w:rsidRDefault="000519D1">
      <w:pPr>
        <w:tabs>
          <w:tab w:val="left" w:pos="540"/>
        </w:tabs>
        <w:snapToGrid w:val="0"/>
        <w:spacing w:line="360" w:lineRule="auto"/>
        <w:ind w:firstLineChars="200" w:firstLine="420"/>
        <w:rPr>
          <w:color w:val="000000"/>
          <w:szCs w:val="21"/>
        </w:rPr>
      </w:pPr>
      <w:r>
        <w:rPr>
          <w:color w:val="000000"/>
          <w:szCs w:val="21"/>
        </w:rPr>
        <w:t>（十四）网上现金认购</w:t>
      </w:r>
    </w:p>
    <w:p w14:paraId="3493F636"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、认购时间：认购时间详见本基金份额发售公告。</w:t>
      </w:r>
    </w:p>
    <w:p w14:paraId="2B5947D1"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、认购限额：网上现金认购以基金份额申请。单一账户每笔认购份额需为</w:t>
      </w:r>
      <w:r>
        <w:rPr>
          <w:color w:val="000000"/>
          <w:szCs w:val="21"/>
        </w:rPr>
        <w:t>1000</w:t>
      </w:r>
      <w:r>
        <w:rPr>
          <w:color w:val="000000"/>
          <w:szCs w:val="21"/>
        </w:rPr>
        <w:t>份或其整数</w:t>
      </w:r>
      <w:proofErr w:type="gramStart"/>
      <w:r>
        <w:rPr>
          <w:color w:val="000000"/>
          <w:szCs w:val="21"/>
        </w:rPr>
        <w:t>倍</w:t>
      </w:r>
      <w:proofErr w:type="gramEnd"/>
      <w:r>
        <w:rPr>
          <w:color w:val="000000"/>
          <w:szCs w:val="21"/>
        </w:rPr>
        <w:t>。投资人可以多次认购，累计认购份额不设上限。</w:t>
      </w:r>
    </w:p>
    <w:p w14:paraId="1B24DA5F"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、认购申请：认购</w:t>
      </w:r>
      <w:r>
        <w:rPr>
          <w:rFonts w:hint="eastAsia"/>
          <w:color w:val="000000"/>
          <w:szCs w:val="21"/>
        </w:rPr>
        <w:t>佣金</w:t>
      </w:r>
      <w:r>
        <w:rPr>
          <w:color w:val="000000"/>
          <w:szCs w:val="21"/>
        </w:rPr>
        <w:t>由发售代理机构在投资人认购时收取，投资人需以现金方式交纳认购</w:t>
      </w:r>
      <w:r>
        <w:rPr>
          <w:rFonts w:hint="eastAsia"/>
          <w:color w:val="000000"/>
          <w:szCs w:val="21"/>
        </w:rPr>
        <w:t>佣金</w:t>
      </w:r>
      <w:r>
        <w:rPr>
          <w:color w:val="000000"/>
          <w:szCs w:val="21"/>
        </w:rPr>
        <w:t>。投资人在认购本基金时，需按发售代理机构的规定备足认购资金，办理认购手续。投资人可多次提出认购申请，认购一经受理不可撤销，认购资金即被冻结。</w:t>
      </w:r>
    </w:p>
    <w:p w14:paraId="6FDA1FE3"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、认购金额和利息折算的份额的计算</w:t>
      </w:r>
    </w:p>
    <w:p w14:paraId="1E063C35" w14:textId="4FE28C54" w:rsidR="00175DB4" w:rsidRDefault="00B05F75">
      <w:pPr>
        <w:tabs>
          <w:tab w:val="left" w:pos="540"/>
        </w:tabs>
        <w:snapToGrid w:val="0"/>
        <w:spacing w:line="360" w:lineRule="auto"/>
        <w:ind w:firstLineChars="200" w:firstLine="420"/>
        <w:rPr>
          <w:color w:val="000000"/>
          <w:szCs w:val="21"/>
        </w:rPr>
      </w:pPr>
      <w:r w:rsidRPr="002D5C19">
        <w:rPr>
          <w:rFonts w:hint="eastAsia"/>
          <w:color w:val="000000"/>
          <w:szCs w:val="21"/>
        </w:rPr>
        <w:t>通过发售代理机构进行网上现金认购的投资者，</w:t>
      </w:r>
      <w:r w:rsidR="000519D1">
        <w:rPr>
          <w:color w:val="000000"/>
          <w:szCs w:val="21"/>
        </w:rPr>
        <w:t>本基金认购金额和利息折算的份额的计算如下：</w:t>
      </w:r>
    </w:p>
    <w:p w14:paraId="704070BA" w14:textId="19113145" w:rsidR="00175DB4" w:rsidRDefault="000519D1">
      <w:pPr>
        <w:tabs>
          <w:tab w:val="left" w:pos="540"/>
        </w:tabs>
        <w:snapToGrid w:val="0"/>
        <w:spacing w:line="360" w:lineRule="auto"/>
        <w:ind w:firstLineChars="200" w:firstLine="420"/>
        <w:rPr>
          <w:color w:val="000000"/>
          <w:szCs w:val="21"/>
        </w:rPr>
      </w:pPr>
      <w:r>
        <w:rPr>
          <w:color w:val="000000"/>
          <w:szCs w:val="21"/>
        </w:rPr>
        <w:t>认购金额＝认购价格</w:t>
      </w:r>
      <w:r>
        <w:rPr>
          <w:color w:val="000000"/>
          <w:szCs w:val="21"/>
        </w:rPr>
        <w:t xml:space="preserve"> ×</w:t>
      </w:r>
      <w:r>
        <w:rPr>
          <w:color w:val="000000"/>
          <w:szCs w:val="21"/>
        </w:rPr>
        <w:t>认购份额</w:t>
      </w:r>
      <w:r>
        <w:rPr>
          <w:color w:val="000000"/>
          <w:szCs w:val="21"/>
        </w:rPr>
        <w:t>×(1</w:t>
      </w:r>
      <w:r>
        <w:rPr>
          <w:color w:val="000000"/>
          <w:szCs w:val="21"/>
        </w:rPr>
        <w:t>＋佣金比率</w:t>
      </w:r>
      <w:r>
        <w:rPr>
          <w:color w:val="000000"/>
          <w:szCs w:val="21"/>
        </w:rPr>
        <w:t>)</w:t>
      </w:r>
    </w:p>
    <w:p w14:paraId="7331879A" w14:textId="77777777" w:rsidR="00175DB4" w:rsidRDefault="000519D1">
      <w:pPr>
        <w:tabs>
          <w:tab w:val="left" w:pos="540"/>
        </w:tabs>
        <w:snapToGrid w:val="0"/>
        <w:spacing w:line="360" w:lineRule="auto"/>
        <w:ind w:firstLineChars="200" w:firstLine="420"/>
        <w:rPr>
          <w:color w:val="000000"/>
          <w:szCs w:val="21"/>
        </w:rPr>
      </w:pPr>
      <w:r>
        <w:rPr>
          <w:color w:val="000000"/>
          <w:szCs w:val="21"/>
        </w:rPr>
        <w:t>（或若适用固定费用的，认购金额＝认购价格</w:t>
      </w:r>
      <w:r>
        <w:rPr>
          <w:color w:val="000000"/>
          <w:szCs w:val="21"/>
        </w:rPr>
        <w:t xml:space="preserve"> ×</w:t>
      </w:r>
      <w:r>
        <w:rPr>
          <w:color w:val="000000"/>
          <w:szCs w:val="21"/>
        </w:rPr>
        <w:t>认购份额</w:t>
      </w:r>
      <w:r>
        <w:rPr>
          <w:color w:val="000000"/>
          <w:szCs w:val="21"/>
        </w:rPr>
        <w:t>+</w:t>
      </w:r>
      <w:r>
        <w:rPr>
          <w:color w:val="000000"/>
          <w:szCs w:val="21"/>
        </w:rPr>
        <w:t>固定费用）</w:t>
      </w:r>
    </w:p>
    <w:p w14:paraId="4E2C1ED9" w14:textId="77777777" w:rsidR="00175DB4" w:rsidRDefault="000519D1">
      <w:pPr>
        <w:tabs>
          <w:tab w:val="left" w:pos="540"/>
        </w:tabs>
        <w:snapToGrid w:val="0"/>
        <w:spacing w:line="360" w:lineRule="auto"/>
        <w:ind w:firstLineChars="200" w:firstLine="420"/>
        <w:rPr>
          <w:color w:val="000000"/>
          <w:szCs w:val="21"/>
        </w:rPr>
      </w:pPr>
      <w:r>
        <w:rPr>
          <w:color w:val="000000"/>
          <w:szCs w:val="21"/>
        </w:rPr>
        <w:t>认购佣金＝认购价格</w:t>
      </w:r>
      <w:r>
        <w:rPr>
          <w:color w:val="000000"/>
          <w:szCs w:val="21"/>
        </w:rPr>
        <w:t xml:space="preserve"> ×</w:t>
      </w:r>
      <w:r>
        <w:rPr>
          <w:color w:val="000000"/>
          <w:szCs w:val="21"/>
        </w:rPr>
        <w:t>认购份额</w:t>
      </w:r>
      <w:r>
        <w:rPr>
          <w:color w:val="000000"/>
          <w:szCs w:val="21"/>
        </w:rPr>
        <w:t>×</w:t>
      </w:r>
      <w:r>
        <w:rPr>
          <w:color w:val="000000"/>
          <w:szCs w:val="21"/>
        </w:rPr>
        <w:t>佣金比率</w:t>
      </w:r>
    </w:p>
    <w:p w14:paraId="0DA84712" w14:textId="77777777" w:rsidR="00175DB4" w:rsidRDefault="000519D1">
      <w:pPr>
        <w:tabs>
          <w:tab w:val="left" w:pos="540"/>
        </w:tabs>
        <w:snapToGrid w:val="0"/>
        <w:spacing w:line="360" w:lineRule="auto"/>
        <w:ind w:firstLineChars="200" w:firstLine="420"/>
        <w:rPr>
          <w:color w:val="000000"/>
          <w:szCs w:val="21"/>
        </w:rPr>
      </w:pPr>
      <w:r>
        <w:rPr>
          <w:color w:val="000000"/>
          <w:szCs w:val="21"/>
        </w:rPr>
        <w:t>（或若适用固定费用的，认购佣金</w:t>
      </w:r>
      <w:r>
        <w:rPr>
          <w:color w:val="000000"/>
          <w:szCs w:val="21"/>
        </w:rPr>
        <w:t>=</w:t>
      </w:r>
      <w:r>
        <w:rPr>
          <w:color w:val="000000"/>
          <w:szCs w:val="21"/>
        </w:rPr>
        <w:t>固定费用）</w:t>
      </w:r>
    </w:p>
    <w:p w14:paraId="0BBB4805" w14:textId="77777777" w:rsidR="00175DB4" w:rsidRDefault="000519D1">
      <w:pPr>
        <w:tabs>
          <w:tab w:val="left" w:pos="540"/>
        </w:tabs>
        <w:snapToGrid w:val="0"/>
        <w:spacing w:line="360" w:lineRule="auto"/>
        <w:ind w:firstLineChars="200" w:firstLine="420"/>
        <w:rPr>
          <w:color w:val="000000"/>
          <w:szCs w:val="21"/>
        </w:rPr>
      </w:pPr>
      <w:r>
        <w:rPr>
          <w:color w:val="000000"/>
          <w:szCs w:val="21"/>
        </w:rPr>
        <w:t>利息折算的份额＝利息</w:t>
      </w:r>
      <w:r>
        <w:rPr>
          <w:color w:val="000000"/>
          <w:szCs w:val="21"/>
        </w:rPr>
        <w:t>/</w:t>
      </w:r>
      <w:r>
        <w:rPr>
          <w:color w:val="000000"/>
          <w:szCs w:val="21"/>
        </w:rPr>
        <w:t>认购价格</w:t>
      </w:r>
    </w:p>
    <w:p w14:paraId="2AC6B06C" w14:textId="77777777" w:rsidR="00175DB4" w:rsidRDefault="000519D1">
      <w:pPr>
        <w:tabs>
          <w:tab w:val="left" w:pos="540"/>
        </w:tabs>
        <w:snapToGrid w:val="0"/>
        <w:spacing w:line="360" w:lineRule="auto"/>
        <w:ind w:firstLineChars="200" w:firstLine="420"/>
        <w:rPr>
          <w:color w:val="000000"/>
          <w:szCs w:val="21"/>
        </w:rPr>
      </w:pPr>
      <w:r>
        <w:rPr>
          <w:color w:val="000000"/>
          <w:szCs w:val="21"/>
        </w:rPr>
        <w:t>网上现金认购款项在基金募集期间产生的利息将折算为基金份额</w:t>
      </w:r>
      <w:proofErr w:type="gramStart"/>
      <w:r>
        <w:rPr>
          <w:color w:val="000000"/>
          <w:szCs w:val="21"/>
        </w:rPr>
        <w:t>归基金</w:t>
      </w:r>
      <w:proofErr w:type="gramEnd"/>
      <w:r>
        <w:rPr>
          <w:color w:val="000000"/>
          <w:szCs w:val="21"/>
        </w:rPr>
        <w:t>份额持有人所有。网上现金认购的利息和具体份额以登记机构的记录为准。利息折算的基金份额保留至整数位，小数部分舍去，舍去部分计入基金财产。</w:t>
      </w:r>
    </w:p>
    <w:p w14:paraId="236AF973" w14:textId="439BD49F" w:rsidR="00175DB4" w:rsidRDefault="000519D1">
      <w:pPr>
        <w:tabs>
          <w:tab w:val="left" w:pos="540"/>
        </w:tabs>
        <w:snapToGrid w:val="0"/>
        <w:spacing w:line="360" w:lineRule="auto"/>
        <w:ind w:firstLineChars="200" w:firstLine="420"/>
        <w:rPr>
          <w:color w:val="000000"/>
          <w:szCs w:val="21"/>
        </w:rPr>
      </w:pPr>
      <w:r>
        <w:rPr>
          <w:color w:val="000000"/>
          <w:szCs w:val="21"/>
        </w:rPr>
        <w:t>例：某投资人通过发售代理机构采用网上现金方式认购本基金</w:t>
      </w:r>
      <w:r>
        <w:rPr>
          <w:color w:val="000000"/>
          <w:szCs w:val="21"/>
        </w:rPr>
        <w:t>100,000</w:t>
      </w:r>
      <w:r>
        <w:rPr>
          <w:color w:val="000000"/>
          <w:szCs w:val="21"/>
        </w:rPr>
        <w:t>份，假设该发售代理机构确认的佣金比率为</w:t>
      </w:r>
      <w:r>
        <w:rPr>
          <w:color w:val="000000"/>
          <w:szCs w:val="21"/>
        </w:rPr>
        <w:t>0.</w:t>
      </w:r>
      <w:r w:rsidR="002D5C19">
        <w:rPr>
          <w:color w:val="000000"/>
          <w:szCs w:val="21"/>
        </w:rPr>
        <w:t>80</w:t>
      </w:r>
      <w:r>
        <w:rPr>
          <w:color w:val="000000"/>
          <w:szCs w:val="21"/>
        </w:rPr>
        <w:t>％，则需准备的资金数额计算如下：</w:t>
      </w:r>
    </w:p>
    <w:p w14:paraId="785CE2F6"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认购金额＝</w:t>
      </w:r>
      <w:r w:rsidRPr="002D5C19">
        <w:rPr>
          <w:rFonts w:hint="eastAsia"/>
          <w:color w:val="000000"/>
          <w:szCs w:val="21"/>
        </w:rPr>
        <w:t>1.00</w:t>
      </w:r>
      <w:r w:rsidRPr="002D5C19">
        <w:rPr>
          <w:rFonts w:hint="eastAsia"/>
          <w:color w:val="000000"/>
          <w:szCs w:val="21"/>
        </w:rPr>
        <w:t>×</w:t>
      </w:r>
      <w:r w:rsidRPr="002D5C19">
        <w:rPr>
          <w:rFonts w:hint="eastAsia"/>
          <w:color w:val="000000"/>
          <w:szCs w:val="21"/>
        </w:rPr>
        <w:t>100,000</w:t>
      </w:r>
      <w:r w:rsidRPr="002D5C19">
        <w:rPr>
          <w:rFonts w:hint="eastAsia"/>
          <w:color w:val="000000"/>
          <w:szCs w:val="21"/>
        </w:rPr>
        <w:t>×（</w:t>
      </w:r>
      <w:r w:rsidRPr="002D5C19">
        <w:rPr>
          <w:rFonts w:hint="eastAsia"/>
          <w:color w:val="000000"/>
          <w:szCs w:val="21"/>
        </w:rPr>
        <w:t>1</w:t>
      </w:r>
      <w:r w:rsidRPr="002D5C19">
        <w:rPr>
          <w:rFonts w:hint="eastAsia"/>
          <w:color w:val="000000"/>
          <w:szCs w:val="21"/>
        </w:rPr>
        <w:t>＋</w:t>
      </w:r>
      <w:r w:rsidRPr="002D5C19">
        <w:rPr>
          <w:rFonts w:hint="eastAsia"/>
          <w:color w:val="000000"/>
          <w:szCs w:val="21"/>
        </w:rPr>
        <w:t>0.80</w:t>
      </w:r>
      <w:r w:rsidRPr="002D5C19">
        <w:rPr>
          <w:rFonts w:hint="eastAsia"/>
          <w:color w:val="000000"/>
          <w:szCs w:val="21"/>
        </w:rPr>
        <w:t>％）＝</w:t>
      </w:r>
      <w:r w:rsidRPr="002D5C19">
        <w:rPr>
          <w:rFonts w:hint="eastAsia"/>
          <w:color w:val="000000"/>
          <w:szCs w:val="21"/>
        </w:rPr>
        <w:t>100,800</w:t>
      </w:r>
      <w:r w:rsidRPr="002D5C19">
        <w:rPr>
          <w:rFonts w:hint="eastAsia"/>
          <w:color w:val="000000"/>
          <w:szCs w:val="21"/>
        </w:rPr>
        <w:t>元</w:t>
      </w:r>
    </w:p>
    <w:p w14:paraId="1E7BFC71"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lastRenderedPageBreak/>
        <w:t>认购佣金＝</w:t>
      </w:r>
      <w:r w:rsidRPr="002D5C19">
        <w:rPr>
          <w:rFonts w:hint="eastAsia"/>
          <w:color w:val="000000"/>
          <w:szCs w:val="21"/>
        </w:rPr>
        <w:t>1.00</w:t>
      </w:r>
      <w:r w:rsidRPr="002D5C19">
        <w:rPr>
          <w:rFonts w:hint="eastAsia"/>
          <w:color w:val="000000"/>
          <w:szCs w:val="21"/>
        </w:rPr>
        <w:t>×</w:t>
      </w:r>
      <w:r w:rsidRPr="002D5C19">
        <w:rPr>
          <w:rFonts w:hint="eastAsia"/>
          <w:color w:val="000000"/>
          <w:szCs w:val="21"/>
        </w:rPr>
        <w:t>100,000</w:t>
      </w:r>
      <w:r w:rsidRPr="002D5C19">
        <w:rPr>
          <w:rFonts w:hint="eastAsia"/>
          <w:color w:val="000000"/>
          <w:szCs w:val="21"/>
        </w:rPr>
        <w:t>×</w:t>
      </w:r>
      <w:r w:rsidRPr="002D5C19">
        <w:rPr>
          <w:rFonts w:hint="eastAsia"/>
          <w:color w:val="000000"/>
          <w:szCs w:val="21"/>
        </w:rPr>
        <w:t>0.80</w:t>
      </w:r>
      <w:r w:rsidRPr="002D5C19">
        <w:rPr>
          <w:rFonts w:hint="eastAsia"/>
          <w:color w:val="000000"/>
          <w:szCs w:val="21"/>
        </w:rPr>
        <w:t>％＝</w:t>
      </w:r>
      <w:r w:rsidRPr="002D5C19">
        <w:rPr>
          <w:rFonts w:hint="eastAsia"/>
          <w:color w:val="000000"/>
          <w:szCs w:val="21"/>
        </w:rPr>
        <w:t>800</w:t>
      </w:r>
      <w:r w:rsidRPr="002D5C19">
        <w:rPr>
          <w:rFonts w:hint="eastAsia"/>
          <w:color w:val="000000"/>
          <w:szCs w:val="21"/>
        </w:rPr>
        <w:t>元</w:t>
      </w:r>
    </w:p>
    <w:p w14:paraId="1590454F"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又假设该笔资金在募集期间产生了</w:t>
      </w:r>
      <w:r w:rsidRPr="002D5C19">
        <w:rPr>
          <w:rFonts w:hint="eastAsia"/>
          <w:color w:val="000000"/>
          <w:szCs w:val="21"/>
        </w:rPr>
        <w:t>10.8</w:t>
      </w:r>
      <w:r w:rsidRPr="002D5C19">
        <w:rPr>
          <w:rFonts w:hint="eastAsia"/>
          <w:color w:val="000000"/>
          <w:szCs w:val="21"/>
        </w:rPr>
        <w:t>元的利息，则利息折算的份额＝</w:t>
      </w:r>
      <w:r w:rsidRPr="002D5C19">
        <w:rPr>
          <w:rFonts w:hint="eastAsia"/>
          <w:color w:val="000000"/>
          <w:szCs w:val="21"/>
        </w:rPr>
        <w:t>10.8</w:t>
      </w:r>
      <w:r w:rsidRPr="002D5C19">
        <w:rPr>
          <w:rFonts w:hint="eastAsia"/>
          <w:color w:val="000000"/>
          <w:szCs w:val="21"/>
        </w:rPr>
        <w:t>／</w:t>
      </w:r>
      <w:r w:rsidRPr="002D5C19">
        <w:rPr>
          <w:rFonts w:hint="eastAsia"/>
          <w:color w:val="000000"/>
          <w:szCs w:val="21"/>
        </w:rPr>
        <w:t>1.00</w:t>
      </w:r>
      <w:r w:rsidRPr="002D5C19">
        <w:rPr>
          <w:rFonts w:hint="eastAsia"/>
          <w:color w:val="000000"/>
          <w:szCs w:val="21"/>
        </w:rPr>
        <w:t>＝</w:t>
      </w:r>
      <w:r w:rsidRPr="002D5C19">
        <w:rPr>
          <w:rFonts w:hint="eastAsia"/>
          <w:color w:val="000000"/>
          <w:szCs w:val="21"/>
        </w:rPr>
        <w:t>10</w:t>
      </w:r>
      <w:r w:rsidRPr="002D5C19">
        <w:rPr>
          <w:rFonts w:hint="eastAsia"/>
          <w:color w:val="000000"/>
          <w:szCs w:val="21"/>
        </w:rPr>
        <w:t>份（保留至整数位）。</w:t>
      </w:r>
    </w:p>
    <w:p w14:paraId="1B35B2C8" w14:textId="77777777" w:rsidR="002D5C19" w:rsidRDefault="002D5C19">
      <w:pPr>
        <w:tabs>
          <w:tab w:val="left" w:pos="540"/>
        </w:tabs>
        <w:snapToGrid w:val="0"/>
        <w:spacing w:line="360" w:lineRule="auto"/>
        <w:ind w:firstLineChars="200" w:firstLine="420"/>
        <w:rPr>
          <w:color w:val="000000"/>
          <w:szCs w:val="21"/>
        </w:rPr>
      </w:pPr>
      <w:r w:rsidRPr="002D5C19">
        <w:rPr>
          <w:rFonts w:hint="eastAsia"/>
          <w:color w:val="000000"/>
          <w:szCs w:val="21"/>
        </w:rPr>
        <w:t>即，若该投资人通过发售代理机构采用网上现金认购本基金份额</w:t>
      </w:r>
      <w:r w:rsidRPr="002D5C19">
        <w:rPr>
          <w:rFonts w:hint="eastAsia"/>
          <w:color w:val="000000"/>
          <w:szCs w:val="21"/>
        </w:rPr>
        <w:t>100,000</w:t>
      </w:r>
      <w:r w:rsidRPr="002D5C19">
        <w:rPr>
          <w:rFonts w:hint="eastAsia"/>
          <w:color w:val="000000"/>
          <w:szCs w:val="21"/>
        </w:rPr>
        <w:t>份，则需缴纳认购金额</w:t>
      </w:r>
      <w:r w:rsidRPr="002D5C19">
        <w:rPr>
          <w:rFonts w:hint="eastAsia"/>
          <w:color w:val="000000"/>
          <w:szCs w:val="21"/>
        </w:rPr>
        <w:t>100,800</w:t>
      </w:r>
      <w:r w:rsidRPr="002D5C19">
        <w:rPr>
          <w:rFonts w:hint="eastAsia"/>
          <w:color w:val="000000"/>
          <w:szCs w:val="21"/>
        </w:rPr>
        <w:t>元，其中认购佣金</w:t>
      </w:r>
      <w:r w:rsidRPr="002D5C19">
        <w:rPr>
          <w:rFonts w:hint="eastAsia"/>
          <w:color w:val="000000"/>
          <w:szCs w:val="21"/>
        </w:rPr>
        <w:t>800</w:t>
      </w:r>
      <w:r w:rsidRPr="002D5C19">
        <w:rPr>
          <w:rFonts w:hint="eastAsia"/>
          <w:color w:val="000000"/>
          <w:szCs w:val="21"/>
        </w:rPr>
        <w:t>元，并可获得利息折算的份额</w:t>
      </w:r>
      <w:r w:rsidRPr="002D5C19">
        <w:rPr>
          <w:rFonts w:hint="eastAsia"/>
          <w:color w:val="000000"/>
          <w:szCs w:val="21"/>
        </w:rPr>
        <w:t>10</w:t>
      </w:r>
      <w:r w:rsidRPr="002D5C19">
        <w:rPr>
          <w:rFonts w:hint="eastAsia"/>
          <w:color w:val="000000"/>
          <w:szCs w:val="21"/>
        </w:rPr>
        <w:t>份，该投资人一共可获得</w:t>
      </w:r>
      <w:r w:rsidRPr="002D5C19">
        <w:rPr>
          <w:rFonts w:hint="eastAsia"/>
          <w:color w:val="000000"/>
          <w:szCs w:val="21"/>
        </w:rPr>
        <w:t>100,010</w:t>
      </w:r>
      <w:r w:rsidRPr="002D5C19">
        <w:rPr>
          <w:rFonts w:hint="eastAsia"/>
          <w:color w:val="000000"/>
          <w:szCs w:val="21"/>
        </w:rPr>
        <w:t>份基金份额。</w:t>
      </w:r>
    </w:p>
    <w:p w14:paraId="3E3AADFF" w14:textId="77777777" w:rsidR="00175DB4" w:rsidRDefault="000519D1">
      <w:pPr>
        <w:tabs>
          <w:tab w:val="left" w:pos="540"/>
        </w:tabs>
        <w:snapToGrid w:val="0"/>
        <w:spacing w:line="360" w:lineRule="auto"/>
        <w:ind w:firstLineChars="200" w:firstLine="420"/>
        <w:rPr>
          <w:color w:val="000000"/>
          <w:szCs w:val="21"/>
        </w:rPr>
      </w:pPr>
      <w:r>
        <w:rPr>
          <w:color w:val="000000"/>
          <w:szCs w:val="21"/>
        </w:rPr>
        <w:t>（十五）网下现金认购</w:t>
      </w:r>
    </w:p>
    <w:p w14:paraId="789C3B54"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1</w:t>
      </w:r>
      <w:r w:rsidRPr="002D5C19">
        <w:rPr>
          <w:rFonts w:hint="eastAsia"/>
          <w:color w:val="000000"/>
          <w:szCs w:val="21"/>
        </w:rPr>
        <w:t>、认购时间：认购时间详见本基金份额发售公告。</w:t>
      </w:r>
    </w:p>
    <w:p w14:paraId="1C9CF7B5"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2</w:t>
      </w:r>
      <w:r w:rsidRPr="002D5C19">
        <w:rPr>
          <w:rFonts w:hint="eastAsia"/>
          <w:color w:val="000000"/>
          <w:szCs w:val="21"/>
        </w:rPr>
        <w:t>、认购限额：网下现金认购以基金份额申请。投资人通过发售代理机构办理网下现金认购的，每笔认购份额须为</w:t>
      </w:r>
      <w:r w:rsidRPr="002D5C19">
        <w:rPr>
          <w:rFonts w:hint="eastAsia"/>
          <w:color w:val="000000"/>
          <w:szCs w:val="21"/>
        </w:rPr>
        <w:t>1,000</w:t>
      </w:r>
      <w:r w:rsidRPr="002D5C19">
        <w:rPr>
          <w:rFonts w:hint="eastAsia"/>
          <w:color w:val="000000"/>
          <w:szCs w:val="21"/>
        </w:rPr>
        <w:t>份或其整数</w:t>
      </w:r>
      <w:proofErr w:type="gramStart"/>
      <w:r w:rsidRPr="002D5C19">
        <w:rPr>
          <w:rFonts w:hint="eastAsia"/>
          <w:color w:val="000000"/>
          <w:szCs w:val="21"/>
        </w:rPr>
        <w:t>倍</w:t>
      </w:r>
      <w:proofErr w:type="gramEnd"/>
      <w:r w:rsidRPr="002D5C19">
        <w:rPr>
          <w:rFonts w:hint="eastAsia"/>
          <w:color w:val="000000"/>
          <w:szCs w:val="21"/>
        </w:rPr>
        <w:t>，投资者通过基金管理人办理网下现金认购的每笔认购份额须在</w:t>
      </w:r>
      <w:r w:rsidRPr="002D5C19">
        <w:rPr>
          <w:rFonts w:hint="eastAsia"/>
          <w:color w:val="000000"/>
          <w:szCs w:val="21"/>
        </w:rPr>
        <w:t>10</w:t>
      </w:r>
      <w:r w:rsidRPr="002D5C19">
        <w:rPr>
          <w:rFonts w:hint="eastAsia"/>
          <w:color w:val="000000"/>
          <w:szCs w:val="21"/>
        </w:rPr>
        <w:t>万份以上</w:t>
      </w:r>
      <w:r w:rsidRPr="002D5C19">
        <w:rPr>
          <w:rFonts w:hint="eastAsia"/>
          <w:color w:val="000000"/>
          <w:szCs w:val="21"/>
        </w:rPr>
        <w:t>(</w:t>
      </w:r>
      <w:r w:rsidRPr="002D5C19">
        <w:rPr>
          <w:rFonts w:hint="eastAsia"/>
          <w:color w:val="000000"/>
          <w:szCs w:val="21"/>
        </w:rPr>
        <w:t>含</w:t>
      </w:r>
      <w:r w:rsidRPr="002D5C19">
        <w:rPr>
          <w:rFonts w:hint="eastAsia"/>
          <w:color w:val="000000"/>
          <w:szCs w:val="21"/>
        </w:rPr>
        <w:t>10</w:t>
      </w:r>
      <w:r w:rsidRPr="002D5C19">
        <w:rPr>
          <w:rFonts w:hint="eastAsia"/>
          <w:color w:val="000000"/>
          <w:szCs w:val="21"/>
        </w:rPr>
        <w:t>万份</w:t>
      </w:r>
      <w:r w:rsidRPr="002D5C19">
        <w:rPr>
          <w:rFonts w:hint="eastAsia"/>
          <w:color w:val="000000"/>
          <w:szCs w:val="21"/>
        </w:rPr>
        <w:t>)</w:t>
      </w:r>
      <w:r w:rsidRPr="002D5C19">
        <w:rPr>
          <w:rFonts w:hint="eastAsia"/>
          <w:color w:val="000000"/>
          <w:szCs w:val="21"/>
        </w:rPr>
        <w:t>。投资人可以多次认购，累计认购份额不设上限。</w:t>
      </w:r>
    </w:p>
    <w:p w14:paraId="4CD7ADB3"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3</w:t>
      </w:r>
      <w:r w:rsidRPr="002D5C19">
        <w:rPr>
          <w:rFonts w:hint="eastAsia"/>
          <w:color w:val="000000"/>
          <w:szCs w:val="21"/>
        </w:rPr>
        <w:t>、认购手续：认购费用由基金管理人在投资人认购时收取，投资人需以现金方式交纳认购费用。投资人在认购本基金时，需按基金管理人的规定办理相关认购手续，并备足认购资金。网下现金认购申请一经受理不得撤销。</w:t>
      </w:r>
    </w:p>
    <w:p w14:paraId="092F88CB"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4</w:t>
      </w:r>
      <w:r w:rsidRPr="002D5C19">
        <w:rPr>
          <w:rFonts w:hint="eastAsia"/>
          <w:color w:val="000000"/>
          <w:szCs w:val="21"/>
        </w:rPr>
        <w:t>、认购金额和利息折算的份额的计算</w:t>
      </w:r>
    </w:p>
    <w:p w14:paraId="7F9F8246"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w:t>
      </w:r>
      <w:r w:rsidRPr="002D5C19">
        <w:rPr>
          <w:rFonts w:hint="eastAsia"/>
          <w:color w:val="000000"/>
          <w:szCs w:val="21"/>
        </w:rPr>
        <w:t>1</w:t>
      </w:r>
      <w:r w:rsidRPr="002D5C19">
        <w:rPr>
          <w:rFonts w:hint="eastAsia"/>
          <w:color w:val="000000"/>
          <w:szCs w:val="21"/>
        </w:rPr>
        <w:t>）通过基金管理人进行网下现金认购的投资者，本基金认购金额和利息折算的份额的计算如下：</w:t>
      </w:r>
    </w:p>
    <w:p w14:paraId="2555AFEB"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认购金额＝认购价格×认购份额×（</w:t>
      </w:r>
      <w:r w:rsidRPr="002D5C19">
        <w:rPr>
          <w:rFonts w:hint="eastAsia"/>
          <w:color w:val="000000"/>
          <w:szCs w:val="21"/>
        </w:rPr>
        <w:t>1</w:t>
      </w:r>
      <w:r w:rsidRPr="002D5C19">
        <w:rPr>
          <w:rFonts w:hint="eastAsia"/>
          <w:color w:val="000000"/>
          <w:szCs w:val="21"/>
        </w:rPr>
        <w:t>＋认购费率）</w:t>
      </w:r>
    </w:p>
    <w:p w14:paraId="634A80D8"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（或若适用固定费用的，认购金额＝认购价格×认购份额</w:t>
      </w:r>
      <w:r w:rsidRPr="002D5C19">
        <w:rPr>
          <w:rFonts w:hint="eastAsia"/>
          <w:color w:val="000000"/>
          <w:szCs w:val="21"/>
        </w:rPr>
        <w:t>+</w:t>
      </w:r>
      <w:r w:rsidRPr="002D5C19">
        <w:rPr>
          <w:rFonts w:hint="eastAsia"/>
          <w:color w:val="000000"/>
          <w:szCs w:val="21"/>
        </w:rPr>
        <w:t>固定费用）</w:t>
      </w:r>
    </w:p>
    <w:p w14:paraId="3C3DBA55"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认购费用＝认购价格×认购份额×认购费率</w:t>
      </w:r>
    </w:p>
    <w:p w14:paraId="27221CE2"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（或若适用固定费用的，认购费用</w:t>
      </w:r>
      <w:r w:rsidRPr="002D5C19">
        <w:rPr>
          <w:rFonts w:hint="eastAsia"/>
          <w:color w:val="000000"/>
          <w:szCs w:val="21"/>
        </w:rPr>
        <w:t>=</w:t>
      </w:r>
      <w:r w:rsidRPr="002D5C19">
        <w:rPr>
          <w:rFonts w:hint="eastAsia"/>
          <w:color w:val="000000"/>
          <w:szCs w:val="21"/>
        </w:rPr>
        <w:t>固定费用）</w:t>
      </w:r>
    </w:p>
    <w:p w14:paraId="62BAC0F3"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利息折算的份额＝利息</w:t>
      </w:r>
      <w:r w:rsidRPr="002D5C19">
        <w:rPr>
          <w:rFonts w:hint="eastAsia"/>
          <w:color w:val="000000"/>
          <w:szCs w:val="21"/>
        </w:rPr>
        <w:t>/</w:t>
      </w:r>
      <w:r w:rsidRPr="002D5C19">
        <w:rPr>
          <w:rFonts w:hint="eastAsia"/>
          <w:color w:val="000000"/>
          <w:szCs w:val="21"/>
        </w:rPr>
        <w:t>认购价格</w:t>
      </w:r>
    </w:p>
    <w:p w14:paraId="3189029E"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网下现金认购款项在基金募集期间产生的利息将折算为基金份额</w:t>
      </w:r>
      <w:proofErr w:type="gramStart"/>
      <w:r w:rsidRPr="002D5C19">
        <w:rPr>
          <w:rFonts w:hint="eastAsia"/>
          <w:color w:val="000000"/>
          <w:szCs w:val="21"/>
        </w:rPr>
        <w:t>归基金</w:t>
      </w:r>
      <w:proofErr w:type="gramEnd"/>
      <w:r w:rsidRPr="002D5C19">
        <w:rPr>
          <w:rFonts w:hint="eastAsia"/>
          <w:color w:val="000000"/>
          <w:szCs w:val="21"/>
        </w:rPr>
        <w:t>份额持有人所有。网下现金认购的利息和具体份额以基金管理人的记录为准。利息折算的基金份额保留至整数位，小数部分舍去，舍去部分计入基金财产。</w:t>
      </w:r>
    </w:p>
    <w:p w14:paraId="70364727"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例：某投资人通过基金管理人采用网下现金方式认购本基金</w:t>
      </w:r>
      <w:r w:rsidRPr="002D5C19">
        <w:rPr>
          <w:rFonts w:hint="eastAsia"/>
          <w:color w:val="000000"/>
          <w:szCs w:val="21"/>
        </w:rPr>
        <w:t>500,000</w:t>
      </w:r>
      <w:r w:rsidRPr="002D5C19">
        <w:rPr>
          <w:rFonts w:hint="eastAsia"/>
          <w:color w:val="000000"/>
          <w:szCs w:val="21"/>
        </w:rPr>
        <w:t>份，认购费率为</w:t>
      </w:r>
      <w:r w:rsidRPr="002D5C19">
        <w:rPr>
          <w:rFonts w:hint="eastAsia"/>
          <w:color w:val="000000"/>
          <w:szCs w:val="21"/>
        </w:rPr>
        <w:t>0.50</w:t>
      </w:r>
      <w:r w:rsidRPr="002D5C19">
        <w:rPr>
          <w:rFonts w:hint="eastAsia"/>
          <w:color w:val="000000"/>
          <w:szCs w:val="21"/>
        </w:rPr>
        <w:t>％，则该投资人的认购金额为：</w:t>
      </w:r>
    </w:p>
    <w:p w14:paraId="6D54A89D"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认购金额＝</w:t>
      </w:r>
      <w:r w:rsidRPr="002D5C19">
        <w:rPr>
          <w:rFonts w:hint="eastAsia"/>
          <w:color w:val="000000"/>
          <w:szCs w:val="21"/>
        </w:rPr>
        <w:t>1.00</w:t>
      </w:r>
      <w:r w:rsidRPr="002D5C19">
        <w:rPr>
          <w:rFonts w:hint="eastAsia"/>
          <w:color w:val="000000"/>
          <w:szCs w:val="21"/>
        </w:rPr>
        <w:t>×</w:t>
      </w:r>
      <w:r w:rsidRPr="002D5C19">
        <w:rPr>
          <w:rFonts w:hint="eastAsia"/>
          <w:color w:val="000000"/>
          <w:szCs w:val="21"/>
        </w:rPr>
        <w:t>500,000</w:t>
      </w:r>
      <w:r w:rsidRPr="002D5C19">
        <w:rPr>
          <w:rFonts w:hint="eastAsia"/>
          <w:color w:val="000000"/>
          <w:szCs w:val="21"/>
        </w:rPr>
        <w:t>×（</w:t>
      </w:r>
      <w:r w:rsidRPr="002D5C19">
        <w:rPr>
          <w:rFonts w:hint="eastAsia"/>
          <w:color w:val="000000"/>
          <w:szCs w:val="21"/>
        </w:rPr>
        <w:t>1</w:t>
      </w:r>
      <w:r w:rsidRPr="002D5C19">
        <w:rPr>
          <w:rFonts w:hint="eastAsia"/>
          <w:color w:val="000000"/>
          <w:szCs w:val="21"/>
        </w:rPr>
        <w:t>＋</w:t>
      </w:r>
      <w:r w:rsidRPr="002D5C19">
        <w:rPr>
          <w:rFonts w:hint="eastAsia"/>
          <w:color w:val="000000"/>
          <w:szCs w:val="21"/>
        </w:rPr>
        <w:t>0.50</w:t>
      </w:r>
      <w:r w:rsidRPr="002D5C19">
        <w:rPr>
          <w:rFonts w:hint="eastAsia"/>
          <w:color w:val="000000"/>
          <w:szCs w:val="21"/>
        </w:rPr>
        <w:t>％）＝</w:t>
      </w:r>
      <w:r w:rsidRPr="002D5C19">
        <w:rPr>
          <w:rFonts w:hint="eastAsia"/>
          <w:color w:val="000000"/>
          <w:szCs w:val="21"/>
        </w:rPr>
        <w:t xml:space="preserve">502,500 </w:t>
      </w:r>
      <w:r w:rsidRPr="002D5C19">
        <w:rPr>
          <w:rFonts w:hint="eastAsia"/>
          <w:color w:val="000000"/>
          <w:szCs w:val="21"/>
        </w:rPr>
        <w:t>元</w:t>
      </w:r>
    </w:p>
    <w:p w14:paraId="63D57C34"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认购费用＝</w:t>
      </w:r>
      <w:r w:rsidRPr="002D5C19">
        <w:rPr>
          <w:rFonts w:hint="eastAsia"/>
          <w:color w:val="000000"/>
          <w:szCs w:val="21"/>
        </w:rPr>
        <w:t>1.00</w:t>
      </w:r>
      <w:r w:rsidRPr="002D5C19">
        <w:rPr>
          <w:rFonts w:hint="eastAsia"/>
          <w:color w:val="000000"/>
          <w:szCs w:val="21"/>
        </w:rPr>
        <w:t>×</w:t>
      </w:r>
      <w:r w:rsidRPr="002D5C19">
        <w:rPr>
          <w:rFonts w:hint="eastAsia"/>
          <w:color w:val="000000"/>
          <w:szCs w:val="21"/>
        </w:rPr>
        <w:t>500,000</w:t>
      </w:r>
      <w:r w:rsidRPr="002D5C19">
        <w:rPr>
          <w:rFonts w:hint="eastAsia"/>
          <w:color w:val="000000"/>
          <w:szCs w:val="21"/>
        </w:rPr>
        <w:t>×</w:t>
      </w:r>
      <w:r w:rsidRPr="002D5C19">
        <w:rPr>
          <w:rFonts w:hint="eastAsia"/>
          <w:color w:val="000000"/>
          <w:szCs w:val="21"/>
        </w:rPr>
        <w:t>0.50</w:t>
      </w:r>
      <w:r w:rsidRPr="002D5C19">
        <w:rPr>
          <w:rFonts w:hint="eastAsia"/>
          <w:color w:val="000000"/>
          <w:szCs w:val="21"/>
        </w:rPr>
        <w:t>％＝</w:t>
      </w:r>
      <w:r w:rsidRPr="002D5C19">
        <w:rPr>
          <w:rFonts w:hint="eastAsia"/>
          <w:color w:val="000000"/>
          <w:szCs w:val="21"/>
        </w:rPr>
        <w:t>2500</w:t>
      </w:r>
      <w:r w:rsidRPr="002D5C19">
        <w:rPr>
          <w:rFonts w:hint="eastAsia"/>
          <w:color w:val="000000"/>
          <w:szCs w:val="21"/>
        </w:rPr>
        <w:t>元</w:t>
      </w:r>
    </w:p>
    <w:p w14:paraId="100AC9C2"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又假设该笔资金在募集期间产生了</w:t>
      </w:r>
      <w:r w:rsidRPr="002D5C19">
        <w:rPr>
          <w:rFonts w:hint="eastAsia"/>
          <w:color w:val="000000"/>
          <w:szCs w:val="21"/>
        </w:rPr>
        <w:t>55.8</w:t>
      </w:r>
      <w:r w:rsidRPr="002D5C19">
        <w:rPr>
          <w:rFonts w:hint="eastAsia"/>
          <w:color w:val="000000"/>
          <w:szCs w:val="21"/>
        </w:rPr>
        <w:t>元的利息，则利息折算的份额＝</w:t>
      </w:r>
      <w:r w:rsidRPr="002D5C19">
        <w:rPr>
          <w:rFonts w:hint="eastAsia"/>
          <w:color w:val="000000"/>
          <w:szCs w:val="21"/>
        </w:rPr>
        <w:t>55.8</w:t>
      </w:r>
      <w:r w:rsidRPr="002D5C19">
        <w:rPr>
          <w:rFonts w:hint="eastAsia"/>
          <w:color w:val="000000"/>
          <w:szCs w:val="21"/>
        </w:rPr>
        <w:t>／</w:t>
      </w:r>
      <w:r w:rsidRPr="002D5C19">
        <w:rPr>
          <w:rFonts w:hint="eastAsia"/>
          <w:color w:val="000000"/>
          <w:szCs w:val="21"/>
        </w:rPr>
        <w:t>1.00</w:t>
      </w:r>
      <w:r w:rsidRPr="002D5C19">
        <w:rPr>
          <w:rFonts w:hint="eastAsia"/>
          <w:color w:val="000000"/>
          <w:szCs w:val="21"/>
        </w:rPr>
        <w:t>＝</w:t>
      </w:r>
      <w:r w:rsidRPr="002D5C19">
        <w:rPr>
          <w:rFonts w:hint="eastAsia"/>
          <w:color w:val="000000"/>
          <w:szCs w:val="21"/>
        </w:rPr>
        <w:t>55</w:t>
      </w:r>
      <w:r w:rsidRPr="002D5C19">
        <w:rPr>
          <w:rFonts w:hint="eastAsia"/>
          <w:color w:val="000000"/>
          <w:szCs w:val="21"/>
        </w:rPr>
        <w:t>份（保留至整数位）</w:t>
      </w:r>
    </w:p>
    <w:p w14:paraId="08EADC6A"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即，若该投资人通过基金管理人采用网下现金方式认购本基金</w:t>
      </w:r>
      <w:r w:rsidRPr="002D5C19">
        <w:rPr>
          <w:rFonts w:hint="eastAsia"/>
          <w:color w:val="000000"/>
          <w:szCs w:val="21"/>
        </w:rPr>
        <w:t>500,000</w:t>
      </w:r>
      <w:r w:rsidRPr="002D5C19">
        <w:rPr>
          <w:rFonts w:hint="eastAsia"/>
          <w:color w:val="000000"/>
          <w:szCs w:val="21"/>
        </w:rPr>
        <w:t>份，则需缴纳认购金额</w:t>
      </w:r>
      <w:r w:rsidRPr="002D5C19">
        <w:rPr>
          <w:rFonts w:hint="eastAsia"/>
          <w:color w:val="000000"/>
          <w:szCs w:val="21"/>
        </w:rPr>
        <w:t>502,500</w:t>
      </w:r>
      <w:r w:rsidRPr="002D5C19">
        <w:rPr>
          <w:rFonts w:hint="eastAsia"/>
          <w:color w:val="000000"/>
          <w:szCs w:val="21"/>
        </w:rPr>
        <w:t>元，其中认购费用</w:t>
      </w:r>
      <w:r w:rsidRPr="002D5C19">
        <w:rPr>
          <w:rFonts w:hint="eastAsia"/>
          <w:color w:val="000000"/>
          <w:szCs w:val="21"/>
        </w:rPr>
        <w:t>2500</w:t>
      </w:r>
      <w:r w:rsidRPr="002D5C19">
        <w:rPr>
          <w:rFonts w:hint="eastAsia"/>
          <w:color w:val="000000"/>
          <w:szCs w:val="21"/>
        </w:rPr>
        <w:t>元，并可获得利息折算的份额</w:t>
      </w:r>
      <w:r w:rsidRPr="002D5C19">
        <w:rPr>
          <w:rFonts w:hint="eastAsia"/>
          <w:color w:val="000000"/>
          <w:szCs w:val="21"/>
        </w:rPr>
        <w:t>55</w:t>
      </w:r>
      <w:r w:rsidRPr="002D5C19">
        <w:rPr>
          <w:rFonts w:hint="eastAsia"/>
          <w:color w:val="000000"/>
          <w:szCs w:val="21"/>
        </w:rPr>
        <w:t>份，该投资人</w:t>
      </w:r>
      <w:r w:rsidRPr="002D5C19">
        <w:rPr>
          <w:rFonts w:hint="eastAsia"/>
          <w:color w:val="000000"/>
          <w:szCs w:val="21"/>
        </w:rPr>
        <w:lastRenderedPageBreak/>
        <w:t>一共可获得</w:t>
      </w:r>
      <w:r w:rsidRPr="002D5C19">
        <w:rPr>
          <w:rFonts w:hint="eastAsia"/>
          <w:color w:val="000000"/>
          <w:szCs w:val="21"/>
        </w:rPr>
        <w:t>500,055</w:t>
      </w:r>
      <w:r w:rsidRPr="002D5C19">
        <w:rPr>
          <w:rFonts w:hint="eastAsia"/>
          <w:color w:val="000000"/>
          <w:szCs w:val="21"/>
        </w:rPr>
        <w:t>份基金份额。</w:t>
      </w:r>
    </w:p>
    <w:p w14:paraId="3516862E"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w:t>
      </w:r>
      <w:r w:rsidRPr="002D5C19">
        <w:rPr>
          <w:rFonts w:hint="eastAsia"/>
          <w:color w:val="000000"/>
          <w:szCs w:val="21"/>
        </w:rPr>
        <w:t>2</w:t>
      </w:r>
      <w:r w:rsidRPr="002D5C19">
        <w:rPr>
          <w:rFonts w:hint="eastAsia"/>
          <w:color w:val="000000"/>
          <w:szCs w:val="21"/>
        </w:rPr>
        <w:t>）通过发售代理机构进行网下现金认购的认购金额的计算：同通过发售代理机构进行网上现金认购的认购金额的计算。</w:t>
      </w:r>
    </w:p>
    <w:p w14:paraId="3C266AFA" w14:textId="77777777" w:rsidR="002D5C19" w:rsidRPr="002D5C19" w:rsidRDefault="002D5C19" w:rsidP="002D5C19">
      <w:pPr>
        <w:tabs>
          <w:tab w:val="left" w:pos="540"/>
        </w:tabs>
        <w:snapToGrid w:val="0"/>
        <w:spacing w:line="360" w:lineRule="auto"/>
        <w:ind w:firstLineChars="200" w:firstLine="420"/>
        <w:rPr>
          <w:color w:val="000000"/>
          <w:szCs w:val="21"/>
        </w:rPr>
      </w:pPr>
      <w:r w:rsidRPr="002D5C19">
        <w:rPr>
          <w:rFonts w:hint="eastAsia"/>
          <w:color w:val="000000"/>
          <w:szCs w:val="21"/>
        </w:rPr>
        <w:t>5</w:t>
      </w:r>
      <w:r w:rsidRPr="002D5C19">
        <w:rPr>
          <w:rFonts w:hint="eastAsia"/>
          <w:color w:val="000000"/>
          <w:szCs w:val="21"/>
        </w:rPr>
        <w:t>、投资人通过基金管理人提交的网下现金认购申请，由基金管理人确认后，将认购资金划入基金管理人预先开设的基金募集专户。</w:t>
      </w:r>
    </w:p>
    <w:p w14:paraId="063B0F2B" w14:textId="77777777" w:rsidR="002D5C19" w:rsidRDefault="002D5C19">
      <w:pPr>
        <w:tabs>
          <w:tab w:val="left" w:pos="540"/>
        </w:tabs>
        <w:snapToGrid w:val="0"/>
        <w:spacing w:line="360" w:lineRule="auto"/>
        <w:ind w:firstLineChars="200" w:firstLine="420"/>
        <w:rPr>
          <w:color w:val="000000"/>
          <w:szCs w:val="21"/>
        </w:rPr>
      </w:pPr>
      <w:r w:rsidRPr="002D5C19">
        <w:rPr>
          <w:rFonts w:hint="eastAsia"/>
          <w:color w:val="000000"/>
          <w:szCs w:val="21"/>
        </w:rPr>
        <w:t>6</w:t>
      </w:r>
      <w:r w:rsidRPr="002D5C19">
        <w:rPr>
          <w:rFonts w:hint="eastAsia"/>
          <w:color w:val="000000"/>
          <w:szCs w:val="21"/>
        </w:rPr>
        <w:t>、在基金合同生效后，投资人可通过其办理认购的销售网点查询认购确认情况。</w:t>
      </w:r>
    </w:p>
    <w:p w14:paraId="1F919DD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十六）网下股票认购</w:t>
      </w:r>
    </w:p>
    <w:p w14:paraId="7EC2B4F3" w14:textId="2A3C5149" w:rsidR="00FB1C84" w:rsidRPr="00FB1C84" w:rsidRDefault="00FB1C84">
      <w:pPr>
        <w:tabs>
          <w:tab w:val="left" w:pos="540"/>
        </w:tabs>
        <w:snapToGrid w:val="0"/>
        <w:spacing w:line="360" w:lineRule="auto"/>
        <w:ind w:firstLineChars="200" w:firstLine="420"/>
        <w:rPr>
          <w:color w:val="000000"/>
          <w:szCs w:val="21"/>
        </w:rPr>
      </w:pPr>
      <w:r w:rsidRPr="00FB1C84">
        <w:rPr>
          <w:rFonts w:hint="eastAsia"/>
          <w:color w:val="000000"/>
          <w:szCs w:val="21"/>
        </w:rPr>
        <w:t>基金管理人将就认购期内的允许作为网下股票认购的股票名录予以公告并不时调整。</w:t>
      </w:r>
    </w:p>
    <w:p w14:paraId="30623D85"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、认购时间：认购时间详见本基金份额发售公告。</w:t>
      </w:r>
    </w:p>
    <w:p w14:paraId="43DED20F"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、认购限额：</w:t>
      </w:r>
    </w:p>
    <w:p w14:paraId="562D72DF" w14:textId="77777777" w:rsidR="00175DB4" w:rsidRDefault="000519D1">
      <w:pPr>
        <w:tabs>
          <w:tab w:val="left" w:pos="540"/>
        </w:tabs>
        <w:snapToGrid w:val="0"/>
        <w:spacing w:line="360" w:lineRule="auto"/>
        <w:ind w:firstLineChars="200" w:firstLine="420"/>
        <w:rPr>
          <w:color w:val="000000"/>
          <w:szCs w:val="21"/>
        </w:rPr>
      </w:pPr>
      <w:r>
        <w:rPr>
          <w:color w:val="000000"/>
          <w:szCs w:val="21"/>
        </w:rPr>
        <w:t>以单只股票股数申报，用以认购的股票必须是</w:t>
      </w:r>
      <w:r>
        <w:rPr>
          <w:rFonts w:hint="eastAsia"/>
          <w:color w:val="000000"/>
          <w:szCs w:val="21"/>
        </w:rPr>
        <w:t>基金管理人公告的允许网下股票认购的股票名单</w:t>
      </w:r>
      <w:r>
        <w:rPr>
          <w:color w:val="000000"/>
          <w:szCs w:val="21"/>
        </w:rPr>
        <w:t>。单只股票最低认购申报股数为</w:t>
      </w:r>
      <w:r>
        <w:rPr>
          <w:color w:val="000000"/>
          <w:szCs w:val="21"/>
        </w:rPr>
        <w:t>1000</w:t>
      </w:r>
      <w:r>
        <w:rPr>
          <w:color w:val="000000"/>
          <w:szCs w:val="21"/>
        </w:rPr>
        <w:t>股，超过</w:t>
      </w:r>
      <w:r>
        <w:rPr>
          <w:color w:val="000000"/>
          <w:szCs w:val="21"/>
        </w:rPr>
        <w:t>1000</w:t>
      </w:r>
      <w:r>
        <w:rPr>
          <w:color w:val="000000"/>
          <w:szCs w:val="21"/>
        </w:rPr>
        <w:t>股的部分须为</w:t>
      </w:r>
      <w:r>
        <w:rPr>
          <w:color w:val="000000"/>
          <w:szCs w:val="21"/>
        </w:rPr>
        <w:t>100</w:t>
      </w:r>
      <w:r>
        <w:rPr>
          <w:color w:val="000000"/>
          <w:szCs w:val="21"/>
        </w:rPr>
        <w:t>股的整数</w:t>
      </w:r>
      <w:proofErr w:type="gramStart"/>
      <w:r>
        <w:rPr>
          <w:color w:val="000000"/>
          <w:szCs w:val="21"/>
        </w:rPr>
        <w:t>倍</w:t>
      </w:r>
      <w:proofErr w:type="gramEnd"/>
      <w:r>
        <w:rPr>
          <w:color w:val="000000"/>
          <w:szCs w:val="21"/>
        </w:rPr>
        <w:t>。投资人可以多次提交认购申请，累计申报股数不设上限。</w:t>
      </w:r>
    </w:p>
    <w:p w14:paraId="289CC4A8"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、认购手续：</w:t>
      </w:r>
    </w:p>
    <w:p w14:paraId="21312D3C" w14:textId="77777777" w:rsidR="00175DB4" w:rsidRDefault="000519D1">
      <w:pPr>
        <w:tabs>
          <w:tab w:val="left" w:pos="540"/>
        </w:tabs>
        <w:snapToGrid w:val="0"/>
        <w:spacing w:line="360" w:lineRule="auto"/>
        <w:ind w:firstLineChars="200" w:firstLine="420"/>
        <w:rPr>
          <w:color w:val="000000"/>
          <w:szCs w:val="21"/>
        </w:rPr>
      </w:pPr>
      <w:r>
        <w:rPr>
          <w:color w:val="000000"/>
          <w:szCs w:val="21"/>
        </w:rPr>
        <w:t>认购</w:t>
      </w:r>
      <w:r>
        <w:rPr>
          <w:rFonts w:hint="eastAsia"/>
          <w:color w:val="000000"/>
          <w:szCs w:val="21"/>
        </w:rPr>
        <w:t>佣金</w:t>
      </w:r>
      <w:r>
        <w:rPr>
          <w:color w:val="000000"/>
          <w:szCs w:val="21"/>
        </w:rPr>
        <w:t>由发售代理机构在投资人认购时收取。投资人认购本基金时，需按销售机构的规定，到基金销售网点办理认购手续，并备足认购股票。网下股票认购申请一经受理不得撤销，投资人申报的股票</w:t>
      </w:r>
      <w:r>
        <w:rPr>
          <w:rFonts w:hint="eastAsia"/>
          <w:color w:val="000000"/>
          <w:szCs w:val="21"/>
        </w:rPr>
        <w:t>由发售代理机构</w:t>
      </w:r>
      <w:r>
        <w:rPr>
          <w:color w:val="000000"/>
          <w:szCs w:val="21"/>
        </w:rPr>
        <w:t>予以冻结。投资人的认购股票在网下股票认购日至登记机构进行股票过户日（不含）的冻结期间所产生的权益归投资人所有。</w:t>
      </w:r>
    </w:p>
    <w:p w14:paraId="76A12638"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、特别提示：投资人应根据法律法规及证券交易所相关规定进行股票认购，并及时履行因股票认购导致的股份减持所涉及的信息披露等义务。</w:t>
      </w:r>
    </w:p>
    <w:p w14:paraId="1F4420DE" w14:textId="3954D6BC"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、特殊情形</w:t>
      </w:r>
      <w:r w:rsidR="00823830">
        <w:rPr>
          <w:rFonts w:hint="eastAsia"/>
          <w:color w:val="000000"/>
          <w:szCs w:val="21"/>
        </w:rPr>
        <w:t>：</w:t>
      </w:r>
    </w:p>
    <w:p w14:paraId="13AD9521"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已公告的将被调出</w:t>
      </w:r>
      <w:r>
        <w:rPr>
          <w:rFonts w:hint="eastAsia"/>
          <w:color w:val="000000"/>
          <w:szCs w:val="21"/>
        </w:rPr>
        <w:t>标的</w:t>
      </w:r>
      <w:r>
        <w:rPr>
          <w:color w:val="000000"/>
          <w:szCs w:val="21"/>
        </w:rPr>
        <w:t>指数的成份股不得用于认购本基金。</w:t>
      </w:r>
    </w:p>
    <w:p w14:paraId="053EDA79"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限制个股认购规模：基金管理人可根据网下股票认购日前</w:t>
      </w:r>
      <w:r>
        <w:rPr>
          <w:color w:val="000000"/>
          <w:szCs w:val="21"/>
        </w:rPr>
        <w:t>3</w:t>
      </w:r>
      <w:r>
        <w:rPr>
          <w:color w:val="000000"/>
          <w:szCs w:val="21"/>
        </w:rPr>
        <w:t>个月个股的交易量、价格波动及其他异常情况，决定是否对个股认购规模进行限制，并在网下股票认购日前至少</w:t>
      </w:r>
      <w:r>
        <w:rPr>
          <w:color w:val="000000"/>
          <w:szCs w:val="21"/>
        </w:rPr>
        <w:t>3</w:t>
      </w:r>
      <w:r>
        <w:rPr>
          <w:color w:val="000000"/>
          <w:szCs w:val="21"/>
        </w:rPr>
        <w:t>日公告限制认购规模的个股名单。</w:t>
      </w:r>
      <w:r>
        <w:rPr>
          <w:rFonts w:hint="eastAsia"/>
          <w:color w:val="000000"/>
          <w:szCs w:val="21"/>
        </w:rPr>
        <w:t>如果投资者的个股认购规模超过该券在标的指数的构成比例，基金管理人有权对超过构成比例的部分予以拒绝。</w:t>
      </w:r>
    </w:p>
    <w:p w14:paraId="5750125F" w14:textId="07DC8121"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临时拒绝个股认购：对于在网下股票认购期间价格波动异常</w:t>
      </w:r>
      <w:r>
        <w:rPr>
          <w:rFonts w:hint="eastAsia"/>
          <w:color w:val="000000"/>
        </w:rPr>
        <w:t>、</w:t>
      </w:r>
      <w:r>
        <w:rPr>
          <w:color w:val="000000"/>
        </w:rPr>
        <w:t>长期停牌</w:t>
      </w:r>
      <w:r>
        <w:rPr>
          <w:color w:val="000000"/>
          <w:szCs w:val="21"/>
        </w:rPr>
        <w:t>或认购申报数量异常</w:t>
      </w:r>
      <w:proofErr w:type="gramStart"/>
      <w:r w:rsidR="00FB1C84" w:rsidRPr="00FB1C84">
        <w:rPr>
          <w:rFonts w:hint="eastAsia"/>
          <w:color w:val="000000"/>
          <w:szCs w:val="21"/>
        </w:rPr>
        <w:t>等允许</w:t>
      </w:r>
      <w:proofErr w:type="gramEnd"/>
      <w:r w:rsidR="00FB1C84" w:rsidRPr="00FB1C84">
        <w:rPr>
          <w:rFonts w:hint="eastAsia"/>
          <w:color w:val="000000"/>
          <w:szCs w:val="21"/>
        </w:rPr>
        <w:t>其认购可能影响基金份额持有人利益</w:t>
      </w:r>
      <w:r>
        <w:rPr>
          <w:color w:val="000000"/>
          <w:szCs w:val="21"/>
        </w:rPr>
        <w:t>的个股，基金管理人可不经公告，全部或部分拒绝该股票的认购申报。</w:t>
      </w:r>
    </w:p>
    <w:p w14:paraId="35DDAC1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(4)</w:t>
      </w:r>
      <w:r>
        <w:rPr>
          <w:rFonts w:hint="eastAsia"/>
          <w:color w:val="000000"/>
          <w:szCs w:val="21"/>
        </w:rPr>
        <w:t>根据法律法规本基金不得持有的标的指数成份股，将不能用于认购本基金。</w:t>
      </w:r>
    </w:p>
    <w:p w14:paraId="1420BA11" w14:textId="77777777" w:rsidR="00175DB4" w:rsidRDefault="000519D1">
      <w:pPr>
        <w:tabs>
          <w:tab w:val="left" w:pos="540"/>
        </w:tabs>
        <w:snapToGrid w:val="0"/>
        <w:spacing w:line="360" w:lineRule="auto"/>
        <w:ind w:firstLineChars="200" w:firstLine="420"/>
        <w:rPr>
          <w:color w:val="000000"/>
          <w:szCs w:val="21"/>
        </w:rPr>
      </w:pPr>
      <w:r>
        <w:rPr>
          <w:color w:val="000000"/>
          <w:szCs w:val="21"/>
        </w:rPr>
        <w:t>6</w:t>
      </w:r>
      <w:r>
        <w:rPr>
          <w:color w:val="000000"/>
          <w:szCs w:val="21"/>
        </w:rPr>
        <w:t>、清算交收：</w:t>
      </w:r>
      <w:r>
        <w:rPr>
          <w:color w:val="000000"/>
        </w:rPr>
        <w:t>L</w:t>
      </w:r>
      <w:r>
        <w:rPr>
          <w:color w:val="000000"/>
          <w:szCs w:val="21"/>
        </w:rPr>
        <w:t>日日终</w:t>
      </w:r>
      <w:r>
        <w:rPr>
          <w:color w:val="000000"/>
          <w:szCs w:val="21"/>
        </w:rPr>
        <w:t>(</w:t>
      </w:r>
      <w:r>
        <w:rPr>
          <w:color w:val="000000"/>
        </w:rPr>
        <w:t>L</w:t>
      </w:r>
      <w:r>
        <w:rPr>
          <w:color w:val="000000"/>
          <w:szCs w:val="21"/>
        </w:rPr>
        <w:t>日为本基金发售期最后一日</w:t>
      </w:r>
      <w:r>
        <w:rPr>
          <w:color w:val="000000"/>
          <w:szCs w:val="21"/>
        </w:rPr>
        <w:t>)</w:t>
      </w:r>
      <w:r>
        <w:rPr>
          <w:color w:val="000000"/>
          <w:szCs w:val="21"/>
        </w:rPr>
        <w:t>，发售代理机构将股票认购数据按投资人证券账户汇总发送给基金管理人，基金管理人收到股票认购数据后初步确认各</w:t>
      </w:r>
      <w:r>
        <w:rPr>
          <w:rFonts w:hint="eastAsia"/>
          <w:color w:val="000000"/>
          <w:szCs w:val="21"/>
        </w:rPr>
        <w:t>股票</w:t>
      </w:r>
      <w:r>
        <w:rPr>
          <w:color w:val="000000"/>
          <w:szCs w:val="21"/>
        </w:rPr>
        <w:t>的有效认购数量。</w:t>
      </w:r>
      <w:r>
        <w:rPr>
          <w:color w:val="000000"/>
        </w:rPr>
        <w:t>L</w:t>
      </w:r>
      <w:r>
        <w:rPr>
          <w:color w:val="000000"/>
          <w:szCs w:val="21"/>
        </w:rPr>
        <w:t>+1</w:t>
      </w:r>
      <w:r>
        <w:rPr>
          <w:color w:val="000000"/>
          <w:szCs w:val="21"/>
        </w:rPr>
        <w:t>日起，登记机构根据基金管理人提供的确认数据，冻结上海市场网下认购股票，并将深圳市场网下认购股票过户至本基金组合证券认购专户。</w:t>
      </w:r>
      <w:r>
        <w:rPr>
          <w:rFonts w:hint="eastAsia"/>
          <w:color w:val="000000"/>
        </w:rPr>
        <w:t>以基金份</w:t>
      </w:r>
      <w:r>
        <w:rPr>
          <w:rFonts w:hint="eastAsia"/>
          <w:color w:val="000000"/>
        </w:rPr>
        <w:lastRenderedPageBreak/>
        <w:t>额方式支付佣金的，</w:t>
      </w:r>
      <w:r>
        <w:rPr>
          <w:color w:val="000000"/>
          <w:szCs w:val="21"/>
        </w:rPr>
        <w:t>基金管理人为投资人计算认购份额，并根据发售代理机构提供的数据计算投资人应以基金份额方式支付的佣金，从投资人的认购份额中扣除，为发售代理机构增加相应的基金份额。登记机构根据基金管理人提供的有效认购申请股票数据，将上海和深圳的股票分别过户至本基金在上海、深圳开立的证券账户。基金合同生效后，登记机构根据基金管理人提供的投资人净认购份额明细数据进行投资人认购份额的初始登记。</w:t>
      </w:r>
    </w:p>
    <w:p w14:paraId="468ED65F" w14:textId="77777777" w:rsidR="00175DB4" w:rsidRDefault="000519D1">
      <w:pPr>
        <w:tabs>
          <w:tab w:val="left" w:pos="540"/>
        </w:tabs>
        <w:snapToGrid w:val="0"/>
        <w:spacing w:line="360" w:lineRule="auto"/>
        <w:ind w:firstLineChars="200" w:firstLine="420"/>
        <w:rPr>
          <w:color w:val="000000"/>
          <w:szCs w:val="21"/>
        </w:rPr>
      </w:pPr>
      <w:r>
        <w:rPr>
          <w:color w:val="000000"/>
          <w:szCs w:val="21"/>
        </w:rPr>
        <w:t>在基金管理人或发售代理机构允许的条件下，投资人可选择以现金或基金份额的方式支付认购费用。</w:t>
      </w:r>
    </w:p>
    <w:p w14:paraId="70C2DD31" w14:textId="77777777" w:rsidR="00175DB4" w:rsidRDefault="000519D1">
      <w:pPr>
        <w:tabs>
          <w:tab w:val="left" w:pos="540"/>
        </w:tabs>
        <w:snapToGrid w:val="0"/>
        <w:spacing w:line="360" w:lineRule="auto"/>
        <w:ind w:firstLineChars="200" w:firstLine="420"/>
        <w:rPr>
          <w:color w:val="000000"/>
          <w:szCs w:val="21"/>
        </w:rPr>
      </w:pPr>
      <w:r>
        <w:rPr>
          <w:color w:val="000000"/>
          <w:szCs w:val="21"/>
        </w:rPr>
        <w:t>7</w:t>
      </w:r>
      <w:r>
        <w:rPr>
          <w:color w:val="000000"/>
          <w:szCs w:val="21"/>
        </w:rPr>
        <w:t>、认购份额的计算公式：</w:t>
      </w:r>
    </w:p>
    <w:p w14:paraId="7EAC831A" w14:textId="77777777" w:rsidR="00175DB4" w:rsidRDefault="000519D1">
      <w:pPr>
        <w:tabs>
          <w:tab w:val="left" w:pos="540"/>
        </w:tabs>
        <w:snapToGrid w:val="0"/>
        <w:spacing w:line="360" w:lineRule="auto"/>
        <w:ind w:firstLineChars="200" w:firstLine="420"/>
        <w:rPr>
          <w:color w:val="000000"/>
          <w:szCs w:val="21"/>
        </w:rPr>
      </w:pPr>
      <w:r>
        <w:rPr>
          <w:color w:val="000000"/>
          <w:szCs w:val="21"/>
        </w:rPr>
        <w:t>投资人的认购份额＝</w:t>
      </w:r>
      <w:r>
        <w:rPr>
          <w:color w:val="000000"/>
          <w:szCs w:val="21"/>
        </w:rPr>
        <w:t>Σ(</w:t>
      </w:r>
      <w:r>
        <w:rPr>
          <w:color w:val="000000"/>
          <w:szCs w:val="21"/>
        </w:rPr>
        <w:t>第</w:t>
      </w:r>
      <w:r>
        <w:rPr>
          <w:color w:val="000000"/>
          <w:szCs w:val="21"/>
        </w:rPr>
        <w:t>i</w:t>
      </w:r>
      <w:r>
        <w:rPr>
          <w:color w:val="000000"/>
          <w:szCs w:val="21"/>
        </w:rPr>
        <w:t>只股票在</w:t>
      </w:r>
      <w:r>
        <w:rPr>
          <w:color w:val="000000"/>
        </w:rPr>
        <w:t>L</w:t>
      </w:r>
      <w:r>
        <w:rPr>
          <w:color w:val="000000"/>
          <w:szCs w:val="21"/>
        </w:rPr>
        <w:t>日的均价</w:t>
      </w:r>
      <w:r>
        <w:rPr>
          <w:color w:val="000000"/>
          <w:szCs w:val="21"/>
        </w:rPr>
        <w:t>×</w:t>
      </w:r>
      <w:r>
        <w:rPr>
          <w:color w:val="000000"/>
          <w:szCs w:val="21"/>
        </w:rPr>
        <w:t>有效认购数量</w:t>
      </w:r>
      <w:r>
        <w:rPr>
          <w:color w:val="000000"/>
          <w:szCs w:val="21"/>
        </w:rPr>
        <w:t xml:space="preserve">)/1.00 </w:t>
      </w:r>
    </w:p>
    <w:p w14:paraId="3B2E88A3" w14:textId="77777777" w:rsidR="00175DB4" w:rsidRDefault="000519D1">
      <w:pPr>
        <w:tabs>
          <w:tab w:val="left" w:pos="540"/>
        </w:tabs>
        <w:snapToGrid w:val="0"/>
        <w:spacing w:line="360" w:lineRule="auto"/>
        <w:ind w:firstLineChars="200" w:firstLine="420"/>
        <w:rPr>
          <w:color w:val="000000"/>
          <w:szCs w:val="21"/>
        </w:rPr>
      </w:pPr>
      <w:r>
        <w:rPr>
          <w:color w:val="000000"/>
          <w:szCs w:val="21"/>
        </w:rPr>
        <w:t>其中，</w:t>
      </w:r>
    </w:p>
    <w:p w14:paraId="033CA95D" w14:textId="489E2E02" w:rsidR="00175DB4" w:rsidRDefault="000519D1">
      <w:pPr>
        <w:tabs>
          <w:tab w:val="left" w:pos="540"/>
        </w:tabs>
        <w:snapToGrid w:val="0"/>
        <w:spacing w:line="360" w:lineRule="auto"/>
        <w:ind w:firstLineChars="200" w:firstLine="420"/>
        <w:rPr>
          <w:color w:val="000000"/>
          <w:szCs w:val="21"/>
        </w:rPr>
      </w:pPr>
      <w:r>
        <w:rPr>
          <w:color w:val="000000"/>
          <w:szCs w:val="21"/>
        </w:rPr>
        <w:t>(1)i</w:t>
      </w:r>
      <w:r>
        <w:rPr>
          <w:color w:val="000000"/>
          <w:szCs w:val="21"/>
        </w:rPr>
        <w:t>代表投资人提交认购申请的第</w:t>
      </w:r>
      <w:r>
        <w:rPr>
          <w:color w:val="000000"/>
          <w:szCs w:val="21"/>
        </w:rPr>
        <w:t>i</w:t>
      </w:r>
      <w:r>
        <w:rPr>
          <w:color w:val="000000"/>
          <w:szCs w:val="21"/>
        </w:rPr>
        <w:t>只股票，如投资人仅提交了</w:t>
      </w:r>
      <w:r>
        <w:rPr>
          <w:color w:val="000000"/>
          <w:szCs w:val="21"/>
        </w:rPr>
        <w:t>1</w:t>
      </w:r>
      <w:r>
        <w:rPr>
          <w:color w:val="000000"/>
          <w:szCs w:val="21"/>
        </w:rPr>
        <w:t>只股票的申请，则</w:t>
      </w:r>
      <w:r>
        <w:rPr>
          <w:color w:val="000000"/>
          <w:szCs w:val="21"/>
        </w:rPr>
        <w:t>i</w:t>
      </w:r>
      <w:r>
        <w:rPr>
          <w:color w:val="000000"/>
          <w:szCs w:val="21"/>
        </w:rPr>
        <w:t>＝</w:t>
      </w:r>
      <w:r>
        <w:rPr>
          <w:color w:val="000000"/>
          <w:szCs w:val="21"/>
        </w:rPr>
        <w:t>1</w:t>
      </w:r>
      <w:r>
        <w:rPr>
          <w:color w:val="000000"/>
          <w:szCs w:val="21"/>
        </w:rPr>
        <w:t>。</w:t>
      </w:r>
    </w:p>
    <w:p w14:paraId="493A0796"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第</w:t>
      </w:r>
      <w:r>
        <w:rPr>
          <w:color w:val="000000"/>
          <w:szCs w:val="21"/>
        </w:rPr>
        <w:t>i</w:t>
      </w:r>
      <w:r>
        <w:rPr>
          <w:color w:val="000000"/>
          <w:szCs w:val="21"/>
        </w:rPr>
        <w:t>只股票在</w:t>
      </w:r>
      <w:r>
        <w:rPr>
          <w:color w:val="000000"/>
        </w:rPr>
        <w:t>L</w:t>
      </w:r>
      <w:r>
        <w:rPr>
          <w:color w:val="000000"/>
          <w:szCs w:val="21"/>
        </w:rPr>
        <w:t>日的均价</w:t>
      </w:r>
      <w:r>
        <w:rPr>
          <w:color w:val="000000"/>
          <w:szCs w:val="21"/>
        </w:rPr>
        <w:t>”</w:t>
      </w:r>
      <w:r>
        <w:rPr>
          <w:color w:val="000000"/>
          <w:szCs w:val="21"/>
        </w:rPr>
        <w:t>由基金管理人根据深圳证券交易所及上海证券交易所的</w:t>
      </w:r>
      <w:r>
        <w:rPr>
          <w:color w:val="000000"/>
        </w:rPr>
        <w:t>L</w:t>
      </w:r>
      <w:r>
        <w:rPr>
          <w:color w:val="000000"/>
          <w:szCs w:val="21"/>
        </w:rPr>
        <w:t>日行情数据，以该股票的总成交金额除以总成交股数计算，以四舍五入的方法保留小数点后两位。若该股票在</w:t>
      </w:r>
      <w:r>
        <w:rPr>
          <w:color w:val="000000"/>
        </w:rPr>
        <w:t>L</w:t>
      </w:r>
      <w:r>
        <w:rPr>
          <w:color w:val="000000"/>
          <w:szCs w:val="21"/>
        </w:rPr>
        <w:t>日停牌或无成交，则以同样方法计算最近一个交易日的均价作为计算价格。</w:t>
      </w:r>
    </w:p>
    <w:p w14:paraId="5241E52D" w14:textId="77777777" w:rsidR="00175DB4" w:rsidRDefault="000519D1">
      <w:pPr>
        <w:tabs>
          <w:tab w:val="left" w:pos="540"/>
        </w:tabs>
        <w:snapToGrid w:val="0"/>
        <w:spacing w:line="360" w:lineRule="auto"/>
        <w:ind w:firstLineChars="200" w:firstLine="420"/>
        <w:rPr>
          <w:color w:val="000000"/>
          <w:szCs w:val="21"/>
        </w:rPr>
      </w:pPr>
      <w:r>
        <w:rPr>
          <w:color w:val="000000"/>
          <w:szCs w:val="21"/>
        </w:rPr>
        <w:t>若某一股票在</w:t>
      </w:r>
      <w:r>
        <w:rPr>
          <w:color w:val="000000"/>
        </w:rPr>
        <w:t>L</w:t>
      </w:r>
      <w:r>
        <w:rPr>
          <w:color w:val="000000"/>
          <w:szCs w:val="21"/>
        </w:rPr>
        <w:t>日至登记机构进行股票过户日的冻结期间发生除息、送股</w:t>
      </w:r>
      <w:r>
        <w:rPr>
          <w:color w:val="000000"/>
          <w:szCs w:val="21"/>
        </w:rPr>
        <w:t>(</w:t>
      </w:r>
      <w:r>
        <w:rPr>
          <w:color w:val="000000"/>
          <w:szCs w:val="21"/>
        </w:rPr>
        <w:t>转增</w:t>
      </w:r>
      <w:r>
        <w:rPr>
          <w:color w:val="000000"/>
          <w:szCs w:val="21"/>
        </w:rPr>
        <w:t>)</w:t>
      </w:r>
      <w:r>
        <w:rPr>
          <w:color w:val="000000"/>
          <w:szCs w:val="21"/>
        </w:rPr>
        <w:t>、配股等权益变动，则由于投资人获得了相应的权益，基金管理人将按如下方式对该股票在</w:t>
      </w:r>
      <w:r>
        <w:rPr>
          <w:color w:val="000000"/>
          <w:szCs w:val="21"/>
        </w:rPr>
        <w:t>T</w:t>
      </w:r>
      <w:r>
        <w:rPr>
          <w:color w:val="000000"/>
          <w:szCs w:val="21"/>
        </w:rPr>
        <w:t>日的均价进行调整：</w:t>
      </w:r>
    </w:p>
    <w:p w14:paraId="4501DE7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①</w:t>
      </w:r>
      <w:r>
        <w:rPr>
          <w:color w:val="000000"/>
          <w:szCs w:val="21"/>
        </w:rPr>
        <w:t>除息：调整后价格＝</w:t>
      </w:r>
      <w:r>
        <w:rPr>
          <w:color w:val="000000"/>
        </w:rPr>
        <w:t>L</w:t>
      </w:r>
      <w:r>
        <w:rPr>
          <w:color w:val="000000"/>
          <w:szCs w:val="21"/>
        </w:rPr>
        <w:t>日均价</w:t>
      </w:r>
      <w:r>
        <w:rPr>
          <w:color w:val="000000"/>
          <w:szCs w:val="21"/>
        </w:rPr>
        <w:t>-</w:t>
      </w:r>
      <w:r>
        <w:rPr>
          <w:color w:val="000000"/>
          <w:szCs w:val="21"/>
        </w:rPr>
        <w:t>每股现金股利或股息</w:t>
      </w:r>
    </w:p>
    <w:p w14:paraId="73C0636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②</w:t>
      </w:r>
      <w:r>
        <w:rPr>
          <w:color w:val="000000"/>
          <w:szCs w:val="21"/>
        </w:rPr>
        <w:t>送股：调整后价格＝</w:t>
      </w:r>
      <w:r>
        <w:rPr>
          <w:color w:val="000000"/>
        </w:rPr>
        <w:t>L</w:t>
      </w:r>
      <w:r>
        <w:rPr>
          <w:color w:val="000000"/>
          <w:szCs w:val="21"/>
        </w:rPr>
        <w:t>日均价</w:t>
      </w:r>
      <w:r>
        <w:rPr>
          <w:color w:val="000000"/>
          <w:szCs w:val="21"/>
        </w:rPr>
        <w:t>/(1</w:t>
      </w:r>
      <w:r>
        <w:rPr>
          <w:color w:val="000000"/>
          <w:szCs w:val="21"/>
        </w:rPr>
        <w:t>＋每股送股比例</w:t>
      </w:r>
      <w:r>
        <w:rPr>
          <w:color w:val="000000"/>
          <w:szCs w:val="21"/>
        </w:rPr>
        <w:t xml:space="preserve">) </w:t>
      </w:r>
    </w:p>
    <w:p w14:paraId="36B16C8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③</w:t>
      </w:r>
      <w:r>
        <w:rPr>
          <w:color w:val="000000"/>
          <w:szCs w:val="21"/>
        </w:rPr>
        <w:t>配股：调整后价格＝</w:t>
      </w:r>
      <w:r>
        <w:rPr>
          <w:color w:val="000000"/>
          <w:szCs w:val="21"/>
        </w:rPr>
        <w:t>(</w:t>
      </w:r>
      <w:r>
        <w:rPr>
          <w:color w:val="000000"/>
        </w:rPr>
        <w:t>L</w:t>
      </w:r>
      <w:r>
        <w:rPr>
          <w:color w:val="000000"/>
          <w:szCs w:val="21"/>
        </w:rPr>
        <w:t>日均价＋配股价</w:t>
      </w:r>
      <w:r>
        <w:rPr>
          <w:color w:val="000000"/>
          <w:szCs w:val="21"/>
        </w:rPr>
        <w:t>×</w:t>
      </w:r>
      <w:r>
        <w:rPr>
          <w:color w:val="000000"/>
          <w:szCs w:val="21"/>
        </w:rPr>
        <w:t>配股比例</w:t>
      </w:r>
      <w:r>
        <w:rPr>
          <w:color w:val="000000"/>
          <w:szCs w:val="21"/>
        </w:rPr>
        <w:t>)/(1</w:t>
      </w:r>
      <w:r>
        <w:rPr>
          <w:color w:val="000000"/>
          <w:szCs w:val="21"/>
        </w:rPr>
        <w:t>＋每股配股比例</w:t>
      </w:r>
      <w:r>
        <w:rPr>
          <w:color w:val="000000"/>
          <w:szCs w:val="21"/>
        </w:rPr>
        <w:t xml:space="preserve">) </w:t>
      </w:r>
    </w:p>
    <w:p w14:paraId="4F9CA33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④</w:t>
      </w:r>
      <w:proofErr w:type="gramStart"/>
      <w:r>
        <w:rPr>
          <w:color w:val="000000"/>
          <w:szCs w:val="21"/>
        </w:rPr>
        <w:t>送股且配股</w:t>
      </w:r>
      <w:proofErr w:type="gramEnd"/>
      <w:r>
        <w:rPr>
          <w:color w:val="000000"/>
          <w:szCs w:val="21"/>
        </w:rPr>
        <w:t>：调整后价格＝</w:t>
      </w:r>
      <w:r>
        <w:rPr>
          <w:color w:val="000000"/>
          <w:szCs w:val="21"/>
        </w:rPr>
        <w:t>(</w:t>
      </w:r>
      <w:r>
        <w:rPr>
          <w:color w:val="000000"/>
        </w:rPr>
        <w:t>L</w:t>
      </w:r>
      <w:r>
        <w:rPr>
          <w:color w:val="000000"/>
          <w:szCs w:val="21"/>
        </w:rPr>
        <w:t>日均价＋配股价</w:t>
      </w:r>
      <w:r>
        <w:rPr>
          <w:color w:val="000000"/>
          <w:szCs w:val="21"/>
        </w:rPr>
        <w:t>×</w:t>
      </w:r>
      <w:r>
        <w:rPr>
          <w:color w:val="000000"/>
          <w:szCs w:val="21"/>
        </w:rPr>
        <w:t>配股比例</w:t>
      </w:r>
      <w:r>
        <w:rPr>
          <w:color w:val="000000"/>
          <w:szCs w:val="21"/>
        </w:rPr>
        <w:t>)/(1</w:t>
      </w:r>
      <w:r>
        <w:rPr>
          <w:color w:val="000000"/>
          <w:szCs w:val="21"/>
        </w:rPr>
        <w:t>＋每股送股比例＋每股配股比例</w:t>
      </w:r>
      <w:r>
        <w:rPr>
          <w:color w:val="000000"/>
          <w:szCs w:val="21"/>
        </w:rPr>
        <w:t xml:space="preserve">) </w:t>
      </w:r>
    </w:p>
    <w:p w14:paraId="472DAB8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⑤</w:t>
      </w:r>
      <w:r>
        <w:rPr>
          <w:color w:val="000000"/>
          <w:szCs w:val="21"/>
        </w:rPr>
        <w:t>除息且送股：调整后价格</w:t>
      </w:r>
      <w:r>
        <w:rPr>
          <w:color w:val="000000"/>
          <w:szCs w:val="21"/>
        </w:rPr>
        <w:t>=</w:t>
      </w:r>
      <w:r>
        <w:rPr>
          <w:color w:val="000000"/>
          <w:szCs w:val="21"/>
        </w:rPr>
        <w:t>（</w:t>
      </w:r>
      <w:r>
        <w:rPr>
          <w:color w:val="000000"/>
        </w:rPr>
        <w:t>L</w:t>
      </w:r>
      <w:r>
        <w:rPr>
          <w:color w:val="000000"/>
          <w:szCs w:val="21"/>
        </w:rPr>
        <w:t>日均价</w:t>
      </w:r>
      <w:r>
        <w:rPr>
          <w:color w:val="000000"/>
          <w:szCs w:val="21"/>
        </w:rPr>
        <w:t>-</w:t>
      </w:r>
      <w:r>
        <w:rPr>
          <w:color w:val="000000"/>
          <w:szCs w:val="21"/>
        </w:rPr>
        <w:t>每股现金股利或股息）</w:t>
      </w:r>
      <w:r>
        <w:rPr>
          <w:color w:val="000000"/>
          <w:szCs w:val="21"/>
        </w:rPr>
        <w:t>/</w:t>
      </w:r>
      <w:r>
        <w:rPr>
          <w:color w:val="000000"/>
          <w:szCs w:val="21"/>
        </w:rPr>
        <w:t>（</w:t>
      </w:r>
      <w:r>
        <w:rPr>
          <w:color w:val="000000"/>
          <w:szCs w:val="21"/>
        </w:rPr>
        <w:t>1+</w:t>
      </w:r>
      <w:r>
        <w:rPr>
          <w:color w:val="000000"/>
          <w:szCs w:val="21"/>
        </w:rPr>
        <w:t>每股送股比例）</w:t>
      </w:r>
    </w:p>
    <w:p w14:paraId="3E1B19C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⑥</w:t>
      </w:r>
      <w:r>
        <w:rPr>
          <w:color w:val="000000"/>
          <w:szCs w:val="21"/>
        </w:rPr>
        <w:t>除息且配股：调整后价格</w:t>
      </w:r>
      <w:r>
        <w:rPr>
          <w:color w:val="000000"/>
          <w:szCs w:val="21"/>
        </w:rPr>
        <w:t>=</w:t>
      </w:r>
      <w:r>
        <w:rPr>
          <w:color w:val="000000"/>
          <w:szCs w:val="21"/>
        </w:rPr>
        <w:t>（</w:t>
      </w:r>
      <w:r>
        <w:rPr>
          <w:color w:val="000000"/>
        </w:rPr>
        <w:t>L</w:t>
      </w:r>
      <w:r>
        <w:rPr>
          <w:color w:val="000000"/>
          <w:szCs w:val="21"/>
        </w:rPr>
        <w:t>日均价</w:t>
      </w:r>
      <w:r>
        <w:rPr>
          <w:color w:val="000000"/>
          <w:szCs w:val="21"/>
        </w:rPr>
        <w:t>+</w:t>
      </w:r>
      <w:r>
        <w:rPr>
          <w:color w:val="000000"/>
          <w:szCs w:val="21"/>
        </w:rPr>
        <w:t>配股价</w:t>
      </w:r>
      <w:r>
        <w:rPr>
          <w:color w:val="000000"/>
          <w:szCs w:val="21"/>
        </w:rPr>
        <w:t>×</w:t>
      </w:r>
      <w:r>
        <w:rPr>
          <w:color w:val="000000"/>
          <w:szCs w:val="21"/>
        </w:rPr>
        <w:t>配股比例</w:t>
      </w:r>
      <w:r>
        <w:rPr>
          <w:color w:val="000000"/>
          <w:szCs w:val="21"/>
        </w:rPr>
        <w:t>-</w:t>
      </w:r>
      <w:r>
        <w:rPr>
          <w:color w:val="000000"/>
          <w:szCs w:val="21"/>
        </w:rPr>
        <w:t>每股现金股利或股息）</w:t>
      </w:r>
      <w:r>
        <w:rPr>
          <w:color w:val="000000"/>
          <w:szCs w:val="21"/>
        </w:rPr>
        <w:t>/</w:t>
      </w:r>
      <w:r>
        <w:rPr>
          <w:color w:val="000000"/>
          <w:szCs w:val="21"/>
        </w:rPr>
        <w:t>（</w:t>
      </w:r>
      <w:r>
        <w:rPr>
          <w:color w:val="000000"/>
          <w:szCs w:val="21"/>
        </w:rPr>
        <w:t>1+</w:t>
      </w:r>
      <w:r>
        <w:rPr>
          <w:color w:val="000000"/>
          <w:szCs w:val="21"/>
        </w:rPr>
        <w:t>每股配股比例）</w:t>
      </w:r>
    </w:p>
    <w:p w14:paraId="30B82A0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⑦</w:t>
      </w:r>
      <w:r>
        <w:rPr>
          <w:color w:val="000000"/>
          <w:szCs w:val="21"/>
        </w:rPr>
        <w:t>除息、</w:t>
      </w:r>
      <w:proofErr w:type="gramStart"/>
      <w:r>
        <w:rPr>
          <w:color w:val="000000"/>
          <w:szCs w:val="21"/>
        </w:rPr>
        <w:t>送股且配股</w:t>
      </w:r>
      <w:proofErr w:type="gramEnd"/>
      <w:r>
        <w:rPr>
          <w:color w:val="000000"/>
          <w:szCs w:val="21"/>
        </w:rPr>
        <w:t>：调整后价格＝</w:t>
      </w:r>
      <w:r>
        <w:rPr>
          <w:color w:val="000000"/>
          <w:szCs w:val="21"/>
        </w:rPr>
        <w:t>(</w:t>
      </w:r>
      <w:r>
        <w:rPr>
          <w:color w:val="000000"/>
        </w:rPr>
        <w:t>L</w:t>
      </w:r>
      <w:r>
        <w:rPr>
          <w:color w:val="000000"/>
          <w:szCs w:val="21"/>
        </w:rPr>
        <w:t>日均价＋配股价</w:t>
      </w:r>
      <w:r>
        <w:rPr>
          <w:color w:val="000000"/>
          <w:szCs w:val="21"/>
        </w:rPr>
        <w:t>×</w:t>
      </w:r>
      <w:r>
        <w:rPr>
          <w:color w:val="000000"/>
          <w:szCs w:val="21"/>
        </w:rPr>
        <w:t>配股比例</w:t>
      </w:r>
      <w:r>
        <w:rPr>
          <w:color w:val="000000"/>
          <w:szCs w:val="21"/>
        </w:rPr>
        <w:t>-</w:t>
      </w:r>
      <w:r>
        <w:rPr>
          <w:color w:val="000000"/>
          <w:szCs w:val="21"/>
        </w:rPr>
        <w:t>每股现金股利或股息</w:t>
      </w:r>
      <w:r>
        <w:rPr>
          <w:color w:val="000000"/>
          <w:szCs w:val="21"/>
        </w:rPr>
        <w:t>)/(1</w:t>
      </w:r>
      <w:r>
        <w:rPr>
          <w:color w:val="000000"/>
          <w:szCs w:val="21"/>
        </w:rPr>
        <w:t>＋每股送股比例＋每股配股比例</w:t>
      </w:r>
      <w:r>
        <w:rPr>
          <w:color w:val="000000"/>
          <w:szCs w:val="21"/>
        </w:rPr>
        <w:t xml:space="preserve">) </w:t>
      </w:r>
    </w:p>
    <w:p w14:paraId="24302BE0"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有效认购数量</w:t>
      </w:r>
      <w:r>
        <w:rPr>
          <w:color w:val="000000"/>
          <w:szCs w:val="21"/>
        </w:rPr>
        <w:t>”</w:t>
      </w:r>
      <w:r>
        <w:rPr>
          <w:color w:val="000000"/>
          <w:szCs w:val="21"/>
        </w:rPr>
        <w:t>是指由基金管理人确认的并由登记机构完成清算交收的股票股数</w:t>
      </w:r>
      <w:r>
        <w:rPr>
          <w:rFonts w:hint="eastAsia"/>
          <w:color w:val="000000"/>
          <w:szCs w:val="21"/>
        </w:rPr>
        <w:t>：</w:t>
      </w:r>
    </w:p>
    <w:p w14:paraId="670FFD1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①</w:t>
      </w:r>
      <w:r>
        <w:rPr>
          <w:color w:val="000000"/>
          <w:szCs w:val="21"/>
        </w:rPr>
        <w:t>对于经公告限制认购规模的个股，基金管理人可确认的认购数量上限</w:t>
      </w:r>
      <w:r>
        <w:rPr>
          <w:rFonts w:hint="eastAsia"/>
          <w:color w:val="000000"/>
        </w:rPr>
        <w:t>详见届时相关公告。</w:t>
      </w:r>
    </w:p>
    <w:p w14:paraId="6B6DA848" w14:textId="77777777" w:rsidR="00175DB4" w:rsidRDefault="000519D1">
      <w:pPr>
        <w:tabs>
          <w:tab w:val="left" w:pos="540"/>
        </w:tabs>
        <w:snapToGrid w:val="0"/>
        <w:spacing w:line="360" w:lineRule="auto"/>
        <w:ind w:firstLineChars="200" w:firstLine="420"/>
        <w:rPr>
          <w:color w:val="000000"/>
          <w:szCs w:val="21"/>
        </w:rPr>
      </w:pPr>
      <w:r>
        <w:rPr>
          <w:color w:val="000000"/>
          <w:szCs w:val="21"/>
        </w:rPr>
        <w:t>如果投资人申报的个股认购数量总额大于基金管理人可确认的认购数量上限，则根据认购日期的先后按照先到先得的方式确认。如同一天申报的个股认购数量全部确认将突破</w:t>
      </w:r>
      <w:r>
        <w:rPr>
          <w:color w:val="000000"/>
          <w:szCs w:val="21"/>
        </w:rPr>
        <w:lastRenderedPageBreak/>
        <w:t>基金管理人可确认上限的，则按比例分配确认。</w:t>
      </w:r>
    </w:p>
    <w:p w14:paraId="68DDCA3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②</w:t>
      </w:r>
      <w:r>
        <w:rPr>
          <w:color w:val="000000"/>
          <w:szCs w:val="21"/>
        </w:rPr>
        <w:t>若某一股票在网下股票认购日至登记机构进行股票过户日的冻结期间发生司法冻结或执行，</w:t>
      </w:r>
      <w:proofErr w:type="gramStart"/>
      <w:r>
        <w:rPr>
          <w:color w:val="000000"/>
          <w:szCs w:val="21"/>
        </w:rPr>
        <w:t>则基金</w:t>
      </w:r>
      <w:proofErr w:type="gramEnd"/>
      <w:r>
        <w:rPr>
          <w:color w:val="000000"/>
          <w:szCs w:val="21"/>
        </w:rPr>
        <w:t>管理人将根据登记机构确认的实际过户数据对投资人的有效认购数量进行相应调整。</w:t>
      </w:r>
    </w:p>
    <w:p w14:paraId="1FA29358" w14:textId="77777777" w:rsidR="00175DB4" w:rsidRDefault="000519D1">
      <w:pPr>
        <w:tabs>
          <w:tab w:val="left" w:pos="540"/>
        </w:tabs>
        <w:snapToGrid w:val="0"/>
        <w:spacing w:line="360" w:lineRule="auto"/>
        <w:ind w:firstLineChars="200" w:firstLine="420"/>
        <w:rPr>
          <w:color w:val="000000"/>
          <w:szCs w:val="21"/>
        </w:rPr>
      </w:pPr>
      <w:r>
        <w:rPr>
          <w:color w:val="000000"/>
          <w:szCs w:val="21"/>
        </w:rPr>
        <w:t>（十七）募集资金利息及募集股票权益的处理</w:t>
      </w:r>
    </w:p>
    <w:p w14:paraId="3AFB4CC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有效</w:t>
      </w:r>
      <w:r>
        <w:rPr>
          <w:color w:val="000000"/>
          <w:szCs w:val="21"/>
        </w:rPr>
        <w:t>认购款项在募集期间产生的利息将折算为基金份额，归投资人所有</w:t>
      </w:r>
      <w:r>
        <w:rPr>
          <w:rFonts w:hint="eastAsia"/>
        </w:rPr>
        <w:t>，利息折算的份额以基金管理人及</w:t>
      </w:r>
      <w:r>
        <w:t>登记机构</w:t>
      </w:r>
      <w:r>
        <w:rPr>
          <w:rFonts w:hint="eastAsia"/>
        </w:rPr>
        <w:t>的记录为准</w:t>
      </w:r>
      <w:r>
        <w:rPr>
          <w:color w:val="000000"/>
          <w:szCs w:val="21"/>
        </w:rPr>
        <w:t>。</w:t>
      </w:r>
    </w:p>
    <w:p w14:paraId="55BCE513" w14:textId="7757CCD4" w:rsidR="00175DB4" w:rsidRDefault="000519D1">
      <w:pPr>
        <w:tabs>
          <w:tab w:val="left" w:pos="540"/>
        </w:tabs>
        <w:snapToGrid w:val="0"/>
        <w:spacing w:line="360" w:lineRule="auto"/>
        <w:ind w:firstLineChars="200" w:firstLine="420"/>
        <w:rPr>
          <w:color w:val="000000"/>
          <w:szCs w:val="21"/>
        </w:rPr>
      </w:pPr>
      <w:r>
        <w:rPr>
          <w:color w:val="000000"/>
          <w:szCs w:val="21"/>
        </w:rPr>
        <w:t>基金网下股票认购所募集的股票在网下股票认购日至登记机构进行股票过户日的冻结期间所产生的</w:t>
      </w:r>
      <w:r>
        <w:rPr>
          <w:rFonts w:hint="eastAsia"/>
          <w:color w:val="000000"/>
          <w:szCs w:val="21"/>
        </w:rPr>
        <w:t>权益</w:t>
      </w:r>
      <w:r>
        <w:rPr>
          <w:color w:val="000000"/>
          <w:szCs w:val="21"/>
        </w:rPr>
        <w:t>归认购投资人本人所有。</w:t>
      </w:r>
    </w:p>
    <w:p w14:paraId="4AACFCFE" w14:textId="77777777" w:rsidR="00175DB4" w:rsidRDefault="000519D1">
      <w:pPr>
        <w:tabs>
          <w:tab w:val="left" w:pos="540"/>
        </w:tabs>
        <w:snapToGrid w:val="0"/>
        <w:spacing w:line="360" w:lineRule="auto"/>
        <w:ind w:firstLineChars="200" w:firstLine="420"/>
        <w:rPr>
          <w:color w:val="000000"/>
          <w:szCs w:val="21"/>
        </w:rPr>
      </w:pPr>
      <w:r>
        <w:rPr>
          <w:color w:val="000000"/>
          <w:szCs w:val="21"/>
        </w:rPr>
        <w:t>（十八）募集期间的资金、股票与费用</w:t>
      </w:r>
    </w:p>
    <w:p w14:paraId="6972761C" w14:textId="77777777" w:rsidR="00175DB4" w:rsidRDefault="000519D1">
      <w:pPr>
        <w:tabs>
          <w:tab w:val="left" w:pos="540"/>
        </w:tabs>
        <w:snapToGrid w:val="0"/>
        <w:spacing w:line="360" w:lineRule="auto"/>
        <w:ind w:firstLineChars="200" w:firstLine="420"/>
        <w:rPr>
          <w:color w:val="000000"/>
        </w:rPr>
      </w:pPr>
      <w:r>
        <w:rPr>
          <w:color w:val="000000"/>
          <w:szCs w:val="21"/>
        </w:rPr>
        <w:t>基金募集期间募集的资金应当存入专门账户，在基金募集行为结束前，任何人不得动用。基金网下股票认购所募集的认购股票</w:t>
      </w:r>
      <w:r>
        <w:rPr>
          <w:rFonts w:hint="eastAsia"/>
          <w:color w:val="000000"/>
          <w:szCs w:val="21"/>
        </w:rPr>
        <w:t>由发售代理机构</w:t>
      </w:r>
      <w:r>
        <w:rPr>
          <w:color w:val="000000"/>
          <w:szCs w:val="21"/>
        </w:rPr>
        <w:t>予以冻结。基金募集期间的信息披露费、会计师费、律师费以及其他费用，不得从基金财产中列支。</w:t>
      </w:r>
    </w:p>
    <w:p w14:paraId="672A0834" w14:textId="77777777" w:rsidR="00175DB4" w:rsidRDefault="00175DB4">
      <w:pPr>
        <w:tabs>
          <w:tab w:val="left" w:pos="540"/>
        </w:tabs>
        <w:spacing w:line="360" w:lineRule="auto"/>
        <w:ind w:firstLineChars="200" w:firstLine="420"/>
        <w:rPr>
          <w:color w:val="FF0000"/>
        </w:rPr>
      </w:pPr>
    </w:p>
    <w:p w14:paraId="5289B2A4" w14:textId="77777777" w:rsidR="00175DB4" w:rsidRDefault="00175DB4">
      <w:pPr>
        <w:pStyle w:val="1"/>
        <w:rPr>
          <w:rFonts w:eastAsia="宋体"/>
          <w:color w:val="000000"/>
          <w:sz w:val="21"/>
          <w:szCs w:val="21"/>
        </w:rPr>
        <w:sectPr w:rsidR="00175DB4">
          <w:pgSz w:w="11906" w:h="16838"/>
          <w:pgMar w:top="1440" w:right="1797" w:bottom="1440" w:left="1980" w:header="851" w:footer="992" w:gutter="0"/>
          <w:cols w:space="425"/>
          <w:docGrid w:type="lines" w:linePitch="312"/>
        </w:sectPr>
      </w:pPr>
    </w:p>
    <w:p w14:paraId="0797322C" w14:textId="77777777" w:rsidR="00175DB4" w:rsidRDefault="000519D1">
      <w:pPr>
        <w:pStyle w:val="1"/>
        <w:spacing w:line="360" w:lineRule="exact"/>
        <w:rPr>
          <w:rFonts w:eastAsia="宋体"/>
          <w:color w:val="000000"/>
          <w:sz w:val="21"/>
          <w:szCs w:val="21"/>
        </w:rPr>
      </w:pPr>
      <w:bookmarkStart w:id="27" w:name="_Toc135741009"/>
      <w:r>
        <w:rPr>
          <w:rFonts w:eastAsia="宋体"/>
          <w:color w:val="000000"/>
          <w:sz w:val="30"/>
          <w:szCs w:val="30"/>
        </w:rPr>
        <w:lastRenderedPageBreak/>
        <w:t>七、基金合同的生效</w:t>
      </w:r>
      <w:bookmarkEnd w:id="27"/>
    </w:p>
    <w:p w14:paraId="4E6C675F" w14:textId="77777777" w:rsidR="00175DB4" w:rsidRDefault="000519D1">
      <w:pPr>
        <w:tabs>
          <w:tab w:val="left" w:pos="540"/>
        </w:tabs>
        <w:snapToGrid w:val="0"/>
        <w:spacing w:line="360" w:lineRule="auto"/>
        <w:ind w:firstLineChars="200" w:firstLine="420"/>
        <w:rPr>
          <w:color w:val="000000"/>
          <w:szCs w:val="21"/>
        </w:rPr>
      </w:pPr>
      <w:bookmarkStart w:id="28" w:name="_Hlk62590201"/>
      <w:r>
        <w:rPr>
          <w:rFonts w:hint="eastAsia"/>
          <w:color w:val="000000"/>
          <w:szCs w:val="21"/>
        </w:rPr>
        <w:t>（一）</w:t>
      </w:r>
      <w:r>
        <w:rPr>
          <w:color w:val="000000"/>
          <w:szCs w:val="21"/>
        </w:rPr>
        <w:t>基金备案的条件</w:t>
      </w:r>
    </w:p>
    <w:p w14:paraId="2FC699DB" w14:textId="7E59D381" w:rsidR="00175DB4" w:rsidRDefault="000519D1">
      <w:pPr>
        <w:spacing w:line="360" w:lineRule="auto"/>
        <w:ind w:firstLineChars="200" w:firstLine="420"/>
        <w:rPr>
          <w:color w:val="000000"/>
          <w:szCs w:val="21"/>
        </w:rPr>
      </w:pPr>
      <w:r>
        <w:rPr>
          <w:rFonts w:hint="eastAsia"/>
          <w:color w:val="000000"/>
          <w:szCs w:val="21"/>
        </w:rPr>
        <w:t>本基金自基金份额发售之日起</w:t>
      </w:r>
      <w:r>
        <w:rPr>
          <w:color w:val="000000"/>
          <w:szCs w:val="21"/>
        </w:rPr>
        <w:t>3</w:t>
      </w:r>
      <w:r>
        <w:rPr>
          <w:rFonts w:hint="eastAsia"/>
          <w:color w:val="000000"/>
          <w:szCs w:val="21"/>
        </w:rPr>
        <w:t>个月内，在基金募集份额总额不少于</w:t>
      </w:r>
      <w:r>
        <w:rPr>
          <w:color w:val="000000"/>
          <w:szCs w:val="21"/>
        </w:rPr>
        <w:t>2</w:t>
      </w:r>
      <w:r>
        <w:rPr>
          <w:rFonts w:hint="eastAsia"/>
          <w:color w:val="000000"/>
          <w:szCs w:val="21"/>
        </w:rPr>
        <w:t>亿份，基金募集金额（含网下股票认购募集的股票市值）不少于</w:t>
      </w:r>
      <w:r>
        <w:rPr>
          <w:color w:val="000000"/>
          <w:szCs w:val="21"/>
        </w:rPr>
        <w:t>2</w:t>
      </w:r>
      <w:r>
        <w:rPr>
          <w:rFonts w:hint="eastAsia"/>
          <w:color w:val="000000"/>
          <w:szCs w:val="21"/>
        </w:rPr>
        <w:t>亿元人民币</w:t>
      </w:r>
      <w:proofErr w:type="gramStart"/>
      <w:r>
        <w:rPr>
          <w:rFonts w:hint="eastAsia"/>
          <w:color w:val="000000"/>
          <w:szCs w:val="21"/>
        </w:rPr>
        <w:t>且基金</w:t>
      </w:r>
      <w:proofErr w:type="gramEnd"/>
      <w:r>
        <w:rPr>
          <w:rFonts w:hint="eastAsia"/>
          <w:color w:val="000000"/>
          <w:szCs w:val="21"/>
        </w:rPr>
        <w:t>认购人数不少于</w:t>
      </w:r>
      <w:r>
        <w:rPr>
          <w:color w:val="000000"/>
          <w:szCs w:val="21"/>
        </w:rPr>
        <w:t>200</w:t>
      </w:r>
      <w:r>
        <w:rPr>
          <w:rFonts w:hint="eastAsia"/>
          <w:color w:val="000000"/>
          <w:szCs w:val="21"/>
        </w:rPr>
        <w:t>人的条件下，基金</w:t>
      </w:r>
      <w:r w:rsidR="00524765" w:rsidRPr="00524765">
        <w:rPr>
          <w:rFonts w:hint="eastAsia"/>
          <w:color w:val="000000"/>
          <w:szCs w:val="21"/>
        </w:rPr>
        <w:t>募集期届满或基金</w:t>
      </w:r>
      <w:r>
        <w:rPr>
          <w:rFonts w:hint="eastAsia"/>
          <w:color w:val="000000"/>
          <w:szCs w:val="21"/>
        </w:rPr>
        <w:t>管理人依据法律法规及招募说明书可以决定停止基金发售，并在</w:t>
      </w:r>
      <w:r>
        <w:rPr>
          <w:color w:val="000000"/>
          <w:szCs w:val="21"/>
        </w:rPr>
        <w:t>10</w:t>
      </w:r>
      <w:r>
        <w:rPr>
          <w:rFonts w:hint="eastAsia"/>
          <w:color w:val="000000"/>
          <w:szCs w:val="21"/>
        </w:rPr>
        <w:t>日内聘请法定验资机构验资，自收到验资报告之日起</w:t>
      </w:r>
      <w:r>
        <w:rPr>
          <w:color w:val="000000"/>
          <w:szCs w:val="21"/>
        </w:rPr>
        <w:t>10</w:t>
      </w:r>
      <w:r>
        <w:rPr>
          <w:rFonts w:hint="eastAsia"/>
          <w:color w:val="000000"/>
          <w:szCs w:val="21"/>
        </w:rPr>
        <w:t>日内，向中国证监会办理基金备案手续。</w:t>
      </w:r>
    </w:p>
    <w:p w14:paraId="71092113" w14:textId="77777777" w:rsidR="00175DB4" w:rsidRDefault="000519D1">
      <w:pPr>
        <w:spacing w:line="360" w:lineRule="auto"/>
        <w:ind w:firstLineChars="200" w:firstLine="420"/>
        <w:jc w:val="left"/>
        <w:rPr>
          <w:color w:val="000000"/>
          <w:szCs w:val="21"/>
        </w:rPr>
      </w:pPr>
      <w:r>
        <w:rPr>
          <w:rFonts w:hint="eastAsia"/>
          <w:color w:val="00000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所募集的股票由发售代理机构予以冻结，在基金募集行为结束前，任何人不得动用。</w:t>
      </w:r>
    </w:p>
    <w:p w14:paraId="65C484A9" w14:textId="231A0F9A"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基金合同不能生效时募集资金</w:t>
      </w:r>
      <w:r w:rsidR="00524765">
        <w:rPr>
          <w:color w:val="000000"/>
          <w:szCs w:val="21"/>
        </w:rPr>
        <w:t>及股票</w:t>
      </w:r>
      <w:r>
        <w:rPr>
          <w:color w:val="000000"/>
          <w:szCs w:val="21"/>
        </w:rPr>
        <w:t>的处理方式</w:t>
      </w:r>
    </w:p>
    <w:p w14:paraId="3F2238D6" w14:textId="77777777" w:rsidR="00175DB4" w:rsidRDefault="000519D1">
      <w:pPr>
        <w:spacing w:line="360" w:lineRule="auto"/>
        <w:ind w:firstLine="480"/>
        <w:rPr>
          <w:color w:val="000000"/>
          <w:szCs w:val="21"/>
        </w:rPr>
      </w:pPr>
      <w:r>
        <w:rPr>
          <w:color w:val="000000"/>
          <w:szCs w:val="21"/>
        </w:rPr>
        <w:t>如果募集期限届满，未满足</w:t>
      </w:r>
      <w:r>
        <w:rPr>
          <w:rFonts w:hint="eastAsia"/>
          <w:color w:val="000000"/>
          <w:szCs w:val="21"/>
        </w:rPr>
        <w:t>基金备案</w:t>
      </w:r>
      <w:r>
        <w:rPr>
          <w:color w:val="000000"/>
          <w:szCs w:val="21"/>
        </w:rPr>
        <w:t>条件，基金管理人应当承担下列责任：</w:t>
      </w:r>
    </w:p>
    <w:p w14:paraId="1EEB43BC" w14:textId="77777777" w:rsidR="00175DB4" w:rsidRDefault="000519D1">
      <w:pPr>
        <w:spacing w:line="360" w:lineRule="auto"/>
        <w:ind w:firstLine="480"/>
        <w:rPr>
          <w:color w:val="000000"/>
          <w:szCs w:val="21"/>
        </w:rPr>
      </w:pPr>
      <w:r>
        <w:rPr>
          <w:color w:val="000000"/>
          <w:szCs w:val="21"/>
        </w:rPr>
        <w:t>1</w:t>
      </w:r>
      <w:r>
        <w:rPr>
          <w:color w:val="000000"/>
          <w:szCs w:val="21"/>
        </w:rPr>
        <w:t>、以其固有财产承担因募集行为而产生的债务和费用；</w:t>
      </w:r>
    </w:p>
    <w:p w14:paraId="42923C8B" w14:textId="321F07ED" w:rsidR="00175DB4" w:rsidRDefault="000519D1">
      <w:pPr>
        <w:widowControl/>
        <w:autoSpaceDE w:val="0"/>
        <w:autoSpaceDN w:val="0"/>
        <w:adjustRightInd w:val="0"/>
        <w:spacing w:line="360" w:lineRule="auto"/>
        <w:ind w:firstLine="420"/>
        <w:jc w:val="left"/>
        <w:rPr>
          <w:color w:val="000000"/>
          <w:szCs w:val="21"/>
        </w:rPr>
      </w:pPr>
      <w:r>
        <w:rPr>
          <w:color w:val="000000"/>
          <w:szCs w:val="21"/>
        </w:rPr>
        <w:t>2</w:t>
      </w:r>
      <w:r>
        <w:rPr>
          <w:color w:val="000000"/>
          <w:szCs w:val="21"/>
        </w:rPr>
        <w:t>、</w:t>
      </w:r>
      <w:r>
        <w:rPr>
          <w:rFonts w:hint="eastAsia"/>
          <w:color w:val="000000"/>
          <w:szCs w:val="21"/>
        </w:rPr>
        <w:t>在基金募集期限届满后</w:t>
      </w:r>
      <w:r>
        <w:rPr>
          <w:color w:val="000000"/>
          <w:szCs w:val="21"/>
        </w:rPr>
        <w:t>30</w:t>
      </w:r>
      <w:r>
        <w:rPr>
          <w:rFonts w:hint="eastAsia"/>
          <w:color w:val="000000"/>
          <w:szCs w:val="21"/>
        </w:rPr>
        <w:t>日内返还投资者已缴纳的款项，并加计银行同期活期存款利息。</w:t>
      </w:r>
      <w:r w:rsidR="008C3BF6" w:rsidRPr="008C3BF6">
        <w:rPr>
          <w:rFonts w:hint="eastAsia"/>
          <w:color w:val="000000"/>
          <w:szCs w:val="21"/>
        </w:rPr>
        <w:t>网下认购所募集股票的解冻按照《业务规则》的规定处理</w:t>
      </w:r>
      <w:r>
        <w:rPr>
          <w:rFonts w:hint="eastAsia"/>
          <w:color w:val="000000"/>
          <w:szCs w:val="21"/>
        </w:rPr>
        <w:t>，基金管理人不承担相关股票冻结期间交易价格波动的责任。登记机构及发售代理机构将协助基金管理人完成相关资金和证券的退还工作；</w:t>
      </w:r>
    </w:p>
    <w:p w14:paraId="7F2971A4" w14:textId="77777777" w:rsidR="00175DB4" w:rsidRDefault="000519D1">
      <w:pPr>
        <w:spacing w:line="360" w:lineRule="auto"/>
        <w:ind w:firstLineChars="200" w:firstLine="420"/>
        <w:rPr>
          <w:color w:val="000000"/>
          <w:szCs w:val="21"/>
        </w:rPr>
      </w:pPr>
      <w:r>
        <w:rPr>
          <w:color w:val="000000"/>
          <w:szCs w:val="21"/>
        </w:rPr>
        <w:t>3</w:t>
      </w:r>
      <w:r>
        <w:rPr>
          <w:color w:val="000000"/>
          <w:szCs w:val="21"/>
        </w:rPr>
        <w:t>、如基金募集失败，基金管理人、基金托管人及</w:t>
      </w:r>
      <w:r>
        <w:rPr>
          <w:rFonts w:hint="eastAsia"/>
          <w:color w:val="000000"/>
          <w:szCs w:val="21"/>
        </w:rPr>
        <w:t>发售代理</w:t>
      </w:r>
      <w:r>
        <w:rPr>
          <w:color w:val="000000"/>
          <w:szCs w:val="21"/>
        </w:rPr>
        <w:t>机构不得请求报酬。基金管理人、基金托管人和</w:t>
      </w:r>
      <w:r>
        <w:rPr>
          <w:rFonts w:hint="eastAsia"/>
          <w:color w:val="000000"/>
          <w:szCs w:val="21"/>
        </w:rPr>
        <w:t>发售代理</w:t>
      </w:r>
      <w:r>
        <w:rPr>
          <w:color w:val="000000"/>
          <w:szCs w:val="21"/>
        </w:rPr>
        <w:t>机构为基金募集支付之一切费用应由各方各自承担。</w:t>
      </w:r>
    </w:p>
    <w:p w14:paraId="48F91D3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w:t>
      </w:r>
      <w:r>
        <w:rPr>
          <w:color w:val="000000"/>
          <w:szCs w:val="21"/>
        </w:rPr>
        <w:t>基金存续期内的基金份额持有人数量和资产规模</w:t>
      </w:r>
    </w:p>
    <w:p w14:paraId="17E33794" w14:textId="6B7FEC75" w:rsidR="00175DB4" w:rsidRDefault="000519D1">
      <w:pPr>
        <w:spacing w:line="360" w:lineRule="auto"/>
        <w:ind w:firstLineChars="200" w:firstLine="420"/>
        <w:rPr>
          <w:color w:val="000000"/>
          <w:szCs w:val="21"/>
        </w:rPr>
      </w:pPr>
      <w:r>
        <w:rPr>
          <w:rFonts w:hint="eastAsia"/>
          <w:color w:val="000000"/>
          <w:szCs w:val="21"/>
        </w:rPr>
        <w:t>基金合同生效后，连续</w:t>
      </w:r>
      <w:r>
        <w:rPr>
          <w:rFonts w:hint="eastAsia"/>
          <w:color w:val="000000"/>
          <w:szCs w:val="21"/>
        </w:rPr>
        <w:t>20</w:t>
      </w:r>
      <w:r>
        <w:rPr>
          <w:rFonts w:hint="eastAsia"/>
          <w:color w:val="000000"/>
          <w:szCs w:val="21"/>
        </w:rPr>
        <w:t>个工作日出现基金份额持有人数量不满</w:t>
      </w:r>
      <w:r>
        <w:rPr>
          <w:rFonts w:hint="eastAsia"/>
          <w:color w:val="000000"/>
          <w:szCs w:val="21"/>
        </w:rPr>
        <w:t>200</w:t>
      </w:r>
      <w:r>
        <w:rPr>
          <w:rFonts w:hint="eastAsia"/>
          <w:color w:val="000000"/>
          <w:szCs w:val="21"/>
        </w:rPr>
        <w:t>人或者基金资产净值低于</w:t>
      </w:r>
      <w:r>
        <w:rPr>
          <w:rFonts w:hint="eastAsia"/>
          <w:color w:val="000000"/>
          <w:szCs w:val="21"/>
        </w:rPr>
        <w:t>5000</w:t>
      </w:r>
      <w:r>
        <w:rPr>
          <w:rFonts w:hint="eastAsia"/>
          <w:color w:val="000000"/>
          <w:szCs w:val="21"/>
        </w:rPr>
        <w:t>万元情形的，基金管理人应当在定期报告中予以披露；连续</w:t>
      </w:r>
      <w:r>
        <w:rPr>
          <w:color w:val="000000"/>
          <w:szCs w:val="21"/>
        </w:rPr>
        <w:t>60</w:t>
      </w:r>
      <w:r>
        <w:rPr>
          <w:rFonts w:hint="eastAsia"/>
          <w:color w:val="000000"/>
          <w:szCs w:val="21"/>
        </w:rPr>
        <w:t>个工作日出现前述情形的，基金管理人应当在十个工作日内向中国证监会报告并提出解决方案，如持续运作、转换运作方式、与其他基金合并或者终止基金合同等，并在</w:t>
      </w:r>
      <w:r>
        <w:rPr>
          <w:rFonts w:hint="eastAsia"/>
          <w:color w:val="000000"/>
          <w:szCs w:val="21"/>
        </w:rPr>
        <w:t>6</w:t>
      </w:r>
      <w:r>
        <w:rPr>
          <w:rFonts w:hint="eastAsia"/>
          <w:color w:val="000000"/>
          <w:szCs w:val="21"/>
        </w:rPr>
        <w:t>个月内</w:t>
      </w:r>
      <w:r w:rsidR="00524765">
        <w:rPr>
          <w:rFonts w:hint="eastAsia"/>
          <w:color w:val="000000"/>
          <w:szCs w:val="21"/>
        </w:rPr>
        <w:t>召集</w:t>
      </w:r>
      <w:r>
        <w:rPr>
          <w:rFonts w:hint="eastAsia"/>
          <w:color w:val="000000"/>
          <w:szCs w:val="21"/>
        </w:rPr>
        <w:t>基金份额持有人大会进行表决。</w:t>
      </w:r>
    </w:p>
    <w:p w14:paraId="02D7E5C3" w14:textId="77777777" w:rsidR="00175DB4" w:rsidRDefault="000519D1">
      <w:pPr>
        <w:spacing w:line="360" w:lineRule="auto"/>
        <w:ind w:firstLineChars="200" w:firstLine="420"/>
        <w:rPr>
          <w:color w:val="000000"/>
          <w:szCs w:val="21"/>
        </w:rPr>
      </w:pPr>
      <w:r>
        <w:rPr>
          <w:color w:val="000000"/>
          <w:szCs w:val="21"/>
        </w:rPr>
        <w:t>法律法规</w:t>
      </w:r>
      <w:r>
        <w:rPr>
          <w:rFonts w:hint="eastAsia"/>
          <w:color w:val="000000"/>
          <w:szCs w:val="21"/>
        </w:rPr>
        <w:t>、深圳</w:t>
      </w:r>
      <w:r>
        <w:rPr>
          <w:color w:val="000000"/>
          <w:szCs w:val="21"/>
        </w:rPr>
        <w:t>证券交易所</w:t>
      </w:r>
      <w:r>
        <w:rPr>
          <w:rFonts w:hint="eastAsia"/>
          <w:color w:val="000000"/>
          <w:szCs w:val="21"/>
        </w:rPr>
        <w:t>或中国证监会</w:t>
      </w:r>
      <w:r>
        <w:rPr>
          <w:color w:val="000000"/>
          <w:szCs w:val="21"/>
        </w:rPr>
        <w:t>另有规定时，从其规定。</w:t>
      </w:r>
    </w:p>
    <w:p w14:paraId="2F9617C6" w14:textId="77777777" w:rsidR="00175DB4" w:rsidRDefault="000519D1">
      <w:pPr>
        <w:pStyle w:val="1"/>
        <w:spacing w:line="360" w:lineRule="exact"/>
        <w:rPr>
          <w:rFonts w:eastAsia="宋体"/>
          <w:color w:val="000000"/>
          <w:sz w:val="21"/>
          <w:szCs w:val="21"/>
        </w:rPr>
      </w:pPr>
      <w:bookmarkStart w:id="29" w:name="_Toc135741010"/>
      <w:bookmarkStart w:id="30" w:name="_Toc92531654"/>
      <w:bookmarkStart w:id="31" w:name="_Toc86589171"/>
      <w:r>
        <w:rPr>
          <w:rFonts w:eastAsia="宋体"/>
          <w:color w:val="000000"/>
          <w:sz w:val="30"/>
          <w:szCs w:val="30"/>
        </w:rPr>
        <w:lastRenderedPageBreak/>
        <w:t>八、基金份额折算与变更登记</w:t>
      </w:r>
      <w:bookmarkEnd w:id="29"/>
    </w:p>
    <w:p w14:paraId="2C1AC7AC" w14:textId="77777777" w:rsidR="00175DB4" w:rsidRDefault="000519D1">
      <w:pPr>
        <w:spacing w:line="360" w:lineRule="auto"/>
        <w:ind w:firstLineChars="200" w:firstLine="420"/>
        <w:rPr>
          <w:color w:val="000000"/>
          <w:szCs w:val="21"/>
        </w:rPr>
      </w:pPr>
      <w:r>
        <w:rPr>
          <w:rFonts w:hint="eastAsia"/>
          <w:color w:val="000000"/>
          <w:szCs w:val="21"/>
        </w:rPr>
        <w:t>基金合同生效后，为提高交易便利，本基金可以进行份额折算。</w:t>
      </w:r>
    </w:p>
    <w:p w14:paraId="1A6AD991" w14:textId="77777777" w:rsidR="00175DB4" w:rsidRDefault="000519D1">
      <w:pPr>
        <w:spacing w:line="360" w:lineRule="auto"/>
        <w:ind w:firstLineChars="200" w:firstLine="420"/>
        <w:rPr>
          <w:color w:val="000000"/>
          <w:szCs w:val="21"/>
        </w:rPr>
      </w:pPr>
      <w:r>
        <w:rPr>
          <w:rFonts w:hint="eastAsia"/>
          <w:color w:val="000000"/>
          <w:szCs w:val="21"/>
        </w:rPr>
        <w:t>（一）基金份额折算的时间</w:t>
      </w:r>
    </w:p>
    <w:p w14:paraId="10295F7A" w14:textId="77777777" w:rsidR="00175DB4" w:rsidRDefault="000519D1">
      <w:pPr>
        <w:spacing w:line="360" w:lineRule="auto"/>
        <w:ind w:firstLineChars="200" w:firstLine="420"/>
        <w:rPr>
          <w:color w:val="000000"/>
          <w:szCs w:val="21"/>
        </w:rPr>
      </w:pPr>
      <w:r>
        <w:rPr>
          <w:rFonts w:hint="eastAsia"/>
          <w:color w:val="000000"/>
          <w:szCs w:val="21"/>
        </w:rPr>
        <w:t>基金管理人应事先确定基金份额折算日，并依照《信息披露办法》的有关规定提前公告。</w:t>
      </w:r>
    </w:p>
    <w:p w14:paraId="1E408FF5" w14:textId="77777777" w:rsidR="00175DB4" w:rsidRDefault="000519D1">
      <w:pPr>
        <w:spacing w:line="360" w:lineRule="auto"/>
        <w:ind w:firstLineChars="200" w:firstLine="420"/>
        <w:rPr>
          <w:color w:val="000000"/>
          <w:szCs w:val="21"/>
        </w:rPr>
      </w:pPr>
      <w:r>
        <w:rPr>
          <w:rFonts w:hint="eastAsia"/>
          <w:color w:val="000000"/>
          <w:szCs w:val="21"/>
        </w:rPr>
        <w:t>（二）基金份额折算的原则</w:t>
      </w:r>
    </w:p>
    <w:p w14:paraId="2DDF6C2B" w14:textId="77777777" w:rsidR="00175DB4" w:rsidRDefault="000519D1">
      <w:pPr>
        <w:spacing w:line="360" w:lineRule="auto"/>
        <w:ind w:firstLineChars="200" w:firstLine="420"/>
        <w:rPr>
          <w:color w:val="000000"/>
          <w:szCs w:val="21"/>
        </w:rPr>
      </w:pPr>
      <w:r>
        <w:rPr>
          <w:rFonts w:hint="eastAsia"/>
          <w:color w:val="000000"/>
          <w:szCs w:val="21"/>
        </w:rPr>
        <w:t>基金份额折算由基金管理人向登记机构申请办理，并由登记机构进行基金份额的变更登记。</w:t>
      </w:r>
    </w:p>
    <w:p w14:paraId="6F457001" w14:textId="77777777" w:rsidR="00175DB4" w:rsidRDefault="000519D1">
      <w:pPr>
        <w:spacing w:line="360" w:lineRule="auto"/>
        <w:ind w:firstLineChars="200" w:firstLine="420"/>
        <w:rPr>
          <w:color w:val="000000"/>
          <w:szCs w:val="21"/>
        </w:rPr>
      </w:pPr>
      <w:r>
        <w:rPr>
          <w:rFonts w:hint="eastAsia"/>
          <w:color w:val="000000"/>
          <w:szCs w:val="21"/>
        </w:rPr>
        <w:t>基金份额折算后，本基金的基金份额总额与基金份额持有人持有的基金份额数额将发生调整，但调整后的基金份额持有人持有的基金份额占基金份额总额的比例不发生变化。除因小数点后的尾数处理导致的损益外，基金份额折算对基金份额持有人的权益无实质性影响。基金份额折算后，基金份额持有人将按照折算后的基金份额享有权利并承担义务。</w:t>
      </w:r>
    </w:p>
    <w:p w14:paraId="55E6D404" w14:textId="77777777" w:rsidR="00175DB4" w:rsidRDefault="000519D1">
      <w:pPr>
        <w:spacing w:line="360" w:lineRule="auto"/>
        <w:ind w:firstLineChars="200" w:firstLine="420"/>
        <w:rPr>
          <w:color w:val="000000"/>
          <w:szCs w:val="21"/>
        </w:rPr>
      </w:pPr>
      <w:r>
        <w:rPr>
          <w:rFonts w:hint="eastAsia"/>
          <w:color w:val="000000"/>
          <w:szCs w:val="21"/>
        </w:rPr>
        <w:t>如果基金份额折算过程中发生不可抗力，基金管理人可延迟办理基金份额折算。</w:t>
      </w:r>
    </w:p>
    <w:p w14:paraId="13608ED3" w14:textId="77777777" w:rsidR="00175DB4" w:rsidRDefault="000519D1">
      <w:pPr>
        <w:spacing w:line="360" w:lineRule="auto"/>
        <w:ind w:firstLineChars="200" w:firstLine="420"/>
        <w:rPr>
          <w:color w:val="000000"/>
          <w:szCs w:val="21"/>
        </w:rPr>
      </w:pPr>
      <w:r>
        <w:rPr>
          <w:rFonts w:hint="eastAsia"/>
          <w:color w:val="000000"/>
          <w:szCs w:val="21"/>
        </w:rPr>
        <w:t>（三）基金份额折算的方法</w:t>
      </w:r>
    </w:p>
    <w:p w14:paraId="7A53E14E" w14:textId="77777777" w:rsidR="00175DB4" w:rsidRDefault="000519D1">
      <w:pPr>
        <w:spacing w:line="360" w:lineRule="auto"/>
        <w:ind w:firstLineChars="200" w:firstLine="420"/>
        <w:rPr>
          <w:color w:val="000000"/>
          <w:szCs w:val="21"/>
        </w:rPr>
      </w:pPr>
      <w:r>
        <w:rPr>
          <w:rFonts w:hint="eastAsia"/>
          <w:color w:val="000000"/>
          <w:szCs w:val="21"/>
        </w:rPr>
        <w:t>基金份额折算的具体方法在份额折算公告中列示。</w:t>
      </w:r>
    </w:p>
    <w:p w14:paraId="7EF7776D" w14:textId="77777777" w:rsidR="00175DB4" w:rsidRDefault="00175DB4">
      <w:pPr>
        <w:rPr>
          <w:color w:val="FF0000"/>
        </w:rPr>
      </w:pPr>
    </w:p>
    <w:p w14:paraId="76AD87CE" w14:textId="77777777" w:rsidR="00175DB4" w:rsidRDefault="00175DB4">
      <w:pPr>
        <w:pStyle w:val="1"/>
        <w:rPr>
          <w:rFonts w:eastAsia="宋体"/>
          <w:color w:val="000000"/>
          <w:sz w:val="30"/>
          <w:szCs w:val="30"/>
        </w:rPr>
        <w:sectPr w:rsidR="00175DB4">
          <w:pgSz w:w="11906" w:h="16838"/>
          <w:pgMar w:top="1440" w:right="1797" w:bottom="1440" w:left="1980" w:header="851" w:footer="992" w:gutter="0"/>
          <w:cols w:space="425"/>
          <w:docGrid w:type="lines" w:linePitch="312"/>
        </w:sectPr>
      </w:pPr>
    </w:p>
    <w:p w14:paraId="7A3FE9BC" w14:textId="77777777" w:rsidR="00175DB4" w:rsidRDefault="000519D1">
      <w:pPr>
        <w:pStyle w:val="1"/>
        <w:spacing w:line="360" w:lineRule="exact"/>
        <w:rPr>
          <w:rFonts w:eastAsia="宋体"/>
          <w:color w:val="000000"/>
          <w:sz w:val="30"/>
          <w:szCs w:val="30"/>
        </w:rPr>
      </w:pPr>
      <w:bookmarkStart w:id="32" w:name="_Toc135741011"/>
      <w:r>
        <w:rPr>
          <w:rFonts w:eastAsia="宋体"/>
          <w:color w:val="000000"/>
          <w:sz w:val="30"/>
          <w:szCs w:val="30"/>
        </w:rPr>
        <w:lastRenderedPageBreak/>
        <w:t>九、基金份额的上市交易</w:t>
      </w:r>
      <w:bookmarkEnd w:id="32"/>
    </w:p>
    <w:p w14:paraId="00F6D3E7" w14:textId="77777777" w:rsidR="00175DB4" w:rsidRDefault="000519D1">
      <w:pPr>
        <w:spacing w:line="360" w:lineRule="auto"/>
        <w:ind w:firstLineChars="200" w:firstLine="420"/>
        <w:rPr>
          <w:color w:val="000000"/>
          <w:szCs w:val="21"/>
        </w:rPr>
      </w:pPr>
      <w:r>
        <w:rPr>
          <w:rFonts w:hint="eastAsia"/>
          <w:color w:val="000000"/>
          <w:szCs w:val="21"/>
        </w:rPr>
        <w:t>（一）基金份额的上市</w:t>
      </w:r>
    </w:p>
    <w:p w14:paraId="182BE91C" w14:textId="122D3CC3" w:rsidR="00175DB4" w:rsidRDefault="000519D1">
      <w:pPr>
        <w:spacing w:line="360" w:lineRule="auto"/>
        <w:ind w:firstLineChars="200" w:firstLine="420"/>
        <w:rPr>
          <w:color w:val="000000"/>
          <w:szCs w:val="21"/>
        </w:rPr>
      </w:pPr>
      <w:r>
        <w:rPr>
          <w:rFonts w:hint="eastAsia"/>
          <w:color w:val="000000"/>
          <w:szCs w:val="21"/>
        </w:rPr>
        <w:t>基金合同生效后，</w:t>
      </w:r>
      <w:r w:rsidR="00524765">
        <w:rPr>
          <w:rFonts w:hint="eastAsia"/>
          <w:color w:val="000000"/>
          <w:szCs w:val="21"/>
        </w:rPr>
        <w:t>本基金</w:t>
      </w:r>
      <w:r>
        <w:rPr>
          <w:rFonts w:hint="eastAsia"/>
          <w:color w:val="000000"/>
          <w:szCs w:val="21"/>
        </w:rPr>
        <w:t>具备下列条件的，</w:t>
      </w:r>
      <w:r w:rsidR="008C3BF6">
        <w:rPr>
          <w:rFonts w:hint="eastAsia"/>
          <w:color w:val="000000"/>
          <w:szCs w:val="21"/>
        </w:rPr>
        <w:t>本</w:t>
      </w:r>
      <w:r>
        <w:rPr>
          <w:rFonts w:hint="eastAsia"/>
          <w:color w:val="000000"/>
          <w:szCs w:val="21"/>
        </w:rPr>
        <w:t>基金管理人可依据《深圳证券交易所证券投资基金上市规则》</w:t>
      </w:r>
      <w:r>
        <w:rPr>
          <w:rFonts w:hint="eastAsia"/>
          <w:color w:val="000000"/>
          <w:szCs w:val="21"/>
        </w:rPr>
        <w:t>,</w:t>
      </w:r>
      <w:r>
        <w:rPr>
          <w:rFonts w:hint="eastAsia"/>
          <w:color w:val="000000"/>
          <w:szCs w:val="21"/>
        </w:rPr>
        <w:t>向深圳证券交易所申请基金份额上市：</w:t>
      </w:r>
    </w:p>
    <w:p w14:paraId="679AA6BF" w14:textId="259F2AC8" w:rsidR="00175DB4" w:rsidRPr="00255AAF" w:rsidRDefault="000519D1" w:rsidP="00255AAF">
      <w:pPr>
        <w:spacing w:line="360" w:lineRule="auto"/>
        <w:ind w:firstLineChars="200" w:firstLine="420"/>
        <w:rPr>
          <w:color w:val="000000"/>
          <w:szCs w:val="21"/>
        </w:rPr>
      </w:pPr>
      <w:r w:rsidRPr="00255AAF">
        <w:rPr>
          <w:color w:val="000000"/>
          <w:szCs w:val="21"/>
        </w:rPr>
        <w:t>1</w:t>
      </w:r>
      <w:r w:rsidRPr="00255AAF">
        <w:rPr>
          <w:rFonts w:hint="eastAsia"/>
          <w:color w:val="000000"/>
          <w:szCs w:val="21"/>
        </w:rPr>
        <w:t>、本基金场内资产净值不少于</w:t>
      </w:r>
      <w:r w:rsidRPr="00255AAF">
        <w:rPr>
          <w:color w:val="000000"/>
          <w:szCs w:val="21"/>
        </w:rPr>
        <w:t>2</w:t>
      </w:r>
      <w:r w:rsidRPr="00255AAF">
        <w:rPr>
          <w:rFonts w:hint="eastAsia"/>
          <w:color w:val="000000"/>
          <w:szCs w:val="21"/>
        </w:rPr>
        <w:t>亿元人民币；</w:t>
      </w:r>
    </w:p>
    <w:p w14:paraId="32FBCEFB" w14:textId="77777777" w:rsidR="00175DB4" w:rsidRPr="00255AAF" w:rsidRDefault="000519D1" w:rsidP="00255AAF">
      <w:pPr>
        <w:spacing w:line="360" w:lineRule="auto"/>
        <w:ind w:firstLineChars="200" w:firstLine="420"/>
        <w:rPr>
          <w:color w:val="000000"/>
          <w:szCs w:val="21"/>
        </w:rPr>
      </w:pPr>
      <w:r w:rsidRPr="00255AAF">
        <w:rPr>
          <w:color w:val="000000"/>
          <w:szCs w:val="21"/>
        </w:rPr>
        <w:t>2</w:t>
      </w:r>
      <w:r w:rsidRPr="00255AAF">
        <w:rPr>
          <w:rFonts w:hint="eastAsia"/>
          <w:color w:val="000000"/>
          <w:szCs w:val="21"/>
        </w:rPr>
        <w:t>、本基金场内份额持有人不少于</w:t>
      </w:r>
      <w:r w:rsidRPr="00255AAF">
        <w:rPr>
          <w:color w:val="000000"/>
          <w:szCs w:val="21"/>
        </w:rPr>
        <w:t xml:space="preserve">1,000 </w:t>
      </w:r>
      <w:r w:rsidRPr="00255AAF">
        <w:rPr>
          <w:rFonts w:hint="eastAsia"/>
          <w:color w:val="000000"/>
          <w:szCs w:val="21"/>
        </w:rPr>
        <w:t>人；</w:t>
      </w:r>
    </w:p>
    <w:p w14:paraId="01405066" w14:textId="77777777" w:rsidR="00175DB4" w:rsidRDefault="000519D1" w:rsidP="00255AAF">
      <w:pPr>
        <w:spacing w:line="360" w:lineRule="auto"/>
        <w:ind w:firstLineChars="200" w:firstLine="420"/>
        <w:rPr>
          <w:color w:val="000000"/>
          <w:szCs w:val="21"/>
        </w:rPr>
      </w:pPr>
      <w:r w:rsidRPr="00255AAF">
        <w:rPr>
          <w:color w:val="000000"/>
          <w:szCs w:val="21"/>
        </w:rPr>
        <w:t>3</w:t>
      </w:r>
      <w:r w:rsidRPr="00255AAF">
        <w:rPr>
          <w:rFonts w:hint="eastAsia"/>
          <w:color w:val="000000"/>
          <w:szCs w:val="21"/>
        </w:rPr>
        <w:t>、符合深圳证券交易所规定的其他条件。</w:t>
      </w:r>
    </w:p>
    <w:p w14:paraId="1B590B09" w14:textId="0A30E3E8" w:rsidR="00175DB4" w:rsidRDefault="000519D1">
      <w:pPr>
        <w:spacing w:line="360" w:lineRule="auto"/>
        <w:ind w:firstLineChars="200" w:firstLine="420"/>
        <w:rPr>
          <w:color w:val="000000"/>
          <w:szCs w:val="21"/>
        </w:rPr>
      </w:pPr>
      <w:r>
        <w:rPr>
          <w:rFonts w:hint="eastAsia"/>
          <w:color w:val="000000"/>
          <w:szCs w:val="21"/>
        </w:rPr>
        <w:t>基金</w:t>
      </w:r>
      <w:r w:rsidR="008C3BF6">
        <w:rPr>
          <w:rFonts w:hint="eastAsia"/>
          <w:color w:val="000000"/>
          <w:szCs w:val="21"/>
        </w:rPr>
        <w:t>份额</w:t>
      </w:r>
      <w:r>
        <w:rPr>
          <w:rFonts w:hint="eastAsia"/>
          <w:color w:val="000000"/>
          <w:szCs w:val="21"/>
        </w:rPr>
        <w:t>上市前，基金管理人应与深圳证券交易所签订上市协议书。基金份额获准在深圳证券交易所上市的，基金管理人应在基金份额上市日的</w:t>
      </w:r>
      <w:r>
        <w:rPr>
          <w:rFonts w:hint="eastAsia"/>
          <w:color w:val="000000"/>
          <w:szCs w:val="21"/>
        </w:rPr>
        <w:t xml:space="preserve">3 </w:t>
      </w:r>
      <w:proofErr w:type="gramStart"/>
      <w:r>
        <w:rPr>
          <w:rFonts w:hint="eastAsia"/>
          <w:color w:val="000000"/>
          <w:szCs w:val="21"/>
        </w:rPr>
        <w:t>个</w:t>
      </w:r>
      <w:proofErr w:type="gramEnd"/>
      <w:r>
        <w:rPr>
          <w:rFonts w:hint="eastAsia"/>
          <w:color w:val="000000"/>
          <w:szCs w:val="21"/>
        </w:rPr>
        <w:t>工作日前发布基金份额上市交易公告书</w:t>
      </w:r>
      <w:r w:rsidR="00524765" w:rsidRPr="00524765">
        <w:rPr>
          <w:rFonts w:hint="eastAsia"/>
          <w:color w:val="000000"/>
          <w:szCs w:val="21"/>
        </w:rPr>
        <w:t>及其提示性公告</w:t>
      </w:r>
      <w:r>
        <w:rPr>
          <w:rFonts w:hint="eastAsia"/>
          <w:color w:val="000000"/>
          <w:szCs w:val="21"/>
        </w:rPr>
        <w:t>。</w:t>
      </w:r>
    </w:p>
    <w:p w14:paraId="420911AA" w14:textId="316E4A0C" w:rsidR="00175DB4" w:rsidRDefault="000519D1">
      <w:pPr>
        <w:spacing w:line="360" w:lineRule="auto"/>
        <w:ind w:firstLineChars="200" w:firstLine="420"/>
        <w:rPr>
          <w:color w:val="000000"/>
          <w:szCs w:val="21"/>
        </w:rPr>
      </w:pPr>
      <w:r>
        <w:rPr>
          <w:rFonts w:hint="eastAsia"/>
          <w:color w:val="000000"/>
          <w:szCs w:val="21"/>
        </w:rPr>
        <w:t>（二）基金份额的</w:t>
      </w:r>
      <w:r w:rsidR="008C3BF6">
        <w:rPr>
          <w:rFonts w:hint="eastAsia"/>
          <w:color w:val="000000"/>
          <w:szCs w:val="21"/>
        </w:rPr>
        <w:t>上市</w:t>
      </w:r>
      <w:r>
        <w:rPr>
          <w:rFonts w:hint="eastAsia"/>
          <w:color w:val="000000"/>
          <w:szCs w:val="21"/>
        </w:rPr>
        <w:t>交易</w:t>
      </w:r>
    </w:p>
    <w:p w14:paraId="70F79157" w14:textId="77777777" w:rsidR="00175DB4" w:rsidRDefault="000519D1">
      <w:pPr>
        <w:spacing w:line="360" w:lineRule="auto"/>
        <w:ind w:firstLineChars="200" w:firstLine="420"/>
        <w:rPr>
          <w:color w:val="000000"/>
          <w:szCs w:val="21"/>
        </w:rPr>
      </w:pPr>
      <w:r>
        <w:rPr>
          <w:rFonts w:hint="eastAsia"/>
          <w:color w:val="000000"/>
          <w:szCs w:val="21"/>
        </w:rPr>
        <w:t>基金份额在深圳证券交易所的上市交易、暂停或终止上市交易，应遵照《深圳证券交易所交易规则》、《深圳证券交易所证券投资基金上市规则》</w:t>
      </w:r>
      <w:r>
        <w:rPr>
          <w:color w:val="000000"/>
          <w:szCs w:val="21"/>
        </w:rPr>
        <w:t>、《深圳证券交易所证券投资基金交易和申购赎回实施细则》等有关规定。</w:t>
      </w:r>
    </w:p>
    <w:p w14:paraId="648FB263" w14:textId="77777777" w:rsidR="00175DB4" w:rsidRDefault="000519D1">
      <w:pPr>
        <w:spacing w:line="360" w:lineRule="auto"/>
        <w:ind w:firstLineChars="200" w:firstLine="420"/>
        <w:rPr>
          <w:color w:val="000000"/>
          <w:szCs w:val="21"/>
        </w:rPr>
      </w:pPr>
      <w:bookmarkStart w:id="33" w:name="_Hlk4883204"/>
      <w:r>
        <w:rPr>
          <w:rFonts w:hint="eastAsia"/>
          <w:color w:val="000000"/>
          <w:szCs w:val="21"/>
        </w:rPr>
        <w:t>（三）上市交易的停复牌、暂停上市、恢复上市和终止上市</w:t>
      </w:r>
    </w:p>
    <w:p w14:paraId="77BB5C80" w14:textId="77777777" w:rsidR="00175DB4" w:rsidRDefault="000519D1">
      <w:pPr>
        <w:spacing w:line="360" w:lineRule="auto"/>
        <w:ind w:firstLineChars="200" w:firstLine="420"/>
        <w:rPr>
          <w:color w:val="000000"/>
          <w:szCs w:val="21"/>
        </w:rPr>
      </w:pPr>
      <w:r>
        <w:rPr>
          <w:rFonts w:hint="eastAsia"/>
          <w:color w:val="000000"/>
          <w:szCs w:val="21"/>
        </w:rPr>
        <w:t>上市基金份额的停复牌、暂停上市、恢复上市和终止上市按照《深圳证券交易所证券投资基金上市规则》的相关业务规则、通知、指引、指南等有关规定执行。</w:t>
      </w:r>
      <w:bookmarkEnd w:id="33"/>
    </w:p>
    <w:p w14:paraId="021A69AD" w14:textId="630973FF" w:rsidR="008C3BF6" w:rsidRDefault="000519D1">
      <w:pPr>
        <w:spacing w:line="360" w:lineRule="auto"/>
        <w:ind w:firstLineChars="200" w:firstLine="420"/>
        <w:rPr>
          <w:color w:val="000000"/>
          <w:szCs w:val="21"/>
        </w:rPr>
      </w:pPr>
      <w:r>
        <w:rPr>
          <w:rFonts w:hint="eastAsia"/>
          <w:color w:val="000000"/>
          <w:szCs w:val="21"/>
        </w:rPr>
        <w:t>当本基金发生深圳证券交易所相关规定所规定的因不再具备上市条件而</w:t>
      </w:r>
      <w:r w:rsidR="008C3BF6" w:rsidRPr="008C3BF6">
        <w:rPr>
          <w:rFonts w:hint="eastAsia"/>
          <w:color w:val="000000"/>
          <w:szCs w:val="21"/>
        </w:rPr>
        <w:t>被深圳证券交易所</w:t>
      </w:r>
      <w:r>
        <w:rPr>
          <w:rFonts w:hint="eastAsia"/>
          <w:color w:val="000000"/>
          <w:szCs w:val="21"/>
        </w:rPr>
        <w:t>终止上市的情形时，本基金可由交易型开放式指数证券投资基金变更为跟踪标的指数的非上市的开放式指数基金，而无需召开基金份额持有人大会审议。届时，基金管理人需制定基金终止上市后场内份额的处理规则并提前公告。基金管理人需按照非上市的开放式指数基金调整相应的业务规则</w:t>
      </w:r>
      <w:r w:rsidR="008C3BF6">
        <w:rPr>
          <w:rFonts w:hint="eastAsia"/>
          <w:color w:val="000000"/>
          <w:szCs w:val="21"/>
        </w:rPr>
        <w:t>（</w:t>
      </w:r>
      <w:r>
        <w:rPr>
          <w:rFonts w:hint="eastAsia"/>
          <w:color w:val="000000"/>
          <w:szCs w:val="21"/>
        </w:rPr>
        <w:t>包括可变更本基金的登记机构并相应调整申购赎回业务规则等</w:t>
      </w:r>
      <w:r w:rsidR="008C3BF6">
        <w:rPr>
          <w:rFonts w:hint="eastAsia"/>
          <w:color w:val="000000"/>
          <w:szCs w:val="21"/>
        </w:rPr>
        <w:t>）及其他涉及内容</w:t>
      </w:r>
      <w:r>
        <w:rPr>
          <w:rFonts w:hint="eastAsia"/>
          <w:color w:val="000000"/>
          <w:szCs w:val="21"/>
        </w:rPr>
        <w:t>，基金变更的具体安排</w:t>
      </w:r>
      <w:proofErr w:type="gramStart"/>
      <w:r>
        <w:rPr>
          <w:rFonts w:hint="eastAsia"/>
          <w:color w:val="000000"/>
          <w:szCs w:val="21"/>
        </w:rPr>
        <w:t>见基金</w:t>
      </w:r>
      <w:proofErr w:type="gramEnd"/>
      <w:r>
        <w:rPr>
          <w:rFonts w:hint="eastAsia"/>
          <w:color w:val="000000"/>
          <w:szCs w:val="21"/>
        </w:rPr>
        <w:t>管理人届时发布的相关公告。</w:t>
      </w:r>
      <w:r w:rsidR="00524765" w:rsidRPr="00524765">
        <w:rPr>
          <w:rFonts w:hint="eastAsia"/>
          <w:color w:val="000000"/>
          <w:szCs w:val="21"/>
        </w:rPr>
        <w:t>若届时本基金管理人已有以该指数作为标的指数的指数基金，</w:t>
      </w:r>
      <w:proofErr w:type="gramStart"/>
      <w:r w:rsidR="00524765" w:rsidRPr="00524765">
        <w:rPr>
          <w:rFonts w:hint="eastAsia"/>
          <w:color w:val="000000"/>
          <w:szCs w:val="21"/>
        </w:rPr>
        <w:t>则基金</w:t>
      </w:r>
      <w:proofErr w:type="gramEnd"/>
      <w:r w:rsidR="00524765" w:rsidRPr="00524765">
        <w:rPr>
          <w:rFonts w:hint="eastAsia"/>
          <w:color w:val="000000"/>
          <w:szCs w:val="21"/>
        </w:rPr>
        <w:t>管理人将本着维护投资者合法权益的原则，履行适当的程序后选取其他合适的指数作为标的指数，或在履行适当的程序后与该指数基金合并。</w:t>
      </w:r>
    </w:p>
    <w:p w14:paraId="31D409D5" w14:textId="77777777" w:rsidR="00175DB4" w:rsidRDefault="000519D1">
      <w:pPr>
        <w:spacing w:line="360" w:lineRule="auto"/>
        <w:ind w:firstLineChars="200" w:firstLine="420"/>
        <w:rPr>
          <w:color w:val="000000"/>
          <w:szCs w:val="21"/>
        </w:rPr>
      </w:pPr>
      <w:r>
        <w:rPr>
          <w:rFonts w:hint="eastAsia"/>
          <w:color w:val="000000"/>
          <w:szCs w:val="21"/>
        </w:rPr>
        <w:t>（四）基金份额参考净值的计算与公告</w:t>
      </w:r>
    </w:p>
    <w:p w14:paraId="2E89F3A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基金管理人或者基金管理人委托其他机构在相关证券交易所开市后根据申购赎回清单和组合证券内各只证券的实时成交数据计算基金份额参考净值（</w:t>
      </w:r>
      <w:r>
        <w:rPr>
          <w:rFonts w:hint="eastAsia"/>
          <w:color w:val="000000"/>
          <w:szCs w:val="21"/>
        </w:rPr>
        <w:t>IOPV</w:t>
      </w:r>
      <w:r>
        <w:rPr>
          <w:rFonts w:hint="eastAsia"/>
          <w:color w:val="000000"/>
          <w:szCs w:val="21"/>
        </w:rPr>
        <w:t>）并由深圳证券交易所在交易时间内发布，供投资人交易、申购、赎回基金份额时参考。</w:t>
      </w:r>
    </w:p>
    <w:p w14:paraId="7D559EF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1</w:t>
      </w:r>
      <w:r>
        <w:rPr>
          <w:rFonts w:hint="eastAsia"/>
          <w:color w:val="000000"/>
          <w:szCs w:val="21"/>
        </w:rPr>
        <w:t>、</w:t>
      </w:r>
      <w:r>
        <w:rPr>
          <w:rFonts w:hint="eastAsia"/>
          <w:color w:val="000000"/>
          <w:szCs w:val="21"/>
        </w:rPr>
        <w:tab/>
      </w:r>
      <w:r>
        <w:rPr>
          <w:rFonts w:hint="eastAsia"/>
          <w:color w:val="000000"/>
          <w:szCs w:val="21"/>
        </w:rPr>
        <w:t>基金份额参考净值计算公式为：</w:t>
      </w:r>
    </w:p>
    <w:p w14:paraId="58BF69C0" w14:textId="77777777" w:rsidR="00175DB4" w:rsidRDefault="000519D1">
      <w:pPr>
        <w:tabs>
          <w:tab w:val="left" w:pos="540"/>
        </w:tabs>
        <w:snapToGrid w:val="0"/>
        <w:spacing w:line="360" w:lineRule="auto"/>
        <w:ind w:firstLineChars="200" w:firstLine="420"/>
        <w:rPr>
          <w:color w:val="000000"/>
          <w:szCs w:val="21"/>
        </w:rPr>
      </w:pPr>
      <w:r>
        <w:rPr>
          <w:rFonts w:ascii="宋体" w:hAnsi="宋体" w:hint="eastAsia"/>
          <w:color w:val="000000"/>
          <w:szCs w:val="21"/>
        </w:rPr>
        <w:t>基金份额参考净值＝</w:t>
      </w:r>
      <w:r>
        <w:rPr>
          <w:rFonts w:ascii="宋体" w:hAnsi="宋体"/>
          <w:color w:val="000000"/>
          <w:szCs w:val="21"/>
        </w:rPr>
        <w:t>(</w:t>
      </w:r>
      <w:r>
        <w:rPr>
          <w:rFonts w:ascii="宋体" w:hAnsi="宋体" w:hint="eastAsia"/>
          <w:color w:val="000000"/>
          <w:szCs w:val="21"/>
        </w:rPr>
        <w:t>申购赎回清单中必须用现金替代的替代金额＋申购赎回清单中可以用现金替代成份证券的数量与最新成交价相乘之和</w:t>
      </w:r>
      <w:r>
        <w:rPr>
          <w:rFonts w:ascii="宋体" w:hAnsi="宋体"/>
          <w:color w:val="000000"/>
          <w:szCs w:val="21"/>
        </w:rPr>
        <w:t>+</w:t>
      </w:r>
      <w:r>
        <w:rPr>
          <w:rFonts w:ascii="宋体" w:hAnsi="宋体" w:hint="eastAsia"/>
          <w:color w:val="000000"/>
          <w:szCs w:val="21"/>
        </w:rPr>
        <w:t>申购赎回清单中禁止用现金替代成份证券的数量与最新成交价相乘之和＋申购赎回清单中的预估现金差额</w:t>
      </w:r>
      <w:r>
        <w:rPr>
          <w:rFonts w:ascii="宋体" w:hAnsi="宋体"/>
          <w:color w:val="000000"/>
          <w:szCs w:val="21"/>
        </w:rPr>
        <w:t>)/</w:t>
      </w:r>
      <w:r>
        <w:rPr>
          <w:rFonts w:ascii="宋体" w:hAnsi="宋体" w:hint="eastAsia"/>
          <w:color w:val="000000"/>
          <w:szCs w:val="21"/>
        </w:rPr>
        <w:t>最小申购赎回单位对应的基金份额。</w:t>
      </w:r>
    </w:p>
    <w:p w14:paraId="4248E1A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、基金份额参考净值的计算以四舍五入的方法保留小数点后</w:t>
      </w:r>
      <w:r>
        <w:rPr>
          <w:rFonts w:hint="eastAsia"/>
          <w:color w:val="000000"/>
          <w:szCs w:val="21"/>
        </w:rPr>
        <w:t>3</w:t>
      </w:r>
      <w:r>
        <w:rPr>
          <w:rFonts w:hint="eastAsia"/>
          <w:color w:val="000000"/>
          <w:szCs w:val="21"/>
        </w:rPr>
        <w:t>位。</w:t>
      </w:r>
    </w:p>
    <w:p w14:paraId="0105F45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、基金管理人可以调整基金份额参考净值计算公式，并予以公告。</w:t>
      </w:r>
    </w:p>
    <w:p w14:paraId="5C7BE002" w14:textId="77777777" w:rsidR="00175DB4" w:rsidRDefault="000519D1">
      <w:pPr>
        <w:spacing w:line="360" w:lineRule="auto"/>
        <w:ind w:firstLineChars="200" w:firstLine="420"/>
        <w:rPr>
          <w:color w:val="000000"/>
          <w:szCs w:val="21"/>
        </w:rPr>
      </w:pPr>
      <w:r>
        <w:rPr>
          <w:rFonts w:hint="eastAsia"/>
          <w:color w:val="000000"/>
          <w:szCs w:val="21"/>
        </w:rPr>
        <w:t>（五）相关法律法规、中国证监会、深圳证券交易所及中国证券登记结算有限责任公司对基金上市交易的规则等相关规定内容进行调整的，基金合同从其规定，并按照新规定执行，且此项修改无须召开基金份额持有人大会。</w:t>
      </w:r>
    </w:p>
    <w:p w14:paraId="174D993A" w14:textId="77777777" w:rsidR="00175DB4" w:rsidRDefault="000519D1">
      <w:pPr>
        <w:spacing w:line="360" w:lineRule="auto"/>
        <w:ind w:firstLineChars="200" w:firstLine="420"/>
        <w:rPr>
          <w:color w:val="000000"/>
          <w:szCs w:val="21"/>
        </w:rPr>
      </w:pPr>
      <w:r>
        <w:rPr>
          <w:rFonts w:hint="eastAsia"/>
          <w:color w:val="000000"/>
          <w:szCs w:val="21"/>
        </w:rPr>
        <w:t>（六）若深圳证券交易所、中国证券登记结算有限责任公司增加了基金上市交易的新功能，基金管理人可以在履行适当的程序后增加相应功能。</w:t>
      </w:r>
    </w:p>
    <w:p w14:paraId="16FC059D" w14:textId="77777777" w:rsidR="00175DB4" w:rsidRDefault="000519D1">
      <w:pPr>
        <w:spacing w:line="360" w:lineRule="auto"/>
        <w:ind w:firstLineChars="200" w:firstLine="420"/>
        <w:rPr>
          <w:color w:val="000000"/>
          <w:szCs w:val="21"/>
        </w:rPr>
      </w:pPr>
      <w:r>
        <w:rPr>
          <w:rFonts w:hint="eastAsia"/>
          <w:color w:val="000000"/>
          <w:szCs w:val="21"/>
        </w:rPr>
        <w:t>（七）在不违反法律法规的前提下，</w:t>
      </w:r>
      <w:r w:rsidRPr="00D41605">
        <w:rPr>
          <w:rFonts w:hint="eastAsia"/>
          <w:color w:val="000000"/>
          <w:szCs w:val="21"/>
        </w:rPr>
        <w:t>在基金管理人履行适当的程序后，</w:t>
      </w:r>
      <w:r>
        <w:rPr>
          <w:rFonts w:hint="eastAsia"/>
          <w:color w:val="000000"/>
          <w:szCs w:val="21"/>
        </w:rPr>
        <w:t>本基金可以申请在包括境外交易所在内的其他证券交易所上市交易，无需召开基金份额持有人大会。</w:t>
      </w:r>
    </w:p>
    <w:p w14:paraId="5D700CB5" w14:textId="77777777" w:rsidR="00175DB4" w:rsidRDefault="000519D1">
      <w:pPr>
        <w:spacing w:line="360" w:lineRule="auto"/>
        <w:ind w:firstLineChars="200" w:firstLine="420"/>
        <w:rPr>
          <w:color w:val="000000"/>
          <w:szCs w:val="21"/>
        </w:rPr>
      </w:pPr>
      <w:r>
        <w:rPr>
          <w:color w:val="000000"/>
          <w:szCs w:val="21"/>
        </w:rPr>
        <w:br w:type="page"/>
      </w:r>
    </w:p>
    <w:p w14:paraId="2EA47032" w14:textId="7CB3E64F" w:rsidR="00175DB4" w:rsidRDefault="000519D1">
      <w:pPr>
        <w:pStyle w:val="1"/>
        <w:spacing w:line="360" w:lineRule="exact"/>
        <w:rPr>
          <w:rFonts w:eastAsia="宋体"/>
          <w:color w:val="000000"/>
          <w:sz w:val="30"/>
          <w:szCs w:val="30"/>
        </w:rPr>
      </w:pPr>
      <w:bookmarkStart w:id="34" w:name="_Toc135741012"/>
      <w:r>
        <w:rPr>
          <w:rFonts w:eastAsia="宋体"/>
          <w:color w:val="000000"/>
          <w:sz w:val="30"/>
          <w:szCs w:val="30"/>
        </w:rPr>
        <w:lastRenderedPageBreak/>
        <w:t>十、基金份额的申购</w:t>
      </w:r>
      <w:r w:rsidR="00493399">
        <w:rPr>
          <w:rFonts w:eastAsia="宋体" w:hint="eastAsia"/>
          <w:color w:val="000000"/>
          <w:sz w:val="30"/>
          <w:szCs w:val="30"/>
        </w:rPr>
        <w:t>、</w:t>
      </w:r>
      <w:r>
        <w:rPr>
          <w:rFonts w:eastAsia="宋体"/>
          <w:color w:val="000000"/>
          <w:sz w:val="30"/>
          <w:szCs w:val="30"/>
        </w:rPr>
        <w:t>赎回</w:t>
      </w:r>
      <w:bookmarkEnd w:id="30"/>
      <w:bookmarkEnd w:id="31"/>
      <w:r w:rsidR="00493399">
        <w:rPr>
          <w:rFonts w:eastAsia="宋体"/>
          <w:color w:val="000000"/>
          <w:sz w:val="30"/>
          <w:szCs w:val="30"/>
        </w:rPr>
        <w:t>与</w:t>
      </w:r>
      <w:proofErr w:type="gramStart"/>
      <w:r w:rsidR="00493399">
        <w:rPr>
          <w:rFonts w:eastAsia="宋体"/>
          <w:color w:val="000000"/>
          <w:sz w:val="30"/>
          <w:szCs w:val="30"/>
        </w:rPr>
        <w:t>非交易</w:t>
      </w:r>
      <w:proofErr w:type="gramEnd"/>
      <w:r w:rsidR="00493399">
        <w:rPr>
          <w:rFonts w:eastAsia="宋体"/>
          <w:color w:val="000000"/>
          <w:sz w:val="30"/>
          <w:szCs w:val="30"/>
        </w:rPr>
        <w:t>过户</w:t>
      </w:r>
      <w:bookmarkEnd w:id="34"/>
    </w:p>
    <w:p w14:paraId="7570EBF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本基金目前仅采取深圳证券交易所跨市场股票</w:t>
      </w:r>
      <w:r>
        <w:rPr>
          <w:rFonts w:hint="eastAsia"/>
          <w:color w:val="000000"/>
          <w:szCs w:val="21"/>
        </w:rPr>
        <w:t>ETF</w:t>
      </w:r>
      <w:proofErr w:type="gramStart"/>
      <w:r>
        <w:rPr>
          <w:rFonts w:hint="eastAsia"/>
          <w:color w:val="000000"/>
          <w:szCs w:val="21"/>
        </w:rPr>
        <w:t>场内申赎模式</w:t>
      </w:r>
      <w:proofErr w:type="gramEnd"/>
      <w:r>
        <w:rPr>
          <w:rFonts w:hint="eastAsia"/>
          <w:color w:val="000000"/>
          <w:szCs w:val="21"/>
        </w:rPr>
        <w:t>，未来基金管理人可根据基金发展需要，开通场外</w:t>
      </w:r>
      <w:proofErr w:type="gramStart"/>
      <w:r>
        <w:rPr>
          <w:rFonts w:hint="eastAsia"/>
          <w:color w:val="000000"/>
          <w:szCs w:val="21"/>
        </w:rPr>
        <w:t>实物申赎模式</w:t>
      </w:r>
      <w:proofErr w:type="gramEnd"/>
      <w:r>
        <w:rPr>
          <w:rFonts w:hint="eastAsia"/>
          <w:color w:val="000000"/>
          <w:szCs w:val="21"/>
        </w:rPr>
        <w:t>（指通过中国证券登记结算有限责任公司基金业务系统以深、沪证券市场组合证券办理跨深、沪证券市场交易型基金的申购、赎回）或其他深圳证券交易所、登记机构允许</w:t>
      </w:r>
      <w:proofErr w:type="gramStart"/>
      <w:r>
        <w:rPr>
          <w:rFonts w:hint="eastAsia"/>
          <w:color w:val="000000"/>
          <w:szCs w:val="21"/>
        </w:rPr>
        <w:t>的申赎模式</w:t>
      </w:r>
      <w:proofErr w:type="gramEnd"/>
      <w:r>
        <w:rPr>
          <w:rFonts w:hint="eastAsia"/>
          <w:color w:val="000000"/>
          <w:szCs w:val="21"/>
        </w:rPr>
        <w:t>，届时将发布公告予以披露并对本基金的招募说明书予以更新，无须召开基金份额持有人大会审议。</w:t>
      </w:r>
    </w:p>
    <w:p w14:paraId="0819D068"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proofErr w:type="gramStart"/>
      <w:r>
        <w:rPr>
          <w:color w:val="000000"/>
          <w:szCs w:val="21"/>
        </w:rPr>
        <w:t>一</w:t>
      </w:r>
      <w:proofErr w:type="gramEnd"/>
      <w:r>
        <w:rPr>
          <w:color w:val="000000"/>
          <w:szCs w:val="21"/>
        </w:rPr>
        <w:t>)</w:t>
      </w:r>
      <w:r>
        <w:rPr>
          <w:rFonts w:hint="eastAsia"/>
          <w:color w:val="000000"/>
          <w:szCs w:val="21"/>
        </w:rPr>
        <w:t>申购与赎回的场所</w:t>
      </w:r>
    </w:p>
    <w:p w14:paraId="615CDF8D" w14:textId="77777777" w:rsidR="00175DB4" w:rsidRDefault="000519D1">
      <w:pPr>
        <w:tabs>
          <w:tab w:val="left" w:pos="540"/>
        </w:tabs>
        <w:snapToGrid w:val="0"/>
        <w:spacing w:line="360" w:lineRule="auto"/>
        <w:ind w:firstLineChars="200" w:firstLine="420"/>
        <w:rPr>
          <w:color w:val="000000"/>
          <w:szCs w:val="21"/>
        </w:rPr>
      </w:pPr>
      <w:r>
        <w:rPr>
          <w:color w:val="000000"/>
          <w:szCs w:val="21"/>
        </w:rPr>
        <w:t>投资人应当在申购赎回代理券商办理基金申购、赎回业务的营业场所或按申购赎回代理券商提供的其他方式办理本基金的申购和赎回</w:t>
      </w:r>
      <w:r>
        <w:rPr>
          <w:rFonts w:hint="eastAsia"/>
          <w:color w:val="000000"/>
          <w:szCs w:val="21"/>
        </w:rPr>
        <w:t>业务</w:t>
      </w:r>
      <w:r>
        <w:rPr>
          <w:color w:val="000000"/>
          <w:szCs w:val="21"/>
        </w:rPr>
        <w:t>。</w:t>
      </w:r>
      <w:r>
        <w:rPr>
          <w:rFonts w:hint="eastAsia"/>
          <w:color w:val="000000"/>
          <w:szCs w:val="21"/>
        </w:rPr>
        <w:t>本基金现采用深圳证券交易所场内“深市股票实物申赎，沪市股票现金替代”</w:t>
      </w:r>
      <w:proofErr w:type="gramStart"/>
      <w:r>
        <w:rPr>
          <w:rFonts w:hint="eastAsia"/>
          <w:color w:val="000000"/>
          <w:szCs w:val="21"/>
        </w:rPr>
        <w:t>申赎模式</w:t>
      </w:r>
      <w:proofErr w:type="gramEnd"/>
      <w:r>
        <w:rPr>
          <w:rFonts w:hint="eastAsia"/>
          <w:color w:val="000000"/>
          <w:szCs w:val="21"/>
        </w:rPr>
        <w:t>方式，故申购</w:t>
      </w:r>
      <w:r>
        <w:rPr>
          <w:color w:val="000000"/>
          <w:szCs w:val="21"/>
        </w:rPr>
        <w:t>、赎回</w:t>
      </w:r>
      <w:r>
        <w:rPr>
          <w:rFonts w:hint="eastAsia"/>
          <w:color w:val="000000"/>
          <w:szCs w:val="21"/>
        </w:rPr>
        <w:t>通过</w:t>
      </w:r>
      <w:r>
        <w:rPr>
          <w:color w:val="000000"/>
          <w:szCs w:val="21"/>
        </w:rPr>
        <w:t>代理券商</w:t>
      </w:r>
      <w:r>
        <w:rPr>
          <w:rFonts w:hint="eastAsia"/>
          <w:color w:val="000000"/>
          <w:szCs w:val="21"/>
        </w:rPr>
        <w:t>在深圳证券交易所办理。</w:t>
      </w:r>
    </w:p>
    <w:p w14:paraId="42F8FFC9"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基金管理人在开始申购、赎回业务前公告申购赎回代理券商的名单，并可依据实际情况增加或减少申购赎回代理券商，</w:t>
      </w:r>
      <w:r>
        <w:rPr>
          <w:rFonts w:hint="eastAsia"/>
          <w:color w:val="000000"/>
          <w:szCs w:val="21"/>
        </w:rPr>
        <w:t>并在基金管理人网站公示</w:t>
      </w:r>
      <w:r>
        <w:rPr>
          <w:color w:val="000000"/>
          <w:szCs w:val="21"/>
        </w:rPr>
        <w:t>。</w:t>
      </w:r>
    </w:p>
    <w:p w14:paraId="65799A82"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二</w:t>
      </w:r>
      <w:r>
        <w:rPr>
          <w:color w:val="000000"/>
          <w:szCs w:val="21"/>
        </w:rPr>
        <w:t>)</w:t>
      </w:r>
      <w:r>
        <w:rPr>
          <w:color w:val="000000"/>
          <w:szCs w:val="21"/>
        </w:rPr>
        <w:t>申购和赎回的开放日及时间</w:t>
      </w:r>
    </w:p>
    <w:p w14:paraId="05295AED"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、开放日及开放时间</w:t>
      </w:r>
    </w:p>
    <w:p w14:paraId="1E91E69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投资人办理基金份额的申购、赎回等业务的开放日为深圳证券交易所及上海证券交易所的交易日，具体办理时间为深圳证券交易所及上海证券交易所的正常交易日的交易时间。但基金管理人根据法律法规、中国证监会的要求或基金合同的规定公告暂停申购、赎回时除外。</w:t>
      </w:r>
    </w:p>
    <w:p w14:paraId="5E47833F" w14:textId="1C975B63"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合同生效后，若出现新的证券、期货交易市场、相关证券、期货交易所交易时间变更或其他特殊情况，基金管理人将视情况对前述开放日及开放时间进行相应的调整，并应在实施日前依照《信息披露办法》的有关规定在规定媒介上公告</w:t>
      </w:r>
      <w:r w:rsidR="00867EEB">
        <w:rPr>
          <w:rFonts w:hint="eastAsia"/>
          <w:color w:val="000000"/>
          <w:szCs w:val="21"/>
        </w:rPr>
        <w:t>。</w:t>
      </w:r>
      <w:r w:rsidR="00493399" w:rsidRPr="00493399">
        <w:rPr>
          <w:rFonts w:hint="eastAsia"/>
          <w:color w:val="000000"/>
          <w:szCs w:val="21"/>
        </w:rPr>
        <w:t>若证券、期货交易场所依法决定临时停市或在交易时间非正常停市，基金管理人在次日依照《信息披露办法》的有关规定在规定媒介上公告</w:t>
      </w:r>
      <w:r>
        <w:rPr>
          <w:rFonts w:hint="eastAsia"/>
          <w:color w:val="000000"/>
          <w:szCs w:val="21"/>
        </w:rPr>
        <w:t>。</w:t>
      </w:r>
    </w:p>
    <w:p w14:paraId="7882ECAA"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、申购与赎回开始日及业务办理时间</w:t>
      </w:r>
    </w:p>
    <w:p w14:paraId="3C2E9B88" w14:textId="77777777" w:rsidR="00493399" w:rsidRPr="00493399" w:rsidRDefault="00493399" w:rsidP="00493399">
      <w:pPr>
        <w:tabs>
          <w:tab w:val="left" w:pos="540"/>
        </w:tabs>
        <w:snapToGrid w:val="0"/>
        <w:spacing w:line="360" w:lineRule="auto"/>
        <w:ind w:firstLineChars="200" w:firstLine="420"/>
        <w:rPr>
          <w:color w:val="000000"/>
          <w:szCs w:val="21"/>
        </w:rPr>
      </w:pPr>
      <w:r w:rsidRPr="00493399">
        <w:rPr>
          <w:rFonts w:hint="eastAsia"/>
          <w:color w:val="000000"/>
          <w:szCs w:val="21"/>
        </w:rPr>
        <w:t>基金管理人可根据实际情况依法决定本基金开始办理申购的具体日期，具体业务办理时间在申购开始公告中规定。</w:t>
      </w:r>
    </w:p>
    <w:p w14:paraId="63118EF7" w14:textId="77777777" w:rsidR="00493399" w:rsidRPr="00493399" w:rsidRDefault="00493399" w:rsidP="00493399">
      <w:pPr>
        <w:tabs>
          <w:tab w:val="left" w:pos="540"/>
        </w:tabs>
        <w:snapToGrid w:val="0"/>
        <w:spacing w:line="360" w:lineRule="auto"/>
        <w:ind w:firstLineChars="200" w:firstLine="420"/>
        <w:rPr>
          <w:color w:val="000000"/>
          <w:szCs w:val="21"/>
        </w:rPr>
      </w:pPr>
      <w:r w:rsidRPr="00493399">
        <w:rPr>
          <w:rFonts w:hint="eastAsia"/>
          <w:color w:val="000000"/>
          <w:szCs w:val="21"/>
        </w:rPr>
        <w:t>基金管理人自基金合同生效之日起不超过</w:t>
      </w:r>
      <w:r w:rsidRPr="00493399">
        <w:rPr>
          <w:rFonts w:hint="eastAsia"/>
          <w:color w:val="000000"/>
          <w:szCs w:val="21"/>
        </w:rPr>
        <w:t>3</w:t>
      </w:r>
      <w:r w:rsidRPr="00493399">
        <w:rPr>
          <w:rFonts w:hint="eastAsia"/>
          <w:color w:val="000000"/>
          <w:szCs w:val="21"/>
        </w:rPr>
        <w:t>个月开始办理赎回，具体业务办理时间在赎回开始公告中规定。</w:t>
      </w:r>
    </w:p>
    <w:p w14:paraId="33A67C69" w14:textId="77777777" w:rsidR="00493399" w:rsidRPr="00493399" w:rsidRDefault="00493399" w:rsidP="00493399">
      <w:pPr>
        <w:tabs>
          <w:tab w:val="left" w:pos="540"/>
        </w:tabs>
        <w:snapToGrid w:val="0"/>
        <w:spacing w:line="360" w:lineRule="auto"/>
        <w:ind w:firstLineChars="200" w:firstLine="420"/>
        <w:rPr>
          <w:color w:val="000000"/>
          <w:szCs w:val="21"/>
        </w:rPr>
      </w:pPr>
      <w:r w:rsidRPr="00493399">
        <w:rPr>
          <w:rFonts w:hint="eastAsia"/>
          <w:color w:val="000000"/>
          <w:szCs w:val="21"/>
        </w:rPr>
        <w:t>基金管理人应在申购开始日、赎回开始日前依照《信息披露办法》的有关规定在规定媒介上公告。</w:t>
      </w:r>
    </w:p>
    <w:p w14:paraId="2F3AE39B" w14:textId="77777777" w:rsidR="00493399" w:rsidRDefault="00493399">
      <w:pPr>
        <w:tabs>
          <w:tab w:val="left" w:pos="540"/>
        </w:tabs>
        <w:snapToGrid w:val="0"/>
        <w:spacing w:line="360" w:lineRule="auto"/>
        <w:ind w:firstLineChars="200" w:firstLine="420"/>
        <w:rPr>
          <w:color w:val="000000"/>
          <w:szCs w:val="21"/>
        </w:rPr>
      </w:pPr>
      <w:r w:rsidRPr="00493399">
        <w:rPr>
          <w:rFonts w:hint="eastAsia"/>
          <w:color w:val="000000"/>
          <w:szCs w:val="21"/>
        </w:rPr>
        <w:t>基金管理人不得在基金合同约定之外的日期或者时间办理基金份额的申购、赎回。</w:t>
      </w:r>
    </w:p>
    <w:p w14:paraId="69B30221" w14:textId="4A38032F" w:rsidR="00493399" w:rsidRDefault="00493399">
      <w:pPr>
        <w:tabs>
          <w:tab w:val="left" w:pos="540"/>
        </w:tabs>
        <w:snapToGrid w:val="0"/>
        <w:spacing w:line="360" w:lineRule="auto"/>
        <w:ind w:firstLineChars="200" w:firstLine="420"/>
        <w:rPr>
          <w:color w:val="000000"/>
          <w:szCs w:val="21"/>
        </w:rPr>
      </w:pPr>
      <w:r w:rsidRPr="00493399">
        <w:rPr>
          <w:rFonts w:hint="eastAsia"/>
          <w:color w:val="000000"/>
          <w:szCs w:val="21"/>
        </w:rPr>
        <w:t>本基金在上市交易之前可开始办理申购、赎回。但在基金申请上市期间，基金可暂停</w:t>
      </w:r>
      <w:r w:rsidRPr="00493399">
        <w:rPr>
          <w:rFonts w:hint="eastAsia"/>
          <w:color w:val="000000"/>
          <w:szCs w:val="21"/>
        </w:rPr>
        <w:lastRenderedPageBreak/>
        <w:t>办理申购、赎回。</w:t>
      </w:r>
    </w:p>
    <w:p w14:paraId="77FB416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三</w:t>
      </w:r>
      <w:r>
        <w:rPr>
          <w:color w:val="000000"/>
          <w:szCs w:val="21"/>
        </w:rPr>
        <w:t>)</w:t>
      </w:r>
      <w:r>
        <w:rPr>
          <w:color w:val="000000"/>
          <w:szCs w:val="21"/>
        </w:rPr>
        <w:t>申购和赎回的数额限制</w:t>
      </w:r>
    </w:p>
    <w:p w14:paraId="7D09AE89" w14:textId="6FE7DF9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w:t>
      </w:r>
      <w:r>
        <w:rPr>
          <w:color w:val="000000"/>
          <w:szCs w:val="21"/>
        </w:rPr>
        <w:t>投资人申购、赎回的基金份额需为最小申购赎回单位的整数</w:t>
      </w:r>
      <w:proofErr w:type="gramStart"/>
      <w:r>
        <w:rPr>
          <w:color w:val="000000"/>
          <w:szCs w:val="21"/>
        </w:rPr>
        <w:t>倍</w:t>
      </w:r>
      <w:proofErr w:type="gramEnd"/>
      <w:r>
        <w:rPr>
          <w:color w:val="000000"/>
          <w:szCs w:val="21"/>
        </w:rPr>
        <w:t>。</w:t>
      </w:r>
      <w:r w:rsidR="002F246E" w:rsidRPr="002F246E">
        <w:rPr>
          <w:rFonts w:hint="eastAsia"/>
          <w:color w:val="000000"/>
          <w:szCs w:val="21"/>
        </w:rPr>
        <w:t>最小申购、赎回单位由基金管理人确定和调整，具体规定请参见相关公告。</w:t>
      </w:r>
    </w:p>
    <w:p w14:paraId="7779C9F5"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rFonts w:hint="eastAsia"/>
          <w:color w:val="000000"/>
          <w:szCs w:val="21"/>
        </w:rPr>
        <w:t>、</w:t>
      </w:r>
      <w:r>
        <w:rPr>
          <w:color w:val="000000"/>
          <w:szCs w:val="21"/>
        </w:rPr>
        <w:t>本基金最小申购、赎回单位为</w:t>
      </w:r>
      <w:r>
        <w:rPr>
          <w:rFonts w:hint="eastAsia"/>
          <w:color w:val="000000"/>
          <w:szCs w:val="21"/>
        </w:rPr>
        <w:t>100</w:t>
      </w:r>
      <w:r>
        <w:rPr>
          <w:rFonts w:hint="eastAsia"/>
          <w:color w:val="000000"/>
          <w:szCs w:val="21"/>
        </w:rPr>
        <w:t>万</w:t>
      </w:r>
      <w:r>
        <w:rPr>
          <w:color w:val="000000"/>
          <w:szCs w:val="21"/>
        </w:rPr>
        <w:t>份，基金管理人可根据市场情况，在法律法规允许的情况下，调整申购与赎回的数额限制，基金管理人必须在调整实施前依照《信息披露办法》的有关规定在</w:t>
      </w:r>
      <w:r>
        <w:rPr>
          <w:rFonts w:hint="eastAsia"/>
          <w:color w:val="000000"/>
          <w:szCs w:val="21"/>
        </w:rPr>
        <w:t>规定媒介</w:t>
      </w:r>
      <w:r>
        <w:rPr>
          <w:color w:val="000000"/>
          <w:szCs w:val="21"/>
        </w:rPr>
        <w:t>公告。</w:t>
      </w:r>
    </w:p>
    <w:p w14:paraId="1645B684"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rFonts w:hint="eastAsia"/>
          <w:color w:val="000000"/>
          <w:szCs w:val="21"/>
        </w:rPr>
        <w:t>、基金管理人可以规定单个投资者累计持有的基金份额上限，具体规定参见相关公告。</w:t>
      </w:r>
    </w:p>
    <w:p w14:paraId="0B7798D5"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rFonts w:hint="eastAsia"/>
          <w:color w:val="000000"/>
          <w:szCs w:val="21"/>
        </w:rPr>
        <w:t>、当接受申购申请对存量基金份额持有人利益构成潜在重大不利影响时</w:t>
      </w:r>
      <w:r>
        <w:rPr>
          <w:color w:val="000000"/>
          <w:szCs w:val="21"/>
        </w:rPr>
        <w:t>,</w:t>
      </w:r>
      <w:r>
        <w:rPr>
          <w:rFonts w:hint="eastAsia"/>
          <w:color w:val="000000"/>
          <w:szCs w:val="21"/>
        </w:rPr>
        <w:t>基金管理人应当采取设定单一投资者申购份额上限、基金单日净申购比例上限、拒绝大额申购、暂停基金申购或限制基金当日最大申购份额等措施</w:t>
      </w:r>
      <w:r>
        <w:rPr>
          <w:color w:val="000000"/>
          <w:szCs w:val="21"/>
        </w:rPr>
        <w:t>,</w:t>
      </w:r>
      <w:r>
        <w:rPr>
          <w:rFonts w:hint="eastAsia"/>
          <w:color w:val="000000"/>
          <w:szCs w:val="21"/>
        </w:rPr>
        <w:t>切实保护存量基金份额持有人的合法权益。基金管理人基于投资运作与风险控制的需要，可采取上述措施对基金规模予以控制。具体请参见相关公告。</w:t>
      </w:r>
    </w:p>
    <w:p w14:paraId="062EE3AC"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rFonts w:hint="eastAsia"/>
          <w:color w:val="000000"/>
          <w:szCs w:val="21"/>
        </w:rPr>
        <w:t>、基金管理人可根据基金运作情况、市场变化以及投资者需求等因素可设定当日申购份额上限、当日赎回份额上限，以对当日的申购总规模或赎回总规模进行控制，并依据有关规定提前在规定媒介上公告。</w:t>
      </w:r>
    </w:p>
    <w:p w14:paraId="4FE0EB1D" w14:textId="2D79A2DC" w:rsidR="00175DB4" w:rsidRDefault="000519D1">
      <w:pPr>
        <w:tabs>
          <w:tab w:val="left" w:pos="540"/>
        </w:tabs>
        <w:snapToGrid w:val="0"/>
        <w:spacing w:line="360" w:lineRule="auto"/>
        <w:ind w:firstLineChars="200" w:firstLine="420"/>
        <w:rPr>
          <w:color w:val="000000"/>
          <w:szCs w:val="21"/>
        </w:rPr>
      </w:pPr>
      <w:r>
        <w:rPr>
          <w:color w:val="000000"/>
          <w:szCs w:val="21"/>
        </w:rPr>
        <w:t>6</w:t>
      </w:r>
      <w:r>
        <w:rPr>
          <w:rFonts w:hint="eastAsia"/>
          <w:color w:val="000000"/>
          <w:szCs w:val="21"/>
        </w:rPr>
        <w:t>、基金管理人</w:t>
      </w:r>
      <w:r w:rsidR="00A04FCA" w:rsidRPr="00A04FCA">
        <w:rPr>
          <w:rFonts w:hint="eastAsia"/>
          <w:color w:val="000000"/>
          <w:szCs w:val="21"/>
        </w:rPr>
        <w:t>可以在法律法规允许的情况下，根据市场情况，调整上述规定的数量或比例限制</w:t>
      </w:r>
      <w:r>
        <w:rPr>
          <w:rFonts w:hint="eastAsia"/>
          <w:color w:val="000000"/>
          <w:szCs w:val="21"/>
        </w:rPr>
        <w:t>。基金管理人必须在调整前依照有关规定在规定媒介上公告。</w:t>
      </w:r>
    </w:p>
    <w:p w14:paraId="02A8A92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四</w:t>
      </w:r>
      <w:r>
        <w:rPr>
          <w:color w:val="000000"/>
          <w:szCs w:val="21"/>
        </w:rPr>
        <w:t>)</w:t>
      </w:r>
      <w:r>
        <w:rPr>
          <w:color w:val="000000"/>
          <w:szCs w:val="21"/>
        </w:rPr>
        <w:t>申购和赎回的原则</w:t>
      </w:r>
    </w:p>
    <w:p w14:paraId="1B6D188E"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、申购、赎回应遵守《</w:t>
      </w:r>
      <w:r>
        <w:rPr>
          <w:rFonts w:hint="eastAsia"/>
          <w:color w:val="000000"/>
          <w:szCs w:val="21"/>
        </w:rPr>
        <w:t>业务规则</w:t>
      </w:r>
      <w:r>
        <w:rPr>
          <w:color w:val="000000"/>
          <w:szCs w:val="21"/>
        </w:rPr>
        <w:t>》及其他相关规定。</w:t>
      </w:r>
    </w:p>
    <w:p w14:paraId="4353B097" w14:textId="2642B146"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w:t>
      </w:r>
      <w:r>
        <w:rPr>
          <w:rFonts w:hint="eastAsia"/>
          <w:color w:val="000000"/>
          <w:szCs w:val="21"/>
        </w:rPr>
        <w:t>本基金采用</w:t>
      </w:r>
      <w:r w:rsidR="006E7AA0" w:rsidRPr="006E7AA0">
        <w:rPr>
          <w:rFonts w:hint="eastAsia"/>
          <w:color w:val="000000"/>
          <w:szCs w:val="21"/>
        </w:rPr>
        <w:t>“份额申购、份额赎回”</w:t>
      </w:r>
      <w:r w:rsidR="00867EEB">
        <w:rPr>
          <w:rFonts w:hint="eastAsia"/>
          <w:color w:val="000000"/>
          <w:szCs w:val="21"/>
        </w:rPr>
        <w:t>原则</w:t>
      </w:r>
      <w:r>
        <w:rPr>
          <w:rFonts w:hint="eastAsia"/>
          <w:color w:val="000000"/>
          <w:szCs w:val="21"/>
        </w:rPr>
        <w:t>，即申购和赎回均以份额申请。</w:t>
      </w:r>
    </w:p>
    <w:p w14:paraId="7CAA79C0"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、本基金的申购对价、赎回对价包括组合证券、现金替代、现金差额及其他对价。</w:t>
      </w:r>
    </w:p>
    <w:p w14:paraId="330DC658"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、申购、赎回申请提交后不得撤销。</w:t>
      </w:r>
    </w:p>
    <w:p w14:paraId="327EE0B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5</w:t>
      </w:r>
      <w:r>
        <w:rPr>
          <w:rFonts w:hint="eastAsia"/>
          <w:color w:val="000000"/>
          <w:szCs w:val="21"/>
        </w:rPr>
        <w:t>、办理申购、赎回业务时，应当遵循基金份额持有人利益优先原则，确保投资者的合法权益不受损害并得到公平对待。</w:t>
      </w:r>
    </w:p>
    <w:p w14:paraId="488039B4" w14:textId="77777777" w:rsidR="00175DB4" w:rsidRDefault="000519D1">
      <w:pPr>
        <w:tabs>
          <w:tab w:val="left" w:pos="540"/>
        </w:tabs>
        <w:snapToGrid w:val="0"/>
        <w:spacing w:line="360" w:lineRule="auto"/>
        <w:ind w:firstLineChars="200" w:firstLine="420"/>
        <w:rPr>
          <w:color w:val="000000"/>
          <w:szCs w:val="21"/>
        </w:rPr>
      </w:pPr>
      <w:r>
        <w:rPr>
          <w:color w:val="000000"/>
          <w:szCs w:val="21"/>
        </w:rPr>
        <w:t>6</w:t>
      </w:r>
      <w:r>
        <w:rPr>
          <w:color w:val="000000"/>
          <w:szCs w:val="21"/>
        </w:rPr>
        <w:t>、基金管理人可在不违反法律法规且对基金份额持有人无实质性不利影响的情况下，</w:t>
      </w:r>
      <w:r>
        <w:rPr>
          <w:rFonts w:hint="eastAsia"/>
          <w:color w:val="000000"/>
          <w:szCs w:val="21"/>
        </w:rPr>
        <w:t>或依据深圳证券交易所或登记机构相关规则及其变更调整，</w:t>
      </w:r>
      <w:r>
        <w:rPr>
          <w:color w:val="000000"/>
          <w:szCs w:val="21"/>
        </w:rPr>
        <w:t>对上述原则进行调整。基金管理人必须在新规则开始实施前依照《信息披露办法》的有关规定在规定媒介上公告。</w:t>
      </w:r>
    </w:p>
    <w:p w14:paraId="7A328B13"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五</w:t>
      </w:r>
      <w:r>
        <w:rPr>
          <w:color w:val="000000"/>
          <w:szCs w:val="21"/>
        </w:rPr>
        <w:t>)</w:t>
      </w:r>
      <w:r>
        <w:rPr>
          <w:color w:val="000000"/>
          <w:szCs w:val="21"/>
        </w:rPr>
        <w:t>申购和赎回的程序</w:t>
      </w:r>
    </w:p>
    <w:p w14:paraId="000E4C32"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、申购和赎回申请的提出</w:t>
      </w:r>
    </w:p>
    <w:p w14:paraId="3F8DCA0B" w14:textId="77777777" w:rsidR="00175DB4" w:rsidRDefault="000519D1">
      <w:pPr>
        <w:tabs>
          <w:tab w:val="left" w:pos="540"/>
        </w:tabs>
        <w:snapToGrid w:val="0"/>
        <w:spacing w:line="360" w:lineRule="auto"/>
        <w:ind w:firstLineChars="200" w:firstLine="420"/>
        <w:rPr>
          <w:color w:val="000000"/>
          <w:szCs w:val="21"/>
        </w:rPr>
      </w:pPr>
      <w:r>
        <w:rPr>
          <w:color w:val="000000"/>
          <w:szCs w:val="21"/>
        </w:rPr>
        <w:t>投资人通过申购赎回代理券商</w:t>
      </w:r>
      <w:r>
        <w:rPr>
          <w:rFonts w:hint="eastAsia"/>
          <w:color w:val="000000"/>
          <w:szCs w:val="21"/>
        </w:rPr>
        <w:t>在</w:t>
      </w:r>
      <w:r>
        <w:rPr>
          <w:color w:val="000000"/>
          <w:szCs w:val="21"/>
        </w:rPr>
        <w:t>深圳</w:t>
      </w:r>
      <w:r>
        <w:rPr>
          <w:rFonts w:hint="eastAsia"/>
          <w:color w:val="000000"/>
          <w:szCs w:val="21"/>
        </w:rPr>
        <w:t>证券</w:t>
      </w:r>
      <w:r>
        <w:rPr>
          <w:color w:val="000000"/>
          <w:szCs w:val="21"/>
        </w:rPr>
        <w:t>交易所场内申报申购、赎回业务。</w:t>
      </w:r>
    </w:p>
    <w:p w14:paraId="3D8CE476"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基金投资人必须根据申购赎回代理券商或基金管理人规定的程序，在开放日的具体业务办理时间内提出申购或赎回的申请。</w:t>
      </w:r>
    </w:p>
    <w:p w14:paraId="61254986"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投资人在申购本基金时须按申购赎回清单的规定备足申购对价，投资人在提交赎回申请时，必须</w:t>
      </w:r>
      <w:r>
        <w:rPr>
          <w:rFonts w:hint="eastAsia"/>
          <w:color w:val="000000"/>
          <w:szCs w:val="21"/>
        </w:rPr>
        <w:t>持有</w:t>
      </w:r>
      <w:r>
        <w:rPr>
          <w:color w:val="000000"/>
          <w:szCs w:val="21"/>
        </w:rPr>
        <w:t>足够的基金份额余额和现金，否则所提交的申购、赎回申请无效而不予成交。</w:t>
      </w:r>
    </w:p>
    <w:p w14:paraId="6E827E88"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、申购和赎回申请的确认</w:t>
      </w:r>
    </w:p>
    <w:p w14:paraId="1F3D13FB"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基金投资人申购、赎回申请</w:t>
      </w:r>
      <w:r>
        <w:rPr>
          <w:rFonts w:hint="eastAsia"/>
          <w:color w:val="000000"/>
          <w:szCs w:val="21"/>
        </w:rPr>
        <w:t>在受理当日</w:t>
      </w:r>
      <w:r>
        <w:rPr>
          <w:color w:val="000000"/>
          <w:szCs w:val="21"/>
        </w:rPr>
        <w:t>进行确认。</w:t>
      </w:r>
      <w:r>
        <w:rPr>
          <w:rFonts w:hint="eastAsia"/>
          <w:color w:val="000000"/>
          <w:szCs w:val="21"/>
        </w:rPr>
        <w:t>如投资人未能提供符合要求的申购对价，则申购申请失败。如投资人持有的符合要求的基金份额不足或未能根据要求准备足额的现金，或基金投资组合内不具备足额的符合要求的赎回对价，则赎回申请失败。</w:t>
      </w:r>
    </w:p>
    <w:p w14:paraId="05343F4E" w14:textId="676B6970" w:rsidR="00175DB4" w:rsidRDefault="004B0127">
      <w:pPr>
        <w:tabs>
          <w:tab w:val="left" w:pos="540"/>
        </w:tabs>
        <w:snapToGrid w:val="0"/>
        <w:spacing w:line="360" w:lineRule="auto"/>
        <w:ind w:firstLineChars="200" w:firstLine="420"/>
        <w:rPr>
          <w:color w:val="000000"/>
          <w:szCs w:val="21"/>
        </w:rPr>
      </w:pPr>
      <w:r>
        <w:rPr>
          <w:rFonts w:hint="eastAsia"/>
          <w:color w:val="000000"/>
          <w:szCs w:val="21"/>
        </w:rPr>
        <w:t>投资人</w:t>
      </w:r>
      <w:r>
        <w:rPr>
          <w:color w:val="000000"/>
          <w:szCs w:val="21"/>
        </w:rPr>
        <w:t>T</w:t>
      </w:r>
      <w:r>
        <w:rPr>
          <w:rFonts w:hint="eastAsia"/>
          <w:color w:val="000000"/>
          <w:szCs w:val="21"/>
        </w:rPr>
        <w:t>日申购的</w:t>
      </w:r>
      <w:r>
        <w:rPr>
          <w:color w:val="000000"/>
          <w:szCs w:val="21"/>
        </w:rPr>
        <w:t>ETF</w:t>
      </w:r>
      <w:r>
        <w:rPr>
          <w:rFonts w:hint="eastAsia"/>
          <w:color w:val="000000"/>
          <w:szCs w:val="21"/>
        </w:rPr>
        <w:t>份额，当日可竞价卖出，</w:t>
      </w:r>
      <w:r>
        <w:rPr>
          <w:color w:val="000000"/>
          <w:szCs w:val="21"/>
        </w:rPr>
        <w:t>T+1</w:t>
      </w:r>
      <w:r>
        <w:rPr>
          <w:rFonts w:hint="eastAsia"/>
          <w:color w:val="000000"/>
          <w:szCs w:val="21"/>
        </w:rPr>
        <w:t>日可以赎回；</w:t>
      </w:r>
      <w:r>
        <w:rPr>
          <w:color w:val="000000"/>
          <w:szCs w:val="21"/>
        </w:rPr>
        <w:t>T</w:t>
      </w:r>
      <w:r>
        <w:rPr>
          <w:rFonts w:hint="eastAsia"/>
          <w:color w:val="000000"/>
          <w:szCs w:val="21"/>
        </w:rPr>
        <w:t>日赎回得到的股票，当日可竞价卖出，</w:t>
      </w:r>
      <w:r>
        <w:rPr>
          <w:color w:val="000000"/>
          <w:szCs w:val="21"/>
        </w:rPr>
        <w:t>T+1</w:t>
      </w:r>
      <w:r>
        <w:rPr>
          <w:rFonts w:hint="eastAsia"/>
          <w:color w:val="000000"/>
          <w:szCs w:val="21"/>
        </w:rPr>
        <w:t>日可用于申购</w:t>
      </w:r>
      <w:r>
        <w:rPr>
          <w:color w:val="000000"/>
          <w:szCs w:val="21"/>
        </w:rPr>
        <w:t>ETF</w:t>
      </w:r>
      <w:r>
        <w:rPr>
          <w:rFonts w:hint="eastAsia"/>
          <w:color w:val="000000"/>
          <w:szCs w:val="21"/>
        </w:rPr>
        <w:t>份额；</w:t>
      </w:r>
      <w:r>
        <w:rPr>
          <w:color w:val="000000"/>
          <w:szCs w:val="21"/>
        </w:rPr>
        <w:t>T</w:t>
      </w:r>
      <w:r>
        <w:rPr>
          <w:rFonts w:hint="eastAsia"/>
          <w:color w:val="000000"/>
          <w:szCs w:val="21"/>
        </w:rPr>
        <w:t>日竞价买入的股票，当日可用于申购</w:t>
      </w:r>
      <w:r>
        <w:rPr>
          <w:color w:val="000000"/>
          <w:szCs w:val="21"/>
        </w:rPr>
        <w:t>ETF</w:t>
      </w:r>
      <w:r>
        <w:rPr>
          <w:rFonts w:hint="eastAsia"/>
          <w:color w:val="000000"/>
          <w:szCs w:val="21"/>
        </w:rPr>
        <w:t>份额</w:t>
      </w:r>
      <w:r w:rsidRPr="00981AF8">
        <w:rPr>
          <w:rFonts w:hint="eastAsia"/>
          <w:color w:val="000000"/>
          <w:szCs w:val="21"/>
        </w:rPr>
        <w:t>；</w:t>
      </w:r>
      <w:r w:rsidRPr="00981AF8">
        <w:rPr>
          <w:rFonts w:hint="eastAsia"/>
          <w:color w:val="000000"/>
          <w:szCs w:val="21"/>
        </w:rPr>
        <w:t>T</w:t>
      </w:r>
      <w:r w:rsidRPr="00981AF8">
        <w:rPr>
          <w:rFonts w:hint="eastAsia"/>
          <w:color w:val="000000"/>
          <w:szCs w:val="21"/>
        </w:rPr>
        <w:t>日竞价买入的</w:t>
      </w:r>
      <w:r w:rsidRPr="00981AF8">
        <w:rPr>
          <w:rFonts w:hint="eastAsia"/>
          <w:color w:val="000000"/>
          <w:szCs w:val="21"/>
        </w:rPr>
        <w:t>ETF</w:t>
      </w:r>
      <w:r w:rsidRPr="00981AF8">
        <w:rPr>
          <w:rFonts w:hint="eastAsia"/>
          <w:color w:val="000000"/>
          <w:szCs w:val="21"/>
        </w:rPr>
        <w:t>份额，当日可赎回，</w:t>
      </w:r>
      <w:r w:rsidRPr="00981AF8">
        <w:rPr>
          <w:rFonts w:hint="eastAsia"/>
          <w:color w:val="000000"/>
          <w:szCs w:val="21"/>
        </w:rPr>
        <w:t>T+1</w:t>
      </w:r>
      <w:r w:rsidRPr="00981AF8">
        <w:rPr>
          <w:rFonts w:hint="eastAsia"/>
          <w:color w:val="000000"/>
          <w:szCs w:val="21"/>
        </w:rPr>
        <w:t>日可竞价卖出</w:t>
      </w:r>
      <w:r>
        <w:rPr>
          <w:rFonts w:hint="eastAsia"/>
          <w:color w:val="000000"/>
          <w:szCs w:val="21"/>
        </w:rPr>
        <w:t>。</w:t>
      </w:r>
    </w:p>
    <w:p w14:paraId="406D52E0" w14:textId="77777777" w:rsidR="00175DB4" w:rsidRDefault="000519D1">
      <w:pPr>
        <w:tabs>
          <w:tab w:val="left" w:pos="540"/>
        </w:tabs>
        <w:snapToGrid w:val="0"/>
        <w:spacing w:line="360" w:lineRule="auto"/>
        <w:ind w:firstLineChars="200" w:firstLine="420"/>
        <w:rPr>
          <w:color w:val="000000"/>
          <w:szCs w:val="21"/>
        </w:rPr>
      </w:pPr>
      <w:r>
        <w:rPr>
          <w:color w:val="000000"/>
          <w:szCs w:val="21"/>
        </w:rPr>
        <w:t>申购赎回代理券商受理申购、赎回申请并不代表该申购、赎回申请一定成功。申购、赎回的确认以登记机构的确认结果为准。投资人应在</w:t>
      </w:r>
      <w:r>
        <w:rPr>
          <w:color w:val="000000"/>
          <w:szCs w:val="21"/>
        </w:rPr>
        <w:t>T+</w:t>
      </w:r>
      <w:r>
        <w:rPr>
          <w:rFonts w:hint="eastAsia"/>
          <w:color w:val="000000"/>
          <w:szCs w:val="21"/>
        </w:rPr>
        <w:t>1</w:t>
      </w:r>
      <w:r>
        <w:rPr>
          <w:color w:val="000000"/>
          <w:szCs w:val="21"/>
        </w:rPr>
        <w:t>日之后及时通过其办理申购、赎回的销售网点查询有关申请的确认情况。投资人应及时查询有关申请的确认情况</w:t>
      </w:r>
      <w:r>
        <w:rPr>
          <w:rFonts w:hint="eastAsia"/>
          <w:color w:val="000000"/>
          <w:szCs w:val="21"/>
        </w:rPr>
        <w:t>并妥善行使合法权利</w:t>
      </w:r>
      <w:r>
        <w:rPr>
          <w:color w:val="000000"/>
          <w:szCs w:val="21"/>
        </w:rPr>
        <w:t>。</w:t>
      </w:r>
    </w:p>
    <w:p w14:paraId="3D11366A"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、申购和赎回的清算交收与登记</w:t>
      </w:r>
    </w:p>
    <w:p w14:paraId="58614E95"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本基金申购、赎回过程中涉及的组合证券</w:t>
      </w:r>
      <w:r>
        <w:rPr>
          <w:rFonts w:hint="eastAsia"/>
          <w:color w:val="000000"/>
          <w:szCs w:val="21"/>
        </w:rPr>
        <w:t>、</w:t>
      </w:r>
      <w:r>
        <w:rPr>
          <w:color w:val="000000"/>
          <w:szCs w:val="21"/>
        </w:rPr>
        <w:t>基金份额</w:t>
      </w:r>
      <w:r>
        <w:rPr>
          <w:rFonts w:hint="eastAsia"/>
          <w:color w:val="000000"/>
          <w:szCs w:val="21"/>
        </w:rPr>
        <w:t>、现金替代、现金差额及其他对价的清算</w:t>
      </w:r>
      <w:r>
        <w:rPr>
          <w:color w:val="000000"/>
          <w:szCs w:val="21"/>
        </w:rPr>
        <w:t>交收适用</w:t>
      </w:r>
      <w:r>
        <w:rPr>
          <w:rFonts w:hint="eastAsia"/>
          <w:color w:val="000000"/>
          <w:szCs w:val="21"/>
        </w:rPr>
        <w:t>《业务规则》的规定</w:t>
      </w:r>
      <w:r>
        <w:rPr>
          <w:color w:val="000000"/>
          <w:szCs w:val="21"/>
        </w:rPr>
        <w:t>。</w:t>
      </w:r>
    </w:p>
    <w:p w14:paraId="28108E4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投资人</w:t>
      </w:r>
      <w:r>
        <w:rPr>
          <w:rFonts w:hint="eastAsia"/>
          <w:color w:val="000000"/>
          <w:szCs w:val="21"/>
        </w:rPr>
        <w:t>T</w:t>
      </w:r>
      <w:r>
        <w:rPr>
          <w:rFonts w:hint="eastAsia"/>
          <w:color w:val="000000"/>
          <w:szCs w:val="21"/>
        </w:rPr>
        <w:t>日申购或</w:t>
      </w:r>
      <w:r>
        <w:rPr>
          <w:color w:val="000000"/>
          <w:szCs w:val="21"/>
        </w:rPr>
        <w:t>赎回</w:t>
      </w:r>
      <w:r>
        <w:rPr>
          <w:rFonts w:hint="eastAsia"/>
          <w:color w:val="000000"/>
          <w:szCs w:val="21"/>
        </w:rPr>
        <w:t>成功后，登记机构在</w:t>
      </w:r>
      <w:r>
        <w:rPr>
          <w:rFonts w:hint="eastAsia"/>
          <w:color w:val="000000"/>
          <w:szCs w:val="21"/>
        </w:rPr>
        <w:t>T</w:t>
      </w:r>
      <w:r>
        <w:rPr>
          <w:rFonts w:hint="eastAsia"/>
          <w:color w:val="000000"/>
          <w:szCs w:val="21"/>
        </w:rPr>
        <w:t>日收市后办理基金份额的</w:t>
      </w:r>
      <w:r>
        <w:rPr>
          <w:color w:val="000000"/>
          <w:szCs w:val="21"/>
        </w:rPr>
        <w:t>交收</w:t>
      </w:r>
      <w:r>
        <w:rPr>
          <w:rFonts w:hint="eastAsia"/>
          <w:color w:val="000000"/>
          <w:szCs w:val="21"/>
        </w:rPr>
        <w:t>、深圳证券交易所上市的成份股的交</w:t>
      </w:r>
      <w:proofErr w:type="gramStart"/>
      <w:r>
        <w:rPr>
          <w:rFonts w:hint="eastAsia"/>
          <w:color w:val="000000"/>
          <w:szCs w:val="21"/>
        </w:rPr>
        <w:t>收以及</w:t>
      </w:r>
      <w:proofErr w:type="gramEnd"/>
      <w:r>
        <w:rPr>
          <w:rFonts w:hint="eastAsia"/>
          <w:color w:val="000000"/>
          <w:szCs w:val="21"/>
        </w:rPr>
        <w:t>现金替代的清算；在</w:t>
      </w:r>
      <w:r>
        <w:rPr>
          <w:rFonts w:hint="eastAsia"/>
          <w:color w:val="000000"/>
          <w:szCs w:val="21"/>
        </w:rPr>
        <w:t>T+1</w:t>
      </w:r>
      <w:r>
        <w:rPr>
          <w:rFonts w:hint="eastAsia"/>
          <w:color w:val="000000"/>
          <w:szCs w:val="21"/>
        </w:rPr>
        <w:t>日办理现金替代的交</w:t>
      </w:r>
      <w:proofErr w:type="gramStart"/>
      <w:r>
        <w:rPr>
          <w:rFonts w:hint="eastAsia"/>
          <w:color w:val="000000"/>
          <w:szCs w:val="21"/>
        </w:rPr>
        <w:t>收以及</w:t>
      </w:r>
      <w:proofErr w:type="gramEnd"/>
      <w:r>
        <w:rPr>
          <w:rFonts w:hint="eastAsia"/>
          <w:color w:val="000000"/>
          <w:szCs w:val="21"/>
        </w:rPr>
        <w:t>现金差额的清算，在</w:t>
      </w:r>
      <w:r>
        <w:rPr>
          <w:rFonts w:hint="eastAsia"/>
          <w:color w:val="000000"/>
          <w:szCs w:val="21"/>
        </w:rPr>
        <w:t>T+2</w:t>
      </w:r>
      <w:r>
        <w:rPr>
          <w:rFonts w:hint="eastAsia"/>
          <w:color w:val="000000"/>
          <w:szCs w:val="21"/>
        </w:rPr>
        <w:t>日办理现金差额的交收，并将结果发送给申购赎回代理券商、基金管理人和基金托管人；一般在补齐基金份额</w:t>
      </w:r>
      <w:r>
        <w:rPr>
          <w:color w:val="000000"/>
          <w:szCs w:val="21"/>
        </w:rPr>
        <w:t>所对应的</w:t>
      </w:r>
      <w:r>
        <w:rPr>
          <w:rFonts w:hint="eastAsia"/>
          <w:color w:val="000000"/>
          <w:szCs w:val="21"/>
        </w:rPr>
        <w:t>组合</w:t>
      </w:r>
      <w:r>
        <w:rPr>
          <w:color w:val="000000"/>
          <w:szCs w:val="21"/>
        </w:rPr>
        <w:t>证券</w:t>
      </w:r>
      <w:r>
        <w:rPr>
          <w:rFonts w:hint="eastAsia"/>
          <w:color w:val="000000"/>
          <w:szCs w:val="21"/>
        </w:rPr>
        <w:t>后，进行相应</w:t>
      </w:r>
      <w:r>
        <w:rPr>
          <w:color w:val="000000"/>
          <w:szCs w:val="21"/>
        </w:rPr>
        <w:t>的</w:t>
      </w:r>
      <w:r>
        <w:rPr>
          <w:rFonts w:hint="eastAsia"/>
          <w:color w:val="000000"/>
          <w:szCs w:val="21"/>
        </w:rPr>
        <w:t>现金替代退补款的</w:t>
      </w:r>
      <w:r>
        <w:rPr>
          <w:color w:val="000000"/>
          <w:szCs w:val="21"/>
        </w:rPr>
        <w:t>清算与交收</w:t>
      </w:r>
      <w:r>
        <w:rPr>
          <w:rFonts w:hint="eastAsia"/>
          <w:color w:val="000000"/>
          <w:szCs w:val="21"/>
        </w:rPr>
        <w:t>。</w:t>
      </w:r>
    </w:p>
    <w:p w14:paraId="1E3040EC" w14:textId="3C44223E" w:rsidR="00175DB4" w:rsidRDefault="000519D1">
      <w:pPr>
        <w:tabs>
          <w:tab w:val="left" w:pos="540"/>
        </w:tabs>
        <w:snapToGrid w:val="0"/>
        <w:spacing w:line="360" w:lineRule="auto"/>
        <w:ind w:firstLineChars="200" w:firstLine="420"/>
        <w:rPr>
          <w:color w:val="000000"/>
          <w:szCs w:val="21"/>
        </w:rPr>
      </w:pPr>
      <w:r>
        <w:rPr>
          <w:color w:val="000000"/>
          <w:szCs w:val="21"/>
        </w:rPr>
        <w:t>如果</w:t>
      </w:r>
      <w:r w:rsidR="001E57B6">
        <w:rPr>
          <w:rFonts w:hint="eastAsia"/>
          <w:color w:val="000000"/>
          <w:szCs w:val="21"/>
        </w:rPr>
        <w:t>基金管理人及</w:t>
      </w:r>
      <w:r>
        <w:rPr>
          <w:color w:val="000000"/>
          <w:szCs w:val="21"/>
        </w:rPr>
        <w:t>登记机构在清算交收时发</w:t>
      </w:r>
      <w:r w:rsidR="005F5BD7">
        <w:rPr>
          <w:rFonts w:hint="eastAsia"/>
          <w:color w:val="000000"/>
          <w:szCs w:val="21"/>
        </w:rPr>
        <w:t>现</w:t>
      </w:r>
      <w:r>
        <w:rPr>
          <w:color w:val="000000"/>
          <w:szCs w:val="21"/>
        </w:rPr>
        <w:t>不能正常履约的情形，则依据《</w:t>
      </w:r>
      <w:r>
        <w:rPr>
          <w:rFonts w:hint="eastAsia"/>
          <w:color w:val="000000"/>
          <w:szCs w:val="21"/>
        </w:rPr>
        <w:t>业务规则</w:t>
      </w:r>
      <w:r>
        <w:rPr>
          <w:color w:val="000000"/>
          <w:szCs w:val="21"/>
        </w:rPr>
        <w:t>》</w:t>
      </w:r>
      <w:r w:rsidR="005F5BD7">
        <w:rPr>
          <w:rFonts w:hint="eastAsia"/>
          <w:color w:val="000000"/>
          <w:szCs w:val="21"/>
        </w:rPr>
        <w:t>及其他相关</w:t>
      </w:r>
      <w:r>
        <w:rPr>
          <w:color w:val="000000"/>
          <w:szCs w:val="21"/>
        </w:rPr>
        <w:t>规定进行处理。</w:t>
      </w:r>
    </w:p>
    <w:p w14:paraId="3C375781" w14:textId="38E57E25"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投资人应按照基金合同</w:t>
      </w:r>
      <w:r w:rsidR="00A92CE6">
        <w:rPr>
          <w:rFonts w:hint="eastAsia"/>
          <w:color w:val="000000"/>
          <w:szCs w:val="21"/>
        </w:rPr>
        <w:t>及</w:t>
      </w:r>
      <w:r>
        <w:rPr>
          <w:rFonts w:hint="eastAsia"/>
          <w:color w:val="000000"/>
          <w:szCs w:val="21"/>
        </w:rPr>
        <w:t>招募说明书的约定和申购赎回代理券商的规定按时足额支付应付的</w:t>
      </w:r>
      <w:r w:rsidR="00A92CE6">
        <w:rPr>
          <w:rFonts w:hint="eastAsia"/>
          <w:color w:val="000000"/>
          <w:szCs w:val="21"/>
        </w:rPr>
        <w:t>组合证券、</w:t>
      </w:r>
      <w:r>
        <w:rPr>
          <w:rFonts w:hint="eastAsia"/>
          <w:color w:val="000000"/>
          <w:szCs w:val="21"/>
        </w:rPr>
        <w:t>现金差额、现金替代和现金替代退补款。因投资人原因导致</w:t>
      </w:r>
      <w:r w:rsidR="00A92CE6">
        <w:rPr>
          <w:rFonts w:hint="eastAsia"/>
          <w:color w:val="000000"/>
          <w:szCs w:val="21"/>
        </w:rPr>
        <w:t>组合证券、</w:t>
      </w:r>
      <w:r>
        <w:rPr>
          <w:rFonts w:hint="eastAsia"/>
          <w:color w:val="000000"/>
          <w:szCs w:val="21"/>
        </w:rPr>
        <w:t>现金差额、现金替代和现金替代退补款未能按时</w:t>
      </w:r>
      <w:proofErr w:type="gramStart"/>
      <w:r>
        <w:rPr>
          <w:rFonts w:hint="eastAsia"/>
          <w:color w:val="000000"/>
          <w:szCs w:val="21"/>
        </w:rPr>
        <w:t>足额交</w:t>
      </w:r>
      <w:proofErr w:type="gramEnd"/>
      <w:r>
        <w:rPr>
          <w:rFonts w:hint="eastAsia"/>
          <w:color w:val="000000"/>
          <w:szCs w:val="21"/>
        </w:rPr>
        <w:t>收的，基金管理人有权为基金的利益向该投资人追偿并要求其承担由此导致的其他基金份额持有人或基金资产的损失。</w:t>
      </w:r>
    </w:p>
    <w:p w14:paraId="3224CB6D" w14:textId="77777777" w:rsidR="00175DB4" w:rsidRDefault="000519D1">
      <w:pPr>
        <w:tabs>
          <w:tab w:val="left" w:pos="540"/>
        </w:tabs>
        <w:snapToGrid w:val="0"/>
        <w:spacing w:line="360" w:lineRule="auto"/>
        <w:ind w:firstLineChars="200" w:firstLine="420"/>
        <w:rPr>
          <w:color w:val="000000"/>
          <w:szCs w:val="21"/>
        </w:rPr>
      </w:pPr>
      <w:r>
        <w:rPr>
          <w:color w:val="000000"/>
          <w:szCs w:val="21"/>
        </w:rPr>
        <w:t>若投资人用以申购的部分或全部组合证券或者用以赎回的部分或全部基金份额因被国家有权机关冻结或强制执行导致</w:t>
      </w:r>
      <w:proofErr w:type="gramStart"/>
      <w:r>
        <w:rPr>
          <w:color w:val="000000"/>
          <w:szCs w:val="21"/>
        </w:rPr>
        <w:t>不</w:t>
      </w:r>
      <w:proofErr w:type="gramEnd"/>
      <w:r>
        <w:rPr>
          <w:color w:val="000000"/>
          <w:szCs w:val="21"/>
        </w:rPr>
        <w:t>足额的，基金管理人有权指示申购赎回代理券商及登记机构依法进行相应处置；如该情况导致其他基金份额持有人或基金资产遭受损失的，基金管理人有权代表其他基金份额持有人或基金资产要求该投资人进行赔偿。</w:t>
      </w:r>
    </w:p>
    <w:p w14:paraId="489CED16"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w:t>
      </w:r>
      <w:r>
        <w:rPr>
          <w:rFonts w:hint="eastAsia"/>
          <w:color w:val="000000"/>
          <w:szCs w:val="21"/>
        </w:rPr>
        <w:t>基金管理人、深圳证券交易所和登记机构可在法律法规允许的范围内，对基金份额持有人利益无实质性不利影响的前提下，对上述申购赎回的程序以及清算交收和登记的</w:t>
      </w:r>
      <w:r>
        <w:rPr>
          <w:rFonts w:hint="eastAsia"/>
          <w:color w:val="000000"/>
          <w:szCs w:val="21"/>
        </w:rPr>
        <w:lastRenderedPageBreak/>
        <w:t>办理时间、方式、处理规则等进行调整，基金管理人应最迟于新规则开始实施前按照《信息披露办法》的有关规定在规定媒介上予以公告。</w:t>
      </w:r>
    </w:p>
    <w:p w14:paraId="474052B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六</w:t>
      </w:r>
      <w:r>
        <w:rPr>
          <w:color w:val="000000"/>
          <w:szCs w:val="21"/>
        </w:rPr>
        <w:t>)</w:t>
      </w:r>
      <w:r>
        <w:rPr>
          <w:color w:val="000000"/>
          <w:szCs w:val="21"/>
        </w:rPr>
        <w:t>申购、赎回的对价、费用</w:t>
      </w:r>
    </w:p>
    <w:p w14:paraId="09B100C8"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、申购对价、赎回对</w:t>
      </w:r>
      <w:proofErr w:type="gramStart"/>
      <w:r>
        <w:rPr>
          <w:color w:val="000000"/>
          <w:szCs w:val="21"/>
        </w:rPr>
        <w:t>价根据</w:t>
      </w:r>
      <w:proofErr w:type="gramEnd"/>
      <w:r>
        <w:rPr>
          <w:color w:val="000000"/>
          <w:szCs w:val="21"/>
        </w:rPr>
        <w:t>申购赎回清单和投资人申购、赎回的基金份额数额确定。申购对价是指投资人申购基金份额时应交付的组合证券、现金替代、现金差额及其他对价。赎回对价是指投资人赎回基金份额时，基金管理人应交付给赎回人的组合证券、现金替代、现金差额及其他对价。</w:t>
      </w:r>
    </w:p>
    <w:p w14:paraId="6677C023" w14:textId="57253505"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、申购赎回清单由基金管理人编制。</w:t>
      </w:r>
      <w:r>
        <w:rPr>
          <w:color w:val="000000"/>
          <w:szCs w:val="21"/>
        </w:rPr>
        <w:t xml:space="preserve">T </w:t>
      </w:r>
      <w:r>
        <w:rPr>
          <w:color w:val="000000"/>
          <w:szCs w:val="21"/>
        </w:rPr>
        <w:t>日的申购赎回清单在当日深圳证券交易所开市前通知深圳证券交易所及登记机构，并在深圳证券交易所及基金管理人网站公告。</w:t>
      </w:r>
      <w:r>
        <w:rPr>
          <w:color w:val="000000"/>
          <w:szCs w:val="21"/>
        </w:rPr>
        <w:t xml:space="preserve">T </w:t>
      </w:r>
      <w:r>
        <w:rPr>
          <w:color w:val="000000"/>
          <w:szCs w:val="21"/>
        </w:rPr>
        <w:t>日的基金份额净值在当天收市后计算，并在</w:t>
      </w:r>
      <w:r>
        <w:rPr>
          <w:color w:val="000000"/>
          <w:szCs w:val="21"/>
        </w:rPr>
        <w:t xml:space="preserve">T+1 </w:t>
      </w:r>
      <w:r>
        <w:rPr>
          <w:color w:val="000000"/>
          <w:szCs w:val="21"/>
        </w:rPr>
        <w:t>日</w:t>
      </w:r>
      <w:r>
        <w:rPr>
          <w:rFonts w:hint="eastAsia"/>
          <w:color w:val="000000"/>
          <w:szCs w:val="21"/>
        </w:rPr>
        <w:t>内</w:t>
      </w:r>
      <w:r>
        <w:rPr>
          <w:color w:val="000000"/>
          <w:szCs w:val="21"/>
        </w:rPr>
        <w:t>公告，计算公式为计算日基金资产净值除以计算日发售在外的基金份额总数。</w:t>
      </w:r>
      <w:r>
        <w:rPr>
          <w:rFonts w:hint="eastAsia"/>
          <w:color w:val="000000"/>
          <w:szCs w:val="21"/>
        </w:rPr>
        <w:t>如遇特殊情况，</w:t>
      </w:r>
      <w:r w:rsidR="001B734F" w:rsidRPr="001B734F">
        <w:rPr>
          <w:rFonts w:hint="eastAsia"/>
          <w:color w:val="000000"/>
          <w:szCs w:val="21"/>
        </w:rPr>
        <w:t>经履行适当程序，</w:t>
      </w:r>
      <w:r>
        <w:rPr>
          <w:rFonts w:hint="eastAsia"/>
          <w:color w:val="000000"/>
          <w:szCs w:val="21"/>
        </w:rPr>
        <w:t>可以适当延迟计算或公告。</w:t>
      </w:r>
    </w:p>
    <w:p w14:paraId="1B12E37F"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、投资人在申购或赎回基金份额时，申购赎回代理券商可按照不超过申购或赎回份额</w:t>
      </w:r>
      <w:r>
        <w:rPr>
          <w:color w:val="000000"/>
          <w:szCs w:val="21"/>
        </w:rPr>
        <w:t>0.5%</w:t>
      </w:r>
      <w:r>
        <w:rPr>
          <w:color w:val="000000"/>
          <w:szCs w:val="21"/>
        </w:rPr>
        <w:t>的标准收取佣金，其中包含证券交易所、登记机构等收取的相关费用。</w:t>
      </w:r>
    </w:p>
    <w:p w14:paraId="3EAE3E60" w14:textId="0C76DC09" w:rsidR="00175DB4" w:rsidRDefault="000519D1">
      <w:pPr>
        <w:tabs>
          <w:tab w:val="left" w:pos="540"/>
        </w:tabs>
        <w:snapToGrid w:val="0"/>
        <w:spacing w:line="360" w:lineRule="auto"/>
        <w:ind w:firstLineChars="200" w:firstLine="420"/>
        <w:rPr>
          <w:color w:val="000000"/>
          <w:szCs w:val="21"/>
        </w:rPr>
      </w:pPr>
      <w:r>
        <w:rPr>
          <w:rFonts w:hint="eastAsia"/>
          <w:color w:val="000000"/>
          <w:szCs w:val="21"/>
        </w:rPr>
        <w:t>4</w:t>
      </w:r>
      <w:r>
        <w:rPr>
          <w:rFonts w:hint="eastAsia"/>
          <w:color w:val="000000"/>
          <w:szCs w:val="21"/>
        </w:rPr>
        <w:t>、</w:t>
      </w:r>
      <w:r>
        <w:rPr>
          <w:color w:val="000000"/>
          <w:szCs w:val="21"/>
        </w:rPr>
        <w:t>本</w:t>
      </w:r>
      <w:proofErr w:type="gramStart"/>
      <w:r w:rsidR="00395287">
        <w:rPr>
          <w:rFonts w:hint="eastAsia"/>
          <w:color w:val="000000"/>
          <w:szCs w:val="21"/>
        </w:rPr>
        <w:t>基金</w:t>
      </w:r>
      <w:r>
        <w:rPr>
          <w:color w:val="000000"/>
          <w:szCs w:val="21"/>
        </w:rPr>
        <w:t>基金</w:t>
      </w:r>
      <w:proofErr w:type="gramEnd"/>
      <w:r>
        <w:rPr>
          <w:color w:val="000000"/>
          <w:szCs w:val="21"/>
        </w:rPr>
        <w:t>份额净值的计算，保留到小数点后</w:t>
      </w:r>
      <w:r>
        <w:rPr>
          <w:color w:val="000000"/>
          <w:szCs w:val="21"/>
        </w:rPr>
        <w:t>4</w:t>
      </w:r>
      <w:r>
        <w:rPr>
          <w:color w:val="000000"/>
          <w:szCs w:val="21"/>
        </w:rPr>
        <w:t>位，小数点后第</w:t>
      </w:r>
      <w:r>
        <w:rPr>
          <w:color w:val="000000"/>
          <w:szCs w:val="21"/>
        </w:rPr>
        <w:t>5</w:t>
      </w:r>
      <w:r>
        <w:rPr>
          <w:color w:val="000000"/>
          <w:szCs w:val="21"/>
        </w:rPr>
        <w:t>位四舍五入，由此产生的误差由基金财产承担。</w:t>
      </w:r>
    </w:p>
    <w:p w14:paraId="3D9BCE6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5</w:t>
      </w:r>
      <w:r>
        <w:rPr>
          <w:rFonts w:hint="eastAsia"/>
          <w:color w:val="000000"/>
          <w:szCs w:val="21"/>
        </w:rPr>
        <w:t>、若市场情况发生变化，或相关业务规则发生变化，基金管理人可以在不违反相关法律法规且对基金份额持有人利益无实质性不利影响的情况下，履行相关程序后，对基金申购赎回业务规则、基金份额净值、申购赎回清单计算和公告时间等进行调整并提前公告，无须召开基金份额持有人大会。</w:t>
      </w:r>
    </w:p>
    <w:p w14:paraId="1D4A23FB"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七</w:t>
      </w:r>
      <w:r>
        <w:rPr>
          <w:color w:val="000000"/>
          <w:szCs w:val="21"/>
        </w:rPr>
        <w:t>)</w:t>
      </w:r>
      <w:r>
        <w:rPr>
          <w:color w:val="000000"/>
          <w:szCs w:val="21"/>
        </w:rPr>
        <w:t>申购赎回清单的内容与格式</w:t>
      </w:r>
    </w:p>
    <w:p w14:paraId="40531080"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、申购赎回清单的内容</w:t>
      </w:r>
    </w:p>
    <w:p w14:paraId="4DACE0CE" w14:textId="0CECCC59"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日申购赎回清单内容包括最小申购赎回单位所对应</w:t>
      </w:r>
      <w:proofErr w:type="gramStart"/>
      <w:r>
        <w:rPr>
          <w:color w:val="000000"/>
          <w:szCs w:val="21"/>
        </w:rPr>
        <w:t>的</w:t>
      </w:r>
      <w:r>
        <w:rPr>
          <w:rFonts w:hint="eastAsia"/>
          <w:color w:val="000000"/>
          <w:szCs w:val="21"/>
        </w:rPr>
        <w:t>申赎现金</w:t>
      </w:r>
      <w:proofErr w:type="gramEnd"/>
      <w:r>
        <w:rPr>
          <w:rFonts w:hint="eastAsia"/>
          <w:color w:val="000000"/>
          <w:szCs w:val="21"/>
        </w:rPr>
        <w:t>、</w:t>
      </w:r>
      <w:r>
        <w:rPr>
          <w:color w:val="000000"/>
          <w:szCs w:val="21"/>
        </w:rPr>
        <w:t>组合证券、现金替代、</w:t>
      </w:r>
      <w:r>
        <w:rPr>
          <w:color w:val="000000"/>
          <w:szCs w:val="21"/>
        </w:rPr>
        <w:t>T</w:t>
      </w:r>
      <w:r>
        <w:rPr>
          <w:color w:val="000000"/>
          <w:szCs w:val="21"/>
        </w:rPr>
        <w:t>日预估现金差额、</w:t>
      </w:r>
      <w:r>
        <w:rPr>
          <w:color w:val="000000"/>
          <w:szCs w:val="21"/>
        </w:rPr>
        <w:t>T-1</w:t>
      </w:r>
      <w:r>
        <w:rPr>
          <w:color w:val="000000"/>
          <w:szCs w:val="21"/>
        </w:rPr>
        <w:t>日现金差额、基金份额净值及其他相关内容。</w:t>
      </w:r>
    </w:p>
    <w:p w14:paraId="7C3924A9" w14:textId="77777777" w:rsidR="00175DB4" w:rsidRPr="008647F5" w:rsidRDefault="000519D1" w:rsidP="00255AAF">
      <w:pPr>
        <w:widowControl/>
        <w:tabs>
          <w:tab w:val="left" w:pos="540"/>
        </w:tabs>
        <w:snapToGrid w:val="0"/>
        <w:spacing w:line="360" w:lineRule="auto"/>
        <w:ind w:firstLineChars="200" w:firstLine="420"/>
        <w:rPr>
          <w:color w:val="000000"/>
          <w:szCs w:val="21"/>
        </w:rPr>
      </w:pPr>
      <w:r w:rsidRPr="00255AAF">
        <w:rPr>
          <w:color w:val="000000"/>
          <w:szCs w:val="21"/>
        </w:rPr>
        <w:t>2</w:t>
      </w:r>
      <w:r w:rsidRPr="00255AAF">
        <w:rPr>
          <w:rFonts w:hint="eastAsia"/>
          <w:color w:val="000000"/>
          <w:szCs w:val="21"/>
        </w:rPr>
        <w:t>、</w:t>
      </w:r>
      <w:proofErr w:type="gramStart"/>
      <w:r w:rsidRPr="00255AAF">
        <w:rPr>
          <w:rFonts w:hint="eastAsia"/>
          <w:color w:val="000000"/>
          <w:szCs w:val="21"/>
        </w:rPr>
        <w:t>申赎现金</w:t>
      </w:r>
      <w:proofErr w:type="gramEnd"/>
      <w:r w:rsidRPr="00255AAF">
        <w:rPr>
          <w:color w:val="000000"/>
          <w:szCs w:val="21"/>
        </w:rPr>
        <w:t xml:space="preserve"> </w:t>
      </w:r>
    </w:p>
    <w:p w14:paraId="374061D4" w14:textId="2D4A0D01" w:rsidR="00175DB4" w:rsidRDefault="000519D1" w:rsidP="00255AAF">
      <w:pPr>
        <w:tabs>
          <w:tab w:val="left" w:pos="540"/>
        </w:tabs>
        <w:snapToGrid w:val="0"/>
        <w:spacing w:line="360" w:lineRule="auto"/>
        <w:ind w:firstLineChars="200" w:firstLine="420"/>
        <w:rPr>
          <w:color w:val="000000"/>
          <w:szCs w:val="21"/>
        </w:rPr>
      </w:pPr>
      <w:r w:rsidRPr="00255AAF">
        <w:rPr>
          <w:color w:val="000000"/>
          <w:szCs w:val="21"/>
        </w:rPr>
        <w:t>“</w:t>
      </w:r>
      <w:r w:rsidRPr="00255AAF">
        <w:rPr>
          <w:rFonts w:hint="eastAsia"/>
          <w:color w:val="000000"/>
          <w:szCs w:val="21"/>
        </w:rPr>
        <w:t>申赎现金</w:t>
      </w:r>
      <w:r w:rsidRPr="00255AAF">
        <w:rPr>
          <w:color w:val="000000"/>
          <w:szCs w:val="21"/>
        </w:rPr>
        <w:t>”</w:t>
      </w:r>
      <w:r w:rsidRPr="00255AAF">
        <w:rPr>
          <w:rFonts w:hint="eastAsia"/>
          <w:color w:val="000000"/>
          <w:szCs w:val="21"/>
        </w:rPr>
        <w:t>不属于组合成份证券，是为了便于登记机构的清算交收安排，在申购赎回清单中增加的虚拟证券。</w:t>
      </w:r>
      <w:r w:rsidRPr="00255AAF">
        <w:rPr>
          <w:color w:val="000000"/>
          <w:szCs w:val="21"/>
        </w:rPr>
        <w:t>“</w:t>
      </w:r>
      <w:r w:rsidRPr="00255AAF">
        <w:rPr>
          <w:rFonts w:hint="eastAsia"/>
          <w:color w:val="000000"/>
          <w:szCs w:val="21"/>
        </w:rPr>
        <w:t>申赎现金</w:t>
      </w:r>
      <w:r w:rsidRPr="00255AAF">
        <w:rPr>
          <w:color w:val="000000"/>
          <w:szCs w:val="21"/>
        </w:rPr>
        <w:t>”</w:t>
      </w:r>
      <w:r w:rsidRPr="00255AAF">
        <w:rPr>
          <w:rFonts w:hint="eastAsia"/>
          <w:color w:val="000000"/>
          <w:szCs w:val="21"/>
        </w:rPr>
        <w:t>的现金替代标志为</w:t>
      </w:r>
      <w:r w:rsidRPr="00255AAF">
        <w:rPr>
          <w:color w:val="000000"/>
          <w:szCs w:val="21"/>
        </w:rPr>
        <w:t>“</w:t>
      </w:r>
      <w:r w:rsidRPr="00255AAF">
        <w:rPr>
          <w:rFonts w:hint="eastAsia"/>
          <w:color w:val="000000"/>
          <w:szCs w:val="21"/>
        </w:rPr>
        <w:t>必须</w:t>
      </w:r>
      <w:r w:rsidRPr="00255AAF">
        <w:rPr>
          <w:color w:val="000000"/>
          <w:szCs w:val="21"/>
        </w:rPr>
        <w:t>”</w:t>
      </w:r>
      <w:r w:rsidRPr="00255AAF">
        <w:rPr>
          <w:rFonts w:hint="eastAsia"/>
          <w:color w:val="000000"/>
          <w:szCs w:val="21"/>
        </w:rPr>
        <w:t>，但含义与组合成份证券的必须现金替代不同，</w:t>
      </w:r>
      <w:r w:rsidRPr="00255AAF">
        <w:rPr>
          <w:color w:val="000000"/>
          <w:szCs w:val="21"/>
        </w:rPr>
        <w:t>“</w:t>
      </w:r>
      <w:r w:rsidRPr="00255AAF">
        <w:rPr>
          <w:rFonts w:hint="eastAsia"/>
          <w:color w:val="000000"/>
          <w:szCs w:val="21"/>
        </w:rPr>
        <w:t>申赎现金</w:t>
      </w:r>
      <w:r w:rsidRPr="00255AAF">
        <w:rPr>
          <w:color w:val="000000"/>
          <w:szCs w:val="21"/>
        </w:rPr>
        <w:t>”</w:t>
      </w:r>
      <w:r w:rsidRPr="00255AAF">
        <w:rPr>
          <w:rFonts w:hint="eastAsia"/>
          <w:color w:val="000000"/>
          <w:szCs w:val="21"/>
        </w:rPr>
        <w:t>的申购替代金额为最小申购单位所对应的现金替代标志为</w:t>
      </w:r>
      <w:r w:rsidRPr="00255AAF">
        <w:rPr>
          <w:color w:val="000000"/>
          <w:szCs w:val="21"/>
        </w:rPr>
        <w:t>“</w:t>
      </w:r>
      <w:r w:rsidRPr="00255AAF">
        <w:rPr>
          <w:rFonts w:hint="eastAsia"/>
          <w:color w:val="000000"/>
          <w:szCs w:val="21"/>
        </w:rPr>
        <w:t>必须</w:t>
      </w:r>
      <w:r w:rsidRPr="00255AAF">
        <w:rPr>
          <w:color w:val="000000"/>
          <w:szCs w:val="21"/>
        </w:rPr>
        <w:t>”</w:t>
      </w:r>
      <w:r w:rsidRPr="00255AAF">
        <w:rPr>
          <w:rFonts w:hint="eastAsia"/>
          <w:color w:val="000000"/>
          <w:szCs w:val="21"/>
        </w:rPr>
        <w:t>的沪市成份证券的必须现金替代与现金替代标志为</w:t>
      </w:r>
      <w:r w:rsidRPr="00255AAF">
        <w:rPr>
          <w:color w:val="000000"/>
          <w:szCs w:val="21"/>
        </w:rPr>
        <w:t>“</w:t>
      </w:r>
      <w:r w:rsidRPr="00255AAF">
        <w:rPr>
          <w:rFonts w:hint="eastAsia"/>
          <w:color w:val="000000"/>
          <w:szCs w:val="21"/>
        </w:rPr>
        <w:t>允许</w:t>
      </w:r>
      <w:r w:rsidRPr="00255AAF">
        <w:rPr>
          <w:color w:val="000000"/>
          <w:szCs w:val="21"/>
        </w:rPr>
        <w:t>”</w:t>
      </w:r>
      <w:r w:rsidRPr="00255AAF">
        <w:rPr>
          <w:rFonts w:hint="eastAsia"/>
          <w:color w:val="000000"/>
          <w:szCs w:val="21"/>
        </w:rPr>
        <w:t>的沪市成份证券的申购替代金额之和</w:t>
      </w:r>
      <w:r w:rsidRPr="00255AAF">
        <w:rPr>
          <w:color w:val="000000"/>
          <w:szCs w:val="21"/>
        </w:rPr>
        <w:t>;</w:t>
      </w:r>
      <w:r w:rsidRPr="00255AAF">
        <w:rPr>
          <w:rFonts w:hint="eastAsia"/>
          <w:color w:val="000000"/>
          <w:szCs w:val="21"/>
        </w:rPr>
        <w:t>赎回替代金额为最小赎回单位所对应的现金替代标志为</w:t>
      </w:r>
      <w:r w:rsidRPr="00255AAF">
        <w:rPr>
          <w:color w:val="000000"/>
          <w:szCs w:val="21"/>
        </w:rPr>
        <w:t>“</w:t>
      </w:r>
      <w:r w:rsidRPr="00255AAF">
        <w:rPr>
          <w:rFonts w:hint="eastAsia"/>
          <w:color w:val="000000"/>
          <w:szCs w:val="21"/>
        </w:rPr>
        <w:t>必须</w:t>
      </w:r>
      <w:r w:rsidRPr="00255AAF">
        <w:rPr>
          <w:color w:val="000000"/>
          <w:szCs w:val="21"/>
        </w:rPr>
        <w:t>”</w:t>
      </w:r>
      <w:r w:rsidRPr="00255AAF">
        <w:rPr>
          <w:rFonts w:hint="eastAsia"/>
          <w:color w:val="000000"/>
          <w:szCs w:val="21"/>
        </w:rPr>
        <w:t>的沪市成份证券的必须现金替代与现金替代标志为</w:t>
      </w:r>
      <w:r w:rsidRPr="00255AAF">
        <w:rPr>
          <w:color w:val="000000"/>
          <w:szCs w:val="21"/>
        </w:rPr>
        <w:t>“</w:t>
      </w:r>
      <w:r w:rsidRPr="00255AAF">
        <w:rPr>
          <w:rFonts w:hint="eastAsia"/>
          <w:color w:val="000000"/>
          <w:szCs w:val="21"/>
        </w:rPr>
        <w:t>允许</w:t>
      </w:r>
      <w:r w:rsidRPr="00255AAF">
        <w:rPr>
          <w:color w:val="000000"/>
          <w:szCs w:val="21"/>
        </w:rPr>
        <w:t>”</w:t>
      </w:r>
      <w:r w:rsidRPr="00255AAF">
        <w:rPr>
          <w:rFonts w:hint="eastAsia"/>
          <w:color w:val="000000"/>
          <w:szCs w:val="21"/>
        </w:rPr>
        <w:t>的沪市成份证券的赎回替代金额之</w:t>
      </w:r>
      <w:proofErr w:type="gramStart"/>
      <w:r w:rsidRPr="00255AAF">
        <w:rPr>
          <w:rFonts w:hint="eastAsia"/>
          <w:color w:val="000000"/>
          <w:szCs w:val="21"/>
        </w:rPr>
        <w:t>和</w:t>
      </w:r>
      <w:proofErr w:type="gramEnd"/>
      <w:r w:rsidRPr="00255AAF">
        <w:rPr>
          <w:rFonts w:hint="eastAsia"/>
          <w:color w:val="000000"/>
          <w:szCs w:val="21"/>
        </w:rPr>
        <w:t>。</w:t>
      </w:r>
    </w:p>
    <w:p w14:paraId="3BF5D45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color w:val="000000"/>
          <w:szCs w:val="21"/>
        </w:rPr>
        <w:t>、组合证券</w:t>
      </w:r>
    </w:p>
    <w:p w14:paraId="60E0BF29" w14:textId="77777777" w:rsidR="00175DB4" w:rsidRDefault="000519D1">
      <w:pPr>
        <w:tabs>
          <w:tab w:val="left" w:pos="540"/>
        </w:tabs>
        <w:snapToGrid w:val="0"/>
        <w:spacing w:line="360" w:lineRule="auto"/>
        <w:ind w:firstLineChars="200" w:firstLine="420"/>
        <w:rPr>
          <w:color w:val="000000"/>
          <w:szCs w:val="21"/>
        </w:rPr>
      </w:pPr>
      <w:r>
        <w:rPr>
          <w:color w:val="000000"/>
          <w:szCs w:val="21"/>
        </w:rPr>
        <w:t>组合证券是指本基金标的指数所包含的全部或部分证券。申购赎回清单将公告最小申购赎回单位所对应的各成份证券名称、证券代码及数量。</w:t>
      </w:r>
    </w:p>
    <w:p w14:paraId="29127DC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4</w:t>
      </w:r>
      <w:r>
        <w:rPr>
          <w:color w:val="000000"/>
          <w:szCs w:val="21"/>
        </w:rPr>
        <w:t>、现金替代相关内容</w:t>
      </w:r>
    </w:p>
    <w:p w14:paraId="456F4A9A" w14:textId="43A7ED5D" w:rsidR="00175DB4" w:rsidRDefault="000519D1">
      <w:pPr>
        <w:tabs>
          <w:tab w:val="left" w:pos="540"/>
        </w:tabs>
        <w:snapToGrid w:val="0"/>
        <w:spacing w:line="360" w:lineRule="auto"/>
        <w:ind w:firstLineChars="200" w:firstLine="420"/>
        <w:rPr>
          <w:color w:val="000000"/>
          <w:szCs w:val="21"/>
        </w:rPr>
      </w:pPr>
      <w:r>
        <w:rPr>
          <w:color w:val="000000"/>
          <w:szCs w:val="21"/>
        </w:rPr>
        <w:t>现金替代是指申购、赎回过程中，投资人按基金合同和招募说明书的规定，用于替代组合证券中部分证券的一定数量的现金。</w:t>
      </w:r>
    </w:p>
    <w:p w14:paraId="598DC897" w14:textId="77777777" w:rsidR="00175DB4" w:rsidRDefault="000519D1">
      <w:pPr>
        <w:tabs>
          <w:tab w:val="left" w:pos="540"/>
        </w:tabs>
        <w:snapToGrid w:val="0"/>
        <w:spacing w:line="360" w:lineRule="auto"/>
        <w:ind w:firstLineChars="200" w:firstLine="420"/>
        <w:rPr>
          <w:color w:val="000000"/>
          <w:szCs w:val="21"/>
        </w:rPr>
      </w:pPr>
      <w:r>
        <w:rPr>
          <w:color w:val="000000"/>
          <w:szCs w:val="21"/>
        </w:rPr>
        <w:t>采用现金替代是为了在相关</w:t>
      </w:r>
      <w:r>
        <w:rPr>
          <w:rFonts w:hint="eastAsia"/>
          <w:color w:val="000000"/>
          <w:szCs w:val="21"/>
        </w:rPr>
        <w:t>组合</w:t>
      </w:r>
      <w:r>
        <w:rPr>
          <w:color w:val="000000"/>
          <w:szCs w:val="21"/>
        </w:rPr>
        <w:t>成</w:t>
      </w:r>
      <w:r>
        <w:rPr>
          <w:rFonts w:hint="eastAsia"/>
          <w:color w:val="000000"/>
          <w:szCs w:val="21"/>
        </w:rPr>
        <w:t>份</w:t>
      </w:r>
      <w:r>
        <w:rPr>
          <w:color w:val="000000"/>
          <w:szCs w:val="21"/>
        </w:rPr>
        <w:t>股停牌等情况下便利投资人的申购、提高基金运作的效率，基金管理人在制定具体的现金替代方法时遵循公平及公开的原则，以保护基金份额持有人利益为出发点，并进行及时充分的信息披露。</w:t>
      </w:r>
    </w:p>
    <w:p w14:paraId="2F55301C"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rFonts w:hint="eastAsia"/>
          <w:color w:val="000000"/>
          <w:szCs w:val="21"/>
        </w:rPr>
        <w:t>）</w:t>
      </w:r>
      <w:r>
        <w:rPr>
          <w:color w:val="000000"/>
          <w:szCs w:val="21"/>
        </w:rPr>
        <w:t>现金替代分为</w:t>
      </w:r>
      <w:r>
        <w:rPr>
          <w:color w:val="000000"/>
          <w:szCs w:val="21"/>
        </w:rPr>
        <w:t>3</w:t>
      </w:r>
      <w:r>
        <w:rPr>
          <w:color w:val="000000"/>
          <w:szCs w:val="21"/>
        </w:rPr>
        <w:t>种类型：禁止现金替代</w:t>
      </w:r>
      <w:r>
        <w:rPr>
          <w:color w:val="000000"/>
          <w:szCs w:val="21"/>
        </w:rPr>
        <w:t>(</w:t>
      </w:r>
      <w:r>
        <w:rPr>
          <w:color w:val="000000"/>
          <w:szCs w:val="21"/>
        </w:rPr>
        <w:t>标志为</w:t>
      </w:r>
      <w:r>
        <w:rPr>
          <w:color w:val="000000"/>
          <w:szCs w:val="21"/>
        </w:rPr>
        <w:t>“</w:t>
      </w:r>
      <w:r>
        <w:rPr>
          <w:color w:val="000000"/>
          <w:szCs w:val="21"/>
        </w:rPr>
        <w:t>禁止</w:t>
      </w:r>
      <w:r>
        <w:rPr>
          <w:color w:val="000000"/>
          <w:szCs w:val="21"/>
        </w:rPr>
        <w:t>”)</w:t>
      </w:r>
      <w:r>
        <w:rPr>
          <w:color w:val="000000"/>
          <w:szCs w:val="21"/>
        </w:rPr>
        <w:t>、可以现金替代</w:t>
      </w:r>
      <w:r>
        <w:rPr>
          <w:color w:val="000000"/>
          <w:szCs w:val="21"/>
        </w:rPr>
        <w:t>(</w:t>
      </w:r>
      <w:r>
        <w:rPr>
          <w:color w:val="000000"/>
          <w:szCs w:val="21"/>
        </w:rPr>
        <w:t>标志为</w:t>
      </w:r>
      <w:r>
        <w:rPr>
          <w:color w:val="000000"/>
          <w:szCs w:val="21"/>
        </w:rPr>
        <w:t>“</w:t>
      </w:r>
      <w:r>
        <w:rPr>
          <w:color w:val="000000"/>
          <w:szCs w:val="21"/>
        </w:rPr>
        <w:t>允许</w:t>
      </w:r>
      <w:r>
        <w:rPr>
          <w:color w:val="000000"/>
          <w:szCs w:val="21"/>
        </w:rPr>
        <w:t>”)</w:t>
      </w:r>
      <w:r>
        <w:rPr>
          <w:color w:val="000000"/>
          <w:szCs w:val="21"/>
        </w:rPr>
        <w:t>和必须现金替代</w:t>
      </w:r>
      <w:r>
        <w:rPr>
          <w:color w:val="000000"/>
          <w:szCs w:val="21"/>
        </w:rPr>
        <w:t>(</w:t>
      </w:r>
      <w:r>
        <w:rPr>
          <w:color w:val="000000"/>
          <w:szCs w:val="21"/>
        </w:rPr>
        <w:t>标志为</w:t>
      </w:r>
      <w:r>
        <w:rPr>
          <w:color w:val="000000"/>
          <w:szCs w:val="21"/>
        </w:rPr>
        <w:t>“</w:t>
      </w:r>
      <w:r>
        <w:rPr>
          <w:color w:val="000000"/>
          <w:szCs w:val="21"/>
        </w:rPr>
        <w:t>必须</w:t>
      </w:r>
      <w:r>
        <w:rPr>
          <w:color w:val="000000"/>
          <w:szCs w:val="21"/>
        </w:rPr>
        <w:t>”)</w:t>
      </w:r>
      <w:r>
        <w:rPr>
          <w:color w:val="000000"/>
          <w:szCs w:val="21"/>
        </w:rPr>
        <w:t>。</w:t>
      </w:r>
    </w:p>
    <w:p w14:paraId="7223612F" w14:textId="77777777" w:rsidR="00175DB4" w:rsidRDefault="000519D1">
      <w:pPr>
        <w:tabs>
          <w:tab w:val="left" w:pos="540"/>
        </w:tabs>
        <w:snapToGrid w:val="0"/>
        <w:spacing w:line="360" w:lineRule="auto"/>
        <w:ind w:firstLineChars="200" w:firstLine="420"/>
        <w:rPr>
          <w:szCs w:val="21"/>
        </w:rPr>
      </w:pPr>
      <w:r>
        <w:rPr>
          <w:rFonts w:hint="eastAsia"/>
          <w:color w:val="000000"/>
          <w:szCs w:val="21"/>
        </w:rPr>
        <w:t>对于深市成份证券，现金替代的类型可以设为：</w:t>
      </w:r>
      <w:r>
        <w:rPr>
          <w:color w:val="000000"/>
          <w:szCs w:val="21"/>
        </w:rPr>
        <w:t>“</w:t>
      </w:r>
      <w:r>
        <w:rPr>
          <w:rFonts w:hint="eastAsia"/>
          <w:color w:val="000000"/>
          <w:szCs w:val="21"/>
        </w:rPr>
        <w:t>禁止</w:t>
      </w:r>
      <w:r>
        <w:rPr>
          <w:color w:val="000000"/>
          <w:szCs w:val="21"/>
        </w:rPr>
        <w:t>”</w:t>
      </w:r>
      <w:r>
        <w:rPr>
          <w:rFonts w:hint="eastAsia"/>
          <w:color w:val="000000"/>
          <w:szCs w:val="21"/>
        </w:rPr>
        <w:t>、</w:t>
      </w:r>
      <w:r>
        <w:rPr>
          <w:color w:val="000000"/>
          <w:szCs w:val="21"/>
        </w:rPr>
        <w:t>“</w:t>
      </w:r>
      <w:r>
        <w:rPr>
          <w:rFonts w:hint="eastAsia"/>
          <w:color w:val="000000"/>
          <w:szCs w:val="21"/>
        </w:rPr>
        <w:t>允许</w:t>
      </w:r>
      <w:r>
        <w:rPr>
          <w:color w:val="000000"/>
          <w:szCs w:val="21"/>
        </w:rPr>
        <w:t>”</w:t>
      </w:r>
      <w:r>
        <w:rPr>
          <w:rFonts w:hint="eastAsia"/>
          <w:color w:val="000000"/>
          <w:szCs w:val="21"/>
        </w:rPr>
        <w:t>和</w:t>
      </w:r>
      <w:r>
        <w:rPr>
          <w:color w:val="000000"/>
          <w:szCs w:val="21"/>
        </w:rPr>
        <w:t>“</w:t>
      </w:r>
      <w:r>
        <w:rPr>
          <w:rFonts w:hint="eastAsia"/>
          <w:color w:val="000000"/>
          <w:szCs w:val="21"/>
        </w:rPr>
        <w:t>必须</w:t>
      </w:r>
      <w:r>
        <w:rPr>
          <w:color w:val="000000"/>
          <w:szCs w:val="21"/>
        </w:rPr>
        <w:t>”</w:t>
      </w:r>
      <w:r>
        <w:rPr>
          <w:rFonts w:hint="eastAsia"/>
          <w:color w:val="000000"/>
          <w:szCs w:val="21"/>
        </w:rPr>
        <w:t>。</w:t>
      </w:r>
    </w:p>
    <w:p w14:paraId="52543F0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对于沪市成份证券，可以设为：</w:t>
      </w:r>
      <w:r>
        <w:rPr>
          <w:color w:val="000000"/>
          <w:szCs w:val="21"/>
        </w:rPr>
        <w:t>“</w:t>
      </w:r>
      <w:r>
        <w:rPr>
          <w:rFonts w:hint="eastAsia"/>
          <w:color w:val="000000"/>
          <w:szCs w:val="21"/>
        </w:rPr>
        <w:t>允许</w:t>
      </w:r>
      <w:r>
        <w:rPr>
          <w:color w:val="000000"/>
          <w:szCs w:val="21"/>
        </w:rPr>
        <w:t>”</w:t>
      </w:r>
      <w:r>
        <w:rPr>
          <w:rFonts w:hint="eastAsia"/>
          <w:color w:val="000000"/>
          <w:szCs w:val="21"/>
        </w:rPr>
        <w:t>和</w:t>
      </w:r>
      <w:r>
        <w:rPr>
          <w:color w:val="000000"/>
          <w:szCs w:val="21"/>
        </w:rPr>
        <w:t>“</w:t>
      </w:r>
      <w:r>
        <w:rPr>
          <w:rFonts w:hint="eastAsia"/>
          <w:color w:val="000000"/>
          <w:szCs w:val="21"/>
        </w:rPr>
        <w:t>必须</w:t>
      </w:r>
      <w:r>
        <w:rPr>
          <w:color w:val="000000"/>
          <w:szCs w:val="21"/>
        </w:rPr>
        <w:t>”</w:t>
      </w:r>
      <w:r>
        <w:rPr>
          <w:rFonts w:hint="eastAsia"/>
          <w:color w:val="000000"/>
          <w:szCs w:val="21"/>
        </w:rPr>
        <w:t>。</w:t>
      </w:r>
    </w:p>
    <w:p w14:paraId="05040D60" w14:textId="77777777" w:rsidR="00175DB4" w:rsidRDefault="000519D1">
      <w:pPr>
        <w:tabs>
          <w:tab w:val="left" w:pos="540"/>
        </w:tabs>
        <w:snapToGrid w:val="0"/>
        <w:spacing w:line="360" w:lineRule="auto"/>
        <w:ind w:firstLineChars="200" w:firstLine="420"/>
        <w:rPr>
          <w:color w:val="000000"/>
          <w:szCs w:val="21"/>
        </w:rPr>
      </w:pPr>
      <w:r>
        <w:rPr>
          <w:color w:val="000000"/>
          <w:szCs w:val="21"/>
        </w:rPr>
        <w:t>禁止现金替代</w:t>
      </w:r>
      <w:r>
        <w:rPr>
          <w:rFonts w:hint="eastAsia"/>
          <w:color w:val="000000"/>
          <w:szCs w:val="21"/>
        </w:rPr>
        <w:t>适用于深圳证券交易所上市的成份股，</w:t>
      </w:r>
      <w:r>
        <w:rPr>
          <w:color w:val="000000"/>
          <w:szCs w:val="21"/>
        </w:rPr>
        <w:t>是指在申购、赎回基金份额时，该成份证券不允许使用现金作为替代。</w:t>
      </w:r>
    </w:p>
    <w:p w14:paraId="0781D712" w14:textId="77777777" w:rsidR="00175DB4" w:rsidRDefault="000519D1">
      <w:pPr>
        <w:tabs>
          <w:tab w:val="left" w:pos="540"/>
        </w:tabs>
        <w:snapToGrid w:val="0"/>
        <w:spacing w:line="360" w:lineRule="auto"/>
        <w:ind w:firstLineChars="200" w:firstLine="420"/>
        <w:rPr>
          <w:color w:val="000000"/>
          <w:szCs w:val="21"/>
        </w:rPr>
      </w:pPr>
      <w:r>
        <w:rPr>
          <w:rFonts w:hint="eastAsia"/>
          <w:szCs w:val="21"/>
        </w:rPr>
        <w:t>当可以现金替代适用于</w:t>
      </w:r>
      <w:r>
        <w:rPr>
          <w:rFonts w:hint="eastAsia"/>
          <w:color w:val="000000"/>
          <w:szCs w:val="21"/>
        </w:rPr>
        <w:t>深圳证券交易所上市的成份股</w:t>
      </w:r>
      <w:r>
        <w:rPr>
          <w:rFonts w:hint="eastAsia"/>
          <w:szCs w:val="21"/>
        </w:rPr>
        <w:t>时，</w:t>
      </w:r>
      <w:r>
        <w:rPr>
          <w:color w:val="000000"/>
          <w:szCs w:val="21"/>
        </w:rPr>
        <w:t>可以现金替代是指在申购基金份额时，允许使用现金作为全部或部分该成份证券的替代，但在赎回基金份额时，该成份证券不允许使用现金作为替代。</w:t>
      </w:r>
    </w:p>
    <w:p w14:paraId="1B24940D" w14:textId="77777777" w:rsidR="00175DB4" w:rsidRDefault="000519D1">
      <w:pPr>
        <w:tabs>
          <w:tab w:val="left" w:pos="540"/>
        </w:tabs>
        <w:snapToGrid w:val="0"/>
        <w:spacing w:line="360" w:lineRule="auto"/>
        <w:ind w:firstLineChars="200" w:firstLine="420"/>
        <w:rPr>
          <w:color w:val="000000"/>
          <w:szCs w:val="21"/>
        </w:rPr>
      </w:pPr>
      <w:r>
        <w:rPr>
          <w:rFonts w:hint="eastAsia"/>
          <w:szCs w:val="21"/>
        </w:rPr>
        <w:t>当可以现金替代适用于</w:t>
      </w:r>
      <w:r>
        <w:rPr>
          <w:rFonts w:hint="eastAsia"/>
          <w:color w:val="000000"/>
          <w:szCs w:val="21"/>
        </w:rPr>
        <w:t>上海证券交易所</w:t>
      </w:r>
      <w:r>
        <w:rPr>
          <w:rFonts w:hint="eastAsia"/>
          <w:szCs w:val="21"/>
        </w:rPr>
        <w:t>上市的成份股，是指在申购、赎回基金份额时，该成份证券必须使用现金作为替代，根据基金管理人买卖情况，与投资者进行退款或补款。</w:t>
      </w:r>
    </w:p>
    <w:p w14:paraId="65506746" w14:textId="77777777" w:rsidR="00175DB4" w:rsidRDefault="000519D1">
      <w:pPr>
        <w:tabs>
          <w:tab w:val="left" w:pos="540"/>
        </w:tabs>
        <w:snapToGrid w:val="0"/>
        <w:spacing w:line="360" w:lineRule="auto"/>
        <w:ind w:firstLineChars="200" w:firstLine="420"/>
        <w:rPr>
          <w:color w:val="000000"/>
          <w:szCs w:val="21"/>
        </w:rPr>
      </w:pPr>
      <w:r>
        <w:rPr>
          <w:color w:val="000000"/>
          <w:szCs w:val="21"/>
        </w:rPr>
        <w:t>必须现金替代</w:t>
      </w:r>
      <w:r>
        <w:rPr>
          <w:rFonts w:hint="eastAsia"/>
          <w:color w:val="000000"/>
          <w:szCs w:val="21"/>
        </w:rPr>
        <w:t>适用于所有成份股，</w:t>
      </w:r>
      <w:r>
        <w:rPr>
          <w:color w:val="000000"/>
          <w:szCs w:val="21"/>
        </w:rPr>
        <w:t>是指在申购、赎回基金份额时，该成份证券必须使用现金作为替代。</w:t>
      </w:r>
    </w:p>
    <w:p w14:paraId="5896DD3E"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rFonts w:hint="eastAsia"/>
          <w:color w:val="000000"/>
          <w:szCs w:val="21"/>
        </w:rPr>
        <w:t>）</w:t>
      </w:r>
      <w:r>
        <w:rPr>
          <w:color w:val="000000"/>
          <w:szCs w:val="21"/>
        </w:rPr>
        <w:t>可以现金替代</w:t>
      </w:r>
    </w:p>
    <w:p w14:paraId="2EB2742F" w14:textId="77777777" w:rsidR="00175DB4" w:rsidRDefault="000519D1">
      <w:pPr>
        <w:tabs>
          <w:tab w:val="left" w:pos="540"/>
        </w:tabs>
        <w:snapToGrid w:val="0"/>
        <w:spacing w:line="360" w:lineRule="auto"/>
        <w:ind w:firstLineChars="200" w:firstLine="420"/>
        <w:rPr>
          <w:szCs w:val="21"/>
        </w:rPr>
      </w:pPr>
      <w:r>
        <w:rPr>
          <w:rFonts w:hint="eastAsia"/>
          <w:color w:val="000000"/>
          <w:szCs w:val="21"/>
        </w:rPr>
        <w:t>可以现金替代的组合证券分为：</w:t>
      </w:r>
      <w:r>
        <w:rPr>
          <w:rFonts w:hint="eastAsia"/>
          <w:szCs w:val="21"/>
        </w:rPr>
        <w:t>深市成份证券和沪市成份证券。</w:t>
      </w:r>
    </w:p>
    <w:p w14:paraId="0F1FEEB1" w14:textId="77777777" w:rsidR="00175DB4" w:rsidRDefault="000519D1">
      <w:pPr>
        <w:pStyle w:val="12"/>
        <w:numPr>
          <w:ilvl w:val="0"/>
          <w:numId w:val="1"/>
        </w:numPr>
        <w:snapToGrid w:val="0"/>
        <w:spacing w:line="360" w:lineRule="auto"/>
        <w:ind w:firstLineChars="0"/>
        <w:rPr>
          <w:szCs w:val="21"/>
        </w:rPr>
      </w:pPr>
      <w:r>
        <w:rPr>
          <w:rFonts w:hint="eastAsia"/>
          <w:szCs w:val="21"/>
        </w:rPr>
        <w:t>对于深市成份证券</w:t>
      </w:r>
    </w:p>
    <w:p w14:paraId="5714B7F1" w14:textId="77777777" w:rsidR="00175DB4" w:rsidRDefault="000519D1">
      <w:pPr>
        <w:tabs>
          <w:tab w:val="left" w:pos="540"/>
        </w:tabs>
        <w:snapToGrid w:val="0"/>
        <w:spacing w:line="360" w:lineRule="auto"/>
        <w:ind w:firstLineChars="200" w:firstLine="420"/>
        <w:rPr>
          <w:color w:val="000000"/>
          <w:szCs w:val="21"/>
        </w:rPr>
      </w:pPr>
      <w:r>
        <w:rPr>
          <w:rFonts w:ascii="Calibri" w:hAnsi="Calibri"/>
          <w:color w:val="000000"/>
          <w:szCs w:val="21"/>
        </w:rPr>
        <w:t>①</w:t>
      </w:r>
      <w:r>
        <w:rPr>
          <w:rFonts w:hint="eastAsia"/>
          <w:color w:val="000000"/>
          <w:szCs w:val="21"/>
        </w:rPr>
        <w:t>适用情形：投资人申购时持仓不足的深市成份证券。登记机构先用深市成份证券，不足时差额部分用现金替代。</w:t>
      </w:r>
      <w:r>
        <w:rPr>
          <w:color w:val="000000"/>
          <w:szCs w:val="21"/>
        </w:rPr>
        <w:t>可以现金替代</w:t>
      </w:r>
      <w:r>
        <w:rPr>
          <w:rFonts w:hint="eastAsia"/>
          <w:color w:val="000000"/>
          <w:szCs w:val="21"/>
        </w:rPr>
        <w:t>标记</w:t>
      </w:r>
      <w:r>
        <w:rPr>
          <w:color w:val="000000"/>
          <w:szCs w:val="21"/>
        </w:rPr>
        <w:t>的</w:t>
      </w:r>
      <w:r>
        <w:rPr>
          <w:rFonts w:hint="eastAsia"/>
          <w:color w:val="000000"/>
          <w:szCs w:val="21"/>
        </w:rPr>
        <w:t>深市成份证券，</w:t>
      </w:r>
      <w:r>
        <w:rPr>
          <w:color w:val="000000"/>
          <w:szCs w:val="21"/>
        </w:rPr>
        <w:t>在赎回时不允许使用现金作为替代</w:t>
      </w:r>
      <w:r>
        <w:rPr>
          <w:rFonts w:hint="eastAsia"/>
          <w:color w:val="000000"/>
          <w:szCs w:val="21"/>
        </w:rPr>
        <w:t>。</w:t>
      </w:r>
    </w:p>
    <w:p w14:paraId="50E188D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②</w:t>
      </w:r>
      <w:r>
        <w:rPr>
          <w:color w:val="000000"/>
          <w:szCs w:val="21"/>
        </w:rPr>
        <w:t>替代金额：对于可以现金替代的证券</w:t>
      </w:r>
      <w:r>
        <w:rPr>
          <w:color w:val="000000"/>
          <w:szCs w:val="21"/>
        </w:rPr>
        <w:t>,</w:t>
      </w:r>
      <w:r>
        <w:rPr>
          <w:color w:val="000000"/>
          <w:szCs w:val="21"/>
        </w:rPr>
        <w:t>替代金额的计算公式为：</w:t>
      </w:r>
    </w:p>
    <w:p w14:paraId="774C913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申购</w:t>
      </w:r>
      <w:r>
        <w:rPr>
          <w:color w:val="000000"/>
          <w:szCs w:val="21"/>
        </w:rPr>
        <w:t>替代金额＝替代证券数量</w:t>
      </w:r>
      <w:r>
        <w:rPr>
          <w:color w:val="000000"/>
          <w:szCs w:val="21"/>
        </w:rPr>
        <w:t>×</w:t>
      </w:r>
      <w:r>
        <w:rPr>
          <w:rFonts w:hint="eastAsia"/>
          <w:szCs w:val="21"/>
        </w:rPr>
        <w:t>该证券参考价格</w:t>
      </w:r>
      <w:r>
        <w:rPr>
          <w:color w:val="000000"/>
          <w:szCs w:val="21"/>
        </w:rPr>
        <w:t>×(1</w:t>
      </w:r>
      <w:r>
        <w:rPr>
          <w:color w:val="000000"/>
          <w:szCs w:val="21"/>
        </w:rPr>
        <w:t>＋</w:t>
      </w:r>
      <w:r>
        <w:rPr>
          <w:rFonts w:hint="eastAsia"/>
          <w:color w:val="000000"/>
          <w:szCs w:val="21"/>
        </w:rPr>
        <w:t>申购</w:t>
      </w:r>
      <w:r>
        <w:rPr>
          <w:color w:val="000000"/>
          <w:szCs w:val="21"/>
        </w:rPr>
        <w:t>现金替代</w:t>
      </w:r>
      <w:r>
        <w:rPr>
          <w:rFonts w:hint="eastAsia"/>
          <w:color w:val="000000"/>
          <w:szCs w:val="21"/>
        </w:rPr>
        <w:t>保证金</w:t>
      </w:r>
      <w:r>
        <w:rPr>
          <w:color w:val="000000"/>
          <w:szCs w:val="21"/>
        </w:rPr>
        <w:t>率</w:t>
      </w:r>
      <w:r>
        <w:rPr>
          <w:color w:val="000000"/>
          <w:szCs w:val="21"/>
        </w:rPr>
        <w:t xml:space="preserve">) </w:t>
      </w:r>
    </w:p>
    <w:p w14:paraId="4F6B4896" w14:textId="77777777" w:rsidR="00175DB4" w:rsidRDefault="000519D1">
      <w:pPr>
        <w:tabs>
          <w:tab w:val="left" w:pos="540"/>
        </w:tabs>
        <w:snapToGrid w:val="0"/>
        <w:spacing w:line="360" w:lineRule="auto"/>
        <w:ind w:firstLineChars="200" w:firstLine="420"/>
        <w:rPr>
          <w:color w:val="000000"/>
          <w:szCs w:val="21"/>
        </w:rPr>
      </w:pPr>
      <w:r>
        <w:rPr>
          <w:rFonts w:hint="eastAsia"/>
          <w:szCs w:val="21"/>
        </w:rPr>
        <w:t>其中，</w:t>
      </w:r>
      <w:r>
        <w:rPr>
          <w:szCs w:val="21"/>
        </w:rPr>
        <w:t>“</w:t>
      </w:r>
      <w:r>
        <w:rPr>
          <w:rFonts w:hint="eastAsia"/>
          <w:szCs w:val="21"/>
        </w:rPr>
        <w:t>该证券参考价格</w:t>
      </w:r>
      <w:r>
        <w:rPr>
          <w:szCs w:val="21"/>
        </w:rPr>
        <w:t>”</w:t>
      </w:r>
      <w:r>
        <w:rPr>
          <w:rFonts w:hint="eastAsia"/>
          <w:szCs w:val="21"/>
        </w:rPr>
        <w:t>为该证券经除权除息调整的</w:t>
      </w:r>
      <w:r>
        <w:rPr>
          <w:szCs w:val="21"/>
        </w:rPr>
        <w:t>T-1</w:t>
      </w:r>
      <w:r>
        <w:rPr>
          <w:rFonts w:hint="eastAsia"/>
          <w:szCs w:val="21"/>
        </w:rPr>
        <w:t>日收盘价。如果深圳证券交易所参考价格确定原则发生变化，以深圳证券交易所通知规定的参考价格为准。</w:t>
      </w:r>
    </w:p>
    <w:p w14:paraId="61CC9475" w14:textId="77777777" w:rsidR="00175DB4" w:rsidRDefault="000519D1">
      <w:pPr>
        <w:tabs>
          <w:tab w:val="left" w:pos="540"/>
        </w:tabs>
        <w:snapToGrid w:val="0"/>
        <w:spacing w:line="360" w:lineRule="auto"/>
        <w:ind w:firstLineChars="200" w:firstLine="420"/>
        <w:rPr>
          <w:color w:val="000000"/>
          <w:szCs w:val="21"/>
        </w:rPr>
      </w:pPr>
      <w:r>
        <w:rPr>
          <w:color w:val="000000"/>
          <w:szCs w:val="21"/>
        </w:rPr>
        <w:t>对于使用现金替代的证券，基金管理人需在证券恢复交易后买入，而实际买入价格加上相关交易费用后与申购时的</w:t>
      </w:r>
      <w:r>
        <w:rPr>
          <w:rFonts w:hint="eastAsia"/>
          <w:color w:val="000000"/>
          <w:szCs w:val="21"/>
        </w:rPr>
        <w:t>参考</w:t>
      </w:r>
      <w:r>
        <w:rPr>
          <w:color w:val="000000"/>
          <w:szCs w:val="21"/>
        </w:rPr>
        <w:t>价格可能有所差异。为便于操作，基金管理人在申购赎回清单中预先确定</w:t>
      </w:r>
      <w:r>
        <w:rPr>
          <w:rFonts w:hint="eastAsia"/>
          <w:color w:val="000000"/>
          <w:szCs w:val="21"/>
        </w:rPr>
        <w:t>申购</w:t>
      </w:r>
      <w:r>
        <w:rPr>
          <w:color w:val="000000"/>
          <w:szCs w:val="21"/>
        </w:rPr>
        <w:t>现金替代</w:t>
      </w:r>
      <w:r>
        <w:rPr>
          <w:rFonts w:hint="eastAsia"/>
          <w:color w:val="000000"/>
          <w:szCs w:val="21"/>
        </w:rPr>
        <w:t>保证金</w:t>
      </w:r>
      <w:r>
        <w:rPr>
          <w:color w:val="000000"/>
          <w:szCs w:val="21"/>
        </w:rPr>
        <w:t>率，并据此收取替代金额。如果预先收取的金额高于基金购入该部分证券的实际成本，</w:t>
      </w:r>
      <w:proofErr w:type="gramStart"/>
      <w:r>
        <w:rPr>
          <w:color w:val="000000"/>
          <w:szCs w:val="21"/>
        </w:rPr>
        <w:t>则基金</w:t>
      </w:r>
      <w:proofErr w:type="gramEnd"/>
      <w:r>
        <w:rPr>
          <w:color w:val="000000"/>
          <w:szCs w:val="21"/>
        </w:rPr>
        <w:t>管理人将退还多收取的差额；如果预先收取的金额低于基金购入该部分证券的实际成本，</w:t>
      </w:r>
      <w:proofErr w:type="gramStart"/>
      <w:r>
        <w:rPr>
          <w:color w:val="000000"/>
          <w:szCs w:val="21"/>
        </w:rPr>
        <w:t>则基金</w:t>
      </w:r>
      <w:proofErr w:type="gramEnd"/>
      <w:r>
        <w:rPr>
          <w:color w:val="000000"/>
          <w:szCs w:val="21"/>
        </w:rPr>
        <w:t>管理人将向投资人收取欠缺的差额。</w:t>
      </w:r>
    </w:p>
    <w:p w14:paraId="006830E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③</w:t>
      </w:r>
      <w:r>
        <w:rPr>
          <w:color w:val="000000"/>
          <w:szCs w:val="21"/>
        </w:rPr>
        <w:t>替代金额的处理程序</w:t>
      </w:r>
    </w:p>
    <w:p w14:paraId="38291D68"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日，基金管理人在申购赎回清单中公布</w:t>
      </w:r>
      <w:r>
        <w:rPr>
          <w:rFonts w:hint="eastAsia"/>
          <w:color w:val="000000"/>
          <w:szCs w:val="21"/>
        </w:rPr>
        <w:t>申购</w:t>
      </w:r>
      <w:r>
        <w:rPr>
          <w:color w:val="000000"/>
          <w:szCs w:val="21"/>
        </w:rPr>
        <w:t>现金替代</w:t>
      </w:r>
      <w:r>
        <w:rPr>
          <w:rFonts w:hint="eastAsia"/>
          <w:color w:val="000000"/>
          <w:szCs w:val="21"/>
        </w:rPr>
        <w:t>保证金</w:t>
      </w:r>
      <w:r>
        <w:rPr>
          <w:color w:val="000000"/>
          <w:szCs w:val="21"/>
        </w:rPr>
        <w:t>率，并据此收取替代金额。</w:t>
      </w:r>
    </w:p>
    <w:p w14:paraId="1C59F28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在</w:t>
      </w:r>
      <w:r>
        <w:rPr>
          <w:rFonts w:hint="eastAsia"/>
          <w:color w:val="000000"/>
          <w:szCs w:val="21"/>
        </w:rPr>
        <w:t>T</w:t>
      </w:r>
      <w:r>
        <w:rPr>
          <w:rFonts w:hint="eastAsia"/>
          <w:color w:val="000000"/>
          <w:szCs w:val="21"/>
        </w:rPr>
        <w:t>日后被替代的成份证券有正常交易的</w:t>
      </w:r>
      <w:r>
        <w:rPr>
          <w:rFonts w:hint="eastAsia"/>
          <w:color w:val="000000"/>
          <w:szCs w:val="21"/>
        </w:rPr>
        <w:t>2</w:t>
      </w:r>
      <w:r>
        <w:rPr>
          <w:rFonts w:hint="eastAsia"/>
          <w:color w:val="000000"/>
          <w:szCs w:val="21"/>
        </w:rPr>
        <w:t>个交易日（简称为</w:t>
      </w:r>
      <w:r>
        <w:rPr>
          <w:rFonts w:hint="eastAsia"/>
          <w:color w:val="000000"/>
          <w:szCs w:val="21"/>
        </w:rPr>
        <w:t>T+2</w:t>
      </w:r>
      <w:r>
        <w:rPr>
          <w:rFonts w:hint="eastAsia"/>
          <w:color w:val="000000"/>
          <w:szCs w:val="21"/>
        </w:rPr>
        <w:t>日）内，基金管理人将以收到的替代金额买入被替代的部分证券。</w:t>
      </w:r>
    </w:p>
    <w:p w14:paraId="41BAF64C"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w:t>
      </w:r>
      <w:r>
        <w:rPr>
          <w:rFonts w:hint="eastAsia"/>
          <w:color w:val="000000"/>
          <w:szCs w:val="21"/>
        </w:rPr>
        <w:t>2</w:t>
      </w:r>
      <w:r>
        <w:rPr>
          <w:color w:val="000000"/>
          <w:szCs w:val="21"/>
        </w:rPr>
        <w:t>日日终，若已购入全部被替代的证券，则以替代金额与被替代证券的实际购入成本</w:t>
      </w:r>
      <w:r>
        <w:rPr>
          <w:color w:val="000000"/>
          <w:szCs w:val="21"/>
        </w:rPr>
        <w:t>(</w:t>
      </w:r>
      <w:r>
        <w:rPr>
          <w:color w:val="000000"/>
          <w:szCs w:val="21"/>
        </w:rPr>
        <w:t>包括买入价格与交易费用</w:t>
      </w:r>
      <w:r>
        <w:rPr>
          <w:rFonts w:hint="eastAsia"/>
          <w:color w:val="000000"/>
          <w:szCs w:val="21"/>
        </w:rPr>
        <w:t>，下同</w:t>
      </w:r>
      <w:r>
        <w:rPr>
          <w:color w:val="000000"/>
          <w:szCs w:val="21"/>
        </w:rPr>
        <w:t>)</w:t>
      </w:r>
      <w:r>
        <w:rPr>
          <w:color w:val="000000"/>
          <w:szCs w:val="21"/>
        </w:rPr>
        <w:t>的差额，确定基金应退还投资人或投资人应补交的款项；若未能购入全部被替代的证券，则以替代金额与所购入的部分被替代证券实际购入成本加上按照</w:t>
      </w:r>
      <w:r>
        <w:rPr>
          <w:color w:val="000000"/>
          <w:szCs w:val="21"/>
        </w:rPr>
        <w:t>T</w:t>
      </w:r>
      <w:r>
        <w:rPr>
          <w:color w:val="000000"/>
          <w:szCs w:val="21"/>
        </w:rPr>
        <w:t>＋</w:t>
      </w:r>
      <w:r>
        <w:rPr>
          <w:rFonts w:hint="eastAsia"/>
          <w:color w:val="000000"/>
          <w:szCs w:val="21"/>
        </w:rPr>
        <w:t>2</w:t>
      </w:r>
      <w:r>
        <w:rPr>
          <w:color w:val="000000"/>
          <w:szCs w:val="21"/>
        </w:rPr>
        <w:t>日收盘价计算的未购入的部分被替代证券价值的差额，确定基金应退还投资人或投资人应补交的款项。</w:t>
      </w:r>
    </w:p>
    <w:p w14:paraId="3C878ABD" w14:textId="77777777" w:rsidR="00175DB4" w:rsidRDefault="000519D1">
      <w:pPr>
        <w:tabs>
          <w:tab w:val="left" w:pos="540"/>
        </w:tabs>
        <w:snapToGrid w:val="0"/>
        <w:spacing w:line="360" w:lineRule="auto"/>
        <w:ind w:firstLineChars="200" w:firstLine="420"/>
        <w:rPr>
          <w:color w:val="000000"/>
          <w:szCs w:val="21"/>
        </w:rPr>
      </w:pPr>
      <w:r>
        <w:rPr>
          <w:color w:val="000000"/>
          <w:szCs w:val="21"/>
        </w:rPr>
        <w:t>特例情况：若自</w:t>
      </w:r>
      <w:r>
        <w:rPr>
          <w:color w:val="000000"/>
          <w:szCs w:val="21"/>
        </w:rPr>
        <w:t>T</w:t>
      </w:r>
      <w:r>
        <w:rPr>
          <w:color w:val="000000"/>
          <w:szCs w:val="21"/>
        </w:rPr>
        <w:t>日起，</w:t>
      </w:r>
      <w:r>
        <w:rPr>
          <w:rFonts w:hint="eastAsia"/>
          <w:color w:val="000000"/>
          <w:szCs w:val="21"/>
        </w:rPr>
        <w:t>深圳</w:t>
      </w:r>
      <w:r>
        <w:rPr>
          <w:color w:val="000000"/>
          <w:szCs w:val="21"/>
        </w:rPr>
        <w:t>证券交易所正常交易日已达到</w:t>
      </w:r>
      <w:r>
        <w:rPr>
          <w:color w:val="000000"/>
          <w:szCs w:val="21"/>
        </w:rPr>
        <w:t>20</w:t>
      </w:r>
      <w:r>
        <w:rPr>
          <w:color w:val="000000"/>
          <w:szCs w:val="21"/>
        </w:rPr>
        <w:t>日而该证券正常交易日低于</w:t>
      </w:r>
      <w:r>
        <w:rPr>
          <w:color w:val="000000"/>
          <w:szCs w:val="21"/>
        </w:rPr>
        <w:t>2</w:t>
      </w:r>
      <w:r>
        <w:rPr>
          <w:color w:val="000000"/>
          <w:szCs w:val="21"/>
        </w:rPr>
        <w:t>日，则以替代金额与所购入的部分被替代证券实际购入成本加上按照最近一次收盘价计算的未购入的部分被替代证券价值的差额，确定基金应退还投资人或投资人应补交的款项。</w:t>
      </w:r>
    </w:p>
    <w:p w14:paraId="36E2594A" w14:textId="77777777" w:rsidR="00175DB4" w:rsidRDefault="000519D1">
      <w:pPr>
        <w:tabs>
          <w:tab w:val="left" w:pos="540"/>
        </w:tabs>
        <w:snapToGrid w:val="0"/>
        <w:spacing w:line="360" w:lineRule="auto"/>
        <w:ind w:firstLineChars="200" w:firstLine="420"/>
        <w:rPr>
          <w:color w:val="000000"/>
          <w:szCs w:val="21"/>
        </w:rPr>
      </w:pPr>
      <w:r>
        <w:rPr>
          <w:rFonts w:hint="eastAsia"/>
          <w:szCs w:val="21"/>
        </w:rPr>
        <w:t>若现金替代日（</w:t>
      </w:r>
      <w:r>
        <w:rPr>
          <w:szCs w:val="21"/>
        </w:rPr>
        <w:t>T</w:t>
      </w:r>
      <w:r>
        <w:rPr>
          <w:rFonts w:hint="eastAsia"/>
          <w:szCs w:val="21"/>
        </w:rPr>
        <w:t>日）后至</w:t>
      </w:r>
      <w:r>
        <w:rPr>
          <w:szCs w:val="21"/>
        </w:rPr>
        <w:t>T+2</w:t>
      </w:r>
      <w:r>
        <w:rPr>
          <w:rFonts w:hint="eastAsia"/>
          <w:szCs w:val="21"/>
        </w:rPr>
        <w:t>日（若在特例情况下，则为</w:t>
      </w:r>
      <w:r>
        <w:rPr>
          <w:szCs w:val="21"/>
        </w:rPr>
        <w:t>T</w:t>
      </w:r>
      <w:r>
        <w:rPr>
          <w:rFonts w:hint="eastAsia"/>
          <w:szCs w:val="21"/>
        </w:rPr>
        <w:t>日起第</w:t>
      </w:r>
      <w:r>
        <w:rPr>
          <w:szCs w:val="21"/>
        </w:rPr>
        <w:t>20</w:t>
      </w:r>
      <w:r>
        <w:rPr>
          <w:rFonts w:hint="eastAsia"/>
          <w:szCs w:val="21"/>
        </w:rPr>
        <w:t>个交易日）期间发生除息、送股（转增）、配股等权益变动，则进行相应调整。</w:t>
      </w:r>
    </w:p>
    <w:p w14:paraId="2488438D"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w:t>
      </w:r>
      <w:r>
        <w:rPr>
          <w:rFonts w:hint="eastAsia"/>
          <w:color w:val="000000"/>
          <w:szCs w:val="21"/>
        </w:rPr>
        <w:t>2</w:t>
      </w:r>
      <w:r>
        <w:rPr>
          <w:color w:val="000000"/>
          <w:szCs w:val="21"/>
        </w:rPr>
        <w:t>日后第</w:t>
      </w:r>
      <w:r>
        <w:rPr>
          <w:color w:val="000000"/>
          <w:szCs w:val="21"/>
        </w:rPr>
        <w:t>1</w:t>
      </w:r>
      <w:r>
        <w:rPr>
          <w:color w:val="000000"/>
          <w:szCs w:val="21"/>
        </w:rPr>
        <w:t>个工作日</w:t>
      </w:r>
      <w:r>
        <w:rPr>
          <w:color w:val="000000"/>
          <w:szCs w:val="21"/>
        </w:rPr>
        <w:t>(</w:t>
      </w:r>
      <w:r>
        <w:rPr>
          <w:color w:val="000000"/>
          <w:szCs w:val="21"/>
        </w:rPr>
        <w:t>若在特例情况下，则为</w:t>
      </w:r>
      <w:r>
        <w:rPr>
          <w:color w:val="000000"/>
          <w:szCs w:val="21"/>
        </w:rPr>
        <w:t>T</w:t>
      </w:r>
      <w:r>
        <w:rPr>
          <w:color w:val="000000"/>
          <w:szCs w:val="21"/>
        </w:rPr>
        <w:t>日起第</w:t>
      </w:r>
      <w:r>
        <w:rPr>
          <w:color w:val="000000"/>
          <w:szCs w:val="21"/>
        </w:rPr>
        <w:t>21</w:t>
      </w:r>
      <w:r>
        <w:rPr>
          <w:color w:val="000000"/>
          <w:szCs w:val="21"/>
        </w:rPr>
        <w:t>个交易日</w:t>
      </w:r>
      <w:r>
        <w:rPr>
          <w:color w:val="000000"/>
          <w:szCs w:val="21"/>
        </w:rPr>
        <w:t>)</w:t>
      </w:r>
      <w:r>
        <w:rPr>
          <w:rFonts w:hint="eastAsia"/>
          <w:color w:val="000000"/>
          <w:szCs w:val="21"/>
        </w:rPr>
        <w:t>，</w:t>
      </w:r>
      <w:r>
        <w:rPr>
          <w:color w:val="000000"/>
          <w:szCs w:val="21"/>
        </w:rPr>
        <w:t>基金管理人将应退款和补款的明细数据发送给申购赎回代理券商和基金托管人，现金替代多退少补</w:t>
      </w:r>
      <w:r>
        <w:rPr>
          <w:rFonts w:hint="eastAsia"/>
          <w:color w:val="000000"/>
          <w:szCs w:val="21"/>
        </w:rPr>
        <w:t>，</w:t>
      </w:r>
      <w:r>
        <w:rPr>
          <w:color w:val="000000"/>
          <w:szCs w:val="21"/>
        </w:rPr>
        <w:t>资金的清算和交收在</w:t>
      </w:r>
      <w:r>
        <w:rPr>
          <w:rFonts w:hint="eastAsia"/>
          <w:color w:val="000000"/>
          <w:szCs w:val="21"/>
        </w:rPr>
        <w:t>此</w:t>
      </w:r>
      <w:r>
        <w:rPr>
          <w:color w:val="000000"/>
          <w:szCs w:val="21"/>
        </w:rPr>
        <w:t>后</w:t>
      </w:r>
      <w:r>
        <w:rPr>
          <w:rFonts w:hint="eastAsia"/>
          <w:color w:val="000000"/>
          <w:szCs w:val="21"/>
        </w:rPr>
        <w:t>3</w:t>
      </w:r>
      <w:r>
        <w:rPr>
          <w:color w:val="000000"/>
          <w:szCs w:val="21"/>
        </w:rPr>
        <w:t>个工作日内完成，登记机构对此提供代收代付服务。</w:t>
      </w:r>
    </w:p>
    <w:p w14:paraId="1A943FA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④</w:t>
      </w:r>
      <w:r>
        <w:rPr>
          <w:color w:val="000000"/>
          <w:szCs w:val="21"/>
        </w:rPr>
        <w:t>替代限制：为有效控制基金的跟踪偏离度和跟踪误差，基金管理人可规定投资人使用可以现金替代的比例合计不得超过申购基金份额资产净值的一定比例。现金替代比例的计算公式为：</w:t>
      </w:r>
    </w:p>
    <w:tbl>
      <w:tblPr>
        <w:tblW w:w="0" w:type="auto"/>
        <w:tblInd w:w="468" w:type="dxa"/>
        <w:tblBorders>
          <w:insideH w:val="single" w:sz="4" w:space="0" w:color="auto"/>
        </w:tblBorders>
        <w:tblLook w:val="04A0" w:firstRow="1" w:lastRow="0" w:firstColumn="1" w:lastColumn="0" w:noHBand="0" w:noVBand="1"/>
      </w:tblPr>
      <w:tblGrid>
        <w:gridCol w:w="1790"/>
        <w:gridCol w:w="3577"/>
        <w:gridCol w:w="680"/>
      </w:tblGrid>
      <w:tr w:rsidR="00175DB4" w14:paraId="6BE0C8FC" w14:textId="77777777">
        <w:trPr>
          <w:cantSplit/>
        </w:trPr>
        <w:tc>
          <w:tcPr>
            <w:tcW w:w="0" w:type="auto"/>
            <w:vMerge w:val="restart"/>
            <w:vAlign w:val="center"/>
          </w:tcPr>
          <w:p w14:paraId="4459E14C" w14:textId="77777777" w:rsidR="00175DB4" w:rsidRDefault="000519D1">
            <w:pPr>
              <w:spacing w:line="360" w:lineRule="auto"/>
              <w:rPr>
                <w:color w:val="000000" w:themeColor="text1"/>
                <w:sz w:val="16"/>
              </w:rPr>
            </w:pPr>
            <w:r>
              <w:rPr>
                <w:rFonts w:hAnsi="宋体"/>
                <w:color w:val="000000" w:themeColor="text1"/>
                <w:sz w:val="16"/>
              </w:rPr>
              <w:t>现金替代比例（</w:t>
            </w:r>
            <w:r>
              <w:rPr>
                <w:color w:val="000000" w:themeColor="text1"/>
                <w:sz w:val="16"/>
              </w:rPr>
              <w:t>%</w:t>
            </w:r>
            <w:r>
              <w:rPr>
                <w:rFonts w:hAnsi="宋体"/>
                <w:color w:val="000000" w:themeColor="text1"/>
                <w:sz w:val="16"/>
              </w:rPr>
              <w:t>）＝</w:t>
            </w:r>
          </w:p>
        </w:tc>
        <w:tc>
          <w:tcPr>
            <w:tcW w:w="0" w:type="auto"/>
            <w:vAlign w:val="center"/>
          </w:tcPr>
          <w:p w14:paraId="47250A55" w14:textId="77777777" w:rsidR="00175DB4" w:rsidRDefault="000519D1">
            <w:pPr>
              <w:spacing w:line="360" w:lineRule="auto"/>
              <w:jc w:val="center"/>
              <w:rPr>
                <w:color w:val="000000" w:themeColor="text1"/>
                <w:sz w:val="16"/>
              </w:rPr>
            </w:pPr>
            <w:r>
              <w:rPr>
                <w:color w:val="000000" w:themeColor="text1"/>
                <w:position w:val="-16"/>
                <w:sz w:val="16"/>
              </w:rPr>
              <w:object w:dxaOrig="465" w:dyaOrig="420" w14:anchorId="17310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9pt" o:ole="">
                  <v:imagedata r:id="rId19" o:title=""/>
                </v:shape>
                <o:OLEObject Type="Embed" ProgID="Equation.3" ShapeID="_x0000_i1025" DrawAspect="Content" ObjectID="_1753534792" r:id="rId20"/>
              </w:object>
            </w:r>
            <w:r>
              <w:rPr>
                <w:rFonts w:hAnsi="宋体"/>
                <w:color w:val="000000" w:themeColor="text1"/>
                <w:sz w:val="16"/>
              </w:rPr>
              <w:t>第</w:t>
            </w:r>
            <w:r>
              <w:rPr>
                <w:color w:val="000000" w:themeColor="text1"/>
                <w:sz w:val="16"/>
              </w:rPr>
              <w:t>i</w:t>
            </w:r>
            <w:r>
              <w:rPr>
                <w:rFonts w:hAnsi="宋体"/>
                <w:color w:val="000000" w:themeColor="text1"/>
                <w:sz w:val="16"/>
              </w:rPr>
              <w:t>只替代证券的数量</w:t>
            </w:r>
            <w:r>
              <w:rPr>
                <w:color w:val="000000" w:themeColor="text1"/>
                <w:sz w:val="16"/>
              </w:rPr>
              <w:t>×</w:t>
            </w:r>
            <w:r>
              <w:rPr>
                <w:rFonts w:hint="eastAsia"/>
                <w:color w:val="000000" w:themeColor="text1"/>
                <w:sz w:val="16"/>
              </w:rPr>
              <w:t>该证券的参考价格</w:t>
            </w:r>
          </w:p>
        </w:tc>
        <w:tc>
          <w:tcPr>
            <w:tcW w:w="0" w:type="auto"/>
            <w:vMerge w:val="restart"/>
            <w:vAlign w:val="center"/>
          </w:tcPr>
          <w:p w14:paraId="730A4408" w14:textId="77777777" w:rsidR="00175DB4" w:rsidRDefault="000519D1">
            <w:pPr>
              <w:spacing w:line="360" w:lineRule="auto"/>
              <w:rPr>
                <w:color w:val="000000" w:themeColor="text1"/>
                <w:sz w:val="16"/>
              </w:rPr>
            </w:pPr>
            <w:r>
              <w:rPr>
                <w:color w:val="000000" w:themeColor="text1"/>
                <w:sz w:val="16"/>
              </w:rPr>
              <w:t>×100%</w:t>
            </w:r>
          </w:p>
        </w:tc>
      </w:tr>
      <w:tr w:rsidR="00175DB4" w14:paraId="4A6DC850" w14:textId="77777777">
        <w:trPr>
          <w:cantSplit/>
        </w:trPr>
        <w:tc>
          <w:tcPr>
            <w:tcW w:w="0" w:type="auto"/>
            <w:vMerge/>
            <w:vAlign w:val="center"/>
          </w:tcPr>
          <w:p w14:paraId="298B62E9" w14:textId="77777777" w:rsidR="00175DB4" w:rsidRDefault="00175DB4">
            <w:pPr>
              <w:spacing w:line="360" w:lineRule="auto"/>
              <w:rPr>
                <w:color w:val="000000" w:themeColor="text1"/>
                <w:sz w:val="16"/>
              </w:rPr>
            </w:pPr>
          </w:p>
        </w:tc>
        <w:tc>
          <w:tcPr>
            <w:tcW w:w="0" w:type="auto"/>
            <w:vAlign w:val="center"/>
          </w:tcPr>
          <w:p w14:paraId="635E45C1" w14:textId="77777777" w:rsidR="00175DB4" w:rsidRDefault="000519D1">
            <w:pPr>
              <w:spacing w:line="360" w:lineRule="auto"/>
              <w:jc w:val="center"/>
              <w:rPr>
                <w:color w:val="000000" w:themeColor="text1"/>
                <w:sz w:val="16"/>
              </w:rPr>
            </w:pPr>
            <w:r>
              <w:rPr>
                <w:rFonts w:hAnsi="宋体"/>
                <w:color w:val="000000" w:themeColor="text1"/>
                <w:sz w:val="16"/>
              </w:rPr>
              <w:t>申购基金份额</w:t>
            </w:r>
            <w:r>
              <w:rPr>
                <w:color w:val="000000" w:themeColor="text1"/>
                <w:sz w:val="16"/>
              </w:rPr>
              <w:t>×</w:t>
            </w:r>
            <w:r>
              <w:rPr>
                <w:rFonts w:hint="eastAsia"/>
                <w:color w:val="000000" w:themeColor="text1"/>
                <w:sz w:val="16"/>
              </w:rPr>
              <w:t>参考</w:t>
            </w:r>
            <w:r>
              <w:rPr>
                <w:rFonts w:hAnsi="宋体"/>
                <w:color w:val="000000" w:themeColor="text1"/>
                <w:sz w:val="16"/>
              </w:rPr>
              <w:t>基金份额净值</w:t>
            </w:r>
          </w:p>
        </w:tc>
        <w:tc>
          <w:tcPr>
            <w:tcW w:w="0" w:type="auto"/>
            <w:vMerge/>
            <w:vAlign w:val="center"/>
          </w:tcPr>
          <w:p w14:paraId="32A6F766" w14:textId="77777777" w:rsidR="00175DB4" w:rsidRDefault="00175DB4">
            <w:pPr>
              <w:spacing w:line="360" w:lineRule="auto"/>
              <w:rPr>
                <w:color w:val="000000" w:themeColor="text1"/>
                <w:sz w:val="16"/>
              </w:rPr>
            </w:pPr>
          </w:p>
        </w:tc>
      </w:tr>
    </w:tbl>
    <w:p w14:paraId="70AA911B" w14:textId="77777777" w:rsidR="00175DB4" w:rsidRDefault="00175DB4">
      <w:pPr>
        <w:tabs>
          <w:tab w:val="left" w:pos="540"/>
        </w:tabs>
        <w:snapToGrid w:val="0"/>
        <w:spacing w:line="360" w:lineRule="auto"/>
        <w:ind w:firstLineChars="200" w:firstLine="420"/>
        <w:rPr>
          <w:color w:val="000000"/>
          <w:szCs w:val="21"/>
        </w:rPr>
      </w:pPr>
    </w:p>
    <w:p w14:paraId="5A8DB62A" w14:textId="77777777" w:rsidR="00175DB4" w:rsidRDefault="000519D1">
      <w:pPr>
        <w:tabs>
          <w:tab w:val="left" w:pos="540"/>
        </w:tabs>
        <w:snapToGrid w:val="0"/>
        <w:spacing w:line="360" w:lineRule="auto"/>
        <w:ind w:firstLineChars="200" w:firstLine="420"/>
        <w:rPr>
          <w:color w:val="000000"/>
          <w:szCs w:val="21"/>
        </w:rPr>
      </w:pPr>
      <w:r>
        <w:rPr>
          <w:rFonts w:ascii="宋体" w:hAnsi="Calibri" w:cs="宋体" w:hint="eastAsia"/>
          <w:color w:val="000000" w:themeColor="text1"/>
          <w:kern w:val="0"/>
          <w:szCs w:val="21"/>
        </w:rPr>
        <w:t>参考基金份额净值目前为该</w:t>
      </w:r>
      <w:r>
        <w:rPr>
          <w:color w:val="000000" w:themeColor="text1"/>
          <w:kern w:val="0"/>
          <w:szCs w:val="21"/>
        </w:rPr>
        <w:t xml:space="preserve">ETF </w:t>
      </w:r>
      <w:r>
        <w:rPr>
          <w:rFonts w:ascii="宋体" w:hAnsi="Calibri" w:cs="宋体" w:hint="eastAsia"/>
          <w:color w:val="000000" w:themeColor="text1"/>
          <w:kern w:val="0"/>
          <w:szCs w:val="21"/>
        </w:rPr>
        <w:t>前一交易日除权除息后的收盘价，如果深圳证券交易所参考基金份额净值计算方式发生变化，以深圳证券交易所通知规定的参考基金份额净值为准。如果深圳证券交易所现金替代比例计算公式发生调整，以深圳证券交易所通知规定的为准。</w:t>
      </w:r>
    </w:p>
    <w:p w14:paraId="09923EC1" w14:textId="77777777" w:rsidR="00175DB4" w:rsidRDefault="000519D1">
      <w:pPr>
        <w:tabs>
          <w:tab w:val="left" w:pos="540"/>
        </w:tabs>
        <w:snapToGrid w:val="0"/>
        <w:spacing w:line="360" w:lineRule="auto"/>
        <w:ind w:firstLineChars="200" w:firstLine="420"/>
        <w:rPr>
          <w:szCs w:val="21"/>
        </w:rPr>
      </w:pPr>
      <w:r>
        <w:rPr>
          <w:szCs w:val="21"/>
        </w:rPr>
        <w:t>2</w:t>
      </w:r>
      <w:r>
        <w:rPr>
          <w:rFonts w:hint="eastAsia"/>
          <w:szCs w:val="21"/>
        </w:rPr>
        <w:t>）对于沪市成份证券</w:t>
      </w:r>
    </w:p>
    <w:p w14:paraId="4A7E2F41" w14:textId="77777777" w:rsidR="00175DB4" w:rsidRDefault="000519D1">
      <w:pPr>
        <w:tabs>
          <w:tab w:val="left" w:pos="540"/>
        </w:tabs>
        <w:snapToGrid w:val="0"/>
        <w:spacing w:line="360" w:lineRule="auto"/>
        <w:ind w:firstLineChars="200" w:firstLine="420"/>
        <w:rPr>
          <w:color w:val="000000"/>
          <w:szCs w:val="21"/>
        </w:rPr>
      </w:pPr>
      <w:r>
        <w:rPr>
          <w:rFonts w:ascii="Calibri" w:hAnsi="Calibri"/>
          <w:color w:val="000000"/>
          <w:szCs w:val="21"/>
        </w:rPr>
        <w:t>①</w:t>
      </w:r>
      <w:r>
        <w:rPr>
          <w:color w:val="000000"/>
          <w:szCs w:val="21"/>
        </w:rPr>
        <w:t>适用情形：</w:t>
      </w:r>
      <w:r>
        <w:rPr>
          <w:rFonts w:hint="eastAsia"/>
          <w:color w:val="000000"/>
          <w:szCs w:val="21"/>
        </w:rPr>
        <w:t>投资人申购和赎回时的沪市成份证券。登记机构对设置可以现金替代的沪市成份证券全部用现金替代。</w:t>
      </w:r>
    </w:p>
    <w:p w14:paraId="65E7B2D8"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②</w:t>
      </w:r>
      <w:r>
        <w:rPr>
          <w:color w:val="000000"/>
          <w:szCs w:val="21"/>
        </w:rPr>
        <w:t>替代金额：对于可以现金替代的证券</w:t>
      </w:r>
      <w:r>
        <w:rPr>
          <w:color w:val="000000"/>
          <w:szCs w:val="21"/>
        </w:rPr>
        <w:t>,</w:t>
      </w:r>
      <w:r>
        <w:rPr>
          <w:color w:val="000000"/>
          <w:szCs w:val="21"/>
        </w:rPr>
        <w:t>替代金额的计算公式为：</w:t>
      </w:r>
    </w:p>
    <w:p w14:paraId="04C4E755" w14:textId="77777777" w:rsidR="00175DB4" w:rsidRDefault="000519D1">
      <w:pPr>
        <w:tabs>
          <w:tab w:val="left" w:pos="540"/>
        </w:tabs>
        <w:snapToGrid w:val="0"/>
        <w:spacing w:line="360" w:lineRule="auto"/>
        <w:ind w:firstLineChars="200" w:firstLine="420"/>
        <w:rPr>
          <w:szCs w:val="21"/>
        </w:rPr>
      </w:pPr>
      <w:r>
        <w:rPr>
          <w:rFonts w:hint="eastAsia"/>
          <w:color w:val="000000"/>
          <w:szCs w:val="21"/>
        </w:rPr>
        <w:lastRenderedPageBreak/>
        <w:t>申购替代金额＝替代证券数量×该证券参考价格</w:t>
      </w:r>
      <w:r>
        <w:rPr>
          <w:color w:val="000000"/>
          <w:szCs w:val="21"/>
        </w:rPr>
        <w:t>×(1</w:t>
      </w:r>
      <w:r>
        <w:rPr>
          <w:color w:val="000000"/>
          <w:szCs w:val="21"/>
        </w:rPr>
        <w:t>＋</w:t>
      </w:r>
      <w:r>
        <w:rPr>
          <w:rFonts w:hint="eastAsia"/>
          <w:color w:val="000000"/>
          <w:szCs w:val="21"/>
        </w:rPr>
        <w:t>申购</w:t>
      </w:r>
      <w:r>
        <w:rPr>
          <w:color w:val="000000"/>
          <w:szCs w:val="21"/>
        </w:rPr>
        <w:t>现金替代</w:t>
      </w:r>
      <w:r>
        <w:rPr>
          <w:rFonts w:hint="eastAsia"/>
          <w:color w:val="000000"/>
          <w:szCs w:val="21"/>
        </w:rPr>
        <w:t>保证金</w:t>
      </w:r>
      <w:r>
        <w:rPr>
          <w:color w:val="000000"/>
          <w:szCs w:val="21"/>
        </w:rPr>
        <w:t>率</w:t>
      </w:r>
      <w:r>
        <w:rPr>
          <w:color w:val="000000"/>
          <w:szCs w:val="21"/>
        </w:rPr>
        <w:t xml:space="preserve">) </w:t>
      </w:r>
    </w:p>
    <w:p w14:paraId="10EB59B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赎回替代金额＝替代证券数量×该证券参考价格×</w:t>
      </w:r>
      <w:r>
        <w:rPr>
          <w:color w:val="000000"/>
          <w:szCs w:val="21"/>
        </w:rPr>
        <w:t>(1</w:t>
      </w:r>
      <m:oMath>
        <m:r>
          <m:rPr>
            <m:sty m:val="p"/>
          </m:rPr>
          <w:rPr>
            <w:rFonts w:ascii="Cambria Math" w:hAnsi="Cambria Math"/>
            <w:color w:val="000000"/>
            <w:szCs w:val="21"/>
          </w:rPr>
          <m:t>-</m:t>
        </m:r>
      </m:oMath>
      <w:r>
        <w:rPr>
          <w:rFonts w:hint="eastAsia"/>
          <w:color w:val="000000"/>
          <w:szCs w:val="21"/>
        </w:rPr>
        <w:t>赎回</w:t>
      </w:r>
      <w:r>
        <w:rPr>
          <w:color w:val="000000"/>
          <w:szCs w:val="21"/>
        </w:rPr>
        <w:t>现金替代</w:t>
      </w:r>
      <w:r>
        <w:rPr>
          <w:rFonts w:hint="eastAsia"/>
          <w:color w:val="000000"/>
          <w:szCs w:val="21"/>
        </w:rPr>
        <w:t>保证金</w:t>
      </w:r>
      <w:r>
        <w:rPr>
          <w:color w:val="000000"/>
          <w:szCs w:val="21"/>
        </w:rPr>
        <w:t>率</w:t>
      </w:r>
      <w:r>
        <w:rPr>
          <w:color w:val="000000"/>
          <w:szCs w:val="21"/>
        </w:rPr>
        <w:t>)</w:t>
      </w:r>
    </w:p>
    <w:p w14:paraId="2FDD4694" w14:textId="77777777" w:rsidR="00175DB4" w:rsidRDefault="000519D1">
      <w:pPr>
        <w:tabs>
          <w:tab w:val="left" w:pos="540"/>
        </w:tabs>
        <w:snapToGrid w:val="0"/>
        <w:spacing w:line="360" w:lineRule="auto"/>
        <w:ind w:firstLineChars="200" w:firstLine="420"/>
        <w:rPr>
          <w:color w:val="000000"/>
          <w:szCs w:val="21"/>
        </w:rPr>
      </w:pPr>
      <w:r>
        <w:rPr>
          <w:rFonts w:hint="eastAsia"/>
          <w:szCs w:val="21"/>
        </w:rPr>
        <w:t>其中，</w:t>
      </w:r>
      <w:r>
        <w:rPr>
          <w:szCs w:val="21"/>
        </w:rPr>
        <w:t>“</w:t>
      </w:r>
      <w:r>
        <w:rPr>
          <w:rFonts w:hint="eastAsia"/>
          <w:szCs w:val="21"/>
        </w:rPr>
        <w:t>该证券参考价格</w:t>
      </w:r>
      <w:r>
        <w:rPr>
          <w:szCs w:val="21"/>
        </w:rPr>
        <w:t>”</w:t>
      </w:r>
      <w:r>
        <w:rPr>
          <w:rFonts w:hint="eastAsia"/>
          <w:szCs w:val="21"/>
        </w:rPr>
        <w:t>为该证券经除权除息调整的</w:t>
      </w:r>
      <w:r>
        <w:rPr>
          <w:szCs w:val="21"/>
        </w:rPr>
        <w:t>T-1</w:t>
      </w:r>
      <w:r>
        <w:rPr>
          <w:rFonts w:hint="eastAsia"/>
          <w:szCs w:val="21"/>
        </w:rPr>
        <w:t>日收盘价。如果上海证券交易所参考价格确定原则发生变化，以上海证券交易所通知规定的参考价格为准。</w:t>
      </w:r>
    </w:p>
    <w:p w14:paraId="56E95CB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申购时收取现金替代保证金的原因是，对于使用现金替代的证券，基金管理人将买入该部分证券，实际买入价格加上相关交易费用后与申购时的参考</w:t>
      </w:r>
      <w:r>
        <w:rPr>
          <w:color w:val="000000"/>
          <w:szCs w:val="21"/>
        </w:rPr>
        <w:t>价格</w:t>
      </w:r>
      <w:r>
        <w:rPr>
          <w:rFonts w:hint="eastAsia"/>
          <w:color w:val="000000"/>
          <w:szCs w:val="21"/>
        </w:rPr>
        <w:t>可能有所差异。</w:t>
      </w:r>
      <w:r>
        <w:rPr>
          <w:color w:val="000000"/>
          <w:szCs w:val="21"/>
        </w:rPr>
        <w:t>为便于操作，基金管理人在申购赎回清单中预先确定</w:t>
      </w:r>
      <w:r>
        <w:rPr>
          <w:rFonts w:hint="eastAsia"/>
          <w:color w:val="000000"/>
          <w:szCs w:val="21"/>
        </w:rPr>
        <w:t>申购</w:t>
      </w:r>
      <w:r>
        <w:rPr>
          <w:color w:val="000000"/>
          <w:szCs w:val="21"/>
        </w:rPr>
        <w:t>现金替代</w:t>
      </w:r>
      <w:r>
        <w:rPr>
          <w:rFonts w:hint="eastAsia"/>
          <w:color w:val="000000"/>
          <w:szCs w:val="21"/>
        </w:rPr>
        <w:t>保证金</w:t>
      </w:r>
      <w:r>
        <w:rPr>
          <w:color w:val="000000"/>
          <w:szCs w:val="21"/>
        </w:rPr>
        <w:t>率，并据此收取替代金额。如果预先收取的金额高于基金购入该部分证券的实际成本，</w:t>
      </w:r>
      <w:proofErr w:type="gramStart"/>
      <w:r>
        <w:rPr>
          <w:color w:val="000000"/>
          <w:szCs w:val="21"/>
        </w:rPr>
        <w:t>则基金</w:t>
      </w:r>
      <w:proofErr w:type="gramEnd"/>
      <w:r>
        <w:rPr>
          <w:color w:val="000000"/>
          <w:szCs w:val="21"/>
        </w:rPr>
        <w:t>管理人将退还多收取的差额；如果预先收取的金额低于基金购入该部分证券的实际成本，</w:t>
      </w:r>
      <w:proofErr w:type="gramStart"/>
      <w:r>
        <w:rPr>
          <w:color w:val="000000"/>
          <w:szCs w:val="21"/>
        </w:rPr>
        <w:t>则基金</w:t>
      </w:r>
      <w:proofErr w:type="gramEnd"/>
      <w:r>
        <w:rPr>
          <w:color w:val="000000"/>
          <w:szCs w:val="21"/>
        </w:rPr>
        <w:t>管理人将向投资人收取欠缺的差额。</w:t>
      </w:r>
    </w:p>
    <w:p w14:paraId="519737E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赎回时扣除现金替代保证金的原因是，对于使用现金替代的证券，基金管理人将卖出该部分证券，实际卖出价格扣除相关交易费用后与赎回时的参考</w:t>
      </w:r>
      <w:r>
        <w:rPr>
          <w:color w:val="000000"/>
          <w:szCs w:val="21"/>
        </w:rPr>
        <w:t>价格</w:t>
      </w:r>
      <w:r>
        <w:rPr>
          <w:rFonts w:hint="eastAsia"/>
          <w:color w:val="000000"/>
          <w:szCs w:val="21"/>
        </w:rPr>
        <w:t>可能有所差异。为便于操作，基金管理人在申购赎回清单中预先确定赎回现金替代保证金率，并据此支付赎回替代金额。如果预先支付的金额低于基金卖出该部分证券的实际收入，</w:t>
      </w:r>
      <w:proofErr w:type="gramStart"/>
      <w:r>
        <w:rPr>
          <w:rFonts w:hint="eastAsia"/>
          <w:color w:val="000000"/>
          <w:szCs w:val="21"/>
        </w:rPr>
        <w:t>则基金</w:t>
      </w:r>
      <w:proofErr w:type="gramEnd"/>
      <w:r>
        <w:rPr>
          <w:rFonts w:hint="eastAsia"/>
          <w:color w:val="000000"/>
          <w:szCs w:val="21"/>
        </w:rPr>
        <w:t>管理人将退还少支付的差额；如果预先支付的金额高于基金卖出该部分证券的实际收入，</w:t>
      </w:r>
      <w:proofErr w:type="gramStart"/>
      <w:r>
        <w:rPr>
          <w:rFonts w:hint="eastAsia"/>
          <w:color w:val="000000"/>
          <w:szCs w:val="21"/>
        </w:rPr>
        <w:t>则基金</w:t>
      </w:r>
      <w:proofErr w:type="gramEnd"/>
      <w:r>
        <w:rPr>
          <w:rFonts w:hint="eastAsia"/>
          <w:color w:val="000000"/>
          <w:szCs w:val="21"/>
        </w:rPr>
        <w:t>管理人将向投资者收取多支付的差额。</w:t>
      </w:r>
    </w:p>
    <w:p w14:paraId="3148FEE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③</w:t>
      </w:r>
      <w:r>
        <w:rPr>
          <w:color w:val="000000"/>
          <w:szCs w:val="21"/>
        </w:rPr>
        <w:t>替代金额的处理程序</w:t>
      </w:r>
    </w:p>
    <w:p w14:paraId="58669C4F"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日，基金管理人在申购赎回清单中公布</w:t>
      </w:r>
      <w:r>
        <w:rPr>
          <w:rFonts w:hint="eastAsia"/>
          <w:color w:val="000000"/>
          <w:szCs w:val="21"/>
        </w:rPr>
        <w:t>申购和赎回</w:t>
      </w:r>
      <w:r>
        <w:rPr>
          <w:color w:val="000000"/>
          <w:szCs w:val="21"/>
        </w:rPr>
        <w:t>现金替代</w:t>
      </w:r>
      <w:r>
        <w:rPr>
          <w:rFonts w:hint="eastAsia"/>
          <w:color w:val="000000"/>
          <w:szCs w:val="21"/>
        </w:rPr>
        <w:t>保证金</w:t>
      </w:r>
      <w:r>
        <w:rPr>
          <w:color w:val="000000"/>
          <w:szCs w:val="21"/>
        </w:rPr>
        <w:t>率，并据此收取</w:t>
      </w:r>
      <w:r>
        <w:rPr>
          <w:rFonts w:hint="eastAsia"/>
          <w:color w:val="000000"/>
          <w:szCs w:val="21"/>
        </w:rPr>
        <w:t>申购</w:t>
      </w:r>
      <w:r>
        <w:rPr>
          <w:color w:val="000000"/>
          <w:szCs w:val="21"/>
        </w:rPr>
        <w:t>替代金额</w:t>
      </w:r>
      <w:r>
        <w:rPr>
          <w:rFonts w:hint="eastAsia"/>
          <w:color w:val="000000"/>
          <w:szCs w:val="21"/>
        </w:rPr>
        <w:t>和支付赎回替代金额</w:t>
      </w:r>
      <w:r>
        <w:rPr>
          <w:color w:val="000000"/>
          <w:szCs w:val="21"/>
        </w:rPr>
        <w:t>。</w:t>
      </w:r>
    </w:p>
    <w:p w14:paraId="738760B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基金管理人将自</w:t>
      </w:r>
      <w:r>
        <w:rPr>
          <w:rFonts w:hint="eastAsia"/>
          <w:color w:val="000000"/>
          <w:szCs w:val="21"/>
        </w:rPr>
        <w:t>T</w:t>
      </w:r>
      <w:r>
        <w:rPr>
          <w:rFonts w:hint="eastAsia"/>
          <w:color w:val="000000"/>
          <w:szCs w:val="21"/>
        </w:rPr>
        <w:t>日起在收到申购交易确认后按照“时间优先、实时申报”的原则依次买入申购被替代的部分证券，在收到赎回交易确认后按照“时间优先、实时申报”的原则依次卖出赎回被替代的部分证券。</w:t>
      </w:r>
      <w:r>
        <w:rPr>
          <w:rFonts w:hint="eastAsia"/>
          <w:color w:val="000000"/>
          <w:szCs w:val="21"/>
        </w:rPr>
        <w:t>T</w:t>
      </w:r>
      <w:r>
        <w:rPr>
          <w:rFonts w:hint="eastAsia"/>
          <w:color w:val="000000"/>
          <w:szCs w:val="21"/>
        </w:rPr>
        <w:t>日未完成的交易，基金管理人在</w:t>
      </w:r>
      <w:r>
        <w:rPr>
          <w:rFonts w:hint="eastAsia"/>
          <w:color w:val="000000"/>
          <w:szCs w:val="21"/>
        </w:rPr>
        <w:t>T</w:t>
      </w:r>
      <w:r>
        <w:rPr>
          <w:rFonts w:hint="eastAsia"/>
          <w:color w:val="000000"/>
          <w:szCs w:val="21"/>
        </w:rPr>
        <w:t>日后被替代的成份证券有正常交易的</w:t>
      </w:r>
      <w:r>
        <w:rPr>
          <w:rFonts w:hint="eastAsia"/>
          <w:color w:val="000000"/>
          <w:szCs w:val="21"/>
        </w:rPr>
        <w:t>2</w:t>
      </w:r>
      <w:r>
        <w:rPr>
          <w:rFonts w:hint="eastAsia"/>
          <w:color w:val="000000"/>
          <w:szCs w:val="21"/>
        </w:rPr>
        <w:t>个交易日（简称为</w:t>
      </w:r>
      <w:r>
        <w:rPr>
          <w:rFonts w:hint="eastAsia"/>
          <w:color w:val="000000"/>
          <w:szCs w:val="21"/>
        </w:rPr>
        <w:t>T+2</w:t>
      </w:r>
      <w:r>
        <w:rPr>
          <w:rFonts w:hint="eastAsia"/>
          <w:color w:val="000000"/>
          <w:szCs w:val="21"/>
        </w:rPr>
        <w:t>日）内完成上述交易。</w:t>
      </w:r>
    </w:p>
    <w:p w14:paraId="2B96E49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时间优先的原则为：申购赎回方向相同的，先确认成交者优先于后确认成交者。先后顺序按照深交所确认申购赎回的时间确定。</w:t>
      </w:r>
    </w:p>
    <w:p w14:paraId="56CB414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实时申报的原则为：基金管理人在上海证券交易所连续竞价期间，根据收到的深圳证券交易所申购赎回确认记录，在技术系统允许的情况下实时向上海证券交易所申报被替代证券的交易指令。</w:t>
      </w:r>
    </w:p>
    <w:p w14:paraId="4E93256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按照“时间优先”的原则依次与申购投资人确定基金应退还投资者或投资人应补交的款项，即按照申购确认时间顺序，以替代金额与被替代证券的依次实际购入成本（包括买入价格与交易费用）的差额，确定基金应退还申购投资者或申购投资者应补交的款项；按照“时间优先”的原则依次与赎回投资人确定基金应退还投资人或投资人应补交的款项，即按照赎回确认时间顺序，以替代金额与被替代证券的依次实际卖出收入（卖出价格扣除交易费用）的差额，确定基金应退还赎回投资人或赎回投资者应补交的款项。</w:t>
      </w:r>
    </w:p>
    <w:p w14:paraId="7E0E51C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对于</w:t>
      </w:r>
      <w:r>
        <w:rPr>
          <w:rFonts w:hint="eastAsia"/>
          <w:color w:val="000000"/>
          <w:szCs w:val="21"/>
        </w:rPr>
        <w:t>T</w:t>
      </w:r>
      <w:r>
        <w:rPr>
          <w:rFonts w:hint="eastAsia"/>
          <w:color w:val="000000"/>
          <w:szCs w:val="21"/>
        </w:rPr>
        <w:t>日因停牌或流动性不足等原因未购入和未卖出的被替代部分证券，</w:t>
      </w:r>
      <w:r>
        <w:rPr>
          <w:rFonts w:hint="eastAsia"/>
          <w:color w:val="000000"/>
          <w:szCs w:val="21"/>
        </w:rPr>
        <w:t>T</w:t>
      </w:r>
      <w:r>
        <w:rPr>
          <w:rFonts w:hint="eastAsia"/>
          <w:color w:val="000000"/>
          <w:szCs w:val="21"/>
        </w:rPr>
        <w:t>日后基金管理人可以继续进行被替代证券的买入和卖出，按照前述原则确定基金应退还投资人或投资人应补交的款项。</w:t>
      </w:r>
    </w:p>
    <w:p w14:paraId="06653BEF"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w:t>
      </w:r>
      <w:r>
        <w:rPr>
          <w:rFonts w:hint="eastAsia"/>
          <w:color w:val="000000"/>
          <w:szCs w:val="21"/>
        </w:rPr>
        <w:t>2</w:t>
      </w:r>
      <w:r>
        <w:rPr>
          <w:color w:val="000000"/>
          <w:szCs w:val="21"/>
        </w:rPr>
        <w:t>日日终，若已购入全部被替代的证券，则以替代金额与被替代证券的实际购入成本</w:t>
      </w:r>
      <w:r>
        <w:rPr>
          <w:color w:val="000000"/>
          <w:szCs w:val="21"/>
        </w:rPr>
        <w:t>(</w:t>
      </w:r>
      <w:r>
        <w:rPr>
          <w:color w:val="000000"/>
          <w:szCs w:val="21"/>
        </w:rPr>
        <w:t>包括买入价格与交易费用</w:t>
      </w:r>
      <w:r>
        <w:rPr>
          <w:rFonts w:hint="eastAsia"/>
          <w:color w:val="000000"/>
          <w:szCs w:val="21"/>
        </w:rPr>
        <w:t>，下同</w:t>
      </w:r>
      <w:r>
        <w:rPr>
          <w:color w:val="000000"/>
          <w:szCs w:val="21"/>
        </w:rPr>
        <w:t>)</w:t>
      </w:r>
      <w:r>
        <w:rPr>
          <w:color w:val="000000"/>
          <w:szCs w:val="21"/>
        </w:rPr>
        <w:t>的差额，确定基金应退还</w:t>
      </w:r>
      <w:r>
        <w:rPr>
          <w:rFonts w:hint="eastAsia"/>
          <w:color w:val="000000"/>
          <w:szCs w:val="21"/>
        </w:rPr>
        <w:t>申购</w:t>
      </w:r>
      <w:r>
        <w:rPr>
          <w:color w:val="000000"/>
          <w:szCs w:val="21"/>
        </w:rPr>
        <w:t>投资人或</w:t>
      </w:r>
      <w:r>
        <w:rPr>
          <w:rFonts w:hint="eastAsia"/>
          <w:color w:val="000000"/>
          <w:szCs w:val="21"/>
        </w:rPr>
        <w:t>申购</w:t>
      </w:r>
      <w:r>
        <w:rPr>
          <w:color w:val="000000"/>
          <w:szCs w:val="21"/>
        </w:rPr>
        <w:t>投资人应补交的款项；若未能购入全部被替代的证券，则以替代金额与所购入的部分被替代证券实际购入成本加上按照</w:t>
      </w:r>
      <w:r>
        <w:rPr>
          <w:color w:val="000000"/>
          <w:szCs w:val="21"/>
        </w:rPr>
        <w:t>T</w:t>
      </w:r>
      <w:r>
        <w:rPr>
          <w:color w:val="000000"/>
          <w:szCs w:val="21"/>
        </w:rPr>
        <w:t>＋</w:t>
      </w:r>
      <w:r>
        <w:rPr>
          <w:rFonts w:hint="eastAsia"/>
          <w:color w:val="000000"/>
          <w:szCs w:val="21"/>
        </w:rPr>
        <w:t>2</w:t>
      </w:r>
      <w:r>
        <w:rPr>
          <w:color w:val="000000"/>
          <w:szCs w:val="21"/>
        </w:rPr>
        <w:t>日收盘价计算的未购入的部分被替代证券价值的差额，确定基金应退还</w:t>
      </w:r>
      <w:r>
        <w:rPr>
          <w:rFonts w:hint="eastAsia"/>
          <w:color w:val="000000"/>
          <w:szCs w:val="21"/>
        </w:rPr>
        <w:t>申购</w:t>
      </w:r>
      <w:r>
        <w:rPr>
          <w:color w:val="000000"/>
          <w:szCs w:val="21"/>
        </w:rPr>
        <w:t>投资人或</w:t>
      </w:r>
      <w:r>
        <w:rPr>
          <w:rFonts w:hint="eastAsia"/>
          <w:color w:val="000000"/>
          <w:szCs w:val="21"/>
        </w:rPr>
        <w:t>申购</w:t>
      </w:r>
      <w:r>
        <w:rPr>
          <w:color w:val="000000"/>
          <w:szCs w:val="21"/>
        </w:rPr>
        <w:t>投资人应补交的款项。</w:t>
      </w:r>
    </w:p>
    <w:p w14:paraId="74B8E91B"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w:t>
      </w:r>
      <w:r>
        <w:rPr>
          <w:rFonts w:hint="eastAsia"/>
          <w:color w:val="000000"/>
          <w:szCs w:val="21"/>
        </w:rPr>
        <w:t>2</w:t>
      </w:r>
      <w:r>
        <w:rPr>
          <w:color w:val="000000"/>
          <w:szCs w:val="21"/>
        </w:rPr>
        <w:t>日日终，若已</w:t>
      </w:r>
      <w:r>
        <w:rPr>
          <w:rFonts w:hint="eastAsia"/>
          <w:color w:val="000000"/>
          <w:szCs w:val="21"/>
        </w:rPr>
        <w:t>卖出</w:t>
      </w:r>
      <w:r>
        <w:rPr>
          <w:color w:val="000000"/>
          <w:szCs w:val="21"/>
        </w:rPr>
        <w:t>全部被替代的证券，则以替代金额与被替代证券的实际</w:t>
      </w:r>
      <w:r>
        <w:rPr>
          <w:rFonts w:hint="eastAsia"/>
          <w:color w:val="000000"/>
          <w:szCs w:val="21"/>
        </w:rPr>
        <w:t>卖出收入</w:t>
      </w:r>
      <w:r>
        <w:rPr>
          <w:color w:val="000000"/>
          <w:szCs w:val="21"/>
        </w:rPr>
        <w:t>(</w:t>
      </w:r>
      <w:r>
        <w:rPr>
          <w:color w:val="000000"/>
          <w:szCs w:val="21"/>
        </w:rPr>
        <w:t>包括</w:t>
      </w:r>
      <w:r>
        <w:rPr>
          <w:rFonts w:hint="eastAsia"/>
          <w:color w:val="000000"/>
          <w:szCs w:val="21"/>
        </w:rPr>
        <w:t>卖出</w:t>
      </w:r>
      <w:r>
        <w:rPr>
          <w:color w:val="000000"/>
          <w:szCs w:val="21"/>
        </w:rPr>
        <w:t>价格</w:t>
      </w:r>
      <w:r>
        <w:rPr>
          <w:rFonts w:hint="eastAsia"/>
          <w:color w:val="000000"/>
          <w:szCs w:val="21"/>
        </w:rPr>
        <w:t>扣除</w:t>
      </w:r>
      <w:r>
        <w:rPr>
          <w:color w:val="000000"/>
          <w:szCs w:val="21"/>
        </w:rPr>
        <w:t>交易费用</w:t>
      </w:r>
      <w:r>
        <w:rPr>
          <w:rFonts w:hint="eastAsia"/>
          <w:color w:val="000000"/>
          <w:szCs w:val="21"/>
        </w:rPr>
        <w:t>，下同</w:t>
      </w:r>
      <w:r>
        <w:rPr>
          <w:color w:val="000000"/>
          <w:szCs w:val="21"/>
        </w:rPr>
        <w:t>)</w:t>
      </w:r>
      <w:r>
        <w:rPr>
          <w:color w:val="000000"/>
          <w:szCs w:val="21"/>
        </w:rPr>
        <w:t>的差额，确定基金应退还</w:t>
      </w:r>
      <w:r>
        <w:rPr>
          <w:rFonts w:hint="eastAsia"/>
          <w:color w:val="000000"/>
          <w:szCs w:val="21"/>
        </w:rPr>
        <w:t>赎回</w:t>
      </w:r>
      <w:r>
        <w:rPr>
          <w:color w:val="000000"/>
          <w:szCs w:val="21"/>
        </w:rPr>
        <w:t>投资人或</w:t>
      </w:r>
      <w:r>
        <w:rPr>
          <w:rFonts w:hint="eastAsia"/>
          <w:color w:val="000000"/>
          <w:szCs w:val="21"/>
        </w:rPr>
        <w:t>赎回</w:t>
      </w:r>
      <w:r>
        <w:rPr>
          <w:color w:val="000000"/>
          <w:szCs w:val="21"/>
        </w:rPr>
        <w:t>投资人应补交的款项；若未能</w:t>
      </w:r>
      <w:r>
        <w:rPr>
          <w:rFonts w:hint="eastAsia"/>
          <w:color w:val="000000"/>
          <w:szCs w:val="21"/>
        </w:rPr>
        <w:t>卖出</w:t>
      </w:r>
      <w:r>
        <w:rPr>
          <w:color w:val="000000"/>
          <w:szCs w:val="21"/>
        </w:rPr>
        <w:t>全部被替代的证券，则以替代金额与所</w:t>
      </w:r>
      <w:r>
        <w:rPr>
          <w:rFonts w:hint="eastAsia"/>
          <w:color w:val="000000"/>
          <w:szCs w:val="21"/>
        </w:rPr>
        <w:t>卖出</w:t>
      </w:r>
      <w:r>
        <w:rPr>
          <w:color w:val="000000"/>
          <w:szCs w:val="21"/>
        </w:rPr>
        <w:t>的部分被替代证券实际</w:t>
      </w:r>
      <w:r>
        <w:rPr>
          <w:rFonts w:hint="eastAsia"/>
          <w:color w:val="000000"/>
          <w:szCs w:val="21"/>
        </w:rPr>
        <w:t>卖出收入</w:t>
      </w:r>
      <w:r>
        <w:rPr>
          <w:color w:val="000000"/>
          <w:szCs w:val="21"/>
        </w:rPr>
        <w:t>加上按照</w:t>
      </w:r>
      <w:r>
        <w:rPr>
          <w:color w:val="000000"/>
          <w:szCs w:val="21"/>
        </w:rPr>
        <w:t>T</w:t>
      </w:r>
      <w:r>
        <w:rPr>
          <w:color w:val="000000"/>
          <w:szCs w:val="21"/>
        </w:rPr>
        <w:t>＋</w:t>
      </w:r>
      <w:r>
        <w:rPr>
          <w:rFonts w:hint="eastAsia"/>
          <w:color w:val="000000"/>
          <w:szCs w:val="21"/>
        </w:rPr>
        <w:t>2</w:t>
      </w:r>
      <w:r>
        <w:rPr>
          <w:color w:val="000000"/>
          <w:szCs w:val="21"/>
        </w:rPr>
        <w:t>日收盘价计算的未</w:t>
      </w:r>
      <w:r>
        <w:rPr>
          <w:rFonts w:hint="eastAsia"/>
          <w:color w:val="000000"/>
          <w:szCs w:val="21"/>
        </w:rPr>
        <w:t>卖出</w:t>
      </w:r>
      <w:r>
        <w:rPr>
          <w:color w:val="000000"/>
          <w:szCs w:val="21"/>
        </w:rPr>
        <w:t>的部分被替代证券价值的差额，确定基金应退还</w:t>
      </w:r>
      <w:r>
        <w:rPr>
          <w:rFonts w:hint="eastAsia"/>
          <w:color w:val="000000"/>
          <w:szCs w:val="21"/>
        </w:rPr>
        <w:t>赎回</w:t>
      </w:r>
      <w:r>
        <w:rPr>
          <w:color w:val="000000"/>
          <w:szCs w:val="21"/>
        </w:rPr>
        <w:t>投资人或</w:t>
      </w:r>
      <w:r>
        <w:rPr>
          <w:rFonts w:hint="eastAsia"/>
          <w:color w:val="000000"/>
          <w:szCs w:val="21"/>
        </w:rPr>
        <w:t>赎回</w:t>
      </w:r>
      <w:r>
        <w:rPr>
          <w:color w:val="000000"/>
          <w:szCs w:val="21"/>
        </w:rPr>
        <w:t>投资人应补交的款项。</w:t>
      </w:r>
    </w:p>
    <w:p w14:paraId="74D3B43B" w14:textId="77777777" w:rsidR="00175DB4" w:rsidRDefault="000519D1">
      <w:pPr>
        <w:tabs>
          <w:tab w:val="left" w:pos="540"/>
        </w:tabs>
        <w:snapToGrid w:val="0"/>
        <w:spacing w:line="360" w:lineRule="auto"/>
        <w:ind w:firstLineChars="200" w:firstLine="420"/>
        <w:rPr>
          <w:color w:val="000000"/>
          <w:szCs w:val="21"/>
        </w:rPr>
      </w:pPr>
      <w:r>
        <w:rPr>
          <w:color w:val="000000"/>
          <w:szCs w:val="21"/>
        </w:rPr>
        <w:t>特例情况：若自</w:t>
      </w:r>
      <w:r>
        <w:rPr>
          <w:color w:val="000000"/>
          <w:szCs w:val="21"/>
        </w:rPr>
        <w:t>T</w:t>
      </w:r>
      <w:r>
        <w:rPr>
          <w:color w:val="000000"/>
          <w:szCs w:val="21"/>
        </w:rPr>
        <w:t>日起，</w:t>
      </w:r>
      <w:r>
        <w:rPr>
          <w:rFonts w:hint="eastAsia"/>
          <w:color w:val="000000"/>
          <w:szCs w:val="21"/>
        </w:rPr>
        <w:t>上海证券交易所</w:t>
      </w:r>
      <w:r>
        <w:rPr>
          <w:color w:val="000000"/>
          <w:szCs w:val="21"/>
        </w:rPr>
        <w:t>正常交易日已达到</w:t>
      </w:r>
      <w:r>
        <w:rPr>
          <w:color w:val="000000"/>
          <w:szCs w:val="21"/>
        </w:rPr>
        <w:t>20</w:t>
      </w:r>
      <w:r>
        <w:rPr>
          <w:color w:val="000000"/>
          <w:szCs w:val="21"/>
        </w:rPr>
        <w:t>日而该证券正常交易日低于</w:t>
      </w:r>
      <w:r>
        <w:rPr>
          <w:color w:val="000000"/>
          <w:szCs w:val="21"/>
        </w:rPr>
        <w:t>2</w:t>
      </w:r>
      <w:r>
        <w:rPr>
          <w:color w:val="000000"/>
          <w:szCs w:val="21"/>
        </w:rPr>
        <w:t>日，则以替代金额与所购入的部分被替代证券实际购入成本加上按照最近一次收盘价计算的未购入的部分被替代证券价值的差额，确定基金应退还</w:t>
      </w:r>
      <w:r>
        <w:rPr>
          <w:rFonts w:hint="eastAsia"/>
          <w:color w:val="000000"/>
          <w:szCs w:val="21"/>
        </w:rPr>
        <w:t>申购</w:t>
      </w:r>
      <w:r>
        <w:rPr>
          <w:color w:val="000000"/>
          <w:szCs w:val="21"/>
        </w:rPr>
        <w:t>投资人或</w:t>
      </w:r>
      <w:r>
        <w:rPr>
          <w:rFonts w:hint="eastAsia"/>
          <w:color w:val="000000"/>
          <w:szCs w:val="21"/>
        </w:rPr>
        <w:t>申购</w:t>
      </w:r>
      <w:r>
        <w:rPr>
          <w:color w:val="000000"/>
          <w:szCs w:val="21"/>
        </w:rPr>
        <w:t>投资人应补交的款项。</w:t>
      </w:r>
      <w:r>
        <w:rPr>
          <w:rFonts w:hint="eastAsia"/>
          <w:color w:val="000000"/>
          <w:szCs w:val="21"/>
        </w:rPr>
        <w:t>以替代金额与所卖出的部分被替代证券实际卖出收入加上按照最近一次收盘价计算的未卖出的部分被替代证券价值的差额，确定基金应退还赎回投资人或赎回投资人应补交的款项。</w:t>
      </w:r>
    </w:p>
    <w:p w14:paraId="78B62C59" w14:textId="77777777" w:rsidR="00175DB4" w:rsidRDefault="000519D1">
      <w:pPr>
        <w:tabs>
          <w:tab w:val="left" w:pos="540"/>
        </w:tabs>
        <w:snapToGrid w:val="0"/>
        <w:spacing w:line="360" w:lineRule="auto"/>
        <w:ind w:firstLineChars="200" w:firstLine="420"/>
        <w:rPr>
          <w:color w:val="000000"/>
          <w:szCs w:val="21"/>
        </w:rPr>
      </w:pPr>
      <w:r>
        <w:rPr>
          <w:rFonts w:hint="eastAsia"/>
          <w:szCs w:val="21"/>
        </w:rPr>
        <w:t>若现金替代日（</w:t>
      </w:r>
      <w:r>
        <w:rPr>
          <w:szCs w:val="21"/>
        </w:rPr>
        <w:t>T</w:t>
      </w:r>
      <w:r>
        <w:rPr>
          <w:rFonts w:hint="eastAsia"/>
          <w:szCs w:val="21"/>
        </w:rPr>
        <w:t>日）后至</w:t>
      </w:r>
      <w:r>
        <w:rPr>
          <w:szCs w:val="21"/>
        </w:rPr>
        <w:t>T+2</w:t>
      </w:r>
      <w:r>
        <w:rPr>
          <w:rFonts w:hint="eastAsia"/>
          <w:szCs w:val="21"/>
        </w:rPr>
        <w:t>日（若在特例情况下，则为</w:t>
      </w:r>
      <w:r>
        <w:rPr>
          <w:szCs w:val="21"/>
        </w:rPr>
        <w:t>T</w:t>
      </w:r>
      <w:r>
        <w:rPr>
          <w:rFonts w:hint="eastAsia"/>
          <w:szCs w:val="21"/>
        </w:rPr>
        <w:t>日起第</w:t>
      </w:r>
      <w:r>
        <w:rPr>
          <w:szCs w:val="21"/>
        </w:rPr>
        <w:t>20</w:t>
      </w:r>
      <w:r>
        <w:rPr>
          <w:rFonts w:hint="eastAsia"/>
          <w:szCs w:val="21"/>
        </w:rPr>
        <w:t>个交易日）期间发生除息、送股（转增）、配股等权益变动，则进行相应调整。</w:t>
      </w:r>
    </w:p>
    <w:p w14:paraId="7FD04857"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w:t>
      </w:r>
      <w:r>
        <w:rPr>
          <w:rFonts w:hint="eastAsia"/>
          <w:color w:val="000000"/>
          <w:szCs w:val="21"/>
        </w:rPr>
        <w:t>2</w:t>
      </w:r>
      <w:r>
        <w:rPr>
          <w:color w:val="000000"/>
          <w:szCs w:val="21"/>
        </w:rPr>
        <w:t>日后第</w:t>
      </w:r>
      <w:r>
        <w:rPr>
          <w:color w:val="000000"/>
          <w:szCs w:val="21"/>
        </w:rPr>
        <w:t>1</w:t>
      </w:r>
      <w:r>
        <w:rPr>
          <w:color w:val="000000"/>
          <w:szCs w:val="21"/>
        </w:rPr>
        <w:t>个工作日</w:t>
      </w:r>
      <w:r>
        <w:rPr>
          <w:color w:val="000000"/>
          <w:szCs w:val="21"/>
        </w:rPr>
        <w:t>(</w:t>
      </w:r>
      <w:r>
        <w:rPr>
          <w:color w:val="000000"/>
          <w:szCs w:val="21"/>
        </w:rPr>
        <w:t>若在特例情况下，则为</w:t>
      </w:r>
      <w:r>
        <w:rPr>
          <w:color w:val="000000"/>
          <w:szCs w:val="21"/>
        </w:rPr>
        <w:t>T</w:t>
      </w:r>
      <w:r>
        <w:rPr>
          <w:color w:val="000000"/>
          <w:szCs w:val="21"/>
        </w:rPr>
        <w:t>日起第</w:t>
      </w:r>
      <w:r>
        <w:rPr>
          <w:color w:val="000000"/>
          <w:szCs w:val="21"/>
        </w:rPr>
        <w:t>21</w:t>
      </w:r>
      <w:r>
        <w:rPr>
          <w:color w:val="000000"/>
          <w:szCs w:val="21"/>
        </w:rPr>
        <w:t>个交易日</w:t>
      </w:r>
      <w:r>
        <w:rPr>
          <w:color w:val="000000"/>
          <w:szCs w:val="21"/>
        </w:rPr>
        <w:t>)</w:t>
      </w:r>
      <w:r>
        <w:rPr>
          <w:rFonts w:hint="eastAsia"/>
          <w:color w:val="000000"/>
          <w:szCs w:val="21"/>
        </w:rPr>
        <w:t>，</w:t>
      </w:r>
      <w:r>
        <w:rPr>
          <w:color w:val="000000"/>
          <w:szCs w:val="21"/>
        </w:rPr>
        <w:t>基金管理人将应退款和补款的明细数据发送给申购赎回代理券商和基金托管人，</w:t>
      </w:r>
      <w:r>
        <w:rPr>
          <w:rFonts w:hint="eastAsia"/>
          <w:color w:val="000000"/>
          <w:szCs w:val="21"/>
        </w:rPr>
        <w:t>相关款项的清算交收</w:t>
      </w:r>
      <w:r>
        <w:rPr>
          <w:color w:val="000000"/>
          <w:szCs w:val="21"/>
        </w:rPr>
        <w:t>在</w:t>
      </w:r>
      <w:r>
        <w:rPr>
          <w:rFonts w:hint="eastAsia"/>
          <w:color w:val="000000"/>
          <w:szCs w:val="21"/>
        </w:rPr>
        <w:t>此</w:t>
      </w:r>
      <w:r>
        <w:rPr>
          <w:color w:val="000000"/>
          <w:szCs w:val="21"/>
        </w:rPr>
        <w:t>后</w:t>
      </w:r>
      <w:r>
        <w:rPr>
          <w:rFonts w:hint="eastAsia"/>
          <w:color w:val="000000"/>
          <w:szCs w:val="21"/>
        </w:rPr>
        <w:t>3</w:t>
      </w:r>
      <w:r>
        <w:rPr>
          <w:color w:val="000000"/>
          <w:szCs w:val="21"/>
        </w:rPr>
        <w:t>个工作日内完成。</w:t>
      </w:r>
    </w:p>
    <w:p w14:paraId="7474351A"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必须现金替代</w:t>
      </w:r>
    </w:p>
    <w:p w14:paraId="29261E4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①</w:t>
      </w:r>
      <w:r>
        <w:rPr>
          <w:color w:val="000000"/>
          <w:szCs w:val="21"/>
        </w:rPr>
        <w:t>适用情形：必须现金替代的证券一般是因标的指数调整将被剔除、或基金管理人出于保护</w:t>
      </w:r>
      <w:r>
        <w:rPr>
          <w:rFonts w:hint="eastAsia"/>
          <w:color w:val="000000"/>
          <w:szCs w:val="21"/>
        </w:rPr>
        <w:t>基金份额</w:t>
      </w:r>
      <w:r>
        <w:rPr>
          <w:color w:val="000000"/>
          <w:szCs w:val="21"/>
        </w:rPr>
        <w:t>持有人利益原则等原因认为有必要实行必须现金替代的成份证券。</w:t>
      </w:r>
    </w:p>
    <w:p w14:paraId="36638E8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②</w:t>
      </w:r>
      <w:r>
        <w:rPr>
          <w:color w:val="000000"/>
          <w:szCs w:val="21"/>
        </w:rPr>
        <w:t>替代金额：对于必须现金替代的证券，基金管理人将在申购赎回清单中公告替代的一定数量的现金，即</w:t>
      </w:r>
      <w:r>
        <w:rPr>
          <w:color w:val="000000"/>
          <w:szCs w:val="21"/>
        </w:rPr>
        <w:t>“</w:t>
      </w:r>
      <w:r>
        <w:rPr>
          <w:color w:val="000000"/>
          <w:szCs w:val="21"/>
        </w:rPr>
        <w:t>固定替代金额</w:t>
      </w:r>
      <w:r>
        <w:rPr>
          <w:color w:val="000000"/>
          <w:szCs w:val="21"/>
        </w:rPr>
        <w:t>”</w:t>
      </w:r>
      <w:r>
        <w:rPr>
          <w:color w:val="000000"/>
          <w:szCs w:val="21"/>
        </w:rPr>
        <w:t>。固定替代金额的计算方法为申购赎回清单中该证券的数量乘以</w:t>
      </w:r>
      <w:r>
        <w:rPr>
          <w:rFonts w:hint="eastAsia"/>
          <w:color w:val="000000"/>
          <w:szCs w:val="21"/>
        </w:rPr>
        <w:t>该证券参考价格</w:t>
      </w:r>
      <w:r>
        <w:rPr>
          <w:color w:val="000000"/>
          <w:szCs w:val="21"/>
        </w:rPr>
        <w:t>。</w:t>
      </w:r>
    </w:p>
    <w:p w14:paraId="245FFF5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5</w:t>
      </w:r>
      <w:r>
        <w:rPr>
          <w:color w:val="000000"/>
          <w:szCs w:val="21"/>
        </w:rPr>
        <w:t>、预估现金差额相关内容</w:t>
      </w:r>
    </w:p>
    <w:p w14:paraId="11D30007" w14:textId="77777777" w:rsidR="00175DB4" w:rsidRDefault="000519D1">
      <w:pPr>
        <w:tabs>
          <w:tab w:val="left" w:pos="540"/>
        </w:tabs>
        <w:snapToGrid w:val="0"/>
        <w:spacing w:line="360" w:lineRule="auto"/>
        <w:ind w:firstLineChars="200" w:firstLine="420"/>
        <w:rPr>
          <w:color w:val="000000"/>
          <w:szCs w:val="21"/>
        </w:rPr>
      </w:pPr>
      <w:r>
        <w:rPr>
          <w:color w:val="000000"/>
          <w:szCs w:val="21"/>
        </w:rPr>
        <w:t xml:space="preserve">T </w:t>
      </w:r>
      <w:r>
        <w:rPr>
          <w:color w:val="000000"/>
          <w:szCs w:val="21"/>
        </w:rPr>
        <w:t>日</w:t>
      </w:r>
      <w:r>
        <w:rPr>
          <w:rFonts w:hint="eastAsia"/>
          <w:color w:val="000000"/>
          <w:szCs w:val="21"/>
        </w:rPr>
        <w:t>申购赎回清单中公布</w:t>
      </w:r>
      <w:r>
        <w:rPr>
          <w:rFonts w:hint="eastAsia"/>
          <w:color w:val="000000"/>
          <w:szCs w:val="21"/>
        </w:rPr>
        <w:t>T</w:t>
      </w:r>
      <w:r>
        <w:rPr>
          <w:color w:val="000000"/>
          <w:szCs w:val="21"/>
        </w:rPr>
        <w:t>日预估现金差额</w:t>
      </w:r>
      <w:r>
        <w:rPr>
          <w:rFonts w:hint="eastAsia"/>
          <w:color w:val="000000"/>
          <w:szCs w:val="21"/>
        </w:rPr>
        <w:t>，</w:t>
      </w:r>
      <w:r>
        <w:rPr>
          <w:color w:val="000000"/>
          <w:szCs w:val="21"/>
        </w:rPr>
        <w:t>是指由基金管理人估计的当日现金差额的估计值，预估现金差额由申购赎回代理券商预先冻结。</w:t>
      </w:r>
    </w:p>
    <w:p w14:paraId="66B4BD18" w14:textId="77777777" w:rsidR="00175DB4" w:rsidRDefault="000519D1">
      <w:pPr>
        <w:tabs>
          <w:tab w:val="left" w:pos="540"/>
        </w:tabs>
        <w:snapToGrid w:val="0"/>
        <w:spacing w:line="360" w:lineRule="auto"/>
        <w:ind w:firstLineChars="200" w:firstLine="420"/>
        <w:rPr>
          <w:color w:val="000000"/>
          <w:szCs w:val="21"/>
        </w:rPr>
      </w:pPr>
      <w:r>
        <w:rPr>
          <w:color w:val="000000"/>
          <w:szCs w:val="21"/>
        </w:rPr>
        <w:t>预估现金差额的计算公式为：</w:t>
      </w:r>
    </w:p>
    <w:p w14:paraId="3EC73688"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 xml:space="preserve">T </w:t>
      </w:r>
      <w:r>
        <w:rPr>
          <w:color w:val="000000"/>
          <w:szCs w:val="21"/>
        </w:rPr>
        <w:t>日预估现金差额＝</w:t>
      </w:r>
      <w:r>
        <w:rPr>
          <w:color w:val="000000"/>
          <w:szCs w:val="21"/>
        </w:rPr>
        <w:t xml:space="preserve">T-1 </w:t>
      </w:r>
      <w:r>
        <w:rPr>
          <w:color w:val="000000"/>
          <w:szCs w:val="21"/>
        </w:rPr>
        <w:t>日最小申购赎回单位的基金资产净值</w:t>
      </w:r>
      <w:r>
        <w:rPr>
          <w:color w:val="000000"/>
          <w:szCs w:val="21"/>
        </w:rPr>
        <w:t>-(</w:t>
      </w:r>
      <w:r>
        <w:rPr>
          <w:color w:val="000000"/>
          <w:szCs w:val="21"/>
        </w:rPr>
        <w:t>申购赎回清单中必须用现金替代的固定替代金额＋申购赎回清单中可以用现金替代成份证券的数量与</w:t>
      </w:r>
      <w:r>
        <w:rPr>
          <w:color w:val="000000"/>
          <w:szCs w:val="21"/>
        </w:rPr>
        <w:t xml:space="preserve">T </w:t>
      </w:r>
      <w:r>
        <w:rPr>
          <w:color w:val="000000"/>
          <w:szCs w:val="21"/>
        </w:rPr>
        <w:t>日经除权</w:t>
      </w:r>
      <w:r>
        <w:rPr>
          <w:rFonts w:hint="eastAsia"/>
          <w:color w:val="000000"/>
          <w:szCs w:val="21"/>
        </w:rPr>
        <w:t>除息</w:t>
      </w:r>
      <w:r>
        <w:rPr>
          <w:color w:val="000000"/>
          <w:szCs w:val="21"/>
        </w:rPr>
        <w:t>调整后的开盘参考价乘积之和＋申购赎回清单中禁止用现金替代成份证券的数量与</w:t>
      </w:r>
      <w:r>
        <w:rPr>
          <w:color w:val="000000"/>
          <w:szCs w:val="21"/>
        </w:rPr>
        <w:t xml:space="preserve">T </w:t>
      </w:r>
      <w:r>
        <w:rPr>
          <w:color w:val="000000"/>
          <w:szCs w:val="21"/>
        </w:rPr>
        <w:t>日经除权</w:t>
      </w:r>
      <w:r>
        <w:rPr>
          <w:rFonts w:hint="eastAsia"/>
          <w:color w:val="000000"/>
          <w:szCs w:val="21"/>
        </w:rPr>
        <w:t>除息</w:t>
      </w:r>
      <w:r>
        <w:rPr>
          <w:color w:val="000000"/>
          <w:szCs w:val="21"/>
        </w:rPr>
        <w:t>调整后的开盘参考价乘积之和</w:t>
      </w:r>
      <w:r>
        <w:rPr>
          <w:color w:val="000000"/>
          <w:szCs w:val="21"/>
        </w:rPr>
        <w:t xml:space="preserve">) </w:t>
      </w:r>
    </w:p>
    <w:p w14:paraId="7B83E00F" w14:textId="77777777" w:rsidR="00175DB4" w:rsidRDefault="000519D1">
      <w:pPr>
        <w:tabs>
          <w:tab w:val="left" w:pos="540"/>
        </w:tabs>
        <w:snapToGrid w:val="0"/>
        <w:spacing w:line="360" w:lineRule="auto"/>
        <w:ind w:firstLineChars="200" w:firstLine="420"/>
        <w:rPr>
          <w:color w:val="000000"/>
          <w:szCs w:val="21"/>
        </w:rPr>
      </w:pPr>
      <w:r>
        <w:rPr>
          <w:color w:val="000000"/>
          <w:szCs w:val="21"/>
        </w:rPr>
        <w:t>其中，</w:t>
      </w:r>
      <w:r>
        <w:rPr>
          <w:color w:val="000000"/>
          <w:szCs w:val="21"/>
        </w:rPr>
        <w:t xml:space="preserve">T </w:t>
      </w:r>
      <w:r>
        <w:rPr>
          <w:color w:val="000000"/>
          <w:szCs w:val="21"/>
        </w:rPr>
        <w:t>日经除权</w:t>
      </w:r>
      <w:r>
        <w:rPr>
          <w:rFonts w:hint="eastAsia"/>
          <w:color w:val="000000"/>
          <w:szCs w:val="21"/>
        </w:rPr>
        <w:t>除息</w:t>
      </w:r>
      <w:r>
        <w:rPr>
          <w:color w:val="000000"/>
          <w:szCs w:val="21"/>
        </w:rPr>
        <w:t>调整后的开盘参考</w:t>
      </w:r>
      <w:proofErr w:type="gramStart"/>
      <w:r>
        <w:rPr>
          <w:color w:val="000000"/>
          <w:szCs w:val="21"/>
        </w:rPr>
        <w:t>价主要</w:t>
      </w:r>
      <w:proofErr w:type="gramEnd"/>
      <w:r>
        <w:rPr>
          <w:color w:val="000000"/>
          <w:szCs w:val="21"/>
        </w:rPr>
        <w:t>根据</w:t>
      </w:r>
      <w:r>
        <w:rPr>
          <w:rFonts w:hint="eastAsia"/>
          <w:szCs w:val="21"/>
        </w:rPr>
        <w:t>指数编制方提供的标的指数成份证券的调整后开盘参考价确定</w:t>
      </w:r>
      <w:r>
        <w:rPr>
          <w:color w:val="000000"/>
          <w:szCs w:val="21"/>
        </w:rPr>
        <w:t>。另外，若</w:t>
      </w:r>
      <w:r>
        <w:rPr>
          <w:color w:val="000000"/>
          <w:szCs w:val="21"/>
        </w:rPr>
        <w:t xml:space="preserve">T </w:t>
      </w:r>
      <w:r>
        <w:rPr>
          <w:color w:val="000000"/>
          <w:szCs w:val="21"/>
        </w:rPr>
        <w:t>日为基金分红除息日，则计算公式中的</w:t>
      </w:r>
      <w:r>
        <w:rPr>
          <w:color w:val="000000"/>
          <w:szCs w:val="21"/>
        </w:rPr>
        <w:t xml:space="preserve">“T-1 </w:t>
      </w:r>
      <w:r>
        <w:rPr>
          <w:color w:val="000000"/>
          <w:szCs w:val="21"/>
        </w:rPr>
        <w:t>日最小申购、赎回单位的基金资产净值</w:t>
      </w:r>
      <w:r>
        <w:rPr>
          <w:color w:val="000000"/>
          <w:szCs w:val="21"/>
        </w:rPr>
        <w:t>”</w:t>
      </w:r>
      <w:r>
        <w:rPr>
          <w:color w:val="000000"/>
          <w:szCs w:val="21"/>
        </w:rPr>
        <w:t>需扣减相应的收益分配数额。预估现金差额的数值可能为正、为负或为零。</w:t>
      </w:r>
    </w:p>
    <w:p w14:paraId="0D37ABC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6</w:t>
      </w:r>
      <w:r>
        <w:rPr>
          <w:color w:val="000000"/>
          <w:szCs w:val="21"/>
        </w:rPr>
        <w:t>、现金差额相关内容</w:t>
      </w:r>
    </w:p>
    <w:p w14:paraId="2BC64677" w14:textId="77777777" w:rsidR="00175DB4" w:rsidRDefault="000519D1">
      <w:pPr>
        <w:tabs>
          <w:tab w:val="left" w:pos="540"/>
        </w:tabs>
        <w:snapToGrid w:val="0"/>
        <w:spacing w:line="360" w:lineRule="auto"/>
        <w:ind w:firstLineChars="200" w:firstLine="420"/>
        <w:rPr>
          <w:color w:val="000000"/>
          <w:szCs w:val="21"/>
        </w:rPr>
      </w:pPr>
      <w:r>
        <w:rPr>
          <w:color w:val="000000"/>
          <w:szCs w:val="21"/>
        </w:rPr>
        <w:t xml:space="preserve">T </w:t>
      </w:r>
      <w:r>
        <w:rPr>
          <w:color w:val="000000"/>
          <w:szCs w:val="21"/>
        </w:rPr>
        <w:t>日</w:t>
      </w:r>
      <w:r>
        <w:rPr>
          <w:rFonts w:hint="eastAsia"/>
          <w:color w:val="000000"/>
          <w:szCs w:val="21"/>
        </w:rPr>
        <w:t>申购赎回清单中公布</w:t>
      </w:r>
      <w:r>
        <w:rPr>
          <w:color w:val="000000"/>
          <w:szCs w:val="21"/>
        </w:rPr>
        <w:t xml:space="preserve">T-1 </w:t>
      </w:r>
      <w:r>
        <w:rPr>
          <w:color w:val="000000"/>
          <w:szCs w:val="21"/>
        </w:rPr>
        <w:t>日现金差额，其计算公式为：</w:t>
      </w:r>
    </w:p>
    <w:p w14:paraId="708A1426" w14:textId="77777777" w:rsidR="00175DB4" w:rsidRDefault="000519D1">
      <w:pPr>
        <w:tabs>
          <w:tab w:val="left" w:pos="540"/>
        </w:tabs>
        <w:snapToGrid w:val="0"/>
        <w:spacing w:line="360" w:lineRule="auto"/>
        <w:ind w:firstLineChars="200" w:firstLine="420"/>
        <w:rPr>
          <w:color w:val="000000"/>
          <w:szCs w:val="21"/>
        </w:rPr>
      </w:pPr>
      <w:r>
        <w:rPr>
          <w:color w:val="000000"/>
          <w:szCs w:val="21"/>
        </w:rPr>
        <w:t>T -1</w:t>
      </w:r>
      <w:r>
        <w:rPr>
          <w:color w:val="000000"/>
          <w:szCs w:val="21"/>
        </w:rPr>
        <w:t>日现金差额＝</w:t>
      </w:r>
      <w:r>
        <w:rPr>
          <w:color w:val="000000"/>
          <w:szCs w:val="21"/>
        </w:rPr>
        <w:t>T -1</w:t>
      </w:r>
      <w:r>
        <w:rPr>
          <w:color w:val="000000"/>
          <w:szCs w:val="21"/>
        </w:rPr>
        <w:t>日最小申购赎回单位的资产净值</w:t>
      </w:r>
      <w:r>
        <w:rPr>
          <w:color w:val="000000"/>
          <w:szCs w:val="21"/>
        </w:rPr>
        <w:t>-(</w:t>
      </w:r>
      <w:r>
        <w:rPr>
          <w:color w:val="000000"/>
          <w:szCs w:val="21"/>
        </w:rPr>
        <w:t>申购赎回清单中必须用现金替代的固定替代金额＋申购赎回清单中可以用现金替代成份证券的数量与</w:t>
      </w:r>
      <w:r>
        <w:rPr>
          <w:color w:val="000000"/>
          <w:szCs w:val="21"/>
        </w:rPr>
        <w:t xml:space="preserve">T-1 </w:t>
      </w:r>
      <w:r>
        <w:rPr>
          <w:color w:val="000000"/>
          <w:szCs w:val="21"/>
        </w:rPr>
        <w:t>日收盘价乘积之和＋申购赎回清单中禁止用现金替代成份证券的数量与</w:t>
      </w:r>
      <w:r>
        <w:rPr>
          <w:color w:val="000000"/>
          <w:szCs w:val="21"/>
        </w:rPr>
        <w:t xml:space="preserve">T-1 </w:t>
      </w:r>
      <w:r>
        <w:rPr>
          <w:color w:val="000000"/>
          <w:szCs w:val="21"/>
        </w:rPr>
        <w:t>日收盘价乘积之和</w:t>
      </w:r>
      <w:r>
        <w:rPr>
          <w:color w:val="000000"/>
          <w:szCs w:val="21"/>
        </w:rPr>
        <w:t xml:space="preserve">) </w:t>
      </w:r>
    </w:p>
    <w:p w14:paraId="7C33FC99" w14:textId="77777777" w:rsidR="00175DB4" w:rsidRDefault="000519D1">
      <w:pPr>
        <w:tabs>
          <w:tab w:val="left" w:pos="540"/>
        </w:tabs>
        <w:snapToGrid w:val="0"/>
        <w:spacing w:line="360" w:lineRule="auto"/>
        <w:ind w:firstLineChars="200" w:firstLine="420"/>
        <w:rPr>
          <w:color w:val="000000"/>
          <w:szCs w:val="21"/>
        </w:rPr>
      </w:pPr>
      <w:r>
        <w:rPr>
          <w:color w:val="000000"/>
          <w:szCs w:val="21"/>
        </w:rPr>
        <w:t>T -1</w:t>
      </w:r>
      <w:r>
        <w:rPr>
          <w:color w:val="000000"/>
          <w:szCs w:val="21"/>
        </w:rPr>
        <w:t>日投资人申购、赎回基金份额</w:t>
      </w:r>
      <w:r>
        <w:rPr>
          <w:rFonts w:hint="eastAsia"/>
          <w:color w:val="000000"/>
          <w:szCs w:val="21"/>
        </w:rPr>
        <w:t>后</w:t>
      </w:r>
      <w:r>
        <w:rPr>
          <w:color w:val="000000"/>
          <w:szCs w:val="21"/>
        </w:rPr>
        <w:t>，需按</w:t>
      </w:r>
      <w:r>
        <w:rPr>
          <w:color w:val="000000"/>
          <w:szCs w:val="21"/>
        </w:rPr>
        <w:t>T</w:t>
      </w:r>
      <w:r>
        <w:rPr>
          <w:color w:val="000000"/>
          <w:szCs w:val="21"/>
        </w:rPr>
        <w:t>日公告的</w:t>
      </w:r>
      <w:r>
        <w:rPr>
          <w:color w:val="000000"/>
          <w:szCs w:val="21"/>
        </w:rPr>
        <w:t xml:space="preserve">T-1 </w:t>
      </w:r>
      <w:r>
        <w:rPr>
          <w:color w:val="000000"/>
          <w:szCs w:val="21"/>
        </w:rPr>
        <w:t>日现金差额进行资金的清算交收。</w:t>
      </w:r>
    </w:p>
    <w:p w14:paraId="716E7117" w14:textId="77777777" w:rsidR="00175DB4" w:rsidRDefault="000519D1">
      <w:pPr>
        <w:tabs>
          <w:tab w:val="left" w:pos="540"/>
        </w:tabs>
        <w:snapToGrid w:val="0"/>
        <w:spacing w:line="360" w:lineRule="auto"/>
        <w:ind w:firstLineChars="200" w:firstLine="420"/>
        <w:rPr>
          <w:color w:val="000000"/>
          <w:szCs w:val="21"/>
        </w:rPr>
      </w:pPr>
      <w:r>
        <w:rPr>
          <w:color w:val="000000"/>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34F574C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7</w:t>
      </w:r>
      <w:r>
        <w:rPr>
          <w:color w:val="000000"/>
          <w:szCs w:val="21"/>
        </w:rPr>
        <w:t>、申购赎回清单的格式</w:t>
      </w:r>
    </w:p>
    <w:p w14:paraId="478D7552" w14:textId="77777777" w:rsidR="00175DB4" w:rsidRDefault="000519D1">
      <w:pPr>
        <w:tabs>
          <w:tab w:val="left" w:pos="540"/>
        </w:tabs>
        <w:snapToGrid w:val="0"/>
        <w:spacing w:line="360" w:lineRule="auto"/>
        <w:ind w:firstLineChars="200" w:firstLine="420"/>
        <w:rPr>
          <w:color w:val="000000"/>
          <w:szCs w:val="21"/>
        </w:rPr>
      </w:pPr>
      <w:r>
        <w:rPr>
          <w:color w:val="000000"/>
          <w:szCs w:val="21"/>
        </w:rPr>
        <w:t>T</w:t>
      </w:r>
      <w:r>
        <w:rPr>
          <w:color w:val="000000"/>
          <w:szCs w:val="21"/>
        </w:rPr>
        <w:t>日申购赎回清单的格式举例如下：</w:t>
      </w:r>
    </w:p>
    <w:tbl>
      <w:tblPr>
        <w:tblW w:w="0" w:type="auto"/>
        <w:tblInd w:w="93" w:type="dxa"/>
        <w:tblLayout w:type="fixed"/>
        <w:tblLook w:val="04A0" w:firstRow="1" w:lastRow="0" w:firstColumn="1" w:lastColumn="0" w:noHBand="0" w:noVBand="1"/>
      </w:tblPr>
      <w:tblGrid>
        <w:gridCol w:w="3964"/>
        <w:gridCol w:w="4288"/>
      </w:tblGrid>
      <w:tr w:rsidR="00175DB4" w:rsidRPr="008647F5" w14:paraId="14D6BE17" w14:textId="77777777">
        <w:trPr>
          <w:trHeight w:val="495"/>
        </w:trPr>
        <w:tc>
          <w:tcPr>
            <w:tcW w:w="825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8DA96C5" w14:textId="77777777" w:rsidR="00175DB4" w:rsidRPr="008647F5" w:rsidRDefault="000519D1">
            <w:pPr>
              <w:spacing w:line="360" w:lineRule="auto"/>
              <w:rPr>
                <w:rFonts w:ascii="宋体" w:hAnsi="宋体" w:cs="宋体"/>
                <w:b/>
                <w:bCs/>
                <w:color w:val="000000"/>
                <w:kern w:val="0"/>
                <w:szCs w:val="21"/>
              </w:rPr>
            </w:pPr>
            <w:r w:rsidRPr="008647F5">
              <w:rPr>
                <w:rFonts w:ascii="宋体" w:hAnsi="宋体" w:cs="宋体" w:hint="eastAsia"/>
                <w:b/>
                <w:bCs/>
                <w:color w:val="000000"/>
                <w:kern w:val="0"/>
                <w:szCs w:val="21"/>
              </w:rPr>
              <w:t>基本信息</w:t>
            </w:r>
          </w:p>
        </w:tc>
      </w:tr>
      <w:tr w:rsidR="00175DB4" w:rsidRPr="008647F5" w14:paraId="1575D9E1"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0D472684"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基金名称：</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7D9D453B"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14663AA0"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65344083"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基金管理公司名称：</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209BCF23"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2BDED78D"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30E3B57D"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基金代码：</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2AB63A14"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07A82636"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1EFFFE3D" w14:textId="77777777" w:rsidR="00175DB4" w:rsidRPr="00255AAF" w:rsidRDefault="000519D1">
            <w:pPr>
              <w:widowControl/>
              <w:spacing w:line="360" w:lineRule="auto"/>
              <w:jc w:val="left"/>
              <w:rPr>
                <w:rFonts w:ascii="宋体" w:hAnsi="宋体" w:cs="宋体"/>
                <w:color w:val="000000"/>
                <w:kern w:val="0"/>
                <w:szCs w:val="21"/>
                <w:lang w:eastAsia="zh-Hans"/>
              </w:rPr>
            </w:pPr>
            <w:r w:rsidRPr="00255AAF">
              <w:rPr>
                <w:rFonts w:ascii="宋体" w:hAnsi="宋体" w:cs="宋体" w:hint="eastAsia"/>
                <w:color w:val="000000"/>
                <w:kern w:val="0"/>
                <w:szCs w:val="21"/>
                <w:lang w:eastAsia="zh-Hans"/>
              </w:rPr>
              <w:t>目标指数代码</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5DC91E9C"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407D0592"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8CE896F"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lang w:eastAsia="zh-Hans"/>
              </w:rPr>
              <w:t>基金类型</w:t>
            </w:r>
            <w:r w:rsidRPr="00255AAF">
              <w:rPr>
                <w:rFonts w:ascii="宋体" w:hAnsi="宋体" w:cs="宋体"/>
                <w:color w:val="000000"/>
                <w:kern w:val="0"/>
                <w:szCs w:val="21"/>
                <w:lang w:eastAsia="zh-Hans"/>
              </w:rPr>
              <w:t>：</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067B3A6C" w14:textId="77777777" w:rsidR="00175DB4" w:rsidRPr="00255AAF" w:rsidRDefault="00175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Cs w:val="21"/>
              </w:rPr>
            </w:pPr>
          </w:p>
        </w:tc>
      </w:tr>
      <w:tr w:rsidR="00175DB4" w:rsidRPr="008647F5" w14:paraId="46481F2C" w14:textId="77777777">
        <w:trPr>
          <w:trHeight w:val="285"/>
        </w:trPr>
        <w:tc>
          <w:tcPr>
            <w:tcW w:w="825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74B7EB2" w14:textId="77777777" w:rsidR="00175DB4" w:rsidRPr="00255AAF" w:rsidRDefault="000519D1">
            <w:pPr>
              <w:widowControl/>
              <w:spacing w:line="360" w:lineRule="auto"/>
              <w:jc w:val="center"/>
              <w:rPr>
                <w:rFonts w:ascii="宋体" w:hAnsi="宋体" w:cs="宋体"/>
                <w:b/>
                <w:bCs/>
                <w:color w:val="000000"/>
                <w:kern w:val="0"/>
                <w:szCs w:val="21"/>
              </w:rPr>
            </w:pPr>
            <w:r w:rsidRPr="00255AAF">
              <w:rPr>
                <w:rFonts w:ascii="宋体" w:hAnsi="宋体" w:cs="宋体"/>
                <w:b/>
                <w:bCs/>
                <w:color w:val="000000"/>
                <w:kern w:val="0"/>
                <w:szCs w:val="21"/>
              </w:rPr>
              <w:t>T-1日信息内容</w:t>
            </w:r>
          </w:p>
        </w:tc>
      </w:tr>
      <w:tr w:rsidR="00175DB4" w:rsidRPr="008647F5" w14:paraId="0054F773"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7E0B0C7"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现金差额：</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tcPr>
          <w:p w14:paraId="61EA9B4E"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720641C8"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6A5B0C5"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最小申购、赎回单位资产净值：</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tcPr>
          <w:p w14:paraId="2D7B6609"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0AF012EC"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75167FAD"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基金份额净值：</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tcPr>
          <w:p w14:paraId="7B2D10F2"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5F2CC00C" w14:textId="77777777">
        <w:trPr>
          <w:trHeight w:val="285"/>
        </w:trPr>
        <w:tc>
          <w:tcPr>
            <w:tcW w:w="825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71296B7" w14:textId="77777777" w:rsidR="00175DB4" w:rsidRPr="00255AAF" w:rsidRDefault="000519D1">
            <w:pPr>
              <w:widowControl/>
              <w:spacing w:line="360" w:lineRule="auto"/>
              <w:jc w:val="center"/>
              <w:rPr>
                <w:rFonts w:ascii="宋体" w:hAnsi="宋体" w:cs="宋体"/>
                <w:b/>
                <w:bCs/>
                <w:color w:val="000000"/>
                <w:kern w:val="0"/>
                <w:szCs w:val="21"/>
              </w:rPr>
            </w:pPr>
            <w:r w:rsidRPr="00255AAF">
              <w:rPr>
                <w:rFonts w:ascii="宋体" w:hAnsi="宋体" w:cs="宋体"/>
                <w:b/>
                <w:bCs/>
                <w:color w:val="000000"/>
                <w:kern w:val="0"/>
                <w:szCs w:val="21"/>
              </w:rPr>
              <w:lastRenderedPageBreak/>
              <w:t>T日信息内容</w:t>
            </w:r>
          </w:p>
        </w:tc>
      </w:tr>
      <w:tr w:rsidR="00175DB4" w:rsidRPr="008647F5" w14:paraId="170545A6"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2D076D5"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预估现金差额：</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226BA77E"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45B00B73"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404D9F9C"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可以现金替代比例上限：</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7CF10740"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2EA0599E"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0DB41585"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是否需要公布</w:t>
            </w:r>
            <w:r w:rsidRPr="00255AAF">
              <w:rPr>
                <w:rFonts w:ascii="宋体" w:hAnsi="宋体" w:cs="宋体"/>
                <w:color w:val="000000"/>
                <w:kern w:val="0"/>
                <w:szCs w:val="21"/>
              </w:rPr>
              <w:t xml:space="preserve">IOPV：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50AA4185"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52663628"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89AD51E"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最小申购、赎回单位：</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46EECE1E"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6EF9D15D"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36386D88"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最小申购赎回单位现金红利：</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2DCEBB72"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3B0437BD"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00E1CB89"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本市场申购赎回组合证券只数：</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7149E5DD"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7C3FD3EC"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2BDB149E"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lang w:eastAsia="zh-Hans"/>
              </w:rPr>
              <w:t>全部</w:t>
            </w:r>
            <w:r w:rsidRPr="00255AAF">
              <w:rPr>
                <w:rFonts w:ascii="宋体" w:hAnsi="宋体" w:cs="宋体" w:hint="eastAsia"/>
                <w:color w:val="000000"/>
                <w:kern w:val="0"/>
                <w:szCs w:val="21"/>
              </w:rPr>
              <w:t>申购赎回组合证券只数：</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0EB2CBC4"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7C97AA14"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37B20E01"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是否开放申购：</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44D00D36"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2C4346BE"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6164BCD2"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是否开放赎回：</w:t>
            </w:r>
            <w:r w:rsidRPr="00255AAF">
              <w:rPr>
                <w:rFonts w:ascii="宋体" w:hAnsi="宋体" w:cs="宋体"/>
                <w:color w:val="000000"/>
                <w:kern w:val="0"/>
                <w:szCs w:val="21"/>
              </w:rPr>
              <w:t xml:space="preserve"> </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70ACB25B"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7B23D444"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2BFDC044"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当天净申购的基金份额上限：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40C5B0FE"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60EDB659"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2893264C"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当天净赎回的基金份额上限：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3030F32C"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40495908"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1A796C98"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单个证券账户当天净申购的基金份额上限：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3F47CB26"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1527BFC2"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58E954C8"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rPr>
              <w:t>单个证券账户当天净赎回的基金份额上限：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0A66646F"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12EA8005"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30F42941"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lang w:eastAsia="zh-Hans"/>
              </w:rPr>
              <w:t>当天累计可申购的基金份额上限：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21DF69CC"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68EA1A85"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493DE92D"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lang w:eastAsia="zh-Hans"/>
              </w:rPr>
              <w:t>当天累计可赎回的基金份额上限：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67274760"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646DFD11"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780848B0" w14:textId="77777777" w:rsidR="00175DB4" w:rsidRPr="00255AAF" w:rsidRDefault="000519D1">
            <w:pPr>
              <w:widowControl/>
              <w:spacing w:line="360" w:lineRule="auto"/>
              <w:jc w:val="left"/>
              <w:rPr>
                <w:rFonts w:ascii="宋体" w:hAnsi="宋体" w:cs="宋体"/>
                <w:color w:val="000000"/>
                <w:kern w:val="0"/>
                <w:szCs w:val="21"/>
                <w:lang w:eastAsia="zh-Hans"/>
              </w:rPr>
            </w:pPr>
            <w:r w:rsidRPr="00255AAF">
              <w:rPr>
                <w:rFonts w:ascii="宋体" w:hAnsi="宋体" w:cs="宋体" w:hint="eastAsia"/>
                <w:color w:val="000000"/>
                <w:kern w:val="0"/>
                <w:szCs w:val="21"/>
                <w:lang w:eastAsia="zh-Hans"/>
              </w:rPr>
              <w:t>单个证券账户当天累计可申购的基金份额上限：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70D9891C" w14:textId="77777777" w:rsidR="00175DB4" w:rsidRPr="00255AAF" w:rsidRDefault="00175DB4">
            <w:pPr>
              <w:widowControl/>
              <w:spacing w:line="360" w:lineRule="auto"/>
              <w:jc w:val="left"/>
              <w:rPr>
                <w:rFonts w:ascii="宋体" w:hAnsi="宋体" w:cs="宋体"/>
                <w:color w:val="000000"/>
                <w:kern w:val="0"/>
                <w:szCs w:val="21"/>
              </w:rPr>
            </w:pPr>
          </w:p>
        </w:tc>
      </w:tr>
      <w:tr w:rsidR="00175DB4" w:rsidRPr="008647F5" w14:paraId="02A449C8" w14:textId="77777777">
        <w:trPr>
          <w:trHeight w:val="285"/>
        </w:trPr>
        <w:tc>
          <w:tcPr>
            <w:tcW w:w="3964" w:type="dxa"/>
            <w:tcBorders>
              <w:top w:val="single" w:sz="8" w:space="0" w:color="auto"/>
              <w:left w:val="single" w:sz="8" w:space="0" w:color="auto"/>
              <w:bottom w:val="single" w:sz="8" w:space="0" w:color="auto"/>
              <w:right w:val="single" w:sz="8" w:space="0" w:color="000000"/>
            </w:tcBorders>
            <w:shd w:val="clear" w:color="auto" w:fill="auto"/>
            <w:vAlign w:val="center"/>
          </w:tcPr>
          <w:p w14:paraId="6A9265CA" w14:textId="77777777" w:rsidR="00175DB4" w:rsidRPr="00255AAF" w:rsidRDefault="000519D1">
            <w:pPr>
              <w:widowControl/>
              <w:spacing w:line="360" w:lineRule="auto"/>
              <w:jc w:val="left"/>
              <w:rPr>
                <w:rFonts w:ascii="宋体" w:hAnsi="宋体" w:cs="宋体"/>
                <w:color w:val="000000"/>
                <w:kern w:val="0"/>
                <w:szCs w:val="21"/>
              </w:rPr>
            </w:pPr>
            <w:r w:rsidRPr="00255AAF">
              <w:rPr>
                <w:rFonts w:ascii="宋体" w:hAnsi="宋体" w:cs="宋体" w:hint="eastAsia"/>
                <w:color w:val="000000"/>
                <w:kern w:val="0"/>
                <w:szCs w:val="21"/>
                <w:lang w:eastAsia="zh-Hans"/>
              </w:rPr>
              <w:t>单个证券账户当天累计可赎回的基金份额上限：</w:t>
            </w:r>
          </w:p>
        </w:tc>
        <w:tc>
          <w:tcPr>
            <w:tcW w:w="4288" w:type="dxa"/>
            <w:tcBorders>
              <w:top w:val="single" w:sz="8" w:space="0" w:color="auto"/>
              <w:left w:val="nil"/>
              <w:bottom w:val="single" w:sz="8" w:space="0" w:color="auto"/>
              <w:right w:val="single" w:sz="8" w:space="0" w:color="000000"/>
            </w:tcBorders>
            <w:shd w:val="clear" w:color="auto" w:fill="auto"/>
            <w:vAlign w:val="center"/>
          </w:tcPr>
          <w:p w14:paraId="0D57F6D0" w14:textId="77777777" w:rsidR="00175DB4" w:rsidRPr="00255AAF" w:rsidRDefault="00175DB4">
            <w:pPr>
              <w:widowControl/>
              <w:spacing w:line="360" w:lineRule="auto"/>
              <w:jc w:val="left"/>
              <w:rPr>
                <w:rFonts w:ascii="宋体" w:hAnsi="宋体" w:cs="宋体"/>
                <w:color w:val="000000"/>
                <w:kern w:val="0"/>
                <w:szCs w:val="21"/>
              </w:rPr>
            </w:pPr>
          </w:p>
        </w:tc>
      </w:tr>
    </w:tbl>
    <w:p w14:paraId="73AF2451" w14:textId="77777777" w:rsidR="00175DB4" w:rsidRDefault="00175DB4">
      <w:pPr>
        <w:spacing w:line="360" w:lineRule="auto"/>
        <w:rPr>
          <w:color w:val="000000"/>
          <w:szCs w:val="21"/>
        </w:rPr>
      </w:pPr>
    </w:p>
    <w:tbl>
      <w:tblPr>
        <w:tblW w:w="8946" w:type="dxa"/>
        <w:tblInd w:w="93" w:type="dxa"/>
        <w:tblLayout w:type="fixed"/>
        <w:tblLook w:val="04A0" w:firstRow="1" w:lastRow="0" w:firstColumn="1" w:lastColumn="0" w:noHBand="0" w:noVBand="1"/>
      </w:tblPr>
      <w:tblGrid>
        <w:gridCol w:w="1149"/>
        <w:gridCol w:w="1418"/>
        <w:gridCol w:w="821"/>
        <w:gridCol w:w="1296"/>
        <w:gridCol w:w="728"/>
        <w:gridCol w:w="962"/>
        <w:gridCol w:w="768"/>
        <w:gridCol w:w="962"/>
        <w:gridCol w:w="842"/>
      </w:tblGrid>
      <w:tr w:rsidR="00175DB4" w:rsidRPr="008647F5" w14:paraId="2AFD9645" w14:textId="77777777" w:rsidTr="00D41605">
        <w:trPr>
          <w:trHeight w:val="285"/>
        </w:trPr>
        <w:tc>
          <w:tcPr>
            <w:tcW w:w="8946"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14:paraId="21112D25" w14:textId="77777777" w:rsidR="00175DB4" w:rsidRPr="00255AAF" w:rsidRDefault="000519D1">
            <w:pPr>
              <w:widowControl/>
              <w:spacing w:line="360" w:lineRule="auto"/>
              <w:jc w:val="center"/>
              <w:rPr>
                <w:rFonts w:ascii="宋体" w:hAnsi="宋体" w:cs="宋体"/>
                <w:b/>
                <w:bCs/>
                <w:color w:val="000000"/>
                <w:kern w:val="0"/>
                <w:szCs w:val="21"/>
              </w:rPr>
            </w:pPr>
            <w:r w:rsidRPr="00255AAF">
              <w:rPr>
                <w:rFonts w:ascii="宋体" w:hAnsi="宋体" w:cs="宋体" w:hint="eastAsia"/>
                <w:b/>
                <w:bCs/>
                <w:color w:val="000000"/>
                <w:kern w:val="0"/>
                <w:szCs w:val="21"/>
              </w:rPr>
              <w:t>组合信息内容</w:t>
            </w:r>
          </w:p>
        </w:tc>
      </w:tr>
      <w:tr w:rsidR="00175DB4" w:rsidRPr="008647F5" w14:paraId="07F90518" w14:textId="77777777" w:rsidTr="00D41605">
        <w:trPr>
          <w:trHeight w:val="525"/>
        </w:trPr>
        <w:tc>
          <w:tcPr>
            <w:tcW w:w="1149" w:type="dxa"/>
            <w:tcBorders>
              <w:top w:val="nil"/>
              <w:left w:val="single" w:sz="8" w:space="0" w:color="auto"/>
              <w:bottom w:val="single" w:sz="8" w:space="0" w:color="auto"/>
              <w:right w:val="single" w:sz="8" w:space="0" w:color="auto"/>
            </w:tcBorders>
            <w:shd w:val="clear" w:color="auto" w:fill="auto"/>
            <w:vAlign w:val="center"/>
          </w:tcPr>
          <w:p w14:paraId="5D7AA6E3"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rPr>
              <w:t>证券代码</w:t>
            </w:r>
          </w:p>
        </w:tc>
        <w:tc>
          <w:tcPr>
            <w:tcW w:w="1418" w:type="dxa"/>
            <w:tcBorders>
              <w:top w:val="nil"/>
              <w:left w:val="nil"/>
              <w:bottom w:val="single" w:sz="8" w:space="0" w:color="auto"/>
              <w:right w:val="single" w:sz="8" w:space="0" w:color="auto"/>
            </w:tcBorders>
            <w:shd w:val="clear" w:color="auto" w:fill="auto"/>
            <w:vAlign w:val="center"/>
          </w:tcPr>
          <w:p w14:paraId="456139CA"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rPr>
              <w:t>证券简称</w:t>
            </w:r>
          </w:p>
        </w:tc>
        <w:tc>
          <w:tcPr>
            <w:tcW w:w="821" w:type="dxa"/>
            <w:tcBorders>
              <w:top w:val="nil"/>
              <w:left w:val="nil"/>
              <w:bottom w:val="single" w:sz="8" w:space="0" w:color="auto"/>
              <w:right w:val="single" w:sz="8" w:space="0" w:color="auto"/>
            </w:tcBorders>
            <w:shd w:val="clear" w:color="auto" w:fill="auto"/>
            <w:vAlign w:val="center"/>
          </w:tcPr>
          <w:p w14:paraId="3DF2E6BB"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rPr>
              <w:t>股票数量</w:t>
            </w:r>
          </w:p>
        </w:tc>
        <w:tc>
          <w:tcPr>
            <w:tcW w:w="1296" w:type="dxa"/>
            <w:tcBorders>
              <w:top w:val="nil"/>
              <w:left w:val="nil"/>
              <w:bottom w:val="single" w:sz="8" w:space="0" w:color="auto"/>
              <w:right w:val="single" w:sz="8" w:space="0" w:color="auto"/>
            </w:tcBorders>
            <w:shd w:val="clear" w:color="auto" w:fill="auto"/>
            <w:vAlign w:val="center"/>
          </w:tcPr>
          <w:p w14:paraId="2A8A6070"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rPr>
              <w:t>现金替代标志</w:t>
            </w:r>
          </w:p>
        </w:tc>
        <w:tc>
          <w:tcPr>
            <w:tcW w:w="728" w:type="dxa"/>
            <w:tcBorders>
              <w:top w:val="nil"/>
              <w:left w:val="nil"/>
              <w:bottom w:val="single" w:sz="8" w:space="0" w:color="auto"/>
              <w:right w:val="single" w:sz="8" w:space="0" w:color="auto"/>
            </w:tcBorders>
            <w:shd w:val="clear" w:color="auto" w:fill="auto"/>
            <w:vAlign w:val="center"/>
          </w:tcPr>
          <w:p w14:paraId="19A26DA0"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lang w:eastAsia="zh-Hans"/>
              </w:rPr>
              <w:t>申购现金替代</w:t>
            </w:r>
            <w:r w:rsidRPr="00255AAF">
              <w:rPr>
                <w:rFonts w:ascii="宋体" w:hAnsi="宋体" w:cs="宋体" w:hint="eastAsia"/>
                <w:color w:val="000000"/>
                <w:kern w:val="0"/>
                <w:szCs w:val="21"/>
                <w:lang w:eastAsia="zh-Hans"/>
              </w:rPr>
              <w:lastRenderedPageBreak/>
              <w:t>保证金率</w:t>
            </w:r>
          </w:p>
        </w:tc>
        <w:tc>
          <w:tcPr>
            <w:tcW w:w="962" w:type="dxa"/>
            <w:tcBorders>
              <w:top w:val="nil"/>
              <w:left w:val="nil"/>
              <w:bottom w:val="single" w:sz="8" w:space="0" w:color="auto"/>
              <w:right w:val="single" w:sz="8" w:space="0" w:color="auto"/>
            </w:tcBorders>
            <w:shd w:val="clear" w:color="auto" w:fill="auto"/>
            <w:vAlign w:val="center"/>
          </w:tcPr>
          <w:p w14:paraId="07544ACD" w14:textId="77777777" w:rsidR="00175DB4" w:rsidRPr="00255AAF" w:rsidRDefault="000519D1">
            <w:pPr>
              <w:widowControl/>
              <w:spacing w:line="360" w:lineRule="auto"/>
              <w:jc w:val="center"/>
              <w:rPr>
                <w:rFonts w:ascii="宋体" w:hAnsi="宋体" w:cs="宋体"/>
                <w:color w:val="000000"/>
                <w:kern w:val="0"/>
                <w:szCs w:val="21"/>
                <w:lang w:eastAsia="zh-Hans"/>
              </w:rPr>
            </w:pPr>
            <w:r w:rsidRPr="00255AAF">
              <w:rPr>
                <w:rFonts w:ascii="宋体" w:hAnsi="宋体" w:cs="宋体" w:hint="eastAsia"/>
                <w:color w:val="000000"/>
                <w:kern w:val="0"/>
                <w:szCs w:val="21"/>
                <w:lang w:eastAsia="zh-Hans"/>
              </w:rPr>
              <w:lastRenderedPageBreak/>
              <w:t>赎回现金替代保证金率</w:t>
            </w:r>
          </w:p>
        </w:tc>
        <w:tc>
          <w:tcPr>
            <w:tcW w:w="768" w:type="dxa"/>
            <w:tcBorders>
              <w:top w:val="nil"/>
              <w:left w:val="nil"/>
              <w:bottom w:val="single" w:sz="8" w:space="0" w:color="auto"/>
              <w:right w:val="single" w:sz="8" w:space="0" w:color="auto"/>
            </w:tcBorders>
            <w:shd w:val="clear" w:color="auto" w:fill="auto"/>
            <w:vAlign w:val="center"/>
          </w:tcPr>
          <w:p w14:paraId="47C64C60" w14:textId="77777777" w:rsidR="00175DB4" w:rsidRPr="00255AAF" w:rsidRDefault="000519D1">
            <w:pPr>
              <w:widowControl/>
              <w:spacing w:line="360" w:lineRule="auto"/>
              <w:jc w:val="center"/>
              <w:rPr>
                <w:rFonts w:ascii="宋体" w:hAnsi="宋体" w:cs="宋体"/>
                <w:color w:val="000000"/>
                <w:kern w:val="0"/>
                <w:szCs w:val="21"/>
              </w:rPr>
            </w:pPr>
            <w:r w:rsidRPr="00255AAF">
              <w:rPr>
                <w:rFonts w:ascii="宋体" w:hAnsi="宋体" w:cs="宋体" w:hint="eastAsia"/>
                <w:color w:val="000000"/>
                <w:kern w:val="0"/>
                <w:szCs w:val="21"/>
                <w:lang w:eastAsia="zh-Hans"/>
              </w:rPr>
              <w:t>申购</w:t>
            </w:r>
            <w:r w:rsidRPr="00255AAF">
              <w:rPr>
                <w:rFonts w:ascii="宋体" w:hAnsi="宋体" w:cs="宋体" w:hint="eastAsia"/>
                <w:color w:val="000000"/>
                <w:kern w:val="0"/>
                <w:szCs w:val="21"/>
              </w:rPr>
              <w:t>替代金额</w:t>
            </w:r>
          </w:p>
        </w:tc>
        <w:tc>
          <w:tcPr>
            <w:tcW w:w="962" w:type="dxa"/>
            <w:tcBorders>
              <w:top w:val="nil"/>
              <w:left w:val="nil"/>
              <w:bottom w:val="single" w:sz="8" w:space="0" w:color="auto"/>
              <w:right w:val="single" w:sz="8" w:space="0" w:color="auto"/>
            </w:tcBorders>
            <w:shd w:val="clear" w:color="auto" w:fill="auto"/>
            <w:vAlign w:val="center"/>
          </w:tcPr>
          <w:p w14:paraId="1D6CD7AB" w14:textId="77777777" w:rsidR="00175DB4" w:rsidRPr="00255AAF" w:rsidRDefault="000519D1">
            <w:pPr>
              <w:widowControl/>
              <w:spacing w:line="360" w:lineRule="auto"/>
              <w:jc w:val="center"/>
              <w:rPr>
                <w:rFonts w:ascii="宋体" w:hAnsi="宋体" w:cs="宋体"/>
                <w:color w:val="000000"/>
                <w:kern w:val="0"/>
                <w:szCs w:val="21"/>
                <w:lang w:eastAsia="zh-Hans"/>
              </w:rPr>
            </w:pPr>
            <w:r w:rsidRPr="00255AAF">
              <w:rPr>
                <w:rFonts w:ascii="宋体" w:hAnsi="宋体" w:cs="宋体" w:hint="eastAsia"/>
                <w:color w:val="000000"/>
                <w:kern w:val="0"/>
                <w:szCs w:val="21"/>
                <w:lang w:eastAsia="zh-Hans"/>
              </w:rPr>
              <w:t>赎回替代金额</w:t>
            </w:r>
          </w:p>
        </w:tc>
        <w:tc>
          <w:tcPr>
            <w:tcW w:w="842" w:type="dxa"/>
            <w:tcBorders>
              <w:top w:val="nil"/>
              <w:left w:val="nil"/>
              <w:bottom w:val="single" w:sz="8" w:space="0" w:color="auto"/>
              <w:right w:val="single" w:sz="8" w:space="0" w:color="auto"/>
            </w:tcBorders>
            <w:shd w:val="clear" w:color="auto" w:fill="auto"/>
            <w:vAlign w:val="center"/>
          </w:tcPr>
          <w:p w14:paraId="739A77F6" w14:textId="77777777" w:rsidR="00175DB4" w:rsidRPr="00255AAF" w:rsidRDefault="000519D1">
            <w:pPr>
              <w:widowControl/>
              <w:spacing w:line="360" w:lineRule="auto"/>
              <w:jc w:val="center"/>
              <w:rPr>
                <w:rFonts w:ascii="宋体" w:hAnsi="宋体" w:cs="宋体"/>
                <w:color w:val="000000"/>
                <w:kern w:val="0"/>
                <w:szCs w:val="21"/>
                <w:lang w:eastAsia="zh-Hans"/>
              </w:rPr>
            </w:pPr>
            <w:r w:rsidRPr="00255AAF">
              <w:rPr>
                <w:rFonts w:ascii="宋体" w:hAnsi="宋体" w:cs="宋体" w:hint="eastAsia"/>
                <w:color w:val="000000"/>
                <w:kern w:val="0"/>
                <w:szCs w:val="21"/>
                <w:lang w:eastAsia="zh-Hans"/>
              </w:rPr>
              <w:t>挂牌市场</w:t>
            </w:r>
          </w:p>
        </w:tc>
      </w:tr>
      <w:tr w:rsidR="00175DB4" w:rsidRPr="008647F5" w14:paraId="72A5B584" w14:textId="77777777" w:rsidTr="00D41605">
        <w:trPr>
          <w:trHeight w:val="300"/>
        </w:trPr>
        <w:tc>
          <w:tcPr>
            <w:tcW w:w="1149" w:type="dxa"/>
            <w:tcBorders>
              <w:top w:val="nil"/>
              <w:left w:val="single" w:sz="8" w:space="0" w:color="auto"/>
              <w:bottom w:val="single" w:sz="8" w:space="0" w:color="auto"/>
              <w:right w:val="single" w:sz="8" w:space="0" w:color="auto"/>
            </w:tcBorders>
            <w:shd w:val="clear" w:color="auto" w:fill="auto"/>
            <w:vAlign w:val="center"/>
          </w:tcPr>
          <w:p w14:paraId="77450C68" w14:textId="77777777" w:rsidR="00175DB4" w:rsidRPr="00255AAF" w:rsidRDefault="00175DB4">
            <w:pPr>
              <w:widowControl/>
              <w:spacing w:line="360" w:lineRule="auto"/>
              <w:jc w:val="center"/>
              <w:rPr>
                <w:rFonts w:ascii="Arial" w:hAnsi="Arial" w:cs="Arial"/>
                <w:color w:val="000000"/>
                <w:kern w:val="0"/>
                <w:szCs w:val="21"/>
              </w:rPr>
            </w:pPr>
          </w:p>
        </w:tc>
        <w:tc>
          <w:tcPr>
            <w:tcW w:w="1418" w:type="dxa"/>
            <w:tcBorders>
              <w:top w:val="nil"/>
              <w:left w:val="nil"/>
              <w:bottom w:val="single" w:sz="8" w:space="0" w:color="auto"/>
              <w:right w:val="single" w:sz="8" w:space="0" w:color="auto"/>
            </w:tcBorders>
            <w:shd w:val="clear" w:color="auto" w:fill="auto"/>
            <w:vAlign w:val="center"/>
          </w:tcPr>
          <w:p w14:paraId="2EF9F5CE" w14:textId="77777777" w:rsidR="00175DB4" w:rsidRPr="00255AAF" w:rsidRDefault="00175DB4">
            <w:pPr>
              <w:widowControl/>
              <w:spacing w:line="360" w:lineRule="auto"/>
              <w:jc w:val="center"/>
              <w:rPr>
                <w:rFonts w:ascii="宋体" w:hAnsi="宋体" w:cs="宋体"/>
                <w:color w:val="000000"/>
                <w:kern w:val="0"/>
                <w:szCs w:val="21"/>
              </w:rPr>
            </w:pPr>
          </w:p>
        </w:tc>
        <w:tc>
          <w:tcPr>
            <w:tcW w:w="821" w:type="dxa"/>
            <w:tcBorders>
              <w:top w:val="nil"/>
              <w:left w:val="nil"/>
              <w:bottom w:val="single" w:sz="8" w:space="0" w:color="auto"/>
              <w:right w:val="single" w:sz="8" w:space="0" w:color="auto"/>
            </w:tcBorders>
            <w:shd w:val="clear" w:color="auto" w:fill="auto"/>
            <w:vAlign w:val="center"/>
          </w:tcPr>
          <w:p w14:paraId="4657BBC6" w14:textId="77777777" w:rsidR="00175DB4" w:rsidRPr="00255AAF" w:rsidRDefault="00175DB4">
            <w:pPr>
              <w:widowControl/>
              <w:spacing w:line="360" w:lineRule="auto"/>
              <w:jc w:val="center"/>
              <w:rPr>
                <w:rFonts w:ascii="宋体" w:hAnsi="宋体" w:cs="宋体"/>
                <w:color w:val="000000"/>
                <w:kern w:val="0"/>
                <w:szCs w:val="21"/>
              </w:rPr>
            </w:pPr>
          </w:p>
        </w:tc>
        <w:tc>
          <w:tcPr>
            <w:tcW w:w="1296" w:type="dxa"/>
            <w:tcBorders>
              <w:top w:val="nil"/>
              <w:left w:val="nil"/>
              <w:bottom w:val="single" w:sz="8" w:space="0" w:color="auto"/>
              <w:right w:val="single" w:sz="8" w:space="0" w:color="auto"/>
            </w:tcBorders>
            <w:shd w:val="clear" w:color="auto" w:fill="auto"/>
            <w:vAlign w:val="center"/>
          </w:tcPr>
          <w:p w14:paraId="2ECB6FE6" w14:textId="77777777" w:rsidR="00175DB4" w:rsidRPr="00255AAF" w:rsidRDefault="00175DB4">
            <w:pPr>
              <w:widowControl/>
              <w:spacing w:line="360" w:lineRule="auto"/>
              <w:jc w:val="center"/>
              <w:rPr>
                <w:rFonts w:ascii="宋体" w:hAnsi="宋体" w:cs="宋体"/>
                <w:color w:val="000000"/>
                <w:kern w:val="0"/>
                <w:szCs w:val="21"/>
              </w:rPr>
            </w:pPr>
          </w:p>
        </w:tc>
        <w:tc>
          <w:tcPr>
            <w:tcW w:w="728" w:type="dxa"/>
            <w:tcBorders>
              <w:top w:val="nil"/>
              <w:left w:val="nil"/>
              <w:bottom w:val="single" w:sz="8" w:space="0" w:color="auto"/>
              <w:right w:val="single" w:sz="8" w:space="0" w:color="auto"/>
            </w:tcBorders>
            <w:shd w:val="clear" w:color="auto" w:fill="auto"/>
            <w:vAlign w:val="center"/>
          </w:tcPr>
          <w:p w14:paraId="4D90A3A5" w14:textId="77777777" w:rsidR="00175DB4" w:rsidRPr="00255AAF" w:rsidRDefault="00175DB4">
            <w:pPr>
              <w:widowControl/>
              <w:spacing w:line="360" w:lineRule="auto"/>
              <w:jc w:val="center"/>
              <w:rPr>
                <w:rFonts w:ascii="宋体" w:hAnsi="宋体" w:cs="宋体"/>
                <w:color w:val="000000"/>
                <w:kern w:val="0"/>
                <w:szCs w:val="21"/>
              </w:rPr>
            </w:pPr>
          </w:p>
        </w:tc>
        <w:tc>
          <w:tcPr>
            <w:tcW w:w="962" w:type="dxa"/>
            <w:tcBorders>
              <w:top w:val="nil"/>
              <w:left w:val="nil"/>
              <w:bottom w:val="single" w:sz="8" w:space="0" w:color="auto"/>
              <w:right w:val="single" w:sz="8" w:space="0" w:color="auto"/>
            </w:tcBorders>
            <w:shd w:val="clear" w:color="auto" w:fill="auto"/>
            <w:vAlign w:val="center"/>
          </w:tcPr>
          <w:p w14:paraId="40E2C9A8" w14:textId="77777777" w:rsidR="00175DB4" w:rsidRPr="00255AAF" w:rsidRDefault="00175DB4">
            <w:pPr>
              <w:widowControl/>
              <w:spacing w:line="360" w:lineRule="auto"/>
              <w:jc w:val="center"/>
              <w:rPr>
                <w:rFonts w:ascii="宋体" w:hAnsi="宋体" w:cs="宋体"/>
                <w:color w:val="000000"/>
                <w:kern w:val="0"/>
                <w:szCs w:val="21"/>
              </w:rPr>
            </w:pPr>
          </w:p>
        </w:tc>
        <w:tc>
          <w:tcPr>
            <w:tcW w:w="768" w:type="dxa"/>
            <w:tcBorders>
              <w:top w:val="nil"/>
              <w:left w:val="nil"/>
              <w:bottom w:val="single" w:sz="8" w:space="0" w:color="auto"/>
              <w:right w:val="single" w:sz="8" w:space="0" w:color="auto"/>
            </w:tcBorders>
            <w:shd w:val="clear" w:color="auto" w:fill="auto"/>
            <w:vAlign w:val="center"/>
          </w:tcPr>
          <w:p w14:paraId="575F0E44" w14:textId="77777777" w:rsidR="00175DB4" w:rsidRPr="00255AAF" w:rsidRDefault="00175DB4">
            <w:pPr>
              <w:widowControl/>
              <w:spacing w:line="360" w:lineRule="auto"/>
              <w:jc w:val="center"/>
              <w:rPr>
                <w:rFonts w:ascii="宋体" w:hAnsi="宋体" w:cs="宋体"/>
                <w:color w:val="000000"/>
                <w:kern w:val="0"/>
                <w:szCs w:val="21"/>
              </w:rPr>
            </w:pPr>
          </w:p>
        </w:tc>
        <w:tc>
          <w:tcPr>
            <w:tcW w:w="962" w:type="dxa"/>
            <w:tcBorders>
              <w:top w:val="nil"/>
              <w:left w:val="nil"/>
              <w:bottom w:val="single" w:sz="8" w:space="0" w:color="auto"/>
              <w:right w:val="single" w:sz="8" w:space="0" w:color="auto"/>
            </w:tcBorders>
            <w:shd w:val="clear" w:color="auto" w:fill="auto"/>
            <w:vAlign w:val="center"/>
          </w:tcPr>
          <w:p w14:paraId="74B3378B" w14:textId="77777777" w:rsidR="00175DB4" w:rsidRPr="00255AAF" w:rsidRDefault="00175DB4">
            <w:pPr>
              <w:widowControl/>
              <w:spacing w:line="360" w:lineRule="auto"/>
              <w:jc w:val="center"/>
              <w:rPr>
                <w:rFonts w:ascii="宋体" w:hAnsi="宋体" w:cs="宋体"/>
                <w:color w:val="000000"/>
                <w:kern w:val="0"/>
                <w:szCs w:val="21"/>
              </w:rPr>
            </w:pPr>
          </w:p>
        </w:tc>
        <w:tc>
          <w:tcPr>
            <w:tcW w:w="842" w:type="dxa"/>
            <w:tcBorders>
              <w:top w:val="nil"/>
              <w:left w:val="nil"/>
              <w:bottom w:val="single" w:sz="8" w:space="0" w:color="auto"/>
              <w:right w:val="single" w:sz="8" w:space="0" w:color="auto"/>
            </w:tcBorders>
            <w:shd w:val="clear" w:color="auto" w:fill="auto"/>
            <w:vAlign w:val="center"/>
          </w:tcPr>
          <w:p w14:paraId="1A66BE78" w14:textId="77777777" w:rsidR="00175DB4" w:rsidRPr="00255AAF" w:rsidRDefault="00175DB4">
            <w:pPr>
              <w:widowControl/>
              <w:spacing w:line="360" w:lineRule="auto"/>
              <w:jc w:val="center"/>
              <w:rPr>
                <w:rFonts w:ascii="宋体" w:hAnsi="宋体" w:cs="宋体"/>
                <w:color w:val="000000"/>
                <w:kern w:val="0"/>
                <w:szCs w:val="21"/>
              </w:rPr>
            </w:pPr>
          </w:p>
        </w:tc>
      </w:tr>
    </w:tbl>
    <w:p w14:paraId="5A31846F" w14:textId="77777777" w:rsidR="00175DB4" w:rsidRDefault="00175DB4">
      <w:pPr>
        <w:spacing w:line="360" w:lineRule="auto"/>
        <w:rPr>
          <w:color w:val="000000"/>
          <w:szCs w:val="21"/>
        </w:rPr>
      </w:pPr>
    </w:p>
    <w:p w14:paraId="38B27D5A" w14:textId="77777777" w:rsidR="00175DB4" w:rsidRDefault="000519D1">
      <w:pPr>
        <w:spacing w:line="360" w:lineRule="auto"/>
        <w:rPr>
          <w:color w:val="000000"/>
          <w:szCs w:val="21"/>
        </w:rPr>
      </w:pPr>
      <w:r>
        <w:rPr>
          <w:rFonts w:hint="eastAsia"/>
          <w:color w:val="000000"/>
          <w:szCs w:val="21"/>
        </w:rPr>
        <w:t>说明：申购赎回清单的格式可根据深圳证券交易所的系统升级相应调整，具体格式以深圳证券交易所提供的清单模版为准，届时不再另行公告。</w:t>
      </w:r>
    </w:p>
    <w:p w14:paraId="327FB62B" w14:textId="77777777" w:rsidR="00175DB4" w:rsidRDefault="000519D1">
      <w:pPr>
        <w:tabs>
          <w:tab w:val="left" w:pos="540"/>
        </w:tabs>
        <w:snapToGrid w:val="0"/>
        <w:spacing w:line="360" w:lineRule="auto"/>
        <w:ind w:firstLineChars="200" w:firstLine="420"/>
        <w:rPr>
          <w:color w:val="000000"/>
          <w:szCs w:val="21"/>
        </w:rPr>
      </w:pPr>
      <w:r>
        <w:rPr>
          <w:color w:val="000000"/>
          <w:szCs w:val="21"/>
        </w:rPr>
        <w:t xml:space="preserve"> (</w:t>
      </w:r>
      <w:r>
        <w:rPr>
          <w:rFonts w:hint="eastAsia"/>
          <w:color w:val="000000"/>
          <w:szCs w:val="21"/>
        </w:rPr>
        <w:t>八</w:t>
      </w:r>
      <w:r>
        <w:rPr>
          <w:color w:val="000000"/>
          <w:szCs w:val="21"/>
        </w:rPr>
        <w:t xml:space="preserve">) </w:t>
      </w:r>
      <w:r>
        <w:rPr>
          <w:rFonts w:hint="eastAsia"/>
          <w:color w:val="000000"/>
          <w:szCs w:val="21"/>
        </w:rPr>
        <w:t>拒绝或暂停申购的情形及处理方式</w:t>
      </w:r>
    </w:p>
    <w:p w14:paraId="687C6C9B" w14:textId="77777777" w:rsidR="00175DB4" w:rsidRDefault="000519D1">
      <w:pPr>
        <w:tabs>
          <w:tab w:val="left" w:pos="540"/>
        </w:tabs>
        <w:snapToGrid w:val="0"/>
        <w:spacing w:line="360" w:lineRule="auto"/>
        <w:ind w:firstLineChars="200" w:firstLine="420"/>
        <w:rPr>
          <w:color w:val="000000"/>
          <w:szCs w:val="21"/>
        </w:rPr>
      </w:pPr>
      <w:r>
        <w:rPr>
          <w:color w:val="000000"/>
          <w:szCs w:val="21"/>
        </w:rPr>
        <w:t>在如下情况下，基金管理人可以拒绝或暂停接受投资人的申购申请：</w:t>
      </w:r>
    </w:p>
    <w:p w14:paraId="085F601C"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w:t>
      </w:r>
      <w:bookmarkStart w:id="35" w:name="_Hlk4883919"/>
      <w:r>
        <w:rPr>
          <w:color w:val="000000"/>
          <w:szCs w:val="21"/>
        </w:rPr>
        <w:t>因不可抗力导致基金无法正常运作或</w:t>
      </w:r>
      <w:r>
        <w:rPr>
          <w:rFonts w:hint="eastAsia"/>
          <w:color w:val="000000"/>
          <w:szCs w:val="21"/>
        </w:rPr>
        <w:t>基金管理人</w:t>
      </w:r>
      <w:r>
        <w:rPr>
          <w:color w:val="000000"/>
          <w:szCs w:val="21"/>
        </w:rPr>
        <w:t>无法受理投资人的申购申请；</w:t>
      </w:r>
      <w:bookmarkEnd w:id="35"/>
    </w:p>
    <w:p w14:paraId="4DF6D7EE"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）因特殊原因（包括但不限于相关证券、期货交易场所依法决定临时停市或在交易时间非正常停市）导致基金管理人无法计算当日基金资产净值；</w:t>
      </w:r>
    </w:p>
    <w:p w14:paraId="11C6A36D"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）发生基金合同</w:t>
      </w:r>
      <w:r>
        <w:rPr>
          <w:rFonts w:hint="eastAsia"/>
          <w:color w:val="000000"/>
          <w:szCs w:val="21"/>
        </w:rPr>
        <w:t>约</w:t>
      </w:r>
      <w:r>
        <w:rPr>
          <w:color w:val="000000"/>
          <w:szCs w:val="21"/>
        </w:rPr>
        <w:t>定的暂停基金资产估值情况的，基金管理人可以暂停接受投资者的申购申请</w:t>
      </w:r>
      <w:r>
        <w:rPr>
          <w:rFonts w:hint="eastAsia"/>
          <w:color w:val="000000"/>
          <w:szCs w:val="21"/>
        </w:rPr>
        <w:t>；</w:t>
      </w:r>
    </w:p>
    <w:p w14:paraId="0C78378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w:t>
      </w:r>
      <w:r>
        <w:rPr>
          <w:color w:val="000000"/>
          <w:szCs w:val="21"/>
        </w:rPr>
        <w:t>当前一估值日基金资产净值</w:t>
      </w:r>
      <w:r>
        <w:rPr>
          <w:color w:val="000000"/>
          <w:szCs w:val="21"/>
        </w:rPr>
        <w:t>50%</w:t>
      </w:r>
      <w:r>
        <w:rPr>
          <w:color w:val="000000"/>
          <w:szCs w:val="21"/>
        </w:rPr>
        <w:t>以上的资产出现无可参考的活跃市场价格且采用估值技术</w:t>
      </w:r>
      <w:proofErr w:type="gramStart"/>
      <w:r>
        <w:rPr>
          <w:color w:val="000000"/>
          <w:szCs w:val="21"/>
        </w:rPr>
        <w:t>仍导致</w:t>
      </w:r>
      <w:proofErr w:type="gramEnd"/>
      <w:r>
        <w:rPr>
          <w:color w:val="000000"/>
          <w:szCs w:val="21"/>
        </w:rPr>
        <w:t>公允价值存在重大不确定性时，经与基金托管人协商确认后，基金管理人应当暂停接受基金申购</w:t>
      </w:r>
      <w:r>
        <w:rPr>
          <w:rFonts w:hint="eastAsia"/>
          <w:color w:val="000000"/>
          <w:szCs w:val="21"/>
        </w:rPr>
        <w:t>申请</w:t>
      </w:r>
      <w:r>
        <w:rPr>
          <w:color w:val="000000"/>
          <w:szCs w:val="21"/>
        </w:rPr>
        <w:t>；</w:t>
      </w:r>
    </w:p>
    <w:p w14:paraId="7AF7395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w:t>
      </w:r>
      <w:r>
        <w:rPr>
          <w:rFonts w:hint="eastAsia"/>
          <w:color w:val="000000"/>
          <w:szCs w:val="21"/>
        </w:rPr>
        <w:t>基金管理人开市前未能公布申购赎回清单，或在开市后发现申购赎回清单编制错误；</w:t>
      </w:r>
    </w:p>
    <w:p w14:paraId="795EBB41" w14:textId="496FEA04"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6</w:t>
      </w:r>
      <w:r>
        <w:rPr>
          <w:color w:val="000000"/>
          <w:szCs w:val="21"/>
        </w:rPr>
        <w:t>）相关证券</w:t>
      </w:r>
      <w:r w:rsidR="00867EEB">
        <w:rPr>
          <w:rFonts w:hint="eastAsia"/>
          <w:color w:val="000000"/>
          <w:szCs w:val="21"/>
        </w:rPr>
        <w:t>、期货</w:t>
      </w:r>
      <w:r>
        <w:rPr>
          <w:color w:val="000000"/>
          <w:szCs w:val="21"/>
        </w:rPr>
        <w:t>交易所、申购赎回代理券商、登记机构等因异常情况无法办理申购，或者指数编制</w:t>
      </w:r>
      <w:r w:rsidR="00867EEB">
        <w:rPr>
          <w:rFonts w:hint="eastAsia"/>
          <w:color w:val="000000"/>
          <w:szCs w:val="21"/>
        </w:rPr>
        <w:t>机构</w:t>
      </w:r>
      <w:r>
        <w:rPr>
          <w:color w:val="000000"/>
          <w:szCs w:val="21"/>
        </w:rPr>
        <w:t>、相关证券</w:t>
      </w:r>
      <w:r w:rsidR="00867EEB">
        <w:rPr>
          <w:rFonts w:hint="eastAsia"/>
          <w:color w:val="000000"/>
          <w:szCs w:val="21"/>
        </w:rPr>
        <w:t>、期货</w:t>
      </w:r>
      <w:r>
        <w:rPr>
          <w:color w:val="000000"/>
          <w:szCs w:val="21"/>
        </w:rPr>
        <w:t>交易所等因异常情况使申购赎回清单无法编制或编制不当。上述异常情况指基金管理人无法预见并不可控制的情形，包括但不限于系统故障、网络故障、通讯故障、电力故障、数据错误等；</w:t>
      </w:r>
    </w:p>
    <w:p w14:paraId="42429CEE"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7</w:t>
      </w:r>
      <w:r>
        <w:rPr>
          <w:color w:val="000000"/>
          <w:szCs w:val="21"/>
        </w:rPr>
        <w:t>）</w:t>
      </w:r>
      <w:r>
        <w:rPr>
          <w:rFonts w:hint="eastAsia"/>
          <w:color w:val="000000"/>
          <w:szCs w:val="21"/>
        </w:rPr>
        <w:t>基金管理人认为接受某笔或某些申购申请可能会影响或损害其他基金份额持有人利益时</w:t>
      </w:r>
      <w:r>
        <w:rPr>
          <w:color w:val="000000"/>
          <w:szCs w:val="21"/>
        </w:rPr>
        <w:t>；</w:t>
      </w:r>
    </w:p>
    <w:p w14:paraId="108B3B18"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8</w:t>
      </w:r>
      <w:r>
        <w:rPr>
          <w:color w:val="000000"/>
          <w:szCs w:val="21"/>
        </w:rPr>
        <w:t>）基金资产规模过大，使基金管理人无法找到合适的投资品种，或其他可能对基金业绩产生负面影响，或其他损害现有基金份额持有人利益的情形</w:t>
      </w:r>
      <w:r>
        <w:rPr>
          <w:rFonts w:hint="eastAsia"/>
          <w:color w:val="000000"/>
          <w:szCs w:val="21"/>
        </w:rPr>
        <w:t>；</w:t>
      </w:r>
    </w:p>
    <w:p w14:paraId="4866B90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9</w:t>
      </w:r>
      <w:r>
        <w:rPr>
          <w:color w:val="000000"/>
          <w:szCs w:val="21"/>
        </w:rPr>
        <w:t>）当日申购申请达到基金管理人设定的申购份额上限的情形</w:t>
      </w:r>
      <w:r>
        <w:rPr>
          <w:rFonts w:hint="eastAsia"/>
          <w:color w:val="000000"/>
          <w:szCs w:val="21"/>
        </w:rPr>
        <w:t>；</w:t>
      </w:r>
    </w:p>
    <w:p w14:paraId="27D4E297"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10</w:t>
      </w:r>
      <w:r>
        <w:rPr>
          <w:color w:val="000000"/>
          <w:szCs w:val="21"/>
        </w:rPr>
        <w:t>）法律法规、深圳证券交易所规定或经中国证监会认定的其他情形。</w:t>
      </w:r>
    </w:p>
    <w:p w14:paraId="2D05724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发生上述情形之一（第（</w:t>
      </w:r>
      <w:r>
        <w:rPr>
          <w:color w:val="000000"/>
          <w:szCs w:val="21"/>
        </w:rPr>
        <w:t>7</w:t>
      </w:r>
      <w:r>
        <w:rPr>
          <w:rFonts w:hint="eastAsia"/>
          <w:color w:val="000000"/>
          <w:szCs w:val="21"/>
        </w:rPr>
        <w:t>）、（</w:t>
      </w:r>
      <w:r>
        <w:rPr>
          <w:color w:val="000000"/>
          <w:szCs w:val="21"/>
        </w:rPr>
        <w:t>9</w:t>
      </w:r>
      <w:r>
        <w:rPr>
          <w:rFonts w:hint="eastAsia"/>
          <w:color w:val="000000"/>
          <w:szCs w:val="21"/>
        </w:rPr>
        <w:t>）项除外）</w:t>
      </w:r>
      <w:proofErr w:type="gramStart"/>
      <w:r>
        <w:rPr>
          <w:rFonts w:hint="eastAsia"/>
          <w:color w:val="000000"/>
          <w:szCs w:val="21"/>
        </w:rPr>
        <w:t>且基金</w:t>
      </w:r>
      <w:proofErr w:type="gramEnd"/>
      <w:r>
        <w:rPr>
          <w:rFonts w:hint="eastAsia"/>
          <w:color w:val="000000"/>
          <w:szCs w:val="21"/>
        </w:rPr>
        <w:t>管理人决定暂停接受投资人的申购申请时，基金管理人应当根据有关规定在规定媒介上刊登暂停申购公告。如果投资人的申购申请被全部或部分拒绝的，被拒绝的申购对价将退还给投资人。在暂停申购的情况消除时，基金管理人应及时恢复申购业务的办理。</w:t>
      </w:r>
    </w:p>
    <w:p w14:paraId="44FEDDB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（九）暂停赎回或延缓支付赎回对价的情形和处理方式</w:t>
      </w:r>
    </w:p>
    <w:p w14:paraId="008BDAD2"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发生下列情况时，基金管理人可暂停接受投资人的</w:t>
      </w:r>
      <w:r>
        <w:rPr>
          <w:rFonts w:hint="eastAsia"/>
          <w:color w:val="000000"/>
          <w:szCs w:val="21"/>
        </w:rPr>
        <w:t>赎回</w:t>
      </w:r>
      <w:r>
        <w:rPr>
          <w:color w:val="000000"/>
          <w:szCs w:val="21"/>
        </w:rPr>
        <w:t>申请或延缓支付赎回</w:t>
      </w:r>
      <w:r>
        <w:rPr>
          <w:rFonts w:hint="eastAsia"/>
          <w:color w:val="000000"/>
          <w:szCs w:val="21"/>
        </w:rPr>
        <w:t>对价</w:t>
      </w:r>
      <w:r>
        <w:rPr>
          <w:color w:val="000000"/>
          <w:szCs w:val="21"/>
        </w:rPr>
        <w:t>：</w:t>
      </w:r>
      <w:r>
        <w:rPr>
          <w:color w:val="000000"/>
          <w:szCs w:val="21"/>
        </w:rPr>
        <w:t xml:space="preserve"> </w:t>
      </w:r>
    </w:p>
    <w:p w14:paraId="10566603" w14:textId="77777777" w:rsidR="00175DB4" w:rsidRDefault="000519D1">
      <w:pPr>
        <w:tabs>
          <w:tab w:val="left" w:pos="540"/>
        </w:tabs>
        <w:snapToGrid w:val="0"/>
        <w:spacing w:line="360" w:lineRule="auto"/>
        <w:ind w:firstLineChars="200" w:firstLine="420"/>
        <w:rPr>
          <w:color w:val="000000"/>
          <w:szCs w:val="21"/>
        </w:rPr>
      </w:pPr>
      <w:bookmarkStart w:id="36" w:name="_Hlk4884168"/>
      <w:r>
        <w:rPr>
          <w:rFonts w:hint="eastAsia"/>
          <w:color w:val="000000"/>
          <w:szCs w:val="21"/>
        </w:rPr>
        <w:t>（</w:t>
      </w:r>
      <w:r>
        <w:rPr>
          <w:rFonts w:hint="eastAsia"/>
          <w:color w:val="000000"/>
          <w:szCs w:val="21"/>
        </w:rPr>
        <w:t>1</w:t>
      </w:r>
      <w:r>
        <w:rPr>
          <w:rFonts w:hint="eastAsia"/>
          <w:color w:val="000000"/>
          <w:szCs w:val="21"/>
        </w:rPr>
        <w:t>）因不可抗力导致基金无法正常运作或基金管理人无法接受投资人的赎回申请或</w:t>
      </w:r>
      <w:r>
        <w:rPr>
          <w:color w:val="000000"/>
          <w:szCs w:val="21"/>
        </w:rPr>
        <w:t>不能支付赎回</w:t>
      </w:r>
      <w:r>
        <w:rPr>
          <w:rFonts w:hint="eastAsia"/>
          <w:color w:val="000000"/>
          <w:szCs w:val="21"/>
        </w:rPr>
        <w:t>对价；</w:t>
      </w:r>
    </w:p>
    <w:p w14:paraId="5D942BA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Pr>
          <w:color w:val="000000"/>
          <w:szCs w:val="21"/>
        </w:rPr>
        <w:t>发生基金合同</w:t>
      </w:r>
      <w:r>
        <w:rPr>
          <w:rFonts w:hint="eastAsia"/>
          <w:color w:val="000000"/>
          <w:szCs w:val="21"/>
        </w:rPr>
        <w:t>约</w:t>
      </w:r>
      <w:r>
        <w:rPr>
          <w:color w:val="000000"/>
          <w:szCs w:val="21"/>
        </w:rPr>
        <w:t>定的暂停基金资产估值情况的，基金管理人可以暂停接受投资者的</w:t>
      </w:r>
      <w:r>
        <w:rPr>
          <w:rFonts w:hint="eastAsia"/>
          <w:color w:val="000000"/>
          <w:szCs w:val="21"/>
        </w:rPr>
        <w:t>赎回</w:t>
      </w:r>
      <w:r>
        <w:rPr>
          <w:color w:val="000000"/>
          <w:szCs w:val="21"/>
        </w:rPr>
        <w:t>申请</w:t>
      </w:r>
      <w:r>
        <w:rPr>
          <w:rFonts w:hint="eastAsia"/>
          <w:color w:val="000000"/>
          <w:szCs w:val="21"/>
        </w:rPr>
        <w:t>或延缓支付赎回对价；</w:t>
      </w:r>
    </w:p>
    <w:p w14:paraId="185B6B3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w:t>
      </w:r>
      <w:r>
        <w:rPr>
          <w:color w:val="000000"/>
          <w:szCs w:val="21"/>
        </w:rPr>
        <w:t>当前一估值日基金资产净值</w:t>
      </w:r>
      <w:r>
        <w:rPr>
          <w:color w:val="000000"/>
          <w:szCs w:val="21"/>
        </w:rPr>
        <w:t>50%</w:t>
      </w:r>
      <w:r>
        <w:rPr>
          <w:color w:val="000000"/>
          <w:szCs w:val="21"/>
        </w:rPr>
        <w:t>以上的资产出现无可参考的活跃市场价格且采用估值技术</w:t>
      </w:r>
      <w:proofErr w:type="gramStart"/>
      <w:r>
        <w:rPr>
          <w:color w:val="000000"/>
          <w:szCs w:val="21"/>
        </w:rPr>
        <w:t>仍导致</w:t>
      </w:r>
      <w:proofErr w:type="gramEnd"/>
      <w:r>
        <w:rPr>
          <w:color w:val="000000"/>
          <w:szCs w:val="21"/>
        </w:rPr>
        <w:t>公允价值存在重大不确定性时，经与基金托管人协商确认后，</w:t>
      </w:r>
      <w:r>
        <w:rPr>
          <w:rFonts w:hint="eastAsia"/>
          <w:color w:val="000000"/>
          <w:szCs w:val="21"/>
        </w:rPr>
        <w:t>基金管理人应当</w:t>
      </w:r>
      <w:r>
        <w:rPr>
          <w:color w:val="000000"/>
          <w:szCs w:val="21"/>
        </w:rPr>
        <w:t>延缓支付赎回</w:t>
      </w:r>
      <w:r>
        <w:rPr>
          <w:rFonts w:hint="eastAsia"/>
          <w:color w:val="000000"/>
          <w:szCs w:val="21"/>
        </w:rPr>
        <w:t>对价</w:t>
      </w:r>
      <w:r>
        <w:rPr>
          <w:color w:val="000000"/>
          <w:szCs w:val="21"/>
        </w:rPr>
        <w:t>或</w:t>
      </w:r>
      <w:r>
        <w:rPr>
          <w:rFonts w:hint="eastAsia"/>
          <w:color w:val="000000"/>
          <w:szCs w:val="21"/>
        </w:rPr>
        <w:t>暂停接受基金赎回申请；</w:t>
      </w:r>
      <w:r>
        <w:rPr>
          <w:color w:val="000000"/>
          <w:szCs w:val="21"/>
        </w:rPr>
        <w:t xml:space="preserve"> </w:t>
      </w:r>
    </w:p>
    <w:p w14:paraId="062DE2E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w:t>
      </w:r>
      <w:r>
        <w:rPr>
          <w:color w:val="000000"/>
          <w:szCs w:val="21"/>
        </w:rPr>
        <w:t>因特殊原因（包括但不限于相关证券、期货交易场所依法决定临时停市或在交易时间非正常停市）导致基金管理人无法计算当日基金资产净值；</w:t>
      </w:r>
    </w:p>
    <w:p w14:paraId="29673075" w14:textId="65717630"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w:t>
      </w:r>
      <w:r>
        <w:rPr>
          <w:color w:val="000000"/>
          <w:szCs w:val="21"/>
        </w:rPr>
        <w:t>相关证券</w:t>
      </w:r>
      <w:r w:rsidR="00280CF7">
        <w:rPr>
          <w:rFonts w:hint="eastAsia"/>
          <w:color w:val="000000"/>
          <w:szCs w:val="21"/>
        </w:rPr>
        <w:t>、期货</w:t>
      </w:r>
      <w:r>
        <w:rPr>
          <w:color w:val="000000"/>
          <w:szCs w:val="21"/>
        </w:rPr>
        <w:t>交易所、申购赎回代理券商、登记机构等因异常情况无法办理赎回，或者指数编制</w:t>
      </w:r>
      <w:r w:rsidR="001B734F">
        <w:rPr>
          <w:rFonts w:hint="eastAsia"/>
          <w:color w:val="000000"/>
          <w:szCs w:val="21"/>
        </w:rPr>
        <w:t>机构</w:t>
      </w:r>
      <w:r>
        <w:rPr>
          <w:color w:val="000000"/>
          <w:szCs w:val="21"/>
        </w:rPr>
        <w:t>、相关证券</w:t>
      </w:r>
      <w:r w:rsidR="00280CF7">
        <w:rPr>
          <w:rFonts w:hint="eastAsia"/>
          <w:color w:val="000000"/>
          <w:szCs w:val="21"/>
        </w:rPr>
        <w:t>、期货</w:t>
      </w:r>
      <w:r>
        <w:rPr>
          <w:color w:val="000000"/>
          <w:szCs w:val="21"/>
        </w:rPr>
        <w:t>交易所等因异常情况使申购赎回清单无法编制或编制不当。上述异常情况指基金管理人无法预见并不可控制的情形，包括但不限于系统故障、网络故障、通讯故障、电力故障、数据错误等；</w:t>
      </w:r>
      <w:r>
        <w:rPr>
          <w:color w:val="000000"/>
          <w:szCs w:val="21"/>
        </w:rPr>
        <w:t xml:space="preserve"> </w:t>
      </w:r>
    </w:p>
    <w:p w14:paraId="76BABF3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6</w:t>
      </w:r>
      <w:r>
        <w:rPr>
          <w:rFonts w:hint="eastAsia"/>
          <w:color w:val="000000"/>
          <w:szCs w:val="21"/>
        </w:rPr>
        <w:t>）基金管理人开市前未能公布申购赎回清单，或在开市后发现申购赎回清单编制错误；</w:t>
      </w:r>
      <w:r>
        <w:rPr>
          <w:color w:val="000000"/>
          <w:szCs w:val="21"/>
        </w:rPr>
        <w:t xml:space="preserve"> </w:t>
      </w:r>
    </w:p>
    <w:p w14:paraId="75474C9E" w14:textId="75DAB3BD"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7</w:t>
      </w:r>
      <w:r>
        <w:rPr>
          <w:rFonts w:hint="eastAsia"/>
          <w:color w:val="000000"/>
          <w:szCs w:val="21"/>
        </w:rPr>
        <w:t>）当日赎回申请达到基金管理人设定的赎回份额上限</w:t>
      </w:r>
      <w:r w:rsidR="00280CF7" w:rsidRPr="00280CF7">
        <w:rPr>
          <w:rFonts w:hint="eastAsia"/>
          <w:color w:val="000000"/>
          <w:szCs w:val="21"/>
        </w:rPr>
        <w:t>或基金管理人认为继续接受赎回申请可能有损现有基金份额持有人或者其他申购、赎回投资人利益</w:t>
      </w:r>
      <w:r>
        <w:rPr>
          <w:rFonts w:hint="eastAsia"/>
          <w:color w:val="000000"/>
          <w:szCs w:val="21"/>
        </w:rPr>
        <w:t>的情形；</w:t>
      </w:r>
    </w:p>
    <w:p w14:paraId="448E3336" w14:textId="5CAD0CA2"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sidR="00280CF7">
        <w:rPr>
          <w:color w:val="000000"/>
          <w:szCs w:val="21"/>
        </w:rPr>
        <w:t>8</w:t>
      </w:r>
      <w:r>
        <w:rPr>
          <w:rFonts w:hint="eastAsia"/>
          <w:color w:val="000000"/>
          <w:szCs w:val="21"/>
        </w:rPr>
        <w:t>）法律法规、深圳证券交易所规定或中国证监会认定的其他情形。</w:t>
      </w:r>
      <w:r>
        <w:rPr>
          <w:color w:val="000000"/>
          <w:szCs w:val="21"/>
        </w:rPr>
        <w:t xml:space="preserve"> </w:t>
      </w:r>
    </w:p>
    <w:p w14:paraId="1E4F656D" w14:textId="4272C3D2" w:rsidR="00175DB4" w:rsidRDefault="000519D1">
      <w:pPr>
        <w:tabs>
          <w:tab w:val="left" w:pos="540"/>
        </w:tabs>
        <w:snapToGrid w:val="0"/>
        <w:spacing w:line="360" w:lineRule="auto"/>
        <w:ind w:firstLineChars="200" w:firstLine="420"/>
        <w:rPr>
          <w:color w:val="000000"/>
          <w:szCs w:val="21"/>
        </w:rPr>
      </w:pPr>
      <w:r>
        <w:rPr>
          <w:color w:val="000000"/>
          <w:szCs w:val="21"/>
        </w:rPr>
        <w:t>发生上述情形之一（</w:t>
      </w:r>
      <w:r w:rsidR="00764E77" w:rsidRPr="00764E77">
        <w:rPr>
          <w:rFonts w:hint="eastAsia"/>
          <w:color w:val="000000"/>
          <w:szCs w:val="21"/>
        </w:rPr>
        <w:t>除当日赎回申请达到基金管理人设定的赎回份额上限外</w:t>
      </w:r>
      <w:r>
        <w:rPr>
          <w:color w:val="000000"/>
          <w:szCs w:val="21"/>
        </w:rPr>
        <w:t>）</w:t>
      </w:r>
      <w:proofErr w:type="gramStart"/>
      <w:r>
        <w:rPr>
          <w:rFonts w:hint="eastAsia"/>
          <w:color w:val="000000"/>
          <w:szCs w:val="21"/>
        </w:rPr>
        <w:t>且基金</w:t>
      </w:r>
      <w:proofErr w:type="gramEnd"/>
      <w:r>
        <w:rPr>
          <w:rFonts w:hint="eastAsia"/>
          <w:color w:val="000000"/>
          <w:szCs w:val="21"/>
        </w:rPr>
        <w:t>管理人决定暂停赎回</w:t>
      </w:r>
      <w:r>
        <w:rPr>
          <w:color w:val="000000"/>
          <w:szCs w:val="21"/>
        </w:rPr>
        <w:t>或延缓支付赎回对价</w:t>
      </w:r>
      <w:r>
        <w:rPr>
          <w:rFonts w:hint="eastAsia"/>
          <w:color w:val="000000"/>
          <w:szCs w:val="21"/>
        </w:rPr>
        <w:t>时，</w:t>
      </w:r>
      <w:r>
        <w:rPr>
          <w:color w:val="000000"/>
          <w:szCs w:val="21"/>
        </w:rPr>
        <w:t>基金管理人应在当日报中国证监会备案，已确认的赎回申请，基金管理人应足额支付；如暂时不能足额支付，应将可支付部分按单个账户申请量占申请总量的比例分配给赎回申请人，未支付部分可延期支付。</w:t>
      </w:r>
      <w:r>
        <w:rPr>
          <w:rFonts w:hint="eastAsia"/>
          <w:color w:val="000000"/>
          <w:szCs w:val="21"/>
        </w:rPr>
        <w:t>在暂停赎回的情况消除时，基金管理人应及时恢复赎回业务的办理。</w:t>
      </w:r>
      <w:bookmarkEnd w:id="36"/>
    </w:p>
    <w:p w14:paraId="0C96718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（十）基金的</w:t>
      </w:r>
      <w:proofErr w:type="gramStart"/>
      <w:r>
        <w:rPr>
          <w:rFonts w:hint="eastAsia"/>
          <w:color w:val="000000"/>
          <w:szCs w:val="21"/>
        </w:rPr>
        <w:t>非交易</w:t>
      </w:r>
      <w:proofErr w:type="gramEnd"/>
      <w:r>
        <w:rPr>
          <w:rFonts w:hint="eastAsia"/>
          <w:color w:val="000000"/>
          <w:szCs w:val="21"/>
        </w:rPr>
        <w:t>过户</w:t>
      </w:r>
    </w:p>
    <w:p w14:paraId="028D6A6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基金的</w:t>
      </w:r>
      <w:proofErr w:type="gramStart"/>
      <w:r>
        <w:rPr>
          <w:rFonts w:hint="eastAsia"/>
          <w:color w:val="000000"/>
          <w:szCs w:val="21"/>
        </w:rPr>
        <w:t>非交易</w:t>
      </w:r>
      <w:proofErr w:type="gramEnd"/>
      <w:r>
        <w:rPr>
          <w:rFonts w:hint="eastAsia"/>
          <w:color w:val="000000"/>
          <w:szCs w:val="21"/>
        </w:rPr>
        <w:t>过户是指基金登记机构受理继承、捐赠和司法强制执行等情形而产生的</w:t>
      </w:r>
      <w:proofErr w:type="gramStart"/>
      <w:r>
        <w:rPr>
          <w:rFonts w:hint="eastAsia"/>
          <w:color w:val="000000"/>
          <w:szCs w:val="21"/>
        </w:rPr>
        <w:t>非交易</w:t>
      </w:r>
      <w:proofErr w:type="gramEnd"/>
      <w:r>
        <w:rPr>
          <w:rFonts w:hint="eastAsia"/>
          <w:color w:val="000000"/>
          <w:szCs w:val="21"/>
        </w:rPr>
        <w:t>过户以及登记机构认可、符合法律法规的其它</w:t>
      </w:r>
      <w:proofErr w:type="gramStart"/>
      <w:r>
        <w:rPr>
          <w:rFonts w:hint="eastAsia"/>
          <w:color w:val="000000"/>
          <w:szCs w:val="21"/>
        </w:rPr>
        <w:t>非交易</w:t>
      </w:r>
      <w:proofErr w:type="gramEnd"/>
      <w:r>
        <w:rPr>
          <w:rFonts w:hint="eastAsia"/>
          <w:color w:val="000000"/>
          <w:szCs w:val="21"/>
        </w:rPr>
        <w:t>过户。无论在上述何种情况下，接受划转的主体必须是依法可以持有本</w:t>
      </w:r>
      <w:proofErr w:type="gramStart"/>
      <w:r>
        <w:rPr>
          <w:rFonts w:hint="eastAsia"/>
          <w:color w:val="000000"/>
          <w:szCs w:val="21"/>
        </w:rPr>
        <w:t>基金基金</w:t>
      </w:r>
      <w:proofErr w:type="gramEnd"/>
      <w:r>
        <w:rPr>
          <w:rFonts w:hint="eastAsia"/>
          <w:color w:val="000000"/>
          <w:szCs w:val="21"/>
        </w:rPr>
        <w:t>份额的投资人。</w:t>
      </w:r>
    </w:p>
    <w:p w14:paraId="0637097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继承是指基金份额持有人死亡，其持有的基金份额由其合法的继承人继承；</w:t>
      </w:r>
      <w:proofErr w:type="gramStart"/>
      <w:r>
        <w:rPr>
          <w:rFonts w:hint="eastAsia"/>
          <w:color w:val="000000"/>
          <w:szCs w:val="21"/>
        </w:rPr>
        <w:t>捐赠指</w:t>
      </w:r>
      <w:proofErr w:type="gramEnd"/>
      <w:r>
        <w:rPr>
          <w:rFonts w:hint="eastAsia"/>
          <w:color w:val="000000"/>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color w:val="000000"/>
          <w:szCs w:val="21"/>
        </w:rPr>
        <w:t>非交易</w:t>
      </w:r>
      <w:proofErr w:type="gramEnd"/>
      <w:r>
        <w:rPr>
          <w:rFonts w:hint="eastAsia"/>
          <w:color w:val="000000"/>
          <w:szCs w:val="21"/>
        </w:rPr>
        <w:t>过户必须提供基金登记机构要求提供的相关资料，对于符合条件的</w:t>
      </w:r>
      <w:proofErr w:type="gramStart"/>
      <w:r>
        <w:rPr>
          <w:rFonts w:hint="eastAsia"/>
          <w:color w:val="000000"/>
          <w:szCs w:val="21"/>
        </w:rPr>
        <w:t>非交易过户申请按</w:t>
      </w:r>
      <w:proofErr w:type="gramEnd"/>
      <w:r>
        <w:rPr>
          <w:rFonts w:hint="eastAsia"/>
          <w:color w:val="000000"/>
          <w:szCs w:val="21"/>
        </w:rPr>
        <w:t>基金登记机构的规定办理，并按基金登记机构规定的标准收费。</w:t>
      </w:r>
    </w:p>
    <w:p w14:paraId="0874031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（十一）基金份额的冻结与解冻</w:t>
      </w:r>
    </w:p>
    <w:p w14:paraId="65A74B6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基金登记机构只受理国家有权机关依法要求的基金份额的冻结与解冻，以及登记机构认可、符合法律法规的其他情况下的冻结与解冻。</w:t>
      </w:r>
    </w:p>
    <w:p w14:paraId="5E05B3D9" w14:textId="739D0F4F" w:rsidR="00175DB4" w:rsidRDefault="000519D1">
      <w:pPr>
        <w:tabs>
          <w:tab w:val="left" w:pos="540"/>
        </w:tabs>
        <w:snapToGrid w:val="0"/>
        <w:spacing w:line="360" w:lineRule="auto"/>
        <w:ind w:firstLineChars="200" w:firstLine="420"/>
        <w:rPr>
          <w:color w:val="000000"/>
          <w:szCs w:val="21"/>
        </w:rPr>
      </w:pPr>
      <w:bookmarkStart w:id="37" w:name="_Hlt70481650"/>
      <w:bookmarkEnd w:id="37"/>
      <w:r>
        <w:rPr>
          <w:rFonts w:hint="eastAsia"/>
          <w:color w:val="000000"/>
          <w:szCs w:val="21"/>
        </w:rPr>
        <w:t>（十二）若深圳证券交易所和中国证券登记结算有限责任公司针对交易型开放式指数证券投资基金调整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招募说明书及其更新中予以更新，无须召开基金份额持有人大会审议。</w:t>
      </w:r>
    </w:p>
    <w:p w14:paraId="1BD16C9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（十三）其他申购赎回方式</w:t>
      </w:r>
    </w:p>
    <w:p w14:paraId="4C3EBD42"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rFonts w:hint="eastAsia"/>
          <w:color w:val="000000"/>
          <w:szCs w:val="21"/>
        </w:rPr>
        <w:t>、</w:t>
      </w:r>
      <w:proofErr w:type="gramStart"/>
      <w:r>
        <w:rPr>
          <w:rFonts w:hint="eastAsia"/>
          <w:color w:val="000000"/>
          <w:szCs w:val="21"/>
        </w:rPr>
        <w:t>若基金</w:t>
      </w:r>
      <w:proofErr w:type="gramEnd"/>
      <w:r>
        <w:rPr>
          <w:rFonts w:hint="eastAsia"/>
          <w:color w:val="000000"/>
          <w:szCs w:val="21"/>
        </w:rPr>
        <w:t>管理人推出以本基金为目标</w:t>
      </w:r>
      <w:r>
        <w:rPr>
          <w:color w:val="000000"/>
          <w:szCs w:val="21"/>
        </w:rPr>
        <w:t>ETF</w:t>
      </w:r>
      <w:r>
        <w:rPr>
          <w:rFonts w:hint="eastAsia"/>
          <w:color w:val="000000"/>
          <w:szCs w:val="21"/>
        </w:rPr>
        <w:t>的联接基金，本基金可根据实际情况需要向本基金的联接基金开通特殊申购，不收取申购费用。</w:t>
      </w:r>
    </w:p>
    <w:p w14:paraId="1DEF6ADD"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rFonts w:hint="eastAsia"/>
          <w:color w:val="000000"/>
          <w:szCs w:val="21"/>
        </w:rPr>
        <w:t>、基金管理人可以在不违反法律法规规定且对基金份额持有人利益无实质性不利影响的情况下，增加其他申购赎回方式，并提前公告，无需召开基金份额持有人大会。</w:t>
      </w:r>
    </w:p>
    <w:p w14:paraId="04E36A9E"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rFonts w:hint="eastAsia"/>
          <w:color w:val="000000"/>
          <w:szCs w:val="21"/>
        </w:rPr>
        <w:t>、基金管理人可以在不违反法律法规规定且对基金份额持有人利益无实质性不利影响的情况下，调整基金申购赎回方式或申购赎回对价组成，并应当依照《信息披露办法》的有关规定在规定媒介上</w:t>
      </w:r>
      <w:r>
        <w:rPr>
          <w:color w:val="000000"/>
          <w:szCs w:val="21"/>
        </w:rPr>
        <w:t>公告</w:t>
      </w:r>
      <w:r>
        <w:rPr>
          <w:rFonts w:hint="eastAsia"/>
          <w:color w:val="000000"/>
          <w:szCs w:val="21"/>
        </w:rPr>
        <w:t>。</w:t>
      </w:r>
    </w:p>
    <w:p w14:paraId="237DEA12"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rFonts w:hint="eastAsia"/>
          <w:color w:val="000000"/>
          <w:szCs w:val="21"/>
        </w:rPr>
        <w:t>、基金管理人指定的代理机构可依据基金合同开展其他服务，双方需签订书面委托代理协议，且应当依照《信息披露办法》的有关规定予以</w:t>
      </w:r>
      <w:r>
        <w:rPr>
          <w:color w:val="000000"/>
          <w:szCs w:val="21"/>
        </w:rPr>
        <w:t>公告。</w:t>
      </w:r>
    </w:p>
    <w:p w14:paraId="308970A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（十四）基金份额的转让</w:t>
      </w:r>
    </w:p>
    <w:p w14:paraId="23B2C44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1FBD7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（十五）集合申购</w:t>
      </w:r>
    </w:p>
    <w:p w14:paraId="08B36B00" w14:textId="1D9646E8"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在条件允许时，基金管理人可开放集合申购，即允许单个或多个投资人集合其持有的组合或单个证券，共同构成最小申购、赎回单位或其整数</w:t>
      </w:r>
      <w:proofErr w:type="gramStart"/>
      <w:r>
        <w:rPr>
          <w:rFonts w:hint="eastAsia"/>
          <w:color w:val="000000"/>
          <w:szCs w:val="21"/>
        </w:rPr>
        <w:t>倍</w:t>
      </w:r>
      <w:proofErr w:type="gramEnd"/>
      <w:r>
        <w:rPr>
          <w:rFonts w:hint="eastAsia"/>
          <w:color w:val="000000"/>
          <w:szCs w:val="21"/>
        </w:rPr>
        <w:t>，进行申购。在</w:t>
      </w:r>
      <w:r w:rsidR="00406A18" w:rsidRPr="00406A18">
        <w:rPr>
          <w:rFonts w:hint="eastAsia"/>
          <w:color w:val="000000"/>
          <w:szCs w:val="21"/>
        </w:rPr>
        <w:t>不违反法律法规规定以及</w:t>
      </w:r>
      <w:r>
        <w:rPr>
          <w:rFonts w:hint="eastAsia"/>
          <w:color w:val="000000"/>
          <w:szCs w:val="21"/>
        </w:rPr>
        <w:t>不损害基金份额持有人利益的前提下，基金管理人</w:t>
      </w:r>
      <w:r w:rsidR="00406A18" w:rsidRPr="00406A18">
        <w:rPr>
          <w:rFonts w:hint="eastAsia"/>
          <w:color w:val="000000"/>
          <w:szCs w:val="21"/>
        </w:rPr>
        <w:t>履行适当程序后</w:t>
      </w:r>
      <w:r>
        <w:rPr>
          <w:rFonts w:hint="eastAsia"/>
          <w:color w:val="000000"/>
          <w:szCs w:val="21"/>
        </w:rPr>
        <w:t>有权制定集合申购业务的相关规则，集合申购业务的相关规则在开始执行前将予以公告。</w:t>
      </w:r>
    </w:p>
    <w:p w14:paraId="661C9565" w14:textId="77777777" w:rsidR="00175DB4" w:rsidRDefault="00175DB4">
      <w:pPr>
        <w:rPr>
          <w:color w:val="000000"/>
          <w:sz w:val="30"/>
          <w:szCs w:val="30"/>
        </w:rPr>
        <w:sectPr w:rsidR="00175DB4">
          <w:pgSz w:w="11906" w:h="16838"/>
          <w:pgMar w:top="1440" w:right="1797" w:bottom="1440" w:left="1980" w:header="851" w:footer="992" w:gutter="0"/>
          <w:cols w:space="425"/>
          <w:docGrid w:type="lines" w:linePitch="312"/>
        </w:sectPr>
      </w:pPr>
      <w:bookmarkStart w:id="38" w:name="_Toc86589172"/>
      <w:bookmarkStart w:id="39" w:name="_Toc92531655"/>
      <w:bookmarkEnd w:id="28"/>
    </w:p>
    <w:p w14:paraId="719C3EF2" w14:textId="77777777" w:rsidR="00175DB4" w:rsidRDefault="000519D1">
      <w:pPr>
        <w:pStyle w:val="1"/>
        <w:spacing w:line="360" w:lineRule="exact"/>
        <w:rPr>
          <w:rFonts w:eastAsia="宋体"/>
          <w:color w:val="000000"/>
          <w:sz w:val="30"/>
          <w:szCs w:val="30"/>
        </w:rPr>
      </w:pPr>
      <w:bookmarkStart w:id="40" w:name="_Toc135741013"/>
      <w:r>
        <w:rPr>
          <w:rFonts w:eastAsia="宋体" w:hint="eastAsia"/>
          <w:bCs w:val="0"/>
          <w:color w:val="000000"/>
          <w:kern w:val="2"/>
          <w:sz w:val="30"/>
          <w:szCs w:val="30"/>
        </w:rPr>
        <w:lastRenderedPageBreak/>
        <w:t>十一、基金的投资</w:t>
      </w:r>
      <w:bookmarkEnd w:id="40"/>
    </w:p>
    <w:p w14:paraId="1227C267" w14:textId="77777777" w:rsidR="00175DB4" w:rsidRDefault="000519D1">
      <w:pPr>
        <w:tabs>
          <w:tab w:val="left" w:pos="540"/>
        </w:tabs>
        <w:snapToGrid w:val="0"/>
        <w:spacing w:line="360" w:lineRule="auto"/>
        <w:ind w:firstLineChars="200" w:firstLine="420"/>
        <w:rPr>
          <w:color w:val="000000"/>
          <w:szCs w:val="21"/>
        </w:rPr>
      </w:pPr>
      <w:r>
        <w:rPr>
          <w:color w:val="000000"/>
          <w:szCs w:val="21"/>
        </w:rPr>
        <w:t>（一）投资目标</w:t>
      </w:r>
    </w:p>
    <w:p w14:paraId="1A599FE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紧密跟踪标的指数，追求跟踪偏离度和跟踪误差最小化，以期获得与标的指数收益相似的回报。</w:t>
      </w:r>
    </w:p>
    <w:p w14:paraId="7B57C9B0" w14:textId="77777777" w:rsidR="00175DB4" w:rsidRDefault="000519D1">
      <w:pPr>
        <w:tabs>
          <w:tab w:val="left" w:pos="540"/>
        </w:tabs>
        <w:snapToGrid w:val="0"/>
        <w:spacing w:line="360" w:lineRule="auto"/>
        <w:ind w:firstLineChars="200" w:firstLine="420"/>
        <w:rPr>
          <w:color w:val="000000"/>
          <w:szCs w:val="21"/>
        </w:rPr>
      </w:pPr>
      <w:r>
        <w:rPr>
          <w:color w:val="000000"/>
          <w:szCs w:val="21"/>
        </w:rPr>
        <w:t>（二）投资范围</w:t>
      </w:r>
    </w:p>
    <w:p w14:paraId="475D2505" w14:textId="77777777" w:rsidR="00E14DEA" w:rsidRPr="00E14DEA" w:rsidRDefault="00E14DEA" w:rsidP="00E14DEA">
      <w:pPr>
        <w:spacing w:line="360" w:lineRule="auto"/>
        <w:ind w:firstLineChars="200" w:firstLine="420"/>
        <w:rPr>
          <w:color w:val="000000"/>
          <w:szCs w:val="21"/>
        </w:rPr>
      </w:pPr>
      <w:r w:rsidRPr="00E14DEA">
        <w:rPr>
          <w:rFonts w:hint="eastAsia"/>
          <w:color w:val="000000"/>
          <w:szCs w:val="21"/>
        </w:rPr>
        <w:t>本基金投资范围主要为标的指数成份股及备选成份股（</w:t>
      </w:r>
      <w:proofErr w:type="gramStart"/>
      <w:r w:rsidRPr="00E14DEA">
        <w:rPr>
          <w:rFonts w:hint="eastAsia"/>
          <w:color w:val="000000"/>
          <w:szCs w:val="21"/>
        </w:rPr>
        <w:t>含存托</w:t>
      </w:r>
      <w:proofErr w:type="gramEnd"/>
      <w:r w:rsidRPr="00E14DEA">
        <w:rPr>
          <w:rFonts w:hint="eastAsia"/>
          <w:color w:val="000000"/>
          <w:szCs w:val="21"/>
        </w:rPr>
        <w:t>凭证，下同），此外，为更好地实现投资目标，本基金可少量投资于部分非成份股（包含主板、创业板及其他经中国证监会核准或注册上市的股票及存托凭证）、衍生工具（股指期货、股票期权等）、债券（包括国债、金融债、企业债、公司债、地方政府债、公开发行的次级债、可交换债券、可转换债券、分离交易可转债</w:t>
      </w:r>
      <w:proofErr w:type="gramStart"/>
      <w:r w:rsidRPr="00E14DEA">
        <w:rPr>
          <w:rFonts w:hint="eastAsia"/>
          <w:color w:val="000000"/>
          <w:szCs w:val="21"/>
        </w:rPr>
        <w:t>的纯债部分</w:t>
      </w:r>
      <w:proofErr w:type="gramEnd"/>
      <w:r w:rsidRPr="00E14DEA">
        <w:rPr>
          <w:rFonts w:hint="eastAsia"/>
          <w:color w:val="000000"/>
          <w:szCs w:val="21"/>
        </w:rPr>
        <w:t>、央行票据、中期票据、短期融资</w:t>
      </w:r>
      <w:proofErr w:type="gramStart"/>
      <w:r w:rsidRPr="00E14DEA">
        <w:rPr>
          <w:rFonts w:hint="eastAsia"/>
          <w:color w:val="000000"/>
          <w:szCs w:val="21"/>
        </w:rPr>
        <w:t>券</w:t>
      </w:r>
      <w:proofErr w:type="gramEnd"/>
      <w:r w:rsidRPr="00E14DEA">
        <w:rPr>
          <w:rFonts w:hint="eastAsia"/>
          <w:color w:val="000000"/>
          <w:szCs w:val="21"/>
        </w:rPr>
        <w:t>、超短期融资</w:t>
      </w:r>
      <w:proofErr w:type="gramStart"/>
      <w:r w:rsidRPr="00E14DEA">
        <w:rPr>
          <w:rFonts w:hint="eastAsia"/>
          <w:color w:val="000000"/>
          <w:szCs w:val="21"/>
        </w:rPr>
        <w:t>券</w:t>
      </w:r>
      <w:proofErr w:type="gramEnd"/>
      <w:r w:rsidRPr="00E14DEA">
        <w:rPr>
          <w:rFonts w:hint="eastAsia"/>
          <w:color w:val="000000"/>
          <w:szCs w:val="21"/>
        </w:rPr>
        <w:t>、政府支持机构债券、政府支持债券）、资产支持证券、债券回购、银行存款（包括协议存款、定期存款及其他银行存款）、同业存单、货币市场工具以及中国证监会允许基金投资的其他金融工具（但须符合中国证监会的相关规定）。</w:t>
      </w:r>
      <w:r w:rsidRPr="00E14DEA">
        <w:rPr>
          <w:rFonts w:hint="eastAsia"/>
          <w:color w:val="000000"/>
          <w:szCs w:val="21"/>
        </w:rPr>
        <w:t xml:space="preserve"> </w:t>
      </w:r>
    </w:p>
    <w:p w14:paraId="5B61FD64" w14:textId="77777777" w:rsidR="00E14DEA" w:rsidRPr="00E14DEA" w:rsidRDefault="00E14DEA" w:rsidP="00E14DEA">
      <w:pPr>
        <w:spacing w:line="360" w:lineRule="auto"/>
        <w:ind w:firstLineChars="200" w:firstLine="420"/>
        <w:rPr>
          <w:color w:val="000000"/>
          <w:szCs w:val="21"/>
        </w:rPr>
      </w:pPr>
      <w:r w:rsidRPr="00E14DEA">
        <w:rPr>
          <w:rFonts w:hint="eastAsia"/>
          <w:color w:val="000000"/>
          <w:szCs w:val="21"/>
        </w:rPr>
        <w:t>本基金可以根据有关法律法规的规定进行融资及转融通证券出借业务交易。</w:t>
      </w:r>
    </w:p>
    <w:p w14:paraId="5942D798" w14:textId="77777777" w:rsidR="00E14DEA" w:rsidRPr="00E14DEA" w:rsidRDefault="00E14DEA" w:rsidP="00E14DEA">
      <w:pPr>
        <w:spacing w:line="360" w:lineRule="auto"/>
        <w:ind w:firstLineChars="200" w:firstLine="420"/>
        <w:rPr>
          <w:color w:val="000000"/>
          <w:szCs w:val="21"/>
        </w:rPr>
      </w:pPr>
      <w:r w:rsidRPr="00E14DEA">
        <w:rPr>
          <w:rFonts w:hint="eastAsia"/>
          <w:color w:val="000000"/>
          <w:szCs w:val="21"/>
        </w:rPr>
        <w:t>如法律法规或监管机构以后允许基金投资其他品种，基金管理人在履行适当程序后，可以将其纳入投资范围，并可依据届时有效的法律法规适时合理地调整投资范围。</w:t>
      </w:r>
    </w:p>
    <w:p w14:paraId="7455BC21" w14:textId="77777777" w:rsidR="00E14DEA" w:rsidRPr="00E14DEA" w:rsidRDefault="00E14DEA" w:rsidP="00E14DEA">
      <w:pPr>
        <w:spacing w:line="360" w:lineRule="auto"/>
        <w:ind w:firstLineChars="200" w:firstLine="420"/>
        <w:rPr>
          <w:color w:val="000000"/>
          <w:szCs w:val="21"/>
        </w:rPr>
      </w:pPr>
      <w:r w:rsidRPr="00E14DEA">
        <w:rPr>
          <w:rFonts w:hint="eastAsia"/>
          <w:color w:val="000000"/>
          <w:szCs w:val="21"/>
        </w:rPr>
        <w:t>基金的投资组合比例为：基金投资于标的指数成份股及备选成份股的资产不低于基金资产净值的</w:t>
      </w:r>
      <w:r w:rsidRPr="00E14DEA">
        <w:rPr>
          <w:rFonts w:hint="eastAsia"/>
          <w:color w:val="000000"/>
          <w:szCs w:val="21"/>
        </w:rPr>
        <w:t>90%</w:t>
      </w:r>
      <w:r w:rsidRPr="00E14DEA">
        <w:rPr>
          <w:rFonts w:hint="eastAsia"/>
          <w:color w:val="000000"/>
          <w:szCs w:val="21"/>
        </w:rPr>
        <w:t>，且不低于非现金基金资产的</w:t>
      </w:r>
      <w:r w:rsidRPr="00E14DEA">
        <w:rPr>
          <w:rFonts w:hint="eastAsia"/>
          <w:color w:val="000000"/>
          <w:szCs w:val="21"/>
        </w:rPr>
        <w:t>80</w:t>
      </w:r>
      <w:r w:rsidRPr="00E14DEA">
        <w:rPr>
          <w:rFonts w:hint="eastAsia"/>
          <w:color w:val="000000"/>
          <w:szCs w:val="21"/>
        </w:rPr>
        <w:t>％，因法律法规的规定而受限制的情形除外。本基金每个交易日日终在扣除股指期货合约、股票期权合约需缴纳的交易保证金后，应当保持不低于交易保证金一倍的现金，其中，现金不包括结算备付金、存出保证金和应收申购款等。</w:t>
      </w:r>
    </w:p>
    <w:p w14:paraId="0173B19F" w14:textId="77777777"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如法律法规或中国证监会变更投资品种的投资比例限制，基金管理人在履行适当程序后，可以调整上述投资品种的投资比例。</w:t>
      </w:r>
    </w:p>
    <w:p w14:paraId="39DA0AC0" w14:textId="77777777" w:rsidR="00175DB4" w:rsidRDefault="000519D1">
      <w:pPr>
        <w:tabs>
          <w:tab w:val="left" w:pos="540"/>
        </w:tabs>
        <w:snapToGrid w:val="0"/>
        <w:spacing w:line="360" w:lineRule="auto"/>
        <w:ind w:firstLineChars="200" w:firstLine="420"/>
        <w:rPr>
          <w:color w:val="000000"/>
          <w:szCs w:val="21"/>
        </w:rPr>
      </w:pPr>
      <w:r>
        <w:rPr>
          <w:color w:val="000000"/>
          <w:szCs w:val="21"/>
        </w:rPr>
        <w:t>（三）投资策略</w:t>
      </w:r>
    </w:p>
    <w:p w14:paraId="5CE70DF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1</w:t>
      </w:r>
      <w:r w:rsidRPr="00E14DEA">
        <w:rPr>
          <w:rFonts w:hint="eastAsia"/>
          <w:color w:val="000000"/>
          <w:szCs w:val="21"/>
        </w:rPr>
        <w:t>、股票投资策略</w:t>
      </w:r>
    </w:p>
    <w:p w14:paraId="270EE84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w:t>
      </w:r>
      <w:proofErr w:type="gramStart"/>
      <w:r w:rsidRPr="00E14DEA">
        <w:rPr>
          <w:rFonts w:hint="eastAsia"/>
          <w:color w:val="000000"/>
          <w:szCs w:val="21"/>
        </w:rPr>
        <w:t>以国证</w:t>
      </w:r>
      <w:proofErr w:type="gramEnd"/>
      <w:r w:rsidRPr="00E14DEA">
        <w:rPr>
          <w:rFonts w:hint="eastAsia"/>
          <w:color w:val="000000"/>
          <w:szCs w:val="21"/>
        </w:rPr>
        <w:t>2000</w:t>
      </w:r>
      <w:r w:rsidRPr="00E14DEA">
        <w:rPr>
          <w:rFonts w:hint="eastAsia"/>
          <w:color w:val="000000"/>
          <w:szCs w:val="21"/>
        </w:rPr>
        <w:t>指数为标的指数，采用抽样复制法，即根据个股行业、市值等指标，在指数成份股中选取更有代表性的样本股，并通过长期稳定的风险模型采用“跟踪误差最小化”的优化方式设计样本股的组合比例。本基金可以根据市场情况，结合经验判断，综合考虑相关性、估值、流动性等因素挑选标的指数中其他成份股或备选成份股进行替代或者采用其他指数投资技术适当调整基金投资组合，以期在规定的风险承受限度之内，尽</w:t>
      </w:r>
      <w:r w:rsidRPr="00E14DEA">
        <w:rPr>
          <w:rFonts w:hint="eastAsia"/>
          <w:color w:val="000000"/>
          <w:szCs w:val="21"/>
        </w:rPr>
        <w:lastRenderedPageBreak/>
        <w:t>量缩小跟踪误差。本基金力争使日均跟踪偏离度的绝对值不超过</w:t>
      </w:r>
      <w:r w:rsidRPr="00E14DEA">
        <w:rPr>
          <w:rFonts w:hint="eastAsia"/>
          <w:color w:val="000000"/>
          <w:szCs w:val="21"/>
        </w:rPr>
        <w:t>0.2%</w:t>
      </w:r>
      <w:r w:rsidRPr="00E14DEA">
        <w:rPr>
          <w:rFonts w:hint="eastAsia"/>
          <w:color w:val="000000"/>
          <w:szCs w:val="21"/>
        </w:rPr>
        <w:t>，</w:t>
      </w:r>
      <w:proofErr w:type="gramStart"/>
      <w:r w:rsidRPr="00E14DEA">
        <w:rPr>
          <w:rFonts w:hint="eastAsia"/>
          <w:color w:val="000000"/>
          <w:szCs w:val="21"/>
        </w:rPr>
        <w:t>年化跟踪误差</w:t>
      </w:r>
      <w:proofErr w:type="gramEnd"/>
      <w:r w:rsidRPr="00E14DEA">
        <w:rPr>
          <w:rFonts w:hint="eastAsia"/>
          <w:color w:val="000000"/>
          <w:szCs w:val="21"/>
        </w:rPr>
        <w:t>不超过</w:t>
      </w:r>
      <w:r w:rsidRPr="00E14DEA">
        <w:rPr>
          <w:rFonts w:hint="eastAsia"/>
          <w:color w:val="000000"/>
          <w:szCs w:val="21"/>
        </w:rPr>
        <w:t>2%</w:t>
      </w:r>
      <w:r w:rsidRPr="00E14DEA">
        <w:rPr>
          <w:rFonts w:hint="eastAsia"/>
          <w:color w:val="000000"/>
          <w:szCs w:val="21"/>
        </w:rPr>
        <w:t>。</w:t>
      </w:r>
    </w:p>
    <w:p w14:paraId="01F21D87"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本基金运作过程中，当标的指数成份股发生明显负面事件面临退市，且指数编制机构暂未</w:t>
      </w:r>
      <w:proofErr w:type="gramStart"/>
      <w:r w:rsidRPr="00E14DEA">
        <w:rPr>
          <w:rFonts w:hint="eastAsia"/>
          <w:color w:val="000000"/>
          <w:szCs w:val="21"/>
        </w:rPr>
        <w:t>作出</w:t>
      </w:r>
      <w:proofErr w:type="gramEnd"/>
      <w:r w:rsidRPr="00E14DEA">
        <w:rPr>
          <w:rFonts w:hint="eastAsia"/>
          <w:color w:val="000000"/>
          <w:szCs w:val="21"/>
        </w:rPr>
        <w:t>调整的，基金管理人应当按照基金份额持有人利益优先的原则，履行内部决策程序后及时对相关成份股进行调整。</w:t>
      </w:r>
    </w:p>
    <w:p w14:paraId="406371D3"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2</w:t>
      </w:r>
      <w:r w:rsidRPr="00E14DEA">
        <w:rPr>
          <w:rFonts w:hint="eastAsia"/>
          <w:color w:val="000000"/>
          <w:szCs w:val="21"/>
        </w:rPr>
        <w:t>、股指期货投资策略</w:t>
      </w:r>
    </w:p>
    <w:p w14:paraId="421284D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本基金投资股指期货将根据风险管理的原则，以套期保值为目的，主要选择流动性好、交易活跃的股指期货合约。本基金力争利用股指期货的杠杆作用，降低股票</w:t>
      </w:r>
      <w:proofErr w:type="gramStart"/>
      <w:r w:rsidRPr="00E14DEA">
        <w:rPr>
          <w:rFonts w:hint="eastAsia"/>
          <w:color w:val="000000"/>
          <w:szCs w:val="21"/>
        </w:rPr>
        <w:t>仓位</w:t>
      </w:r>
      <w:proofErr w:type="gramEnd"/>
      <w:r w:rsidRPr="00E14DEA">
        <w:rPr>
          <w:rFonts w:hint="eastAsia"/>
          <w:color w:val="000000"/>
          <w:szCs w:val="21"/>
        </w:rPr>
        <w:t>调整的频率、交易成本和带来的跟踪误差，达到有效跟踪标的指数的目的。</w:t>
      </w:r>
    </w:p>
    <w:p w14:paraId="5B7E3C9C"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3</w:t>
      </w:r>
      <w:r w:rsidRPr="00E14DEA">
        <w:rPr>
          <w:rFonts w:hint="eastAsia"/>
          <w:color w:val="000000"/>
          <w:szCs w:val="21"/>
        </w:rPr>
        <w:t>、股票期权投资策略</w:t>
      </w:r>
    </w:p>
    <w:p w14:paraId="14E82216"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投资股票期权将按照风险管理的原则，以套期保值为主要目的，结合投资目标、比例限制、风险收益特征以及法律法规的相关限定和要求，确定参与股票期权交易的投资时机和投资比例。基金投资股票期权符合基金合同约定的比例限制（如股票</w:t>
      </w:r>
      <w:proofErr w:type="gramStart"/>
      <w:r w:rsidRPr="00E14DEA">
        <w:rPr>
          <w:rFonts w:hint="eastAsia"/>
          <w:color w:val="000000"/>
          <w:szCs w:val="21"/>
        </w:rPr>
        <w:t>仓位</w:t>
      </w:r>
      <w:proofErr w:type="gramEnd"/>
      <w:r w:rsidRPr="00E14DEA">
        <w:rPr>
          <w:rFonts w:hint="eastAsia"/>
          <w:color w:val="000000"/>
          <w:szCs w:val="21"/>
        </w:rPr>
        <w:t>、个股占比等）、投资目标和风险收益特征。</w:t>
      </w:r>
      <w:proofErr w:type="gramStart"/>
      <w:r w:rsidRPr="00E14DEA">
        <w:rPr>
          <w:rFonts w:hint="eastAsia"/>
          <w:color w:val="000000"/>
          <w:szCs w:val="21"/>
        </w:rPr>
        <w:t>若相关</w:t>
      </w:r>
      <w:proofErr w:type="gramEnd"/>
      <w:r w:rsidRPr="00E14DEA">
        <w:rPr>
          <w:rFonts w:hint="eastAsia"/>
          <w:color w:val="000000"/>
          <w:szCs w:val="21"/>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287071AC"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4</w:t>
      </w:r>
      <w:r w:rsidRPr="00E14DEA">
        <w:rPr>
          <w:rFonts w:hint="eastAsia"/>
          <w:color w:val="000000"/>
          <w:szCs w:val="21"/>
        </w:rPr>
        <w:t>、存托凭证投资策略</w:t>
      </w:r>
    </w:p>
    <w:p w14:paraId="7CC5987D"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的存托凭证投资将根据本基金的投资目标和上述股票投资策略，基于对基础证券投资价值的深入研究判断，通过定性和定量分析相结合的方式，筛选具有比较优势的存托凭证作为投资标的，以更好地跟踪标的指数，追求跟踪偏离度和跟踪误差的最小化。</w:t>
      </w:r>
    </w:p>
    <w:p w14:paraId="4377FEC7"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5</w:t>
      </w:r>
      <w:r w:rsidRPr="00E14DEA">
        <w:rPr>
          <w:rFonts w:hint="eastAsia"/>
          <w:color w:val="000000"/>
          <w:szCs w:val="21"/>
        </w:rPr>
        <w:t>、债券投资策略</w:t>
      </w:r>
    </w:p>
    <w:p w14:paraId="6D75EC6F"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出于对流动性、跟踪误差、有效利用基金资产的</w:t>
      </w:r>
      <w:proofErr w:type="gramStart"/>
      <w:r w:rsidRPr="00E14DEA">
        <w:rPr>
          <w:rFonts w:hint="eastAsia"/>
          <w:color w:val="000000"/>
          <w:szCs w:val="21"/>
        </w:rPr>
        <w:t>考量</w:t>
      </w:r>
      <w:proofErr w:type="gramEnd"/>
      <w:r w:rsidRPr="00E14DEA">
        <w:rPr>
          <w:rFonts w:hint="eastAsia"/>
          <w:color w:val="000000"/>
          <w:szCs w:val="21"/>
        </w:rPr>
        <w:t>，本基金适时对债券进行投资。通过研究国内外宏观经济、货币和财政政策、市场结构变化、资金流动情况，采取自上而下的策略判断未来利率变化和收益率曲线变动的趋势及幅度，确定组合久期。进而根据各类资产的预期收益率，确定债券资产配置。</w:t>
      </w:r>
    </w:p>
    <w:p w14:paraId="5FFC5DD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6</w:t>
      </w:r>
      <w:r w:rsidRPr="00E14DEA">
        <w:rPr>
          <w:rFonts w:hint="eastAsia"/>
          <w:color w:val="000000"/>
          <w:szCs w:val="21"/>
        </w:rPr>
        <w:t>、可转换债券投资策略和可交换债券投资策略</w:t>
      </w:r>
    </w:p>
    <w:p w14:paraId="6FA95407"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A)</w:t>
      </w:r>
      <w:r w:rsidRPr="00E14DEA">
        <w:rPr>
          <w:rFonts w:hint="eastAsia"/>
          <w:color w:val="000000"/>
          <w:szCs w:val="21"/>
        </w:rPr>
        <w:t>相对价值分析：基金管理人根据定期公布的宏观和金融数据以及对宏观经济、股市政策、市场趋势的综合分析，判断下一阶段的市场走势，分析可转换债券和可交换债券的股性</w:t>
      </w:r>
      <w:proofErr w:type="gramStart"/>
      <w:r w:rsidRPr="00E14DEA">
        <w:rPr>
          <w:rFonts w:hint="eastAsia"/>
          <w:color w:val="000000"/>
          <w:szCs w:val="21"/>
        </w:rPr>
        <w:t>和债性</w:t>
      </w:r>
      <w:proofErr w:type="gramEnd"/>
      <w:r w:rsidRPr="00E14DEA">
        <w:rPr>
          <w:rFonts w:hint="eastAsia"/>
          <w:color w:val="000000"/>
          <w:szCs w:val="21"/>
        </w:rPr>
        <w:t>的相对价值。通过对可转换债券和可交换债券的转股溢价率和</w:t>
      </w:r>
      <w:r w:rsidRPr="00E14DEA">
        <w:rPr>
          <w:rFonts w:hint="eastAsia"/>
          <w:color w:val="000000"/>
          <w:szCs w:val="21"/>
        </w:rPr>
        <w:t>Delta</w:t>
      </w:r>
      <w:r w:rsidRPr="00E14DEA">
        <w:rPr>
          <w:rFonts w:hint="eastAsia"/>
          <w:color w:val="000000"/>
          <w:szCs w:val="21"/>
        </w:rPr>
        <w:t>系数的度量，筛选出股性</w:t>
      </w:r>
      <w:proofErr w:type="gramStart"/>
      <w:r w:rsidRPr="00E14DEA">
        <w:rPr>
          <w:rFonts w:hint="eastAsia"/>
          <w:color w:val="000000"/>
          <w:szCs w:val="21"/>
        </w:rPr>
        <w:t>或债性</w:t>
      </w:r>
      <w:proofErr w:type="gramEnd"/>
      <w:r w:rsidRPr="00E14DEA">
        <w:rPr>
          <w:rFonts w:hint="eastAsia"/>
          <w:color w:val="000000"/>
          <w:szCs w:val="21"/>
        </w:rPr>
        <w:t>较强的品种作为下一阶段的投资重点。</w:t>
      </w:r>
    </w:p>
    <w:p w14:paraId="4E09769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B)</w:t>
      </w:r>
      <w:r w:rsidRPr="00E14DEA">
        <w:rPr>
          <w:rFonts w:hint="eastAsia"/>
          <w:color w:val="000000"/>
          <w:szCs w:val="21"/>
        </w:rPr>
        <w:t>基本面研究：基金管理人依据内、外部研究成果，运用景顺长城股票研究数据库（</w:t>
      </w:r>
      <w:r w:rsidRPr="00E14DEA">
        <w:rPr>
          <w:rFonts w:hint="eastAsia"/>
          <w:color w:val="000000"/>
          <w:szCs w:val="21"/>
        </w:rPr>
        <w:t>SRD</w:t>
      </w:r>
      <w:r w:rsidRPr="00E14DEA">
        <w:rPr>
          <w:rFonts w:hint="eastAsia"/>
          <w:color w:val="000000"/>
          <w:szCs w:val="21"/>
        </w:rPr>
        <w:t>）对可转换债券和可交换债券标的公司进行多方位、多角度的分析，重点选择行业景气度较高、公司基本面素质优良的标的公司。</w:t>
      </w:r>
    </w:p>
    <w:p w14:paraId="5C178E57"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lastRenderedPageBreak/>
        <w:t>C)</w:t>
      </w:r>
      <w:r w:rsidRPr="00E14DEA">
        <w:rPr>
          <w:rFonts w:hint="eastAsia"/>
          <w:color w:val="000000"/>
          <w:szCs w:val="21"/>
        </w:rPr>
        <w:t>估值分析：在基本面分析的基础上，运用</w:t>
      </w:r>
      <w:r w:rsidRPr="00E14DEA">
        <w:rPr>
          <w:rFonts w:hint="eastAsia"/>
          <w:color w:val="000000"/>
          <w:szCs w:val="21"/>
        </w:rPr>
        <w:t>PE</w:t>
      </w:r>
      <w:r w:rsidRPr="00E14DEA">
        <w:rPr>
          <w:rFonts w:hint="eastAsia"/>
          <w:color w:val="000000"/>
          <w:szCs w:val="21"/>
        </w:rPr>
        <w:t>、</w:t>
      </w:r>
      <w:r w:rsidRPr="00E14DEA">
        <w:rPr>
          <w:rFonts w:hint="eastAsia"/>
          <w:color w:val="000000"/>
          <w:szCs w:val="21"/>
        </w:rPr>
        <w:t>PB</w:t>
      </w:r>
      <w:r w:rsidRPr="00E14DEA">
        <w:rPr>
          <w:rFonts w:hint="eastAsia"/>
          <w:color w:val="000000"/>
          <w:szCs w:val="21"/>
        </w:rPr>
        <w:t>、</w:t>
      </w:r>
      <w:r w:rsidRPr="00E14DEA">
        <w:rPr>
          <w:rFonts w:hint="eastAsia"/>
          <w:color w:val="000000"/>
          <w:szCs w:val="21"/>
        </w:rPr>
        <w:t>PCF</w:t>
      </w:r>
      <w:r w:rsidRPr="00E14DEA">
        <w:rPr>
          <w:rFonts w:hint="eastAsia"/>
          <w:color w:val="000000"/>
          <w:szCs w:val="21"/>
        </w:rPr>
        <w:t>、</w:t>
      </w:r>
      <w:r w:rsidRPr="00E14DEA">
        <w:rPr>
          <w:rFonts w:hint="eastAsia"/>
          <w:color w:val="000000"/>
          <w:szCs w:val="21"/>
        </w:rPr>
        <w:t>EV/EBITDA</w:t>
      </w:r>
      <w:r w:rsidRPr="00E14DEA">
        <w:rPr>
          <w:rFonts w:hint="eastAsia"/>
          <w:color w:val="000000"/>
          <w:szCs w:val="21"/>
        </w:rPr>
        <w:t>、</w:t>
      </w:r>
      <w:r w:rsidRPr="00E14DEA">
        <w:rPr>
          <w:rFonts w:hint="eastAsia"/>
          <w:color w:val="000000"/>
          <w:szCs w:val="21"/>
        </w:rPr>
        <w:t>PEG</w:t>
      </w:r>
      <w:r w:rsidRPr="00E14DEA">
        <w:rPr>
          <w:rFonts w:hint="eastAsia"/>
          <w:color w:val="000000"/>
          <w:szCs w:val="21"/>
        </w:rPr>
        <w:t>等相对估值指标以及</w:t>
      </w:r>
      <w:r w:rsidRPr="00E14DEA">
        <w:rPr>
          <w:rFonts w:hint="eastAsia"/>
          <w:color w:val="000000"/>
          <w:szCs w:val="21"/>
        </w:rPr>
        <w:t>DCF</w:t>
      </w:r>
      <w:r w:rsidRPr="00E14DEA">
        <w:rPr>
          <w:rFonts w:hint="eastAsia"/>
          <w:color w:val="000000"/>
          <w:szCs w:val="21"/>
        </w:rPr>
        <w:t>、</w:t>
      </w:r>
      <w:r w:rsidRPr="00E14DEA">
        <w:rPr>
          <w:rFonts w:hint="eastAsia"/>
          <w:color w:val="000000"/>
          <w:szCs w:val="21"/>
        </w:rPr>
        <w:t>DDM</w:t>
      </w:r>
      <w:r w:rsidRPr="00E14DEA">
        <w:rPr>
          <w:rFonts w:hint="eastAsia"/>
          <w:color w:val="000000"/>
          <w:szCs w:val="21"/>
        </w:rPr>
        <w:t>等绝对估值方法对标的公司的股票价值进行评估，并根据标的股票的当前价格和目标价格，运用期权定价模型分别计算可转换债券和可交换债券当前的理论价格和未来目标价格，进行投资决策。</w:t>
      </w:r>
    </w:p>
    <w:p w14:paraId="0EBC99BE"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7</w:t>
      </w:r>
      <w:r w:rsidRPr="00E14DEA">
        <w:rPr>
          <w:rFonts w:hint="eastAsia"/>
          <w:color w:val="000000"/>
          <w:szCs w:val="21"/>
        </w:rPr>
        <w:t>、融资及转融通证券出借业务投资策略</w:t>
      </w:r>
    </w:p>
    <w:p w14:paraId="7462C45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本基金在参与融资、转融通证券出借业务时将根据风险管理的原则，在法律法规允许的范围和比例内、风险可控的前提下，本着谨慎原则，参与融资和转融通证券出借业务。</w:t>
      </w:r>
    </w:p>
    <w:p w14:paraId="0C135843"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参与融资业务时，本基金将力争利用融资的杠杆作用，降低因申购造成基金</w:t>
      </w:r>
      <w:proofErr w:type="gramStart"/>
      <w:r w:rsidRPr="00E14DEA">
        <w:rPr>
          <w:rFonts w:hint="eastAsia"/>
          <w:color w:val="000000"/>
          <w:szCs w:val="21"/>
        </w:rPr>
        <w:t>仓位</w:t>
      </w:r>
      <w:proofErr w:type="gramEnd"/>
      <w:r w:rsidRPr="00E14DEA">
        <w:rPr>
          <w:rFonts w:hint="eastAsia"/>
          <w:color w:val="000000"/>
          <w:szCs w:val="21"/>
        </w:rPr>
        <w:t>较低带来的跟踪误差，达到有效跟踪标的指数的目的。</w:t>
      </w:r>
    </w:p>
    <w:p w14:paraId="5D2DB23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为更好实现投资目标，在加强风险防范并遵守审慎原则的前提下，本基金可根据投资管理的需要参与转融通证券出借业务。本基金将在分析市场情况、投资者类型与结构、基金</w:t>
      </w:r>
      <w:proofErr w:type="gramStart"/>
      <w:r w:rsidRPr="00E14DEA">
        <w:rPr>
          <w:rFonts w:hint="eastAsia"/>
          <w:color w:val="000000"/>
          <w:szCs w:val="21"/>
        </w:rPr>
        <w:t>历史申赎情况</w:t>
      </w:r>
      <w:proofErr w:type="gramEnd"/>
      <w:r w:rsidRPr="00E14DEA">
        <w:rPr>
          <w:rFonts w:hint="eastAsia"/>
          <w:color w:val="000000"/>
          <w:szCs w:val="21"/>
        </w:rPr>
        <w:t>、出借证券流动性等因素的基础上，合理确定出借证券的范围、期限和比例。参与转融通证券出借业务时，本基金将从基金持有的融券标的股票中选择流动性好、交易活跃的股票作为转融通出借交易对象，力争为本基金份额持有人增厚投资收益。</w:t>
      </w:r>
    </w:p>
    <w:p w14:paraId="4CAEC038" w14:textId="77777777"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未来，随着投资工具的发展和丰富，本基金可在不改变投资目标的前提下，履行适当程序</w:t>
      </w:r>
      <w:proofErr w:type="gramStart"/>
      <w:r w:rsidRPr="00E14DEA">
        <w:rPr>
          <w:rFonts w:hint="eastAsia"/>
          <w:color w:val="000000"/>
          <w:szCs w:val="21"/>
        </w:rPr>
        <w:t>后相应</w:t>
      </w:r>
      <w:proofErr w:type="gramEnd"/>
      <w:r w:rsidRPr="00E14DEA">
        <w:rPr>
          <w:rFonts w:hint="eastAsia"/>
          <w:color w:val="000000"/>
          <w:szCs w:val="21"/>
        </w:rPr>
        <w:t>调整和更新相关投资策略，并在招募说明书更新中公告。</w:t>
      </w:r>
    </w:p>
    <w:p w14:paraId="4ED8C93D" w14:textId="35D52DF9" w:rsidR="00175DB4" w:rsidRDefault="000519D1">
      <w:pPr>
        <w:tabs>
          <w:tab w:val="left" w:pos="540"/>
        </w:tabs>
        <w:snapToGrid w:val="0"/>
        <w:spacing w:line="360" w:lineRule="auto"/>
        <w:ind w:firstLineChars="200" w:firstLine="420"/>
        <w:rPr>
          <w:color w:val="000000"/>
          <w:szCs w:val="21"/>
        </w:rPr>
      </w:pPr>
      <w:r>
        <w:rPr>
          <w:color w:val="000000"/>
          <w:szCs w:val="21"/>
        </w:rPr>
        <w:t>（</w:t>
      </w:r>
      <w:r w:rsidR="00624F23">
        <w:rPr>
          <w:rFonts w:hint="eastAsia"/>
          <w:color w:val="000000"/>
          <w:szCs w:val="21"/>
        </w:rPr>
        <w:t>四</w:t>
      </w:r>
      <w:r>
        <w:rPr>
          <w:color w:val="000000"/>
          <w:szCs w:val="21"/>
        </w:rPr>
        <w:t>）投资限制</w:t>
      </w:r>
    </w:p>
    <w:p w14:paraId="6DAD0CAA" w14:textId="77777777" w:rsidR="00175DB4" w:rsidRDefault="000519D1">
      <w:pPr>
        <w:spacing w:line="460" w:lineRule="exact"/>
        <w:ind w:firstLineChars="200" w:firstLine="420"/>
        <w:rPr>
          <w:color w:val="000000"/>
          <w:szCs w:val="21"/>
        </w:rPr>
      </w:pPr>
      <w:r>
        <w:rPr>
          <w:color w:val="000000"/>
          <w:szCs w:val="21"/>
        </w:rPr>
        <w:t>1</w:t>
      </w:r>
      <w:r>
        <w:rPr>
          <w:rFonts w:hint="eastAsia"/>
          <w:color w:val="000000"/>
          <w:szCs w:val="21"/>
        </w:rPr>
        <w:t>、组合限制</w:t>
      </w:r>
    </w:p>
    <w:p w14:paraId="22CBB7FE" w14:textId="77777777" w:rsidR="00175DB4" w:rsidRDefault="000519D1">
      <w:pPr>
        <w:spacing w:line="460" w:lineRule="exact"/>
        <w:ind w:firstLineChars="200" w:firstLine="420"/>
        <w:rPr>
          <w:color w:val="000000"/>
          <w:szCs w:val="21"/>
        </w:rPr>
      </w:pPr>
      <w:r>
        <w:rPr>
          <w:rFonts w:hint="eastAsia"/>
          <w:color w:val="000000"/>
          <w:szCs w:val="21"/>
        </w:rPr>
        <w:t>基金的投资组合应遵循以下限制：</w:t>
      </w:r>
    </w:p>
    <w:p w14:paraId="01BAE3FD"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w:t>
      </w:r>
      <w:r w:rsidRPr="00E14DEA">
        <w:rPr>
          <w:rFonts w:hint="eastAsia"/>
          <w:color w:val="000000"/>
          <w:szCs w:val="21"/>
        </w:rPr>
        <w:t>）本基金投资于标的指数成份股及备选成份股的资产不低于基金资产净值的</w:t>
      </w:r>
      <w:r w:rsidRPr="00E14DEA">
        <w:rPr>
          <w:rFonts w:hint="eastAsia"/>
          <w:color w:val="000000"/>
          <w:szCs w:val="21"/>
        </w:rPr>
        <w:t>90%</w:t>
      </w:r>
      <w:r w:rsidRPr="00E14DEA">
        <w:rPr>
          <w:rFonts w:hint="eastAsia"/>
          <w:color w:val="000000"/>
          <w:szCs w:val="21"/>
        </w:rPr>
        <w:t>，且不低于非现金基金资产的</w:t>
      </w:r>
      <w:r w:rsidRPr="00E14DEA">
        <w:rPr>
          <w:rFonts w:hint="eastAsia"/>
          <w:color w:val="000000"/>
          <w:szCs w:val="21"/>
        </w:rPr>
        <w:t>80</w:t>
      </w:r>
      <w:r w:rsidRPr="00E14DEA">
        <w:rPr>
          <w:rFonts w:hint="eastAsia"/>
          <w:color w:val="000000"/>
          <w:szCs w:val="21"/>
        </w:rPr>
        <w:t>％，因法律法规的规定而受限制的情形除外；</w:t>
      </w:r>
    </w:p>
    <w:p w14:paraId="79C90E50"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2</w:t>
      </w:r>
      <w:r w:rsidRPr="00E14DEA">
        <w:rPr>
          <w:rFonts w:hint="eastAsia"/>
          <w:color w:val="000000"/>
          <w:szCs w:val="21"/>
        </w:rPr>
        <w:t>）本基金投资于同一原始权益人的各类资产支持证券的比例，不得超过基金资产净值的</w:t>
      </w:r>
      <w:r w:rsidRPr="00E14DEA">
        <w:rPr>
          <w:rFonts w:hint="eastAsia"/>
          <w:color w:val="000000"/>
          <w:szCs w:val="21"/>
        </w:rPr>
        <w:t>10</w:t>
      </w:r>
      <w:r w:rsidRPr="00E14DEA">
        <w:rPr>
          <w:rFonts w:hint="eastAsia"/>
          <w:color w:val="000000"/>
          <w:szCs w:val="21"/>
        </w:rPr>
        <w:t>％；</w:t>
      </w:r>
    </w:p>
    <w:p w14:paraId="3137161E"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3</w:t>
      </w:r>
      <w:r w:rsidRPr="00E14DEA">
        <w:rPr>
          <w:rFonts w:hint="eastAsia"/>
          <w:color w:val="000000"/>
          <w:szCs w:val="21"/>
        </w:rPr>
        <w:t>）本基金持有的全部资产支持证券，其市值不得超过基金资产净值的</w:t>
      </w:r>
      <w:r w:rsidRPr="00E14DEA">
        <w:rPr>
          <w:rFonts w:hint="eastAsia"/>
          <w:color w:val="000000"/>
          <w:szCs w:val="21"/>
        </w:rPr>
        <w:t>20</w:t>
      </w:r>
      <w:r w:rsidRPr="00E14DEA">
        <w:rPr>
          <w:rFonts w:hint="eastAsia"/>
          <w:color w:val="000000"/>
          <w:szCs w:val="21"/>
        </w:rPr>
        <w:t>％；</w:t>
      </w:r>
    </w:p>
    <w:p w14:paraId="29583B77"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4</w:t>
      </w:r>
      <w:r w:rsidRPr="00E14DEA">
        <w:rPr>
          <w:rFonts w:hint="eastAsia"/>
          <w:color w:val="000000"/>
          <w:szCs w:val="21"/>
        </w:rPr>
        <w:t>）本基金持有的同一</w:t>
      </w:r>
      <w:r w:rsidRPr="00E14DEA">
        <w:rPr>
          <w:rFonts w:hint="eastAsia"/>
          <w:color w:val="000000"/>
          <w:szCs w:val="21"/>
        </w:rPr>
        <w:t>(</w:t>
      </w:r>
      <w:r w:rsidRPr="00E14DEA">
        <w:rPr>
          <w:rFonts w:hint="eastAsia"/>
          <w:color w:val="000000"/>
          <w:szCs w:val="21"/>
        </w:rPr>
        <w:t>指同一信用级别</w:t>
      </w:r>
      <w:r w:rsidRPr="00E14DEA">
        <w:rPr>
          <w:rFonts w:hint="eastAsia"/>
          <w:color w:val="000000"/>
          <w:szCs w:val="21"/>
        </w:rPr>
        <w:t>)</w:t>
      </w:r>
      <w:r w:rsidRPr="00E14DEA">
        <w:rPr>
          <w:rFonts w:hint="eastAsia"/>
          <w:color w:val="000000"/>
          <w:szCs w:val="21"/>
        </w:rPr>
        <w:t>资产支持证券的比例，不得超过该资产支持证券规模的</w:t>
      </w:r>
      <w:r w:rsidRPr="00E14DEA">
        <w:rPr>
          <w:rFonts w:hint="eastAsia"/>
          <w:color w:val="000000"/>
          <w:szCs w:val="21"/>
        </w:rPr>
        <w:t>10</w:t>
      </w:r>
      <w:r w:rsidRPr="00E14DEA">
        <w:rPr>
          <w:rFonts w:hint="eastAsia"/>
          <w:color w:val="000000"/>
          <w:szCs w:val="21"/>
        </w:rPr>
        <w:t>％；</w:t>
      </w:r>
    </w:p>
    <w:p w14:paraId="38EE1168"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5</w:t>
      </w:r>
      <w:r w:rsidRPr="00E14DEA">
        <w:rPr>
          <w:rFonts w:hint="eastAsia"/>
          <w:color w:val="000000"/>
          <w:szCs w:val="21"/>
        </w:rPr>
        <w:t>）本基金管理人管理的全部基金投资于同一原始权益人的各类资产支持证券，不得超过其各类资产支持证券合计规模的</w:t>
      </w:r>
      <w:r w:rsidRPr="00E14DEA">
        <w:rPr>
          <w:rFonts w:hint="eastAsia"/>
          <w:color w:val="000000"/>
          <w:szCs w:val="21"/>
        </w:rPr>
        <w:t>10</w:t>
      </w:r>
      <w:r w:rsidRPr="00E14DEA">
        <w:rPr>
          <w:rFonts w:hint="eastAsia"/>
          <w:color w:val="000000"/>
          <w:szCs w:val="21"/>
        </w:rPr>
        <w:t>％；</w:t>
      </w:r>
    </w:p>
    <w:p w14:paraId="201EA012"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6</w:t>
      </w:r>
      <w:r w:rsidRPr="00E14DEA">
        <w:rPr>
          <w:rFonts w:hint="eastAsia"/>
          <w:color w:val="000000"/>
          <w:szCs w:val="21"/>
        </w:rPr>
        <w:t>）本基金应投资于信用级别评级为</w:t>
      </w:r>
      <w:r w:rsidRPr="00E14DEA">
        <w:rPr>
          <w:rFonts w:hint="eastAsia"/>
          <w:color w:val="000000"/>
          <w:szCs w:val="21"/>
        </w:rPr>
        <w:t>BBB</w:t>
      </w:r>
      <w:r w:rsidRPr="00E14DEA">
        <w:rPr>
          <w:rFonts w:hint="eastAsia"/>
          <w:color w:val="000000"/>
          <w:szCs w:val="21"/>
        </w:rPr>
        <w:t>以上</w:t>
      </w:r>
      <w:r w:rsidRPr="00E14DEA">
        <w:rPr>
          <w:rFonts w:hint="eastAsia"/>
          <w:color w:val="000000"/>
          <w:szCs w:val="21"/>
        </w:rPr>
        <w:t>(</w:t>
      </w:r>
      <w:r w:rsidRPr="00E14DEA">
        <w:rPr>
          <w:rFonts w:hint="eastAsia"/>
          <w:color w:val="000000"/>
          <w:szCs w:val="21"/>
        </w:rPr>
        <w:t>含</w:t>
      </w:r>
      <w:r w:rsidRPr="00E14DEA">
        <w:rPr>
          <w:rFonts w:hint="eastAsia"/>
          <w:color w:val="000000"/>
          <w:szCs w:val="21"/>
        </w:rPr>
        <w:t>BBB)</w:t>
      </w:r>
      <w:r w:rsidRPr="00E14DEA">
        <w:rPr>
          <w:rFonts w:hint="eastAsia"/>
          <w:color w:val="000000"/>
          <w:szCs w:val="21"/>
        </w:rPr>
        <w:t>的资产支持证券。基金持有资产支持证券期间，如果其信用等级下降、不再符合投资标准，应在评级报告发布之日起</w:t>
      </w:r>
      <w:r w:rsidRPr="00E14DEA">
        <w:rPr>
          <w:rFonts w:hint="eastAsia"/>
          <w:color w:val="000000"/>
          <w:szCs w:val="21"/>
        </w:rPr>
        <w:t>3</w:t>
      </w:r>
      <w:r w:rsidRPr="00E14DEA">
        <w:rPr>
          <w:rFonts w:hint="eastAsia"/>
          <w:color w:val="000000"/>
          <w:szCs w:val="21"/>
        </w:rPr>
        <w:t>个月内予以全部卖出；</w:t>
      </w:r>
    </w:p>
    <w:p w14:paraId="51EF8B7C"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7</w:t>
      </w:r>
      <w:r w:rsidRPr="00E14DEA">
        <w:rPr>
          <w:rFonts w:hint="eastAsia"/>
          <w:color w:val="000000"/>
          <w:szCs w:val="21"/>
        </w:rPr>
        <w:t>）基金财产参与股票发行申购，本基金所申报的金额不超过本基金的总资产，本</w:t>
      </w:r>
      <w:r w:rsidRPr="00E14DEA">
        <w:rPr>
          <w:rFonts w:hint="eastAsia"/>
          <w:color w:val="000000"/>
          <w:szCs w:val="21"/>
        </w:rPr>
        <w:lastRenderedPageBreak/>
        <w:t>基金所申报的股票数量不超过拟发行股票公司本次发行股票的总量；</w:t>
      </w:r>
    </w:p>
    <w:p w14:paraId="6DC6EFAF"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8</w:t>
      </w:r>
      <w:r w:rsidRPr="00E14DEA">
        <w:rPr>
          <w:rFonts w:hint="eastAsia"/>
          <w:color w:val="000000"/>
          <w:szCs w:val="21"/>
        </w:rPr>
        <w:t>）本基金参与股指期货交易依据下列标准建构组合：</w:t>
      </w:r>
    </w:p>
    <w:p w14:paraId="03E5EC09"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8.1 </w:t>
      </w:r>
      <w:r w:rsidRPr="00E14DEA">
        <w:rPr>
          <w:rFonts w:hint="eastAsia"/>
          <w:color w:val="000000"/>
          <w:szCs w:val="21"/>
        </w:rPr>
        <w:t>本基金在任何交易日日终，持有的买入股指期货合约价值，不得超过基金资产净值的</w:t>
      </w:r>
      <w:r w:rsidRPr="00E14DEA">
        <w:rPr>
          <w:rFonts w:hint="eastAsia"/>
          <w:color w:val="000000"/>
          <w:szCs w:val="21"/>
        </w:rPr>
        <w:t>10%</w:t>
      </w:r>
      <w:r w:rsidRPr="00E14DEA">
        <w:rPr>
          <w:rFonts w:hint="eastAsia"/>
          <w:color w:val="000000"/>
          <w:szCs w:val="21"/>
        </w:rPr>
        <w:t>；</w:t>
      </w:r>
    </w:p>
    <w:p w14:paraId="269CD8A2"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8.2 </w:t>
      </w:r>
      <w:r w:rsidRPr="00E14DEA">
        <w:rPr>
          <w:rFonts w:hint="eastAsia"/>
          <w:color w:val="000000"/>
          <w:szCs w:val="21"/>
        </w:rPr>
        <w:t>本基金在任何交易日日终，持有的买入股指期货合约价值与有价证券市值之和不得超过基金资产净值的</w:t>
      </w:r>
      <w:r w:rsidRPr="00E14DEA">
        <w:rPr>
          <w:rFonts w:hint="eastAsia"/>
          <w:color w:val="000000"/>
          <w:szCs w:val="21"/>
        </w:rPr>
        <w:t>100%</w:t>
      </w:r>
      <w:r w:rsidRPr="00E14DEA">
        <w:rPr>
          <w:rFonts w:hint="eastAsia"/>
          <w:color w:val="000000"/>
          <w:szCs w:val="21"/>
        </w:rPr>
        <w:t>，其中，有价证券指股票、债券（不含到期日在一年以内的政府债券）、资产支持证券、买入返售金融资产（不含质押式回购）等；</w:t>
      </w:r>
    </w:p>
    <w:p w14:paraId="6A2F7DA4"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8.3 </w:t>
      </w:r>
      <w:r w:rsidRPr="00E14DEA">
        <w:rPr>
          <w:rFonts w:hint="eastAsia"/>
          <w:color w:val="000000"/>
          <w:szCs w:val="21"/>
        </w:rPr>
        <w:t>本基金在任何交易日日终，持有的卖出股指期货合约价值不得超过本基金持有的股票总市值的</w:t>
      </w:r>
      <w:r w:rsidRPr="00E14DEA">
        <w:rPr>
          <w:rFonts w:hint="eastAsia"/>
          <w:color w:val="000000"/>
          <w:szCs w:val="21"/>
        </w:rPr>
        <w:t>20%</w:t>
      </w:r>
      <w:r w:rsidRPr="00E14DEA">
        <w:rPr>
          <w:rFonts w:hint="eastAsia"/>
          <w:color w:val="000000"/>
          <w:szCs w:val="21"/>
        </w:rPr>
        <w:t>；</w:t>
      </w:r>
    </w:p>
    <w:p w14:paraId="3AF3DEA9"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8.4 </w:t>
      </w:r>
      <w:r w:rsidRPr="00E14DEA">
        <w:rPr>
          <w:rFonts w:hint="eastAsia"/>
          <w:color w:val="000000"/>
          <w:szCs w:val="21"/>
        </w:rPr>
        <w:t>本基金所持有的股票市值和买入、卖出股指期货合约价值，合计（轧差计算）应当符合基金合同关于股票投资比例的有关约定；</w:t>
      </w:r>
    </w:p>
    <w:p w14:paraId="38B1CA51"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8.5 </w:t>
      </w:r>
      <w:r w:rsidRPr="00E14DEA">
        <w:rPr>
          <w:rFonts w:hint="eastAsia"/>
          <w:color w:val="000000"/>
          <w:szCs w:val="21"/>
        </w:rPr>
        <w:t>本基金在任何交易日内交易（不包括平仓）的股指期货合约的成交金额不得超过上一交易日基金资产净值的</w:t>
      </w:r>
      <w:r w:rsidRPr="00E14DEA">
        <w:rPr>
          <w:rFonts w:hint="eastAsia"/>
          <w:color w:val="000000"/>
          <w:szCs w:val="21"/>
        </w:rPr>
        <w:t>20%</w:t>
      </w:r>
      <w:r w:rsidRPr="00E14DEA">
        <w:rPr>
          <w:rFonts w:hint="eastAsia"/>
          <w:color w:val="000000"/>
          <w:szCs w:val="21"/>
        </w:rPr>
        <w:t>；</w:t>
      </w:r>
    </w:p>
    <w:p w14:paraId="17AB65DC"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8.6</w:t>
      </w:r>
      <w:r w:rsidRPr="00E14DEA">
        <w:rPr>
          <w:rFonts w:hint="eastAsia"/>
          <w:color w:val="000000"/>
          <w:szCs w:val="21"/>
        </w:rPr>
        <w:t>本基金每个交易日日终在扣除股指期货合约、股票期权合约需缴纳的交易保证金后，应当保持不低于交易保证金一倍的现金，其中，现金不包括结算备付金、存出保证金和应收申购款等；</w:t>
      </w:r>
    </w:p>
    <w:p w14:paraId="256F79FF"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9</w:t>
      </w:r>
      <w:r w:rsidRPr="00E14DEA">
        <w:rPr>
          <w:rFonts w:hint="eastAsia"/>
          <w:color w:val="000000"/>
          <w:szCs w:val="21"/>
        </w:rPr>
        <w:t>）因未平仓的股票期权合约支付和收取的权利金总额不得超过基金资产净值的</w:t>
      </w:r>
      <w:r w:rsidRPr="00E14DEA">
        <w:rPr>
          <w:rFonts w:hint="eastAsia"/>
          <w:color w:val="000000"/>
          <w:szCs w:val="21"/>
        </w:rPr>
        <w:t>10%</w:t>
      </w:r>
      <w:r w:rsidRPr="00E14DEA">
        <w:rPr>
          <w:rFonts w:hint="eastAsia"/>
          <w:color w:val="000000"/>
          <w:szCs w:val="21"/>
        </w:rPr>
        <w:t>；开仓卖出认购股票期权的，应持有足额标的证券；开仓卖出认</w:t>
      </w:r>
      <w:proofErr w:type="gramStart"/>
      <w:r w:rsidRPr="00E14DEA">
        <w:rPr>
          <w:rFonts w:hint="eastAsia"/>
          <w:color w:val="000000"/>
          <w:szCs w:val="21"/>
        </w:rPr>
        <w:t>沽股票</w:t>
      </w:r>
      <w:proofErr w:type="gramEnd"/>
      <w:r w:rsidRPr="00E14DEA">
        <w:rPr>
          <w:rFonts w:hint="eastAsia"/>
          <w:color w:val="000000"/>
          <w:szCs w:val="21"/>
        </w:rPr>
        <w:t>期权的，应持有合约行权所需的全额现金或交易所规则认可的可冲抵股票期权保证金的现金等价物；未平仓的股票期权合约面值不得超过基金资产净值的</w:t>
      </w:r>
      <w:r w:rsidRPr="00E14DEA">
        <w:rPr>
          <w:rFonts w:hint="eastAsia"/>
          <w:color w:val="000000"/>
          <w:szCs w:val="21"/>
        </w:rPr>
        <w:t>20%</w:t>
      </w:r>
      <w:r w:rsidRPr="00E14DEA">
        <w:rPr>
          <w:rFonts w:hint="eastAsia"/>
          <w:color w:val="000000"/>
          <w:szCs w:val="21"/>
        </w:rPr>
        <w:t>。其中，合约面值按照行权价乘以合约乘数计算；基金投资股票期权符合基金合同约定的比例限制（如股票</w:t>
      </w:r>
      <w:proofErr w:type="gramStart"/>
      <w:r w:rsidRPr="00E14DEA">
        <w:rPr>
          <w:rFonts w:hint="eastAsia"/>
          <w:color w:val="000000"/>
          <w:szCs w:val="21"/>
        </w:rPr>
        <w:t>仓位</w:t>
      </w:r>
      <w:proofErr w:type="gramEnd"/>
      <w:r w:rsidRPr="00E14DEA">
        <w:rPr>
          <w:rFonts w:hint="eastAsia"/>
          <w:color w:val="000000"/>
          <w:szCs w:val="21"/>
        </w:rPr>
        <w:t>、个股占比等）、投资目标和风险收益特征；</w:t>
      </w:r>
    </w:p>
    <w:p w14:paraId="40A7F3A5"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10</w:t>
      </w:r>
      <w:r w:rsidRPr="00E14DEA">
        <w:rPr>
          <w:rFonts w:hint="eastAsia"/>
          <w:color w:val="000000"/>
          <w:szCs w:val="21"/>
        </w:rPr>
        <w:t>）本基金参与融资的，每个交易日日终，本基金持有的融资买入股票与</w:t>
      </w:r>
    </w:p>
    <w:p w14:paraId="063AC9C7"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其他有价证券市值之和，不得超过基金资产净值的</w:t>
      </w:r>
      <w:r w:rsidRPr="00E14DEA">
        <w:rPr>
          <w:rFonts w:hint="eastAsia"/>
          <w:color w:val="000000"/>
          <w:szCs w:val="21"/>
        </w:rPr>
        <w:t>95%</w:t>
      </w:r>
      <w:r w:rsidRPr="00E14DEA">
        <w:rPr>
          <w:rFonts w:hint="eastAsia"/>
          <w:color w:val="000000"/>
          <w:szCs w:val="21"/>
        </w:rPr>
        <w:t>；</w:t>
      </w:r>
    </w:p>
    <w:p w14:paraId="185B79B0"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11</w:t>
      </w:r>
      <w:r w:rsidRPr="00E14DEA">
        <w:rPr>
          <w:rFonts w:hint="eastAsia"/>
          <w:color w:val="000000"/>
          <w:szCs w:val="21"/>
        </w:rPr>
        <w:t>）本基金参与转融通证券出借业务，应当遵守以下交易限制：</w:t>
      </w:r>
    </w:p>
    <w:p w14:paraId="085816BA"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11.1 </w:t>
      </w:r>
      <w:r w:rsidRPr="00E14DEA">
        <w:rPr>
          <w:rFonts w:hint="eastAsia"/>
          <w:color w:val="000000"/>
          <w:szCs w:val="21"/>
        </w:rPr>
        <w:t>参与转融通证券出借业务的资产不得超过基金资产净值的</w:t>
      </w:r>
      <w:r w:rsidRPr="00E14DEA">
        <w:rPr>
          <w:rFonts w:hint="eastAsia"/>
          <w:color w:val="000000"/>
          <w:szCs w:val="21"/>
        </w:rPr>
        <w:t>30%</w:t>
      </w:r>
      <w:r w:rsidRPr="00E14DEA">
        <w:rPr>
          <w:rFonts w:hint="eastAsia"/>
          <w:color w:val="000000"/>
          <w:szCs w:val="21"/>
        </w:rPr>
        <w:t>，其中出借期限在</w:t>
      </w:r>
      <w:r w:rsidRPr="00E14DEA">
        <w:rPr>
          <w:rFonts w:hint="eastAsia"/>
          <w:color w:val="000000"/>
          <w:szCs w:val="21"/>
        </w:rPr>
        <w:t>10</w:t>
      </w:r>
      <w:r w:rsidRPr="00E14DEA">
        <w:rPr>
          <w:rFonts w:hint="eastAsia"/>
          <w:color w:val="000000"/>
          <w:szCs w:val="21"/>
        </w:rPr>
        <w:t>个交易日以上的出借证券应纳入《流动性风险管理规定》所述流动性受限证券的范围；</w:t>
      </w:r>
    </w:p>
    <w:p w14:paraId="366CA37B"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11.2 </w:t>
      </w:r>
      <w:r w:rsidRPr="00E14DEA">
        <w:rPr>
          <w:rFonts w:hint="eastAsia"/>
          <w:color w:val="000000"/>
          <w:szCs w:val="21"/>
        </w:rPr>
        <w:t>参与转融通证券出借业务的单只证券不得超过基金持有该证券总量的</w:t>
      </w:r>
      <w:r w:rsidRPr="00E14DEA">
        <w:rPr>
          <w:rFonts w:hint="eastAsia"/>
          <w:color w:val="000000"/>
          <w:szCs w:val="21"/>
        </w:rPr>
        <w:t>30%</w:t>
      </w:r>
      <w:r w:rsidRPr="00E14DEA">
        <w:rPr>
          <w:rFonts w:hint="eastAsia"/>
          <w:color w:val="000000"/>
          <w:szCs w:val="21"/>
        </w:rPr>
        <w:t>；</w:t>
      </w:r>
    </w:p>
    <w:p w14:paraId="00C86B39"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 xml:space="preserve">11.3 </w:t>
      </w:r>
      <w:r w:rsidRPr="00E14DEA">
        <w:rPr>
          <w:rFonts w:hint="eastAsia"/>
          <w:color w:val="000000"/>
          <w:szCs w:val="21"/>
        </w:rPr>
        <w:t>最近</w:t>
      </w:r>
      <w:r w:rsidRPr="00E14DEA">
        <w:rPr>
          <w:rFonts w:hint="eastAsia"/>
          <w:color w:val="000000"/>
          <w:szCs w:val="21"/>
        </w:rPr>
        <w:t>6</w:t>
      </w:r>
      <w:r w:rsidRPr="00E14DEA">
        <w:rPr>
          <w:rFonts w:hint="eastAsia"/>
          <w:color w:val="000000"/>
          <w:szCs w:val="21"/>
        </w:rPr>
        <w:t>个月内日均基金资产净值不低于</w:t>
      </w:r>
      <w:r w:rsidRPr="00E14DEA">
        <w:rPr>
          <w:rFonts w:hint="eastAsia"/>
          <w:color w:val="000000"/>
          <w:szCs w:val="21"/>
        </w:rPr>
        <w:t>2</w:t>
      </w:r>
      <w:r w:rsidRPr="00E14DEA">
        <w:rPr>
          <w:rFonts w:hint="eastAsia"/>
          <w:color w:val="000000"/>
          <w:szCs w:val="21"/>
        </w:rPr>
        <w:t>亿元；</w:t>
      </w:r>
    </w:p>
    <w:p w14:paraId="23C60C67"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lastRenderedPageBreak/>
        <w:t xml:space="preserve">11.4 </w:t>
      </w:r>
      <w:r w:rsidRPr="00E14DEA">
        <w:rPr>
          <w:rFonts w:hint="eastAsia"/>
          <w:color w:val="000000"/>
          <w:szCs w:val="21"/>
        </w:rPr>
        <w:t>证券出借的平均剩余期限不得超过</w:t>
      </w:r>
      <w:r w:rsidRPr="00E14DEA">
        <w:rPr>
          <w:rFonts w:hint="eastAsia"/>
          <w:color w:val="000000"/>
          <w:szCs w:val="21"/>
        </w:rPr>
        <w:t>30</w:t>
      </w:r>
      <w:r w:rsidRPr="00E14DEA">
        <w:rPr>
          <w:rFonts w:hint="eastAsia"/>
          <w:color w:val="000000"/>
          <w:szCs w:val="21"/>
        </w:rPr>
        <w:t>天，平均剩余期限按照市值加权平均计算；</w:t>
      </w:r>
    </w:p>
    <w:p w14:paraId="7FD682B6"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12</w:t>
      </w:r>
      <w:r w:rsidRPr="00E14DEA">
        <w:rPr>
          <w:rFonts w:hint="eastAsia"/>
          <w:color w:val="000000"/>
          <w:szCs w:val="21"/>
        </w:rPr>
        <w:t>）本基金主动投资于流动性受限资产的市值合计不得超过本基金资产净值的</w:t>
      </w:r>
      <w:r w:rsidRPr="00E14DEA">
        <w:rPr>
          <w:rFonts w:hint="eastAsia"/>
          <w:color w:val="000000"/>
          <w:szCs w:val="21"/>
        </w:rPr>
        <w:t>15%</w:t>
      </w:r>
      <w:r w:rsidRPr="00E14DEA">
        <w:rPr>
          <w:rFonts w:hint="eastAsia"/>
          <w:color w:val="000000"/>
          <w:szCs w:val="21"/>
        </w:rPr>
        <w:t>。因证券市场波动、上市公司股票停牌、基金规模变动等基金管理人之外的因素致使基金不符合前述所规定比例限制的，基金管理人不得主动新增流动性受限资产的投资；</w:t>
      </w:r>
    </w:p>
    <w:p w14:paraId="63618DC4"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13</w:t>
      </w:r>
      <w:r w:rsidRPr="00E14DEA">
        <w:rPr>
          <w:rFonts w:hint="eastAsia"/>
          <w:color w:val="000000"/>
          <w:szCs w:val="21"/>
        </w:rPr>
        <w:t>）本基金与私募类</w:t>
      </w:r>
      <w:proofErr w:type="gramStart"/>
      <w:r w:rsidRPr="00E14DEA">
        <w:rPr>
          <w:rFonts w:hint="eastAsia"/>
          <w:color w:val="000000"/>
          <w:szCs w:val="21"/>
        </w:rPr>
        <w:t>证券资管产品</w:t>
      </w:r>
      <w:proofErr w:type="gramEnd"/>
      <w:r w:rsidRPr="00E14DEA">
        <w:rPr>
          <w:rFonts w:hint="eastAsia"/>
          <w:color w:val="000000"/>
          <w:szCs w:val="21"/>
        </w:rPr>
        <w:t>及中国证监会认定的其他主体为交易对手开展逆回购交易的，可接受质押品的资质要求应当与基金合同约定的投资范围保持一致；</w:t>
      </w:r>
    </w:p>
    <w:p w14:paraId="3088945C"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14</w:t>
      </w:r>
      <w:r w:rsidRPr="00E14DEA">
        <w:rPr>
          <w:rFonts w:hint="eastAsia"/>
          <w:color w:val="000000"/>
          <w:szCs w:val="21"/>
        </w:rPr>
        <w:t>）基金总资产不得超过基金净资产的</w:t>
      </w:r>
      <w:r w:rsidRPr="00E14DEA">
        <w:rPr>
          <w:rFonts w:hint="eastAsia"/>
          <w:color w:val="000000"/>
          <w:szCs w:val="21"/>
        </w:rPr>
        <w:t>140%</w:t>
      </w:r>
      <w:r w:rsidRPr="00E14DEA">
        <w:rPr>
          <w:rFonts w:hint="eastAsia"/>
          <w:color w:val="000000"/>
          <w:szCs w:val="21"/>
        </w:rPr>
        <w:t>；</w:t>
      </w:r>
    </w:p>
    <w:p w14:paraId="02B06671"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15</w:t>
      </w:r>
      <w:r w:rsidRPr="00E14DEA">
        <w:rPr>
          <w:rFonts w:hint="eastAsia"/>
          <w:color w:val="000000"/>
          <w:szCs w:val="21"/>
        </w:rPr>
        <w:t>）本基金持有一家公司发行的证券，其市值不超过基金资产净值的</w:t>
      </w:r>
      <w:r w:rsidRPr="00E14DEA">
        <w:rPr>
          <w:rFonts w:hint="eastAsia"/>
          <w:color w:val="000000"/>
          <w:szCs w:val="21"/>
        </w:rPr>
        <w:t>10%</w:t>
      </w:r>
      <w:r w:rsidRPr="00E14DEA">
        <w:rPr>
          <w:rFonts w:hint="eastAsia"/>
          <w:color w:val="000000"/>
          <w:szCs w:val="21"/>
        </w:rPr>
        <w:t>，完全按照有关指数的构成比例进行证券投资的基金品种可以不受此条款规定的比例限制；</w:t>
      </w:r>
    </w:p>
    <w:p w14:paraId="4456A86F"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16</w:t>
      </w:r>
      <w:r w:rsidRPr="00E14DEA">
        <w:rPr>
          <w:rFonts w:hint="eastAsia"/>
          <w:color w:val="000000"/>
          <w:szCs w:val="21"/>
        </w:rPr>
        <w:t>）本基金管理人管理的全部基金持有一家公司发行的证券，不超过该证券的</w:t>
      </w:r>
      <w:r w:rsidRPr="00E14DEA">
        <w:rPr>
          <w:rFonts w:hint="eastAsia"/>
          <w:color w:val="000000"/>
          <w:szCs w:val="21"/>
        </w:rPr>
        <w:t>10</w:t>
      </w:r>
      <w:r w:rsidRPr="00E14DEA">
        <w:rPr>
          <w:rFonts w:hint="eastAsia"/>
          <w:color w:val="000000"/>
          <w:szCs w:val="21"/>
        </w:rPr>
        <w:t>％，完全按照有关指数的构成比例进行证券投资的基金品种可以不受此条款规定的比例限制；</w:t>
      </w:r>
    </w:p>
    <w:p w14:paraId="4B888AAF"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17</w:t>
      </w:r>
      <w:r w:rsidRPr="00E14DEA">
        <w:rPr>
          <w:rFonts w:hint="eastAsia"/>
          <w:color w:val="000000"/>
          <w:szCs w:val="21"/>
        </w:rPr>
        <w:t>）本基金管理人管理的全部开放式基金</w:t>
      </w:r>
      <w:r w:rsidRPr="00E14DEA">
        <w:rPr>
          <w:rFonts w:hint="eastAsia"/>
          <w:color w:val="000000"/>
          <w:szCs w:val="21"/>
        </w:rPr>
        <w:t>(</w:t>
      </w:r>
      <w:r w:rsidRPr="00E14DEA">
        <w:rPr>
          <w:rFonts w:hint="eastAsia"/>
          <w:color w:val="000000"/>
          <w:szCs w:val="21"/>
        </w:rPr>
        <w:t>包括开放式基金以及处于开放期的定期开放基金</w:t>
      </w:r>
      <w:r w:rsidRPr="00E14DEA">
        <w:rPr>
          <w:rFonts w:hint="eastAsia"/>
          <w:color w:val="000000"/>
          <w:szCs w:val="21"/>
        </w:rPr>
        <w:t>)</w:t>
      </w:r>
      <w:r w:rsidRPr="00E14DEA">
        <w:rPr>
          <w:rFonts w:hint="eastAsia"/>
          <w:color w:val="000000"/>
          <w:szCs w:val="21"/>
        </w:rPr>
        <w:t>持有一家上市公司发行的可流通股票，不得超过该上市公司可流通股票的</w:t>
      </w:r>
      <w:r w:rsidRPr="00E14DEA">
        <w:rPr>
          <w:rFonts w:hint="eastAsia"/>
          <w:color w:val="000000"/>
          <w:szCs w:val="21"/>
        </w:rPr>
        <w:t>15%</w:t>
      </w:r>
      <w:r w:rsidRPr="00E14DEA">
        <w:rPr>
          <w:rFonts w:hint="eastAsia"/>
          <w:color w:val="000000"/>
          <w:szCs w:val="21"/>
        </w:rPr>
        <w:t>，完全按照有关指数的构成比例进行证券投资的开放式基金以及中国证监会认定的特殊投资组合可不受前述比例限制；本基金管理人管理的全部投资组合持有一家上市公司发行的可流通股票，不得超过该上市公司可流通股票的</w:t>
      </w:r>
      <w:r w:rsidRPr="00E14DEA">
        <w:rPr>
          <w:rFonts w:hint="eastAsia"/>
          <w:color w:val="000000"/>
          <w:szCs w:val="21"/>
        </w:rPr>
        <w:t>30%</w:t>
      </w:r>
      <w:r w:rsidRPr="00E14DEA">
        <w:rPr>
          <w:rFonts w:hint="eastAsia"/>
          <w:color w:val="000000"/>
          <w:szCs w:val="21"/>
        </w:rPr>
        <w:t>，完全按照有关指数的构成比例进行证券投资的开放式基金以及中国证监会认定的特殊投资组合可不受前述比例限制；</w:t>
      </w:r>
    </w:p>
    <w:p w14:paraId="503D3CAE"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18</w:t>
      </w:r>
      <w:r w:rsidRPr="00E14DEA">
        <w:rPr>
          <w:rFonts w:hint="eastAsia"/>
          <w:color w:val="000000"/>
          <w:szCs w:val="21"/>
        </w:rPr>
        <w:t>）本基金投资存托凭证的比例限制依照股票执行，与股票合并计算；</w:t>
      </w:r>
    </w:p>
    <w:p w14:paraId="584DC8A2" w14:textId="77777777" w:rsidR="00E14DEA" w:rsidRPr="00E14DEA" w:rsidRDefault="00E14DEA" w:rsidP="00E14DEA">
      <w:pPr>
        <w:spacing w:line="460" w:lineRule="exact"/>
        <w:ind w:firstLineChars="200" w:firstLine="420"/>
        <w:rPr>
          <w:color w:val="000000"/>
          <w:szCs w:val="21"/>
        </w:rPr>
      </w:pPr>
      <w:r w:rsidRPr="00E14DEA">
        <w:rPr>
          <w:rFonts w:hint="eastAsia"/>
          <w:color w:val="000000"/>
          <w:szCs w:val="21"/>
        </w:rPr>
        <w:t>（</w:t>
      </w:r>
      <w:r w:rsidRPr="00E14DEA">
        <w:rPr>
          <w:rFonts w:hint="eastAsia"/>
          <w:color w:val="000000"/>
          <w:szCs w:val="21"/>
        </w:rPr>
        <w:t>19</w:t>
      </w:r>
      <w:r w:rsidRPr="00E14DEA">
        <w:rPr>
          <w:rFonts w:hint="eastAsia"/>
          <w:color w:val="000000"/>
          <w:szCs w:val="21"/>
        </w:rPr>
        <w:t>）法律法规及中国证监会规定的和《基金合同》约定的其他投资限制。</w:t>
      </w:r>
    </w:p>
    <w:p w14:paraId="77627A56" w14:textId="77777777" w:rsidR="00E14DEA" w:rsidRDefault="00E14DEA">
      <w:pPr>
        <w:spacing w:line="360" w:lineRule="auto"/>
        <w:ind w:firstLineChars="200" w:firstLine="420"/>
        <w:rPr>
          <w:color w:val="000000"/>
          <w:szCs w:val="21"/>
        </w:rPr>
      </w:pPr>
      <w:r w:rsidRPr="00E14DEA">
        <w:rPr>
          <w:rFonts w:hint="eastAsia"/>
          <w:color w:val="000000"/>
          <w:szCs w:val="21"/>
        </w:rPr>
        <w:t>除上述（</w:t>
      </w:r>
      <w:r w:rsidRPr="00E14DEA">
        <w:rPr>
          <w:rFonts w:hint="eastAsia"/>
          <w:color w:val="000000"/>
          <w:szCs w:val="21"/>
        </w:rPr>
        <w:t>6</w:t>
      </w:r>
      <w:r w:rsidRPr="00E14DEA">
        <w:rPr>
          <w:rFonts w:hint="eastAsia"/>
          <w:color w:val="000000"/>
          <w:szCs w:val="21"/>
        </w:rPr>
        <w:t>）、（</w:t>
      </w:r>
      <w:r w:rsidRPr="00E14DEA">
        <w:rPr>
          <w:rFonts w:hint="eastAsia"/>
          <w:color w:val="000000"/>
          <w:szCs w:val="21"/>
        </w:rPr>
        <w:t>11</w:t>
      </w:r>
      <w:r w:rsidRPr="00E14DEA">
        <w:rPr>
          <w:rFonts w:hint="eastAsia"/>
          <w:color w:val="000000"/>
          <w:szCs w:val="21"/>
        </w:rPr>
        <w:t>）、（</w:t>
      </w:r>
      <w:r w:rsidRPr="00E14DEA">
        <w:rPr>
          <w:rFonts w:hint="eastAsia"/>
          <w:color w:val="000000"/>
          <w:szCs w:val="21"/>
        </w:rPr>
        <w:t>12</w:t>
      </w:r>
      <w:r w:rsidRPr="00E14DEA">
        <w:rPr>
          <w:rFonts w:hint="eastAsia"/>
          <w:color w:val="000000"/>
          <w:szCs w:val="21"/>
        </w:rPr>
        <w:t>）、（</w:t>
      </w:r>
      <w:r w:rsidRPr="00E14DEA">
        <w:rPr>
          <w:rFonts w:hint="eastAsia"/>
          <w:color w:val="000000"/>
          <w:szCs w:val="21"/>
        </w:rPr>
        <w:t>13</w:t>
      </w:r>
      <w:r w:rsidRPr="00E14DEA">
        <w:rPr>
          <w:rFonts w:hint="eastAsia"/>
          <w:color w:val="000000"/>
          <w:szCs w:val="21"/>
        </w:rPr>
        <w:t>）项外，因证券、期货市场波动、证券发行人合并、基金规模变动、标的指数成份股调整、标的指数成份股流动性限制等基金管理人之外的因素致使基金投资比例不符合上述规定投资比例的，基金管理人应当在</w:t>
      </w:r>
      <w:r w:rsidRPr="00E14DEA">
        <w:rPr>
          <w:rFonts w:hint="eastAsia"/>
          <w:color w:val="000000"/>
          <w:szCs w:val="21"/>
        </w:rPr>
        <w:t>10</w:t>
      </w:r>
      <w:r w:rsidRPr="00E14DEA">
        <w:rPr>
          <w:rFonts w:hint="eastAsia"/>
          <w:color w:val="000000"/>
          <w:szCs w:val="21"/>
        </w:rPr>
        <w:t>个交易日内进行调整，但中国证监会规定的特殊情形除外。因证券市场波动、上市公司合并、基金规模变动等基金管理人之外的因素致使基金投资不符合第（</w:t>
      </w:r>
      <w:r w:rsidRPr="00E14DEA">
        <w:rPr>
          <w:rFonts w:hint="eastAsia"/>
          <w:color w:val="000000"/>
          <w:szCs w:val="21"/>
        </w:rPr>
        <w:t>11</w:t>
      </w:r>
      <w:r w:rsidRPr="00E14DEA">
        <w:rPr>
          <w:rFonts w:hint="eastAsia"/>
          <w:color w:val="000000"/>
          <w:szCs w:val="21"/>
        </w:rPr>
        <w:t>）项规定的，基金管理人不得新增转融通证券出借业务。法律法规另有规定的，从其规定。</w:t>
      </w:r>
    </w:p>
    <w:p w14:paraId="53F86D20" w14:textId="77777777" w:rsidR="00175DB4" w:rsidRDefault="000519D1">
      <w:pPr>
        <w:spacing w:line="360" w:lineRule="auto"/>
        <w:ind w:firstLineChars="200" w:firstLine="420"/>
        <w:rPr>
          <w:color w:val="000000"/>
          <w:szCs w:val="21"/>
        </w:rPr>
      </w:pPr>
      <w:r>
        <w:rPr>
          <w:rFonts w:hint="eastAsia"/>
          <w:color w:val="000000"/>
          <w:szCs w:val="21"/>
        </w:rPr>
        <w:t>基金管理人应当自基金合同生效之日起</w:t>
      </w:r>
      <w:r>
        <w:rPr>
          <w:color w:val="000000"/>
          <w:szCs w:val="21"/>
        </w:rPr>
        <w:t>6</w:t>
      </w:r>
      <w:r>
        <w:rPr>
          <w:rFonts w:hint="eastAsia"/>
          <w:color w:val="00000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7C7F3B63" w14:textId="77777777" w:rsidR="00175DB4" w:rsidRDefault="000519D1">
      <w:pPr>
        <w:spacing w:line="360" w:lineRule="auto"/>
        <w:ind w:firstLineChars="200" w:firstLine="420"/>
        <w:rPr>
          <w:color w:val="000000"/>
          <w:szCs w:val="21"/>
        </w:rPr>
      </w:pPr>
      <w:r>
        <w:rPr>
          <w:rFonts w:hint="eastAsia"/>
          <w:color w:val="000000"/>
          <w:szCs w:val="21"/>
        </w:rPr>
        <w:t>法律法规或监管部门取消或调整上述限制，如适用于本基金，基金管理人在履行适当程序后，则本基金投资不再受相关限制或按照调整后的规定执行。</w:t>
      </w:r>
    </w:p>
    <w:p w14:paraId="38165235" w14:textId="77777777" w:rsidR="00175DB4" w:rsidRDefault="000519D1">
      <w:pPr>
        <w:spacing w:line="360" w:lineRule="auto"/>
        <w:ind w:firstLineChars="200" w:firstLine="420"/>
        <w:rPr>
          <w:color w:val="000000"/>
          <w:szCs w:val="21"/>
        </w:rPr>
      </w:pPr>
      <w:r>
        <w:rPr>
          <w:color w:val="000000"/>
          <w:szCs w:val="21"/>
        </w:rPr>
        <w:lastRenderedPageBreak/>
        <w:t>2</w:t>
      </w:r>
      <w:r>
        <w:rPr>
          <w:rFonts w:hint="eastAsia"/>
          <w:color w:val="000000"/>
          <w:szCs w:val="21"/>
        </w:rPr>
        <w:t>、禁止行为</w:t>
      </w:r>
    </w:p>
    <w:p w14:paraId="4B5C7DDD" w14:textId="77777777" w:rsidR="00175DB4" w:rsidRDefault="000519D1">
      <w:pPr>
        <w:spacing w:line="360" w:lineRule="auto"/>
        <w:ind w:firstLineChars="200" w:firstLine="420"/>
        <w:rPr>
          <w:color w:val="000000"/>
          <w:szCs w:val="21"/>
        </w:rPr>
      </w:pPr>
      <w:r>
        <w:rPr>
          <w:rFonts w:hint="eastAsia"/>
          <w:color w:val="000000"/>
          <w:szCs w:val="21"/>
        </w:rPr>
        <w:t>为维护基金份额持有人的合法权益，基金财产不得用于下列投资或者活动：</w:t>
      </w:r>
    </w:p>
    <w:p w14:paraId="3655737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）承销证券；</w:t>
      </w:r>
    </w:p>
    <w:p w14:paraId="073C1A9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）违反规定向他人贷款或者提供担保；</w:t>
      </w:r>
    </w:p>
    <w:p w14:paraId="27D5C63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）从事承担无限责任的投资；</w:t>
      </w:r>
    </w:p>
    <w:p w14:paraId="4F21E2E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）买卖其他基金份额，但是法律法规或中国证监会另有规定的除外；</w:t>
      </w:r>
    </w:p>
    <w:p w14:paraId="620A973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）向其基金管理人、基金托管人出资；</w:t>
      </w:r>
    </w:p>
    <w:p w14:paraId="4B5867B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）从事内幕交易、操纵证券交易价格及其他不正当的证券交易活动；</w:t>
      </w:r>
    </w:p>
    <w:p w14:paraId="198F6A3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）法律、行政法规和中国证监会规定禁止的其他活动。</w:t>
      </w:r>
    </w:p>
    <w:p w14:paraId="2DEA8331" w14:textId="77777777" w:rsidR="00175DB4" w:rsidRDefault="000519D1">
      <w:pPr>
        <w:spacing w:line="360" w:lineRule="auto"/>
        <w:ind w:firstLineChars="200" w:firstLine="420"/>
        <w:rPr>
          <w:color w:val="000000"/>
          <w:szCs w:val="21"/>
        </w:rPr>
      </w:pPr>
      <w:r>
        <w:rPr>
          <w:rFonts w:hint="eastAsia"/>
          <w:color w:val="00000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8B7C605" w14:textId="77777777" w:rsidR="00175DB4" w:rsidRDefault="000519D1">
      <w:pPr>
        <w:spacing w:line="360" w:lineRule="auto"/>
        <w:ind w:firstLineChars="200" w:firstLine="420"/>
        <w:rPr>
          <w:color w:val="000000"/>
          <w:szCs w:val="21"/>
        </w:rPr>
      </w:pPr>
      <w:r>
        <w:rPr>
          <w:rFonts w:hint="eastAsia"/>
          <w:color w:val="000000"/>
          <w:szCs w:val="21"/>
        </w:rPr>
        <w:t>法律法规或监管部门取消或调整上述限制，如适用于本基金，基金管理人在履行适当程序后，则本基金投资按照取消或调整后的规定执行。</w:t>
      </w:r>
    </w:p>
    <w:p w14:paraId="5D3471C6" w14:textId="0980C0CB" w:rsidR="00175DB4" w:rsidRDefault="000519D1">
      <w:pPr>
        <w:spacing w:line="520" w:lineRule="exact"/>
        <w:ind w:firstLineChars="200" w:firstLine="420"/>
        <w:rPr>
          <w:color w:val="000000"/>
          <w:szCs w:val="21"/>
        </w:rPr>
      </w:pPr>
      <w:r>
        <w:rPr>
          <w:rFonts w:hint="eastAsia"/>
          <w:color w:val="000000"/>
          <w:szCs w:val="21"/>
        </w:rPr>
        <w:t>（</w:t>
      </w:r>
      <w:r w:rsidR="00624F23">
        <w:rPr>
          <w:rFonts w:hint="eastAsia"/>
          <w:color w:val="000000"/>
          <w:szCs w:val="21"/>
        </w:rPr>
        <w:t>五</w:t>
      </w:r>
      <w:r>
        <w:rPr>
          <w:rFonts w:hint="eastAsia"/>
          <w:color w:val="000000"/>
          <w:szCs w:val="21"/>
        </w:rPr>
        <w:t>）标的指数和业绩比较基准</w:t>
      </w:r>
    </w:p>
    <w:p w14:paraId="56495DA3" w14:textId="77777777" w:rsidR="00E14DEA" w:rsidRPr="0084159B" w:rsidRDefault="00E14DEA" w:rsidP="0084159B">
      <w:pPr>
        <w:spacing w:line="360" w:lineRule="auto"/>
        <w:ind w:firstLineChars="200" w:firstLine="420"/>
        <w:rPr>
          <w:color w:val="000000"/>
          <w:szCs w:val="21"/>
        </w:rPr>
      </w:pPr>
      <w:r w:rsidRPr="0084159B">
        <w:rPr>
          <w:rFonts w:hint="eastAsia"/>
          <w:color w:val="000000"/>
          <w:szCs w:val="21"/>
        </w:rPr>
        <w:t>本基金的标的指数为：</w:t>
      </w:r>
      <w:proofErr w:type="gramStart"/>
      <w:r w:rsidRPr="0084159B">
        <w:rPr>
          <w:rFonts w:hint="eastAsia"/>
          <w:color w:val="000000"/>
          <w:szCs w:val="21"/>
        </w:rPr>
        <w:t>国证</w:t>
      </w:r>
      <w:proofErr w:type="gramEnd"/>
      <w:r w:rsidRPr="0084159B">
        <w:rPr>
          <w:color w:val="000000"/>
          <w:szCs w:val="21"/>
        </w:rPr>
        <w:t>2000</w:t>
      </w:r>
      <w:r w:rsidRPr="0084159B">
        <w:rPr>
          <w:rFonts w:hint="eastAsia"/>
          <w:color w:val="000000"/>
          <w:szCs w:val="21"/>
        </w:rPr>
        <w:t>指数。</w:t>
      </w:r>
    </w:p>
    <w:p w14:paraId="579A29E7" w14:textId="77777777" w:rsidR="00E14DEA" w:rsidRPr="0084159B" w:rsidRDefault="00E14DEA" w:rsidP="0084159B">
      <w:pPr>
        <w:spacing w:line="360" w:lineRule="auto"/>
        <w:ind w:firstLineChars="200" w:firstLine="420"/>
        <w:rPr>
          <w:color w:val="000000"/>
          <w:szCs w:val="21"/>
        </w:rPr>
      </w:pPr>
      <w:r w:rsidRPr="0084159B">
        <w:rPr>
          <w:rFonts w:hint="eastAsia"/>
          <w:color w:val="000000"/>
          <w:szCs w:val="21"/>
        </w:rPr>
        <w:t>本基金的业绩比较基准为：</w:t>
      </w:r>
      <w:proofErr w:type="gramStart"/>
      <w:r w:rsidRPr="0084159B">
        <w:rPr>
          <w:rFonts w:hint="eastAsia"/>
          <w:color w:val="000000"/>
          <w:szCs w:val="21"/>
        </w:rPr>
        <w:t>国证</w:t>
      </w:r>
      <w:proofErr w:type="gramEnd"/>
      <w:r w:rsidRPr="0084159B">
        <w:rPr>
          <w:color w:val="000000"/>
          <w:szCs w:val="21"/>
        </w:rPr>
        <w:t>2000</w:t>
      </w:r>
      <w:r w:rsidRPr="0084159B">
        <w:rPr>
          <w:rFonts w:hint="eastAsia"/>
          <w:color w:val="000000"/>
          <w:szCs w:val="21"/>
        </w:rPr>
        <w:t>指数收益率。</w:t>
      </w:r>
    </w:p>
    <w:p w14:paraId="38FC3225" w14:textId="77777777" w:rsidR="00E14DEA" w:rsidRDefault="00E14DEA" w:rsidP="0084159B">
      <w:pPr>
        <w:spacing w:line="360" w:lineRule="auto"/>
        <w:ind w:firstLineChars="200" w:firstLine="420"/>
        <w:rPr>
          <w:color w:val="000000"/>
          <w:szCs w:val="21"/>
        </w:rPr>
      </w:pPr>
      <w:r w:rsidRPr="00E14DEA">
        <w:rPr>
          <w:rFonts w:hint="eastAsia"/>
          <w:color w:val="000000"/>
          <w:szCs w:val="21"/>
        </w:rPr>
        <w:t>本基金为交易型开放式指数证券投资基金，将紧密跟踪标的</w:t>
      </w:r>
      <w:proofErr w:type="gramStart"/>
      <w:r w:rsidRPr="00E14DEA">
        <w:rPr>
          <w:rFonts w:hint="eastAsia"/>
          <w:color w:val="000000"/>
          <w:szCs w:val="21"/>
        </w:rPr>
        <w:t>指数国证</w:t>
      </w:r>
      <w:proofErr w:type="gramEnd"/>
      <w:r w:rsidRPr="00E14DEA">
        <w:rPr>
          <w:rFonts w:hint="eastAsia"/>
          <w:color w:val="000000"/>
          <w:szCs w:val="21"/>
        </w:rPr>
        <w:t>2000</w:t>
      </w:r>
      <w:r w:rsidRPr="00E14DEA">
        <w:rPr>
          <w:rFonts w:hint="eastAsia"/>
          <w:color w:val="000000"/>
          <w:szCs w:val="21"/>
        </w:rPr>
        <w:t>指数，努力追求跟踪偏离度和跟踪误差最小化，故国证</w:t>
      </w:r>
      <w:r w:rsidRPr="001117EE">
        <w:rPr>
          <w:color w:val="000000"/>
          <w:szCs w:val="21"/>
        </w:rPr>
        <w:t>2000</w:t>
      </w:r>
      <w:r w:rsidRPr="001117EE">
        <w:rPr>
          <w:rFonts w:hint="eastAsia"/>
          <w:color w:val="000000"/>
          <w:szCs w:val="21"/>
        </w:rPr>
        <w:t>指数适合作为本基金的业绩比较基准。</w:t>
      </w:r>
    </w:p>
    <w:p w14:paraId="28020B57" w14:textId="25A04ED4" w:rsidR="00E14DEA" w:rsidRPr="00E14DEA" w:rsidRDefault="00E14DEA" w:rsidP="00E14DEA">
      <w:pPr>
        <w:spacing w:line="360" w:lineRule="auto"/>
        <w:ind w:firstLineChars="200" w:firstLine="420"/>
        <w:rPr>
          <w:color w:val="000000"/>
          <w:szCs w:val="21"/>
        </w:rPr>
      </w:pPr>
      <w:r w:rsidRPr="00E14DEA">
        <w:rPr>
          <w:rFonts w:hint="eastAsia"/>
          <w:color w:val="000000"/>
          <w:szCs w:val="21"/>
        </w:rPr>
        <w:t>未来若出现标的指数不符合要求（因成份股价格波动等指数编制方法变动之外的因素致使标的指数不符合要求及法律法规、监管机构另有规定的情形除外）、指数编制机构退出等情形，基金管理人应当自该情形发生之日起十个工作日内向中国证监会报告并提出解决方案，如更换基金标的指数、转换运作方式、与其他基金合并或者终止基金合同等，并在</w:t>
      </w:r>
      <w:r w:rsidRPr="00E14DEA">
        <w:rPr>
          <w:rFonts w:hint="eastAsia"/>
          <w:color w:val="000000"/>
          <w:szCs w:val="21"/>
        </w:rPr>
        <w:t>6</w:t>
      </w:r>
      <w:r w:rsidRPr="00E14DEA">
        <w:rPr>
          <w:rFonts w:hint="eastAsia"/>
          <w:color w:val="000000"/>
          <w:szCs w:val="21"/>
        </w:rPr>
        <w:t>个月内召集基金份额持有人大会进行表决，基金份额持有人大会未成功召开或就上述事项表决未通过的，基金合同终止。</w:t>
      </w:r>
    </w:p>
    <w:p w14:paraId="7179CB70" w14:textId="77777777" w:rsidR="00E14DEA" w:rsidRPr="00E14DEA" w:rsidRDefault="00E14DEA" w:rsidP="00E14DEA">
      <w:pPr>
        <w:spacing w:line="360" w:lineRule="auto"/>
        <w:ind w:firstLineChars="200" w:firstLine="420"/>
        <w:rPr>
          <w:color w:val="000000"/>
          <w:szCs w:val="21"/>
        </w:rPr>
      </w:pPr>
      <w:proofErr w:type="gramStart"/>
      <w:r w:rsidRPr="00E14DEA">
        <w:rPr>
          <w:rFonts w:hint="eastAsia"/>
          <w:color w:val="000000"/>
          <w:szCs w:val="21"/>
        </w:rPr>
        <w:lastRenderedPageBreak/>
        <w:t>自指数</w:t>
      </w:r>
      <w:proofErr w:type="gramEnd"/>
      <w:r w:rsidRPr="00E14DEA">
        <w:rPr>
          <w:rFonts w:hint="eastAsia"/>
          <w:color w:val="000000"/>
          <w:szCs w:val="21"/>
        </w:rPr>
        <w:t>编制机构停止标的指数的编制及发布</w:t>
      </w:r>
      <w:proofErr w:type="gramStart"/>
      <w:r w:rsidRPr="00E14DEA">
        <w:rPr>
          <w:rFonts w:hint="eastAsia"/>
          <w:color w:val="000000"/>
          <w:szCs w:val="21"/>
        </w:rPr>
        <w:t>至解决</w:t>
      </w:r>
      <w:proofErr w:type="gramEnd"/>
      <w:r w:rsidRPr="00E14DEA">
        <w:rPr>
          <w:rFonts w:hint="eastAsia"/>
          <w:color w:val="000000"/>
          <w:szCs w:val="21"/>
        </w:rPr>
        <w:t>方案确定期间，基金管理人应按照指数编制机构提供的最近一个交易日的指数信息遵循基金份额持有人利益优先原则维持基金投资运作。</w:t>
      </w:r>
    </w:p>
    <w:p w14:paraId="59528606" w14:textId="77777777" w:rsidR="00E14DEA" w:rsidRDefault="00E14DEA">
      <w:pPr>
        <w:spacing w:line="520" w:lineRule="exact"/>
        <w:ind w:firstLineChars="200" w:firstLine="420"/>
        <w:rPr>
          <w:color w:val="000000"/>
          <w:szCs w:val="21"/>
        </w:rPr>
      </w:pPr>
      <w:r w:rsidRPr="00E14DEA">
        <w:rPr>
          <w:rFonts w:hint="eastAsia"/>
          <w:color w:val="000000"/>
          <w:szCs w:val="21"/>
        </w:rPr>
        <w:t>若出现指数更名等对基金投资无实质性影响的标的指数变更情形，则无需召开基金份额持有人大会，基金管理人应与基金托管人协商一致后，报中国证监会备案，并在规定媒介上公告。</w:t>
      </w:r>
    </w:p>
    <w:p w14:paraId="11ABE514" w14:textId="09DE685D" w:rsidR="00175DB4" w:rsidRDefault="000519D1">
      <w:pPr>
        <w:spacing w:line="520" w:lineRule="exact"/>
        <w:ind w:firstLineChars="200" w:firstLine="420"/>
        <w:rPr>
          <w:color w:val="000000"/>
          <w:szCs w:val="21"/>
        </w:rPr>
      </w:pPr>
      <w:r>
        <w:rPr>
          <w:rFonts w:hint="eastAsia"/>
          <w:color w:val="000000"/>
          <w:szCs w:val="21"/>
        </w:rPr>
        <w:t>（</w:t>
      </w:r>
      <w:r w:rsidR="00624F23">
        <w:rPr>
          <w:rFonts w:hint="eastAsia"/>
          <w:color w:val="000000"/>
          <w:szCs w:val="21"/>
        </w:rPr>
        <w:t>六</w:t>
      </w:r>
      <w:r>
        <w:rPr>
          <w:rFonts w:hint="eastAsia"/>
          <w:color w:val="000000"/>
          <w:szCs w:val="21"/>
        </w:rPr>
        <w:t>）风险收益特征</w:t>
      </w:r>
    </w:p>
    <w:p w14:paraId="0A7FFD5F" w14:textId="77777777" w:rsidR="00175DB4" w:rsidRDefault="000519D1">
      <w:pPr>
        <w:spacing w:line="520" w:lineRule="exact"/>
        <w:ind w:firstLineChars="200" w:firstLine="420"/>
        <w:rPr>
          <w:color w:val="000000"/>
          <w:szCs w:val="21"/>
        </w:rPr>
      </w:pPr>
      <w:r>
        <w:rPr>
          <w:rFonts w:hint="eastAsia"/>
          <w:color w:val="000000"/>
          <w:szCs w:val="21"/>
        </w:rPr>
        <w:t>本基金为股票型基金，其长期平均风险和预期收益率高于混合型基金、债券型基金及货币市场基金。本基金为指数型基金，被动跟踪标的指数的表现，具有与标的指数以及标的指数所代表的股票市场相似的风险收益特征。</w:t>
      </w:r>
    </w:p>
    <w:p w14:paraId="6B27D577" w14:textId="34567501" w:rsidR="00175DB4" w:rsidRDefault="000519D1">
      <w:pPr>
        <w:spacing w:line="360" w:lineRule="auto"/>
        <w:ind w:firstLineChars="200" w:firstLine="420"/>
        <w:rPr>
          <w:color w:val="000000"/>
          <w:szCs w:val="21"/>
        </w:rPr>
      </w:pPr>
      <w:r>
        <w:rPr>
          <w:rFonts w:hint="eastAsia"/>
          <w:color w:val="000000"/>
          <w:szCs w:val="21"/>
        </w:rPr>
        <w:t>（</w:t>
      </w:r>
      <w:r w:rsidR="00624F23">
        <w:rPr>
          <w:rFonts w:hint="eastAsia"/>
          <w:color w:val="000000"/>
          <w:szCs w:val="21"/>
        </w:rPr>
        <w:t>七</w:t>
      </w:r>
      <w:r>
        <w:rPr>
          <w:rFonts w:hint="eastAsia"/>
          <w:color w:val="000000"/>
          <w:szCs w:val="21"/>
        </w:rPr>
        <w:t>）</w:t>
      </w:r>
      <w:r>
        <w:rPr>
          <w:color w:val="000000"/>
          <w:szCs w:val="21"/>
        </w:rPr>
        <w:t>基金管理人代表基金行使股东或债权人权利的处理原则及方法</w:t>
      </w:r>
    </w:p>
    <w:p w14:paraId="723519A8"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、基金管理人按照国家有关规定代表基金独立行使股东或债权人权利，保护基金份额持有人的利益；</w:t>
      </w:r>
      <w:r>
        <w:rPr>
          <w:color w:val="000000"/>
          <w:szCs w:val="21"/>
        </w:rPr>
        <w:t xml:space="preserve"> </w:t>
      </w:r>
    </w:p>
    <w:p w14:paraId="7A2643BB"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、不谋求对上市公司的控股；</w:t>
      </w:r>
      <w:r>
        <w:rPr>
          <w:color w:val="000000"/>
          <w:szCs w:val="21"/>
        </w:rPr>
        <w:t xml:space="preserve"> </w:t>
      </w:r>
    </w:p>
    <w:p w14:paraId="290146F5" w14:textId="77777777"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、有利于基金财产的安全与增值；</w:t>
      </w:r>
      <w:r>
        <w:rPr>
          <w:color w:val="000000"/>
          <w:szCs w:val="21"/>
        </w:rPr>
        <w:t xml:space="preserve"> </w:t>
      </w:r>
    </w:p>
    <w:p w14:paraId="310BFFBE" w14:textId="77777777" w:rsidR="00175DB4" w:rsidRDefault="000519D1">
      <w:pPr>
        <w:spacing w:line="360" w:lineRule="auto"/>
        <w:ind w:firstLineChars="200" w:firstLine="420"/>
        <w:rPr>
          <w:color w:val="000000"/>
          <w:szCs w:val="21"/>
        </w:rPr>
      </w:pPr>
      <w:r>
        <w:rPr>
          <w:color w:val="000000"/>
          <w:szCs w:val="21"/>
        </w:rPr>
        <w:t>4</w:t>
      </w:r>
      <w:r>
        <w:rPr>
          <w:rFonts w:hint="eastAsia"/>
          <w:color w:val="000000"/>
          <w:szCs w:val="21"/>
        </w:rPr>
        <w:t>、不通过关联交易为自身、雇员、授权代理人或任何存在利害关系的第三人牟取任何不当利益。</w:t>
      </w:r>
    </w:p>
    <w:p w14:paraId="345EF497" w14:textId="77777777" w:rsidR="00175DB4" w:rsidRDefault="000519D1">
      <w:pPr>
        <w:widowControl/>
        <w:jc w:val="left"/>
        <w:rPr>
          <w:color w:val="000000"/>
          <w:szCs w:val="21"/>
        </w:rPr>
      </w:pPr>
      <w:r>
        <w:rPr>
          <w:color w:val="000000"/>
          <w:szCs w:val="21"/>
        </w:rPr>
        <w:br w:type="page"/>
      </w:r>
      <w:bookmarkEnd w:id="38"/>
      <w:bookmarkEnd w:id="39"/>
    </w:p>
    <w:p w14:paraId="39DA1328" w14:textId="77777777" w:rsidR="00175DB4" w:rsidRDefault="000519D1">
      <w:pPr>
        <w:pStyle w:val="1"/>
        <w:spacing w:line="360" w:lineRule="exact"/>
        <w:rPr>
          <w:rFonts w:eastAsia="宋体"/>
          <w:color w:val="000000"/>
          <w:sz w:val="30"/>
          <w:szCs w:val="30"/>
        </w:rPr>
      </w:pPr>
      <w:bookmarkStart w:id="41" w:name="_Toc86589175"/>
      <w:bookmarkStart w:id="42" w:name="_Toc92531658"/>
      <w:bookmarkStart w:id="43" w:name="_Toc135741014"/>
      <w:r>
        <w:rPr>
          <w:rFonts w:eastAsia="宋体"/>
          <w:color w:val="000000"/>
          <w:sz w:val="30"/>
          <w:szCs w:val="30"/>
        </w:rPr>
        <w:lastRenderedPageBreak/>
        <w:t>十</w:t>
      </w:r>
      <w:r>
        <w:rPr>
          <w:rFonts w:eastAsia="宋体" w:hint="eastAsia"/>
          <w:color w:val="000000"/>
          <w:sz w:val="30"/>
          <w:szCs w:val="30"/>
        </w:rPr>
        <w:t>二</w:t>
      </w:r>
      <w:r>
        <w:rPr>
          <w:rFonts w:eastAsia="宋体"/>
          <w:color w:val="000000"/>
          <w:sz w:val="30"/>
          <w:szCs w:val="30"/>
        </w:rPr>
        <w:t>、基金的财产</w:t>
      </w:r>
      <w:bookmarkEnd w:id="41"/>
      <w:bookmarkEnd w:id="42"/>
      <w:bookmarkEnd w:id="43"/>
    </w:p>
    <w:p w14:paraId="7E1DB84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（一）</w:t>
      </w:r>
      <w:r>
        <w:rPr>
          <w:color w:val="000000"/>
          <w:szCs w:val="21"/>
        </w:rPr>
        <w:t>基金资产总值</w:t>
      </w:r>
    </w:p>
    <w:p w14:paraId="55325D78"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基金资产总值是指购买的各类证券及票据价值、银行存款本息和基金应收的款项以及其他投资所形成的价值总和。</w:t>
      </w:r>
    </w:p>
    <w:p w14:paraId="0838A5E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基金资产净值</w:t>
      </w:r>
    </w:p>
    <w:p w14:paraId="00424D11"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基金资产净值是指基金资产总值减去基金负债后的价值。</w:t>
      </w:r>
    </w:p>
    <w:p w14:paraId="0A93421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w:t>
      </w:r>
      <w:r>
        <w:rPr>
          <w:color w:val="000000"/>
          <w:szCs w:val="21"/>
        </w:rPr>
        <w:t>基金财产的账户</w:t>
      </w:r>
    </w:p>
    <w:p w14:paraId="4E5B600C"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基金托管人根据相关法律法规、规范性文件为本基金开立资金账户、证券账户、期货</w:t>
      </w:r>
      <w:r>
        <w:rPr>
          <w:rFonts w:hint="eastAsia"/>
          <w:color w:val="000000"/>
          <w:szCs w:val="21"/>
        </w:rPr>
        <w:t>结算</w:t>
      </w:r>
      <w:r>
        <w:rPr>
          <w:color w:val="000000"/>
          <w:szCs w:val="21"/>
        </w:rPr>
        <w:t>账户以及投资所需的其他专用账户。开立的基金专用账户与基金管理人、基金托管人、基金销售机构和基金登记机构自有的财产账户以及其他基金财产账户相独立。</w:t>
      </w:r>
      <w:bookmarkStart w:id="44" w:name="_Hlt88841837"/>
      <w:bookmarkEnd w:id="44"/>
    </w:p>
    <w:p w14:paraId="22807F9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（四）</w:t>
      </w:r>
      <w:r>
        <w:rPr>
          <w:color w:val="000000"/>
          <w:szCs w:val="21"/>
        </w:rPr>
        <w:t>基金财产的保管和处分</w:t>
      </w:r>
      <w:bookmarkStart w:id="45" w:name="_Hlt88900062"/>
      <w:bookmarkEnd w:id="45"/>
    </w:p>
    <w:p w14:paraId="36ABD392" w14:textId="51C2B62F" w:rsidR="00175DB4" w:rsidRDefault="000519D1">
      <w:pPr>
        <w:tabs>
          <w:tab w:val="left" w:pos="540"/>
        </w:tabs>
        <w:snapToGrid w:val="0"/>
        <w:spacing w:line="360" w:lineRule="auto"/>
        <w:ind w:firstLineChars="200" w:firstLine="420"/>
        <w:rPr>
          <w:color w:val="000000"/>
          <w:szCs w:val="21"/>
        </w:rPr>
      </w:pPr>
      <w:r>
        <w:rPr>
          <w:color w:val="000000"/>
          <w:szCs w:val="21"/>
        </w:rPr>
        <w:t>本基金财产独立于基金管理人、基金托管人</w:t>
      </w:r>
      <w:r w:rsidR="00E14DEA">
        <w:rPr>
          <w:rFonts w:hint="eastAsia"/>
          <w:color w:val="000000"/>
          <w:szCs w:val="21"/>
        </w:rPr>
        <w:t>、</w:t>
      </w:r>
      <w:r>
        <w:rPr>
          <w:color w:val="000000"/>
          <w:szCs w:val="21"/>
        </w:rPr>
        <w:t>基金销售机构</w:t>
      </w:r>
      <w:r w:rsidR="00E14DEA" w:rsidRPr="00E14DEA">
        <w:rPr>
          <w:rFonts w:hint="eastAsia"/>
          <w:color w:val="000000"/>
          <w:szCs w:val="21"/>
        </w:rPr>
        <w:t>和证券经纪机构</w:t>
      </w:r>
      <w:r>
        <w:rPr>
          <w:color w:val="000000"/>
          <w:szCs w:val="21"/>
        </w:rPr>
        <w:t>的财产，并由基金托管人保管。基金管理人、基金托管人、基金登记机构</w:t>
      </w:r>
      <w:r w:rsidR="00E14DEA">
        <w:rPr>
          <w:rFonts w:hint="eastAsia"/>
          <w:color w:val="000000"/>
          <w:szCs w:val="21"/>
        </w:rPr>
        <w:t>、</w:t>
      </w:r>
      <w:r>
        <w:rPr>
          <w:color w:val="000000"/>
          <w:szCs w:val="21"/>
        </w:rPr>
        <w:t>基金销售机构</w:t>
      </w:r>
      <w:r w:rsidR="00E14DEA" w:rsidRPr="00E14DEA">
        <w:rPr>
          <w:rFonts w:hint="eastAsia"/>
          <w:color w:val="000000"/>
          <w:szCs w:val="21"/>
        </w:rPr>
        <w:t>和证券经纪机构</w:t>
      </w:r>
      <w:r>
        <w:rPr>
          <w:color w:val="000000"/>
          <w:szCs w:val="21"/>
        </w:rPr>
        <w:t>以其自有的财产承担其自身的法律责任，其债权人不得对本基金财产行使请求冻结、扣押或其他权利。除依法</w:t>
      </w:r>
      <w:proofErr w:type="gramStart"/>
      <w:r>
        <w:rPr>
          <w:color w:val="000000"/>
          <w:szCs w:val="21"/>
        </w:rPr>
        <w:t>律法规</w:t>
      </w:r>
      <w:proofErr w:type="gramEnd"/>
      <w:r>
        <w:rPr>
          <w:color w:val="000000"/>
          <w:szCs w:val="21"/>
        </w:rPr>
        <w:t>和《基金合同》的规定处分外，基金财产不得被处分。</w:t>
      </w:r>
    </w:p>
    <w:p w14:paraId="78E04A59"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color w:val="000000"/>
          <w:szCs w:val="21"/>
        </w:rPr>
        <w:t>抵销</w:t>
      </w:r>
      <w:proofErr w:type="gramEnd"/>
      <w:r>
        <w:rPr>
          <w:color w:val="000000"/>
          <w:szCs w:val="21"/>
        </w:rPr>
        <w:t>；基金管理人管理运作不同基金的基金财产所产生的债权债务不得相互</w:t>
      </w:r>
      <w:proofErr w:type="gramStart"/>
      <w:r>
        <w:rPr>
          <w:color w:val="000000"/>
          <w:szCs w:val="21"/>
        </w:rPr>
        <w:t>抵销</w:t>
      </w:r>
      <w:proofErr w:type="gramEnd"/>
      <w:r>
        <w:rPr>
          <w:color w:val="000000"/>
          <w:szCs w:val="21"/>
        </w:rPr>
        <w:t>。</w:t>
      </w:r>
      <w:r>
        <w:rPr>
          <w:rFonts w:hint="eastAsia"/>
          <w:color w:val="000000"/>
          <w:szCs w:val="21"/>
        </w:rPr>
        <w:t>非因基金财产本身承担的债务，不得对基金财产强制执行。</w:t>
      </w:r>
    </w:p>
    <w:p w14:paraId="4F912F05" w14:textId="77777777" w:rsidR="00175DB4" w:rsidRDefault="00175DB4">
      <w:pPr>
        <w:pStyle w:val="1"/>
        <w:jc w:val="both"/>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46" w:name="_Toc92531659"/>
      <w:bookmarkStart w:id="47" w:name="_Toc86589176"/>
    </w:p>
    <w:p w14:paraId="0FC5A1DE" w14:textId="77777777" w:rsidR="00175DB4" w:rsidRDefault="000519D1">
      <w:pPr>
        <w:pStyle w:val="1"/>
        <w:spacing w:line="360" w:lineRule="exact"/>
        <w:rPr>
          <w:rFonts w:eastAsia="宋体"/>
          <w:color w:val="000000"/>
          <w:sz w:val="30"/>
          <w:szCs w:val="30"/>
        </w:rPr>
      </w:pPr>
      <w:bookmarkStart w:id="48" w:name="_Toc135741015"/>
      <w:r>
        <w:rPr>
          <w:rFonts w:eastAsia="宋体"/>
          <w:color w:val="000000"/>
          <w:sz w:val="30"/>
          <w:szCs w:val="30"/>
        </w:rPr>
        <w:lastRenderedPageBreak/>
        <w:t>十</w:t>
      </w:r>
      <w:r>
        <w:rPr>
          <w:rFonts w:eastAsia="宋体" w:hint="eastAsia"/>
          <w:color w:val="000000"/>
          <w:sz w:val="30"/>
          <w:szCs w:val="30"/>
        </w:rPr>
        <w:t>三</w:t>
      </w:r>
      <w:r>
        <w:rPr>
          <w:rFonts w:eastAsia="宋体"/>
          <w:color w:val="000000"/>
          <w:sz w:val="30"/>
          <w:szCs w:val="30"/>
        </w:rPr>
        <w:t>、</w:t>
      </w:r>
      <w:bookmarkEnd w:id="46"/>
      <w:bookmarkEnd w:id="47"/>
      <w:r>
        <w:rPr>
          <w:rFonts w:eastAsia="宋体"/>
          <w:color w:val="000000"/>
          <w:sz w:val="30"/>
          <w:szCs w:val="30"/>
        </w:rPr>
        <w:t>基金资产的估值</w:t>
      </w:r>
      <w:bookmarkEnd w:id="48"/>
    </w:p>
    <w:p w14:paraId="2BDF8D5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（一）</w:t>
      </w:r>
      <w:r>
        <w:rPr>
          <w:color w:val="000000"/>
          <w:szCs w:val="21"/>
        </w:rPr>
        <w:t>估值日</w:t>
      </w:r>
    </w:p>
    <w:p w14:paraId="3A3D9486"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本基金的估值日为本基金相关的证券交易场所的交易日以及国家法律法规规定需要对外披露基金净值的</w:t>
      </w:r>
      <w:proofErr w:type="gramStart"/>
      <w:r>
        <w:rPr>
          <w:color w:val="000000"/>
          <w:szCs w:val="21"/>
        </w:rPr>
        <w:t>非交易</w:t>
      </w:r>
      <w:proofErr w:type="gramEnd"/>
      <w:r>
        <w:rPr>
          <w:color w:val="000000"/>
          <w:szCs w:val="21"/>
        </w:rPr>
        <w:t>日。</w:t>
      </w:r>
    </w:p>
    <w:p w14:paraId="6777BDA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估值对象</w:t>
      </w:r>
    </w:p>
    <w:p w14:paraId="77B4B6B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基金所拥有的股票、股指期货合约、股票期权合约、债券、资产支持证券和银行存款本息、应收款项、其它投资等资产及负债。</w:t>
      </w:r>
    </w:p>
    <w:p w14:paraId="6AD28A0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（三）估值原则</w:t>
      </w:r>
    </w:p>
    <w:p w14:paraId="2A054E9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基金管理人在确定相关金融资产和金融负债的公允价值时，应符合《企业会计准则》、监管部门有关规定。</w:t>
      </w:r>
    </w:p>
    <w:p w14:paraId="28A3AA1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9C08AD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A9B688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70681C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、如经济环境发生重大变化或证券发行人发生影响证券价格的重大事件，使潜在估值调整对前一估值日的基金资产净值的影响在</w:t>
      </w:r>
      <w:r>
        <w:rPr>
          <w:color w:val="000000"/>
          <w:szCs w:val="21"/>
        </w:rPr>
        <w:t>0.25%</w:t>
      </w:r>
      <w:r>
        <w:rPr>
          <w:rFonts w:hint="eastAsia"/>
          <w:color w:val="000000"/>
          <w:szCs w:val="21"/>
        </w:rPr>
        <w:t>以上的，应对估值进行调整并确定公允价值。</w:t>
      </w:r>
    </w:p>
    <w:p w14:paraId="6FAE5F2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（四）</w:t>
      </w:r>
      <w:r>
        <w:rPr>
          <w:color w:val="000000"/>
          <w:szCs w:val="21"/>
        </w:rPr>
        <w:t>估值方法</w:t>
      </w:r>
    </w:p>
    <w:p w14:paraId="0F843DA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、证券交易所上市的有价证券的估值</w:t>
      </w:r>
    </w:p>
    <w:p w14:paraId="42978F9F"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1</w:t>
      </w:r>
      <w:r w:rsidRPr="00E14DEA">
        <w:rPr>
          <w:rFonts w:hint="eastAsia"/>
          <w:color w:val="000000"/>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4B6DAF96"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lastRenderedPageBreak/>
        <w:t>（</w:t>
      </w:r>
      <w:r w:rsidRPr="00E14DEA">
        <w:rPr>
          <w:rFonts w:hint="eastAsia"/>
          <w:color w:val="000000"/>
          <w:szCs w:val="21"/>
        </w:rPr>
        <w:t>2</w:t>
      </w:r>
      <w:r w:rsidRPr="00E14DEA">
        <w:rPr>
          <w:rFonts w:hint="eastAsia"/>
          <w:color w:val="000000"/>
          <w:szCs w:val="21"/>
        </w:rPr>
        <w:t>）交易所上市交易或挂牌转让的不含</w:t>
      </w:r>
      <w:proofErr w:type="gramStart"/>
      <w:r w:rsidRPr="00E14DEA">
        <w:rPr>
          <w:rFonts w:hint="eastAsia"/>
          <w:color w:val="000000"/>
          <w:szCs w:val="21"/>
        </w:rPr>
        <w:t>权固定</w:t>
      </w:r>
      <w:proofErr w:type="gramEnd"/>
      <w:r w:rsidRPr="00E14DEA">
        <w:rPr>
          <w:rFonts w:hint="eastAsia"/>
          <w:color w:val="000000"/>
          <w:szCs w:val="21"/>
        </w:rPr>
        <w:t>收益品种，选取估值日第三方估值基准服务机构提供的相应品种当日的估值全价进行估值；</w:t>
      </w:r>
    </w:p>
    <w:p w14:paraId="49F5EBC0"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3</w:t>
      </w:r>
      <w:r w:rsidRPr="00E14DEA">
        <w:rPr>
          <w:rFonts w:hint="eastAsia"/>
          <w:color w:val="000000"/>
          <w:szCs w:val="21"/>
        </w:rPr>
        <w:t>）交易所上市交易或挂牌转让的含</w:t>
      </w:r>
      <w:proofErr w:type="gramStart"/>
      <w:r w:rsidRPr="00E14DEA">
        <w:rPr>
          <w:rFonts w:hint="eastAsia"/>
          <w:color w:val="000000"/>
          <w:szCs w:val="21"/>
        </w:rPr>
        <w:t>权固定</w:t>
      </w:r>
      <w:proofErr w:type="gramEnd"/>
      <w:r w:rsidRPr="00E14DEA">
        <w:rPr>
          <w:rFonts w:hint="eastAsia"/>
          <w:color w:val="000000"/>
          <w:szCs w:val="21"/>
        </w:rPr>
        <w:t>收益品种（另有规定的除外），选取估值日第三方估值基准服务机构提供的相应品种当日的唯一估值全价或推荐估值全价进行估值；</w:t>
      </w:r>
    </w:p>
    <w:p w14:paraId="7A6211EB"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F56572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4</w:t>
      </w:r>
      <w:r w:rsidRPr="00E14DEA">
        <w:rPr>
          <w:rFonts w:hint="eastAsia"/>
          <w:color w:val="000000"/>
          <w:szCs w:val="21"/>
        </w:rPr>
        <w:t>）交易所上市交易的可转换债券实行全价交易的债券选取估值日收盘价作为估值全价；实行净价交易的债券选取估值日收盘价并加计每百元税前应计利息作为估值全价；</w:t>
      </w:r>
    </w:p>
    <w:p w14:paraId="065B00DE" w14:textId="77777777"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5</w:t>
      </w:r>
      <w:r w:rsidRPr="00E14DEA">
        <w:rPr>
          <w:rFonts w:hint="eastAsia"/>
          <w:color w:val="000000"/>
          <w:szCs w:val="21"/>
        </w:rPr>
        <w:t>）交易所上市不存在活跃市场的有价证券，采用在当前情况下适用并且有足够可利用数据和其他信息支持的估值技术确定其公允价值。</w:t>
      </w:r>
    </w:p>
    <w:p w14:paraId="0E9E15B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、处于未上市期间的有价证券应区分如下情况处理：</w:t>
      </w:r>
    </w:p>
    <w:p w14:paraId="716C19D7"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1</w:t>
      </w:r>
      <w:r w:rsidRPr="00E14DEA">
        <w:rPr>
          <w:rFonts w:hint="eastAsia"/>
          <w:color w:val="000000"/>
          <w:szCs w:val="21"/>
        </w:rPr>
        <w:t>）送股、转增股、配股和公开增发的新股，按估值日在证券交易所挂牌的同一股票的估值方法估值；该日无交易的，以最近一日的市价（收盘价）估值；</w:t>
      </w:r>
    </w:p>
    <w:p w14:paraId="5B283029"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2</w:t>
      </w:r>
      <w:r w:rsidRPr="00E14DEA">
        <w:rPr>
          <w:rFonts w:hint="eastAsia"/>
          <w:color w:val="000000"/>
          <w:szCs w:val="21"/>
        </w:rPr>
        <w:t>）首次公开发行未上市的股票、债券，采用估值技术确定公允价值；</w:t>
      </w:r>
    </w:p>
    <w:p w14:paraId="2FCC7F3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3</w:t>
      </w:r>
      <w:r w:rsidRPr="00E14DEA">
        <w:rPr>
          <w:rFonts w:hint="eastAsia"/>
          <w:color w:val="000000"/>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14DEA">
        <w:rPr>
          <w:rFonts w:hint="eastAsia"/>
          <w:color w:val="000000"/>
          <w:szCs w:val="21"/>
        </w:rPr>
        <w:t>券</w:t>
      </w:r>
      <w:proofErr w:type="gramEnd"/>
      <w:r w:rsidRPr="00E14DEA">
        <w:rPr>
          <w:rFonts w:hint="eastAsia"/>
          <w:color w:val="000000"/>
          <w:szCs w:val="21"/>
        </w:rPr>
        <w:t>等流通受限股票，按监管机构或行业协会有关规定确定公允价值；</w:t>
      </w:r>
    </w:p>
    <w:p w14:paraId="59DF4A6E" w14:textId="77777777"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w:t>
      </w:r>
      <w:r w:rsidRPr="00E14DEA">
        <w:rPr>
          <w:rFonts w:hint="eastAsia"/>
          <w:color w:val="000000"/>
          <w:szCs w:val="21"/>
        </w:rPr>
        <w:t>4</w:t>
      </w:r>
      <w:r w:rsidRPr="00E14DEA">
        <w:rPr>
          <w:rFonts w:hint="eastAsia"/>
          <w:color w:val="000000"/>
          <w:szCs w:val="21"/>
        </w:rPr>
        <w:t>）对于未上市或未挂牌转让且不存在活跃市场的固定收益品种，应采用在当前情况下适用并且有足够可利用数据和其他信息支持的估值技术确定其公允价值。</w:t>
      </w:r>
    </w:p>
    <w:p w14:paraId="1CD66607" w14:textId="10E9C1F5"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w:t>
      </w:r>
      <w:r w:rsidR="00E14DEA" w:rsidRPr="00E14DEA">
        <w:rPr>
          <w:rFonts w:hint="eastAsia"/>
          <w:color w:val="000000"/>
          <w:szCs w:val="21"/>
        </w:rPr>
        <w:t>对全国银行间市场固定收益品种，参照交易所固定收益品种的估值方法进行估值。</w:t>
      </w:r>
      <w:r>
        <w:rPr>
          <w:rFonts w:hint="eastAsia"/>
          <w:color w:val="000000"/>
          <w:szCs w:val="21"/>
        </w:rPr>
        <w:t>4</w:t>
      </w:r>
      <w:r>
        <w:rPr>
          <w:rFonts w:hint="eastAsia"/>
          <w:color w:val="000000"/>
          <w:szCs w:val="21"/>
        </w:rPr>
        <w:t>、存款的估值方法</w:t>
      </w:r>
    </w:p>
    <w:p w14:paraId="1F28286E"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持有的银行定期存款或通知存款，按协议或合同利率逐日确认利息收入。</w:t>
      </w:r>
    </w:p>
    <w:p w14:paraId="62A3D1F6"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5</w:t>
      </w:r>
      <w:r w:rsidRPr="00E14DEA">
        <w:rPr>
          <w:rFonts w:hint="eastAsia"/>
          <w:color w:val="000000"/>
          <w:szCs w:val="21"/>
        </w:rPr>
        <w:t>、本基金投资股指期货合约，一般以估值当日结算价进行估值，估值当日无结算价的，且最近交易日后经济环境未发生重大变化的，采用最近交易日结算价估值。</w:t>
      </w:r>
    </w:p>
    <w:p w14:paraId="41BAA794"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6</w:t>
      </w:r>
      <w:r w:rsidRPr="00E14DEA">
        <w:rPr>
          <w:rFonts w:hint="eastAsia"/>
          <w:color w:val="000000"/>
          <w:szCs w:val="21"/>
        </w:rPr>
        <w:t>、本基金投资股票期权合约，一般以估值当日结算价进行估值，估值当日无结算价的，且最近交易日后经济环境未发生重大变化的，采用最近交易日结算价估值。</w:t>
      </w:r>
    </w:p>
    <w:p w14:paraId="30BBB11B"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7</w:t>
      </w:r>
      <w:r w:rsidRPr="00E14DEA">
        <w:rPr>
          <w:rFonts w:hint="eastAsia"/>
          <w:color w:val="000000"/>
          <w:szCs w:val="21"/>
        </w:rPr>
        <w:t>、同一证券同时在两个或两个以上市场交易的，按证券所处的市场分别估值。</w:t>
      </w:r>
    </w:p>
    <w:p w14:paraId="2B86389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8</w:t>
      </w:r>
      <w:r w:rsidRPr="00E14DEA">
        <w:rPr>
          <w:rFonts w:hint="eastAsia"/>
          <w:color w:val="000000"/>
          <w:szCs w:val="21"/>
        </w:rPr>
        <w:t>、本基金参与转融通证券出借业务的，按照相关法律法规及行业协会的相关规定进行估值。</w:t>
      </w:r>
    </w:p>
    <w:p w14:paraId="252B8C93" w14:textId="77777777"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9</w:t>
      </w:r>
      <w:r w:rsidRPr="00E14DEA">
        <w:rPr>
          <w:rFonts w:hint="eastAsia"/>
          <w:color w:val="000000"/>
          <w:szCs w:val="21"/>
        </w:rPr>
        <w:t>、本基金可以采用第三方估值基准服务机构按照上述公允价值确定原则提供的估值</w:t>
      </w:r>
      <w:r w:rsidRPr="00E14DEA">
        <w:rPr>
          <w:rFonts w:hint="eastAsia"/>
          <w:color w:val="000000"/>
          <w:szCs w:val="21"/>
        </w:rPr>
        <w:lastRenderedPageBreak/>
        <w:t>价格数据。</w:t>
      </w:r>
    </w:p>
    <w:p w14:paraId="02A694D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10</w:t>
      </w:r>
      <w:r>
        <w:rPr>
          <w:rFonts w:hint="eastAsia"/>
          <w:color w:val="000000"/>
          <w:szCs w:val="21"/>
        </w:rPr>
        <w:t>、如有确凿证据表明按上述方法进行估值不能客观反映其公允价值的，基金管理人可根据具体情况与基金托管人商定后，按最能反映公允价值的价格估值。</w:t>
      </w:r>
    </w:p>
    <w:p w14:paraId="4BA956D2" w14:textId="77777777" w:rsidR="00175DB4" w:rsidRDefault="000519D1">
      <w:pPr>
        <w:tabs>
          <w:tab w:val="left" w:pos="540"/>
        </w:tabs>
        <w:snapToGrid w:val="0"/>
        <w:spacing w:line="360" w:lineRule="auto"/>
        <w:ind w:firstLineChars="200" w:firstLine="420"/>
        <w:rPr>
          <w:color w:val="000000"/>
          <w:szCs w:val="21"/>
        </w:rPr>
      </w:pPr>
      <w:r>
        <w:rPr>
          <w:color w:val="000000"/>
          <w:szCs w:val="21"/>
        </w:rPr>
        <w:t>11</w:t>
      </w:r>
      <w:r>
        <w:rPr>
          <w:rFonts w:hint="eastAsia"/>
          <w:color w:val="000000"/>
          <w:szCs w:val="21"/>
        </w:rPr>
        <w:t>、本基金投资存托凭证的估值核算，依照境内上市交易的股票进行。</w:t>
      </w:r>
    </w:p>
    <w:p w14:paraId="3A74982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12</w:t>
      </w:r>
      <w:r>
        <w:rPr>
          <w:rFonts w:hint="eastAsia"/>
          <w:color w:val="000000"/>
          <w:szCs w:val="21"/>
        </w:rPr>
        <w:t>、相关法律法规以及监管部门有强制规定的，从其规定。如有新增事项，按国家最新规定估值。</w:t>
      </w:r>
    </w:p>
    <w:p w14:paraId="25FDBCD4" w14:textId="77777777" w:rsidR="00175DB4" w:rsidRDefault="000519D1">
      <w:pPr>
        <w:tabs>
          <w:tab w:val="left" w:pos="540"/>
        </w:tabs>
        <w:snapToGrid w:val="0"/>
        <w:spacing w:line="360" w:lineRule="auto"/>
        <w:ind w:firstLineChars="200" w:firstLine="420"/>
        <w:rPr>
          <w:color w:val="000000"/>
          <w:szCs w:val="21"/>
        </w:rPr>
      </w:pPr>
      <w:r>
        <w:rPr>
          <w:color w:val="000000"/>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241CE63" w14:textId="77777777" w:rsidR="00175DB4" w:rsidRDefault="000519D1">
      <w:pPr>
        <w:tabs>
          <w:tab w:val="left" w:pos="540"/>
        </w:tabs>
        <w:snapToGrid w:val="0"/>
        <w:spacing w:line="360" w:lineRule="auto"/>
        <w:ind w:firstLineChars="200" w:firstLine="420"/>
        <w:rPr>
          <w:color w:val="000000"/>
          <w:szCs w:val="21"/>
        </w:rPr>
      </w:pPr>
      <w:r>
        <w:rPr>
          <w:color w:val="00000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color w:val="000000"/>
          <w:szCs w:val="21"/>
        </w:rPr>
        <w:t>信息</w:t>
      </w:r>
      <w:r>
        <w:rPr>
          <w:color w:val="000000"/>
          <w:szCs w:val="21"/>
        </w:rPr>
        <w:t>的计算结果对外予以公布。</w:t>
      </w:r>
    </w:p>
    <w:p w14:paraId="0197566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（五）</w:t>
      </w:r>
      <w:r>
        <w:rPr>
          <w:color w:val="000000"/>
          <w:szCs w:val="21"/>
        </w:rPr>
        <w:t>估值程序</w:t>
      </w:r>
    </w:p>
    <w:p w14:paraId="25D9735F" w14:textId="508C9DD6"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、基金份额净值是按照每个</w:t>
      </w:r>
      <w:r w:rsidR="00E14DEA" w:rsidRPr="00E14DEA">
        <w:rPr>
          <w:rFonts w:hint="eastAsia"/>
          <w:color w:val="000000"/>
          <w:szCs w:val="21"/>
        </w:rPr>
        <w:t>估值日</w:t>
      </w:r>
      <w:r>
        <w:rPr>
          <w:color w:val="000000"/>
          <w:szCs w:val="21"/>
        </w:rPr>
        <w:t>闭市后，基金资产净值除以当日基金份额的余额数量计算，精确到</w:t>
      </w:r>
      <w:r>
        <w:rPr>
          <w:color w:val="000000"/>
          <w:szCs w:val="21"/>
        </w:rPr>
        <w:t>0.0001</w:t>
      </w:r>
      <w:r>
        <w:rPr>
          <w:color w:val="000000"/>
          <w:szCs w:val="21"/>
        </w:rPr>
        <w:t>元，小数点后第</w:t>
      </w:r>
      <w:r>
        <w:rPr>
          <w:rFonts w:hint="eastAsia"/>
          <w:color w:val="000000"/>
          <w:szCs w:val="21"/>
        </w:rPr>
        <w:t>5</w:t>
      </w:r>
      <w:r>
        <w:rPr>
          <w:color w:val="000000"/>
          <w:szCs w:val="21"/>
        </w:rPr>
        <w:t>位四舍五入</w:t>
      </w:r>
      <w:r w:rsidR="00E14DEA" w:rsidRPr="00E14DEA">
        <w:rPr>
          <w:rFonts w:hint="eastAsia"/>
          <w:color w:val="000000"/>
          <w:szCs w:val="21"/>
        </w:rPr>
        <w:t>，由此产生的误差由基金财产承担</w:t>
      </w:r>
      <w:r>
        <w:rPr>
          <w:color w:val="000000"/>
          <w:szCs w:val="21"/>
        </w:rPr>
        <w:t>。</w:t>
      </w:r>
      <w:r>
        <w:rPr>
          <w:rFonts w:hint="eastAsia"/>
          <w:color w:val="000000"/>
          <w:szCs w:val="21"/>
        </w:rPr>
        <w:t>基金管理人可以设立大额赎回情形下的净值精度应急调整机制。</w:t>
      </w:r>
      <w:r>
        <w:rPr>
          <w:color w:val="000000"/>
          <w:szCs w:val="21"/>
        </w:rPr>
        <w:t>国家另有规定的，从其规定。</w:t>
      </w:r>
    </w:p>
    <w:p w14:paraId="222BDCD4" w14:textId="3D900BA9"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w:t>
      </w:r>
      <w:proofErr w:type="gramStart"/>
      <w:r>
        <w:rPr>
          <w:rFonts w:hint="eastAsia"/>
          <w:color w:val="000000"/>
          <w:szCs w:val="21"/>
        </w:rPr>
        <w:t>应</w:t>
      </w:r>
      <w:r>
        <w:rPr>
          <w:color w:val="000000"/>
          <w:szCs w:val="21"/>
        </w:rPr>
        <w:t>每个</w:t>
      </w:r>
      <w:proofErr w:type="gramEnd"/>
      <w:r w:rsidR="00E14DEA" w:rsidRPr="00E14DEA">
        <w:rPr>
          <w:rFonts w:hint="eastAsia"/>
          <w:color w:val="000000"/>
          <w:szCs w:val="21"/>
        </w:rPr>
        <w:t>估值日</w:t>
      </w:r>
      <w:r>
        <w:rPr>
          <w:color w:val="000000"/>
          <w:szCs w:val="21"/>
        </w:rPr>
        <w:t>计算基金资产净值及基金份额净值，并按规定公告。</w:t>
      </w:r>
    </w:p>
    <w:p w14:paraId="07C383C7" w14:textId="044FFD31"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、基金管理人</w:t>
      </w:r>
      <w:proofErr w:type="gramStart"/>
      <w:r>
        <w:rPr>
          <w:color w:val="000000"/>
          <w:szCs w:val="21"/>
        </w:rPr>
        <w:t>应每个</w:t>
      </w:r>
      <w:proofErr w:type="gramEnd"/>
      <w:r w:rsidR="00E14DEA" w:rsidRPr="00E14DEA">
        <w:rPr>
          <w:rFonts w:hint="eastAsia"/>
          <w:color w:val="000000"/>
          <w:szCs w:val="21"/>
        </w:rPr>
        <w:t>估值日</w:t>
      </w:r>
      <w:r>
        <w:rPr>
          <w:color w:val="000000"/>
          <w:szCs w:val="21"/>
        </w:rPr>
        <w:t>对基金资产估值。但基金管理人根据法律法规或基金合同的规定暂停估值时除外。基金管理人每个</w:t>
      </w:r>
      <w:r w:rsidR="00E14DEA" w:rsidRPr="00E14DEA">
        <w:rPr>
          <w:rFonts w:hint="eastAsia"/>
          <w:color w:val="000000"/>
          <w:szCs w:val="21"/>
        </w:rPr>
        <w:t>估值日</w:t>
      </w:r>
      <w:r>
        <w:rPr>
          <w:color w:val="000000"/>
          <w:szCs w:val="21"/>
        </w:rPr>
        <w:t>对基金资产估值后，将基金份额净值结果发送基金托管人，经基金托管人复核无误后，由基金管理人</w:t>
      </w:r>
      <w:r w:rsidR="00E14DEA" w:rsidRPr="00E14DEA">
        <w:rPr>
          <w:rFonts w:hint="eastAsia"/>
          <w:color w:val="000000"/>
          <w:szCs w:val="21"/>
        </w:rPr>
        <w:t>按约定</w:t>
      </w:r>
      <w:r>
        <w:rPr>
          <w:color w:val="000000"/>
          <w:szCs w:val="21"/>
        </w:rPr>
        <w:t>对外公布。</w:t>
      </w:r>
    </w:p>
    <w:p w14:paraId="72A3217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（六）</w:t>
      </w:r>
      <w:r>
        <w:rPr>
          <w:color w:val="000000"/>
          <w:szCs w:val="21"/>
        </w:rPr>
        <w:t>估值错误的处理</w:t>
      </w:r>
    </w:p>
    <w:p w14:paraId="77472B27"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基金管理人和基金托管人将采取必要、适当、合理的措施确保基金资产估值的准确性、及时性。当基金份额净值小数点后</w:t>
      </w:r>
      <w:r>
        <w:rPr>
          <w:color w:val="000000"/>
          <w:szCs w:val="21"/>
        </w:rPr>
        <w:t>4</w:t>
      </w:r>
      <w:r>
        <w:rPr>
          <w:color w:val="000000"/>
          <w:szCs w:val="21"/>
        </w:rPr>
        <w:t>位以内</w:t>
      </w:r>
      <w:r>
        <w:rPr>
          <w:color w:val="000000"/>
          <w:szCs w:val="21"/>
        </w:rPr>
        <w:t>(</w:t>
      </w:r>
      <w:r>
        <w:rPr>
          <w:color w:val="000000"/>
          <w:szCs w:val="21"/>
        </w:rPr>
        <w:t>含第</w:t>
      </w:r>
      <w:r>
        <w:rPr>
          <w:color w:val="000000"/>
          <w:szCs w:val="21"/>
        </w:rPr>
        <w:t>4</w:t>
      </w:r>
      <w:r>
        <w:rPr>
          <w:color w:val="000000"/>
          <w:szCs w:val="21"/>
        </w:rPr>
        <w:t>位</w:t>
      </w:r>
      <w:r>
        <w:rPr>
          <w:color w:val="000000"/>
          <w:szCs w:val="21"/>
        </w:rPr>
        <w:t>)</w:t>
      </w:r>
      <w:r>
        <w:rPr>
          <w:color w:val="000000"/>
          <w:szCs w:val="21"/>
        </w:rPr>
        <w:t>发生估值错误时，视为</w:t>
      </w:r>
      <w:r>
        <w:rPr>
          <w:rFonts w:hint="eastAsia"/>
          <w:color w:val="000000"/>
          <w:szCs w:val="21"/>
        </w:rPr>
        <w:t>基金份额净值</w:t>
      </w:r>
      <w:r>
        <w:rPr>
          <w:color w:val="000000"/>
          <w:szCs w:val="21"/>
        </w:rPr>
        <w:t>估值错误。</w:t>
      </w:r>
    </w:p>
    <w:p w14:paraId="004F6ED5"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基金合同的当事人应按照以下约定处理：</w:t>
      </w:r>
    </w:p>
    <w:p w14:paraId="025B9801"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、估值错误类型</w:t>
      </w:r>
    </w:p>
    <w:p w14:paraId="0EE321CE"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color w:val="000000"/>
          <w:szCs w:val="21"/>
        </w:rPr>
        <w:t>(“</w:t>
      </w:r>
      <w:r>
        <w:rPr>
          <w:color w:val="000000"/>
          <w:szCs w:val="21"/>
        </w:rPr>
        <w:t>受损方</w:t>
      </w:r>
      <w:r>
        <w:rPr>
          <w:color w:val="000000"/>
          <w:szCs w:val="21"/>
        </w:rPr>
        <w:t>”)</w:t>
      </w:r>
      <w:r>
        <w:rPr>
          <w:color w:val="000000"/>
          <w:szCs w:val="21"/>
        </w:rPr>
        <w:t>的直接损失按下述</w:t>
      </w:r>
      <w:r>
        <w:rPr>
          <w:color w:val="000000"/>
          <w:szCs w:val="21"/>
        </w:rPr>
        <w:t>“</w:t>
      </w:r>
      <w:r>
        <w:rPr>
          <w:color w:val="000000"/>
          <w:szCs w:val="21"/>
        </w:rPr>
        <w:t>估值错误处理原则</w:t>
      </w:r>
      <w:r>
        <w:rPr>
          <w:color w:val="000000"/>
          <w:szCs w:val="21"/>
        </w:rPr>
        <w:t>”</w:t>
      </w:r>
      <w:r>
        <w:rPr>
          <w:color w:val="000000"/>
          <w:szCs w:val="21"/>
        </w:rPr>
        <w:t>给予赔偿，承担赔偿责任。</w:t>
      </w:r>
    </w:p>
    <w:p w14:paraId="3A94899B" w14:textId="77777777" w:rsidR="00175DB4" w:rsidRDefault="000519D1">
      <w:pPr>
        <w:tabs>
          <w:tab w:val="left" w:pos="540"/>
        </w:tabs>
        <w:snapToGrid w:val="0"/>
        <w:spacing w:line="360" w:lineRule="auto"/>
        <w:ind w:firstLineChars="200" w:firstLine="420"/>
        <w:rPr>
          <w:color w:val="000000"/>
          <w:szCs w:val="21"/>
        </w:rPr>
      </w:pPr>
      <w:r>
        <w:rPr>
          <w:color w:val="000000"/>
          <w:szCs w:val="21"/>
        </w:rPr>
        <w:t>上述估值错误的主要类型包括但不限于：资料申报差错、数据传输差错、数据计算差错、系统故障差错、下达指令差错等。</w:t>
      </w:r>
    </w:p>
    <w:p w14:paraId="6F6FD895" w14:textId="77777777" w:rsidR="00175DB4" w:rsidRDefault="000519D1">
      <w:pPr>
        <w:tabs>
          <w:tab w:val="left" w:pos="540"/>
        </w:tabs>
        <w:snapToGrid w:val="0"/>
        <w:spacing w:line="360" w:lineRule="auto"/>
        <w:ind w:firstLineChars="200" w:firstLine="420"/>
        <w:rPr>
          <w:color w:val="000000"/>
          <w:szCs w:val="21"/>
        </w:rPr>
      </w:pPr>
      <w:r>
        <w:rPr>
          <w:color w:val="000000"/>
          <w:szCs w:val="21"/>
        </w:rPr>
        <w:lastRenderedPageBreak/>
        <w:t>2</w:t>
      </w:r>
      <w:r>
        <w:rPr>
          <w:color w:val="000000"/>
          <w:szCs w:val="21"/>
        </w:rPr>
        <w:t>、估值错误处理原则</w:t>
      </w:r>
    </w:p>
    <w:p w14:paraId="30D4C969"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E3F8F98"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）估值错误的责任方对有关当事人的直接损失负责，不对间接损失负责，并且仅对估值错误的有关直接当事人负责，不对第三方负责。</w:t>
      </w:r>
    </w:p>
    <w:p w14:paraId="17749AE1"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）因估值错误而获得不当得利的当事人负有及时返还不当得利的义务。但估值错误责任方仍应对估值错误负责。如果由于获得不当得利的当事人</w:t>
      </w:r>
      <w:proofErr w:type="gramStart"/>
      <w:r>
        <w:rPr>
          <w:color w:val="000000"/>
          <w:szCs w:val="21"/>
        </w:rPr>
        <w:t>不</w:t>
      </w:r>
      <w:proofErr w:type="gramEnd"/>
      <w:r>
        <w:rPr>
          <w:color w:val="000000"/>
          <w:szCs w:val="21"/>
        </w:rPr>
        <w:t>返还或不全部返还不当得利造成其他当事人的利益损失</w:t>
      </w:r>
      <w:r>
        <w:rPr>
          <w:color w:val="000000"/>
          <w:szCs w:val="21"/>
        </w:rPr>
        <w:t>(“</w:t>
      </w:r>
      <w:r>
        <w:rPr>
          <w:color w:val="000000"/>
          <w:szCs w:val="21"/>
        </w:rPr>
        <w:t>受损方</w:t>
      </w:r>
      <w:r>
        <w:rPr>
          <w:color w:val="000000"/>
          <w:szCs w:val="21"/>
        </w:rPr>
        <w:t>”)</w:t>
      </w:r>
      <w:r>
        <w:rPr>
          <w:color w:val="000000"/>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F66698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）估值错误调整采用尽量恢复至假设未发生估值错误的正确情形的方式。</w:t>
      </w:r>
    </w:p>
    <w:p w14:paraId="46EA437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）按法律法规规定的其他原则处理估值错误。</w:t>
      </w:r>
    </w:p>
    <w:p w14:paraId="242A2E47"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、估值错误处理程序</w:t>
      </w:r>
    </w:p>
    <w:p w14:paraId="013E26AC" w14:textId="77777777" w:rsidR="00175DB4" w:rsidRDefault="000519D1">
      <w:pPr>
        <w:tabs>
          <w:tab w:val="left" w:pos="540"/>
        </w:tabs>
        <w:snapToGrid w:val="0"/>
        <w:spacing w:line="360" w:lineRule="auto"/>
        <w:ind w:firstLineChars="200" w:firstLine="420"/>
        <w:rPr>
          <w:color w:val="000000"/>
          <w:szCs w:val="21"/>
        </w:rPr>
      </w:pPr>
      <w:r>
        <w:rPr>
          <w:color w:val="000000"/>
          <w:szCs w:val="21"/>
        </w:rPr>
        <w:t>估值错误被发现后，有关的当事人应当及时进行处理，处理的程序如下：</w:t>
      </w:r>
    </w:p>
    <w:p w14:paraId="485E55E6"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）查明估值错误发生的原因，列明所有的当事人，并根据估值错误发生的原因确定估值错误的责任方；</w:t>
      </w:r>
    </w:p>
    <w:p w14:paraId="661221FC"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）根据估值错误处理原则或当事人协商的方法对因估值错误造成的损失进行评估；</w:t>
      </w:r>
    </w:p>
    <w:p w14:paraId="60AEA626"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）根据估值错误处理原则或当事人协商的方法由估值错误的责任方进行更正和赔偿损失；</w:t>
      </w:r>
    </w:p>
    <w:p w14:paraId="2728E556" w14:textId="3E4A6208"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）根据估值错误处理的方法，需要修改基金登记机构交易数据的，由基金登记机构进行更正，并就估值错误的更正向有关当事人进行确认。</w:t>
      </w:r>
    </w:p>
    <w:p w14:paraId="66F2CC70"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、基金份额净值估值错误处理的方法如下：</w:t>
      </w:r>
    </w:p>
    <w:p w14:paraId="0B99C75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）基金份额净值计算出现错误时，基金管理人应当立即予以纠正，通报基金托管人，并采取合理的措施防止损失进一步扩大。</w:t>
      </w:r>
    </w:p>
    <w:p w14:paraId="25824375"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）错误偏差达到基金</w:t>
      </w:r>
      <w:r>
        <w:rPr>
          <w:rFonts w:hint="eastAsia"/>
          <w:color w:val="000000"/>
          <w:szCs w:val="21"/>
        </w:rPr>
        <w:t>份额</w:t>
      </w:r>
      <w:r>
        <w:rPr>
          <w:color w:val="000000"/>
          <w:szCs w:val="21"/>
        </w:rPr>
        <w:t>净值的</w:t>
      </w:r>
      <w:r>
        <w:rPr>
          <w:color w:val="000000"/>
          <w:szCs w:val="21"/>
        </w:rPr>
        <w:t>0.25%</w:t>
      </w:r>
      <w:r>
        <w:rPr>
          <w:color w:val="000000"/>
          <w:szCs w:val="21"/>
        </w:rPr>
        <w:t>时，基金管理人应当通报基金托管人并报中国证监会备案；错误偏差达到基金份额净值的</w:t>
      </w:r>
      <w:r>
        <w:rPr>
          <w:color w:val="000000"/>
          <w:szCs w:val="21"/>
        </w:rPr>
        <w:t>0.5%</w:t>
      </w:r>
      <w:r>
        <w:rPr>
          <w:color w:val="000000"/>
          <w:szCs w:val="21"/>
        </w:rPr>
        <w:t>时，基金管理人应当公告</w:t>
      </w:r>
      <w:r>
        <w:rPr>
          <w:rFonts w:hint="eastAsia"/>
          <w:color w:val="000000"/>
          <w:szCs w:val="21"/>
        </w:rPr>
        <w:t>，并报中国证监会备案。</w:t>
      </w:r>
    </w:p>
    <w:p w14:paraId="0F79642B" w14:textId="499544F2" w:rsidR="00175DB4" w:rsidRDefault="000519D1">
      <w:pPr>
        <w:tabs>
          <w:tab w:val="left" w:pos="540"/>
        </w:tabs>
        <w:snapToGrid w:val="0"/>
        <w:spacing w:line="360" w:lineRule="auto"/>
        <w:ind w:firstLineChars="200" w:firstLine="420"/>
        <w:rPr>
          <w:color w:val="000000"/>
          <w:szCs w:val="21"/>
        </w:rPr>
      </w:pPr>
      <w:r>
        <w:rPr>
          <w:color w:val="000000"/>
          <w:szCs w:val="21"/>
        </w:rPr>
        <w:t>（</w:t>
      </w:r>
      <w:r w:rsidR="00E14DEA">
        <w:rPr>
          <w:color w:val="000000"/>
          <w:szCs w:val="21"/>
        </w:rPr>
        <w:t>3</w:t>
      </w:r>
      <w:r>
        <w:rPr>
          <w:color w:val="000000"/>
          <w:szCs w:val="21"/>
        </w:rPr>
        <w:t>）</w:t>
      </w:r>
      <w:r>
        <w:rPr>
          <w:rFonts w:hint="eastAsia"/>
          <w:color w:val="000000"/>
          <w:szCs w:val="21"/>
        </w:rPr>
        <w:t>前述内容如法律法规或监管机关另有规定的，从其规定处理。如果行业另有通</w:t>
      </w:r>
      <w:r>
        <w:rPr>
          <w:rFonts w:hint="eastAsia"/>
          <w:color w:val="000000"/>
          <w:szCs w:val="21"/>
        </w:rPr>
        <w:lastRenderedPageBreak/>
        <w:t>行做法，基金管理人和基金托管人应本着平等和保护基金份额持有人利益的原则进行协商。</w:t>
      </w:r>
    </w:p>
    <w:p w14:paraId="3F04717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（七）</w:t>
      </w:r>
      <w:r>
        <w:rPr>
          <w:color w:val="000000"/>
          <w:szCs w:val="21"/>
        </w:rPr>
        <w:t>暂停估值的情形</w:t>
      </w:r>
    </w:p>
    <w:p w14:paraId="288152F2"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、基金投资所涉及的证券、期货交易市场遇法定节假日或因其他原因暂停营业时；</w:t>
      </w:r>
    </w:p>
    <w:p w14:paraId="0457E5A9"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、因不可抗力致使基金管理人、基金托管人无法准确评估基金资产价值时；</w:t>
      </w:r>
    </w:p>
    <w:p w14:paraId="3B122C68"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w:t>
      </w:r>
      <w:r>
        <w:rPr>
          <w:rFonts w:hint="eastAsia"/>
          <w:color w:val="000000"/>
          <w:szCs w:val="21"/>
        </w:rPr>
        <w:t>当前一估值日基金资产净值</w:t>
      </w:r>
      <w:r>
        <w:rPr>
          <w:color w:val="000000"/>
          <w:szCs w:val="21"/>
        </w:rPr>
        <w:t>50%</w:t>
      </w:r>
      <w:r>
        <w:rPr>
          <w:rFonts w:hint="eastAsia"/>
          <w:color w:val="000000"/>
          <w:szCs w:val="21"/>
        </w:rPr>
        <w:t>以上的资产出现无可参考的活跃市场价格且采用估值技术</w:t>
      </w:r>
      <w:proofErr w:type="gramStart"/>
      <w:r>
        <w:rPr>
          <w:rFonts w:hint="eastAsia"/>
          <w:color w:val="000000"/>
          <w:szCs w:val="21"/>
        </w:rPr>
        <w:t>仍导致</w:t>
      </w:r>
      <w:proofErr w:type="gramEnd"/>
      <w:r>
        <w:rPr>
          <w:rFonts w:hint="eastAsia"/>
          <w:color w:val="000000"/>
          <w:szCs w:val="21"/>
        </w:rPr>
        <w:t>公允价值存在重大不确定性时，经与基金托管人协商确认后，基金管理人应当暂停估值；</w:t>
      </w:r>
    </w:p>
    <w:p w14:paraId="433E6B78"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、中国证监会和基金合同认定的其它情形。</w:t>
      </w:r>
    </w:p>
    <w:p w14:paraId="4CADC4B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（八）</w:t>
      </w:r>
      <w:r>
        <w:rPr>
          <w:color w:val="000000"/>
          <w:szCs w:val="21"/>
        </w:rPr>
        <w:t>基金净值的确认</w:t>
      </w:r>
    </w:p>
    <w:p w14:paraId="415F9BEF" w14:textId="7E82C7DC" w:rsidR="00175DB4" w:rsidRDefault="000519D1">
      <w:pPr>
        <w:tabs>
          <w:tab w:val="left" w:pos="540"/>
        </w:tabs>
        <w:snapToGrid w:val="0"/>
        <w:spacing w:line="360" w:lineRule="auto"/>
        <w:ind w:firstLineChars="200" w:firstLine="420"/>
        <w:rPr>
          <w:color w:val="000000"/>
          <w:szCs w:val="21"/>
        </w:rPr>
      </w:pPr>
      <w:r>
        <w:rPr>
          <w:color w:val="000000"/>
          <w:szCs w:val="21"/>
        </w:rPr>
        <w:t>用于基金信息披露的基金资产净值和基金份额净值由基金管理人负责计算，基金托管人负责进行复核。基金管理人应于每个</w:t>
      </w:r>
      <w:r w:rsidR="00E14DEA">
        <w:rPr>
          <w:rFonts w:hint="eastAsia"/>
          <w:color w:val="000000"/>
          <w:szCs w:val="21"/>
        </w:rPr>
        <w:t>估值日</w:t>
      </w:r>
      <w:r>
        <w:rPr>
          <w:color w:val="000000"/>
          <w:szCs w:val="21"/>
        </w:rPr>
        <w:t>交易结束后计算当日的基金资产净值和基金份额净值并发送给基金托管人。基金托管人对净值计算结果复核确认后发送给基金管理人，由基金管理人对基金净值</w:t>
      </w:r>
      <w:r w:rsidR="00200C93">
        <w:rPr>
          <w:rFonts w:hint="eastAsia"/>
          <w:color w:val="000000"/>
          <w:szCs w:val="21"/>
        </w:rPr>
        <w:t>按约定</w:t>
      </w:r>
      <w:r>
        <w:rPr>
          <w:color w:val="000000"/>
          <w:szCs w:val="21"/>
        </w:rPr>
        <w:t>予以公布。</w:t>
      </w:r>
    </w:p>
    <w:p w14:paraId="0BEDED4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（九）</w:t>
      </w:r>
      <w:r>
        <w:rPr>
          <w:color w:val="000000"/>
          <w:szCs w:val="21"/>
        </w:rPr>
        <w:t>特殊情况的处理</w:t>
      </w:r>
    </w:p>
    <w:p w14:paraId="41B575C5"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、基金管理人或基金托管人按《基金合同》规定的估值方法的第</w:t>
      </w:r>
      <w:r>
        <w:rPr>
          <w:color w:val="000000"/>
          <w:szCs w:val="21"/>
        </w:rPr>
        <w:t>10</w:t>
      </w:r>
      <w:r>
        <w:rPr>
          <w:color w:val="000000"/>
          <w:szCs w:val="21"/>
        </w:rPr>
        <w:t>项进行估值时，所造成的误差不作为基金资产估值错误处理。</w:t>
      </w:r>
    </w:p>
    <w:p w14:paraId="6973D564" w14:textId="5F0328C1"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w:t>
      </w:r>
      <w:r>
        <w:rPr>
          <w:rFonts w:hint="eastAsia"/>
          <w:color w:val="000000"/>
          <w:szCs w:val="21"/>
        </w:rPr>
        <w:t>由于不可抗力原因，或由于证券、期货交易所、登记机构</w:t>
      </w:r>
      <w:r w:rsidR="00E14DEA" w:rsidRPr="00E14DEA">
        <w:rPr>
          <w:rFonts w:hint="eastAsia"/>
          <w:color w:val="000000"/>
          <w:szCs w:val="21"/>
        </w:rPr>
        <w:t>、指数编制机构</w:t>
      </w:r>
      <w:r>
        <w:rPr>
          <w:rFonts w:hint="eastAsia"/>
          <w:color w:val="000000"/>
          <w:szCs w:val="21"/>
        </w:rPr>
        <w:t>及存款银行等第三方机构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BCE3A77" w14:textId="77777777" w:rsidR="00175DB4" w:rsidRDefault="00175DB4">
      <w:pPr>
        <w:pStyle w:val="1"/>
        <w:spacing w:line="600" w:lineRule="exact"/>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49" w:name="_Toc92531660"/>
      <w:bookmarkStart w:id="50" w:name="_Toc86589177"/>
    </w:p>
    <w:p w14:paraId="51A5B89A" w14:textId="77777777" w:rsidR="00175DB4" w:rsidRDefault="000519D1">
      <w:pPr>
        <w:pStyle w:val="1"/>
        <w:spacing w:line="360" w:lineRule="exact"/>
        <w:rPr>
          <w:rFonts w:eastAsia="宋体"/>
          <w:color w:val="000000"/>
          <w:sz w:val="30"/>
          <w:szCs w:val="30"/>
        </w:rPr>
      </w:pPr>
      <w:bookmarkStart w:id="51" w:name="_Toc135741016"/>
      <w:r>
        <w:rPr>
          <w:rFonts w:eastAsia="宋体"/>
          <w:color w:val="000000"/>
          <w:sz w:val="30"/>
          <w:szCs w:val="30"/>
        </w:rPr>
        <w:lastRenderedPageBreak/>
        <w:t>十</w:t>
      </w:r>
      <w:r>
        <w:rPr>
          <w:rFonts w:eastAsia="宋体" w:hint="eastAsia"/>
          <w:color w:val="000000"/>
          <w:sz w:val="30"/>
          <w:szCs w:val="30"/>
        </w:rPr>
        <w:t>四</w:t>
      </w:r>
      <w:r>
        <w:rPr>
          <w:rFonts w:eastAsia="宋体"/>
          <w:color w:val="000000"/>
          <w:sz w:val="30"/>
          <w:szCs w:val="30"/>
        </w:rPr>
        <w:t>、基金的收益</w:t>
      </w:r>
      <w:r>
        <w:rPr>
          <w:rFonts w:eastAsia="宋体" w:hint="eastAsia"/>
          <w:color w:val="000000"/>
          <w:sz w:val="30"/>
          <w:szCs w:val="30"/>
        </w:rPr>
        <w:t>与</w:t>
      </w:r>
      <w:r>
        <w:rPr>
          <w:rFonts w:eastAsia="宋体"/>
          <w:color w:val="000000"/>
          <w:sz w:val="30"/>
          <w:szCs w:val="30"/>
        </w:rPr>
        <w:t>分配</w:t>
      </w:r>
      <w:bookmarkEnd w:id="49"/>
      <w:bookmarkEnd w:id="50"/>
      <w:bookmarkEnd w:id="51"/>
    </w:p>
    <w:p w14:paraId="5DA7CFD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（一）收益分配原则</w:t>
      </w:r>
    </w:p>
    <w:p w14:paraId="09DCB05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、每份基金份额享有同等分配权；</w:t>
      </w:r>
    </w:p>
    <w:p w14:paraId="7266AA0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、基金收益</w:t>
      </w:r>
      <w:proofErr w:type="gramStart"/>
      <w:r>
        <w:rPr>
          <w:rFonts w:hint="eastAsia"/>
          <w:color w:val="000000"/>
          <w:szCs w:val="21"/>
        </w:rPr>
        <w:t>评价日核定</w:t>
      </w:r>
      <w:proofErr w:type="gramEnd"/>
      <w:r>
        <w:rPr>
          <w:rFonts w:hint="eastAsia"/>
          <w:color w:val="000000"/>
          <w:szCs w:val="21"/>
        </w:rPr>
        <w:t>的基金份额净值增长率超过标的指数同期增长率达到</w:t>
      </w:r>
      <w:r>
        <w:rPr>
          <w:rFonts w:hint="eastAsia"/>
          <w:color w:val="000000"/>
          <w:szCs w:val="21"/>
        </w:rPr>
        <w:t>1%</w:t>
      </w:r>
      <w:r>
        <w:rPr>
          <w:rFonts w:hint="eastAsia"/>
          <w:color w:val="000000"/>
          <w:szCs w:val="21"/>
        </w:rPr>
        <w:t>以上时，基金管理人可以进行收益分配；</w:t>
      </w:r>
    </w:p>
    <w:p w14:paraId="67961BB2" w14:textId="2DC6DB36"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、在符合上述基金分红条件的前提下，每次基金收益分配数额的确定原则为：使收益分配后基金份额净值增长率尽可能贴近标的指数同期增长率；</w:t>
      </w:r>
      <w:proofErr w:type="gramStart"/>
      <w:r>
        <w:rPr>
          <w:rFonts w:hint="eastAsia"/>
          <w:color w:val="000000"/>
          <w:szCs w:val="21"/>
        </w:rPr>
        <w:t>若基金</w:t>
      </w:r>
      <w:proofErr w:type="gramEnd"/>
      <w:r>
        <w:rPr>
          <w:rFonts w:hint="eastAsia"/>
          <w:color w:val="000000"/>
          <w:szCs w:val="21"/>
        </w:rPr>
        <w:t>合同生效不满</w:t>
      </w:r>
      <w:r>
        <w:rPr>
          <w:rFonts w:hint="eastAsia"/>
          <w:color w:val="000000"/>
          <w:szCs w:val="21"/>
        </w:rPr>
        <w:t>3</w:t>
      </w:r>
      <w:r>
        <w:rPr>
          <w:rFonts w:hint="eastAsia"/>
          <w:color w:val="000000"/>
          <w:szCs w:val="21"/>
        </w:rPr>
        <w:t>个月可不进行收益分配；</w:t>
      </w:r>
    </w:p>
    <w:p w14:paraId="04B1626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4</w:t>
      </w:r>
      <w:r>
        <w:rPr>
          <w:rFonts w:hint="eastAsia"/>
          <w:color w:val="000000"/>
          <w:szCs w:val="21"/>
        </w:rPr>
        <w:t>、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2418714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5</w:t>
      </w:r>
      <w:r>
        <w:rPr>
          <w:rFonts w:hint="eastAsia"/>
          <w:color w:val="000000"/>
          <w:szCs w:val="21"/>
        </w:rPr>
        <w:t>、本基金收益分配采取现金方式；</w:t>
      </w:r>
    </w:p>
    <w:p w14:paraId="58BF115A" w14:textId="40D46B54" w:rsidR="00175DB4" w:rsidRDefault="000519D1">
      <w:pPr>
        <w:tabs>
          <w:tab w:val="left" w:pos="540"/>
        </w:tabs>
        <w:snapToGrid w:val="0"/>
        <w:spacing w:line="360" w:lineRule="auto"/>
        <w:ind w:firstLineChars="200" w:firstLine="420"/>
        <w:rPr>
          <w:color w:val="000000"/>
          <w:szCs w:val="21"/>
        </w:rPr>
      </w:pPr>
      <w:r>
        <w:rPr>
          <w:rFonts w:hint="eastAsia"/>
          <w:color w:val="000000"/>
          <w:szCs w:val="21"/>
        </w:rPr>
        <w:t>6</w:t>
      </w:r>
      <w:r>
        <w:rPr>
          <w:rFonts w:hint="eastAsia"/>
          <w:color w:val="000000"/>
          <w:szCs w:val="21"/>
        </w:rPr>
        <w:t>、法律法规</w:t>
      </w:r>
      <w:r w:rsidR="00E14DEA">
        <w:rPr>
          <w:rFonts w:hint="eastAsia"/>
          <w:color w:val="000000"/>
          <w:szCs w:val="21"/>
        </w:rPr>
        <w:t>、</w:t>
      </w:r>
      <w:r>
        <w:rPr>
          <w:rFonts w:hint="eastAsia"/>
          <w:color w:val="000000"/>
          <w:szCs w:val="21"/>
        </w:rPr>
        <w:t>监管机关</w:t>
      </w:r>
      <w:r w:rsidR="00E14DEA" w:rsidRPr="00E14DEA">
        <w:rPr>
          <w:rFonts w:hint="eastAsia"/>
          <w:color w:val="000000"/>
          <w:szCs w:val="21"/>
        </w:rPr>
        <w:t>、登记机构、深圳证券交易所</w:t>
      </w:r>
      <w:r>
        <w:rPr>
          <w:rFonts w:hint="eastAsia"/>
          <w:color w:val="000000"/>
          <w:szCs w:val="21"/>
        </w:rPr>
        <w:t>另有规定的，从其规定。</w:t>
      </w:r>
    </w:p>
    <w:p w14:paraId="03FE605C" w14:textId="2F1603D4" w:rsidR="00E14DEA" w:rsidRDefault="00E14DEA">
      <w:pPr>
        <w:tabs>
          <w:tab w:val="left" w:pos="540"/>
        </w:tabs>
        <w:snapToGrid w:val="0"/>
        <w:spacing w:line="360" w:lineRule="auto"/>
        <w:ind w:firstLineChars="200" w:firstLine="420"/>
        <w:rPr>
          <w:color w:val="000000"/>
          <w:szCs w:val="21"/>
        </w:rPr>
      </w:pPr>
      <w:r w:rsidRPr="00E14DEA">
        <w:rPr>
          <w:rFonts w:hint="eastAsia"/>
          <w:color w:val="000000"/>
          <w:szCs w:val="21"/>
        </w:rPr>
        <w:t>在不违反法律法规且对基金份额持有人利益无实质性不利影响的前提下，基金管理人可对基金收益分配原则进行调整，无需召开基金份额持有人大会。</w:t>
      </w:r>
    </w:p>
    <w:p w14:paraId="761FEA7F" w14:textId="15B89214"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t>（</w:t>
      </w:r>
      <w:r w:rsidR="00E14DEA" w:rsidRPr="00E14DEA">
        <w:rPr>
          <w:rFonts w:hint="eastAsia"/>
          <w:color w:val="000000"/>
          <w:szCs w:val="21"/>
        </w:rPr>
        <w:t>二</w:t>
      </w:r>
      <w:r>
        <w:rPr>
          <w:rFonts w:hint="eastAsia"/>
          <w:color w:val="000000"/>
          <w:szCs w:val="21"/>
        </w:rPr>
        <w:t>）</w:t>
      </w:r>
      <w:r w:rsidR="00E14DEA" w:rsidRPr="00E14DEA">
        <w:rPr>
          <w:rFonts w:hint="eastAsia"/>
          <w:color w:val="000000"/>
          <w:szCs w:val="21"/>
        </w:rPr>
        <w:t>收益分配方案</w:t>
      </w:r>
    </w:p>
    <w:p w14:paraId="4174043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基金收益分配方案中应载明基金截止收益分配基准日的可供分配利润、收益分配对象、分配时间、分配数额及比例、分配方式等内容。</w:t>
      </w:r>
    </w:p>
    <w:p w14:paraId="1AD1C7F6" w14:textId="64C8BC84"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t>（</w:t>
      </w:r>
      <w:r w:rsidR="00E14DEA" w:rsidRPr="00E14DEA">
        <w:rPr>
          <w:rFonts w:hint="eastAsia"/>
          <w:color w:val="000000"/>
          <w:szCs w:val="21"/>
        </w:rPr>
        <w:t>三</w:t>
      </w:r>
      <w:r>
        <w:rPr>
          <w:rFonts w:hint="eastAsia"/>
          <w:color w:val="000000"/>
          <w:szCs w:val="21"/>
        </w:rPr>
        <w:t>）</w:t>
      </w:r>
      <w:r w:rsidR="00E14DEA" w:rsidRPr="00E14DEA">
        <w:rPr>
          <w:rFonts w:hint="eastAsia"/>
          <w:color w:val="000000"/>
          <w:szCs w:val="21"/>
        </w:rPr>
        <w:t>收益分配方案的确定与公告与实施</w:t>
      </w:r>
    </w:p>
    <w:p w14:paraId="7CF0DB04"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本基金收益分配方案由基金管理人拟定，并由基金托管人复核。基金收益分配方案确定后，由基金管理人依照《信息披露办法》的有关规定在规定媒介公告。</w:t>
      </w:r>
    </w:p>
    <w:p w14:paraId="3F0F2090" w14:textId="03F4F716"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t>（</w:t>
      </w:r>
      <w:r w:rsidR="00E14DEA" w:rsidRPr="00E14DEA">
        <w:rPr>
          <w:rFonts w:hint="eastAsia"/>
          <w:color w:val="000000"/>
          <w:szCs w:val="21"/>
        </w:rPr>
        <w:t>四</w:t>
      </w:r>
      <w:r>
        <w:rPr>
          <w:rFonts w:hint="eastAsia"/>
          <w:color w:val="000000"/>
          <w:szCs w:val="21"/>
        </w:rPr>
        <w:t>）</w:t>
      </w:r>
      <w:r w:rsidR="00E14DEA" w:rsidRPr="00E14DEA">
        <w:rPr>
          <w:rFonts w:hint="eastAsia"/>
          <w:color w:val="000000"/>
          <w:szCs w:val="21"/>
        </w:rPr>
        <w:t>收益分配中发生的费用</w:t>
      </w:r>
    </w:p>
    <w:p w14:paraId="35FBF797" w14:textId="49457024" w:rsidR="00175DB4" w:rsidRDefault="00E14DEA">
      <w:pPr>
        <w:spacing w:line="360" w:lineRule="auto"/>
        <w:ind w:firstLineChars="225" w:firstLine="473"/>
        <w:rPr>
          <w:bCs/>
          <w:sz w:val="24"/>
        </w:rPr>
      </w:pPr>
      <w:r w:rsidRPr="00E14DEA">
        <w:rPr>
          <w:rFonts w:hint="eastAsia"/>
          <w:color w:val="000000"/>
          <w:szCs w:val="21"/>
        </w:rPr>
        <w:t>基金收益分配时发生的银行转账或其他手续费用由基金份额持有人自行承担。</w:t>
      </w:r>
    </w:p>
    <w:p w14:paraId="1E561F12" w14:textId="77777777" w:rsidR="00175DB4" w:rsidRDefault="000519D1">
      <w:pPr>
        <w:widowControl/>
        <w:jc w:val="left"/>
        <w:rPr>
          <w:rFonts w:eastAsia="黑体"/>
          <w:b/>
          <w:bCs/>
          <w:color w:val="000000"/>
          <w:kern w:val="44"/>
          <w:sz w:val="32"/>
          <w:szCs w:val="21"/>
        </w:rPr>
      </w:pPr>
      <w:r>
        <w:rPr>
          <w:color w:val="000000"/>
          <w:szCs w:val="21"/>
        </w:rPr>
        <w:br w:type="page"/>
      </w:r>
    </w:p>
    <w:p w14:paraId="68F2A664" w14:textId="77777777" w:rsidR="00175DB4" w:rsidRDefault="000519D1">
      <w:pPr>
        <w:pStyle w:val="1"/>
        <w:spacing w:line="360" w:lineRule="exact"/>
        <w:rPr>
          <w:rFonts w:eastAsia="宋体"/>
          <w:color w:val="000000"/>
          <w:sz w:val="30"/>
          <w:szCs w:val="30"/>
        </w:rPr>
      </w:pPr>
      <w:bookmarkStart w:id="52" w:name="_Toc86589178"/>
      <w:bookmarkStart w:id="53" w:name="_Toc92531661"/>
      <w:bookmarkStart w:id="54" w:name="_Toc135741017"/>
      <w:r>
        <w:rPr>
          <w:rFonts w:eastAsia="宋体"/>
          <w:color w:val="000000"/>
          <w:sz w:val="30"/>
          <w:szCs w:val="30"/>
        </w:rPr>
        <w:lastRenderedPageBreak/>
        <w:t>十</w:t>
      </w:r>
      <w:r>
        <w:rPr>
          <w:rFonts w:eastAsia="宋体" w:hint="eastAsia"/>
          <w:color w:val="000000"/>
          <w:sz w:val="30"/>
          <w:szCs w:val="30"/>
        </w:rPr>
        <w:t>五</w:t>
      </w:r>
      <w:r>
        <w:rPr>
          <w:rFonts w:eastAsia="宋体"/>
          <w:color w:val="000000"/>
          <w:sz w:val="30"/>
          <w:szCs w:val="30"/>
        </w:rPr>
        <w:t>、基金的费用与税收</w:t>
      </w:r>
      <w:bookmarkEnd w:id="52"/>
      <w:bookmarkEnd w:id="53"/>
      <w:bookmarkEnd w:id="54"/>
    </w:p>
    <w:p w14:paraId="3FE634A7" w14:textId="77777777" w:rsidR="00175DB4" w:rsidRDefault="000519D1">
      <w:pPr>
        <w:tabs>
          <w:tab w:val="left" w:pos="540"/>
        </w:tabs>
        <w:snapToGrid w:val="0"/>
        <w:spacing w:line="360" w:lineRule="auto"/>
        <w:ind w:firstLineChars="200" w:firstLine="420"/>
        <w:rPr>
          <w:color w:val="000000"/>
          <w:szCs w:val="21"/>
        </w:rPr>
      </w:pPr>
      <w:bookmarkStart w:id="55" w:name="_Hlk62589648"/>
      <w:r>
        <w:rPr>
          <w:color w:val="000000"/>
          <w:szCs w:val="21"/>
        </w:rPr>
        <w:t>（一）基金费用的种类</w:t>
      </w:r>
    </w:p>
    <w:p w14:paraId="19E469C6" w14:textId="77777777" w:rsidR="00E14DEA" w:rsidRPr="00E14DEA" w:rsidRDefault="00E14DEA" w:rsidP="00E14DEA">
      <w:pPr>
        <w:tabs>
          <w:tab w:val="left" w:pos="540"/>
        </w:tabs>
        <w:snapToGrid w:val="0"/>
        <w:spacing w:line="360" w:lineRule="auto"/>
        <w:ind w:firstLineChars="200" w:firstLine="420"/>
        <w:rPr>
          <w:color w:val="000000"/>
          <w:szCs w:val="21"/>
        </w:rPr>
      </w:pPr>
      <w:bookmarkStart w:id="56" w:name="_Hlk4798323"/>
      <w:r w:rsidRPr="00E14DEA">
        <w:rPr>
          <w:rFonts w:hint="eastAsia"/>
          <w:color w:val="000000"/>
          <w:szCs w:val="21"/>
        </w:rPr>
        <w:t>1</w:t>
      </w:r>
      <w:r w:rsidRPr="00E14DEA">
        <w:rPr>
          <w:rFonts w:hint="eastAsia"/>
          <w:color w:val="000000"/>
          <w:szCs w:val="21"/>
        </w:rPr>
        <w:t>、基金管理人的管理费；</w:t>
      </w:r>
    </w:p>
    <w:p w14:paraId="6ABA8ED1"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2</w:t>
      </w:r>
      <w:r w:rsidRPr="00E14DEA">
        <w:rPr>
          <w:rFonts w:hint="eastAsia"/>
          <w:color w:val="000000"/>
          <w:szCs w:val="21"/>
        </w:rPr>
        <w:t>、基金托管人的托管费；</w:t>
      </w:r>
    </w:p>
    <w:p w14:paraId="1205E97B"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3</w:t>
      </w:r>
      <w:r w:rsidRPr="00E14DEA">
        <w:rPr>
          <w:rFonts w:hint="eastAsia"/>
          <w:color w:val="000000"/>
          <w:szCs w:val="21"/>
        </w:rPr>
        <w:t>、基金合同生效后的信息披露费用；</w:t>
      </w:r>
    </w:p>
    <w:p w14:paraId="07DAC956"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4</w:t>
      </w:r>
      <w:r w:rsidRPr="00E14DEA">
        <w:rPr>
          <w:rFonts w:hint="eastAsia"/>
          <w:color w:val="000000"/>
          <w:szCs w:val="21"/>
        </w:rPr>
        <w:t>、基金上市费及年费、注册登记费用、</w:t>
      </w:r>
      <w:r w:rsidRPr="00E14DEA">
        <w:rPr>
          <w:rFonts w:hint="eastAsia"/>
          <w:color w:val="000000"/>
          <w:szCs w:val="21"/>
        </w:rPr>
        <w:t>IOPV</w:t>
      </w:r>
      <w:r w:rsidRPr="00E14DEA">
        <w:rPr>
          <w:rFonts w:hint="eastAsia"/>
          <w:color w:val="000000"/>
          <w:szCs w:val="21"/>
        </w:rPr>
        <w:t>计算与发布费用、收益分配中发生的费用；</w:t>
      </w:r>
    </w:p>
    <w:p w14:paraId="6F6A9DD0"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5</w:t>
      </w:r>
      <w:r w:rsidRPr="00E14DEA">
        <w:rPr>
          <w:rFonts w:hint="eastAsia"/>
          <w:color w:val="000000"/>
          <w:szCs w:val="21"/>
        </w:rPr>
        <w:t>、基金份额持有人大会费用；</w:t>
      </w:r>
    </w:p>
    <w:p w14:paraId="68352FE4"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6</w:t>
      </w:r>
      <w:r w:rsidRPr="00E14DEA">
        <w:rPr>
          <w:rFonts w:hint="eastAsia"/>
          <w:color w:val="000000"/>
          <w:szCs w:val="21"/>
        </w:rPr>
        <w:t>、基金合同生效后与基金有关的会计师费、律师费、诉讼费和仲裁费；</w:t>
      </w:r>
    </w:p>
    <w:p w14:paraId="5B7B3D6E"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7</w:t>
      </w:r>
      <w:r w:rsidRPr="00E14DEA">
        <w:rPr>
          <w:rFonts w:hint="eastAsia"/>
          <w:color w:val="000000"/>
          <w:szCs w:val="21"/>
        </w:rPr>
        <w:t>、因基金的证券、期货等交易或结算而产生的费用；</w:t>
      </w:r>
    </w:p>
    <w:p w14:paraId="21F08B9D"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8</w:t>
      </w:r>
      <w:r w:rsidRPr="00E14DEA">
        <w:rPr>
          <w:rFonts w:hint="eastAsia"/>
          <w:color w:val="000000"/>
          <w:szCs w:val="21"/>
        </w:rPr>
        <w:t>、基金财产拨</w:t>
      </w:r>
      <w:proofErr w:type="gramStart"/>
      <w:r w:rsidRPr="00E14DEA">
        <w:rPr>
          <w:rFonts w:hint="eastAsia"/>
          <w:color w:val="000000"/>
          <w:szCs w:val="21"/>
        </w:rPr>
        <w:t>划支付</w:t>
      </w:r>
      <w:proofErr w:type="gramEnd"/>
      <w:r w:rsidRPr="00E14DEA">
        <w:rPr>
          <w:rFonts w:hint="eastAsia"/>
          <w:color w:val="000000"/>
          <w:szCs w:val="21"/>
        </w:rPr>
        <w:t>的银行费用；</w:t>
      </w:r>
    </w:p>
    <w:p w14:paraId="2428DA0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9</w:t>
      </w:r>
      <w:r w:rsidRPr="00E14DEA">
        <w:rPr>
          <w:rFonts w:hint="eastAsia"/>
          <w:color w:val="000000"/>
          <w:szCs w:val="21"/>
        </w:rPr>
        <w:t>、证券、期货账户开户费用和账户维护费；</w:t>
      </w:r>
    </w:p>
    <w:p w14:paraId="4E41302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10</w:t>
      </w:r>
      <w:r w:rsidRPr="00E14DEA">
        <w:rPr>
          <w:rFonts w:hint="eastAsia"/>
          <w:color w:val="000000"/>
          <w:szCs w:val="21"/>
        </w:rPr>
        <w:t>、按照国家有关规定可以在基金财产中列支的其他费用。</w:t>
      </w:r>
    </w:p>
    <w:p w14:paraId="7E402B28" w14:textId="07EBE9C0"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t>（</w:t>
      </w:r>
      <w:r w:rsidR="00E14DEA" w:rsidRPr="00E14DEA">
        <w:rPr>
          <w:rFonts w:hint="eastAsia"/>
          <w:color w:val="000000"/>
          <w:szCs w:val="21"/>
        </w:rPr>
        <w:t>二</w:t>
      </w:r>
      <w:r>
        <w:rPr>
          <w:rFonts w:hint="eastAsia"/>
          <w:color w:val="000000"/>
          <w:szCs w:val="21"/>
        </w:rPr>
        <w:t>）</w:t>
      </w:r>
      <w:r w:rsidR="00E14DEA" w:rsidRPr="00E14DEA">
        <w:rPr>
          <w:rFonts w:hint="eastAsia"/>
          <w:color w:val="000000"/>
          <w:szCs w:val="21"/>
        </w:rPr>
        <w:t>基金费用计提方法、计提标准和支付方式</w:t>
      </w:r>
    </w:p>
    <w:p w14:paraId="7EC495C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1</w:t>
      </w:r>
      <w:r w:rsidRPr="00E14DEA">
        <w:rPr>
          <w:rFonts w:hint="eastAsia"/>
          <w:color w:val="000000"/>
          <w:szCs w:val="21"/>
        </w:rPr>
        <w:t>、基金管理人的管理费</w:t>
      </w:r>
      <w:r w:rsidRPr="00E14DEA">
        <w:rPr>
          <w:rFonts w:hint="eastAsia"/>
          <w:color w:val="000000"/>
          <w:szCs w:val="21"/>
        </w:rPr>
        <w:t xml:space="preserve"> </w:t>
      </w:r>
    </w:p>
    <w:p w14:paraId="56B354C0"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本基金的管理费按前一日基金资产净值的</w:t>
      </w:r>
      <w:r w:rsidRPr="00E14DEA">
        <w:rPr>
          <w:rFonts w:hint="eastAsia"/>
          <w:color w:val="000000"/>
          <w:szCs w:val="21"/>
        </w:rPr>
        <w:t>0.50%</w:t>
      </w:r>
      <w:r w:rsidRPr="00E14DEA">
        <w:rPr>
          <w:rFonts w:hint="eastAsia"/>
          <w:color w:val="000000"/>
          <w:szCs w:val="21"/>
        </w:rPr>
        <w:t>年费率计提。管理费的计算方法如下：</w:t>
      </w:r>
    </w:p>
    <w:p w14:paraId="38C73905"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H</w:t>
      </w:r>
      <w:r w:rsidRPr="00E14DEA">
        <w:rPr>
          <w:rFonts w:hint="eastAsia"/>
          <w:color w:val="000000"/>
          <w:szCs w:val="21"/>
        </w:rPr>
        <w:t>＝</w:t>
      </w:r>
      <w:r w:rsidRPr="00E14DEA">
        <w:rPr>
          <w:rFonts w:hint="eastAsia"/>
          <w:color w:val="000000"/>
          <w:szCs w:val="21"/>
        </w:rPr>
        <w:t>E</w:t>
      </w:r>
      <w:r w:rsidRPr="00E14DEA">
        <w:rPr>
          <w:rFonts w:hint="eastAsia"/>
          <w:color w:val="000000"/>
          <w:szCs w:val="21"/>
        </w:rPr>
        <w:t>×</w:t>
      </w:r>
      <w:r w:rsidRPr="00E14DEA">
        <w:rPr>
          <w:rFonts w:hint="eastAsia"/>
          <w:color w:val="000000"/>
          <w:szCs w:val="21"/>
        </w:rPr>
        <w:t>0.50%</w:t>
      </w:r>
      <w:r w:rsidRPr="00E14DEA">
        <w:rPr>
          <w:rFonts w:hint="eastAsia"/>
          <w:color w:val="000000"/>
          <w:szCs w:val="21"/>
        </w:rPr>
        <w:t>÷当年天数</w:t>
      </w:r>
    </w:p>
    <w:p w14:paraId="4DE3448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H</w:t>
      </w:r>
      <w:r w:rsidRPr="00E14DEA">
        <w:rPr>
          <w:rFonts w:hint="eastAsia"/>
          <w:color w:val="000000"/>
          <w:szCs w:val="21"/>
        </w:rPr>
        <w:t>为每日应计提的基金管理费</w:t>
      </w:r>
    </w:p>
    <w:p w14:paraId="22C9462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E</w:t>
      </w:r>
      <w:r w:rsidRPr="00E14DEA">
        <w:rPr>
          <w:rFonts w:hint="eastAsia"/>
          <w:color w:val="000000"/>
          <w:szCs w:val="21"/>
        </w:rPr>
        <w:t>为前一日的基金资产净值</w:t>
      </w:r>
    </w:p>
    <w:p w14:paraId="1E957F8B" w14:textId="007327F8"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基金管理费每日计算，逐日累计至每月月末，按月支付，由基金托管人根据与基金管理人核对一致的财务数据</w:t>
      </w:r>
      <w:r w:rsidR="00F462A1">
        <w:rPr>
          <w:rFonts w:hint="eastAsia"/>
          <w:color w:val="000000"/>
          <w:szCs w:val="21"/>
        </w:rPr>
        <w:t>，</w:t>
      </w:r>
      <w:r w:rsidRPr="00E14DEA">
        <w:rPr>
          <w:rFonts w:hint="eastAsia"/>
          <w:color w:val="000000"/>
          <w:szCs w:val="21"/>
        </w:rPr>
        <w:t>在月初</w:t>
      </w:r>
      <w:r w:rsidRPr="00E14DEA">
        <w:rPr>
          <w:rFonts w:hint="eastAsia"/>
          <w:color w:val="000000"/>
          <w:szCs w:val="21"/>
        </w:rPr>
        <w:t>5</w:t>
      </w:r>
      <w:proofErr w:type="gramStart"/>
      <w:r w:rsidRPr="00E14DEA">
        <w:rPr>
          <w:rFonts w:hint="eastAsia"/>
          <w:color w:val="000000"/>
          <w:szCs w:val="21"/>
        </w:rPr>
        <w:t>个</w:t>
      </w:r>
      <w:proofErr w:type="gramEnd"/>
      <w:r w:rsidRPr="00E14DEA">
        <w:rPr>
          <w:rFonts w:hint="eastAsia"/>
          <w:color w:val="000000"/>
          <w:szCs w:val="21"/>
        </w:rPr>
        <w:t>工作日内，按照与基金管理人协商一致的方式进行资金支付。若遇法定节假日、休息日或不可抗力致使无法按时支付的，支付日期顺延。</w:t>
      </w:r>
    </w:p>
    <w:p w14:paraId="684AB981"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2</w:t>
      </w:r>
      <w:r w:rsidRPr="00E14DEA">
        <w:rPr>
          <w:rFonts w:hint="eastAsia"/>
          <w:color w:val="000000"/>
          <w:szCs w:val="21"/>
        </w:rPr>
        <w:t>、基金托管人的托管费</w:t>
      </w:r>
    </w:p>
    <w:p w14:paraId="15BB8B0B"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本基金的托管费按前一日基金资产净值的</w:t>
      </w:r>
      <w:r w:rsidRPr="00E14DEA">
        <w:rPr>
          <w:rFonts w:hint="eastAsia"/>
          <w:color w:val="000000"/>
          <w:szCs w:val="21"/>
        </w:rPr>
        <w:t>0.10%</w:t>
      </w:r>
      <w:r w:rsidRPr="00E14DEA">
        <w:rPr>
          <w:rFonts w:hint="eastAsia"/>
          <w:color w:val="000000"/>
          <w:szCs w:val="21"/>
        </w:rPr>
        <w:t>的年费率计提。托管费的计算方法如下：</w:t>
      </w:r>
    </w:p>
    <w:p w14:paraId="56D1DE2A"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H</w:t>
      </w:r>
      <w:r w:rsidRPr="00E14DEA">
        <w:rPr>
          <w:rFonts w:hint="eastAsia"/>
          <w:color w:val="000000"/>
          <w:szCs w:val="21"/>
        </w:rPr>
        <w:t>＝</w:t>
      </w:r>
      <w:r w:rsidRPr="00E14DEA">
        <w:rPr>
          <w:rFonts w:hint="eastAsia"/>
          <w:color w:val="000000"/>
          <w:szCs w:val="21"/>
        </w:rPr>
        <w:t>E</w:t>
      </w:r>
      <w:r w:rsidRPr="00E14DEA">
        <w:rPr>
          <w:rFonts w:hint="eastAsia"/>
          <w:color w:val="000000"/>
          <w:szCs w:val="21"/>
        </w:rPr>
        <w:t>×</w:t>
      </w:r>
      <w:r w:rsidRPr="00E14DEA">
        <w:rPr>
          <w:rFonts w:hint="eastAsia"/>
          <w:color w:val="000000"/>
          <w:szCs w:val="21"/>
        </w:rPr>
        <w:t>0.10%</w:t>
      </w:r>
      <w:r w:rsidRPr="00E14DEA">
        <w:rPr>
          <w:rFonts w:hint="eastAsia"/>
          <w:color w:val="000000"/>
          <w:szCs w:val="21"/>
        </w:rPr>
        <w:t>÷当年天数</w:t>
      </w:r>
    </w:p>
    <w:p w14:paraId="4C44E1CD"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H</w:t>
      </w:r>
      <w:r w:rsidRPr="00E14DEA">
        <w:rPr>
          <w:rFonts w:hint="eastAsia"/>
          <w:color w:val="000000"/>
          <w:szCs w:val="21"/>
        </w:rPr>
        <w:t>为每日应计提的基金托管费</w:t>
      </w:r>
    </w:p>
    <w:p w14:paraId="09974892"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E</w:t>
      </w:r>
      <w:r w:rsidRPr="00E14DEA">
        <w:rPr>
          <w:rFonts w:hint="eastAsia"/>
          <w:color w:val="000000"/>
          <w:szCs w:val="21"/>
        </w:rPr>
        <w:t>为前一日的基金资产净值</w:t>
      </w:r>
    </w:p>
    <w:p w14:paraId="0BC7CD61"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基金托管费每日计算，逐日累计至每月月末，按月支付，由基金托管人根据与基金管理人核对一致的财务数据，在月初</w:t>
      </w:r>
      <w:r w:rsidRPr="00E14DEA">
        <w:rPr>
          <w:rFonts w:hint="eastAsia"/>
          <w:color w:val="000000"/>
          <w:szCs w:val="21"/>
        </w:rPr>
        <w:t>5</w:t>
      </w:r>
      <w:proofErr w:type="gramStart"/>
      <w:r w:rsidRPr="00E14DEA">
        <w:rPr>
          <w:rFonts w:hint="eastAsia"/>
          <w:color w:val="000000"/>
          <w:szCs w:val="21"/>
        </w:rPr>
        <w:t>个</w:t>
      </w:r>
      <w:proofErr w:type="gramEnd"/>
      <w:r w:rsidRPr="00E14DEA">
        <w:rPr>
          <w:rFonts w:hint="eastAsia"/>
          <w:color w:val="000000"/>
          <w:szCs w:val="21"/>
        </w:rPr>
        <w:t>工作日内，按照与基金管理人协商一致的方式进行资金支取。若遇法定节假日、休息日或不可抗力致使无法按时支付的，支付日期顺延。</w:t>
      </w:r>
    </w:p>
    <w:p w14:paraId="0B1EA88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3</w:t>
      </w:r>
      <w:r w:rsidRPr="00E14DEA">
        <w:rPr>
          <w:rFonts w:hint="eastAsia"/>
          <w:color w:val="000000"/>
          <w:szCs w:val="21"/>
        </w:rPr>
        <w:t>、上述“一、基金费用的种类”中第</w:t>
      </w:r>
      <w:r w:rsidRPr="00E14DEA">
        <w:rPr>
          <w:rFonts w:hint="eastAsia"/>
          <w:color w:val="000000"/>
          <w:szCs w:val="21"/>
        </w:rPr>
        <w:t>3</w:t>
      </w:r>
      <w:r w:rsidRPr="00E14DEA">
        <w:rPr>
          <w:rFonts w:hint="eastAsia"/>
          <w:color w:val="000000"/>
          <w:szCs w:val="21"/>
        </w:rPr>
        <w:t>－</w:t>
      </w:r>
      <w:r w:rsidRPr="00E14DEA">
        <w:rPr>
          <w:rFonts w:hint="eastAsia"/>
          <w:color w:val="000000"/>
          <w:szCs w:val="21"/>
        </w:rPr>
        <w:t>10</w:t>
      </w:r>
      <w:r w:rsidRPr="00E14DEA">
        <w:rPr>
          <w:rFonts w:hint="eastAsia"/>
          <w:color w:val="000000"/>
          <w:szCs w:val="21"/>
        </w:rPr>
        <w:t>项费用，根据有关法规及相应协议规定，按费用实际支出金额列入当期费用，由基金托管人从基金财产中支付。</w:t>
      </w:r>
    </w:p>
    <w:p w14:paraId="323415EA" w14:textId="5CD117EE"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lastRenderedPageBreak/>
        <w:t>（</w:t>
      </w:r>
      <w:r w:rsidR="00E14DEA" w:rsidRPr="00E14DEA">
        <w:rPr>
          <w:rFonts w:hint="eastAsia"/>
          <w:color w:val="000000"/>
          <w:szCs w:val="21"/>
        </w:rPr>
        <w:t>三</w:t>
      </w:r>
      <w:r>
        <w:rPr>
          <w:rFonts w:hint="eastAsia"/>
          <w:color w:val="000000"/>
          <w:szCs w:val="21"/>
        </w:rPr>
        <w:t>）</w:t>
      </w:r>
      <w:r w:rsidR="00E14DEA" w:rsidRPr="00E14DEA">
        <w:rPr>
          <w:rFonts w:hint="eastAsia"/>
          <w:color w:val="000000"/>
          <w:szCs w:val="21"/>
        </w:rPr>
        <w:t>不列入基金费用的项目</w:t>
      </w:r>
    </w:p>
    <w:p w14:paraId="133987CE"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下列费用不列入基金费用：</w:t>
      </w:r>
    </w:p>
    <w:p w14:paraId="211B9C7D"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1</w:t>
      </w:r>
      <w:r w:rsidRPr="00E14DEA">
        <w:rPr>
          <w:rFonts w:hint="eastAsia"/>
          <w:color w:val="000000"/>
          <w:szCs w:val="21"/>
        </w:rPr>
        <w:t>、基金管理人和基金托管人因未履行或未完全履行义务导致的费用支出或基金财产的损失；</w:t>
      </w:r>
    </w:p>
    <w:p w14:paraId="3B4F3928"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2</w:t>
      </w:r>
      <w:r w:rsidRPr="00E14DEA">
        <w:rPr>
          <w:rFonts w:hint="eastAsia"/>
          <w:color w:val="000000"/>
          <w:szCs w:val="21"/>
        </w:rPr>
        <w:t>、基金管理人和基金托管人处理与基金运作无关的事项发生的费用；</w:t>
      </w:r>
    </w:p>
    <w:p w14:paraId="695093E3"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3</w:t>
      </w:r>
      <w:r w:rsidRPr="00E14DEA">
        <w:rPr>
          <w:rFonts w:hint="eastAsia"/>
          <w:color w:val="000000"/>
          <w:szCs w:val="21"/>
        </w:rPr>
        <w:t>、《基金合同》生效前的相关费用；</w:t>
      </w:r>
    </w:p>
    <w:p w14:paraId="53465BEE"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4</w:t>
      </w:r>
      <w:r w:rsidRPr="00E14DEA">
        <w:rPr>
          <w:rFonts w:hint="eastAsia"/>
          <w:color w:val="000000"/>
          <w:szCs w:val="21"/>
        </w:rPr>
        <w:t>、标的指数许可使用费，本基金的标的指数许可使用费由基金管理人承担；</w:t>
      </w:r>
    </w:p>
    <w:p w14:paraId="4D41ABF3" w14:textId="77777777" w:rsidR="00E14DEA" w:rsidRPr="00E14DEA" w:rsidRDefault="00E14DEA" w:rsidP="00E14DEA">
      <w:pPr>
        <w:tabs>
          <w:tab w:val="left" w:pos="540"/>
        </w:tabs>
        <w:snapToGrid w:val="0"/>
        <w:spacing w:line="360" w:lineRule="auto"/>
        <w:ind w:firstLineChars="200" w:firstLine="420"/>
        <w:rPr>
          <w:color w:val="000000"/>
          <w:szCs w:val="21"/>
        </w:rPr>
      </w:pPr>
      <w:r w:rsidRPr="00E14DEA">
        <w:rPr>
          <w:rFonts w:hint="eastAsia"/>
          <w:color w:val="000000"/>
          <w:szCs w:val="21"/>
        </w:rPr>
        <w:t>5</w:t>
      </w:r>
      <w:r w:rsidRPr="00E14DEA">
        <w:rPr>
          <w:rFonts w:hint="eastAsia"/>
          <w:color w:val="000000"/>
          <w:szCs w:val="21"/>
        </w:rPr>
        <w:t>、其他根据相关法律法规及中国证监会的有关规定不得列入基金费用的项目。</w:t>
      </w:r>
    </w:p>
    <w:p w14:paraId="6B6E7818" w14:textId="5C8FE033" w:rsidR="00E14DEA" w:rsidRPr="00E14DEA" w:rsidRDefault="00FB08C2" w:rsidP="00E14DEA">
      <w:pPr>
        <w:tabs>
          <w:tab w:val="left" w:pos="540"/>
        </w:tabs>
        <w:snapToGrid w:val="0"/>
        <w:spacing w:line="360" w:lineRule="auto"/>
        <w:ind w:firstLineChars="200" w:firstLine="420"/>
        <w:rPr>
          <w:color w:val="000000"/>
          <w:szCs w:val="21"/>
        </w:rPr>
      </w:pPr>
      <w:r>
        <w:rPr>
          <w:rFonts w:hint="eastAsia"/>
          <w:color w:val="000000"/>
          <w:szCs w:val="21"/>
        </w:rPr>
        <w:t>（</w:t>
      </w:r>
      <w:r w:rsidR="00E14DEA" w:rsidRPr="00E14DEA">
        <w:rPr>
          <w:rFonts w:hint="eastAsia"/>
          <w:color w:val="000000"/>
          <w:szCs w:val="21"/>
        </w:rPr>
        <w:t>四</w:t>
      </w:r>
      <w:r>
        <w:rPr>
          <w:rFonts w:hint="eastAsia"/>
          <w:color w:val="000000"/>
          <w:szCs w:val="21"/>
        </w:rPr>
        <w:t>）</w:t>
      </w:r>
      <w:r w:rsidR="00E14DEA" w:rsidRPr="00E14DEA">
        <w:rPr>
          <w:rFonts w:hint="eastAsia"/>
          <w:color w:val="000000"/>
          <w:szCs w:val="21"/>
        </w:rPr>
        <w:t>基金税收</w:t>
      </w:r>
    </w:p>
    <w:p w14:paraId="692FDD20" w14:textId="319CD56A" w:rsidR="00175DB4" w:rsidRDefault="00E14DEA" w:rsidP="0084159B">
      <w:pPr>
        <w:widowControl/>
        <w:spacing w:line="360" w:lineRule="auto"/>
        <w:ind w:firstLineChars="200" w:firstLine="420"/>
        <w:jc w:val="left"/>
        <w:rPr>
          <w:rFonts w:eastAsia="黑体"/>
          <w:b/>
          <w:bCs/>
          <w:color w:val="000000"/>
          <w:kern w:val="44"/>
          <w:sz w:val="32"/>
          <w:szCs w:val="21"/>
        </w:rPr>
      </w:pPr>
      <w:r w:rsidRPr="00E14DEA">
        <w:rPr>
          <w:rFonts w:hint="eastAsia"/>
          <w:color w:val="000000"/>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57" w:name="_Hlt88827255"/>
      <w:bookmarkEnd w:id="55"/>
      <w:bookmarkEnd w:id="56"/>
      <w:bookmarkEnd w:id="57"/>
      <w:r w:rsidR="000519D1">
        <w:rPr>
          <w:color w:val="000000"/>
          <w:szCs w:val="21"/>
        </w:rPr>
        <w:br w:type="page"/>
      </w:r>
    </w:p>
    <w:p w14:paraId="6C430A56" w14:textId="77777777" w:rsidR="00175DB4" w:rsidRDefault="000519D1">
      <w:pPr>
        <w:pStyle w:val="1"/>
        <w:spacing w:line="360" w:lineRule="exact"/>
        <w:rPr>
          <w:rFonts w:eastAsia="宋体"/>
          <w:color w:val="000000"/>
          <w:sz w:val="30"/>
          <w:szCs w:val="30"/>
        </w:rPr>
      </w:pPr>
      <w:bookmarkStart w:id="58" w:name="_Toc86589179"/>
      <w:bookmarkStart w:id="59" w:name="_Toc92531662"/>
      <w:bookmarkStart w:id="60" w:name="_Toc135741018"/>
      <w:r>
        <w:rPr>
          <w:rFonts w:eastAsia="宋体"/>
          <w:color w:val="000000"/>
          <w:sz w:val="30"/>
          <w:szCs w:val="30"/>
        </w:rPr>
        <w:lastRenderedPageBreak/>
        <w:t>十</w:t>
      </w:r>
      <w:r>
        <w:rPr>
          <w:rFonts w:eastAsia="宋体" w:hint="eastAsia"/>
          <w:color w:val="000000"/>
          <w:sz w:val="30"/>
          <w:szCs w:val="30"/>
        </w:rPr>
        <w:t>六</w:t>
      </w:r>
      <w:r>
        <w:rPr>
          <w:rFonts w:eastAsia="宋体"/>
          <w:color w:val="000000"/>
          <w:sz w:val="30"/>
          <w:szCs w:val="30"/>
        </w:rPr>
        <w:t>、基金的会计与审计</w:t>
      </w:r>
      <w:bookmarkEnd w:id="58"/>
      <w:bookmarkEnd w:id="59"/>
      <w:bookmarkEnd w:id="60"/>
    </w:p>
    <w:p w14:paraId="62F06CC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（一）</w:t>
      </w:r>
      <w:r>
        <w:rPr>
          <w:color w:val="000000"/>
          <w:szCs w:val="21"/>
        </w:rPr>
        <w:t>基金会计政策</w:t>
      </w:r>
    </w:p>
    <w:p w14:paraId="3C8A82C9"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、基金管理人为本基金的基金会计责任方；</w:t>
      </w:r>
    </w:p>
    <w:p w14:paraId="28C82719"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、基金的会计年度为公历年度的</w:t>
      </w:r>
      <w:r>
        <w:rPr>
          <w:color w:val="000000"/>
          <w:szCs w:val="21"/>
        </w:rPr>
        <w:t>1</w:t>
      </w:r>
      <w:r>
        <w:rPr>
          <w:color w:val="000000"/>
          <w:szCs w:val="21"/>
        </w:rPr>
        <w:t>月</w:t>
      </w:r>
      <w:r>
        <w:rPr>
          <w:color w:val="000000"/>
          <w:szCs w:val="21"/>
        </w:rPr>
        <w:t>1</w:t>
      </w:r>
      <w:r>
        <w:rPr>
          <w:color w:val="000000"/>
          <w:szCs w:val="21"/>
        </w:rPr>
        <w:t>日至</w:t>
      </w:r>
      <w:r>
        <w:rPr>
          <w:color w:val="000000"/>
          <w:szCs w:val="21"/>
        </w:rPr>
        <w:t>12</w:t>
      </w:r>
      <w:r>
        <w:rPr>
          <w:color w:val="000000"/>
          <w:szCs w:val="21"/>
        </w:rPr>
        <w:t>月</w:t>
      </w:r>
      <w:r>
        <w:rPr>
          <w:color w:val="000000"/>
          <w:szCs w:val="21"/>
        </w:rPr>
        <w:t>31</w:t>
      </w:r>
      <w:r>
        <w:rPr>
          <w:color w:val="000000"/>
          <w:szCs w:val="21"/>
        </w:rPr>
        <w:t>日；基金首次募集的会计年度按如下原则：如果《基金合同》生效少于</w:t>
      </w:r>
      <w:r>
        <w:rPr>
          <w:color w:val="000000"/>
          <w:szCs w:val="21"/>
        </w:rPr>
        <w:t>2</w:t>
      </w:r>
      <w:r>
        <w:rPr>
          <w:color w:val="000000"/>
          <w:szCs w:val="21"/>
        </w:rPr>
        <w:t>个月，可以并入下一个会计年度披露；</w:t>
      </w:r>
    </w:p>
    <w:p w14:paraId="2190A7E6"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、基金核算以人民币为记账本位币，以人民币元为记账单位；</w:t>
      </w:r>
    </w:p>
    <w:p w14:paraId="4585F6C6"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、会计制度执行国家有关会计制度；</w:t>
      </w:r>
    </w:p>
    <w:p w14:paraId="3F58EA10"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、本基金独立建账、独立核算；</w:t>
      </w:r>
    </w:p>
    <w:p w14:paraId="51184360" w14:textId="77777777" w:rsidR="00175DB4" w:rsidRDefault="000519D1">
      <w:pPr>
        <w:tabs>
          <w:tab w:val="left" w:pos="540"/>
        </w:tabs>
        <w:snapToGrid w:val="0"/>
        <w:spacing w:line="360" w:lineRule="auto"/>
        <w:ind w:firstLineChars="200" w:firstLine="420"/>
        <w:rPr>
          <w:color w:val="000000"/>
          <w:szCs w:val="21"/>
        </w:rPr>
      </w:pPr>
      <w:r>
        <w:rPr>
          <w:color w:val="000000"/>
          <w:szCs w:val="21"/>
        </w:rPr>
        <w:t>6</w:t>
      </w:r>
      <w:r>
        <w:rPr>
          <w:color w:val="000000"/>
          <w:szCs w:val="21"/>
        </w:rPr>
        <w:t>、基金管理人及基金托管人各自保留完整的会计账目、凭证并进行日常的会计核算，按照有关规定编制基金会计报表；</w:t>
      </w:r>
    </w:p>
    <w:p w14:paraId="2ADD925E" w14:textId="77777777" w:rsidR="00175DB4" w:rsidRDefault="000519D1">
      <w:pPr>
        <w:tabs>
          <w:tab w:val="left" w:pos="540"/>
        </w:tabs>
        <w:snapToGrid w:val="0"/>
        <w:spacing w:line="360" w:lineRule="auto"/>
        <w:ind w:firstLineChars="200" w:firstLine="420"/>
        <w:rPr>
          <w:color w:val="000000"/>
          <w:szCs w:val="21"/>
        </w:rPr>
      </w:pPr>
      <w:r>
        <w:rPr>
          <w:color w:val="000000"/>
          <w:szCs w:val="21"/>
        </w:rPr>
        <w:t>7</w:t>
      </w:r>
      <w:r>
        <w:rPr>
          <w:color w:val="000000"/>
          <w:szCs w:val="21"/>
        </w:rPr>
        <w:t>、基金托管人每月与基金管理人就基金的会计核算、报表编制等进行核对并以书面方式确认。</w:t>
      </w:r>
    </w:p>
    <w:p w14:paraId="1144E77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基金的年度审计</w:t>
      </w:r>
    </w:p>
    <w:p w14:paraId="1B713087"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、基金管理人聘请与基金管理人、基金托管人相互独立的</w:t>
      </w:r>
      <w:r>
        <w:rPr>
          <w:rFonts w:hint="eastAsia"/>
          <w:color w:val="000000"/>
          <w:szCs w:val="21"/>
        </w:rPr>
        <w:t>符合《中华人民共和国证券法》规定</w:t>
      </w:r>
      <w:r>
        <w:rPr>
          <w:color w:val="000000"/>
          <w:szCs w:val="21"/>
        </w:rPr>
        <w:t>的会计师事务所及其注册会计师对本基金的年度财务报表进行审计。</w:t>
      </w:r>
    </w:p>
    <w:p w14:paraId="605F7286"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、会计师事务所更换经办注册会计师，应事先征得基金管理人同意。</w:t>
      </w:r>
    </w:p>
    <w:p w14:paraId="48B96375" w14:textId="21258066"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、基金管理人认为有充足理由更换会计师事务所，须通报基金托管人。更换会计师事务所需</w:t>
      </w:r>
      <w:r>
        <w:rPr>
          <w:rFonts w:hint="eastAsia"/>
          <w:color w:val="000000"/>
          <w:szCs w:val="21"/>
        </w:rPr>
        <w:t>按照</w:t>
      </w:r>
      <w:r w:rsidR="00E14DEA" w:rsidRPr="00E14DEA">
        <w:rPr>
          <w:rFonts w:hint="eastAsia"/>
          <w:color w:val="000000"/>
          <w:szCs w:val="21"/>
        </w:rPr>
        <w:t>《信息披露办法》</w:t>
      </w:r>
      <w:r>
        <w:rPr>
          <w:rFonts w:hint="eastAsia"/>
          <w:color w:val="000000"/>
          <w:szCs w:val="21"/>
        </w:rPr>
        <w:t>要求</w:t>
      </w:r>
      <w:r>
        <w:rPr>
          <w:color w:val="000000"/>
          <w:szCs w:val="21"/>
        </w:rPr>
        <w:t>在</w:t>
      </w:r>
      <w:r>
        <w:rPr>
          <w:rFonts w:hint="eastAsia"/>
          <w:color w:val="000000"/>
          <w:szCs w:val="21"/>
        </w:rPr>
        <w:t>规定媒介</w:t>
      </w:r>
      <w:r>
        <w:rPr>
          <w:color w:val="000000"/>
          <w:szCs w:val="21"/>
        </w:rPr>
        <w:t>公告。</w:t>
      </w:r>
    </w:p>
    <w:p w14:paraId="0B29651C" w14:textId="77777777" w:rsidR="00175DB4" w:rsidRDefault="00175DB4">
      <w:pPr>
        <w:tabs>
          <w:tab w:val="left" w:pos="540"/>
        </w:tabs>
        <w:spacing w:line="360" w:lineRule="auto"/>
        <w:ind w:firstLineChars="200" w:firstLine="420"/>
        <w:rPr>
          <w:color w:val="FF0000"/>
        </w:rPr>
      </w:pPr>
    </w:p>
    <w:p w14:paraId="4E18A256" w14:textId="77777777" w:rsidR="00175DB4" w:rsidRDefault="00175DB4">
      <w:pPr>
        <w:pStyle w:val="1"/>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61" w:name="_Toc86589180"/>
      <w:bookmarkStart w:id="62" w:name="_Toc92531663"/>
    </w:p>
    <w:p w14:paraId="22189BCE" w14:textId="77777777" w:rsidR="00175DB4" w:rsidRDefault="000519D1">
      <w:pPr>
        <w:pStyle w:val="1"/>
        <w:spacing w:line="360" w:lineRule="exact"/>
        <w:rPr>
          <w:rFonts w:eastAsia="宋体"/>
          <w:color w:val="000000"/>
          <w:sz w:val="30"/>
          <w:szCs w:val="30"/>
        </w:rPr>
      </w:pPr>
      <w:bookmarkStart w:id="63" w:name="_Toc135741019"/>
      <w:r>
        <w:rPr>
          <w:rFonts w:eastAsia="宋体"/>
          <w:color w:val="000000"/>
          <w:sz w:val="30"/>
          <w:szCs w:val="30"/>
        </w:rPr>
        <w:lastRenderedPageBreak/>
        <w:t>十</w:t>
      </w:r>
      <w:r>
        <w:rPr>
          <w:rFonts w:eastAsia="宋体" w:hint="eastAsia"/>
          <w:color w:val="000000"/>
          <w:sz w:val="30"/>
          <w:szCs w:val="30"/>
        </w:rPr>
        <w:t>七</w:t>
      </w:r>
      <w:r>
        <w:rPr>
          <w:rFonts w:eastAsia="宋体"/>
          <w:color w:val="000000"/>
          <w:sz w:val="30"/>
          <w:szCs w:val="30"/>
        </w:rPr>
        <w:t>、基金的信息披露</w:t>
      </w:r>
      <w:bookmarkEnd w:id="61"/>
      <w:bookmarkEnd w:id="62"/>
      <w:bookmarkEnd w:id="63"/>
    </w:p>
    <w:p w14:paraId="07ACBC7A" w14:textId="3235B2EE" w:rsidR="00175DB4" w:rsidRDefault="000519D1" w:rsidP="008647F5">
      <w:pPr>
        <w:tabs>
          <w:tab w:val="left" w:pos="540"/>
        </w:tabs>
        <w:snapToGrid w:val="0"/>
        <w:spacing w:line="360" w:lineRule="auto"/>
        <w:ind w:firstLineChars="200" w:firstLine="420"/>
        <w:rPr>
          <w:color w:val="000000"/>
          <w:szCs w:val="21"/>
        </w:rPr>
      </w:pPr>
      <w:r>
        <w:rPr>
          <w:rFonts w:hint="eastAsia"/>
          <w:color w:val="000000"/>
          <w:szCs w:val="21"/>
        </w:rPr>
        <w:t>（一）</w:t>
      </w:r>
      <w:r>
        <w:rPr>
          <w:color w:val="000000"/>
          <w:szCs w:val="21"/>
        </w:rPr>
        <w:t>本基金的信息披露应符合《基金法》、《运作办法》、《信息披露办法》、</w:t>
      </w:r>
      <w:r>
        <w:rPr>
          <w:rFonts w:hint="eastAsia"/>
          <w:color w:val="000000"/>
          <w:szCs w:val="21"/>
        </w:rPr>
        <w:t>《流动性风险管理规定》、</w:t>
      </w:r>
      <w:r>
        <w:rPr>
          <w:color w:val="000000"/>
          <w:szCs w:val="21"/>
        </w:rPr>
        <w:t>《基金合同》及其他有关规定。</w:t>
      </w:r>
      <w:proofErr w:type="gramStart"/>
      <w:r>
        <w:rPr>
          <w:rFonts w:hint="eastAsia"/>
          <w:color w:val="000000"/>
          <w:szCs w:val="21"/>
        </w:rPr>
        <w:t>若相关</w:t>
      </w:r>
      <w:proofErr w:type="gramEnd"/>
      <w:r>
        <w:rPr>
          <w:rFonts w:hint="eastAsia"/>
          <w:color w:val="000000"/>
          <w:szCs w:val="21"/>
        </w:rPr>
        <w:t>法律法规修订或变更后对于基金信息披露的信息类型、披露内容、披露方式等规定与本部分的内容不同，若适用于本基金，本基金的信息披露按照修订或变更后的法律法规的要求执行。</w:t>
      </w:r>
    </w:p>
    <w:p w14:paraId="08C753C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信息披露义务人</w:t>
      </w:r>
    </w:p>
    <w:p w14:paraId="61E61A16"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本基金信息披露义务人包括基金管理人、基金托管人、召集基金份额持有人大会的基金份额持有人</w:t>
      </w:r>
      <w:r>
        <w:rPr>
          <w:rFonts w:hint="eastAsia"/>
          <w:color w:val="000000"/>
          <w:szCs w:val="21"/>
        </w:rPr>
        <w:t>及其日常机构（如有）</w:t>
      </w:r>
      <w:r>
        <w:rPr>
          <w:color w:val="000000"/>
          <w:szCs w:val="21"/>
        </w:rPr>
        <w:t>等法律</w:t>
      </w:r>
      <w:r>
        <w:rPr>
          <w:rFonts w:hint="eastAsia"/>
          <w:color w:val="000000"/>
          <w:szCs w:val="21"/>
        </w:rPr>
        <w:t>、行政</w:t>
      </w:r>
      <w:r>
        <w:rPr>
          <w:color w:val="000000"/>
          <w:szCs w:val="21"/>
        </w:rPr>
        <w:t>法规和中国证监会规定的自然人、法人和非法人组织。</w:t>
      </w:r>
    </w:p>
    <w:p w14:paraId="5383B68D"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本基金信息披露义务人</w:t>
      </w:r>
      <w:r>
        <w:rPr>
          <w:rFonts w:hint="eastAsia"/>
          <w:color w:val="000000"/>
          <w:szCs w:val="21"/>
        </w:rPr>
        <w:t>以保护基金份额持有人利益为根本出发点，</w:t>
      </w:r>
      <w:r>
        <w:rPr>
          <w:color w:val="000000"/>
          <w:szCs w:val="21"/>
        </w:rPr>
        <w:t>按照法律法规和中国证监会的规定披露基金信息，并保证所披露信息的真实性、准确性</w:t>
      </w:r>
      <w:r>
        <w:rPr>
          <w:rFonts w:hint="eastAsia"/>
          <w:color w:val="000000"/>
          <w:szCs w:val="21"/>
        </w:rPr>
        <w:t>、</w:t>
      </w:r>
      <w:r>
        <w:rPr>
          <w:color w:val="000000"/>
          <w:szCs w:val="21"/>
        </w:rPr>
        <w:t>完整性</w:t>
      </w:r>
      <w:r>
        <w:rPr>
          <w:rFonts w:hint="eastAsia"/>
          <w:color w:val="000000"/>
          <w:szCs w:val="21"/>
        </w:rPr>
        <w:t>、及时性、简明性和易得性</w:t>
      </w:r>
      <w:r>
        <w:rPr>
          <w:color w:val="000000"/>
          <w:szCs w:val="21"/>
        </w:rPr>
        <w:t>。</w:t>
      </w:r>
    </w:p>
    <w:p w14:paraId="7EFF230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1CEF9B4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w:t>
      </w:r>
      <w:r>
        <w:rPr>
          <w:color w:val="000000"/>
          <w:szCs w:val="21"/>
        </w:rPr>
        <w:t>本基金信息披露义务人承诺公开披露的基金信息，不得有下列行为：</w:t>
      </w:r>
    </w:p>
    <w:p w14:paraId="2F250DF9"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、虚假记载、误导性陈述或者重大遗漏；</w:t>
      </w:r>
    </w:p>
    <w:p w14:paraId="3B95C3C0"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、对证券投资业绩进行预测；</w:t>
      </w:r>
    </w:p>
    <w:p w14:paraId="7B8382B9"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、违规承诺收益或者承担损失；</w:t>
      </w:r>
    </w:p>
    <w:p w14:paraId="7F3AFB93"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、诋毁其他基金管理人、基金托管人或者基金销售机构；</w:t>
      </w:r>
    </w:p>
    <w:p w14:paraId="14D226B9"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、登载任何自然人、法人和非法人组织的祝贺性、恭维性或推荐性的文字；</w:t>
      </w:r>
    </w:p>
    <w:p w14:paraId="5D244579" w14:textId="77777777" w:rsidR="00175DB4" w:rsidRDefault="000519D1">
      <w:pPr>
        <w:tabs>
          <w:tab w:val="left" w:pos="540"/>
        </w:tabs>
        <w:snapToGrid w:val="0"/>
        <w:spacing w:line="360" w:lineRule="auto"/>
        <w:ind w:firstLineChars="200" w:firstLine="420"/>
        <w:rPr>
          <w:color w:val="000000"/>
          <w:szCs w:val="21"/>
        </w:rPr>
      </w:pPr>
      <w:r>
        <w:rPr>
          <w:color w:val="000000"/>
          <w:szCs w:val="21"/>
        </w:rPr>
        <w:t>6</w:t>
      </w:r>
      <w:r>
        <w:rPr>
          <w:color w:val="000000"/>
          <w:szCs w:val="21"/>
        </w:rPr>
        <w:t>、中国证监会禁止的其他行为。</w:t>
      </w:r>
    </w:p>
    <w:p w14:paraId="538A0A9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（四）</w:t>
      </w:r>
      <w:r>
        <w:rPr>
          <w:color w:val="000000"/>
          <w:szCs w:val="21"/>
        </w:rPr>
        <w:t>本基金公开披露的信息应采用中文文本。如同时采用外文文本的，基金信息披露义务人应保证不同文本的内容一致。不同文本之间发生歧义的，以中文文本为准。</w:t>
      </w:r>
    </w:p>
    <w:p w14:paraId="71C66387"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本基金公开披露的信息采用阿拉伯数字；除特别说明外，货币单位为人民币元。</w:t>
      </w:r>
    </w:p>
    <w:p w14:paraId="62E5363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（五）</w:t>
      </w:r>
      <w:r>
        <w:rPr>
          <w:color w:val="000000"/>
          <w:szCs w:val="21"/>
        </w:rPr>
        <w:t>公开披露的基金信息</w:t>
      </w:r>
    </w:p>
    <w:p w14:paraId="0E5DC5B5" w14:textId="77777777" w:rsidR="00175DB4" w:rsidRDefault="000519D1">
      <w:pPr>
        <w:tabs>
          <w:tab w:val="left" w:pos="540"/>
        </w:tabs>
        <w:snapToGrid w:val="0"/>
        <w:spacing w:line="360" w:lineRule="auto"/>
        <w:ind w:firstLineChars="200" w:firstLine="420"/>
        <w:rPr>
          <w:color w:val="000000"/>
          <w:szCs w:val="21"/>
        </w:rPr>
      </w:pPr>
      <w:r>
        <w:rPr>
          <w:color w:val="000000"/>
          <w:szCs w:val="21"/>
        </w:rPr>
        <w:t>公开披露的基金信息包括：</w:t>
      </w:r>
    </w:p>
    <w:p w14:paraId="3E766F8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w:t>
      </w:r>
      <w:r>
        <w:rPr>
          <w:color w:val="000000"/>
          <w:szCs w:val="21"/>
        </w:rPr>
        <w:t>基金招募说明书、《基金合同》、基金托管协议</w:t>
      </w:r>
      <w:r>
        <w:rPr>
          <w:rFonts w:hint="eastAsia"/>
          <w:color w:val="000000"/>
          <w:szCs w:val="21"/>
        </w:rPr>
        <w:t>、基金产品资料概要</w:t>
      </w:r>
    </w:p>
    <w:p w14:paraId="60A2099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w:t>
      </w:r>
      <w:r>
        <w:rPr>
          <w:color w:val="000000"/>
          <w:szCs w:val="21"/>
        </w:rPr>
        <w:t>《基金合同》是界定《基金合同》当事人的各项权利、义务关系，明确基金份额持有人大会召开的规则及具体程序，说明基金产品的特性等涉及基金投资者重大利益的事项的法律文件。</w:t>
      </w:r>
    </w:p>
    <w:p w14:paraId="435643B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Pr>
          <w:color w:val="000000"/>
          <w:szCs w:val="21"/>
        </w:rPr>
        <w:t>基金招募说明书应当最大限度地披露影响基金投资者决策的全部事项，说明基</w:t>
      </w:r>
      <w:r>
        <w:rPr>
          <w:color w:val="000000"/>
          <w:szCs w:val="21"/>
        </w:rPr>
        <w:lastRenderedPageBreak/>
        <w:t>金认购、申购和赎回安排、基金投资、基金产品特性、风险揭示、信息披露及基金份额持有人服务等内容。</w:t>
      </w:r>
      <w:r>
        <w:rPr>
          <w:rFonts w:hint="eastAsia"/>
          <w:color w:val="000000"/>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F6F975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w:t>
      </w:r>
      <w:r>
        <w:rPr>
          <w:color w:val="000000"/>
          <w:szCs w:val="21"/>
        </w:rPr>
        <w:t>基金托管协议是界定基金托管人和基金管理人在基金财产保管及基金运作监督等活动中的权利、义务关系的法律文件。</w:t>
      </w:r>
    </w:p>
    <w:p w14:paraId="570EE89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color w:val="000000"/>
          <w:szCs w:val="21"/>
        </w:rPr>
        <w:t>规</w:t>
      </w:r>
      <w:r>
        <w:rPr>
          <w:rFonts w:hint="eastAsia"/>
          <w:color w:val="000000"/>
          <w:szCs w:val="21"/>
        </w:rPr>
        <w:t>定网站及基金销售机构网站或营业网点；基金产品资料概要其他信息发生变更的，基金管理人至少每年更新一次。基金终止运作的，基金管理人不再更新基金产品资料概要。</w:t>
      </w:r>
    </w:p>
    <w:p w14:paraId="71FD8A7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）基金募集申请经中国证监会注册后，基金管理人应当在基金份额发售的三日前，将基金份额发售公告、基金招募说明书提示性公告和基金合同提示性公告登载在</w:t>
      </w:r>
      <w:r>
        <w:rPr>
          <w:color w:val="000000"/>
          <w:szCs w:val="21"/>
        </w:rPr>
        <w:t>规</w:t>
      </w:r>
      <w:r>
        <w:rPr>
          <w:rFonts w:hint="eastAsia"/>
          <w:color w:val="000000"/>
          <w:szCs w:val="21"/>
        </w:rPr>
        <w:t>定报刊上，将基金份额发售公告、基金招募说明书、基金产品资料概要、《基金合同》和基金托管协议登载在</w:t>
      </w:r>
      <w:r>
        <w:rPr>
          <w:color w:val="000000"/>
          <w:szCs w:val="21"/>
        </w:rPr>
        <w:t>规</w:t>
      </w:r>
      <w:r>
        <w:rPr>
          <w:rFonts w:hint="eastAsia"/>
          <w:color w:val="000000"/>
          <w:szCs w:val="21"/>
        </w:rPr>
        <w:t>定网站上，并将基金产品资料概要登载在基金销售机构网站或营业网点；基金托管人应当同时将基金合同、基金托管协议登载在规定网站上</w:t>
      </w:r>
      <w:r>
        <w:rPr>
          <w:color w:val="000000"/>
          <w:szCs w:val="21"/>
        </w:rPr>
        <w:t>。</w:t>
      </w:r>
    </w:p>
    <w:p w14:paraId="26B7195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w:t>
      </w:r>
      <w:r>
        <w:rPr>
          <w:color w:val="000000"/>
          <w:szCs w:val="21"/>
        </w:rPr>
        <w:t>基金份额发售公告</w:t>
      </w:r>
    </w:p>
    <w:p w14:paraId="59539AA2"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基金管理人应当就基金份额发售的具体事宜编制基金份额发售公告，并在披露招募说明书的当日登载于规定媒介上。</w:t>
      </w:r>
    </w:p>
    <w:p w14:paraId="7760210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w:t>
      </w:r>
      <w:r>
        <w:rPr>
          <w:color w:val="000000"/>
          <w:szCs w:val="21"/>
        </w:rPr>
        <w:t>《基金合同》生效公告</w:t>
      </w:r>
    </w:p>
    <w:p w14:paraId="3DDEE946"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基金管理人应当在收到中国证监会确认文件的次日在</w:t>
      </w:r>
      <w:r>
        <w:rPr>
          <w:rFonts w:hint="eastAsia"/>
          <w:color w:val="000000"/>
          <w:szCs w:val="21"/>
        </w:rPr>
        <w:t>规定媒介</w:t>
      </w:r>
      <w:r>
        <w:rPr>
          <w:color w:val="000000"/>
          <w:szCs w:val="21"/>
        </w:rPr>
        <w:t>上登载《基金合同》生效公告。</w:t>
      </w:r>
    </w:p>
    <w:p w14:paraId="2BA7E80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4</w:t>
      </w:r>
      <w:r>
        <w:rPr>
          <w:rFonts w:hint="eastAsia"/>
          <w:color w:val="000000"/>
          <w:szCs w:val="21"/>
        </w:rPr>
        <w:t>、基金净值信息</w:t>
      </w:r>
    </w:p>
    <w:p w14:paraId="637D97A8" w14:textId="36BB8D9D" w:rsidR="00175DB4" w:rsidRDefault="000519D1">
      <w:pPr>
        <w:tabs>
          <w:tab w:val="left" w:pos="540"/>
        </w:tabs>
        <w:snapToGrid w:val="0"/>
        <w:spacing w:line="360" w:lineRule="auto"/>
        <w:ind w:firstLineChars="200" w:firstLine="420"/>
        <w:rPr>
          <w:color w:val="000000"/>
          <w:szCs w:val="21"/>
        </w:rPr>
      </w:pPr>
      <w:r>
        <w:rPr>
          <w:color w:val="000000"/>
          <w:szCs w:val="21"/>
        </w:rPr>
        <w:t>《基金合同》生效后，在</w:t>
      </w:r>
      <w:r>
        <w:rPr>
          <w:rFonts w:hint="eastAsia"/>
          <w:bCs/>
          <w:color w:val="000000"/>
          <w:szCs w:val="21"/>
        </w:rPr>
        <w:t>基金份额上市交易前</w:t>
      </w:r>
      <w:r w:rsidR="00E14DEA" w:rsidRPr="00E14DEA">
        <w:rPr>
          <w:rFonts w:hint="eastAsia"/>
          <w:bCs/>
          <w:color w:val="000000"/>
          <w:szCs w:val="21"/>
        </w:rPr>
        <w:t>且未</w:t>
      </w:r>
      <w:r>
        <w:rPr>
          <w:color w:val="000000"/>
          <w:szCs w:val="21"/>
        </w:rPr>
        <w:t>开始办理基金份额申购或者赎回前，基金管理人应当至少每周</w:t>
      </w:r>
      <w:r>
        <w:rPr>
          <w:rFonts w:hint="eastAsia"/>
          <w:color w:val="000000"/>
          <w:szCs w:val="21"/>
        </w:rPr>
        <w:t>在</w:t>
      </w:r>
      <w:r>
        <w:rPr>
          <w:color w:val="000000"/>
          <w:szCs w:val="21"/>
        </w:rPr>
        <w:t>规定</w:t>
      </w:r>
      <w:r>
        <w:rPr>
          <w:rFonts w:hint="eastAsia"/>
          <w:color w:val="000000"/>
          <w:szCs w:val="21"/>
        </w:rPr>
        <w:t>网站披露一次基金份额净值和基金份额累计净值</w:t>
      </w:r>
      <w:r>
        <w:rPr>
          <w:color w:val="000000"/>
          <w:szCs w:val="21"/>
        </w:rPr>
        <w:t>。</w:t>
      </w:r>
    </w:p>
    <w:p w14:paraId="642FE192" w14:textId="77777777" w:rsidR="00175DB4" w:rsidRDefault="000519D1">
      <w:pPr>
        <w:tabs>
          <w:tab w:val="left" w:pos="540"/>
        </w:tabs>
        <w:snapToGrid w:val="0"/>
        <w:spacing w:line="360" w:lineRule="auto"/>
        <w:ind w:firstLineChars="200" w:firstLine="420"/>
        <w:rPr>
          <w:color w:val="000000"/>
          <w:szCs w:val="21"/>
        </w:rPr>
      </w:pPr>
      <w:r>
        <w:rPr>
          <w:color w:val="000000"/>
          <w:szCs w:val="21"/>
        </w:rPr>
        <w:t>在</w:t>
      </w:r>
      <w:r>
        <w:rPr>
          <w:rFonts w:hint="eastAsia"/>
          <w:color w:val="000000"/>
          <w:szCs w:val="21"/>
        </w:rPr>
        <w:t>基金份额上市交易后或</w:t>
      </w:r>
      <w:r>
        <w:rPr>
          <w:color w:val="000000"/>
          <w:szCs w:val="21"/>
        </w:rPr>
        <w:t>开始办理基金份额申购或者赎回后，</w:t>
      </w:r>
      <w:r>
        <w:rPr>
          <w:rFonts w:hint="eastAsia"/>
          <w:color w:val="000000"/>
          <w:szCs w:val="21"/>
        </w:rPr>
        <w:t>基金管理人应当在不晚于每个交易日</w:t>
      </w:r>
      <w:r>
        <w:rPr>
          <w:rFonts w:hint="eastAsia"/>
          <w:color w:val="000000"/>
          <w:szCs w:val="21"/>
        </w:rPr>
        <w:t>/</w:t>
      </w:r>
      <w:r>
        <w:rPr>
          <w:rFonts w:hint="eastAsia"/>
          <w:color w:val="000000"/>
          <w:szCs w:val="21"/>
        </w:rPr>
        <w:t>开放日的次日，通过其</w:t>
      </w:r>
      <w:r>
        <w:rPr>
          <w:color w:val="000000"/>
          <w:szCs w:val="21"/>
        </w:rPr>
        <w:t>规定</w:t>
      </w:r>
      <w:r>
        <w:rPr>
          <w:rFonts w:hint="eastAsia"/>
          <w:color w:val="000000"/>
          <w:szCs w:val="21"/>
        </w:rPr>
        <w:t>网站、基金销售机构网站或营业网点披露交易日</w:t>
      </w:r>
      <w:r>
        <w:rPr>
          <w:rFonts w:hint="eastAsia"/>
          <w:color w:val="000000"/>
          <w:szCs w:val="21"/>
        </w:rPr>
        <w:t>/</w:t>
      </w:r>
      <w:r>
        <w:rPr>
          <w:rFonts w:hint="eastAsia"/>
          <w:color w:val="000000"/>
          <w:szCs w:val="21"/>
        </w:rPr>
        <w:t>开放日的基金份额净值和基金份额累计净值。</w:t>
      </w:r>
    </w:p>
    <w:p w14:paraId="1BED7A3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基金管理人应在不晚于半年度和年度最后一日的次日，在</w:t>
      </w:r>
      <w:r>
        <w:rPr>
          <w:color w:val="000000"/>
          <w:szCs w:val="21"/>
        </w:rPr>
        <w:t>规定</w:t>
      </w:r>
      <w:r>
        <w:rPr>
          <w:rFonts w:hint="eastAsia"/>
          <w:color w:val="000000"/>
          <w:szCs w:val="21"/>
        </w:rPr>
        <w:t>网站披露半年度和年度最后一日的基金份额净值和基金份额累计净值。</w:t>
      </w:r>
    </w:p>
    <w:p w14:paraId="0075E068"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5</w:t>
      </w:r>
      <w:r>
        <w:rPr>
          <w:rFonts w:hint="eastAsia"/>
          <w:color w:val="000000"/>
          <w:szCs w:val="21"/>
        </w:rPr>
        <w:t>、</w:t>
      </w:r>
      <w:r>
        <w:rPr>
          <w:color w:val="000000"/>
          <w:szCs w:val="21"/>
        </w:rPr>
        <w:t>申购赎回清单</w:t>
      </w:r>
    </w:p>
    <w:p w14:paraId="452E9C25" w14:textId="77777777" w:rsidR="00175DB4" w:rsidRDefault="000519D1">
      <w:pPr>
        <w:tabs>
          <w:tab w:val="left" w:pos="540"/>
        </w:tabs>
        <w:snapToGrid w:val="0"/>
        <w:spacing w:line="360" w:lineRule="auto"/>
        <w:ind w:firstLineChars="200" w:firstLine="420"/>
        <w:rPr>
          <w:color w:val="000000"/>
          <w:szCs w:val="21"/>
        </w:rPr>
      </w:pPr>
      <w:r>
        <w:rPr>
          <w:color w:val="000000"/>
          <w:szCs w:val="21"/>
        </w:rPr>
        <w:t>在开始办理基金份额申购或者赎回之后，基金管理人应当在每个开放日，通过网站、申购赎回代理券商以及其他媒介公告当日的申购赎回清单。</w:t>
      </w:r>
    </w:p>
    <w:p w14:paraId="2829114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6</w:t>
      </w:r>
      <w:r>
        <w:rPr>
          <w:rFonts w:hint="eastAsia"/>
          <w:color w:val="000000"/>
          <w:szCs w:val="21"/>
        </w:rPr>
        <w:t>、</w:t>
      </w:r>
      <w:r>
        <w:rPr>
          <w:color w:val="000000"/>
          <w:szCs w:val="21"/>
        </w:rPr>
        <w:t>基金份额上市交易公告书</w:t>
      </w:r>
    </w:p>
    <w:p w14:paraId="4A88D44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基金份额获准在证券交易所上市交易的，基金管理人应当在基金份额上市交易的三个工作日前将基金份额上市交易公告书登载在规定网站上，并将上市交易公告书提示性公告登载在规定报刊上。</w:t>
      </w:r>
    </w:p>
    <w:p w14:paraId="7E45129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7</w:t>
      </w:r>
      <w:r>
        <w:rPr>
          <w:rFonts w:hint="eastAsia"/>
          <w:color w:val="000000"/>
          <w:szCs w:val="21"/>
        </w:rPr>
        <w:t>、</w:t>
      </w:r>
      <w:r>
        <w:rPr>
          <w:color w:val="000000"/>
          <w:szCs w:val="21"/>
        </w:rPr>
        <w:t>基金份额折算日和折算结果公告</w:t>
      </w:r>
    </w:p>
    <w:p w14:paraId="3AE81B47" w14:textId="5434A19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基金管理人确定基金份额折算</w:t>
      </w:r>
      <w:proofErr w:type="gramStart"/>
      <w:r>
        <w:rPr>
          <w:rFonts w:hint="eastAsia"/>
          <w:color w:val="000000"/>
          <w:szCs w:val="21"/>
        </w:rPr>
        <w:t>日后应</w:t>
      </w:r>
      <w:proofErr w:type="gramEnd"/>
      <w:r w:rsidR="009B6065" w:rsidRPr="009B6065">
        <w:rPr>
          <w:rFonts w:hint="eastAsia"/>
          <w:color w:val="000000"/>
          <w:szCs w:val="21"/>
        </w:rPr>
        <w:t>依照《信息披露办法》的有关规定</w:t>
      </w:r>
      <w:r>
        <w:rPr>
          <w:rFonts w:hint="eastAsia"/>
          <w:color w:val="000000"/>
          <w:szCs w:val="21"/>
        </w:rPr>
        <w:t>将基金份额折算日公告登载于规定报刊及规定网站上。</w:t>
      </w:r>
    </w:p>
    <w:p w14:paraId="756B519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基金份额进行折算并由登记机构完成基金份额的变更登记后，基金管理人应将基金份额折算结果公告登载于规定报刊及规定网站上。</w:t>
      </w:r>
    </w:p>
    <w:p w14:paraId="31256BFD" w14:textId="77777777" w:rsidR="00175DB4" w:rsidRDefault="000519D1">
      <w:pPr>
        <w:spacing w:line="360" w:lineRule="auto"/>
        <w:ind w:firstLineChars="200" w:firstLine="420"/>
        <w:rPr>
          <w:color w:val="000000"/>
          <w:szCs w:val="21"/>
        </w:rPr>
      </w:pPr>
      <w:r>
        <w:rPr>
          <w:color w:val="000000"/>
          <w:szCs w:val="21"/>
        </w:rPr>
        <w:t>8</w:t>
      </w:r>
      <w:r>
        <w:rPr>
          <w:rFonts w:hint="eastAsia"/>
          <w:color w:val="000000"/>
          <w:szCs w:val="21"/>
        </w:rPr>
        <w:t>、基金份额申购、赎回对价</w:t>
      </w:r>
    </w:p>
    <w:p w14:paraId="03AC9EDB" w14:textId="5530587C"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基金管理人应当在基金合同、招募说明书等信息披露文件上载</w:t>
      </w:r>
      <w:proofErr w:type="gramStart"/>
      <w:r>
        <w:rPr>
          <w:rFonts w:hint="eastAsia"/>
          <w:color w:val="000000"/>
          <w:szCs w:val="21"/>
        </w:rPr>
        <w:t>明基金</w:t>
      </w:r>
      <w:proofErr w:type="gramEnd"/>
      <w:r>
        <w:rPr>
          <w:rFonts w:hint="eastAsia"/>
          <w:color w:val="000000"/>
          <w:szCs w:val="21"/>
        </w:rPr>
        <w:t>份额申购、赎回对价的计算方式及有关申购、赎回费率，并保证投资者能够在基金销售机构网站或营业网点查阅或者复制前述信息资料。</w:t>
      </w:r>
    </w:p>
    <w:p w14:paraId="1056F82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9</w:t>
      </w:r>
      <w:r>
        <w:rPr>
          <w:rFonts w:hint="eastAsia"/>
          <w:color w:val="000000"/>
          <w:szCs w:val="21"/>
        </w:rPr>
        <w:t>、基金定期报告，包括基金年度报告、基金中期报告和基金季度报告</w:t>
      </w:r>
    </w:p>
    <w:p w14:paraId="737A934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基金管理人应当在每年结束之日起三个月内，编制完成基金年度报告，将年度报告登载于规定网站上，并将年度报告提示性公告登载在规定报刊上。基金年度报告中的财务会计报告应当</w:t>
      </w:r>
      <w:proofErr w:type="gramStart"/>
      <w:r>
        <w:rPr>
          <w:rFonts w:hint="eastAsia"/>
          <w:color w:val="000000"/>
          <w:szCs w:val="21"/>
        </w:rPr>
        <w:t>经符合</w:t>
      </w:r>
      <w:proofErr w:type="gramEnd"/>
      <w:r>
        <w:rPr>
          <w:rFonts w:hint="eastAsia"/>
          <w:color w:val="000000"/>
          <w:szCs w:val="21"/>
        </w:rPr>
        <w:t>《中华人民共和国证券法》规定的会计师事务所审计。</w:t>
      </w:r>
    </w:p>
    <w:p w14:paraId="40721EC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基金管理人应当在上半年结束之日起两个月内，编制完成基金中期报告，将中期报告登载在规定网站上，并将中期报告提示性公告登载在规定报刊上。</w:t>
      </w:r>
    </w:p>
    <w:p w14:paraId="7514AE4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基金管理人应当在季度结束之日起</w:t>
      </w:r>
      <w:r>
        <w:rPr>
          <w:rFonts w:hint="eastAsia"/>
          <w:color w:val="000000"/>
          <w:szCs w:val="21"/>
        </w:rPr>
        <w:t>15</w:t>
      </w:r>
      <w:r>
        <w:rPr>
          <w:rFonts w:hint="eastAsia"/>
          <w:color w:val="000000"/>
          <w:szCs w:val="21"/>
        </w:rPr>
        <w:t>个工作日内，编制完成基金季度报告，将季度报告登载在规定网站上，并将季度报告提示性公告登载在规定报刊上。</w:t>
      </w:r>
    </w:p>
    <w:p w14:paraId="356E099F"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《基金合同》生效不足</w:t>
      </w:r>
      <w:r>
        <w:rPr>
          <w:color w:val="000000"/>
          <w:szCs w:val="21"/>
        </w:rPr>
        <w:t>2</w:t>
      </w:r>
      <w:r>
        <w:rPr>
          <w:color w:val="000000"/>
          <w:szCs w:val="21"/>
        </w:rPr>
        <w:t>个月的，基金管理人可以不编制当期季度报告、中期报告或者年度报告。</w:t>
      </w:r>
    </w:p>
    <w:p w14:paraId="5973E51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基金管理人应当在基金年度报告和</w:t>
      </w:r>
      <w:r>
        <w:rPr>
          <w:color w:val="000000"/>
          <w:szCs w:val="21"/>
        </w:rPr>
        <w:t>中期</w:t>
      </w:r>
      <w:r>
        <w:rPr>
          <w:rFonts w:hint="eastAsia"/>
          <w:color w:val="000000"/>
          <w:szCs w:val="21"/>
        </w:rPr>
        <w:t>报告中披露基金组合资产情况及其流动性风险分析等。</w:t>
      </w:r>
    </w:p>
    <w:p w14:paraId="4E2966E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报告期内出现单一投资者持有基金份额比例达到或超过基金总份额</w:t>
      </w:r>
      <w:r>
        <w:rPr>
          <w:rFonts w:hint="eastAsia"/>
          <w:color w:val="000000"/>
          <w:szCs w:val="21"/>
        </w:rPr>
        <w:t>20%</w:t>
      </w:r>
      <w:r>
        <w:rPr>
          <w:rFonts w:hint="eastAsia"/>
          <w:color w:val="000000"/>
          <w:szCs w:val="21"/>
        </w:rPr>
        <w:t>的情形，为保障其他投资者的权益，基金管理人应当在基金定期报告“影响投资者决策的其他重要信息”项下披露该投资者的类别、报告期末持有份额及占比、报告期内持有份额变化情况及本基金的特有风险，中国证监会认定的特殊情形除外。</w:t>
      </w:r>
    </w:p>
    <w:p w14:paraId="255D4578"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10</w:t>
      </w:r>
      <w:r>
        <w:rPr>
          <w:rFonts w:hint="eastAsia"/>
          <w:color w:val="000000"/>
          <w:szCs w:val="21"/>
        </w:rPr>
        <w:t>、</w:t>
      </w:r>
      <w:r>
        <w:rPr>
          <w:color w:val="000000"/>
          <w:szCs w:val="21"/>
        </w:rPr>
        <w:t>临时报告</w:t>
      </w:r>
    </w:p>
    <w:p w14:paraId="063EE41D" w14:textId="77777777" w:rsidR="00175DB4" w:rsidRDefault="000519D1">
      <w:pPr>
        <w:tabs>
          <w:tab w:val="left" w:pos="540"/>
        </w:tabs>
        <w:snapToGrid w:val="0"/>
        <w:spacing w:line="360" w:lineRule="auto"/>
        <w:ind w:firstLineChars="200" w:firstLine="420"/>
        <w:rPr>
          <w:color w:val="000000"/>
          <w:szCs w:val="21"/>
        </w:rPr>
      </w:pPr>
      <w:r>
        <w:rPr>
          <w:color w:val="000000"/>
          <w:szCs w:val="21"/>
        </w:rPr>
        <w:t>本基金发生重大事件，有关信息披露义务人应当在</w:t>
      </w:r>
      <w:r>
        <w:rPr>
          <w:color w:val="000000"/>
          <w:szCs w:val="21"/>
        </w:rPr>
        <w:t>2</w:t>
      </w:r>
      <w:r>
        <w:rPr>
          <w:color w:val="000000"/>
          <w:szCs w:val="21"/>
        </w:rPr>
        <w:t>日内编制临时报告书，</w:t>
      </w:r>
      <w:r>
        <w:rPr>
          <w:rFonts w:hint="eastAsia"/>
          <w:color w:val="000000"/>
          <w:szCs w:val="21"/>
        </w:rPr>
        <w:t>并登载在</w:t>
      </w:r>
      <w:r>
        <w:rPr>
          <w:color w:val="000000"/>
          <w:szCs w:val="21"/>
        </w:rPr>
        <w:t>规定</w:t>
      </w:r>
      <w:r>
        <w:rPr>
          <w:rFonts w:hint="eastAsia"/>
          <w:color w:val="000000"/>
          <w:szCs w:val="21"/>
        </w:rPr>
        <w:t>报刊和</w:t>
      </w:r>
      <w:r>
        <w:rPr>
          <w:color w:val="000000"/>
          <w:szCs w:val="21"/>
        </w:rPr>
        <w:t>规定</w:t>
      </w:r>
      <w:r>
        <w:rPr>
          <w:rFonts w:hint="eastAsia"/>
          <w:color w:val="000000"/>
          <w:szCs w:val="21"/>
        </w:rPr>
        <w:t>网站上</w:t>
      </w:r>
      <w:r>
        <w:rPr>
          <w:color w:val="000000"/>
          <w:szCs w:val="21"/>
        </w:rPr>
        <w:t>。</w:t>
      </w:r>
    </w:p>
    <w:p w14:paraId="35C1E602" w14:textId="77777777" w:rsidR="00175DB4" w:rsidRDefault="000519D1">
      <w:pPr>
        <w:tabs>
          <w:tab w:val="left" w:pos="540"/>
        </w:tabs>
        <w:snapToGrid w:val="0"/>
        <w:spacing w:line="360" w:lineRule="auto"/>
        <w:ind w:firstLineChars="200" w:firstLine="420"/>
        <w:rPr>
          <w:color w:val="000000"/>
          <w:szCs w:val="21"/>
        </w:rPr>
      </w:pPr>
      <w:r>
        <w:rPr>
          <w:color w:val="000000"/>
          <w:szCs w:val="21"/>
        </w:rPr>
        <w:t>前款所称重大事件，是指可能对基金份额持有人权益或者基金份额的价格产生重大影响的下列事件：</w:t>
      </w:r>
    </w:p>
    <w:p w14:paraId="6AA19A6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w:t>
      </w:r>
      <w:r>
        <w:rPr>
          <w:rFonts w:hint="eastAsia"/>
          <w:color w:val="000000"/>
          <w:szCs w:val="21"/>
        </w:rPr>
        <w:t>1</w:t>
      </w:r>
      <w:r>
        <w:rPr>
          <w:rFonts w:hint="eastAsia"/>
          <w:color w:val="000000"/>
          <w:szCs w:val="21"/>
        </w:rPr>
        <w:t>）基金份额持有人大会的召开及决定的事项；</w:t>
      </w:r>
    </w:p>
    <w:p w14:paraId="54ADBD7B" w14:textId="3ABF81DD"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）基金合同终止、基金清算；</w:t>
      </w:r>
    </w:p>
    <w:p w14:paraId="284B03E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）转换基金运作方式、基金合并；</w:t>
      </w:r>
    </w:p>
    <w:p w14:paraId="60E0B3A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）更换基金管理人、基金托管人、基金份额登记机构，基金改聘会计师事务所；</w:t>
      </w:r>
    </w:p>
    <w:p w14:paraId="2759744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）基金管理人委托基金服务机构代为办理基金的份额登记、核算、估值等事项，基金托管人委托基金服务机构代为办理基金的核算、估值、复核等事项；</w:t>
      </w:r>
    </w:p>
    <w:p w14:paraId="2DCF64E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6</w:t>
      </w:r>
      <w:r>
        <w:rPr>
          <w:rFonts w:hint="eastAsia"/>
          <w:color w:val="000000"/>
          <w:szCs w:val="21"/>
        </w:rPr>
        <w:t>）基金管理人、基金托管人的法定名称、住所发生变更；</w:t>
      </w:r>
    </w:p>
    <w:p w14:paraId="085E848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7</w:t>
      </w:r>
      <w:r>
        <w:rPr>
          <w:rFonts w:hint="eastAsia"/>
          <w:color w:val="000000"/>
          <w:szCs w:val="21"/>
        </w:rPr>
        <w:t>）基金管理人变更持有百分之五以上股权的股东、基金管理人的实际控制人变更；</w:t>
      </w:r>
    </w:p>
    <w:p w14:paraId="2D0DFE2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8</w:t>
      </w:r>
      <w:r>
        <w:rPr>
          <w:rFonts w:hint="eastAsia"/>
          <w:color w:val="000000"/>
          <w:szCs w:val="21"/>
        </w:rPr>
        <w:t>）基金募集期延长或提前结束募集；</w:t>
      </w:r>
    </w:p>
    <w:p w14:paraId="0CDB642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9</w:t>
      </w:r>
      <w:r>
        <w:rPr>
          <w:rFonts w:hint="eastAsia"/>
          <w:color w:val="000000"/>
          <w:szCs w:val="21"/>
        </w:rPr>
        <w:t>）基金管理人的高级管理人员、基金经理和基金托管人专门基金托管部门负责人发生变动；</w:t>
      </w:r>
    </w:p>
    <w:p w14:paraId="579ED58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10</w:t>
      </w:r>
      <w:r>
        <w:rPr>
          <w:rFonts w:hint="eastAsia"/>
          <w:color w:val="000000"/>
          <w:szCs w:val="21"/>
        </w:rPr>
        <w:t>）基金管理人的董事在最近</w:t>
      </w:r>
      <w:r>
        <w:rPr>
          <w:color w:val="000000"/>
          <w:szCs w:val="21"/>
        </w:rPr>
        <w:t>12</w:t>
      </w:r>
      <w:r>
        <w:rPr>
          <w:rFonts w:hint="eastAsia"/>
          <w:color w:val="000000"/>
          <w:szCs w:val="21"/>
        </w:rPr>
        <w:t>个月内变更超过百分之五十，基金管理人、基金托管人专门基金托管部门的主要业务人员在最近</w:t>
      </w:r>
      <w:r>
        <w:rPr>
          <w:color w:val="000000"/>
          <w:szCs w:val="21"/>
        </w:rPr>
        <w:t>12</w:t>
      </w:r>
      <w:r>
        <w:rPr>
          <w:rFonts w:hint="eastAsia"/>
          <w:color w:val="000000"/>
          <w:szCs w:val="21"/>
        </w:rPr>
        <w:t>个月内，变动超过百分之三十；</w:t>
      </w:r>
    </w:p>
    <w:p w14:paraId="0373A62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11</w:t>
      </w:r>
      <w:r>
        <w:rPr>
          <w:rFonts w:hint="eastAsia"/>
          <w:color w:val="000000"/>
          <w:szCs w:val="21"/>
        </w:rPr>
        <w:t>）涉及基金财产、基金管理业务、基金托管业务的诉讼或仲裁；</w:t>
      </w:r>
    </w:p>
    <w:p w14:paraId="06BA839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12</w:t>
      </w:r>
      <w:r>
        <w:rPr>
          <w:rFonts w:hint="eastAsia"/>
          <w:color w:val="000000"/>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C56BB4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13</w:t>
      </w:r>
      <w:r>
        <w:rPr>
          <w:rFonts w:hint="eastAsia"/>
          <w:color w:val="000000"/>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65C607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14</w:t>
      </w:r>
      <w:r>
        <w:rPr>
          <w:rFonts w:hint="eastAsia"/>
          <w:color w:val="000000"/>
          <w:szCs w:val="21"/>
        </w:rPr>
        <w:t>）基金收益分配事项；</w:t>
      </w:r>
    </w:p>
    <w:p w14:paraId="00ECEFB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15</w:t>
      </w:r>
      <w:r>
        <w:rPr>
          <w:rFonts w:hint="eastAsia"/>
          <w:color w:val="000000"/>
          <w:szCs w:val="21"/>
        </w:rPr>
        <w:t>）管理费、托管费、申购费、赎回费等费用计提标准、计提方式和费率发生变更；</w:t>
      </w:r>
    </w:p>
    <w:p w14:paraId="1CB46A4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16</w:t>
      </w:r>
      <w:r>
        <w:rPr>
          <w:rFonts w:hint="eastAsia"/>
          <w:color w:val="000000"/>
          <w:szCs w:val="21"/>
        </w:rPr>
        <w:t>）基金份额净值计价错误</w:t>
      </w:r>
      <w:proofErr w:type="gramStart"/>
      <w:r>
        <w:rPr>
          <w:rFonts w:hint="eastAsia"/>
          <w:color w:val="000000"/>
          <w:szCs w:val="21"/>
        </w:rPr>
        <w:t>达基金</w:t>
      </w:r>
      <w:proofErr w:type="gramEnd"/>
      <w:r>
        <w:rPr>
          <w:rFonts w:hint="eastAsia"/>
          <w:color w:val="000000"/>
          <w:szCs w:val="21"/>
        </w:rPr>
        <w:t>份额净值百分之零点五；</w:t>
      </w:r>
    </w:p>
    <w:p w14:paraId="505E5E9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17</w:t>
      </w:r>
      <w:r>
        <w:rPr>
          <w:rFonts w:hint="eastAsia"/>
          <w:color w:val="000000"/>
          <w:szCs w:val="21"/>
        </w:rPr>
        <w:t>）本基金开始办理申购、赎回；</w:t>
      </w:r>
    </w:p>
    <w:p w14:paraId="4F5EC32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18</w:t>
      </w:r>
      <w:r>
        <w:rPr>
          <w:rFonts w:hint="eastAsia"/>
          <w:color w:val="000000"/>
          <w:szCs w:val="21"/>
        </w:rPr>
        <w:t>）本基金暂停接受申购、赎回申请</w:t>
      </w:r>
      <w:r>
        <w:rPr>
          <w:bCs/>
          <w:color w:val="000000"/>
          <w:szCs w:val="21"/>
        </w:rPr>
        <w:t>或重新接受申购、赎回申请；</w:t>
      </w:r>
    </w:p>
    <w:p w14:paraId="01722CB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1</w:t>
      </w:r>
      <w:r>
        <w:rPr>
          <w:color w:val="000000"/>
          <w:szCs w:val="21"/>
        </w:rPr>
        <w:t>9</w:t>
      </w:r>
      <w:r>
        <w:rPr>
          <w:rFonts w:hint="eastAsia"/>
          <w:color w:val="000000"/>
          <w:szCs w:val="21"/>
        </w:rPr>
        <w:t>）</w:t>
      </w:r>
      <w:r>
        <w:rPr>
          <w:color w:val="000000"/>
          <w:szCs w:val="21"/>
        </w:rPr>
        <w:t>基金</w:t>
      </w:r>
      <w:r>
        <w:rPr>
          <w:rFonts w:hint="eastAsia"/>
          <w:color w:val="000000"/>
          <w:szCs w:val="21"/>
        </w:rPr>
        <w:t>变更标的指数；</w:t>
      </w:r>
    </w:p>
    <w:p w14:paraId="142AA8D3" w14:textId="1A693A8D"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0</w:t>
      </w:r>
      <w:r>
        <w:rPr>
          <w:rFonts w:hint="eastAsia"/>
          <w:color w:val="000000"/>
          <w:szCs w:val="21"/>
        </w:rPr>
        <w:t>）基金份额停牌、复牌、</w:t>
      </w:r>
      <w:r w:rsidR="009B6065" w:rsidRPr="009B6065">
        <w:rPr>
          <w:rFonts w:hint="eastAsia"/>
          <w:color w:val="000000"/>
          <w:szCs w:val="21"/>
        </w:rPr>
        <w:t>终止上市、</w:t>
      </w:r>
      <w:r>
        <w:rPr>
          <w:rFonts w:hint="eastAsia"/>
          <w:color w:val="000000"/>
          <w:szCs w:val="21"/>
        </w:rPr>
        <w:t>暂停上市、恢复上市；</w:t>
      </w:r>
    </w:p>
    <w:p w14:paraId="439B648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1</w:t>
      </w:r>
      <w:r>
        <w:rPr>
          <w:rFonts w:hint="eastAsia"/>
          <w:color w:val="000000"/>
          <w:szCs w:val="21"/>
        </w:rPr>
        <w:t>）调整最小申购赎回单位、申购赎回方式及申购对价、赎回对价组成；</w:t>
      </w:r>
    </w:p>
    <w:p w14:paraId="3B6D0F3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2</w:t>
      </w:r>
      <w:r>
        <w:rPr>
          <w:rFonts w:hint="eastAsia"/>
          <w:color w:val="000000"/>
          <w:szCs w:val="21"/>
        </w:rPr>
        <w:t>）</w:t>
      </w:r>
      <w:r>
        <w:rPr>
          <w:color w:val="000000"/>
          <w:szCs w:val="21"/>
        </w:rPr>
        <w:t>调整基金份额类别的设置</w:t>
      </w:r>
      <w:r>
        <w:rPr>
          <w:rFonts w:hint="eastAsia"/>
          <w:color w:val="000000"/>
          <w:szCs w:val="21"/>
        </w:rPr>
        <w:t>；</w:t>
      </w:r>
    </w:p>
    <w:p w14:paraId="61EC68C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3</w:t>
      </w:r>
      <w:r>
        <w:rPr>
          <w:rFonts w:hint="eastAsia"/>
          <w:color w:val="000000"/>
          <w:szCs w:val="21"/>
        </w:rPr>
        <w:t>）基金推出新业务或服务；</w:t>
      </w:r>
    </w:p>
    <w:p w14:paraId="457C409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4</w:t>
      </w:r>
      <w:r>
        <w:rPr>
          <w:rFonts w:hint="eastAsia"/>
          <w:color w:val="000000"/>
          <w:szCs w:val="21"/>
        </w:rPr>
        <w:t>）发生涉及基金申购、赎回事项调整或潜在影响投资者赎回等重大事项；</w:t>
      </w:r>
    </w:p>
    <w:p w14:paraId="4AC6670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2</w:t>
      </w:r>
      <w:r>
        <w:rPr>
          <w:color w:val="000000"/>
          <w:szCs w:val="21"/>
        </w:rPr>
        <w:t>5</w:t>
      </w:r>
      <w:r>
        <w:rPr>
          <w:rFonts w:hint="eastAsia"/>
          <w:color w:val="000000"/>
          <w:szCs w:val="21"/>
        </w:rPr>
        <w:t>）基金信息披露义务人认为可能对基金份额持有人权益或者基金份额的价格产生重大影响的其他事项或中国证监会规定的其他事项。</w:t>
      </w:r>
    </w:p>
    <w:p w14:paraId="386A40C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11</w:t>
      </w:r>
      <w:r>
        <w:rPr>
          <w:rFonts w:hint="eastAsia"/>
          <w:color w:val="000000"/>
          <w:szCs w:val="21"/>
        </w:rPr>
        <w:t>、</w:t>
      </w:r>
      <w:r>
        <w:rPr>
          <w:color w:val="000000"/>
          <w:szCs w:val="21"/>
        </w:rPr>
        <w:t>澄清公告</w:t>
      </w:r>
    </w:p>
    <w:p w14:paraId="5F4484C2"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62A5FE96"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12</w:t>
      </w:r>
      <w:r>
        <w:rPr>
          <w:rFonts w:hint="eastAsia"/>
          <w:color w:val="000000"/>
          <w:szCs w:val="21"/>
        </w:rPr>
        <w:t>、</w:t>
      </w:r>
      <w:r>
        <w:rPr>
          <w:color w:val="000000"/>
          <w:szCs w:val="21"/>
        </w:rPr>
        <w:t>基金份额持有人大会决议</w:t>
      </w:r>
    </w:p>
    <w:p w14:paraId="1524A0DA"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基金份额持有人大会决定的事项，应当依法报中国证监会备案，并予以公告。</w:t>
      </w:r>
    </w:p>
    <w:p w14:paraId="393B954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13</w:t>
      </w:r>
      <w:r>
        <w:rPr>
          <w:rFonts w:hint="eastAsia"/>
          <w:color w:val="000000"/>
          <w:szCs w:val="21"/>
        </w:rPr>
        <w:t>、清算报告</w:t>
      </w:r>
    </w:p>
    <w:p w14:paraId="3DDB771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基金合同终止的，基金管理人应当依法组织基金财产清算小组对基金财产进行清算并</w:t>
      </w:r>
      <w:proofErr w:type="gramStart"/>
      <w:r>
        <w:rPr>
          <w:rFonts w:hint="eastAsia"/>
          <w:color w:val="000000"/>
          <w:szCs w:val="21"/>
        </w:rPr>
        <w:t>作出</w:t>
      </w:r>
      <w:proofErr w:type="gramEnd"/>
      <w:r>
        <w:rPr>
          <w:rFonts w:hint="eastAsia"/>
          <w:color w:val="000000"/>
          <w:szCs w:val="21"/>
        </w:rPr>
        <w:t>清算报告。基金财产清算小组应当将清算报告登载在</w:t>
      </w:r>
      <w:r>
        <w:rPr>
          <w:color w:val="000000"/>
          <w:szCs w:val="21"/>
        </w:rPr>
        <w:t>规</w:t>
      </w:r>
      <w:r>
        <w:rPr>
          <w:rFonts w:hint="eastAsia"/>
          <w:color w:val="000000"/>
          <w:szCs w:val="21"/>
        </w:rPr>
        <w:t>定网站上，并将清算报告提示性公告登载在</w:t>
      </w:r>
      <w:r>
        <w:rPr>
          <w:color w:val="000000"/>
          <w:szCs w:val="21"/>
        </w:rPr>
        <w:t>规</w:t>
      </w:r>
      <w:r>
        <w:rPr>
          <w:rFonts w:hint="eastAsia"/>
          <w:color w:val="000000"/>
          <w:szCs w:val="21"/>
        </w:rPr>
        <w:t>定报刊上。</w:t>
      </w:r>
    </w:p>
    <w:p w14:paraId="2774E8E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14</w:t>
      </w:r>
      <w:r>
        <w:rPr>
          <w:rFonts w:hint="eastAsia"/>
          <w:color w:val="000000"/>
          <w:szCs w:val="21"/>
        </w:rPr>
        <w:t>、基金投资股指期货的信息披露</w:t>
      </w:r>
    </w:p>
    <w:p w14:paraId="4B17B232" w14:textId="57265B76" w:rsidR="00175DB4" w:rsidRDefault="009B6065">
      <w:pPr>
        <w:tabs>
          <w:tab w:val="left" w:pos="540"/>
        </w:tabs>
        <w:snapToGrid w:val="0"/>
        <w:spacing w:line="360" w:lineRule="auto"/>
        <w:ind w:firstLineChars="200" w:firstLine="420"/>
        <w:rPr>
          <w:color w:val="000000"/>
          <w:szCs w:val="21"/>
        </w:rPr>
      </w:pPr>
      <w:r w:rsidRPr="009B6065">
        <w:rPr>
          <w:rFonts w:hint="eastAsia"/>
          <w:color w:val="000000"/>
          <w:szCs w:val="21"/>
        </w:rPr>
        <w:t>本基金投资股指期货，</w:t>
      </w:r>
      <w:r w:rsidR="000519D1">
        <w:rPr>
          <w:rFonts w:hint="eastAsia"/>
          <w:color w:val="000000"/>
          <w:szCs w:val="21"/>
        </w:rPr>
        <w:t>基金管理人应在季度报告、</w:t>
      </w:r>
      <w:r w:rsidR="000519D1">
        <w:rPr>
          <w:color w:val="000000"/>
          <w:szCs w:val="21"/>
        </w:rPr>
        <w:t>中期</w:t>
      </w:r>
      <w:r w:rsidR="000519D1">
        <w:rPr>
          <w:rFonts w:hint="eastAsia"/>
          <w:color w:val="000000"/>
          <w:szCs w:val="21"/>
        </w:rPr>
        <w:t>报告、年度报告等定期报告和招募说明书（更新）等文件中披露股指期货交易情况，包括</w:t>
      </w:r>
      <w:r w:rsidRPr="009B6065">
        <w:rPr>
          <w:rFonts w:hint="eastAsia"/>
          <w:color w:val="000000"/>
          <w:szCs w:val="21"/>
        </w:rPr>
        <w:t>交易</w:t>
      </w:r>
      <w:r w:rsidR="000519D1">
        <w:rPr>
          <w:rFonts w:hint="eastAsia"/>
          <w:color w:val="000000"/>
          <w:szCs w:val="21"/>
        </w:rPr>
        <w:t>政策、持仓情况、损益情况、风险指标等，并充分揭示股指期货交易对基金总体风险的影响以及是否符合既定的</w:t>
      </w:r>
      <w:r w:rsidRPr="009B6065">
        <w:rPr>
          <w:rFonts w:hint="eastAsia"/>
          <w:color w:val="000000"/>
          <w:szCs w:val="21"/>
        </w:rPr>
        <w:t>交易</w:t>
      </w:r>
      <w:r w:rsidR="000519D1">
        <w:rPr>
          <w:rFonts w:hint="eastAsia"/>
          <w:color w:val="000000"/>
          <w:szCs w:val="21"/>
        </w:rPr>
        <w:t>政策和</w:t>
      </w:r>
      <w:r w:rsidRPr="009B6065">
        <w:rPr>
          <w:rFonts w:hint="eastAsia"/>
          <w:color w:val="000000"/>
          <w:szCs w:val="21"/>
        </w:rPr>
        <w:t>交易</w:t>
      </w:r>
      <w:r w:rsidR="000519D1">
        <w:rPr>
          <w:rFonts w:hint="eastAsia"/>
          <w:color w:val="000000"/>
          <w:szCs w:val="21"/>
        </w:rPr>
        <w:t>目标等。</w:t>
      </w:r>
    </w:p>
    <w:p w14:paraId="671BFE8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15</w:t>
      </w:r>
      <w:r>
        <w:rPr>
          <w:rFonts w:hint="eastAsia"/>
          <w:color w:val="000000"/>
          <w:szCs w:val="21"/>
        </w:rPr>
        <w:t>、基金投资资产支持证券的信息披露</w:t>
      </w:r>
    </w:p>
    <w:p w14:paraId="380177F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color w:val="000000"/>
          <w:szCs w:val="21"/>
        </w:rPr>
        <w:t>10</w:t>
      </w:r>
      <w:r>
        <w:rPr>
          <w:rFonts w:hint="eastAsia"/>
          <w:color w:val="000000"/>
          <w:szCs w:val="21"/>
        </w:rPr>
        <w:t>名资产支持证券明细。</w:t>
      </w:r>
    </w:p>
    <w:p w14:paraId="2B64D5B1" w14:textId="6AA1B2D1"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16</w:t>
      </w:r>
      <w:r>
        <w:rPr>
          <w:rFonts w:hint="eastAsia"/>
          <w:color w:val="000000"/>
          <w:szCs w:val="21"/>
        </w:rPr>
        <w:t>、</w:t>
      </w:r>
      <w:r w:rsidR="009B6065">
        <w:rPr>
          <w:rFonts w:hint="eastAsia"/>
          <w:color w:val="000000"/>
          <w:szCs w:val="21"/>
        </w:rPr>
        <w:t>参与</w:t>
      </w:r>
      <w:r>
        <w:rPr>
          <w:rFonts w:hint="eastAsia"/>
          <w:color w:val="000000"/>
          <w:szCs w:val="21"/>
        </w:rPr>
        <w:t>融资和转融通证券出借业务的信息披露</w:t>
      </w:r>
    </w:p>
    <w:p w14:paraId="5666A44B" w14:textId="63970C44" w:rsidR="00175DB4" w:rsidRDefault="009B6065">
      <w:pPr>
        <w:tabs>
          <w:tab w:val="left" w:pos="540"/>
        </w:tabs>
        <w:snapToGrid w:val="0"/>
        <w:spacing w:line="360" w:lineRule="auto"/>
        <w:ind w:firstLineChars="200" w:firstLine="420"/>
        <w:rPr>
          <w:color w:val="000000"/>
          <w:szCs w:val="21"/>
        </w:rPr>
      </w:pPr>
      <w:r w:rsidRPr="009B6065">
        <w:rPr>
          <w:rFonts w:hint="eastAsia"/>
          <w:color w:val="000000"/>
          <w:szCs w:val="21"/>
        </w:rPr>
        <w:t>本基金参与融资及转融通证券出借业务，</w:t>
      </w:r>
      <w:r w:rsidR="000519D1">
        <w:rPr>
          <w:rFonts w:hint="eastAsia"/>
          <w:color w:val="000000"/>
          <w:szCs w:val="21"/>
        </w:rPr>
        <w:t>基金管理人应在季度报告、中期报告、年度报告等定期报告和招募说明书（更新）等文件中披露参与融资和转融通证券出借业务的情况，包括投资策略、业务开展情况、损益情况、风险及管理情况，并就报告期内本基金参与转融通证券出借业务发生的重大关联交易事项做详细说明。</w:t>
      </w:r>
    </w:p>
    <w:p w14:paraId="3AB9A58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17</w:t>
      </w:r>
      <w:r>
        <w:rPr>
          <w:rFonts w:hint="eastAsia"/>
          <w:color w:val="000000"/>
          <w:szCs w:val="21"/>
        </w:rPr>
        <w:t>、基金投资股票期权的信息披露</w:t>
      </w:r>
    </w:p>
    <w:p w14:paraId="7F10863B" w14:textId="3B1717A9" w:rsidR="00175DB4" w:rsidRDefault="009B6065">
      <w:pPr>
        <w:tabs>
          <w:tab w:val="left" w:pos="540"/>
        </w:tabs>
        <w:snapToGrid w:val="0"/>
        <w:spacing w:line="360" w:lineRule="auto"/>
        <w:ind w:firstLineChars="200" w:firstLine="420"/>
        <w:rPr>
          <w:color w:val="000000"/>
          <w:szCs w:val="21"/>
        </w:rPr>
      </w:pPr>
      <w:r w:rsidRPr="009B6065">
        <w:rPr>
          <w:rFonts w:hint="eastAsia"/>
          <w:color w:val="000000"/>
          <w:szCs w:val="21"/>
        </w:rPr>
        <w:t>本基金投资股票期权，</w:t>
      </w:r>
      <w:r w:rsidR="000519D1">
        <w:rPr>
          <w:rFonts w:hint="eastAsia"/>
          <w:color w:val="000000"/>
          <w:szCs w:val="21"/>
        </w:rPr>
        <w:t>基金管理人应在定期信息披露文件中披露参与股票期权交易的有关情况，包括投资政策、持仓情况、损益情况、风险指标、估值方法等，并充分揭示股票期权交易对基金总体风险的影响等。</w:t>
      </w:r>
    </w:p>
    <w:p w14:paraId="37FA833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18</w:t>
      </w:r>
      <w:r>
        <w:rPr>
          <w:rFonts w:hint="eastAsia"/>
          <w:color w:val="000000"/>
          <w:szCs w:val="21"/>
        </w:rPr>
        <w:t>、基金投资流通受限证券的信息披露</w:t>
      </w:r>
    </w:p>
    <w:p w14:paraId="2089941A" w14:textId="1EEC776A" w:rsidR="00175DB4" w:rsidRDefault="009B6065">
      <w:pPr>
        <w:tabs>
          <w:tab w:val="left" w:pos="540"/>
        </w:tabs>
        <w:snapToGrid w:val="0"/>
        <w:spacing w:line="360" w:lineRule="auto"/>
        <w:ind w:firstLineChars="200" w:firstLine="420"/>
        <w:rPr>
          <w:color w:val="000000"/>
          <w:szCs w:val="21"/>
        </w:rPr>
      </w:pPr>
      <w:r w:rsidRPr="009B6065">
        <w:rPr>
          <w:rFonts w:hint="eastAsia"/>
          <w:color w:val="000000"/>
          <w:szCs w:val="21"/>
        </w:rPr>
        <w:t>本基金投资流通受限证券，</w:t>
      </w:r>
      <w:r w:rsidR="000519D1">
        <w:rPr>
          <w:rFonts w:hint="eastAsia"/>
          <w:color w:val="000000"/>
          <w:szCs w:val="21"/>
        </w:rPr>
        <w:t>基金管理人应当在本基金投资非公开发行股票后</w:t>
      </w:r>
      <w:r w:rsidR="000519D1">
        <w:rPr>
          <w:rFonts w:hint="eastAsia"/>
          <w:color w:val="000000"/>
          <w:szCs w:val="21"/>
        </w:rPr>
        <w:t>2</w:t>
      </w:r>
      <w:r w:rsidR="000519D1">
        <w:rPr>
          <w:rFonts w:hint="eastAsia"/>
          <w:color w:val="000000"/>
          <w:szCs w:val="21"/>
        </w:rPr>
        <w:t>个交易日内，在中国证监会规定媒介披露所投资非公开发行股票的名称、数量、总成本、账面价值以及总成本和账面价值占基金资产净值的比例、锁定期的信息。</w:t>
      </w:r>
    </w:p>
    <w:p w14:paraId="5903743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lastRenderedPageBreak/>
        <w:t>19</w:t>
      </w:r>
      <w:r>
        <w:rPr>
          <w:rFonts w:hint="eastAsia"/>
          <w:color w:val="000000"/>
          <w:szCs w:val="21"/>
        </w:rPr>
        <w:t>、</w:t>
      </w:r>
      <w:r>
        <w:rPr>
          <w:color w:val="000000"/>
          <w:szCs w:val="21"/>
        </w:rPr>
        <w:t>中国证监会规定的其他信息。</w:t>
      </w:r>
    </w:p>
    <w:p w14:paraId="748E932F"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（六）</w:t>
      </w:r>
      <w:r>
        <w:rPr>
          <w:color w:val="000000"/>
          <w:szCs w:val="21"/>
        </w:rPr>
        <w:t>信息披露事务管理</w:t>
      </w:r>
    </w:p>
    <w:p w14:paraId="1CB1622B"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基金管理人、基金托管人应当建立健全信息披露管理制度，指定专门部门及高级管理人员负责管理信息披露事务。</w:t>
      </w:r>
    </w:p>
    <w:p w14:paraId="5C0FDB45"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基金信息披露义务人公开披露基金信息，应当符合中国证监会相关基金信息披露内容与格式准则等</w:t>
      </w:r>
      <w:r>
        <w:rPr>
          <w:rFonts w:hint="eastAsia"/>
          <w:color w:val="000000"/>
          <w:szCs w:val="21"/>
        </w:rPr>
        <w:t>法律</w:t>
      </w:r>
      <w:r>
        <w:rPr>
          <w:color w:val="000000"/>
          <w:szCs w:val="21"/>
        </w:rPr>
        <w:t>法规的规定。</w:t>
      </w:r>
    </w:p>
    <w:p w14:paraId="675BC320" w14:textId="241745C2" w:rsidR="00175DB4" w:rsidRDefault="000519D1">
      <w:pPr>
        <w:tabs>
          <w:tab w:val="left" w:pos="540"/>
        </w:tabs>
        <w:snapToGrid w:val="0"/>
        <w:spacing w:line="360" w:lineRule="auto"/>
        <w:ind w:firstLineChars="200" w:firstLine="420"/>
        <w:rPr>
          <w:color w:val="000000"/>
          <w:szCs w:val="21"/>
        </w:rPr>
      </w:pPr>
      <w:r>
        <w:rPr>
          <w:color w:val="000000"/>
          <w:szCs w:val="21"/>
        </w:rPr>
        <w:t>基金托管人应当按照相关法律法规、中国证监会的规定和基金合同的约定，对基金管理人编制的基金资产净值、基金份额净值、</w:t>
      </w:r>
      <w:r>
        <w:rPr>
          <w:rFonts w:hint="eastAsia"/>
          <w:color w:val="000000"/>
          <w:szCs w:val="21"/>
        </w:rPr>
        <w:t>基金份额申购、赎回对价</w:t>
      </w:r>
      <w:r w:rsidR="009B6065" w:rsidRPr="009B6065">
        <w:rPr>
          <w:rFonts w:hint="eastAsia"/>
          <w:color w:val="000000"/>
          <w:szCs w:val="21"/>
        </w:rPr>
        <w:t>的现金部分</w:t>
      </w:r>
      <w:r>
        <w:rPr>
          <w:color w:val="000000"/>
          <w:szCs w:val="21"/>
        </w:rPr>
        <w:t>、基金定期报告</w:t>
      </w:r>
      <w:r>
        <w:rPr>
          <w:rFonts w:hint="eastAsia"/>
          <w:color w:val="000000"/>
          <w:szCs w:val="21"/>
        </w:rPr>
        <w:t>、更新的招募说明书、基金产品资料概要、基金清算报告</w:t>
      </w:r>
      <w:r>
        <w:rPr>
          <w:color w:val="000000"/>
          <w:szCs w:val="21"/>
        </w:rPr>
        <w:t>等公开披露的相关基金信息进行复核、审查，</w:t>
      </w:r>
      <w:r>
        <w:rPr>
          <w:rFonts w:hint="eastAsia"/>
          <w:color w:val="000000"/>
          <w:szCs w:val="21"/>
        </w:rPr>
        <w:t>并向基金管理人进行书面或电子确认。</w:t>
      </w:r>
    </w:p>
    <w:p w14:paraId="46599364"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基金管理人、基金托管人</w:t>
      </w:r>
      <w:r>
        <w:rPr>
          <w:rFonts w:hint="eastAsia"/>
          <w:color w:val="000000"/>
          <w:szCs w:val="21"/>
        </w:rPr>
        <w:t>应当在</w:t>
      </w:r>
      <w:r>
        <w:rPr>
          <w:color w:val="000000"/>
          <w:szCs w:val="21"/>
        </w:rPr>
        <w:t>规</w:t>
      </w:r>
      <w:r>
        <w:rPr>
          <w:rFonts w:hint="eastAsia"/>
          <w:color w:val="000000"/>
          <w:szCs w:val="21"/>
        </w:rPr>
        <w:t>定报刊中选择一家报刊披露本基金信息。基金管理人、基金托管人应当向中国证监会基金电子披露网站报送拟披露的基金信息，并保证相关报送信息的真实、准确、完整、及时</w:t>
      </w:r>
      <w:r>
        <w:rPr>
          <w:color w:val="000000"/>
          <w:szCs w:val="21"/>
        </w:rPr>
        <w:t>。</w:t>
      </w:r>
    </w:p>
    <w:p w14:paraId="75784B53" w14:textId="77777777" w:rsidR="00175DB4" w:rsidRDefault="000519D1">
      <w:pPr>
        <w:tabs>
          <w:tab w:val="left" w:pos="540"/>
        </w:tabs>
        <w:snapToGrid w:val="0"/>
        <w:spacing w:line="360" w:lineRule="auto"/>
        <w:ind w:firstLineChars="200" w:firstLine="420"/>
        <w:rPr>
          <w:color w:val="000000"/>
          <w:szCs w:val="21"/>
        </w:rPr>
      </w:pPr>
      <w:r>
        <w:rPr>
          <w:color w:val="000000"/>
          <w:szCs w:val="21"/>
        </w:rPr>
        <w:t>基金管理人、基金托管人除依法在规定媒介上披露信息外，还可以根据需要在其他公共</w:t>
      </w:r>
      <w:r>
        <w:rPr>
          <w:rFonts w:hint="eastAsia"/>
          <w:color w:val="000000"/>
          <w:szCs w:val="21"/>
        </w:rPr>
        <w:t>媒介</w:t>
      </w:r>
      <w:r>
        <w:rPr>
          <w:color w:val="000000"/>
          <w:szCs w:val="21"/>
        </w:rPr>
        <w:t>披露信息，但是其他公共</w:t>
      </w:r>
      <w:r>
        <w:rPr>
          <w:rFonts w:hint="eastAsia"/>
          <w:color w:val="000000"/>
          <w:szCs w:val="21"/>
        </w:rPr>
        <w:t>媒介</w:t>
      </w:r>
      <w:r>
        <w:rPr>
          <w:color w:val="000000"/>
          <w:szCs w:val="21"/>
        </w:rPr>
        <w:t>不得早于规定媒介</w:t>
      </w:r>
      <w:r>
        <w:rPr>
          <w:rFonts w:hint="eastAsia"/>
          <w:color w:val="000000"/>
          <w:szCs w:val="21"/>
        </w:rPr>
        <w:t>、基金上市交易的证券交易所网站</w:t>
      </w:r>
      <w:r>
        <w:rPr>
          <w:color w:val="000000"/>
          <w:szCs w:val="21"/>
        </w:rPr>
        <w:t>披露信息，并且在不同媒介上披露同一信息的内容应当一致。</w:t>
      </w:r>
    </w:p>
    <w:p w14:paraId="22EEB3D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基金管理人、基金托管人除按法律法规要求披露信息外、也可着眼于为投资者决策提供有用信息的角度，在保证公平对待投资者、</w:t>
      </w:r>
      <w:proofErr w:type="gramStart"/>
      <w:r>
        <w:rPr>
          <w:rFonts w:hint="eastAsia"/>
          <w:color w:val="000000"/>
          <w:szCs w:val="21"/>
        </w:rPr>
        <w:t>不</w:t>
      </w:r>
      <w:proofErr w:type="gramEnd"/>
      <w:r>
        <w:rPr>
          <w:rFonts w:hint="eastAsia"/>
          <w:color w:val="000000"/>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6F1B1BA2" w14:textId="511E2ED3" w:rsidR="00175DB4" w:rsidRDefault="000519D1" w:rsidP="008647F5">
      <w:pPr>
        <w:tabs>
          <w:tab w:val="left" w:pos="540"/>
        </w:tabs>
        <w:snapToGrid w:val="0"/>
        <w:spacing w:line="360" w:lineRule="auto"/>
        <w:ind w:firstLineChars="200" w:firstLine="420"/>
        <w:rPr>
          <w:color w:val="000000"/>
          <w:szCs w:val="21"/>
        </w:rPr>
      </w:pPr>
      <w:r>
        <w:rPr>
          <w:color w:val="000000"/>
          <w:szCs w:val="21"/>
        </w:rPr>
        <w:t>为基金信息披露义务人公开披露的基金信息出具审计报告、法律意见书的专业机构，应当制作工作底稿，并将相关档案至少保存到《基金合同》终止后</w:t>
      </w:r>
      <w:r>
        <w:rPr>
          <w:rFonts w:hint="eastAsia"/>
          <w:color w:val="000000"/>
          <w:szCs w:val="21"/>
        </w:rPr>
        <w:t>10</w:t>
      </w:r>
      <w:r>
        <w:rPr>
          <w:color w:val="000000"/>
          <w:szCs w:val="21"/>
        </w:rPr>
        <w:t>年。</w:t>
      </w:r>
    </w:p>
    <w:p w14:paraId="7DFFF66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（七）</w:t>
      </w:r>
      <w:r>
        <w:rPr>
          <w:color w:val="000000"/>
          <w:szCs w:val="21"/>
        </w:rPr>
        <w:t>信息披露文件的存放与查阅</w:t>
      </w:r>
    </w:p>
    <w:p w14:paraId="5F9DDF68"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依法必须披露的信息发布后，基金管理人、基金托管人应当按照相关法律法规规定将信息置备于各自住所、基金上市交易的证券交易所，供社会公众查阅、复制。</w:t>
      </w:r>
    </w:p>
    <w:p w14:paraId="469085F4"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（八）当出现下述情况时，基金管理人和基金托管人可暂停或延迟披露基金相关信息：</w:t>
      </w:r>
    </w:p>
    <w:p w14:paraId="4FA4F7BD" w14:textId="77777777" w:rsidR="009B6065" w:rsidRPr="009B6065" w:rsidRDefault="009B6065" w:rsidP="009B6065">
      <w:pPr>
        <w:tabs>
          <w:tab w:val="left" w:pos="540"/>
        </w:tabs>
        <w:snapToGrid w:val="0"/>
        <w:spacing w:line="360" w:lineRule="auto"/>
        <w:ind w:firstLineChars="200" w:firstLine="420"/>
        <w:rPr>
          <w:color w:val="000000"/>
          <w:szCs w:val="21"/>
        </w:rPr>
      </w:pPr>
      <w:r w:rsidRPr="009B6065">
        <w:rPr>
          <w:rFonts w:hint="eastAsia"/>
          <w:color w:val="000000"/>
          <w:szCs w:val="21"/>
        </w:rPr>
        <w:t>1</w:t>
      </w:r>
      <w:r w:rsidRPr="009B6065">
        <w:rPr>
          <w:rFonts w:hint="eastAsia"/>
          <w:color w:val="000000"/>
          <w:szCs w:val="21"/>
        </w:rPr>
        <w:t>、基金投资所涉及的证券、期货交易市场遇法定节假日或因其他原因暂停营业时；</w:t>
      </w:r>
    </w:p>
    <w:p w14:paraId="06C0F01F" w14:textId="77777777" w:rsidR="009B6065" w:rsidRPr="009B6065" w:rsidRDefault="009B6065" w:rsidP="009B6065">
      <w:pPr>
        <w:tabs>
          <w:tab w:val="left" w:pos="540"/>
        </w:tabs>
        <w:snapToGrid w:val="0"/>
        <w:spacing w:line="360" w:lineRule="auto"/>
        <w:ind w:firstLineChars="200" w:firstLine="420"/>
        <w:rPr>
          <w:color w:val="000000"/>
          <w:szCs w:val="21"/>
        </w:rPr>
      </w:pPr>
      <w:r w:rsidRPr="009B6065">
        <w:rPr>
          <w:rFonts w:hint="eastAsia"/>
          <w:color w:val="000000"/>
          <w:szCs w:val="21"/>
        </w:rPr>
        <w:t>2</w:t>
      </w:r>
      <w:r w:rsidRPr="009B6065">
        <w:rPr>
          <w:rFonts w:hint="eastAsia"/>
          <w:color w:val="000000"/>
          <w:szCs w:val="21"/>
        </w:rPr>
        <w:t>、因不可抗力致使基金管理人、基金托管人无法准确评估基金资产价值时；</w:t>
      </w:r>
    </w:p>
    <w:p w14:paraId="32C87C4D" w14:textId="77777777" w:rsidR="009B6065" w:rsidRPr="009B6065" w:rsidRDefault="009B6065" w:rsidP="009B6065">
      <w:pPr>
        <w:tabs>
          <w:tab w:val="left" w:pos="540"/>
        </w:tabs>
        <w:snapToGrid w:val="0"/>
        <w:spacing w:line="360" w:lineRule="auto"/>
        <w:ind w:firstLineChars="200" w:firstLine="420"/>
        <w:rPr>
          <w:color w:val="000000"/>
          <w:szCs w:val="21"/>
        </w:rPr>
      </w:pPr>
      <w:r w:rsidRPr="009B6065">
        <w:rPr>
          <w:rFonts w:hint="eastAsia"/>
          <w:color w:val="000000"/>
          <w:szCs w:val="21"/>
        </w:rPr>
        <w:t>3</w:t>
      </w:r>
      <w:r w:rsidRPr="009B6065">
        <w:rPr>
          <w:rFonts w:hint="eastAsia"/>
          <w:color w:val="000000"/>
          <w:szCs w:val="21"/>
        </w:rPr>
        <w:t>、当前一估值日基金资产净值</w:t>
      </w:r>
      <w:r w:rsidRPr="009B6065">
        <w:rPr>
          <w:rFonts w:hint="eastAsia"/>
          <w:color w:val="000000"/>
          <w:szCs w:val="21"/>
        </w:rPr>
        <w:t>50%</w:t>
      </w:r>
      <w:r w:rsidRPr="009B6065">
        <w:rPr>
          <w:rFonts w:hint="eastAsia"/>
          <w:color w:val="000000"/>
          <w:szCs w:val="21"/>
        </w:rPr>
        <w:t>以上的资产出现无可参考的活跃市场价格且采用估值技术</w:t>
      </w:r>
      <w:proofErr w:type="gramStart"/>
      <w:r w:rsidRPr="009B6065">
        <w:rPr>
          <w:rFonts w:hint="eastAsia"/>
          <w:color w:val="000000"/>
          <w:szCs w:val="21"/>
        </w:rPr>
        <w:t>仍导致</w:t>
      </w:r>
      <w:proofErr w:type="gramEnd"/>
      <w:r w:rsidRPr="009B6065">
        <w:rPr>
          <w:rFonts w:hint="eastAsia"/>
          <w:color w:val="000000"/>
          <w:szCs w:val="21"/>
        </w:rPr>
        <w:t>公允价值存在重大不确定性时，经与基金托管人协商一致后，应当暂停估值；</w:t>
      </w:r>
    </w:p>
    <w:p w14:paraId="03644412" w14:textId="445C80DC" w:rsidR="00175DB4" w:rsidRDefault="009B6065">
      <w:pPr>
        <w:tabs>
          <w:tab w:val="left" w:pos="540"/>
        </w:tabs>
        <w:spacing w:line="360" w:lineRule="auto"/>
        <w:ind w:firstLineChars="200" w:firstLine="420"/>
        <w:rPr>
          <w:color w:val="FF0000"/>
        </w:rPr>
      </w:pPr>
      <w:r w:rsidRPr="009B6065">
        <w:rPr>
          <w:rFonts w:hint="eastAsia"/>
          <w:color w:val="000000"/>
          <w:szCs w:val="21"/>
        </w:rPr>
        <w:t>4</w:t>
      </w:r>
      <w:r w:rsidRPr="009B6065">
        <w:rPr>
          <w:rFonts w:hint="eastAsia"/>
          <w:color w:val="000000"/>
          <w:szCs w:val="21"/>
        </w:rPr>
        <w:t>、中国证监会和基金合同认定的其它情形。</w:t>
      </w:r>
    </w:p>
    <w:p w14:paraId="389411A0" w14:textId="77777777" w:rsidR="00175DB4" w:rsidRDefault="00175DB4">
      <w:pPr>
        <w:pStyle w:val="1"/>
        <w:rPr>
          <w:rFonts w:eastAsia="宋体"/>
          <w:color w:val="000000"/>
          <w:sz w:val="30"/>
          <w:szCs w:val="30"/>
        </w:rPr>
        <w:sectPr w:rsidR="00175DB4" w:rsidSect="0084159B">
          <w:pgSz w:w="11906" w:h="16838"/>
          <w:pgMar w:top="1440" w:right="1797" w:bottom="1440" w:left="1979" w:header="851" w:footer="992" w:gutter="0"/>
          <w:cols w:space="425"/>
          <w:docGrid w:type="lines" w:linePitch="312"/>
        </w:sectPr>
      </w:pPr>
      <w:bookmarkStart w:id="64" w:name="_Toc86589181"/>
      <w:bookmarkStart w:id="65" w:name="_Toc92531664"/>
    </w:p>
    <w:p w14:paraId="2374EB9D" w14:textId="77777777" w:rsidR="00175DB4" w:rsidRDefault="000519D1">
      <w:pPr>
        <w:pStyle w:val="1"/>
        <w:spacing w:line="360" w:lineRule="exact"/>
        <w:rPr>
          <w:rFonts w:eastAsia="宋体"/>
          <w:color w:val="000000"/>
          <w:sz w:val="30"/>
          <w:szCs w:val="30"/>
        </w:rPr>
      </w:pPr>
      <w:bookmarkStart w:id="66" w:name="_Toc135741020"/>
      <w:r>
        <w:rPr>
          <w:rFonts w:eastAsia="宋体"/>
          <w:color w:val="000000"/>
          <w:sz w:val="30"/>
          <w:szCs w:val="30"/>
        </w:rPr>
        <w:lastRenderedPageBreak/>
        <w:t>十</w:t>
      </w:r>
      <w:r>
        <w:rPr>
          <w:rFonts w:eastAsia="宋体" w:hint="eastAsia"/>
          <w:color w:val="000000"/>
          <w:sz w:val="30"/>
          <w:szCs w:val="30"/>
        </w:rPr>
        <w:t>八</w:t>
      </w:r>
      <w:r>
        <w:rPr>
          <w:rFonts w:eastAsia="宋体"/>
          <w:color w:val="000000"/>
          <w:sz w:val="30"/>
          <w:szCs w:val="30"/>
        </w:rPr>
        <w:t>、风险揭示</w:t>
      </w:r>
      <w:bookmarkEnd w:id="64"/>
      <w:bookmarkEnd w:id="65"/>
      <w:bookmarkEnd w:id="66"/>
    </w:p>
    <w:p w14:paraId="372DD989" w14:textId="2DE324F9" w:rsidR="001117EE" w:rsidRDefault="001117EE" w:rsidP="001117EE">
      <w:pPr>
        <w:spacing w:line="360" w:lineRule="auto"/>
        <w:ind w:firstLine="420"/>
        <w:rPr>
          <w:rFonts w:ascii="宋体" w:hAnsi="宋体"/>
          <w:color w:val="000000" w:themeColor="text1"/>
          <w:szCs w:val="21"/>
        </w:rPr>
      </w:pPr>
      <w:r>
        <w:rPr>
          <w:rFonts w:hint="eastAsia"/>
          <w:szCs w:val="21"/>
        </w:rPr>
        <w:t>（一）</w:t>
      </w:r>
      <w:r>
        <w:rPr>
          <w:rFonts w:ascii="宋体" w:hAnsi="宋体" w:hint="eastAsia"/>
          <w:color w:val="000000" w:themeColor="text1"/>
          <w:szCs w:val="21"/>
        </w:rPr>
        <w:t>本基金的特有风险</w:t>
      </w:r>
    </w:p>
    <w:p w14:paraId="74FF26CC" w14:textId="5149448B" w:rsidR="001117EE" w:rsidRDefault="00252658" w:rsidP="001117EE">
      <w:pPr>
        <w:spacing w:line="360" w:lineRule="auto"/>
        <w:ind w:firstLine="420"/>
        <w:rPr>
          <w:rFonts w:ascii="宋体" w:hAnsi="宋体"/>
          <w:szCs w:val="21"/>
        </w:rPr>
      </w:pPr>
      <w:r>
        <w:rPr>
          <w:rFonts w:ascii="宋体" w:hAnsi="宋体" w:hint="eastAsia"/>
          <w:szCs w:val="21"/>
        </w:rPr>
        <w:t>本</w:t>
      </w:r>
      <w:r w:rsidR="001117EE">
        <w:rPr>
          <w:rFonts w:ascii="宋体" w:hAnsi="宋体" w:hint="eastAsia"/>
          <w:szCs w:val="21"/>
        </w:rPr>
        <w:t>基金为股票型基金，其长期平均风险和预期收益率高于混合型基金、债券型基金及货币市场基金。本基金为指数型基金，被动跟踪标的指数的表现，具有与标的指数以及标的指数所代表的股票市场相似的风险收益特征。</w:t>
      </w:r>
    </w:p>
    <w:p w14:paraId="7B804BA1" w14:textId="77777777" w:rsidR="001117EE" w:rsidRDefault="001117EE" w:rsidP="001117EE">
      <w:pPr>
        <w:tabs>
          <w:tab w:val="left" w:pos="540"/>
        </w:tabs>
        <w:snapToGrid w:val="0"/>
        <w:spacing w:line="360" w:lineRule="auto"/>
        <w:ind w:firstLineChars="200" w:firstLine="420"/>
        <w:rPr>
          <w:color w:val="000000"/>
          <w:szCs w:val="21"/>
        </w:rPr>
      </w:pPr>
      <w:r>
        <w:rPr>
          <w:color w:val="000000"/>
          <w:szCs w:val="21"/>
        </w:rPr>
        <w:t>1</w:t>
      </w:r>
      <w:r>
        <w:rPr>
          <w:rFonts w:hint="eastAsia"/>
          <w:color w:val="000000"/>
          <w:szCs w:val="21"/>
        </w:rPr>
        <w:t>、标的指数回报与股票市场平均回报偏离的风险</w:t>
      </w:r>
      <w:r>
        <w:rPr>
          <w:color w:val="000000"/>
          <w:szCs w:val="21"/>
        </w:rPr>
        <w:t xml:space="preserve"> </w:t>
      </w:r>
    </w:p>
    <w:p w14:paraId="03E25282"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标的指数并不能完全代表整个股票市场。标的指数成份股的平均回报率与整个股票市场的平均回报率可能存在偏离。</w:t>
      </w:r>
    </w:p>
    <w:p w14:paraId="1C83F1D0"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、标的指数波动的风险</w:t>
      </w:r>
      <w:r>
        <w:rPr>
          <w:color w:val="000000"/>
          <w:szCs w:val="21"/>
        </w:rPr>
        <w:t xml:space="preserve"> </w:t>
      </w:r>
    </w:p>
    <w:p w14:paraId="0CE06EF7"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标的指数成份股的价格可能受到政治因素、经济因素、上市公司经营状况、投资者心理和交易制度等各种因素的影响而波动，导致指数波动，从而使基金收益水平发生变化，产生风险。</w:t>
      </w:r>
    </w:p>
    <w:p w14:paraId="190DA843"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、基金投资组合回报与标的指数回报偏离及跟踪误差控制未达约定的风险</w:t>
      </w:r>
      <w:r>
        <w:rPr>
          <w:color w:val="000000"/>
          <w:szCs w:val="21"/>
        </w:rPr>
        <w:t xml:space="preserve"> </w:t>
      </w:r>
    </w:p>
    <w:p w14:paraId="3BFCE476"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以下因素可能使基金投资组合的收益率与标的指数的收益率发生偏离，亦可能使本基金跟踪误差控制未达约定：</w:t>
      </w:r>
      <w:r>
        <w:rPr>
          <w:color w:val="000000"/>
          <w:szCs w:val="21"/>
        </w:rPr>
        <w:t xml:space="preserve"> </w:t>
      </w:r>
    </w:p>
    <w:p w14:paraId="6FD55FB3"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）由于标的指数调整成份股或变更编制方法，使基金在相应的组合调整中产生跟踪偏离度与跟踪误差。</w:t>
      </w:r>
      <w:r>
        <w:rPr>
          <w:color w:val="000000"/>
          <w:szCs w:val="21"/>
        </w:rPr>
        <w:t xml:space="preserve"> </w:t>
      </w:r>
    </w:p>
    <w:p w14:paraId="67C55840"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）由于标的指数成份股发生配股、增发等行为导致成份股在标的指数中的权重发生变化，使基金在相应的组合调整中产生跟踪偏离度和跟踪误差。</w:t>
      </w:r>
      <w:r>
        <w:rPr>
          <w:color w:val="000000"/>
          <w:szCs w:val="21"/>
        </w:rPr>
        <w:t xml:space="preserve"> </w:t>
      </w:r>
    </w:p>
    <w:p w14:paraId="18D783C4"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）成份股派发现金红利、新股市值配售收益将导致基金收益率超过标的指数收益率，产生正的跟踪偏离度。</w:t>
      </w:r>
    </w:p>
    <w:p w14:paraId="1EE6BAFD"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）由于成份股停牌、摘牌或流动性差等原因使基金无法及时调整投资组合或承担冲击成本而产生跟踪偏离度和跟踪误差。</w:t>
      </w:r>
      <w:r>
        <w:rPr>
          <w:color w:val="000000"/>
          <w:szCs w:val="21"/>
        </w:rPr>
        <w:t xml:space="preserve"> </w:t>
      </w:r>
    </w:p>
    <w:p w14:paraId="14A04C03"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）由于基金投资过程中的证券交易成本，以及基金管理费和托管费等费用的存在，使基金投资组合与标的指数产生跟踪偏离度与跟踪误差。</w:t>
      </w:r>
      <w:r>
        <w:rPr>
          <w:color w:val="000000"/>
          <w:szCs w:val="21"/>
        </w:rPr>
        <w:t xml:space="preserve"> </w:t>
      </w:r>
    </w:p>
    <w:p w14:paraId="6490C93B"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）在基金指数</w:t>
      </w:r>
      <w:proofErr w:type="gramStart"/>
      <w:r>
        <w:rPr>
          <w:rFonts w:hint="eastAsia"/>
          <w:color w:val="000000"/>
          <w:szCs w:val="21"/>
        </w:rPr>
        <w:t>化投资</w:t>
      </w:r>
      <w:proofErr w:type="gramEnd"/>
      <w:r>
        <w:rPr>
          <w:rFonts w:hint="eastAsia"/>
          <w:color w:val="000000"/>
          <w:szCs w:val="21"/>
        </w:rPr>
        <w:t>过程中，基金管理人的管理能力，例如跟踪指数的水平、技术手段、买入卖出的时机选择等，都会对基金的收益产生影响，从而影响基金对标的指数的跟踪程度。</w:t>
      </w:r>
      <w:r>
        <w:rPr>
          <w:color w:val="000000"/>
          <w:szCs w:val="21"/>
        </w:rPr>
        <w:t xml:space="preserve"> </w:t>
      </w:r>
    </w:p>
    <w:p w14:paraId="0E57FEC8" w14:textId="7C27C934" w:rsidR="003C40FF"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w:t>
      </w:r>
      <w:bookmarkStart w:id="67" w:name="_Hlk134740619"/>
      <w:r w:rsidR="003C40FF" w:rsidRPr="003C40FF">
        <w:rPr>
          <w:rFonts w:hint="eastAsia"/>
          <w:color w:val="000000"/>
          <w:szCs w:val="21"/>
        </w:rPr>
        <w:t>本基金采用抽样复制法，该方法相较完全复制法，有可能加大跟踪误差。</w:t>
      </w:r>
    </w:p>
    <w:p w14:paraId="2184DAD7" w14:textId="7E0E2B09" w:rsidR="001117EE" w:rsidRDefault="003C40FF" w:rsidP="001117EE">
      <w:pPr>
        <w:tabs>
          <w:tab w:val="left" w:pos="540"/>
        </w:tabs>
        <w:snapToGrid w:val="0"/>
        <w:spacing w:line="360" w:lineRule="auto"/>
        <w:ind w:firstLineChars="200" w:firstLine="420"/>
        <w:rPr>
          <w:color w:val="000000"/>
          <w:szCs w:val="21"/>
        </w:rPr>
      </w:pPr>
      <w:r>
        <w:rPr>
          <w:rFonts w:hint="eastAsia"/>
          <w:color w:val="000000"/>
          <w:szCs w:val="21"/>
        </w:rPr>
        <w:t>（</w:t>
      </w:r>
      <w:r>
        <w:rPr>
          <w:rFonts w:hint="eastAsia"/>
          <w:color w:val="000000"/>
          <w:szCs w:val="21"/>
        </w:rPr>
        <w:t>8</w:t>
      </w:r>
      <w:r>
        <w:rPr>
          <w:rFonts w:hint="eastAsia"/>
          <w:color w:val="000000"/>
          <w:szCs w:val="21"/>
        </w:rPr>
        <w:t>）</w:t>
      </w:r>
      <w:bookmarkEnd w:id="67"/>
      <w:r w:rsidR="001117EE">
        <w:rPr>
          <w:rFonts w:hint="eastAsia"/>
          <w:color w:val="000000"/>
          <w:szCs w:val="21"/>
        </w:rPr>
        <w:t>其他因素产生的偏离。如因缺乏卖空及其他机制工具造成的指数跟踪成本较大；因基金申购与赎回带来的现金变动；因指数发布机构指数编制错误等，由此产生跟踪偏离度与跟踪误差。</w:t>
      </w:r>
    </w:p>
    <w:p w14:paraId="00CC2DFF" w14:textId="77777777" w:rsidR="001117EE" w:rsidRDefault="001117EE" w:rsidP="001117EE">
      <w:pPr>
        <w:spacing w:line="360" w:lineRule="auto"/>
        <w:ind w:firstLineChars="200" w:firstLine="420"/>
        <w:rPr>
          <w:color w:val="000000"/>
          <w:szCs w:val="21"/>
        </w:rPr>
      </w:pPr>
      <w:r>
        <w:rPr>
          <w:color w:val="000000"/>
          <w:szCs w:val="21"/>
        </w:rPr>
        <w:lastRenderedPageBreak/>
        <w:t>4</w:t>
      </w:r>
      <w:r>
        <w:rPr>
          <w:rFonts w:hint="eastAsia"/>
          <w:color w:val="000000"/>
          <w:szCs w:val="21"/>
        </w:rPr>
        <w:t>、跟踪误差控制未达约定目标的风险</w:t>
      </w:r>
    </w:p>
    <w:p w14:paraId="340D327B"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本基金力争使日均跟踪偏离度的绝对值不超过</w:t>
      </w:r>
      <w:r>
        <w:rPr>
          <w:color w:val="000000"/>
          <w:szCs w:val="21"/>
        </w:rPr>
        <w:t>0.2%</w:t>
      </w:r>
      <w:r>
        <w:rPr>
          <w:color w:val="000000"/>
          <w:szCs w:val="21"/>
        </w:rPr>
        <w:t>，</w:t>
      </w:r>
      <w:proofErr w:type="gramStart"/>
      <w:r>
        <w:rPr>
          <w:rFonts w:hint="eastAsia"/>
          <w:color w:val="000000"/>
          <w:szCs w:val="21"/>
        </w:rPr>
        <w:t>年化跟踪误差</w:t>
      </w:r>
      <w:proofErr w:type="gramEnd"/>
      <w:r>
        <w:rPr>
          <w:rFonts w:hint="eastAsia"/>
          <w:color w:val="000000"/>
          <w:szCs w:val="21"/>
        </w:rPr>
        <w:t>不超过</w:t>
      </w:r>
      <w:r>
        <w:rPr>
          <w:color w:val="000000"/>
          <w:szCs w:val="21"/>
        </w:rPr>
        <w:t>2%</w:t>
      </w:r>
      <w:r>
        <w:rPr>
          <w:color w:val="000000"/>
          <w:szCs w:val="21"/>
        </w:rPr>
        <w:t>，但因标的指数编制规则调整或其他因素可能导致跟踪误差超过上述范围，本基金净值表现与指数价格走势可能发生较大偏离。</w:t>
      </w:r>
    </w:p>
    <w:p w14:paraId="79565DEA"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5</w:t>
      </w:r>
      <w:r>
        <w:rPr>
          <w:rFonts w:hint="eastAsia"/>
          <w:color w:val="000000"/>
          <w:szCs w:val="21"/>
        </w:rPr>
        <w:t>、标的指数变更的风险</w:t>
      </w:r>
      <w:r>
        <w:rPr>
          <w:color w:val="000000"/>
          <w:szCs w:val="21"/>
        </w:rPr>
        <w:t xml:space="preserve"> </w:t>
      </w:r>
    </w:p>
    <w:p w14:paraId="015DDF6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尽管可能性很小，根据基金合同规定，如出现变更标的指数的情形，基金将变更标的指数。如变更的标的指数和原标的指数的编制方法发生实质性变更的，则基于原标的指数的投资政策将会改变，投资组合将随之调整，基金的收益风险特征将与新的标的指数保持一致，投资者须承担此项调整带来的风险与成本。</w:t>
      </w:r>
    </w:p>
    <w:p w14:paraId="0950E26B" w14:textId="77777777" w:rsidR="001117EE" w:rsidRDefault="001117EE" w:rsidP="0084159B">
      <w:pPr>
        <w:tabs>
          <w:tab w:val="left" w:pos="540"/>
        </w:tabs>
        <w:snapToGrid w:val="0"/>
        <w:spacing w:line="360" w:lineRule="auto"/>
        <w:ind w:firstLineChars="200" w:firstLine="420"/>
        <w:rPr>
          <w:color w:val="000000"/>
          <w:szCs w:val="21"/>
        </w:rPr>
      </w:pPr>
      <w:r>
        <w:rPr>
          <w:color w:val="000000"/>
          <w:szCs w:val="21"/>
        </w:rPr>
        <w:t>6</w:t>
      </w:r>
      <w:r>
        <w:rPr>
          <w:rFonts w:hint="eastAsia"/>
          <w:color w:val="000000"/>
          <w:szCs w:val="21"/>
        </w:rPr>
        <w:t>、指数编制机构停止服务风险</w:t>
      </w:r>
    </w:p>
    <w:p w14:paraId="7F0ACE7A" w14:textId="004FD2C4" w:rsidR="001117EE" w:rsidRDefault="001117EE" w:rsidP="0084159B">
      <w:pPr>
        <w:tabs>
          <w:tab w:val="left" w:pos="540"/>
        </w:tabs>
        <w:snapToGrid w:val="0"/>
        <w:spacing w:line="360" w:lineRule="auto"/>
        <w:ind w:firstLineChars="200" w:firstLine="420"/>
        <w:rPr>
          <w:color w:val="000000"/>
          <w:szCs w:val="21"/>
        </w:rPr>
      </w:pPr>
      <w:r>
        <w:rPr>
          <w:rFonts w:hint="eastAsia"/>
          <w:color w:val="000000"/>
          <w:szCs w:val="21"/>
        </w:rPr>
        <w:t>本基金的标的指数</w:t>
      </w:r>
      <w:proofErr w:type="gramStart"/>
      <w:r>
        <w:rPr>
          <w:rFonts w:hint="eastAsia"/>
          <w:color w:val="000000"/>
          <w:szCs w:val="21"/>
        </w:rPr>
        <w:t>由指数</w:t>
      </w:r>
      <w:proofErr w:type="gramEnd"/>
      <w:r>
        <w:rPr>
          <w:rFonts w:hint="eastAsia"/>
          <w:color w:val="000000"/>
          <w:szCs w:val="21"/>
        </w:rPr>
        <w:t>编制机构发布并管理和维护，未来指数编制机构可能由于各种原因停止对指数的管理和维护，本基金将根据基金合同的约定自该情形发生之日起十个工作日</w:t>
      </w:r>
      <w:r w:rsidR="00FF396E">
        <w:rPr>
          <w:rFonts w:hint="eastAsia"/>
          <w:color w:val="000000"/>
          <w:szCs w:val="21"/>
        </w:rPr>
        <w:t>内</w:t>
      </w:r>
      <w:r>
        <w:rPr>
          <w:rFonts w:hint="eastAsia"/>
          <w:color w:val="000000"/>
          <w:szCs w:val="21"/>
        </w:rPr>
        <w:t>向中国证监会报告并提出解决方案，如更换基金标的指数、转换运作方式</w:t>
      </w:r>
      <w:r w:rsidR="00FF396E">
        <w:rPr>
          <w:rFonts w:hint="eastAsia"/>
          <w:color w:val="000000"/>
          <w:szCs w:val="21"/>
        </w:rPr>
        <w:t>、</w:t>
      </w:r>
      <w:r>
        <w:rPr>
          <w:rFonts w:hint="eastAsia"/>
          <w:color w:val="000000"/>
          <w:szCs w:val="21"/>
        </w:rPr>
        <w:t>与其他基金合并或者终止基金合同等，并在</w:t>
      </w:r>
      <w:r>
        <w:rPr>
          <w:color w:val="000000"/>
          <w:szCs w:val="21"/>
        </w:rPr>
        <w:t>6</w:t>
      </w:r>
      <w:r>
        <w:rPr>
          <w:rFonts w:hint="eastAsia"/>
          <w:color w:val="000000"/>
          <w:szCs w:val="21"/>
        </w:rPr>
        <w:t>个月内召集基金份额持有人大会进行表决，基金份额持有人大会未成功召开或就上述事项表决未通过的，基金合同终止。投资人将面临更换基金标的指数、转换运作方式</w:t>
      </w:r>
      <w:r w:rsidR="00FF396E">
        <w:rPr>
          <w:rFonts w:hint="eastAsia"/>
          <w:color w:val="000000"/>
          <w:szCs w:val="21"/>
        </w:rPr>
        <w:t>、</w:t>
      </w:r>
      <w:r>
        <w:rPr>
          <w:rFonts w:hint="eastAsia"/>
          <w:color w:val="000000"/>
          <w:szCs w:val="21"/>
        </w:rPr>
        <w:t>与其他基金合并或者终止基金合同等风险。</w:t>
      </w:r>
    </w:p>
    <w:p w14:paraId="5CA01F15" w14:textId="11554B90" w:rsidR="001117EE" w:rsidRPr="0084159B" w:rsidRDefault="001117EE" w:rsidP="0084159B">
      <w:pPr>
        <w:tabs>
          <w:tab w:val="left" w:pos="540"/>
        </w:tabs>
        <w:snapToGrid w:val="0"/>
        <w:spacing w:line="360" w:lineRule="auto"/>
        <w:ind w:firstLineChars="200" w:firstLine="420"/>
        <w:rPr>
          <w:color w:val="000000"/>
          <w:szCs w:val="21"/>
        </w:rPr>
      </w:pPr>
      <w:proofErr w:type="gramStart"/>
      <w:r>
        <w:rPr>
          <w:rFonts w:hint="eastAsia"/>
          <w:color w:val="000000"/>
          <w:szCs w:val="21"/>
        </w:rPr>
        <w:t>自指数</w:t>
      </w:r>
      <w:proofErr w:type="gramEnd"/>
      <w:r>
        <w:rPr>
          <w:rFonts w:hint="eastAsia"/>
          <w:color w:val="000000"/>
          <w:szCs w:val="21"/>
        </w:rPr>
        <w:t>编制机构停止标的指数的编制及发布</w:t>
      </w:r>
      <w:proofErr w:type="gramStart"/>
      <w:r>
        <w:rPr>
          <w:rFonts w:hint="eastAsia"/>
          <w:color w:val="000000"/>
          <w:szCs w:val="21"/>
        </w:rPr>
        <w:t>至解决</w:t>
      </w:r>
      <w:proofErr w:type="gramEnd"/>
      <w:r>
        <w:rPr>
          <w:rFonts w:hint="eastAsia"/>
          <w:color w:val="000000"/>
          <w:szCs w:val="21"/>
        </w:rPr>
        <w:t>方案确定</w:t>
      </w:r>
      <w:r w:rsidR="00FF396E">
        <w:rPr>
          <w:rFonts w:hint="eastAsia"/>
          <w:color w:val="000000"/>
          <w:szCs w:val="21"/>
        </w:rPr>
        <w:t>期间</w:t>
      </w:r>
      <w:r>
        <w:rPr>
          <w:rFonts w:hint="eastAsia"/>
          <w:color w:val="000000"/>
          <w:szCs w:val="21"/>
        </w:rPr>
        <w:t>，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05D55B7F" w14:textId="77777777" w:rsidR="001117EE" w:rsidRDefault="001117EE" w:rsidP="0084159B">
      <w:pPr>
        <w:tabs>
          <w:tab w:val="left" w:pos="540"/>
        </w:tabs>
        <w:snapToGrid w:val="0"/>
        <w:spacing w:line="360" w:lineRule="auto"/>
        <w:ind w:firstLineChars="200" w:firstLine="420"/>
        <w:rPr>
          <w:color w:val="000000"/>
          <w:szCs w:val="21"/>
        </w:rPr>
      </w:pPr>
      <w:r>
        <w:rPr>
          <w:color w:val="000000"/>
          <w:szCs w:val="21"/>
        </w:rPr>
        <w:t>7</w:t>
      </w:r>
      <w:r>
        <w:rPr>
          <w:color w:val="000000"/>
          <w:szCs w:val="21"/>
        </w:rPr>
        <w:t>、成份股停牌的风险</w:t>
      </w:r>
    </w:p>
    <w:p w14:paraId="6523DC12" w14:textId="77777777" w:rsidR="001117EE" w:rsidRDefault="001117EE" w:rsidP="001117EE">
      <w:pPr>
        <w:autoSpaceDE w:val="0"/>
        <w:autoSpaceDN w:val="0"/>
        <w:adjustRightInd w:val="0"/>
        <w:spacing w:line="360" w:lineRule="auto"/>
        <w:ind w:firstLine="480"/>
        <w:jc w:val="left"/>
        <w:rPr>
          <w:color w:val="000000"/>
          <w:szCs w:val="21"/>
        </w:rPr>
      </w:pPr>
      <w:r>
        <w:rPr>
          <w:rFonts w:hint="eastAsia"/>
          <w:color w:val="000000"/>
          <w:szCs w:val="21"/>
        </w:rPr>
        <w:t>标的指数成份股可能因各种原因临时或长期停牌，发生成份股停牌时可能面临如下风险：</w:t>
      </w:r>
    </w:p>
    <w:p w14:paraId="2BBE7C93" w14:textId="77777777" w:rsidR="001117EE" w:rsidRDefault="001117EE" w:rsidP="001117EE">
      <w:pPr>
        <w:autoSpaceDE w:val="0"/>
        <w:autoSpaceDN w:val="0"/>
        <w:adjustRightInd w:val="0"/>
        <w:spacing w:line="360" w:lineRule="auto"/>
        <w:ind w:firstLine="480"/>
        <w:jc w:val="left"/>
        <w:rPr>
          <w:color w:val="000000"/>
          <w:szCs w:val="21"/>
        </w:rPr>
      </w:pPr>
      <w:r>
        <w:rPr>
          <w:color w:val="000000"/>
          <w:szCs w:val="21"/>
        </w:rPr>
        <w:t>1</w:t>
      </w:r>
      <w:r>
        <w:rPr>
          <w:color w:val="000000"/>
          <w:szCs w:val="21"/>
        </w:rPr>
        <w:t>）基金可能因无法及时调整投资组合而导致跟踪偏离度和跟踪误差扩大。</w:t>
      </w:r>
    </w:p>
    <w:p w14:paraId="45BDEBAB" w14:textId="77777777" w:rsidR="001117EE" w:rsidRDefault="001117EE" w:rsidP="001117EE">
      <w:pPr>
        <w:autoSpaceDE w:val="0"/>
        <w:autoSpaceDN w:val="0"/>
        <w:adjustRightInd w:val="0"/>
        <w:spacing w:line="360" w:lineRule="auto"/>
        <w:ind w:firstLine="480"/>
        <w:jc w:val="left"/>
        <w:rPr>
          <w:color w:val="000000"/>
          <w:szCs w:val="21"/>
        </w:rPr>
      </w:pPr>
      <w:r>
        <w:rPr>
          <w:color w:val="000000"/>
          <w:szCs w:val="21"/>
        </w:rPr>
        <w:t>2</w:t>
      </w:r>
      <w:r>
        <w:rPr>
          <w:color w:val="000000"/>
          <w:szCs w:val="21"/>
        </w:rPr>
        <w:t>）停牌成份股可能因其权重占比、市场复牌预期、现金替代标识等因素影响本基金二级市场价格的折溢价水平。</w:t>
      </w:r>
    </w:p>
    <w:p w14:paraId="2206D7EA" w14:textId="0ABC8F7A" w:rsidR="001117EE" w:rsidRDefault="001117EE" w:rsidP="001117EE">
      <w:pPr>
        <w:spacing w:line="360" w:lineRule="auto"/>
        <w:ind w:firstLineChars="200" w:firstLine="420"/>
        <w:rPr>
          <w:color w:val="000000"/>
          <w:szCs w:val="21"/>
        </w:rPr>
      </w:pPr>
      <w:r>
        <w:rPr>
          <w:color w:val="000000"/>
          <w:szCs w:val="21"/>
        </w:rPr>
        <w:t>3</w:t>
      </w:r>
      <w:r>
        <w:rPr>
          <w:color w:val="000000"/>
          <w:szCs w:val="21"/>
        </w:rPr>
        <w:t>）若成份股停牌时间较长，在约定时间内仍未能及时买入或卖出的，则该部分款项将按照约定方式进行结算（具体见招募说明书</w:t>
      </w:r>
      <w:r w:rsidR="00065462">
        <w:rPr>
          <w:rFonts w:hint="eastAsia"/>
          <w:color w:val="000000"/>
          <w:szCs w:val="21"/>
        </w:rPr>
        <w:t>“</w:t>
      </w:r>
      <w:r>
        <w:rPr>
          <w:color w:val="000000"/>
          <w:szCs w:val="21"/>
        </w:rPr>
        <w:t>十、基金份额的申购</w:t>
      </w:r>
      <w:r w:rsidR="00AB1B25">
        <w:rPr>
          <w:rFonts w:hint="eastAsia"/>
          <w:color w:val="000000"/>
          <w:szCs w:val="21"/>
        </w:rPr>
        <w:t>、</w:t>
      </w:r>
      <w:r>
        <w:rPr>
          <w:color w:val="000000"/>
          <w:szCs w:val="21"/>
        </w:rPr>
        <w:t>赎回</w:t>
      </w:r>
      <w:r w:rsidR="00AB1B25">
        <w:rPr>
          <w:rFonts w:hint="eastAsia"/>
          <w:color w:val="000000"/>
          <w:szCs w:val="21"/>
        </w:rPr>
        <w:t>与非交易过户</w:t>
      </w:r>
      <w:r w:rsidR="00065462">
        <w:rPr>
          <w:rFonts w:hint="eastAsia"/>
          <w:color w:val="000000"/>
          <w:szCs w:val="21"/>
        </w:rPr>
        <w:t>”</w:t>
      </w:r>
      <w:r>
        <w:rPr>
          <w:color w:val="000000"/>
          <w:szCs w:val="21"/>
        </w:rPr>
        <w:t>之</w:t>
      </w:r>
      <w:r w:rsidR="00065462">
        <w:rPr>
          <w:rFonts w:hint="eastAsia"/>
          <w:color w:val="000000"/>
          <w:szCs w:val="21"/>
        </w:rPr>
        <w:t>“</w:t>
      </w:r>
      <w:r>
        <w:rPr>
          <w:rFonts w:hint="eastAsia"/>
          <w:color w:val="000000"/>
          <w:szCs w:val="21"/>
        </w:rPr>
        <w:t>(</w:t>
      </w:r>
      <w:r>
        <w:rPr>
          <w:rFonts w:hint="eastAsia"/>
          <w:color w:val="000000"/>
          <w:szCs w:val="21"/>
        </w:rPr>
        <w:t>七</w:t>
      </w:r>
      <w:r>
        <w:rPr>
          <w:rFonts w:hint="eastAsia"/>
          <w:color w:val="000000"/>
          <w:szCs w:val="21"/>
        </w:rPr>
        <w:t>)</w:t>
      </w:r>
      <w:r>
        <w:rPr>
          <w:rFonts w:hint="eastAsia"/>
          <w:color w:val="000000"/>
          <w:szCs w:val="21"/>
        </w:rPr>
        <w:t>申购赎回清单的内容与格式”相关约定），由此可能影响投资者的投资损益并使基金产生跟踪偏离度和跟踪误差。</w:t>
      </w:r>
    </w:p>
    <w:p w14:paraId="7B95E8D9" w14:textId="7ED8E4D4" w:rsidR="001117EE" w:rsidRDefault="001117EE" w:rsidP="001117EE">
      <w:pPr>
        <w:tabs>
          <w:tab w:val="left" w:pos="540"/>
        </w:tabs>
        <w:snapToGrid w:val="0"/>
        <w:spacing w:line="360" w:lineRule="auto"/>
        <w:ind w:firstLineChars="200" w:firstLine="420"/>
        <w:rPr>
          <w:color w:val="000000"/>
          <w:szCs w:val="21"/>
        </w:rPr>
      </w:pPr>
      <w:r>
        <w:rPr>
          <w:color w:val="000000"/>
          <w:szCs w:val="21"/>
        </w:rPr>
        <w:t>4</w:t>
      </w:r>
      <w:r>
        <w:rPr>
          <w:color w:val="000000"/>
          <w:szCs w:val="21"/>
        </w:rPr>
        <w:t>）在极端情况下，标的指数成份股可能大面积停牌，基金可能无法及时卖出成份股以获取足额的符合要求的赎回对价，由此基金管理人可能在申购赎回清单中设置较低的赎回份额</w:t>
      </w:r>
      <w:r>
        <w:rPr>
          <w:rFonts w:hint="eastAsia"/>
          <w:color w:val="000000"/>
          <w:szCs w:val="21"/>
        </w:rPr>
        <w:t>上限或者采取暂停赎回的措施，投资者将面临无法赎回全部或部分</w:t>
      </w:r>
      <w:r>
        <w:rPr>
          <w:color w:val="000000"/>
          <w:szCs w:val="21"/>
        </w:rPr>
        <w:t>ETF</w:t>
      </w:r>
      <w:r>
        <w:rPr>
          <w:rFonts w:hint="eastAsia"/>
          <w:color w:val="000000"/>
          <w:szCs w:val="21"/>
        </w:rPr>
        <w:t>份额的风</w:t>
      </w:r>
      <w:r>
        <w:rPr>
          <w:rFonts w:hint="eastAsia"/>
          <w:color w:val="000000"/>
          <w:szCs w:val="21"/>
        </w:rPr>
        <w:lastRenderedPageBreak/>
        <w:t>险。</w:t>
      </w:r>
    </w:p>
    <w:p w14:paraId="4112B98E" w14:textId="77777777" w:rsidR="001117EE" w:rsidRDefault="001117EE" w:rsidP="001117EE">
      <w:pPr>
        <w:snapToGrid w:val="0"/>
        <w:spacing w:line="360" w:lineRule="auto"/>
        <w:ind w:firstLine="420"/>
        <w:rPr>
          <w:color w:val="000000"/>
          <w:szCs w:val="21"/>
        </w:rPr>
      </w:pPr>
      <w:r>
        <w:rPr>
          <w:rFonts w:hint="eastAsia"/>
          <w:color w:val="000000"/>
          <w:szCs w:val="21"/>
        </w:rPr>
        <w:t>8</w:t>
      </w:r>
      <w:r>
        <w:rPr>
          <w:rFonts w:hint="eastAsia"/>
          <w:color w:val="000000"/>
          <w:szCs w:val="21"/>
        </w:rPr>
        <w:t>、招募说明书中指数编制方案简述未及时更新的风险</w:t>
      </w:r>
    </w:p>
    <w:p w14:paraId="066545A5" w14:textId="77777777" w:rsidR="001117EE" w:rsidRDefault="001117EE" w:rsidP="001117EE">
      <w:pPr>
        <w:snapToGrid w:val="0"/>
        <w:spacing w:line="360" w:lineRule="auto"/>
        <w:rPr>
          <w:color w:val="000000"/>
          <w:szCs w:val="21"/>
        </w:rPr>
      </w:pPr>
      <w:r>
        <w:rPr>
          <w:rFonts w:hint="eastAsia"/>
          <w:color w:val="000000"/>
          <w:szCs w:val="21"/>
        </w:rPr>
        <w:tab/>
      </w:r>
      <w:r>
        <w:rPr>
          <w:rFonts w:hint="eastAsia"/>
          <w:color w:val="000000"/>
          <w:szCs w:val="21"/>
        </w:rPr>
        <w:t>如指数编制方案发生了修订，本基金将在年度更新招募说明书中更新指数编制方案简述。本基金存在着招募说明书中所载的指数编制方案简述与指数编制方的</w:t>
      </w:r>
      <w:proofErr w:type="gramStart"/>
      <w:r>
        <w:rPr>
          <w:rFonts w:hint="eastAsia"/>
          <w:color w:val="000000"/>
          <w:szCs w:val="21"/>
        </w:rPr>
        <w:t>最新指数</w:t>
      </w:r>
      <w:proofErr w:type="gramEnd"/>
      <w:r>
        <w:rPr>
          <w:rFonts w:hint="eastAsia"/>
          <w:color w:val="000000"/>
          <w:szCs w:val="21"/>
        </w:rPr>
        <w:t>编制方案不一致的风险。</w:t>
      </w:r>
    </w:p>
    <w:p w14:paraId="762D823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9</w:t>
      </w:r>
      <w:r>
        <w:rPr>
          <w:rFonts w:hint="eastAsia"/>
          <w:color w:val="000000"/>
          <w:szCs w:val="21"/>
        </w:rPr>
        <w:t>、基金份额二级市场交易价格折溢价的风险</w:t>
      </w:r>
      <w:r>
        <w:rPr>
          <w:color w:val="000000"/>
          <w:szCs w:val="21"/>
        </w:rPr>
        <w:t xml:space="preserve"> </w:t>
      </w:r>
    </w:p>
    <w:p w14:paraId="4AEA39F2"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尽管基金将通过有效的套利机制使基金份额二级市场交易价格的折溢价控制在一定范围内，但基金份额在证券交易所的交易价格受诸多因素影响，存在不同于基金份额净值的情形，即存在价格折溢价的风险。</w:t>
      </w:r>
    </w:p>
    <w:p w14:paraId="16BDE663"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10</w:t>
      </w:r>
      <w:r>
        <w:rPr>
          <w:rFonts w:hint="eastAsia"/>
          <w:color w:val="000000"/>
          <w:szCs w:val="21"/>
        </w:rPr>
        <w:t>、参考</w:t>
      </w:r>
      <w:r>
        <w:rPr>
          <w:color w:val="000000"/>
          <w:szCs w:val="21"/>
        </w:rPr>
        <w:t>IOPV</w:t>
      </w:r>
      <w:r>
        <w:rPr>
          <w:rFonts w:hint="eastAsia"/>
          <w:color w:val="000000"/>
          <w:szCs w:val="21"/>
        </w:rPr>
        <w:t>决策和</w:t>
      </w:r>
      <w:r>
        <w:rPr>
          <w:color w:val="000000"/>
          <w:szCs w:val="21"/>
        </w:rPr>
        <w:t>IOPV</w:t>
      </w:r>
      <w:r>
        <w:rPr>
          <w:rFonts w:hint="eastAsia"/>
          <w:color w:val="000000"/>
          <w:szCs w:val="21"/>
        </w:rPr>
        <w:t>计算错误的风险</w:t>
      </w:r>
      <w:r>
        <w:rPr>
          <w:color w:val="000000"/>
          <w:szCs w:val="21"/>
        </w:rPr>
        <w:t xml:space="preserve"> </w:t>
      </w:r>
    </w:p>
    <w:p w14:paraId="0E3C25E8" w14:textId="77777777" w:rsidR="001117EE" w:rsidRDefault="001117EE" w:rsidP="001117EE">
      <w:pPr>
        <w:tabs>
          <w:tab w:val="left" w:pos="540"/>
        </w:tabs>
        <w:snapToGrid w:val="0"/>
        <w:spacing w:line="360" w:lineRule="auto"/>
        <w:ind w:firstLineChars="200" w:firstLine="420"/>
        <w:rPr>
          <w:color w:val="000000"/>
          <w:szCs w:val="21"/>
        </w:rPr>
      </w:pPr>
      <w:r>
        <w:rPr>
          <w:color w:val="000000"/>
          <w:szCs w:val="21"/>
        </w:rPr>
        <w:t>深圳证券信息有限公司</w:t>
      </w:r>
      <w:r>
        <w:rPr>
          <w:rFonts w:hint="eastAsia"/>
          <w:color w:val="000000"/>
          <w:szCs w:val="21"/>
        </w:rPr>
        <w:t>在开市后根据申购赎回清单和组合证券内各只证券的实时成交数据，计算基金份额参考净值（</w:t>
      </w:r>
      <w:r>
        <w:rPr>
          <w:color w:val="000000"/>
          <w:szCs w:val="21"/>
        </w:rPr>
        <w:t>IOPV</w:t>
      </w:r>
      <w:r>
        <w:rPr>
          <w:rFonts w:hint="eastAsia"/>
          <w:color w:val="000000"/>
          <w:szCs w:val="21"/>
        </w:rPr>
        <w:t>），并深圳证券交易所在交易时间内发布，供投资者交易、申购、赎回基金份额时参考。</w:t>
      </w:r>
      <w:r>
        <w:rPr>
          <w:color w:val="000000"/>
          <w:szCs w:val="21"/>
        </w:rPr>
        <w:t>IOPV</w:t>
      </w:r>
      <w:r>
        <w:rPr>
          <w:rFonts w:hint="eastAsia"/>
          <w:color w:val="000000"/>
          <w:szCs w:val="21"/>
        </w:rPr>
        <w:t>与实时的基金份额净值可能存在差异，</w:t>
      </w:r>
      <w:r>
        <w:rPr>
          <w:color w:val="000000"/>
          <w:szCs w:val="21"/>
        </w:rPr>
        <w:t>IOPV</w:t>
      </w:r>
      <w:r>
        <w:rPr>
          <w:rFonts w:hint="eastAsia"/>
          <w:color w:val="000000"/>
          <w:szCs w:val="21"/>
        </w:rPr>
        <w:t>计算还可能出现错误，投资者</w:t>
      </w:r>
      <w:proofErr w:type="gramStart"/>
      <w:r>
        <w:rPr>
          <w:rFonts w:hint="eastAsia"/>
          <w:color w:val="000000"/>
          <w:szCs w:val="21"/>
        </w:rPr>
        <w:t>若参</w:t>
      </w:r>
      <w:proofErr w:type="gramEnd"/>
      <w:r>
        <w:rPr>
          <w:rFonts w:hint="eastAsia"/>
          <w:color w:val="000000"/>
          <w:szCs w:val="21"/>
        </w:rPr>
        <w:t>考</w:t>
      </w:r>
      <w:r>
        <w:rPr>
          <w:color w:val="000000"/>
          <w:szCs w:val="21"/>
        </w:rPr>
        <w:t>IOPV</w:t>
      </w:r>
      <w:r>
        <w:rPr>
          <w:rFonts w:hint="eastAsia"/>
          <w:color w:val="000000"/>
          <w:szCs w:val="21"/>
        </w:rPr>
        <w:t>进行投资决策可能导致损失，需投资者自行承担。</w:t>
      </w:r>
    </w:p>
    <w:p w14:paraId="3486E2C4"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11</w:t>
      </w:r>
      <w:r>
        <w:rPr>
          <w:rFonts w:hint="eastAsia"/>
          <w:color w:val="000000"/>
          <w:szCs w:val="21"/>
        </w:rPr>
        <w:t>、退市风险</w:t>
      </w:r>
      <w:r>
        <w:rPr>
          <w:color w:val="000000"/>
          <w:szCs w:val="21"/>
        </w:rPr>
        <w:t xml:space="preserve"> </w:t>
      </w:r>
    </w:p>
    <w:p w14:paraId="35B6367F"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因基金不再符合证券交易所上市条件被终止上市，或被基金份额持有人大会决议提前终止上市，导致基金份额不能继续进行二级市场交易的风险。</w:t>
      </w:r>
      <w:r>
        <w:rPr>
          <w:rFonts w:hint="eastAsia"/>
          <w:color w:val="000000"/>
          <w:szCs w:val="21"/>
        </w:rPr>
        <w:tab/>
      </w:r>
    </w:p>
    <w:p w14:paraId="2A556FF1"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12</w:t>
      </w:r>
      <w:r>
        <w:rPr>
          <w:rFonts w:hint="eastAsia"/>
          <w:color w:val="000000"/>
          <w:szCs w:val="21"/>
        </w:rPr>
        <w:t>、投资者申购失败的风险</w:t>
      </w:r>
      <w:r>
        <w:rPr>
          <w:color w:val="000000"/>
          <w:szCs w:val="21"/>
        </w:rPr>
        <w:t xml:space="preserve"> </w:t>
      </w:r>
    </w:p>
    <w:p w14:paraId="2AB4472B"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基金的申购赎回清单中，可能仅允许对部分成份</w:t>
      </w:r>
      <w:proofErr w:type="gramStart"/>
      <w:r>
        <w:rPr>
          <w:rFonts w:hint="eastAsia"/>
          <w:color w:val="000000"/>
          <w:szCs w:val="21"/>
        </w:rPr>
        <w:t>股使用</w:t>
      </w:r>
      <w:proofErr w:type="gramEnd"/>
      <w:r>
        <w:rPr>
          <w:rFonts w:hint="eastAsia"/>
          <w:color w:val="000000"/>
          <w:szCs w:val="21"/>
        </w:rPr>
        <w:t>现金替代，且设置现金替代比例上限，因此，投资者在进行申购时，可能存在因个别成份股涨停、临时停牌等原因而无法买入申购所需的足够的成份股，导致申购失败的风险。</w:t>
      </w:r>
      <w:r>
        <w:rPr>
          <w:color w:val="000000"/>
          <w:szCs w:val="21"/>
        </w:rPr>
        <w:t xml:space="preserve"> </w:t>
      </w:r>
    </w:p>
    <w:p w14:paraId="611B158F"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基金管理人根据基金运作情况、市场变化以及投资者需求等因素设定了当日申购份额上限，以对当日的申购总规模进行控制，投资者的申购份额如超过当日申购份额上限，可能导致申购失败的风险。</w:t>
      </w:r>
    </w:p>
    <w:p w14:paraId="67170017"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13</w:t>
      </w:r>
      <w:r>
        <w:rPr>
          <w:rFonts w:hint="eastAsia"/>
          <w:color w:val="000000"/>
          <w:szCs w:val="21"/>
        </w:rPr>
        <w:t>、投资者赎回失败的风险</w:t>
      </w:r>
      <w:r>
        <w:rPr>
          <w:color w:val="000000"/>
          <w:szCs w:val="21"/>
        </w:rPr>
        <w:t xml:space="preserve"> </w:t>
      </w:r>
    </w:p>
    <w:p w14:paraId="786B56D5" w14:textId="61CF8AFB"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投资者在提出赎回申请时，如基金组合中不具备足额的符合要求的赎回对价，可能导致赎回失败。基金管理人可能根据成份股市</w:t>
      </w:r>
      <w:proofErr w:type="gramStart"/>
      <w:r>
        <w:rPr>
          <w:rFonts w:hint="eastAsia"/>
          <w:color w:val="000000"/>
          <w:szCs w:val="21"/>
        </w:rPr>
        <w:t>值规模</w:t>
      </w:r>
      <w:proofErr w:type="gramEnd"/>
      <w:r>
        <w:rPr>
          <w:rFonts w:hint="eastAsia"/>
          <w:color w:val="000000"/>
          <w:szCs w:val="21"/>
        </w:rPr>
        <w:t>变化等因素调整最小申购、赎回单位，由此可能导致投资者按原最小申购、赎回单位申购并持有的基金份额，可能无法按照新的最小申购、赎回单位全部赎回，而只能在二级市场卖出全部或部分基金份额。</w:t>
      </w:r>
    </w:p>
    <w:p w14:paraId="48EF1979"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基金管理人根据基金运作情况、市场变化以及投资者需求等因素设定了当日赎回份额上限，以对当日的赎回总规模进行控制，投资者的赎回份额如超过当日赎回份额上限，可能导致赎回失败的风险。</w:t>
      </w:r>
    </w:p>
    <w:p w14:paraId="17B1069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14</w:t>
      </w:r>
      <w:r>
        <w:rPr>
          <w:rFonts w:hint="eastAsia"/>
          <w:color w:val="000000"/>
          <w:szCs w:val="21"/>
        </w:rPr>
        <w:t>、基金份额赎回对价的变现风险</w:t>
      </w:r>
      <w:r>
        <w:rPr>
          <w:color w:val="000000"/>
          <w:szCs w:val="21"/>
        </w:rPr>
        <w:t xml:space="preserve"> </w:t>
      </w:r>
    </w:p>
    <w:p w14:paraId="7D57455E"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lastRenderedPageBreak/>
        <w:t>基金赎回对价包括组合证券，在组合证券变现过程中，由于市场变化、部分成份股流动性差等因素，导致投资者变现后的价值与赎回时赎回对价的价值有差异，存在变现风险。</w:t>
      </w:r>
    </w:p>
    <w:p w14:paraId="180D17EB"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15</w:t>
      </w:r>
      <w:r>
        <w:rPr>
          <w:rFonts w:hint="eastAsia"/>
          <w:color w:val="000000"/>
          <w:szCs w:val="21"/>
        </w:rPr>
        <w:t>、现金替代标志的风险</w:t>
      </w:r>
      <w:r>
        <w:rPr>
          <w:color w:val="000000"/>
          <w:szCs w:val="21"/>
        </w:rPr>
        <w:t xml:space="preserve"> </w:t>
      </w:r>
    </w:p>
    <w:p w14:paraId="495B5415"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申购、赎回</w:t>
      </w:r>
      <w:r>
        <w:rPr>
          <w:color w:val="000000"/>
          <w:szCs w:val="21"/>
        </w:rPr>
        <w:t>ETF</w:t>
      </w:r>
      <w:r>
        <w:rPr>
          <w:rFonts w:hint="eastAsia"/>
          <w:color w:val="000000"/>
          <w:szCs w:val="21"/>
        </w:rPr>
        <w:t>份额时，每个股票的现金替代标志不尽相同。现金替代是指申购、赎回过程中，投资者按基金合同和招募说明书的规定，用于替代组合证券中部分证券的一定数量的现金。现金替代分为</w:t>
      </w:r>
      <w:r>
        <w:rPr>
          <w:rFonts w:hint="eastAsia"/>
          <w:color w:val="000000"/>
          <w:szCs w:val="21"/>
        </w:rPr>
        <w:t>3</w:t>
      </w:r>
      <w:r>
        <w:rPr>
          <w:rFonts w:hint="eastAsia"/>
          <w:color w:val="000000"/>
          <w:szCs w:val="21"/>
        </w:rPr>
        <w:t>种类型：禁止现金替代（标志为</w:t>
      </w:r>
      <w:r>
        <w:rPr>
          <w:color w:val="000000"/>
          <w:szCs w:val="21"/>
        </w:rPr>
        <w:t>“</w:t>
      </w:r>
      <w:r>
        <w:rPr>
          <w:rFonts w:hint="eastAsia"/>
          <w:color w:val="000000"/>
          <w:szCs w:val="21"/>
        </w:rPr>
        <w:t>禁止</w:t>
      </w:r>
      <w:r>
        <w:rPr>
          <w:color w:val="000000"/>
          <w:szCs w:val="21"/>
        </w:rPr>
        <w:t>”</w:t>
      </w:r>
      <w:r>
        <w:rPr>
          <w:rFonts w:hint="eastAsia"/>
          <w:color w:val="000000"/>
          <w:szCs w:val="21"/>
        </w:rPr>
        <w:t>）、可以现金替代（标志为</w:t>
      </w:r>
      <w:r>
        <w:rPr>
          <w:color w:val="000000"/>
          <w:szCs w:val="21"/>
        </w:rPr>
        <w:t>“</w:t>
      </w:r>
      <w:r>
        <w:rPr>
          <w:rFonts w:hint="eastAsia"/>
          <w:color w:val="000000"/>
          <w:szCs w:val="21"/>
        </w:rPr>
        <w:t>允许</w:t>
      </w:r>
      <w:r>
        <w:rPr>
          <w:color w:val="000000"/>
          <w:szCs w:val="21"/>
        </w:rPr>
        <w:t>”</w:t>
      </w:r>
      <w:r>
        <w:rPr>
          <w:rFonts w:hint="eastAsia"/>
          <w:color w:val="000000"/>
          <w:szCs w:val="21"/>
        </w:rPr>
        <w:t>）和必须现金替代（标志为</w:t>
      </w:r>
      <w:r>
        <w:rPr>
          <w:color w:val="000000"/>
          <w:szCs w:val="21"/>
        </w:rPr>
        <w:t>“</w:t>
      </w:r>
      <w:r>
        <w:rPr>
          <w:rFonts w:hint="eastAsia"/>
          <w:color w:val="000000"/>
          <w:szCs w:val="21"/>
        </w:rPr>
        <w:t>必须</w:t>
      </w:r>
      <w:r>
        <w:rPr>
          <w:color w:val="000000"/>
          <w:szCs w:val="21"/>
        </w:rPr>
        <w:t>”</w:t>
      </w:r>
      <w:r>
        <w:rPr>
          <w:rFonts w:hint="eastAsia"/>
          <w:color w:val="000000"/>
          <w:szCs w:val="21"/>
        </w:rPr>
        <w:t>）。因为现金替代标志的差异和变动，可能导致投资者申购与赎回成本、套利成本等行为的不确定性风险。</w:t>
      </w:r>
      <w:r>
        <w:rPr>
          <w:rFonts w:hint="eastAsia"/>
          <w:color w:val="000000"/>
          <w:szCs w:val="21"/>
        </w:rPr>
        <w:t xml:space="preserve">   </w:t>
      </w:r>
    </w:p>
    <w:p w14:paraId="4FB58EEE"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16</w:t>
      </w:r>
      <w:r>
        <w:rPr>
          <w:rFonts w:hint="eastAsia"/>
          <w:color w:val="000000"/>
          <w:szCs w:val="21"/>
        </w:rPr>
        <w:t>、基金收益分配后基金份额净值低于面值的风险</w:t>
      </w:r>
      <w:r>
        <w:rPr>
          <w:color w:val="000000"/>
          <w:szCs w:val="21"/>
        </w:rPr>
        <w:t xml:space="preserve"> </w:t>
      </w:r>
    </w:p>
    <w:p w14:paraId="0339307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基于本基金的性质和特点，本基金收益分配不须以弥补亏损为前提，收益分配后有可能存在使基金份额净值低于面值的风险。</w:t>
      </w:r>
    </w:p>
    <w:p w14:paraId="4405A75D" w14:textId="77777777" w:rsidR="001117EE" w:rsidRDefault="001117EE" w:rsidP="001117EE">
      <w:pPr>
        <w:spacing w:line="360" w:lineRule="auto"/>
        <w:ind w:firstLineChars="200" w:firstLine="420"/>
        <w:rPr>
          <w:color w:val="000000"/>
          <w:szCs w:val="21"/>
        </w:rPr>
      </w:pPr>
      <w:r>
        <w:rPr>
          <w:rFonts w:hint="eastAsia"/>
          <w:color w:val="000000"/>
          <w:szCs w:val="21"/>
        </w:rPr>
        <w:t>17</w:t>
      </w:r>
      <w:r>
        <w:rPr>
          <w:rFonts w:hint="eastAsia"/>
          <w:color w:val="000000"/>
          <w:szCs w:val="21"/>
        </w:rPr>
        <w:t>、衍生</w:t>
      </w:r>
      <w:proofErr w:type="gramStart"/>
      <w:r>
        <w:rPr>
          <w:rFonts w:hint="eastAsia"/>
          <w:color w:val="000000"/>
          <w:szCs w:val="21"/>
        </w:rPr>
        <w:t>品投资</w:t>
      </w:r>
      <w:proofErr w:type="gramEnd"/>
      <w:r>
        <w:rPr>
          <w:rFonts w:hint="eastAsia"/>
          <w:color w:val="000000"/>
          <w:szCs w:val="21"/>
        </w:rPr>
        <w:t>风险</w:t>
      </w:r>
    </w:p>
    <w:p w14:paraId="27F27BF9" w14:textId="77777777" w:rsidR="001117EE" w:rsidRDefault="001117EE" w:rsidP="001117EE">
      <w:pPr>
        <w:spacing w:line="360" w:lineRule="auto"/>
        <w:ind w:firstLineChars="200" w:firstLine="420"/>
        <w:rPr>
          <w:color w:val="000000"/>
          <w:szCs w:val="21"/>
        </w:rPr>
      </w:pPr>
      <w:r>
        <w:rPr>
          <w:rFonts w:hint="eastAsia"/>
          <w:color w:val="000000"/>
          <w:szCs w:val="21"/>
        </w:rPr>
        <w:t>本基金可投资于股指期货和股票期权等金融衍生品。投资股指期货和股票期权主要存在以下风险：</w:t>
      </w:r>
    </w:p>
    <w:p w14:paraId="1C8ABA21"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1</w:t>
      </w:r>
      <w:r>
        <w:rPr>
          <w:rFonts w:hint="eastAsia"/>
          <w:color w:val="000000"/>
          <w:szCs w:val="21"/>
        </w:rPr>
        <w:t>）市场风险：定义为由于投资标的物价格变动而产生的衍生品的价格波动；</w:t>
      </w:r>
    </w:p>
    <w:p w14:paraId="11134015"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2</w:t>
      </w:r>
      <w:r>
        <w:rPr>
          <w:rFonts w:hint="eastAsia"/>
          <w:color w:val="000000"/>
          <w:szCs w:val="21"/>
        </w:rPr>
        <w:t>）市场流动性风险：当衍生品合约无法及时变现所带来的风险；</w:t>
      </w:r>
    </w:p>
    <w:p w14:paraId="2A8E3308"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3</w:t>
      </w:r>
      <w:r>
        <w:rPr>
          <w:rFonts w:hint="eastAsia"/>
          <w:color w:val="000000"/>
          <w:szCs w:val="21"/>
        </w:rPr>
        <w:t>）</w:t>
      </w:r>
      <w:proofErr w:type="gramStart"/>
      <w:r>
        <w:rPr>
          <w:rFonts w:hint="eastAsia"/>
          <w:color w:val="000000"/>
          <w:szCs w:val="21"/>
        </w:rPr>
        <w:t>基差风险</w:t>
      </w:r>
      <w:proofErr w:type="gramEnd"/>
      <w:r>
        <w:rPr>
          <w:rFonts w:hint="eastAsia"/>
          <w:color w:val="000000"/>
          <w:szCs w:val="21"/>
        </w:rPr>
        <w:t>：定义为衍生品市场价格与连动之标的价格不一致所产生的风险；</w:t>
      </w:r>
    </w:p>
    <w:p w14:paraId="2C4885BC"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4</w:t>
      </w:r>
      <w:r>
        <w:rPr>
          <w:rFonts w:hint="eastAsia"/>
          <w:color w:val="000000"/>
          <w:szCs w:val="21"/>
        </w:rPr>
        <w:t>）结算流动性风险：定义为当基金之保证金部位不足而无法交易衍生品，或因指数波动导致保证金低于维持保证金而必须追缴保证金的风险；</w:t>
      </w:r>
    </w:p>
    <w:p w14:paraId="753F503D"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5</w:t>
      </w:r>
      <w:r>
        <w:rPr>
          <w:rFonts w:hint="eastAsia"/>
          <w:color w:val="000000"/>
          <w:szCs w:val="21"/>
        </w:rPr>
        <w:t>）保证金风险：</w:t>
      </w:r>
      <w:r>
        <w:rPr>
          <w:color w:val="000000"/>
          <w:szCs w:val="21"/>
        </w:rPr>
        <w:t>是指由于无法及时筹措资金满足建立或者维持衍生品合约头寸所要求的保证金而带来的风险</w:t>
      </w:r>
      <w:r>
        <w:rPr>
          <w:rFonts w:hint="eastAsia"/>
          <w:color w:val="000000"/>
          <w:szCs w:val="21"/>
        </w:rPr>
        <w:t>；</w:t>
      </w:r>
    </w:p>
    <w:p w14:paraId="18F6374A" w14:textId="77777777" w:rsidR="001117EE" w:rsidRDefault="001117EE" w:rsidP="001117EE">
      <w:pPr>
        <w:spacing w:line="360" w:lineRule="auto"/>
        <w:ind w:firstLine="420"/>
        <w:rPr>
          <w:color w:val="000000"/>
          <w:szCs w:val="21"/>
        </w:rPr>
      </w:pPr>
      <w:r>
        <w:rPr>
          <w:rFonts w:hint="eastAsia"/>
          <w:color w:val="000000"/>
          <w:szCs w:val="21"/>
        </w:rPr>
        <w:t>（</w:t>
      </w:r>
      <w:r>
        <w:rPr>
          <w:color w:val="000000"/>
          <w:szCs w:val="21"/>
        </w:rPr>
        <w:t>6</w:t>
      </w:r>
      <w:r>
        <w:rPr>
          <w:rFonts w:hint="eastAsia"/>
          <w:color w:val="000000"/>
          <w:szCs w:val="21"/>
        </w:rPr>
        <w:t>）信用风险：定义为交易对手不愿或无法履行契约之风险；</w:t>
      </w:r>
    </w:p>
    <w:p w14:paraId="38B3C090"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）作业风险：定义为因交易过程、交易系统、人员疏失、或其他不可预期事件所导致的损失。</w:t>
      </w:r>
    </w:p>
    <w:p w14:paraId="62EF345E"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18</w:t>
      </w:r>
      <w:r>
        <w:rPr>
          <w:rFonts w:hint="eastAsia"/>
          <w:color w:val="000000"/>
          <w:szCs w:val="21"/>
        </w:rPr>
        <w:t>、第三方机构服务的风险</w:t>
      </w:r>
      <w:r>
        <w:rPr>
          <w:color w:val="000000"/>
          <w:szCs w:val="21"/>
        </w:rPr>
        <w:t xml:space="preserve"> </w:t>
      </w:r>
    </w:p>
    <w:p w14:paraId="0DB8F51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基金的多项服务委托第三方机构办理，存在以下风险：</w:t>
      </w:r>
      <w:r>
        <w:rPr>
          <w:color w:val="000000"/>
          <w:szCs w:val="21"/>
        </w:rPr>
        <w:t xml:space="preserve"> </w:t>
      </w:r>
    </w:p>
    <w:p w14:paraId="0B9FE96C"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）申购赎回代理机构因多种原因，导致代理申购、赎回业务受到限制、暂停或终止，由此影响对投资者申购赎回服务的风险。</w:t>
      </w:r>
      <w:r>
        <w:rPr>
          <w:color w:val="000000"/>
          <w:szCs w:val="21"/>
        </w:rPr>
        <w:t xml:space="preserve"> </w:t>
      </w:r>
    </w:p>
    <w:p w14:paraId="10CA9B32"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登记机构可能调整结算制度，如实施货银对付制度，对投资者基金份额、组合证券及资金的结算方式发生变化，制度调整可能给投资者带来理解偏差的风险。同样的风险还可能来自于证券交易所及其他代理机构。</w:t>
      </w:r>
      <w:r>
        <w:rPr>
          <w:color w:val="000000"/>
          <w:szCs w:val="21"/>
        </w:rPr>
        <w:t xml:space="preserve"> </w:t>
      </w:r>
    </w:p>
    <w:p w14:paraId="47B0812A" w14:textId="77777777" w:rsid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）证券交易所、登记机构、基金托管人、申购赎回代理机构及其他代理机构可能</w:t>
      </w:r>
      <w:r>
        <w:rPr>
          <w:rFonts w:hint="eastAsia"/>
          <w:color w:val="000000"/>
          <w:szCs w:val="21"/>
        </w:rPr>
        <w:lastRenderedPageBreak/>
        <w:t>违约，导致基金或投资者利益受损的风险。</w:t>
      </w:r>
    </w:p>
    <w:p w14:paraId="59580458" w14:textId="77777777" w:rsidR="001117EE" w:rsidRPr="00D41605" w:rsidRDefault="001117EE" w:rsidP="001117EE">
      <w:pPr>
        <w:spacing w:line="360" w:lineRule="auto"/>
        <w:ind w:firstLineChars="200" w:firstLine="420"/>
        <w:rPr>
          <w:color w:val="000000"/>
          <w:szCs w:val="21"/>
        </w:rPr>
      </w:pPr>
      <w:r>
        <w:rPr>
          <w:rFonts w:hint="eastAsia"/>
          <w:color w:val="000000"/>
          <w:szCs w:val="21"/>
        </w:rPr>
        <w:t>19</w:t>
      </w:r>
      <w:r>
        <w:rPr>
          <w:rFonts w:hint="eastAsia"/>
          <w:color w:val="000000"/>
          <w:szCs w:val="21"/>
        </w:rPr>
        <w:t>、</w:t>
      </w:r>
      <w:r w:rsidRPr="00D41605">
        <w:rPr>
          <w:rFonts w:hint="eastAsia"/>
          <w:color w:val="000000"/>
          <w:szCs w:val="21"/>
        </w:rPr>
        <w:t>可转换债券（可交换</w:t>
      </w:r>
      <w:r>
        <w:rPr>
          <w:rFonts w:hint="eastAsia"/>
          <w:color w:val="000000"/>
          <w:szCs w:val="21"/>
        </w:rPr>
        <w:t>债券</w:t>
      </w:r>
      <w:r w:rsidRPr="00D41605">
        <w:rPr>
          <w:rFonts w:hint="eastAsia"/>
          <w:color w:val="000000"/>
          <w:szCs w:val="21"/>
        </w:rPr>
        <w:t>）投资风险</w:t>
      </w:r>
    </w:p>
    <w:p w14:paraId="20AB86E0" w14:textId="77777777" w:rsidR="001117EE" w:rsidRPr="00D41605" w:rsidRDefault="001117EE" w:rsidP="001117EE">
      <w:pPr>
        <w:spacing w:line="360" w:lineRule="auto"/>
        <w:ind w:firstLineChars="200" w:firstLine="420"/>
        <w:rPr>
          <w:color w:val="000000"/>
          <w:szCs w:val="21"/>
        </w:rPr>
      </w:pPr>
      <w:r w:rsidRPr="00D41605">
        <w:rPr>
          <w:rFonts w:hint="eastAsia"/>
          <w:color w:val="000000"/>
          <w:szCs w:val="21"/>
        </w:rPr>
        <w:t>公司经营风险（信用风险）：可转换债券（</w:t>
      </w:r>
      <w:r>
        <w:rPr>
          <w:rFonts w:hint="eastAsia"/>
          <w:color w:val="000000"/>
          <w:szCs w:val="21"/>
        </w:rPr>
        <w:t>可交换债券</w:t>
      </w:r>
      <w:r w:rsidRPr="00D41605">
        <w:rPr>
          <w:rFonts w:hint="eastAsia"/>
          <w:color w:val="000000"/>
          <w:szCs w:val="21"/>
        </w:rPr>
        <w:t>）的发行主体是上市公司（上市公司股东）本身。如果可转换债券（</w:t>
      </w:r>
      <w:r>
        <w:rPr>
          <w:rFonts w:hint="eastAsia"/>
          <w:color w:val="000000"/>
          <w:szCs w:val="21"/>
        </w:rPr>
        <w:t>可交换债券</w:t>
      </w:r>
      <w:r w:rsidRPr="00D41605">
        <w:rPr>
          <w:rFonts w:hint="eastAsia"/>
          <w:color w:val="000000"/>
          <w:szCs w:val="21"/>
        </w:rPr>
        <w:t>）在存续期间，上市公司或其股东存在较大的经营风险或偿债能力风险时，对可转换债券（</w:t>
      </w:r>
      <w:r>
        <w:rPr>
          <w:rFonts w:hint="eastAsia"/>
          <w:color w:val="000000"/>
          <w:szCs w:val="21"/>
        </w:rPr>
        <w:t>可交换债券</w:t>
      </w:r>
      <w:r w:rsidRPr="00D41605">
        <w:rPr>
          <w:rFonts w:hint="eastAsia"/>
          <w:color w:val="000000"/>
          <w:szCs w:val="21"/>
        </w:rPr>
        <w:t>）的价格冲击较大。</w:t>
      </w:r>
    </w:p>
    <w:p w14:paraId="6F621038" w14:textId="77777777" w:rsidR="001117EE" w:rsidRDefault="001117EE" w:rsidP="001117EE">
      <w:pPr>
        <w:tabs>
          <w:tab w:val="left" w:pos="540"/>
        </w:tabs>
        <w:snapToGrid w:val="0"/>
        <w:spacing w:line="360" w:lineRule="auto"/>
        <w:ind w:firstLineChars="200" w:firstLine="420"/>
        <w:rPr>
          <w:color w:val="000000"/>
          <w:szCs w:val="21"/>
        </w:rPr>
      </w:pPr>
      <w:r w:rsidRPr="00D41605">
        <w:rPr>
          <w:rFonts w:hint="eastAsia"/>
          <w:color w:val="000000"/>
          <w:szCs w:val="21"/>
        </w:rPr>
        <w:t>提前赎回风险：可转换债券（</w:t>
      </w:r>
      <w:r>
        <w:rPr>
          <w:rFonts w:hint="eastAsia"/>
          <w:color w:val="000000"/>
          <w:szCs w:val="21"/>
        </w:rPr>
        <w:t>可交换债券</w:t>
      </w:r>
      <w:r w:rsidRPr="00D41605">
        <w:rPr>
          <w:rFonts w:hint="eastAsia"/>
          <w:color w:val="000000"/>
          <w:szCs w:val="21"/>
        </w:rPr>
        <w:t>）都规定了发行人可以在满足特定条件后，以某一价格强制赎回债券。当发行人发布强制赎回公告后，投资者未在规定时间内申请转股，将被以赎回价强制赎回，可能遭受损失。</w:t>
      </w:r>
    </w:p>
    <w:p w14:paraId="22291331" w14:textId="68D25205" w:rsidR="001117EE" w:rsidRP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2</w:t>
      </w:r>
      <w:r>
        <w:rPr>
          <w:color w:val="000000"/>
          <w:szCs w:val="21"/>
        </w:rPr>
        <w:t>0</w:t>
      </w:r>
      <w:r>
        <w:rPr>
          <w:rFonts w:hint="eastAsia"/>
          <w:color w:val="000000"/>
          <w:szCs w:val="21"/>
        </w:rPr>
        <w:t>、</w:t>
      </w:r>
      <w:r w:rsidRPr="001117EE">
        <w:rPr>
          <w:rFonts w:hint="eastAsia"/>
          <w:color w:val="000000"/>
          <w:szCs w:val="21"/>
        </w:rPr>
        <w:t>投资资产支持证券的风险</w:t>
      </w:r>
    </w:p>
    <w:p w14:paraId="1CD208FB" w14:textId="77777777" w:rsidR="001117EE" w:rsidRPr="001117EE" w:rsidRDefault="001117EE" w:rsidP="001117EE">
      <w:pPr>
        <w:tabs>
          <w:tab w:val="left" w:pos="540"/>
        </w:tabs>
        <w:snapToGrid w:val="0"/>
        <w:spacing w:line="360" w:lineRule="auto"/>
        <w:ind w:firstLineChars="200" w:firstLine="420"/>
        <w:rPr>
          <w:color w:val="000000"/>
          <w:szCs w:val="21"/>
        </w:rPr>
      </w:pPr>
      <w:r w:rsidRPr="001117EE">
        <w:rPr>
          <w:rFonts w:hint="eastAsia"/>
          <w:color w:val="000000"/>
          <w:szCs w:val="21"/>
        </w:rPr>
        <w:t>本基金投资资产支持证券，资产支持证券是一种债券性质的金融工具。资产支持证券的风险主要包括资产风险及证券化风险。资产风险源于资产本身，包括价格波动风险、流动性风险等。证券化风险主要表现为信用评级风险、法律风险等。</w:t>
      </w:r>
    </w:p>
    <w:p w14:paraId="40AF5848" w14:textId="77614CF4" w:rsidR="001117EE" w:rsidRP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2</w:t>
      </w:r>
      <w:r>
        <w:rPr>
          <w:color w:val="000000"/>
          <w:szCs w:val="21"/>
        </w:rPr>
        <w:t>1</w:t>
      </w:r>
      <w:r>
        <w:rPr>
          <w:rFonts w:hint="eastAsia"/>
          <w:color w:val="000000"/>
          <w:szCs w:val="21"/>
        </w:rPr>
        <w:t>、</w:t>
      </w:r>
      <w:r w:rsidRPr="001117EE">
        <w:rPr>
          <w:rFonts w:hint="eastAsia"/>
          <w:color w:val="000000"/>
          <w:szCs w:val="21"/>
        </w:rPr>
        <w:t>基金参与融资与转融通证券出借业务的风险</w:t>
      </w:r>
    </w:p>
    <w:p w14:paraId="21DA867E" w14:textId="77777777" w:rsidR="001117EE" w:rsidRDefault="001117EE" w:rsidP="001117EE">
      <w:pPr>
        <w:tabs>
          <w:tab w:val="left" w:pos="540"/>
        </w:tabs>
        <w:snapToGrid w:val="0"/>
        <w:spacing w:line="360" w:lineRule="auto"/>
        <w:ind w:firstLineChars="200" w:firstLine="420"/>
        <w:rPr>
          <w:color w:val="000000"/>
          <w:szCs w:val="21"/>
        </w:rPr>
      </w:pPr>
      <w:r w:rsidRPr="001117EE">
        <w:rPr>
          <w:rFonts w:hint="eastAsia"/>
          <w:color w:val="000000"/>
          <w:szCs w:val="21"/>
        </w:rPr>
        <w:t>本基金可根据法律法规和基金合同的约定参与融资及转融通业务，可能存在杠杆投资风险和对手方交易风险等融资及转融通证券出借业务特有风险。</w:t>
      </w:r>
    </w:p>
    <w:p w14:paraId="514E2EA0" w14:textId="72A24220" w:rsidR="007813BD" w:rsidRPr="007813BD" w:rsidRDefault="007813BD" w:rsidP="007813BD">
      <w:pPr>
        <w:tabs>
          <w:tab w:val="left" w:pos="540"/>
        </w:tabs>
        <w:snapToGrid w:val="0"/>
        <w:spacing w:line="360" w:lineRule="auto"/>
        <w:ind w:firstLineChars="200" w:firstLine="420"/>
        <w:rPr>
          <w:color w:val="000000"/>
          <w:szCs w:val="21"/>
        </w:rPr>
      </w:pPr>
      <w:r>
        <w:rPr>
          <w:rFonts w:hint="eastAsia"/>
          <w:color w:val="000000"/>
          <w:szCs w:val="21"/>
        </w:rPr>
        <w:t>2</w:t>
      </w:r>
      <w:r>
        <w:rPr>
          <w:color w:val="000000"/>
          <w:szCs w:val="21"/>
        </w:rPr>
        <w:t>2</w:t>
      </w:r>
      <w:r>
        <w:rPr>
          <w:rFonts w:hint="eastAsia"/>
          <w:color w:val="000000"/>
          <w:szCs w:val="21"/>
        </w:rPr>
        <w:t>、</w:t>
      </w:r>
      <w:proofErr w:type="gramStart"/>
      <w:r w:rsidRPr="007813BD">
        <w:rPr>
          <w:rFonts w:hint="eastAsia"/>
          <w:color w:val="000000"/>
          <w:szCs w:val="21"/>
        </w:rPr>
        <w:t>科创板股票</w:t>
      </w:r>
      <w:proofErr w:type="gramEnd"/>
      <w:r w:rsidRPr="007813BD">
        <w:rPr>
          <w:rFonts w:hint="eastAsia"/>
          <w:color w:val="000000"/>
          <w:szCs w:val="21"/>
        </w:rPr>
        <w:t>投资风险</w:t>
      </w:r>
    </w:p>
    <w:p w14:paraId="3F5FA1F1"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本基金如投资国内上市的</w:t>
      </w:r>
      <w:proofErr w:type="gramStart"/>
      <w:r w:rsidRPr="007813BD">
        <w:rPr>
          <w:rFonts w:hint="eastAsia"/>
          <w:color w:val="000000"/>
          <w:szCs w:val="21"/>
        </w:rPr>
        <w:t>科创板</w:t>
      </w:r>
      <w:proofErr w:type="gramEnd"/>
      <w:r w:rsidRPr="007813BD">
        <w:rPr>
          <w:rFonts w:hint="eastAsia"/>
          <w:color w:val="000000"/>
          <w:szCs w:val="21"/>
        </w:rPr>
        <w:t>股票，会面临因投资标的、市场制度以及交易规则等差异带来的特有风险，包括但不限于如下风险：</w:t>
      </w:r>
    </w:p>
    <w:p w14:paraId="52D47104"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w:t>
      </w:r>
      <w:r w:rsidRPr="007813BD">
        <w:rPr>
          <w:rFonts w:hint="eastAsia"/>
          <w:color w:val="000000"/>
          <w:szCs w:val="21"/>
        </w:rPr>
        <w:t>1</w:t>
      </w:r>
      <w:r w:rsidRPr="007813BD">
        <w:rPr>
          <w:rFonts w:hint="eastAsia"/>
          <w:color w:val="000000"/>
          <w:szCs w:val="21"/>
        </w:rPr>
        <w:t>）流动性风险</w:t>
      </w:r>
    </w:p>
    <w:p w14:paraId="3B0097D2"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由于</w:t>
      </w:r>
      <w:proofErr w:type="gramStart"/>
      <w:r w:rsidRPr="007813BD">
        <w:rPr>
          <w:rFonts w:hint="eastAsia"/>
          <w:color w:val="000000"/>
          <w:szCs w:val="21"/>
        </w:rPr>
        <w:t>科创板</w:t>
      </w:r>
      <w:proofErr w:type="gramEnd"/>
      <w:r w:rsidRPr="007813BD">
        <w:rPr>
          <w:rFonts w:hint="eastAsia"/>
          <w:color w:val="000000"/>
          <w:szCs w:val="21"/>
        </w:rPr>
        <w:t>投资门槛高于</w:t>
      </w:r>
      <w:r w:rsidRPr="007813BD">
        <w:rPr>
          <w:rFonts w:hint="eastAsia"/>
          <w:color w:val="000000"/>
          <w:szCs w:val="21"/>
        </w:rPr>
        <w:t>A</w:t>
      </w:r>
      <w:r w:rsidRPr="007813BD">
        <w:rPr>
          <w:rFonts w:hint="eastAsia"/>
          <w:color w:val="000000"/>
          <w:szCs w:val="21"/>
        </w:rPr>
        <w:t>股其他板块，整体板块活跃度可能弱于</w:t>
      </w:r>
      <w:r w:rsidRPr="007813BD">
        <w:rPr>
          <w:rFonts w:hint="eastAsia"/>
          <w:color w:val="000000"/>
          <w:szCs w:val="21"/>
        </w:rPr>
        <w:t>A</w:t>
      </w:r>
      <w:r w:rsidRPr="007813BD">
        <w:rPr>
          <w:rFonts w:hint="eastAsia"/>
          <w:color w:val="000000"/>
          <w:szCs w:val="21"/>
        </w:rPr>
        <w:t>股其他板块，由此导致该板块流动性欠佳。此外，</w:t>
      </w:r>
      <w:proofErr w:type="gramStart"/>
      <w:r w:rsidRPr="007813BD">
        <w:rPr>
          <w:rFonts w:hint="eastAsia"/>
          <w:color w:val="000000"/>
          <w:szCs w:val="21"/>
        </w:rPr>
        <w:t>科创板</w:t>
      </w:r>
      <w:proofErr w:type="gramEnd"/>
      <w:r w:rsidRPr="007813BD">
        <w:rPr>
          <w:rFonts w:hint="eastAsia"/>
          <w:color w:val="000000"/>
          <w:szCs w:val="21"/>
        </w:rPr>
        <w:t>上市的企业中，不同流动性的企业在不同市场行情下</w:t>
      </w:r>
      <w:r w:rsidRPr="007813BD">
        <w:rPr>
          <w:rFonts w:hint="eastAsia"/>
          <w:color w:val="000000"/>
          <w:szCs w:val="21"/>
        </w:rPr>
        <w:t>(</w:t>
      </w:r>
      <w:r w:rsidRPr="007813BD">
        <w:rPr>
          <w:rFonts w:hint="eastAsia"/>
          <w:color w:val="000000"/>
          <w:szCs w:val="21"/>
        </w:rPr>
        <w:t>牛市</w:t>
      </w:r>
      <w:r w:rsidRPr="007813BD">
        <w:rPr>
          <w:rFonts w:hint="eastAsia"/>
          <w:color w:val="000000"/>
          <w:szCs w:val="21"/>
        </w:rPr>
        <w:t>/</w:t>
      </w:r>
      <w:r w:rsidRPr="007813BD">
        <w:rPr>
          <w:rFonts w:hint="eastAsia"/>
          <w:color w:val="000000"/>
          <w:szCs w:val="21"/>
        </w:rPr>
        <w:t>熊市</w:t>
      </w:r>
      <w:r w:rsidRPr="007813BD">
        <w:rPr>
          <w:rFonts w:hint="eastAsia"/>
          <w:color w:val="000000"/>
          <w:szCs w:val="21"/>
        </w:rPr>
        <w:t>)</w:t>
      </w:r>
      <w:r w:rsidRPr="007813BD">
        <w:rPr>
          <w:rFonts w:hint="eastAsia"/>
          <w:color w:val="000000"/>
          <w:szCs w:val="21"/>
        </w:rPr>
        <w:t>的流动性风险各不相同，流动性差的企业所面临的流动性风险要高于流动性好的企业</w:t>
      </w:r>
      <w:r w:rsidRPr="007813BD">
        <w:rPr>
          <w:rFonts w:hint="eastAsia"/>
          <w:color w:val="000000"/>
          <w:szCs w:val="21"/>
        </w:rPr>
        <w:t>,</w:t>
      </w:r>
      <w:r w:rsidRPr="007813BD">
        <w:rPr>
          <w:rFonts w:hint="eastAsia"/>
          <w:color w:val="000000"/>
          <w:szCs w:val="21"/>
        </w:rPr>
        <w:t>熊市风险高于牛市风险</w:t>
      </w:r>
      <w:r w:rsidRPr="007813BD">
        <w:rPr>
          <w:rFonts w:hint="eastAsia"/>
          <w:color w:val="000000"/>
          <w:szCs w:val="21"/>
        </w:rPr>
        <w:t>,</w:t>
      </w:r>
      <w:r w:rsidRPr="007813BD">
        <w:rPr>
          <w:rFonts w:hint="eastAsia"/>
          <w:color w:val="000000"/>
          <w:szCs w:val="21"/>
        </w:rPr>
        <w:t>但也有少数企业与之相反。</w:t>
      </w:r>
    </w:p>
    <w:p w14:paraId="20CD2650"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w:t>
      </w:r>
      <w:r w:rsidRPr="007813BD">
        <w:rPr>
          <w:rFonts w:hint="eastAsia"/>
          <w:color w:val="000000"/>
          <w:szCs w:val="21"/>
        </w:rPr>
        <w:t>2</w:t>
      </w:r>
      <w:r w:rsidRPr="007813BD">
        <w:rPr>
          <w:rFonts w:hint="eastAsia"/>
          <w:color w:val="000000"/>
          <w:szCs w:val="21"/>
        </w:rPr>
        <w:t>）退市风险</w:t>
      </w:r>
    </w:p>
    <w:p w14:paraId="7943886D" w14:textId="77777777" w:rsidR="007813BD" w:rsidRPr="007813BD" w:rsidRDefault="007813BD" w:rsidP="007813BD">
      <w:pPr>
        <w:tabs>
          <w:tab w:val="left" w:pos="540"/>
        </w:tabs>
        <w:snapToGrid w:val="0"/>
        <w:spacing w:line="360" w:lineRule="auto"/>
        <w:ind w:firstLineChars="200" w:firstLine="420"/>
        <w:rPr>
          <w:color w:val="000000"/>
          <w:szCs w:val="21"/>
        </w:rPr>
      </w:pPr>
      <w:proofErr w:type="gramStart"/>
      <w:r w:rsidRPr="007813BD">
        <w:rPr>
          <w:rFonts w:hint="eastAsia"/>
          <w:color w:val="000000"/>
          <w:szCs w:val="21"/>
        </w:rPr>
        <w:t>科创板退</w:t>
      </w:r>
      <w:proofErr w:type="gramEnd"/>
      <w:r w:rsidRPr="007813BD">
        <w:rPr>
          <w:rFonts w:hint="eastAsia"/>
          <w:color w:val="000000"/>
          <w:szCs w:val="21"/>
        </w:rPr>
        <w:t>市制度较主板更为严格：首先，退</w:t>
      </w:r>
      <w:proofErr w:type="gramStart"/>
      <w:r w:rsidRPr="007813BD">
        <w:rPr>
          <w:rFonts w:hint="eastAsia"/>
          <w:color w:val="000000"/>
          <w:szCs w:val="21"/>
        </w:rPr>
        <w:t>市时间</w:t>
      </w:r>
      <w:proofErr w:type="gramEnd"/>
      <w:r w:rsidRPr="007813BD">
        <w:rPr>
          <w:rFonts w:hint="eastAsia"/>
          <w:color w:val="000000"/>
          <w:szCs w:val="21"/>
        </w:rPr>
        <w:t>更短，退</w:t>
      </w:r>
      <w:proofErr w:type="gramStart"/>
      <w:r w:rsidRPr="007813BD">
        <w:rPr>
          <w:rFonts w:hint="eastAsia"/>
          <w:color w:val="000000"/>
          <w:szCs w:val="21"/>
        </w:rPr>
        <w:t>市速度</w:t>
      </w:r>
      <w:proofErr w:type="gramEnd"/>
      <w:r w:rsidRPr="007813BD">
        <w:rPr>
          <w:rFonts w:hint="eastAsia"/>
          <w:color w:val="000000"/>
          <w:szCs w:val="21"/>
        </w:rPr>
        <w:t>更快；其次，退市情形更多，新增市值低于规定标准、上市公司信息披露或者规范运作存在重大缺陷导致退市的情形；第三，执行标准更严，明显丧失持续经营能力，仅依赖与主业无关的贸易或者不具备商业实质的关联交易维持收入的上市公司可能会被退市。且不再设置暂停上市、恢复上市和重新上市环节，因此</w:t>
      </w:r>
      <w:proofErr w:type="gramStart"/>
      <w:r w:rsidRPr="007813BD">
        <w:rPr>
          <w:rFonts w:hint="eastAsia"/>
          <w:color w:val="000000"/>
          <w:szCs w:val="21"/>
        </w:rPr>
        <w:t>科创板</w:t>
      </w:r>
      <w:proofErr w:type="gramEnd"/>
      <w:r w:rsidRPr="007813BD">
        <w:rPr>
          <w:rFonts w:hint="eastAsia"/>
          <w:color w:val="000000"/>
          <w:szCs w:val="21"/>
        </w:rPr>
        <w:t>上市公司的退</w:t>
      </w:r>
      <w:proofErr w:type="gramStart"/>
      <w:r w:rsidRPr="007813BD">
        <w:rPr>
          <w:rFonts w:hint="eastAsia"/>
          <w:color w:val="000000"/>
          <w:szCs w:val="21"/>
        </w:rPr>
        <w:t>市风险</w:t>
      </w:r>
      <w:proofErr w:type="gramEnd"/>
      <w:r w:rsidRPr="007813BD">
        <w:rPr>
          <w:rFonts w:hint="eastAsia"/>
          <w:color w:val="000000"/>
          <w:szCs w:val="21"/>
        </w:rPr>
        <w:t>更大。</w:t>
      </w:r>
    </w:p>
    <w:p w14:paraId="2ED5B4BC"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w:t>
      </w:r>
      <w:r w:rsidRPr="007813BD">
        <w:rPr>
          <w:rFonts w:hint="eastAsia"/>
          <w:color w:val="000000"/>
          <w:szCs w:val="21"/>
        </w:rPr>
        <w:t>3</w:t>
      </w:r>
      <w:r w:rsidRPr="007813BD">
        <w:rPr>
          <w:rFonts w:hint="eastAsia"/>
          <w:color w:val="000000"/>
          <w:szCs w:val="21"/>
        </w:rPr>
        <w:t>）投资集中的风险</w:t>
      </w:r>
    </w:p>
    <w:p w14:paraId="578362F1" w14:textId="77777777" w:rsidR="007813BD" w:rsidRPr="007813BD" w:rsidRDefault="007813BD" w:rsidP="007813BD">
      <w:pPr>
        <w:tabs>
          <w:tab w:val="left" w:pos="540"/>
        </w:tabs>
        <w:snapToGrid w:val="0"/>
        <w:spacing w:line="360" w:lineRule="auto"/>
        <w:ind w:firstLineChars="200" w:firstLine="420"/>
        <w:rPr>
          <w:color w:val="000000"/>
          <w:szCs w:val="21"/>
        </w:rPr>
      </w:pPr>
      <w:proofErr w:type="gramStart"/>
      <w:r w:rsidRPr="007813BD">
        <w:rPr>
          <w:rFonts w:hint="eastAsia"/>
          <w:color w:val="000000"/>
          <w:szCs w:val="21"/>
        </w:rPr>
        <w:t>科创板</w:t>
      </w:r>
      <w:proofErr w:type="gramEnd"/>
      <w:r w:rsidRPr="007813BD">
        <w:rPr>
          <w:rFonts w:hint="eastAsia"/>
          <w:color w:val="000000"/>
          <w:szCs w:val="21"/>
        </w:rPr>
        <w:t>上市的企业主要是科技创新主题的企业，股票的风险特征存在一定趋同性，股票价格的波动也会呈现一定程度的同向变化，分散化投资的效果可能不显著，有投资风险相对集中的风险。</w:t>
      </w:r>
    </w:p>
    <w:p w14:paraId="66779ECD"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lastRenderedPageBreak/>
        <w:t>（</w:t>
      </w:r>
      <w:r w:rsidRPr="007813BD">
        <w:rPr>
          <w:rFonts w:hint="eastAsia"/>
          <w:color w:val="000000"/>
          <w:szCs w:val="21"/>
        </w:rPr>
        <w:t>4</w:t>
      </w:r>
      <w:r w:rsidRPr="007813BD">
        <w:rPr>
          <w:rFonts w:hint="eastAsia"/>
          <w:color w:val="000000"/>
          <w:szCs w:val="21"/>
        </w:rPr>
        <w:t>）股价大幅波动的风险</w:t>
      </w:r>
    </w:p>
    <w:p w14:paraId="161403DB" w14:textId="77777777" w:rsidR="007813BD" w:rsidRPr="007813BD" w:rsidRDefault="007813BD" w:rsidP="007813BD">
      <w:pPr>
        <w:tabs>
          <w:tab w:val="left" w:pos="540"/>
        </w:tabs>
        <w:snapToGrid w:val="0"/>
        <w:spacing w:line="360" w:lineRule="auto"/>
        <w:ind w:firstLineChars="200" w:firstLine="420"/>
        <w:rPr>
          <w:color w:val="000000"/>
          <w:szCs w:val="21"/>
        </w:rPr>
      </w:pPr>
      <w:proofErr w:type="gramStart"/>
      <w:r w:rsidRPr="007813BD">
        <w:rPr>
          <w:rFonts w:hint="eastAsia"/>
          <w:color w:val="000000"/>
          <w:szCs w:val="21"/>
        </w:rPr>
        <w:t>科创板股票</w:t>
      </w:r>
      <w:proofErr w:type="gramEnd"/>
      <w:r w:rsidRPr="007813BD">
        <w:rPr>
          <w:rFonts w:hint="eastAsia"/>
          <w:color w:val="000000"/>
          <w:szCs w:val="21"/>
        </w:rPr>
        <w:t>竞价交易设置较宽的涨跌幅限制，对个股每日涨跌幅限制为</w:t>
      </w:r>
      <w:r w:rsidRPr="007813BD">
        <w:rPr>
          <w:rFonts w:hint="eastAsia"/>
          <w:color w:val="000000"/>
          <w:szCs w:val="21"/>
        </w:rPr>
        <w:t>20%</w:t>
      </w:r>
      <w:r w:rsidRPr="007813BD">
        <w:rPr>
          <w:rFonts w:hint="eastAsia"/>
          <w:color w:val="000000"/>
          <w:szCs w:val="21"/>
        </w:rPr>
        <w:t>，新股上市后的前</w:t>
      </w:r>
      <w:r w:rsidRPr="007813BD">
        <w:rPr>
          <w:rFonts w:hint="eastAsia"/>
          <w:color w:val="000000"/>
          <w:szCs w:val="21"/>
        </w:rPr>
        <w:t>5</w:t>
      </w:r>
      <w:r w:rsidRPr="007813BD">
        <w:rPr>
          <w:rFonts w:hint="eastAsia"/>
          <w:color w:val="000000"/>
          <w:szCs w:val="21"/>
        </w:rPr>
        <w:t>个交易日不设置涨跌幅限制，股价可能表现出比</w:t>
      </w:r>
      <w:r w:rsidRPr="007813BD">
        <w:rPr>
          <w:rFonts w:hint="eastAsia"/>
          <w:color w:val="000000"/>
          <w:szCs w:val="21"/>
        </w:rPr>
        <w:t>A</w:t>
      </w:r>
      <w:r w:rsidRPr="007813BD">
        <w:rPr>
          <w:rFonts w:hint="eastAsia"/>
          <w:color w:val="000000"/>
          <w:szCs w:val="21"/>
        </w:rPr>
        <w:t>股其他板块更为剧烈的股价波动。</w:t>
      </w:r>
    </w:p>
    <w:p w14:paraId="18E492D2" w14:textId="77777777" w:rsidR="007813BD" w:rsidRPr="007813BD" w:rsidRDefault="007813BD" w:rsidP="007813BD">
      <w:pPr>
        <w:tabs>
          <w:tab w:val="left" w:pos="540"/>
        </w:tabs>
        <w:snapToGrid w:val="0"/>
        <w:spacing w:line="360" w:lineRule="auto"/>
        <w:ind w:firstLineChars="200" w:firstLine="420"/>
        <w:rPr>
          <w:color w:val="000000"/>
          <w:szCs w:val="21"/>
        </w:rPr>
      </w:pPr>
      <w:r w:rsidRPr="007813BD">
        <w:rPr>
          <w:rFonts w:hint="eastAsia"/>
          <w:color w:val="000000"/>
          <w:szCs w:val="21"/>
        </w:rPr>
        <w:t>（</w:t>
      </w:r>
      <w:r w:rsidRPr="007813BD">
        <w:rPr>
          <w:rFonts w:hint="eastAsia"/>
          <w:color w:val="000000"/>
          <w:szCs w:val="21"/>
        </w:rPr>
        <w:t>5</w:t>
      </w:r>
      <w:r w:rsidRPr="007813BD">
        <w:rPr>
          <w:rFonts w:hint="eastAsia"/>
          <w:color w:val="000000"/>
          <w:szCs w:val="21"/>
        </w:rPr>
        <w:t>）</w:t>
      </w:r>
      <w:proofErr w:type="gramStart"/>
      <w:r w:rsidRPr="007813BD">
        <w:rPr>
          <w:rFonts w:hint="eastAsia"/>
          <w:color w:val="000000"/>
          <w:szCs w:val="21"/>
        </w:rPr>
        <w:t>科创板法律</w:t>
      </w:r>
      <w:proofErr w:type="gramEnd"/>
      <w:r w:rsidRPr="007813BD">
        <w:rPr>
          <w:rFonts w:hint="eastAsia"/>
          <w:color w:val="000000"/>
          <w:szCs w:val="21"/>
        </w:rPr>
        <w:t>法规修改的风险</w:t>
      </w:r>
    </w:p>
    <w:p w14:paraId="54D9C828" w14:textId="13E146DA" w:rsidR="007813BD" w:rsidRPr="007813BD" w:rsidRDefault="007813BD" w:rsidP="007813BD">
      <w:pPr>
        <w:tabs>
          <w:tab w:val="left" w:pos="540"/>
        </w:tabs>
        <w:snapToGrid w:val="0"/>
        <w:spacing w:line="360" w:lineRule="auto"/>
        <w:ind w:firstLineChars="200" w:firstLine="420"/>
        <w:rPr>
          <w:color w:val="000000"/>
          <w:szCs w:val="21"/>
        </w:rPr>
      </w:pPr>
      <w:proofErr w:type="gramStart"/>
      <w:r w:rsidRPr="007813BD">
        <w:rPr>
          <w:rFonts w:hint="eastAsia"/>
          <w:color w:val="000000"/>
          <w:szCs w:val="21"/>
        </w:rPr>
        <w:t>科创板股票</w:t>
      </w:r>
      <w:proofErr w:type="gramEnd"/>
      <w:r w:rsidRPr="007813BD">
        <w:rPr>
          <w:rFonts w:hint="eastAsia"/>
          <w:color w:val="000000"/>
          <w:szCs w:val="21"/>
        </w:rPr>
        <w:t>相关法律、行政法规、部门规章、规范性文件和交易所业务规则，可能根据市场情况进行修改，或者制定新的法律法规和业务规则。新的法律法规和规则可能会</w:t>
      </w:r>
      <w:proofErr w:type="gramStart"/>
      <w:r w:rsidRPr="007813BD">
        <w:rPr>
          <w:rFonts w:hint="eastAsia"/>
          <w:color w:val="000000"/>
          <w:szCs w:val="21"/>
        </w:rPr>
        <w:t>影响科创板</w:t>
      </w:r>
      <w:proofErr w:type="gramEnd"/>
      <w:r w:rsidRPr="007813BD">
        <w:rPr>
          <w:rFonts w:hint="eastAsia"/>
          <w:color w:val="000000"/>
          <w:szCs w:val="21"/>
        </w:rPr>
        <w:t>的整体运行、股价波动等。</w:t>
      </w:r>
    </w:p>
    <w:p w14:paraId="57665C6D" w14:textId="1AF71507" w:rsidR="001117EE" w:rsidRPr="001117EE" w:rsidRDefault="001117EE" w:rsidP="001117EE">
      <w:pPr>
        <w:tabs>
          <w:tab w:val="left" w:pos="540"/>
        </w:tabs>
        <w:snapToGrid w:val="0"/>
        <w:spacing w:line="360" w:lineRule="auto"/>
        <w:ind w:firstLineChars="200" w:firstLine="420"/>
        <w:rPr>
          <w:color w:val="000000"/>
          <w:szCs w:val="21"/>
        </w:rPr>
      </w:pPr>
      <w:r>
        <w:rPr>
          <w:rFonts w:hint="eastAsia"/>
          <w:color w:val="000000"/>
          <w:szCs w:val="21"/>
        </w:rPr>
        <w:t>2</w:t>
      </w:r>
      <w:r w:rsidR="007813BD">
        <w:rPr>
          <w:color w:val="000000"/>
          <w:szCs w:val="21"/>
        </w:rPr>
        <w:t>3</w:t>
      </w:r>
      <w:r>
        <w:rPr>
          <w:rFonts w:hint="eastAsia"/>
          <w:color w:val="000000"/>
          <w:szCs w:val="21"/>
        </w:rPr>
        <w:t>、</w:t>
      </w:r>
      <w:r w:rsidRPr="001117EE">
        <w:rPr>
          <w:rFonts w:hint="eastAsia"/>
          <w:color w:val="000000"/>
          <w:szCs w:val="21"/>
        </w:rPr>
        <w:t>存托凭证投资风险</w:t>
      </w:r>
    </w:p>
    <w:p w14:paraId="47183558" w14:textId="182BD3DB" w:rsidR="001117EE" w:rsidRDefault="001117EE" w:rsidP="001117EE">
      <w:pPr>
        <w:tabs>
          <w:tab w:val="left" w:pos="540"/>
        </w:tabs>
        <w:snapToGrid w:val="0"/>
        <w:spacing w:line="360" w:lineRule="auto"/>
        <w:ind w:firstLineChars="200" w:firstLine="420"/>
        <w:rPr>
          <w:color w:val="000000"/>
          <w:szCs w:val="21"/>
        </w:rPr>
      </w:pPr>
      <w:r w:rsidRPr="001117EE">
        <w:rPr>
          <w:rFonts w:hint="eastAsia"/>
          <w:color w:val="000000"/>
          <w:szCs w:val="21"/>
        </w:rPr>
        <w:t>本基金的投资范围包括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sidRPr="001117EE">
        <w:rPr>
          <w:rFonts w:hint="eastAsia"/>
          <w:color w:val="000000"/>
          <w:szCs w:val="21"/>
        </w:rPr>
        <w:t>托协议</w:t>
      </w:r>
      <w:proofErr w:type="gramEnd"/>
      <w:r w:rsidRPr="001117EE">
        <w:rPr>
          <w:rFonts w:hint="eastAsia"/>
          <w:color w:val="000000"/>
          <w:szCs w:val="21"/>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646B2A29" w14:textId="31014FD9" w:rsidR="00813A6E" w:rsidRDefault="00813A6E" w:rsidP="00813A6E">
      <w:pPr>
        <w:tabs>
          <w:tab w:val="left" w:pos="540"/>
        </w:tabs>
        <w:snapToGrid w:val="0"/>
        <w:spacing w:line="360" w:lineRule="auto"/>
        <w:ind w:firstLineChars="200" w:firstLine="420"/>
        <w:rPr>
          <w:color w:val="000000"/>
          <w:szCs w:val="21"/>
        </w:rPr>
      </w:pPr>
    </w:p>
    <w:p w14:paraId="577F9A42" w14:textId="7213A3A9" w:rsidR="00175DB4" w:rsidRDefault="000519D1">
      <w:pPr>
        <w:spacing w:line="360" w:lineRule="auto"/>
        <w:ind w:firstLine="420"/>
        <w:rPr>
          <w:rFonts w:ascii="宋体" w:hAnsi="宋体"/>
          <w:color w:val="000000" w:themeColor="text1"/>
          <w:szCs w:val="21"/>
        </w:rPr>
      </w:pPr>
      <w:r>
        <w:rPr>
          <w:rFonts w:ascii="宋体" w:hAnsi="宋体" w:hint="eastAsia"/>
          <w:color w:val="000000" w:themeColor="text1"/>
          <w:szCs w:val="21"/>
        </w:rPr>
        <w:t>（</w:t>
      </w:r>
      <w:r w:rsidR="001117EE">
        <w:rPr>
          <w:rFonts w:ascii="宋体" w:hAnsi="宋体" w:hint="eastAsia"/>
          <w:color w:val="000000" w:themeColor="text1"/>
          <w:szCs w:val="21"/>
        </w:rPr>
        <w:t>二</w:t>
      </w:r>
      <w:r>
        <w:rPr>
          <w:rFonts w:ascii="宋体" w:hAnsi="宋体" w:hint="eastAsia"/>
          <w:color w:val="000000" w:themeColor="text1"/>
          <w:szCs w:val="21"/>
        </w:rPr>
        <w:t>）市场风险</w:t>
      </w:r>
    </w:p>
    <w:p w14:paraId="554DC6F8" w14:textId="77777777" w:rsidR="00175DB4" w:rsidRDefault="000519D1">
      <w:pPr>
        <w:spacing w:line="360" w:lineRule="auto"/>
        <w:rPr>
          <w:rFonts w:ascii="宋体" w:hAnsi="宋体"/>
          <w:color w:val="000000" w:themeColor="text1"/>
          <w:szCs w:val="21"/>
        </w:rPr>
      </w:pPr>
      <w:r>
        <w:rPr>
          <w:rFonts w:ascii="宋体" w:hAnsi="宋体"/>
          <w:color w:val="000000" w:themeColor="text1"/>
          <w:szCs w:val="21"/>
        </w:rPr>
        <w:tab/>
      </w:r>
      <w:r>
        <w:rPr>
          <w:rFonts w:ascii="宋体" w:hAnsi="宋体" w:hint="eastAsia"/>
          <w:color w:val="000000" w:themeColor="text1"/>
          <w:szCs w:val="21"/>
        </w:rPr>
        <w:t>证券市场价格受到经济因素、政治因素、投资心理和交易制度等各种因素的影响，导致基金收益水平变化，产生风险，主要包括：</w:t>
      </w:r>
    </w:p>
    <w:p w14:paraId="23D6EEA3" w14:textId="77777777" w:rsidR="00175DB4" w:rsidRDefault="000519D1">
      <w:pPr>
        <w:spacing w:line="360" w:lineRule="auto"/>
        <w:ind w:firstLine="420"/>
        <w:rPr>
          <w:rFonts w:ascii="宋体" w:hAnsi="宋体"/>
          <w:color w:val="000000" w:themeColor="text1"/>
          <w:szCs w:val="21"/>
        </w:rPr>
      </w:pPr>
      <w:r>
        <w:rPr>
          <w:rFonts w:ascii="宋体" w:hAnsi="宋体"/>
          <w:color w:val="000000" w:themeColor="text1"/>
          <w:szCs w:val="21"/>
        </w:rPr>
        <w:t>1、政策风险</w:t>
      </w:r>
    </w:p>
    <w:p w14:paraId="078DB531" w14:textId="77777777" w:rsidR="00175DB4" w:rsidRDefault="000519D1">
      <w:pPr>
        <w:spacing w:line="360" w:lineRule="auto"/>
        <w:rPr>
          <w:rFonts w:ascii="宋体" w:hAnsi="宋体"/>
          <w:color w:val="000000" w:themeColor="text1"/>
          <w:szCs w:val="21"/>
        </w:rPr>
      </w:pPr>
      <w:r>
        <w:rPr>
          <w:rFonts w:ascii="宋体" w:hAnsi="宋体"/>
          <w:color w:val="000000" w:themeColor="text1"/>
          <w:szCs w:val="21"/>
        </w:rPr>
        <w:tab/>
      </w:r>
      <w:r>
        <w:rPr>
          <w:rFonts w:ascii="宋体" w:hAnsi="宋体" w:hint="eastAsia"/>
          <w:color w:val="000000" w:themeColor="text1"/>
          <w:szCs w:val="21"/>
        </w:rPr>
        <w:t>因国家宏观政策（如货币政策、财政政策、行业政策、地区发展政策等）发生变化，导致市场价格波动而产生风险。</w:t>
      </w:r>
    </w:p>
    <w:p w14:paraId="626CC156" w14:textId="77777777" w:rsidR="00175DB4" w:rsidRDefault="000519D1">
      <w:pPr>
        <w:spacing w:line="360" w:lineRule="auto"/>
        <w:ind w:firstLine="420"/>
        <w:rPr>
          <w:rFonts w:ascii="宋体" w:hAnsi="宋体"/>
          <w:color w:val="000000" w:themeColor="text1"/>
          <w:szCs w:val="21"/>
        </w:rPr>
      </w:pPr>
      <w:r>
        <w:rPr>
          <w:rFonts w:ascii="宋体" w:hAnsi="宋体"/>
          <w:color w:val="000000" w:themeColor="text1"/>
          <w:szCs w:val="21"/>
        </w:rPr>
        <w:t>2、经济周期风险</w:t>
      </w:r>
    </w:p>
    <w:p w14:paraId="0141E45A" w14:textId="77777777" w:rsidR="00175DB4" w:rsidRDefault="000519D1">
      <w:pPr>
        <w:spacing w:line="360" w:lineRule="auto"/>
        <w:rPr>
          <w:rFonts w:ascii="宋体" w:hAnsi="宋体"/>
          <w:color w:val="000000" w:themeColor="text1"/>
          <w:szCs w:val="21"/>
        </w:rPr>
      </w:pPr>
      <w:r>
        <w:rPr>
          <w:rFonts w:ascii="宋体" w:hAnsi="宋体"/>
          <w:color w:val="000000" w:themeColor="text1"/>
          <w:szCs w:val="21"/>
        </w:rPr>
        <w:tab/>
      </w:r>
      <w:r>
        <w:rPr>
          <w:rFonts w:ascii="宋体" w:hAnsi="宋体" w:hint="eastAsia"/>
          <w:color w:val="000000" w:themeColor="text1"/>
          <w:szCs w:val="21"/>
        </w:rPr>
        <w:t>随经济运行的周期性变化，证券市场的收益水平也呈周期性变化。基金投资于债券与上市公司的股票，收益水平也会随之变化，从而产生风险。</w:t>
      </w:r>
    </w:p>
    <w:p w14:paraId="57E1F795" w14:textId="77777777" w:rsidR="00175DB4" w:rsidRDefault="000519D1">
      <w:pPr>
        <w:spacing w:line="360" w:lineRule="auto"/>
        <w:ind w:firstLine="420"/>
        <w:rPr>
          <w:rFonts w:ascii="宋体" w:hAnsi="宋体"/>
          <w:color w:val="000000" w:themeColor="text1"/>
          <w:szCs w:val="21"/>
        </w:rPr>
      </w:pPr>
      <w:r>
        <w:rPr>
          <w:rFonts w:ascii="宋体" w:hAnsi="宋体"/>
          <w:color w:val="000000" w:themeColor="text1"/>
          <w:szCs w:val="21"/>
        </w:rPr>
        <w:t>3、利率风险</w:t>
      </w:r>
    </w:p>
    <w:p w14:paraId="12E3F363" w14:textId="77777777" w:rsidR="00175DB4" w:rsidRDefault="000519D1">
      <w:pPr>
        <w:spacing w:line="360" w:lineRule="auto"/>
        <w:rPr>
          <w:rFonts w:ascii="宋体" w:hAnsi="宋体"/>
          <w:color w:val="000000" w:themeColor="text1"/>
          <w:szCs w:val="21"/>
        </w:rPr>
      </w:pPr>
      <w:r>
        <w:rPr>
          <w:rFonts w:ascii="宋体" w:hAnsi="宋体"/>
          <w:color w:val="000000" w:themeColor="text1"/>
          <w:szCs w:val="21"/>
        </w:rPr>
        <w:tab/>
      </w:r>
      <w:r>
        <w:rPr>
          <w:rFonts w:ascii="宋体" w:hAnsi="宋体" w:hint="eastAsia"/>
          <w:color w:val="000000" w:themeColor="text1"/>
          <w:szCs w:val="21"/>
        </w:rPr>
        <w:t>金融市场利率的波动会导致证券市场价格和收益率的变动。利率直接影响着股票和债券的价格和收益率，影响着企业的融资成本和利润。基金投资于债券和股票，其收益水平会受到利率变化的影响。</w:t>
      </w:r>
    </w:p>
    <w:p w14:paraId="4DFCDD41" w14:textId="77777777" w:rsidR="00175DB4" w:rsidRDefault="000519D1">
      <w:pPr>
        <w:spacing w:line="360" w:lineRule="auto"/>
        <w:ind w:firstLine="420"/>
        <w:rPr>
          <w:rFonts w:ascii="宋体" w:hAnsi="宋体"/>
          <w:color w:val="000000" w:themeColor="text1"/>
          <w:szCs w:val="21"/>
        </w:rPr>
      </w:pPr>
      <w:r>
        <w:rPr>
          <w:rFonts w:ascii="宋体" w:hAnsi="宋体"/>
          <w:color w:val="000000" w:themeColor="text1"/>
          <w:szCs w:val="21"/>
        </w:rPr>
        <w:t>4、上市公司经营风险</w:t>
      </w:r>
    </w:p>
    <w:p w14:paraId="78C0DA9B" w14:textId="77777777" w:rsidR="00175DB4" w:rsidRDefault="000519D1">
      <w:pPr>
        <w:spacing w:line="360" w:lineRule="auto"/>
        <w:rPr>
          <w:rFonts w:ascii="宋体" w:hAnsi="宋体"/>
          <w:color w:val="000000" w:themeColor="text1"/>
          <w:szCs w:val="21"/>
        </w:rPr>
      </w:pPr>
      <w:r>
        <w:rPr>
          <w:rFonts w:ascii="宋体" w:hAnsi="宋体"/>
          <w:color w:val="000000" w:themeColor="text1"/>
          <w:szCs w:val="21"/>
        </w:rPr>
        <w:lastRenderedPageBreak/>
        <w:tab/>
      </w:r>
      <w:r>
        <w:rPr>
          <w:rFonts w:ascii="宋体" w:hAnsi="宋体" w:hint="eastAsia"/>
          <w:color w:val="000000" w:themeColor="text1"/>
          <w:szCs w:val="21"/>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198F5DE7" w14:textId="77777777" w:rsidR="00175DB4" w:rsidRDefault="000519D1">
      <w:pPr>
        <w:spacing w:line="360" w:lineRule="auto"/>
        <w:ind w:firstLine="420"/>
        <w:rPr>
          <w:rFonts w:ascii="宋体" w:hAnsi="宋体"/>
          <w:color w:val="000000" w:themeColor="text1"/>
          <w:szCs w:val="21"/>
        </w:rPr>
      </w:pPr>
      <w:r>
        <w:rPr>
          <w:rFonts w:ascii="宋体" w:hAnsi="宋体"/>
          <w:color w:val="000000" w:themeColor="text1"/>
          <w:szCs w:val="21"/>
        </w:rPr>
        <w:t>5、购买力风险</w:t>
      </w:r>
    </w:p>
    <w:p w14:paraId="4FA7CE0D" w14:textId="0DF730BE" w:rsidR="00175DB4" w:rsidRDefault="000519D1" w:rsidP="008647F5">
      <w:pPr>
        <w:tabs>
          <w:tab w:val="left" w:pos="540"/>
        </w:tabs>
        <w:snapToGrid w:val="0"/>
        <w:spacing w:line="360" w:lineRule="auto"/>
        <w:ind w:firstLineChars="200" w:firstLine="420"/>
        <w:rPr>
          <w:color w:val="000000"/>
          <w:szCs w:val="21"/>
        </w:rPr>
      </w:pPr>
      <w:r>
        <w:rPr>
          <w:rFonts w:ascii="宋体" w:hAnsi="宋体"/>
          <w:color w:val="000000" w:themeColor="text1"/>
          <w:szCs w:val="21"/>
        </w:rPr>
        <w:tab/>
      </w:r>
      <w:r>
        <w:rPr>
          <w:rFonts w:ascii="宋体" w:hAnsi="宋体" w:hint="eastAsia"/>
          <w:color w:val="000000" w:themeColor="text1"/>
          <w:szCs w:val="21"/>
        </w:rPr>
        <w:t>基金的利润将主要通过现金形式来分配，而现金可能因为通货膨胀的影响而导致购买力下降，从而使基金的实际收益下降。</w:t>
      </w:r>
    </w:p>
    <w:p w14:paraId="73989A9E" w14:textId="767A7A7C" w:rsidR="00175DB4" w:rsidRDefault="000519D1">
      <w:pPr>
        <w:tabs>
          <w:tab w:val="left" w:pos="540"/>
        </w:tabs>
        <w:snapToGrid w:val="0"/>
        <w:spacing w:line="360" w:lineRule="auto"/>
        <w:rPr>
          <w:color w:val="000000"/>
          <w:szCs w:val="21"/>
        </w:rPr>
      </w:pPr>
      <w:r>
        <w:rPr>
          <w:rFonts w:hint="eastAsia"/>
          <w:color w:val="000000"/>
          <w:szCs w:val="21"/>
        </w:rPr>
        <w:tab/>
      </w:r>
      <w:r>
        <w:rPr>
          <w:rFonts w:hint="eastAsia"/>
          <w:color w:val="000000"/>
          <w:szCs w:val="21"/>
        </w:rPr>
        <w:t>（</w:t>
      </w:r>
      <w:r w:rsidR="001117EE">
        <w:rPr>
          <w:rFonts w:hint="eastAsia"/>
          <w:color w:val="000000"/>
          <w:szCs w:val="21"/>
        </w:rPr>
        <w:t>三</w:t>
      </w:r>
      <w:r>
        <w:rPr>
          <w:rFonts w:hint="eastAsia"/>
          <w:color w:val="000000"/>
          <w:szCs w:val="21"/>
        </w:rPr>
        <w:t>）流动性风险</w:t>
      </w:r>
    </w:p>
    <w:p w14:paraId="40708DB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1</w:t>
      </w:r>
      <w:r>
        <w:rPr>
          <w:rFonts w:hint="eastAsia"/>
          <w:color w:val="000000"/>
          <w:szCs w:val="21"/>
        </w:rPr>
        <w:t>、基金申购、赎回安排</w:t>
      </w:r>
    </w:p>
    <w:p w14:paraId="38F8A78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投资者申购、赎回申请在受理当日进行确认。由于股票市场波动性较大，在市场下跌时经常出现交易量急剧减少的情况，如果在这时出现较大数额的基金赎回申请，使得基金投资组合内不具备足额的符合要求的赎回对价，基金面临流动性风险。</w:t>
      </w:r>
    </w:p>
    <w:p w14:paraId="363FB2EC"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2</w:t>
      </w:r>
      <w:r>
        <w:rPr>
          <w:rFonts w:hint="eastAsia"/>
          <w:color w:val="000000"/>
          <w:szCs w:val="21"/>
        </w:rPr>
        <w:t>、拟投资市场、行业及资产的流动性风险评估</w:t>
      </w:r>
    </w:p>
    <w:p w14:paraId="44BFC926" w14:textId="6E7ECB65"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本基金属于跟踪标的指数的交易型开放式指数证券投资基金，主要投资于中国</w:t>
      </w:r>
      <w:r>
        <w:rPr>
          <w:rFonts w:hint="eastAsia"/>
          <w:color w:val="000000"/>
          <w:szCs w:val="21"/>
        </w:rPr>
        <w:t>A</w:t>
      </w:r>
      <w:r>
        <w:rPr>
          <w:rFonts w:hint="eastAsia"/>
          <w:color w:val="000000"/>
          <w:szCs w:val="21"/>
        </w:rPr>
        <w:t>股市场（包含上海证券交易所</w:t>
      </w:r>
      <w:r w:rsidR="009B6065">
        <w:rPr>
          <w:rFonts w:hint="eastAsia"/>
          <w:color w:val="000000"/>
          <w:szCs w:val="21"/>
        </w:rPr>
        <w:t>、</w:t>
      </w:r>
      <w:r>
        <w:rPr>
          <w:rFonts w:hint="eastAsia"/>
          <w:color w:val="000000"/>
          <w:szCs w:val="21"/>
        </w:rPr>
        <w:t>深圳证券交易所</w:t>
      </w:r>
      <w:r w:rsidR="009B6065">
        <w:rPr>
          <w:rFonts w:hint="eastAsia"/>
          <w:color w:val="000000"/>
          <w:szCs w:val="21"/>
        </w:rPr>
        <w:t>和北京</w:t>
      </w:r>
      <w:r w:rsidR="00D92167">
        <w:rPr>
          <w:rFonts w:hint="eastAsia"/>
          <w:color w:val="000000"/>
          <w:szCs w:val="21"/>
        </w:rPr>
        <w:t>证券</w:t>
      </w:r>
      <w:r w:rsidR="009B6065">
        <w:rPr>
          <w:rFonts w:hint="eastAsia"/>
          <w:color w:val="000000"/>
          <w:szCs w:val="21"/>
        </w:rPr>
        <w:t>交易所</w:t>
      </w:r>
      <w:r>
        <w:rPr>
          <w:rFonts w:hint="eastAsia"/>
          <w:color w:val="000000"/>
          <w:szCs w:val="21"/>
        </w:rPr>
        <w:t>上市股票），基金投资于标的指数成份股及备选成份股的资产不低于基金资产净值的</w:t>
      </w:r>
      <w:r>
        <w:rPr>
          <w:rFonts w:hint="eastAsia"/>
          <w:color w:val="000000"/>
          <w:szCs w:val="21"/>
        </w:rPr>
        <w:t>90%</w:t>
      </w:r>
      <w:r>
        <w:rPr>
          <w:rFonts w:hint="eastAsia"/>
          <w:color w:val="000000"/>
          <w:szCs w:val="21"/>
        </w:rPr>
        <w:t>，且不低于非现金基金资产的</w:t>
      </w:r>
      <w:r>
        <w:rPr>
          <w:rFonts w:hint="eastAsia"/>
          <w:color w:val="000000"/>
          <w:szCs w:val="21"/>
        </w:rPr>
        <w:t>80</w:t>
      </w:r>
      <w:r>
        <w:rPr>
          <w:rFonts w:hint="eastAsia"/>
          <w:color w:val="000000"/>
          <w:szCs w:val="21"/>
        </w:rPr>
        <w:t>％，因法律法规的规定而受限制的情形除外。本基金的投资标的指数为国证</w:t>
      </w:r>
      <w:r w:rsidR="009B6065">
        <w:rPr>
          <w:rFonts w:hint="eastAsia"/>
          <w:color w:val="000000"/>
          <w:szCs w:val="21"/>
        </w:rPr>
        <w:t>2</w:t>
      </w:r>
      <w:r w:rsidR="009B6065">
        <w:rPr>
          <w:color w:val="000000"/>
          <w:szCs w:val="21"/>
        </w:rPr>
        <w:t>000</w:t>
      </w:r>
      <w:r>
        <w:rPr>
          <w:rFonts w:hint="eastAsia"/>
          <w:color w:val="000000"/>
          <w:szCs w:val="21"/>
        </w:rPr>
        <w:t>指数，</w:t>
      </w:r>
      <w:r w:rsidR="009B6065" w:rsidRPr="009B6065">
        <w:rPr>
          <w:rFonts w:hint="eastAsia"/>
          <w:color w:val="000000"/>
          <w:szCs w:val="21"/>
        </w:rPr>
        <w:t>由扣除总市值排名前</w:t>
      </w:r>
      <w:r w:rsidR="009B6065" w:rsidRPr="009B6065">
        <w:rPr>
          <w:rFonts w:hint="eastAsia"/>
          <w:color w:val="000000"/>
          <w:szCs w:val="21"/>
        </w:rPr>
        <w:t>1000</w:t>
      </w:r>
      <w:r w:rsidR="009B6065" w:rsidRPr="009B6065">
        <w:rPr>
          <w:rFonts w:hint="eastAsia"/>
          <w:color w:val="000000"/>
          <w:szCs w:val="21"/>
        </w:rPr>
        <w:t>只证券后市值大、流动性好的</w:t>
      </w:r>
      <w:r w:rsidR="009B6065" w:rsidRPr="009B6065">
        <w:rPr>
          <w:rFonts w:hint="eastAsia"/>
          <w:color w:val="000000"/>
          <w:szCs w:val="21"/>
        </w:rPr>
        <w:t>2000</w:t>
      </w:r>
      <w:r w:rsidR="009B6065" w:rsidRPr="009B6065">
        <w:rPr>
          <w:rFonts w:hint="eastAsia"/>
          <w:color w:val="000000"/>
          <w:szCs w:val="21"/>
        </w:rPr>
        <w:t>只沪深北交易所的证券组成，反映沪深北交易所小型证券的价格变动趋势</w:t>
      </w:r>
      <w:r>
        <w:rPr>
          <w:rFonts w:hint="eastAsia"/>
          <w:color w:val="000000"/>
          <w:szCs w:val="21"/>
        </w:rPr>
        <w:t>。在正常市场环境下本基金的流动性风险较低。但在特殊情况下，本基金仍可能出现流动性不足的情况，基金管理人将根据不同的情况采取相应的流动性风险管理措施，防范风险。</w:t>
      </w:r>
    </w:p>
    <w:p w14:paraId="0C94803D"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rFonts w:hint="eastAsia"/>
          <w:color w:val="000000"/>
          <w:szCs w:val="21"/>
        </w:rPr>
        <w:t>、流动性风险管理工具的实施及对投资者的潜在影响</w:t>
      </w:r>
    </w:p>
    <w:p w14:paraId="3322595F" w14:textId="5F15A590" w:rsidR="00175DB4" w:rsidRDefault="000519D1" w:rsidP="008647F5">
      <w:pPr>
        <w:spacing w:line="360" w:lineRule="auto"/>
        <w:ind w:firstLine="420"/>
        <w:rPr>
          <w:color w:val="000000"/>
          <w:szCs w:val="21"/>
        </w:rPr>
      </w:pPr>
      <w:r>
        <w:rPr>
          <w:rFonts w:hint="eastAsia"/>
          <w:color w:val="000000"/>
          <w:szCs w:val="21"/>
        </w:rPr>
        <w:t>基金管理人已建立赎回应对机制，对基金赎回情况进行严格的事前监测、</w:t>
      </w:r>
      <w:proofErr w:type="gramStart"/>
      <w:r>
        <w:rPr>
          <w:rFonts w:hint="eastAsia"/>
          <w:color w:val="000000"/>
          <w:szCs w:val="21"/>
        </w:rPr>
        <w:t>事中管控</w:t>
      </w:r>
      <w:proofErr w:type="gramEnd"/>
      <w:r>
        <w:rPr>
          <w:rFonts w:hint="eastAsia"/>
          <w:color w:val="000000"/>
          <w:szCs w:val="21"/>
        </w:rPr>
        <w:t>和事后评估。基金管理人将根据基金运作情况、市场变化以及投资者需求等因素进行流动性评估，采取备用的流动性风险管理应对措施，包括但不限于：（一）设置当日赎回份额上限；（二）对当日的赎回总规模进行控制；（三）拒绝或暂停赎回；（四）延缓支付赎回对价；（五）暂停基金估值；（六）中国证监会认定的其他措施。当基金管理人启用备用的流动性风险管理应对措施时，基金份额持有人将面临以下风险：无法办理申购业务；无法及时赎回所持有的全部基金份额或无法及时收到赎回对价；无法获得基金净值数据等。</w:t>
      </w:r>
    </w:p>
    <w:p w14:paraId="47CB5A6B" w14:textId="114DC845" w:rsidR="00175DB4" w:rsidRDefault="000519D1">
      <w:pPr>
        <w:spacing w:line="360" w:lineRule="auto"/>
        <w:ind w:firstLine="420"/>
        <w:rPr>
          <w:rFonts w:ascii="宋体" w:hAnsi="宋体"/>
          <w:color w:val="000000" w:themeColor="text1"/>
          <w:szCs w:val="21"/>
        </w:rPr>
      </w:pPr>
      <w:r>
        <w:rPr>
          <w:rFonts w:ascii="宋体" w:hAnsi="宋体" w:hint="eastAsia"/>
          <w:color w:val="000000" w:themeColor="text1"/>
          <w:szCs w:val="21"/>
        </w:rPr>
        <w:t>（</w:t>
      </w:r>
      <w:r w:rsidR="001117EE">
        <w:rPr>
          <w:rFonts w:ascii="宋体" w:hAnsi="宋体" w:hint="eastAsia"/>
          <w:color w:val="000000" w:themeColor="text1"/>
          <w:szCs w:val="21"/>
        </w:rPr>
        <w:t>四</w:t>
      </w:r>
      <w:r>
        <w:rPr>
          <w:rFonts w:ascii="宋体" w:hAnsi="宋体" w:hint="eastAsia"/>
          <w:color w:val="000000" w:themeColor="text1"/>
          <w:szCs w:val="21"/>
        </w:rPr>
        <w:t>）管理风险</w:t>
      </w:r>
    </w:p>
    <w:p w14:paraId="62C9CD3F" w14:textId="5C7D7C86" w:rsidR="00175DB4" w:rsidRDefault="000519D1">
      <w:pPr>
        <w:spacing w:line="360" w:lineRule="auto"/>
        <w:rPr>
          <w:rFonts w:ascii="宋体" w:hAnsi="宋体"/>
          <w:color w:val="000000" w:themeColor="text1"/>
          <w:szCs w:val="21"/>
        </w:rPr>
      </w:pPr>
      <w:r>
        <w:rPr>
          <w:rFonts w:ascii="宋体" w:hAnsi="宋体"/>
          <w:color w:val="000000" w:themeColor="text1"/>
          <w:szCs w:val="21"/>
        </w:rPr>
        <w:tab/>
      </w:r>
      <w:r>
        <w:rPr>
          <w:rFonts w:ascii="宋体" w:hAnsi="宋体" w:hint="eastAsia"/>
          <w:color w:val="000000" w:themeColor="text1"/>
          <w:szCs w:val="21"/>
        </w:rPr>
        <w:t>在基金管理运作过程中基金管理人的知识、经验、判断、决策、技能等，会影响其对信息的占有和对经济形势、证券价格走势的判断，从而影响基金收益水平。因此，本基金</w:t>
      </w:r>
      <w:r>
        <w:rPr>
          <w:rFonts w:ascii="宋体" w:hAnsi="宋体" w:hint="eastAsia"/>
          <w:color w:val="000000" w:themeColor="text1"/>
          <w:szCs w:val="21"/>
        </w:rPr>
        <w:lastRenderedPageBreak/>
        <w:t>的收益水平与基金管理人的管理水平、管理手段和管理技术等相关性较大。因此本基金可能因为基金管理人的因素而影响基金收益水平。</w:t>
      </w:r>
    </w:p>
    <w:p w14:paraId="72D3D688" w14:textId="7008CC2A" w:rsidR="00175DB4" w:rsidRDefault="000519D1">
      <w:pPr>
        <w:spacing w:line="360" w:lineRule="auto"/>
        <w:ind w:firstLine="420"/>
        <w:rPr>
          <w:rFonts w:ascii="宋体" w:hAnsi="宋体"/>
          <w:color w:val="000000" w:themeColor="text1"/>
          <w:szCs w:val="21"/>
        </w:rPr>
      </w:pPr>
      <w:r>
        <w:rPr>
          <w:rFonts w:ascii="宋体" w:hAnsi="宋体" w:hint="eastAsia"/>
          <w:color w:val="000000" w:themeColor="text1"/>
          <w:szCs w:val="21"/>
        </w:rPr>
        <w:t>（</w:t>
      </w:r>
      <w:r w:rsidR="001117EE">
        <w:rPr>
          <w:rFonts w:ascii="宋体" w:hAnsi="宋体" w:hint="eastAsia"/>
          <w:color w:val="000000" w:themeColor="text1"/>
          <w:szCs w:val="21"/>
        </w:rPr>
        <w:t>五</w:t>
      </w:r>
      <w:r>
        <w:rPr>
          <w:rFonts w:ascii="宋体" w:hAnsi="宋体" w:hint="eastAsia"/>
          <w:color w:val="000000" w:themeColor="text1"/>
          <w:szCs w:val="21"/>
        </w:rPr>
        <w:t>）信用风险</w:t>
      </w:r>
    </w:p>
    <w:p w14:paraId="1E695E8C" w14:textId="551EFA25" w:rsidR="00175DB4" w:rsidRDefault="000519D1" w:rsidP="00255AAF">
      <w:pPr>
        <w:spacing w:line="360" w:lineRule="auto"/>
        <w:ind w:firstLine="420"/>
        <w:rPr>
          <w:rFonts w:ascii="宋体" w:hAnsi="宋体"/>
          <w:color w:val="000000" w:themeColor="text1"/>
          <w:szCs w:val="21"/>
        </w:rPr>
      </w:pPr>
      <w:r>
        <w:rPr>
          <w:rFonts w:ascii="宋体" w:hAnsi="宋体" w:hint="eastAsia"/>
          <w:color w:val="000000" w:themeColor="text1"/>
          <w:szCs w:val="21"/>
        </w:rPr>
        <w:t>基金在交易过程中可能发生交收违约或者所投资债券的发行人违约、拒绝支付到期本息等情况，从而导致基金资产损失。</w:t>
      </w:r>
    </w:p>
    <w:p w14:paraId="4B5CE0FF" w14:textId="1C8D63F1" w:rsidR="00175DB4" w:rsidRDefault="000519D1">
      <w:pPr>
        <w:spacing w:line="360" w:lineRule="auto"/>
        <w:ind w:firstLine="420"/>
        <w:rPr>
          <w:rFonts w:ascii="宋体" w:hAnsi="宋体"/>
          <w:color w:val="000000" w:themeColor="text1"/>
          <w:szCs w:val="21"/>
        </w:rPr>
      </w:pPr>
      <w:r>
        <w:rPr>
          <w:rFonts w:ascii="宋体" w:hAnsi="宋体" w:hint="eastAsia"/>
          <w:color w:val="000000" w:themeColor="text1"/>
          <w:szCs w:val="21"/>
        </w:rPr>
        <w:t>（</w:t>
      </w:r>
      <w:r w:rsidR="001117EE">
        <w:rPr>
          <w:rFonts w:ascii="宋体" w:hAnsi="宋体" w:hint="eastAsia"/>
          <w:color w:val="000000" w:themeColor="text1"/>
          <w:szCs w:val="21"/>
        </w:rPr>
        <w:t>六</w:t>
      </w:r>
      <w:r>
        <w:rPr>
          <w:rFonts w:ascii="宋体" w:hAnsi="宋体" w:hint="eastAsia"/>
          <w:color w:val="000000" w:themeColor="text1"/>
          <w:szCs w:val="21"/>
        </w:rPr>
        <w:t>）操作风险</w:t>
      </w:r>
    </w:p>
    <w:p w14:paraId="7120A9EB" w14:textId="206F32A3" w:rsidR="00175DB4" w:rsidRDefault="000519D1" w:rsidP="008647F5">
      <w:pPr>
        <w:spacing w:line="360" w:lineRule="auto"/>
        <w:ind w:firstLine="420"/>
        <w:rPr>
          <w:rFonts w:ascii="宋体" w:hAnsi="宋体"/>
          <w:color w:val="000000" w:themeColor="text1"/>
          <w:szCs w:val="21"/>
        </w:rPr>
      </w:pPr>
      <w:r>
        <w:rPr>
          <w:rFonts w:ascii="宋体" w:hAnsi="宋体" w:hint="eastAsia"/>
          <w:color w:val="000000" w:themeColor="text1"/>
          <w:szCs w:val="21"/>
        </w:rPr>
        <w:t>基金的相关当事人在各业务环节的操作过程中，可能因内部控制不到位或者人为因素造成操作失误或违反操作规程而引致风险，如越权交易、内幕交易、交易错误和欺诈等。</w:t>
      </w:r>
    </w:p>
    <w:p w14:paraId="0D23838D" w14:textId="773FD19D" w:rsidR="00175DB4" w:rsidRDefault="000519D1">
      <w:pPr>
        <w:tabs>
          <w:tab w:val="left" w:pos="540"/>
        </w:tabs>
        <w:snapToGrid w:val="0"/>
        <w:spacing w:line="360" w:lineRule="auto"/>
        <w:ind w:firstLineChars="200" w:firstLine="420"/>
        <w:rPr>
          <w:color w:val="000000"/>
          <w:szCs w:val="21"/>
        </w:rPr>
      </w:pPr>
      <w:r>
        <w:rPr>
          <w:rFonts w:ascii="宋体" w:hAnsi="宋体" w:hint="eastAsia"/>
          <w:color w:val="000000" w:themeColor="text1"/>
          <w:szCs w:val="21"/>
        </w:rPr>
        <w:t>（</w:t>
      </w:r>
      <w:r w:rsidR="001117EE">
        <w:rPr>
          <w:rFonts w:ascii="宋体" w:hAnsi="宋体" w:hint="eastAsia"/>
          <w:color w:val="000000" w:themeColor="text1"/>
          <w:szCs w:val="21"/>
        </w:rPr>
        <w:t>七</w:t>
      </w:r>
      <w:r>
        <w:rPr>
          <w:rFonts w:ascii="宋体" w:hAnsi="宋体" w:hint="eastAsia"/>
          <w:color w:val="000000" w:themeColor="text1"/>
          <w:szCs w:val="21"/>
        </w:rPr>
        <w:t>）</w:t>
      </w:r>
      <w:r>
        <w:rPr>
          <w:rFonts w:hint="eastAsia"/>
          <w:color w:val="000000"/>
          <w:szCs w:val="21"/>
        </w:rPr>
        <w:t>技术风险</w:t>
      </w:r>
      <w:r>
        <w:rPr>
          <w:color w:val="000000"/>
          <w:szCs w:val="21"/>
        </w:rPr>
        <w:t xml:space="preserve"> </w:t>
      </w:r>
    </w:p>
    <w:p w14:paraId="4234BBAE" w14:textId="1103B787" w:rsidR="00175DB4" w:rsidRDefault="000519D1" w:rsidP="008647F5">
      <w:pPr>
        <w:spacing w:line="360" w:lineRule="auto"/>
        <w:ind w:firstLine="420"/>
        <w:rPr>
          <w:rFonts w:ascii="宋体" w:hAnsi="宋体"/>
          <w:color w:val="000000" w:themeColor="text1"/>
          <w:szCs w:val="21"/>
        </w:rPr>
      </w:pPr>
      <w:r>
        <w:rPr>
          <w:rFonts w:hint="eastAsia"/>
          <w:color w:val="000000"/>
          <w:szCs w:val="21"/>
        </w:rPr>
        <w:t>在基金的投资、交易、服务与后台运作等业务过程中，可能因为技术系统的故障或差错导致投资者的利益受到影响。这种技术风险可能来自基金管理人、基金托管人、证券交易所、登记机构</w:t>
      </w:r>
      <w:r w:rsidR="0012682A">
        <w:rPr>
          <w:rFonts w:hint="eastAsia"/>
          <w:color w:val="000000"/>
          <w:szCs w:val="21"/>
        </w:rPr>
        <w:t>、销售</w:t>
      </w:r>
      <w:r>
        <w:rPr>
          <w:rFonts w:hint="eastAsia"/>
          <w:color w:val="000000"/>
          <w:szCs w:val="21"/>
        </w:rPr>
        <w:t>机构</w:t>
      </w:r>
      <w:r w:rsidR="0012682A" w:rsidRPr="0012682A">
        <w:rPr>
          <w:rFonts w:hint="eastAsia"/>
          <w:color w:val="000000"/>
          <w:szCs w:val="21"/>
        </w:rPr>
        <w:t>和证券登记结算机构</w:t>
      </w:r>
      <w:r>
        <w:rPr>
          <w:rFonts w:hint="eastAsia"/>
          <w:color w:val="000000"/>
          <w:szCs w:val="21"/>
        </w:rPr>
        <w:t>等。</w:t>
      </w:r>
    </w:p>
    <w:p w14:paraId="7C10E8A2" w14:textId="56A4756E" w:rsidR="00175DB4" w:rsidRDefault="000519D1">
      <w:pPr>
        <w:spacing w:line="360" w:lineRule="auto"/>
        <w:ind w:firstLine="420"/>
        <w:rPr>
          <w:rFonts w:ascii="宋体" w:hAnsi="宋体"/>
          <w:color w:val="000000" w:themeColor="text1"/>
          <w:szCs w:val="21"/>
        </w:rPr>
      </w:pPr>
      <w:r>
        <w:rPr>
          <w:rFonts w:ascii="宋体" w:hAnsi="宋体" w:hint="eastAsia"/>
          <w:color w:val="000000" w:themeColor="text1"/>
          <w:szCs w:val="21"/>
        </w:rPr>
        <w:t>（</w:t>
      </w:r>
      <w:r w:rsidR="001117EE">
        <w:rPr>
          <w:rFonts w:ascii="宋体" w:hAnsi="宋体" w:hint="eastAsia"/>
          <w:color w:val="000000" w:themeColor="text1"/>
          <w:szCs w:val="21"/>
        </w:rPr>
        <w:t>八</w:t>
      </w:r>
      <w:r>
        <w:rPr>
          <w:rFonts w:ascii="宋体" w:hAnsi="宋体" w:hint="eastAsia"/>
          <w:color w:val="000000" w:themeColor="text1"/>
          <w:szCs w:val="21"/>
        </w:rPr>
        <w:t>）合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性风险</w:t>
      </w:r>
    </w:p>
    <w:p w14:paraId="2FB99AAB" w14:textId="77777777" w:rsidR="00175DB4" w:rsidRDefault="000519D1">
      <w:pPr>
        <w:spacing w:line="360" w:lineRule="auto"/>
        <w:ind w:firstLine="420"/>
        <w:rPr>
          <w:color w:val="000000"/>
          <w:szCs w:val="21"/>
        </w:rPr>
      </w:pPr>
      <w:r>
        <w:rPr>
          <w:rFonts w:ascii="宋体" w:hAnsi="宋体" w:hint="eastAsia"/>
          <w:color w:val="000000" w:themeColor="text1"/>
          <w:szCs w:val="21"/>
        </w:rPr>
        <w:t>基金管理或运作过程中，违反国家法律法规或基金合同有关规定的风险。</w:t>
      </w:r>
    </w:p>
    <w:p w14:paraId="1ACFE5A1"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（九）政策变更风险</w:t>
      </w:r>
      <w:r>
        <w:rPr>
          <w:color w:val="000000"/>
          <w:szCs w:val="21"/>
        </w:rPr>
        <w:t xml:space="preserve"> </w:t>
      </w:r>
    </w:p>
    <w:p w14:paraId="34A9020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因相关法律法规或监管机构政策修改等基金管理人无法控制的因素的变化，使基金或投资者利益受到影响的风险，例如，监管机构基金估值政策的修改导致基金估值方法的调整而引起基金净值波动的风险、相关法规的修改导致基金投资范围变化基金管理人为调整投资组合而引起基金净值波动的风险等。</w:t>
      </w:r>
    </w:p>
    <w:p w14:paraId="6F7276AA" w14:textId="775E8340"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sidR="001117EE">
        <w:rPr>
          <w:rFonts w:hint="eastAsia"/>
          <w:color w:val="000000"/>
          <w:szCs w:val="21"/>
        </w:rPr>
        <w:t>十</w:t>
      </w:r>
      <w:r>
        <w:rPr>
          <w:rFonts w:hint="eastAsia"/>
          <w:color w:val="000000"/>
          <w:szCs w:val="21"/>
        </w:rPr>
        <w:t>）税负增加风险</w:t>
      </w:r>
    </w:p>
    <w:p w14:paraId="153F49A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财政部、国家税务总局财税</w:t>
      </w:r>
      <w:r>
        <w:rPr>
          <w:rFonts w:hint="eastAsia"/>
          <w:color w:val="000000"/>
          <w:szCs w:val="21"/>
        </w:rPr>
        <w:t>[2016]140</w:t>
      </w:r>
      <w:r>
        <w:rPr>
          <w:rFonts w:hint="eastAsia"/>
          <w:color w:val="000000"/>
          <w:szCs w:val="21"/>
        </w:rPr>
        <w:t>号《关于明确金融房地产开发教育辅助服务等增值税政策的通知》第四条规定：“资管产品运营过程中发生的增值税应税行为，以资管产品管理人为增值税纳税人。”鉴于基金合同中管理人的管理费中不包括产品运营过程中发生的税款，本基金运营过程中需要缴纳增值税应税的，将由基金份额持有人承担并从基金资产中支付，按照税务机关的规定以基金管理人为增值税纳税人履行纳税义务，因此可能增加基金份额持有人的投资税费成本。</w:t>
      </w:r>
    </w:p>
    <w:p w14:paraId="37F942BE" w14:textId="7FDE3438"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w:t>
      </w:r>
      <w:r w:rsidR="001117EE">
        <w:rPr>
          <w:rFonts w:hint="eastAsia"/>
          <w:color w:val="000000"/>
          <w:szCs w:val="21"/>
        </w:rPr>
        <w:t>一</w:t>
      </w:r>
      <w:r>
        <w:rPr>
          <w:rFonts w:hint="eastAsia"/>
          <w:color w:val="000000"/>
          <w:szCs w:val="21"/>
        </w:rPr>
        <w:t>）不可抗力</w:t>
      </w:r>
      <w:r>
        <w:rPr>
          <w:color w:val="000000"/>
          <w:szCs w:val="21"/>
        </w:rPr>
        <w:t xml:space="preserve"> </w:t>
      </w:r>
    </w:p>
    <w:p w14:paraId="708239E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战争、自然灾害等不可抗力可能导致基金财产有遭受损失的风险。基金管理人、基金托管人、证券交易所、登记机构和代销机构等可能因不可抗力无法正常工作，从而影响基金的各项业务按正常时限完成。</w:t>
      </w:r>
    </w:p>
    <w:p w14:paraId="4EF44CAD" w14:textId="0A863FDC"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w:t>
      </w:r>
      <w:r w:rsidR="001117EE">
        <w:rPr>
          <w:color w:val="000000"/>
          <w:szCs w:val="21"/>
        </w:rPr>
        <w:t>二</w:t>
      </w:r>
      <w:r>
        <w:rPr>
          <w:rFonts w:hint="eastAsia"/>
          <w:color w:val="000000"/>
          <w:szCs w:val="21"/>
        </w:rPr>
        <w:t>）本基金法律文件风险收益特征表述与销售机构基金风险评价可能不一致的风险</w:t>
      </w:r>
    </w:p>
    <w:p w14:paraId="4884007D" w14:textId="364D993F" w:rsidR="008647F5" w:rsidRDefault="000519D1">
      <w:pPr>
        <w:spacing w:line="360" w:lineRule="auto"/>
        <w:ind w:firstLine="420"/>
        <w:rPr>
          <w:color w:val="000000"/>
          <w:szCs w:val="21"/>
        </w:rPr>
      </w:pPr>
      <w:r>
        <w:rPr>
          <w:rFonts w:hint="eastAsia"/>
          <w:color w:val="000000"/>
          <w:szCs w:val="21"/>
        </w:rPr>
        <w:lastRenderedPageBreak/>
        <w:t>本基金法律文件投资章节有关风险收益特征的表述是基于投资范围、投资比例、证券市场普遍规律等做出的概述性描述，代表了一般市场情况下本基金的长期风险收益特征。销售机构</w:t>
      </w:r>
      <w:r>
        <w:rPr>
          <w:rFonts w:hint="eastAsia"/>
          <w:color w:val="000000"/>
          <w:szCs w:val="21"/>
        </w:rPr>
        <w:t>(</w:t>
      </w:r>
      <w:r>
        <w:rPr>
          <w:rFonts w:hint="eastAsia"/>
          <w:color w:val="000000"/>
          <w:szCs w:val="21"/>
        </w:rPr>
        <w:t>包括基金管理人直销机构和其他销售机构</w:t>
      </w:r>
      <w:r>
        <w:rPr>
          <w:rFonts w:hint="eastAsia"/>
          <w:color w:val="000000"/>
          <w:szCs w:val="21"/>
        </w:rPr>
        <w:t>)</w:t>
      </w:r>
      <w:r>
        <w:rPr>
          <w:rFonts w:hint="eastAsia"/>
          <w:color w:val="000000"/>
          <w:szCs w:val="21"/>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14:paraId="12652B94" w14:textId="5B5E1D5E"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（十</w:t>
      </w:r>
      <w:r>
        <w:rPr>
          <w:rFonts w:ascii="宋体" w:hAnsi="宋体" w:hint="eastAsia"/>
          <w:color w:val="000000" w:themeColor="text1"/>
          <w:szCs w:val="21"/>
        </w:rPr>
        <w:t>三</w:t>
      </w:r>
      <w:r w:rsidRPr="00C54EB0">
        <w:rPr>
          <w:rFonts w:ascii="宋体" w:hAnsi="宋体" w:hint="eastAsia"/>
          <w:color w:val="000000" w:themeColor="text1"/>
          <w:szCs w:val="21"/>
        </w:rPr>
        <w:t>）其他风险</w:t>
      </w:r>
    </w:p>
    <w:p w14:paraId="4E45936C"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1、因技术因素而产生的风险，如电脑系统出现问题产生的风险；</w:t>
      </w:r>
    </w:p>
    <w:p w14:paraId="5E357B16"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2、因基金业务快速发展但在人员配备、内控等方面不完善而产生的风险；</w:t>
      </w:r>
    </w:p>
    <w:p w14:paraId="44BFE790"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3、因人为因素而产生的风险，如内幕交易、欺诈行为等产生的风险；</w:t>
      </w:r>
    </w:p>
    <w:p w14:paraId="112360B9"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4、对主要业务人员如基金经理的依赖而可能产生的风险；</w:t>
      </w:r>
    </w:p>
    <w:p w14:paraId="154251C8"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5、因业务竞争压力可能产生的风险；</w:t>
      </w:r>
    </w:p>
    <w:p w14:paraId="2C481E74" w14:textId="77777777" w:rsidR="00C54EB0" w:rsidRP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6、战争、自然灾害等不可抗力可能导致基金财产损失并影响基金收益水平，从而带来风险；</w:t>
      </w:r>
    </w:p>
    <w:p w14:paraId="59FCD66F" w14:textId="65C515D7" w:rsidR="00C54EB0" w:rsidRDefault="00C54EB0" w:rsidP="00C54EB0">
      <w:pPr>
        <w:spacing w:line="360" w:lineRule="auto"/>
        <w:ind w:firstLine="420"/>
        <w:rPr>
          <w:rFonts w:ascii="宋体" w:hAnsi="宋体"/>
          <w:color w:val="000000" w:themeColor="text1"/>
          <w:szCs w:val="21"/>
        </w:rPr>
      </w:pPr>
      <w:r w:rsidRPr="00C54EB0">
        <w:rPr>
          <w:rFonts w:ascii="宋体" w:hAnsi="宋体" w:hint="eastAsia"/>
          <w:color w:val="000000" w:themeColor="text1"/>
          <w:szCs w:val="21"/>
        </w:rPr>
        <w:t>7、其他意外导致的风险。</w:t>
      </w:r>
    </w:p>
    <w:p w14:paraId="0B138BA9" w14:textId="77777777" w:rsidR="00175DB4" w:rsidRDefault="00175DB4" w:rsidP="00255AAF">
      <w:pPr>
        <w:spacing w:line="360" w:lineRule="auto"/>
        <w:ind w:firstLine="420"/>
        <w:rPr>
          <w:color w:val="000000"/>
          <w:szCs w:val="21"/>
        </w:rPr>
      </w:pPr>
    </w:p>
    <w:p w14:paraId="07E19A7B"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声明</w:t>
      </w:r>
    </w:p>
    <w:p w14:paraId="74F00A1E"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rFonts w:hint="eastAsia"/>
          <w:color w:val="000000"/>
          <w:szCs w:val="21"/>
        </w:rPr>
        <w:t>、本基金未经任何一级政府、机构及部门担保。投资者自愿投资于本基金，须自行承担投资风险。</w:t>
      </w:r>
    </w:p>
    <w:p w14:paraId="37C10BE6"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rFonts w:hint="eastAsia"/>
          <w:color w:val="000000"/>
          <w:szCs w:val="21"/>
        </w:rPr>
        <w:t>、除基金管理人直接办理本基金的销售外，本基金还通过代销机构销售，但是，本基金并不是代销机构的存款或负债，也没有经代销机构担保或者背书，代销机构并不能保证其收益或本金安全。</w:t>
      </w:r>
    </w:p>
    <w:p w14:paraId="03F238B8" w14:textId="77777777" w:rsidR="00175DB4" w:rsidRDefault="00175DB4">
      <w:pPr>
        <w:tabs>
          <w:tab w:val="left" w:pos="540"/>
        </w:tabs>
        <w:snapToGrid w:val="0"/>
        <w:spacing w:line="360" w:lineRule="auto"/>
        <w:ind w:firstLineChars="200" w:firstLine="420"/>
        <w:rPr>
          <w:color w:val="000000"/>
          <w:szCs w:val="21"/>
        </w:rPr>
        <w:sectPr w:rsidR="00175DB4" w:rsidSect="0084159B">
          <w:pgSz w:w="11906" w:h="16838"/>
          <w:pgMar w:top="1440" w:right="1797" w:bottom="1440" w:left="1979" w:header="851" w:footer="992" w:gutter="0"/>
          <w:cols w:space="720"/>
          <w:titlePg/>
          <w:docGrid w:type="lines" w:linePitch="312"/>
        </w:sectPr>
      </w:pPr>
    </w:p>
    <w:p w14:paraId="7E76AD3A" w14:textId="77777777" w:rsidR="00175DB4" w:rsidRDefault="000519D1">
      <w:pPr>
        <w:pStyle w:val="1"/>
        <w:spacing w:line="360" w:lineRule="exact"/>
      </w:pPr>
      <w:bookmarkStart w:id="68" w:name="_Toc86589182"/>
      <w:bookmarkStart w:id="69" w:name="_Toc92531665"/>
      <w:bookmarkStart w:id="70" w:name="_Toc135741021"/>
      <w:r>
        <w:rPr>
          <w:rFonts w:eastAsia="宋体" w:hint="eastAsia"/>
          <w:color w:val="000000"/>
          <w:sz w:val="30"/>
          <w:szCs w:val="30"/>
        </w:rPr>
        <w:lastRenderedPageBreak/>
        <w:t>十九、基金合同的变更、终止与清算</w:t>
      </w:r>
      <w:bookmarkEnd w:id="68"/>
      <w:bookmarkEnd w:id="69"/>
      <w:bookmarkEnd w:id="70"/>
    </w:p>
    <w:p w14:paraId="29E087BA" w14:textId="77777777" w:rsidR="00175DB4" w:rsidRDefault="000519D1">
      <w:pPr>
        <w:tabs>
          <w:tab w:val="left" w:pos="540"/>
        </w:tabs>
        <w:snapToGrid w:val="0"/>
        <w:spacing w:line="360" w:lineRule="auto"/>
        <w:ind w:firstLineChars="200" w:firstLine="420"/>
        <w:rPr>
          <w:color w:val="000000"/>
          <w:szCs w:val="21"/>
        </w:rPr>
      </w:pPr>
      <w:bookmarkStart w:id="71" w:name="_Toc79392639"/>
      <w:r>
        <w:rPr>
          <w:rFonts w:hint="eastAsia"/>
          <w:color w:val="000000"/>
          <w:szCs w:val="21"/>
        </w:rPr>
        <w:t>（一）</w:t>
      </w:r>
      <w:r>
        <w:rPr>
          <w:color w:val="000000"/>
          <w:szCs w:val="21"/>
        </w:rPr>
        <w:t>《基金合同》的变更</w:t>
      </w:r>
      <w:bookmarkEnd w:id="71"/>
    </w:p>
    <w:p w14:paraId="25C3B593"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rFonts w:hint="eastAsia"/>
          <w:color w:val="000000"/>
          <w:szCs w:val="21"/>
        </w:rPr>
        <w:t>、变更基金合同涉及法律法规规定或基金合同约定应经基金份额持有人大会决议通过的事项的，应召</w:t>
      </w:r>
      <w:proofErr w:type="gramStart"/>
      <w:r>
        <w:rPr>
          <w:rFonts w:hint="eastAsia"/>
          <w:color w:val="000000"/>
          <w:szCs w:val="21"/>
        </w:rPr>
        <w:t>开基金</w:t>
      </w:r>
      <w:proofErr w:type="gramEnd"/>
      <w:r>
        <w:rPr>
          <w:rFonts w:hint="eastAsia"/>
          <w:color w:val="000000"/>
          <w:szCs w:val="21"/>
        </w:rPr>
        <w:t>份额持有人大会决议通过。对于可不经基金份额持有人大会决议通过的事项，由基金管理人和基金托管人同意后变更并公告，并报中国证监会备案。</w:t>
      </w:r>
    </w:p>
    <w:p w14:paraId="60199B6C" w14:textId="77777777" w:rsidR="00175DB4" w:rsidRDefault="000519D1">
      <w:pPr>
        <w:tabs>
          <w:tab w:val="left" w:pos="540"/>
        </w:tabs>
        <w:snapToGrid w:val="0"/>
        <w:spacing w:line="360" w:lineRule="auto"/>
        <w:ind w:firstLineChars="200" w:firstLine="420"/>
        <w:rPr>
          <w:color w:val="000000"/>
          <w:szCs w:val="21"/>
        </w:rPr>
      </w:pPr>
      <w:r>
        <w:rPr>
          <w:color w:val="000000"/>
          <w:szCs w:val="21"/>
        </w:rPr>
        <w:t xml:space="preserve"> 2</w:t>
      </w:r>
      <w:r>
        <w:rPr>
          <w:rFonts w:hint="eastAsia"/>
          <w:color w:val="000000"/>
          <w:szCs w:val="21"/>
        </w:rPr>
        <w:t>、关于《基金合同》变更的基金份额持有人大会决议表决通过之日起生效，生效后方可执行，</w:t>
      </w:r>
      <w:proofErr w:type="gramStart"/>
      <w:r>
        <w:rPr>
          <w:rFonts w:hint="eastAsia"/>
          <w:color w:val="000000"/>
          <w:szCs w:val="21"/>
        </w:rPr>
        <w:t>自决议</w:t>
      </w:r>
      <w:proofErr w:type="gramEnd"/>
      <w:r>
        <w:rPr>
          <w:rFonts w:hint="eastAsia"/>
          <w:color w:val="000000"/>
          <w:szCs w:val="21"/>
        </w:rPr>
        <w:t>生效后两日内在规定媒介公告。</w:t>
      </w:r>
    </w:p>
    <w:p w14:paraId="516C61F7"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（二）</w:t>
      </w:r>
      <w:r>
        <w:rPr>
          <w:color w:val="000000"/>
          <w:szCs w:val="21"/>
        </w:rPr>
        <w:t>《基金合同》的终止事由</w:t>
      </w:r>
    </w:p>
    <w:p w14:paraId="45F71181" w14:textId="77777777" w:rsidR="00175DB4" w:rsidRDefault="000519D1">
      <w:pPr>
        <w:tabs>
          <w:tab w:val="left" w:pos="540"/>
        </w:tabs>
        <w:snapToGrid w:val="0"/>
        <w:spacing w:line="360" w:lineRule="auto"/>
        <w:ind w:firstLineChars="200" w:firstLine="420"/>
        <w:rPr>
          <w:color w:val="000000"/>
          <w:szCs w:val="21"/>
        </w:rPr>
      </w:pPr>
      <w:r>
        <w:rPr>
          <w:color w:val="000000"/>
          <w:szCs w:val="21"/>
        </w:rPr>
        <w:t>有下列情形之一的，</w:t>
      </w:r>
      <w:r>
        <w:rPr>
          <w:rFonts w:hint="eastAsia"/>
          <w:color w:val="000000"/>
          <w:szCs w:val="21"/>
        </w:rPr>
        <w:t>经履行相关程序后，</w:t>
      </w:r>
      <w:r>
        <w:rPr>
          <w:color w:val="000000"/>
          <w:szCs w:val="21"/>
        </w:rPr>
        <w:t>《基金合同》应当终止：</w:t>
      </w:r>
    </w:p>
    <w:p w14:paraId="3267545C" w14:textId="77777777"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、基金份额持有人大会决定终止的；</w:t>
      </w:r>
    </w:p>
    <w:p w14:paraId="411C26BD"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、基金管理人、基金托管人职责终止，在</w:t>
      </w:r>
      <w:r>
        <w:rPr>
          <w:color w:val="000000"/>
          <w:szCs w:val="21"/>
        </w:rPr>
        <w:t>6</w:t>
      </w:r>
      <w:r>
        <w:rPr>
          <w:color w:val="000000"/>
          <w:szCs w:val="21"/>
        </w:rPr>
        <w:t>个月内没有新基金管理人、新基金托管人承接的；</w:t>
      </w:r>
    </w:p>
    <w:p w14:paraId="7006E7EA"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3</w:t>
      </w:r>
      <w:r>
        <w:rPr>
          <w:color w:val="000000"/>
          <w:szCs w:val="21"/>
        </w:rPr>
        <w:t>、《基金合同》约定的其他情形；</w:t>
      </w:r>
    </w:p>
    <w:p w14:paraId="53FBF23E" w14:textId="5151B9F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4</w:t>
      </w:r>
      <w:r>
        <w:rPr>
          <w:rFonts w:hint="eastAsia"/>
          <w:color w:val="000000"/>
          <w:szCs w:val="21"/>
        </w:rPr>
        <w:t>、</w:t>
      </w:r>
      <w:r w:rsidRPr="00D41605">
        <w:rPr>
          <w:rFonts w:hint="eastAsia"/>
          <w:color w:val="000000"/>
          <w:szCs w:val="21"/>
        </w:rPr>
        <w:t>出现标的指数不符合要求（因成份股价格波动等指数编制方法变动之外的因素致使标的指数不符合要求</w:t>
      </w:r>
      <w:r w:rsidR="009B6065" w:rsidRPr="009B6065">
        <w:rPr>
          <w:rFonts w:hint="eastAsia"/>
          <w:color w:val="000000"/>
          <w:szCs w:val="21"/>
        </w:rPr>
        <w:t>及法律法规、监管机构另有规定的</w:t>
      </w:r>
      <w:r w:rsidRPr="00D41605">
        <w:rPr>
          <w:rFonts w:hint="eastAsia"/>
          <w:color w:val="000000"/>
          <w:szCs w:val="21"/>
        </w:rPr>
        <w:t>除外）、指数编制机构退出等情形，基金管理人召集基金份额持有人大会对解决方案进行表决，基金份额持有人大会未成功召开或就上述事项表决未通过的；</w:t>
      </w:r>
    </w:p>
    <w:p w14:paraId="038926A5"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、相关法律法规和中国证监会规定的其他情况。</w:t>
      </w:r>
    </w:p>
    <w:p w14:paraId="3F9C2D8E"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w:t>
      </w:r>
      <w:r>
        <w:rPr>
          <w:color w:val="000000"/>
          <w:szCs w:val="21"/>
        </w:rPr>
        <w:t>基金财产的清算</w:t>
      </w:r>
    </w:p>
    <w:p w14:paraId="658C8177" w14:textId="08F35FD1" w:rsidR="00175DB4" w:rsidRDefault="000519D1">
      <w:pPr>
        <w:tabs>
          <w:tab w:val="left" w:pos="540"/>
        </w:tabs>
        <w:snapToGrid w:val="0"/>
        <w:spacing w:line="360" w:lineRule="auto"/>
        <w:ind w:firstLineChars="200" w:firstLine="420"/>
        <w:rPr>
          <w:color w:val="000000"/>
          <w:szCs w:val="21"/>
        </w:rPr>
      </w:pPr>
      <w:r>
        <w:rPr>
          <w:color w:val="000000"/>
          <w:szCs w:val="21"/>
        </w:rPr>
        <w:t>1</w:t>
      </w:r>
      <w:r>
        <w:rPr>
          <w:color w:val="000000"/>
          <w:szCs w:val="21"/>
        </w:rPr>
        <w:t>、基金财产清算小组：自出现《基金合同》终止事由之日起</w:t>
      </w:r>
      <w:r>
        <w:rPr>
          <w:color w:val="000000"/>
          <w:szCs w:val="21"/>
        </w:rPr>
        <w:t>30</w:t>
      </w:r>
      <w:r>
        <w:rPr>
          <w:color w:val="000000"/>
          <w:szCs w:val="21"/>
        </w:rPr>
        <w:t>个工作日内成立</w:t>
      </w:r>
      <w:r w:rsidR="009B6065" w:rsidRPr="009B6065">
        <w:rPr>
          <w:rFonts w:hint="eastAsia"/>
          <w:color w:val="000000"/>
          <w:szCs w:val="21"/>
        </w:rPr>
        <w:t>基金财产</w:t>
      </w:r>
      <w:r>
        <w:rPr>
          <w:color w:val="000000"/>
          <w:szCs w:val="21"/>
        </w:rPr>
        <w:t>清算小组，基金管理人组织基金财产清算小组并在中国证监会的监督下进行基金清算。</w:t>
      </w:r>
    </w:p>
    <w:p w14:paraId="5A4FAD1D" w14:textId="77777777" w:rsidR="00175DB4" w:rsidRDefault="000519D1">
      <w:pPr>
        <w:tabs>
          <w:tab w:val="left" w:pos="540"/>
        </w:tabs>
        <w:snapToGrid w:val="0"/>
        <w:spacing w:line="360" w:lineRule="auto"/>
        <w:ind w:firstLineChars="200" w:firstLine="420"/>
        <w:rPr>
          <w:color w:val="000000"/>
          <w:szCs w:val="21"/>
        </w:rPr>
      </w:pPr>
      <w:r>
        <w:rPr>
          <w:color w:val="000000"/>
          <w:szCs w:val="21"/>
        </w:rPr>
        <w:t>2</w:t>
      </w:r>
      <w:r>
        <w:rPr>
          <w:color w:val="000000"/>
          <w:szCs w:val="21"/>
        </w:rPr>
        <w:t>、基金财产清算小组组成：基金财产清算小组成员由基金管理人、基金托管人、</w:t>
      </w:r>
      <w:r>
        <w:rPr>
          <w:rFonts w:hint="eastAsia"/>
          <w:color w:val="000000"/>
          <w:szCs w:val="21"/>
        </w:rPr>
        <w:t>符合《中华人民共和国证券法》规定</w:t>
      </w:r>
      <w:r>
        <w:rPr>
          <w:color w:val="000000"/>
          <w:szCs w:val="21"/>
        </w:rPr>
        <w:t>的注册会计师、律师以及中国证监会指定的人员组成。基金财产清算小组可以聘用必要的工作人员。</w:t>
      </w:r>
    </w:p>
    <w:p w14:paraId="3DB1072E" w14:textId="77777777" w:rsidR="00175DB4" w:rsidRDefault="000519D1">
      <w:pPr>
        <w:tabs>
          <w:tab w:val="left" w:pos="540"/>
        </w:tabs>
        <w:snapToGrid w:val="0"/>
        <w:spacing w:line="360" w:lineRule="auto"/>
        <w:ind w:firstLineChars="200" w:firstLine="420"/>
        <w:rPr>
          <w:color w:val="000000"/>
          <w:szCs w:val="21"/>
        </w:rPr>
      </w:pPr>
      <w:r>
        <w:rPr>
          <w:color w:val="000000"/>
          <w:szCs w:val="21"/>
        </w:rPr>
        <w:t>3</w:t>
      </w:r>
      <w:r>
        <w:rPr>
          <w:color w:val="000000"/>
          <w:szCs w:val="21"/>
        </w:rPr>
        <w:t>、基金财产清算小组职责：基金财产清算小组负责基金财产的保管、清理、估价、变现和分配。基金财产清算小组可以依法进行必要的民事活动。</w:t>
      </w:r>
    </w:p>
    <w:p w14:paraId="4B6D3ACA" w14:textId="77777777" w:rsidR="00175DB4" w:rsidRDefault="000519D1">
      <w:pPr>
        <w:tabs>
          <w:tab w:val="left" w:pos="540"/>
        </w:tabs>
        <w:snapToGrid w:val="0"/>
        <w:spacing w:line="360" w:lineRule="auto"/>
        <w:ind w:firstLineChars="200" w:firstLine="420"/>
        <w:rPr>
          <w:color w:val="000000"/>
          <w:szCs w:val="21"/>
        </w:rPr>
      </w:pPr>
      <w:r>
        <w:rPr>
          <w:color w:val="000000"/>
          <w:szCs w:val="21"/>
        </w:rPr>
        <w:t>4</w:t>
      </w:r>
      <w:r>
        <w:rPr>
          <w:color w:val="000000"/>
          <w:szCs w:val="21"/>
        </w:rPr>
        <w:t>、基金财产清算程序：</w:t>
      </w:r>
    </w:p>
    <w:p w14:paraId="3875315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）《基金合同》终止情形出现时，由基金财产清算小组统一接管基金；</w:t>
      </w:r>
    </w:p>
    <w:p w14:paraId="02F3E920"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2</w:t>
      </w:r>
      <w:r>
        <w:rPr>
          <w:color w:val="000000"/>
          <w:szCs w:val="21"/>
        </w:rPr>
        <w:t>）对基金财产和债权债务进行清理和确认；</w:t>
      </w:r>
    </w:p>
    <w:p w14:paraId="62431B68"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3</w:t>
      </w:r>
      <w:r>
        <w:rPr>
          <w:color w:val="000000"/>
          <w:szCs w:val="21"/>
        </w:rPr>
        <w:t>）对基金财产进行估值和变现；</w:t>
      </w:r>
    </w:p>
    <w:p w14:paraId="437F5A1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4</w:t>
      </w:r>
      <w:r>
        <w:rPr>
          <w:color w:val="000000"/>
          <w:szCs w:val="21"/>
        </w:rPr>
        <w:t>）制作清算报告；</w:t>
      </w:r>
    </w:p>
    <w:p w14:paraId="07B132FA"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5</w:t>
      </w:r>
      <w:r>
        <w:rPr>
          <w:color w:val="000000"/>
          <w:szCs w:val="21"/>
        </w:rPr>
        <w:t>）聘请会计师事务所对清算报告进行外部审计，聘请律师事务所对清算报告出具</w:t>
      </w:r>
      <w:r>
        <w:rPr>
          <w:color w:val="000000"/>
          <w:szCs w:val="21"/>
        </w:rPr>
        <w:lastRenderedPageBreak/>
        <w:t>法律意见书；</w:t>
      </w:r>
    </w:p>
    <w:p w14:paraId="33FD60E3"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6</w:t>
      </w:r>
      <w:r>
        <w:rPr>
          <w:color w:val="000000"/>
          <w:szCs w:val="21"/>
        </w:rPr>
        <w:t>）将清算报告报中国证监会备案并公告；</w:t>
      </w:r>
    </w:p>
    <w:p w14:paraId="1A7AA38F" w14:textId="77777777" w:rsidR="00175DB4" w:rsidRDefault="000519D1">
      <w:pPr>
        <w:tabs>
          <w:tab w:val="left" w:pos="540"/>
        </w:tabs>
        <w:snapToGrid w:val="0"/>
        <w:spacing w:line="360" w:lineRule="auto"/>
        <w:ind w:firstLineChars="200" w:firstLine="420"/>
        <w:rPr>
          <w:color w:val="000000"/>
          <w:szCs w:val="21"/>
        </w:rPr>
      </w:pPr>
      <w:r>
        <w:rPr>
          <w:color w:val="000000"/>
          <w:szCs w:val="21"/>
        </w:rPr>
        <w:t>（</w:t>
      </w:r>
      <w:r>
        <w:rPr>
          <w:color w:val="000000"/>
          <w:szCs w:val="21"/>
        </w:rPr>
        <w:t>7</w:t>
      </w:r>
      <w:r>
        <w:rPr>
          <w:color w:val="000000"/>
          <w:szCs w:val="21"/>
        </w:rPr>
        <w:t>）对基金剩余财产进行分配。</w:t>
      </w:r>
    </w:p>
    <w:p w14:paraId="6DE1562D" w14:textId="77777777" w:rsidR="00175DB4" w:rsidRDefault="000519D1">
      <w:pPr>
        <w:tabs>
          <w:tab w:val="left" w:pos="540"/>
        </w:tabs>
        <w:snapToGrid w:val="0"/>
        <w:spacing w:line="360" w:lineRule="auto"/>
        <w:ind w:firstLineChars="200" w:firstLine="420"/>
        <w:rPr>
          <w:color w:val="000000"/>
          <w:szCs w:val="21"/>
        </w:rPr>
      </w:pPr>
      <w:r>
        <w:rPr>
          <w:color w:val="000000"/>
          <w:szCs w:val="21"/>
        </w:rPr>
        <w:t>5</w:t>
      </w:r>
      <w:r>
        <w:rPr>
          <w:color w:val="000000"/>
          <w:szCs w:val="21"/>
        </w:rPr>
        <w:t>、基金财产清算的期限为</w:t>
      </w:r>
      <w:r>
        <w:rPr>
          <w:color w:val="000000"/>
          <w:szCs w:val="21"/>
        </w:rPr>
        <w:t>6</w:t>
      </w:r>
      <w:r>
        <w:rPr>
          <w:color w:val="000000"/>
          <w:szCs w:val="21"/>
        </w:rPr>
        <w:t>个月，但因本基金所持证券的流动性受到限制而不能及时变现的，清算期限相应顺延。</w:t>
      </w:r>
    </w:p>
    <w:p w14:paraId="78B3E32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（四）</w:t>
      </w:r>
      <w:r>
        <w:rPr>
          <w:color w:val="000000"/>
          <w:szCs w:val="21"/>
        </w:rPr>
        <w:t>清算费用</w:t>
      </w:r>
    </w:p>
    <w:p w14:paraId="281E0ABD" w14:textId="4B10EFAE" w:rsidR="00175DB4" w:rsidRDefault="000519D1">
      <w:pPr>
        <w:tabs>
          <w:tab w:val="left" w:pos="540"/>
        </w:tabs>
        <w:snapToGrid w:val="0"/>
        <w:spacing w:line="360" w:lineRule="auto"/>
        <w:ind w:firstLineChars="200" w:firstLine="420"/>
        <w:rPr>
          <w:color w:val="000000"/>
          <w:szCs w:val="21"/>
        </w:rPr>
      </w:pPr>
      <w:r>
        <w:rPr>
          <w:color w:val="000000"/>
          <w:szCs w:val="21"/>
        </w:rPr>
        <w:t>清算费用是指基金财产清算小组在进行基金</w:t>
      </w:r>
      <w:r w:rsidR="009B6065" w:rsidRPr="009B6065">
        <w:rPr>
          <w:rFonts w:hint="eastAsia"/>
          <w:color w:val="000000"/>
          <w:szCs w:val="21"/>
        </w:rPr>
        <w:t>财产</w:t>
      </w:r>
      <w:r>
        <w:rPr>
          <w:color w:val="000000"/>
          <w:szCs w:val="21"/>
        </w:rPr>
        <w:t>清算过程中发生的所有合理费用，清算费用由基金财产清算小组优先从基金</w:t>
      </w:r>
      <w:r w:rsidR="009B6065" w:rsidRPr="009B6065">
        <w:rPr>
          <w:rFonts w:hint="eastAsia"/>
          <w:color w:val="000000"/>
          <w:szCs w:val="21"/>
        </w:rPr>
        <w:t>剩余</w:t>
      </w:r>
      <w:r>
        <w:rPr>
          <w:color w:val="000000"/>
          <w:szCs w:val="21"/>
        </w:rPr>
        <w:t>财产中支付。</w:t>
      </w:r>
    </w:p>
    <w:p w14:paraId="238EB7B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（五）</w:t>
      </w:r>
      <w:r>
        <w:rPr>
          <w:color w:val="000000"/>
          <w:szCs w:val="21"/>
        </w:rPr>
        <w:t>基金财产清算剩余资产的分配</w:t>
      </w:r>
    </w:p>
    <w:p w14:paraId="352AFD7D" w14:textId="77777777" w:rsidR="00175DB4" w:rsidRDefault="000519D1">
      <w:pPr>
        <w:tabs>
          <w:tab w:val="left" w:pos="540"/>
        </w:tabs>
        <w:snapToGrid w:val="0"/>
        <w:spacing w:line="360" w:lineRule="auto"/>
        <w:ind w:firstLineChars="200" w:firstLine="420"/>
        <w:rPr>
          <w:color w:val="000000"/>
          <w:szCs w:val="21"/>
        </w:rPr>
      </w:pPr>
      <w:r>
        <w:rPr>
          <w:color w:val="000000"/>
          <w:szCs w:val="21"/>
        </w:rPr>
        <w:t>依据基金财产清算的分配方案，将基金财产清算后的全部剩余资产扣除基金财产清算费用、交纳所欠税款并清偿基金债务后，按基金份额持有人持有的基金份额比例进行分配。</w:t>
      </w:r>
    </w:p>
    <w:p w14:paraId="622C0675"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（六）</w:t>
      </w:r>
      <w:r>
        <w:rPr>
          <w:color w:val="000000"/>
          <w:szCs w:val="21"/>
        </w:rPr>
        <w:t>基金财产清算的公告</w:t>
      </w:r>
    </w:p>
    <w:p w14:paraId="4E00A506" w14:textId="77777777" w:rsidR="00175DB4" w:rsidRDefault="000519D1">
      <w:pPr>
        <w:tabs>
          <w:tab w:val="left" w:pos="540"/>
        </w:tabs>
        <w:snapToGrid w:val="0"/>
        <w:spacing w:line="360" w:lineRule="auto"/>
        <w:ind w:firstLineChars="200" w:firstLine="420"/>
        <w:rPr>
          <w:color w:val="000000"/>
          <w:szCs w:val="21"/>
        </w:rPr>
      </w:pPr>
      <w:r>
        <w:rPr>
          <w:color w:val="000000"/>
          <w:szCs w:val="21"/>
        </w:rPr>
        <w:t>清算过程中的有关重大事项须及时公告；基金财产清算报告</w:t>
      </w:r>
      <w:proofErr w:type="gramStart"/>
      <w:r>
        <w:rPr>
          <w:color w:val="000000"/>
          <w:szCs w:val="21"/>
        </w:rPr>
        <w:t>经</w:t>
      </w:r>
      <w:r>
        <w:rPr>
          <w:rFonts w:hint="eastAsia"/>
          <w:color w:val="000000"/>
          <w:szCs w:val="21"/>
        </w:rPr>
        <w:t>符合</w:t>
      </w:r>
      <w:proofErr w:type="gramEnd"/>
      <w:r>
        <w:rPr>
          <w:rFonts w:hint="eastAsia"/>
          <w:color w:val="000000"/>
          <w:szCs w:val="21"/>
        </w:rPr>
        <w:t>《中华人民共和国证券法》规定的</w:t>
      </w:r>
      <w:r>
        <w:rPr>
          <w:color w:val="000000"/>
          <w:szCs w:val="21"/>
        </w:rPr>
        <w:t>会计师事务所审计并由律师事务所出具法律意见书后报中国证监会备案并公告。基金财产清算公告于基金财产清算报告报中国证监会备案后</w:t>
      </w:r>
      <w:r>
        <w:rPr>
          <w:color w:val="000000"/>
          <w:szCs w:val="21"/>
        </w:rPr>
        <w:t>5</w:t>
      </w:r>
      <w:r>
        <w:rPr>
          <w:color w:val="000000"/>
          <w:szCs w:val="21"/>
        </w:rPr>
        <w:t>个工作日内由基金财产清算小组进行公告。</w:t>
      </w:r>
      <w:r>
        <w:rPr>
          <w:rFonts w:hint="eastAsia"/>
          <w:color w:val="000000"/>
          <w:szCs w:val="21"/>
        </w:rPr>
        <w:t>基金财产清算小组应当将清算报告登载在规定网站上，并将清算报告提示性公告登载在规定报刊上。</w:t>
      </w:r>
    </w:p>
    <w:p w14:paraId="09C7ADF3"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（七）</w:t>
      </w:r>
      <w:r>
        <w:rPr>
          <w:color w:val="000000"/>
          <w:szCs w:val="21"/>
        </w:rPr>
        <w:t>基金财产清算账册及文件的保存</w:t>
      </w:r>
    </w:p>
    <w:p w14:paraId="4C6903CA" w14:textId="2C4B6806" w:rsidR="00175DB4" w:rsidRDefault="000519D1">
      <w:pPr>
        <w:tabs>
          <w:tab w:val="left" w:pos="540"/>
        </w:tabs>
        <w:snapToGrid w:val="0"/>
        <w:spacing w:line="360" w:lineRule="auto"/>
        <w:ind w:firstLineChars="200" w:firstLine="420"/>
        <w:rPr>
          <w:color w:val="000000"/>
          <w:szCs w:val="21"/>
        </w:rPr>
      </w:pPr>
      <w:r>
        <w:rPr>
          <w:color w:val="000000"/>
          <w:szCs w:val="21"/>
        </w:rPr>
        <w:t>基金财产清算账册及有关文件由基金托管人保存</w:t>
      </w:r>
      <w:r w:rsidR="009B6065" w:rsidRPr="009B6065">
        <w:rPr>
          <w:rFonts w:hint="eastAsia"/>
          <w:color w:val="000000"/>
          <w:szCs w:val="21"/>
        </w:rPr>
        <w:t>，保存期限不低于法律法规规定的最低期限</w:t>
      </w:r>
      <w:r>
        <w:rPr>
          <w:color w:val="000000"/>
          <w:szCs w:val="21"/>
        </w:rPr>
        <w:t>。</w:t>
      </w:r>
    </w:p>
    <w:p w14:paraId="73C34548" w14:textId="77777777" w:rsidR="00175DB4" w:rsidRDefault="00175DB4">
      <w:pPr>
        <w:tabs>
          <w:tab w:val="left" w:pos="540"/>
        </w:tabs>
        <w:snapToGrid w:val="0"/>
        <w:spacing w:line="360" w:lineRule="auto"/>
        <w:ind w:firstLineChars="200" w:firstLine="420"/>
        <w:rPr>
          <w:color w:val="000000"/>
          <w:szCs w:val="21"/>
        </w:rPr>
      </w:pPr>
    </w:p>
    <w:p w14:paraId="2545C063" w14:textId="77777777" w:rsidR="00175DB4" w:rsidRDefault="00175DB4">
      <w:pPr>
        <w:pStyle w:val="1"/>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72" w:name="_Toc92531666"/>
      <w:bookmarkStart w:id="73" w:name="_Toc86589183"/>
    </w:p>
    <w:p w14:paraId="7FF258B9" w14:textId="77777777" w:rsidR="00175DB4" w:rsidRDefault="000519D1">
      <w:pPr>
        <w:pStyle w:val="1"/>
        <w:spacing w:line="360" w:lineRule="exact"/>
        <w:rPr>
          <w:rFonts w:eastAsia="宋体"/>
          <w:color w:val="000000"/>
          <w:sz w:val="30"/>
          <w:szCs w:val="30"/>
        </w:rPr>
      </w:pPr>
      <w:bookmarkStart w:id="74" w:name="_Toc135741022"/>
      <w:r>
        <w:rPr>
          <w:rFonts w:eastAsia="宋体"/>
          <w:color w:val="000000"/>
          <w:sz w:val="30"/>
          <w:szCs w:val="30"/>
        </w:rPr>
        <w:lastRenderedPageBreak/>
        <w:t>二十、基金合同的内容摘要</w:t>
      </w:r>
      <w:bookmarkEnd w:id="72"/>
      <w:bookmarkEnd w:id="73"/>
      <w:bookmarkEnd w:id="74"/>
    </w:p>
    <w:p w14:paraId="0F42AB58" w14:textId="77777777" w:rsidR="00175DB4" w:rsidRDefault="000519D1">
      <w:pPr>
        <w:tabs>
          <w:tab w:val="left" w:pos="540"/>
        </w:tabs>
        <w:snapToGrid w:val="0"/>
        <w:spacing w:line="360" w:lineRule="auto"/>
        <w:ind w:firstLineChars="200" w:firstLine="420"/>
        <w:rPr>
          <w:color w:val="000000"/>
          <w:szCs w:val="21"/>
        </w:rPr>
      </w:pPr>
      <w:r>
        <w:rPr>
          <w:color w:val="000000"/>
          <w:szCs w:val="21"/>
        </w:rPr>
        <w:t>一、基金管理人、基金托管人和基金份额持有人的权利、义务</w:t>
      </w:r>
    </w:p>
    <w:p w14:paraId="0BB40572" w14:textId="77777777" w:rsidR="00175DB4" w:rsidRDefault="000519D1">
      <w:pPr>
        <w:tabs>
          <w:tab w:val="left" w:pos="540"/>
        </w:tabs>
        <w:snapToGrid w:val="0"/>
        <w:spacing w:line="360" w:lineRule="auto"/>
        <w:ind w:firstLineChars="200" w:firstLine="420"/>
        <w:rPr>
          <w:color w:val="000000"/>
          <w:szCs w:val="21"/>
        </w:rPr>
      </w:pPr>
      <w:r>
        <w:rPr>
          <w:color w:val="000000"/>
          <w:szCs w:val="21"/>
        </w:rPr>
        <w:t>（一）基金管理人</w:t>
      </w:r>
    </w:p>
    <w:p w14:paraId="14419BEA"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、根据《基金法》、《运作办法》及其他有关规定，基金管理人的权利包括但不限于：</w:t>
      </w:r>
    </w:p>
    <w:p w14:paraId="34072E0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）依法募集资金；</w:t>
      </w:r>
    </w:p>
    <w:p w14:paraId="127CDFF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）自《基金合同》生效之日起，根据法律法规和《基金合同》独立运用并管理基金财产；</w:t>
      </w:r>
    </w:p>
    <w:p w14:paraId="5BA7D28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）依照《基金合同》收取基金管理费以及法律法规规定或中国证监会批准的其他费用；</w:t>
      </w:r>
    </w:p>
    <w:p w14:paraId="504464CD"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）销售基金份额；</w:t>
      </w:r>
    </w:p>
    <w:p w14:paraId="6ADBEB8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w:t>
      </w:r>
      <w:bookmarkStart w:id="75" w:name="_Hlt88896155"/>
      <w:r>
        <w:rPr>
          <w:rFonts w:hint="eastAsia"/>
          <w:color w:val="000000"/>
          <w:szCs w:val="21"/>
        </w:rPr>
        <w:t>按照规定召集</w:t>
      </w:r>
      <w:bookmarkEnd w:id="75"/>
      <w:r>
        <w:rPr>
          <w:rFonts w:hint="eastAsia"/>
          <w:color w:val="000000"/>
          <w:szCs w:val="21"/>
        </w:rPr>
        <w:t>基金份额持有人大会；</w:t>
      </w:r>
    </w:p>
    <w:p w14:paraId="11E893A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）依据《基金合同》及有关法律规定监督基金托管人，如认为基金托管人违反了《基金合同》及国家有关法律规定，应呈报中国证监会和其他监管部门，并采取必要措施保护基金投资人的利益；</w:t>
      </w:r>
    </w:p>
    <w:p w14:paraId="2276660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）在基金托管人更换时，提名新的基金托管人；</w:t>
      </w:r>
    </w:p>
    <w:p w14:paraId="3335295B"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）选择、更换基金销售机构，对基金销售机构的相关行为进行监督和处理；</w:t>
      </w:r>
      <w:r>
        <w:rPr>
          <w:color w:val="000000"/>
          <w:szCs w:val="21"/>
        </w:rPr>
        <w:t xml:space="preserve"> </w:t>
      </w:r>
    </w:p>
    <w:p w14:paraId="198069D8"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）担任或委托其他符合条件的机构担任基金登记机构办理基金登记业务并获得《基金合同》规定的费用；</w:t>
      </w:r>
      <w:r>
        <w:rPr>
          <w:color w:val="000000"/>
          <w:szCs w:val="21"/>
        </w:rPr>
        <w:t xml:space="preserve"> </w:t>
      </w:r>
    </w:p>
    <w:p w14:paraId="6E693884"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）依据《基金合同》及有关法律规定决定基金收益的分配方案；</w:t>
      </w:r>
      <w:r>
        <w:rPr>
          <w:color w:val="000000"/>
          <w:szCs w:val="21"/>
        </w:rPr>
        <w:tab/>
      </w:r>
    </w:p>
    <w:p w14:paraId="55AA10DE"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）在《基金合同》约定的范围内，拒绝或暂停受理申购与赎回申请；</w:t>
      </w:r>
      <w:r>
        <w:rPr>
          <w:color w:val="000000"/>
          <w:szCs w:val="21"/>
        </w:rPr>
        <w:t xml:space="preserve"> </w:t>
      </w:r>
    </w:p>
    <w:p w14:paraId="78560AA8"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）依照法律法规为基金的利益对被投资公司行使股东权利，为基金的利益行使因基金财产投资于证券所产生的权利；</w:t>
      </w:r>
      <w:r>
        <w:rPr>
          <w:color w:val="000000"/>
          <w:szCs w:val="21"/>
        </w:rPr>
        <w:tab/>
      </w:r>
    </w:p>
    <w:p w14:paraId="17E3D275"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）在法律法规允许的前提下，为基金的利益依法为基金进行融资和参与转融通证券出借业务；</w:t>
      </w:r>
      <w:r>
        <w:rPr>
          <w:color w:val="000000"/>
          <w:szCs w:val="21"/>
        </w:rPr>
        <w:t xml:space="preserve"> </w:t>
      </w:r>
    </w:p>
    <w:p w14:paraId="1A0D9D0F"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）以基金管理人的名义，代表基金份额持有人的利益行使诉讼权利或者实施其他法律行为；</w:t>
      </w:r>
      <w:r>
        <w:rPr>
          <w:color w:val="000000"/>
          <w:szCs w:val="21"/>
        </w:rPr>
        <w:tab/>
      </w:r>
    </w:p>
    <w:p w14:paraId="174F1807" w14:textId="63E273C9"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）选择、更换律师事务所、会计师事务所、证券</w:t>
      </w:r>
      <w:r>
        <w:rPr>
          <w:color w:val="000000"/>
          <w:szCs w:val="21"/>
        </w:rPr>
        <w:t>/</w:t>
      </w:r>
      <w:r>
        <w:rPr>
          <w:rFonts w:hint="eastAsia"/>
          <w:color w:val="000000"/>
          <w:szCs w:val="21"/>
        </w:rPr>
        <w:t>期货经纪</w:t>
      </w:r>
      <w:r w:rsidR="009B6065" w:rsidRPr="009B6065">
        <w:rPr>
          <w:rFonts w:hint="eastAsia"/>
          <w:color w:val="000000"/>
          <w:szCs w:val="21"/>
        </w:rPr>
        <w:t>机构</w:t>
      </w:r>
      <w:r>
        <w:rPr>
          <w:rFonts w:hint="eastAsia"/>
          <w:color w:val="000000"/>
          <w:szCs w:val="21"/>
        </w:rPr>
        <w:t>或其他为基金提供服务的外部机构</w:t>
      </w:r>
      <w:r w:rsidR="009B6065" w:rsidRPr="009B6065">
        <w:rPr>
          <w:rFonts w:hint="eastAsia"/>
          <w:color w:val="000000"/>
          <w:szCs w:val="21"/>
        </w:rPr>
        <w:t>，并与选择的证券经纪机构签订相关协议，就证券经纪机构应履行的异常交易监控等职责进行约定</w:t>
      </w:r>
      <w:r>
        <w:rPr>
          <w:rFonts w:hint="eastAsia"/>
          <w:color w:val="000000"/>
          <w:szCs w:val="21"/>
        </w:rPr>
        <w:t>；</w:t>
      </w:r>
      <w:r>
        <w:rPr>
          <w:color w:val="000000"/>
          <w:szCs w:val="21"/>
        </w:rPr>
        <w:tab/>
      </w:r>
    </w:p>
    <w:p w14:paraId="50597446"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16</w:t>
      </w:r>
      <w:r>
        <w:rPr>
          <w:rFonts w:hint="eastAsia"/>
          <w:color w:val="000000"/>
          <w:szCs w:val="21"/>
        </w:rPr>
        <w:t>）在符合有关法律法规、基金合同、相关证券交易所及登记机构相关业务规则的</w:t>
      </w:r>
      <w:r>
        <w:rPr>
          <w:rFonts w:hint="eastAsia"/>
          <w:color w:val="000000"/>
          <w:szCs w:val="21"/>
        </w:rPr>
        <w:lastRenderedPageBreak/>
        <w:t>规定的前提下，制订和调整有关基金认购、申购、赎回、收益分配等业务的规则，在法律法规和本基金合同规定的范围内决定和调整基金的除调高托管费率和管理费率之外的相关费率结构和收费方式；</w:t>
      </w:r>
    </w:p>
    <w:p w14:paraId="12CE6FF5"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）法律法规及中国证监会规定的和《基金合同》约定的其他权利。</w:t>
      </w:r>
    </w:p>
    <w:p w14:paraId="14A9CB45" w14:textId="77777777" w:rsidR="00175DB4" w:rsidRDefault="000519D1">
      <w:pPr>
        <w:spacing w:line="440" w:lineRule="atLeast"/>
        <w:ind w:firstLineChars="200" w:firstLine="420"/>
        <w:rPr>
          <w:color w:val="000000"/>
          <w:szCs w:val="21"/>
        </w:rPr>
      </w:pPr>
      <w:r>
        <w:rPr>
          <w:color w:val="000000"/>
          <w:szCs w:val="21"/>
        </w:rPr>
        <w:t>2</w:t>
      </w:r>
      <w:r>
        <w:rPr>
          <w:rFonts w:hint="eastAsia"/>
          <w:color w:val="000000"/>
          <w:szCs w:val="21"/>
        </w:rPr>
        <w:t>、根据《基金法》、《运作办法》及其他有关规定，基金管理人的义务包括但不限于：</w:t>
      </w:r>
    </w:p>
    <w:p w14:paraId="50E7D18F"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）依法募集资金，办理或者委托经中国证监会认定的其他机构代为办理基金份额的发售、申购、赎回和登记事宜；</w:t>
      </w:r>
    </w:p>
    <w:p w14:paraId="685F3D54"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）办理基金备案手续；</w:t>
      </w:r>
    </w:p>
    <w:p w14:paraId="28C0AC50"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）自《基金合同》生效之日起，以诚实信用、谨慎勤勉的原则管理和运用基金财产；</w:t>
      </w:r>
    </w:p>
    <w:p w14:paraId="029F4904"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）配备足够的具有专业资格的人员进行基金投资分析、决策，以专业化的经营方式管理和运作基金财产；</w:t>
      </w:r>
    </w:p>
    <w:p w14:paraId="33C0CAA9"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）建立健全内部风险控制、监察与稽核、财务管理及人事管理等制度，保证所管理的基金财产和基金管理人的财产相互独立，对所管理的不同基金分别管理，分别记账，进行证券投资；</w:t>
      </w:r>
    </w:p>
    <w:p w14:paraId="062B95A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）除依据《基金法》、《基金合同》及其他有关规定外，不得利用基金财产为自己及任何第三人谋取利益，不得委托第三人运作基金财产；</w:t>
      </w:r>
    </w:p>
    <w:p w14:paraId="511A0E5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）依法接受基金托管人的监督；</w:t>
      </w:r>
    </w:p>
    <w:p w14:paraId="6FA559E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）采取适当合理的措施使计算基金份额认购价格、申购对价、赎回对价的方法符合基金合同等法律文件的规定；计算并公告基金净值信息，确定基金份额申购、赎回对价，编制申购赎回清单；</w:t>
      </w:r>
    </w:p>
    <w:p w14:paraId="3575D5A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）进行基金会计核算并编制基金财务会计报告；</w:t>
      </w:r>
    </w:p>
    <w:p w14:paraId="0491EAB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）编制季度报告、中期报告和年度报告；</w:t>
      </w:r>
    </w:p>
    <w:p w14:paraId="6CE73FA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）严格按照《基金法》、《基金合同》及其他有关规定，履行信息披露及报告义务；</w:t>
      </w:r>
    </w:p>
    <w:p w14:paraId="5B294869" w14:textId="47945B52"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）保守基金商业秘密，不泄露基金投资计划、投资意向等。除《基金法》、《基金合同》及其他有关规定另有规定外，在基金信息公开披露前应予保密，不向他人泄露，</w:t>
      </w:r>
      <w:r w:rsidR="009B6065" w:rsidRPr="009B6065">
        <w:rPr>
          <w:rFonts w:hint="eastAsia"/>
          <w:color w:val="000000"/>
          <w:szCs w:val="21"/>
        </w:rPr>
        <w:t>但因监管机构、司法机关等有权机关的要求，或因审计、法律等外部专业顾问提供服务需要的情况除外；</w:t>
      </w:r>
      <w:r>
        <w:rPr>
          <w:rFonts w:hint="eastAsia"/>
          <w:color w:val="000000"/>
          <w:szCs w:val="21"/>
        </w:rPr>
        <w:t>（</w:t>
      </w:r>
      <w:r>
        <w:rPr>
          <w:color w:val="000000"/>
          <w:szCs w:val="21"/>
        </w:rPr>
        <w:t>13</w:t>
      </w:r>
      <w:r>
        <w:rPr>
          <w:rFonts w:hint="eastAsia"/>
          <w:color w:val="000000"/>
          <w:szCs w:val="21"/>
        </w:rPr>
        <w:t>）按《基金合同》的约定确定基金收益分配方案，及时向基金份额持有人分配基金收益；</w:t>
      </w:r>
    </w:p>
    <w:p w14:paraId="59CBC27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）按规定受理申购和赎回申请，及时、足额支付投资人申购或赎回之基金份额的</w:t>
      </w:r>
      <w:r>
        <w:rPr>
          <w:rFonts w:hint="eastAsia"/>
          <w:color w:val="000000"/>
          <w:szCs w:val="21"/>
        </w:rPr>
        <w:lastRenderedPageBreak/>
        <w:t>投资人应收对价；</w:t>
      </w:r>
    </w:p>
    <w:p w14:paraId="78F0B67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）依据《基金法》、《基金合同》及其他有关规定召集基金份额持有人大会或配合基金托管人、基金份额持有人依法召集基金份额持有人大会；</w:t>
      </w:r>
    </w:p>
    <w:p w14:paraId="4594952C" w14:textId="577A80A0"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16</w:t>
      </w:r>
      <w:r>
        <w:rPr>
          <w:rFonts w:hint="eastAsia"/>
          <w:color w:val="000000"/>
          <w:szCs w:val="21"/>
        </w:rPr>
        <w:t>）按规定保存基金财产管理业务活动的会计账册、报表、记录和其他相关资料不低于法律法规规定的</w:t>
      </w:r>
      <w:r w:rsidR="009B6065" w:rsidRPr="009B6065">
        <w:rPr>
          <w:rFonts w:hint="eastAsia"/>
          <w:color w:val="000000"/>
          <w:szCs w:val="21"/>
        </w:rPr>
        <w:t>最低</w:t>
      </w:r>
      <w:r>
        <w:rPr>
          <w:rFonts w:hint="eastAsia"/>
          <w:color w:val="000000"/>
          <w:szCs w:val="21"/>
        </w:rPr>
        <w:t>期限；</w:t>
      </w:r>
    </w:p>
    <w:p w14:paraId="702B9DC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5450277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18</w:t>
      </w:r>
      <w:r>
        <w:rPr>
          <w:rFonts w:hint="eastAsia"/>
          <w:color w:val="000000"/>
          <w:szCs w:val="21"/>
        </w:rPr>
        <w:t>）组织并参加基金财产清算小组，参与基金财产的保管、清理、估价、变现和分配；</w:t>
      </w:r>
    </w:p>
    <w:p w14:paraId="2205FF9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19</w:t>
      </w:r>
      <w:r>
        <w:rPr>
          <w:rFonts w:hint="eastAsia"/>
          <w:color w:val="000000"/>
          <w:szCs w:val="21"/>
        </w:rPr>
        <w:t>）面临解散、依法被撤销或者被依法宣告破产时，及时报告中国证监会并通知基金托管人；</w:t>
      </w:r>
    </w:p>
    <w:p w14:paraId="5B2AAF5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20</w:t>
      </w:r>
      <w:r>
        <w:rPr>
          <w:rFonts w:hint="eastAsia"/>
          <w:color w:val="000000"/>
          <w:szCs w:val="21"/>
        </w:rPr>
        <w:t>）因违反《基金合同》导致基金财产的损失或损害基金份额持有人合法权益时，应当承担赔偿责任，其赔偿责任不因其退任而免除；</w:t>
      </w:r>
    </w:p>
    <w:p w14:paraId="0F94E5D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21</w:t>
      </w:r>
      <w:r>
        <w:rPr>
          <w:rFonts w:hint="eastAsia"/>
          <w:color w:val="000000"/>
          <w:szCs w:val="21"/>
        </w:rPr>
        <w:t>）监督基金托管人按法律法规和《基金合同》规定履行自己的义务，基金托管人违反《基金合同》造成基金财产损失时，基金管理人应为基金份额持有人利益向基金托管人追偿；</w:t>
      </w:r>
    </w:p>
    <w:p w14:paraId="5E41FEAF"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22</w:t>
      </w:r>
      <w:r>
        <w:rPr>
          <w:rFonts w:hint="eastAsia"/>
          <w:color w:val="000000"/>
          <w:szCs w:val="21"/>
        </w:rPr>
        <w:t>）当基金管理人将其义务委托第三方处理时，应当对第三方处理有关基金事务的行为承担责任；</w:t>
      </w:r>
    </w:p>
    <w:p w14:paraId="24D46567"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23</w:t>
      </w:r>
      <w:r>
        <w:rPr>
          <w:rFonts w:hint="eastAsia"/>
          <w:color w:val="000000"/>
          <w:szCs w:val="21"/>
        </w:rPr>
        <w:t>）以基金管理人名义，代表基金份额持有人利益行使诉讼权利或实施其他法律行为；</w:t>
      </w:r>
      <w:r>
        <w:rPr>
          <w:color w:val="000000"/>
          <w:szCs w:val="21"/>
        </w:rPr>
        <w:tab/>
      </w:r>
    </w:p>
    <w:p w14:paraId="0342F47E"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24</w:t>
      </w:r>
      <w:r>
        <w:rPr>
          <w:rFonts w:hint="eastAsia"/>
          <w:color w:val="000000"/>
          <w:szCs w:val="21"/>
        </w:rPr>
        <w:t>）基金管理人在募集期间未能达到基金的备案条件，《基金合同》不能生效，基金管理人承担全部募集费用，将已募集的认购款项、股票连同认购款项的银行同期活期存款利息在基金募集期结束后</w:t>
      </w:r>
      <w:r>
        <w:rPr>
          <w:color w:val="000000"/>
          <w:szCs w:val="21"/>
        </w:rPr>
        <w:t>30</w:t>
      </w:r>
      <w:r>
        <w:rPr>
          <w:rFonts w:hint="eastAsia"/>
          <w:color w:val="000000"/>
          <w:szCs w:val="21"/>
        </w:rPr>
        <w:t>日内退还基金认购人；</w:t>
      </w:r>
    </w:p>
    <w:p w14:paraId="3AAA319B"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25</w:t>
      </w:r>
      <w:r>
        <w:rPr>
          <w:rFonts w:hint="eastAsia"/>
          <w:color w:val="000000"/>
          <w:szCs w:val="21"/>
        </w:rPr>
        <w:t>）执行生效的基金份额持有人大会的决议；</w:t>
      </w:r>
    </w:p>
    <w:p w14:paraId="2E3DEB1E" w14:textId="77777777" w:rsidR="00175DB4" w:rsidRDefault="000519D1">
      <w:pPr>
        <w:spacing w:line="440" w:lineRule="exact"/>
        <w:ind w:firstLineChars="200" w:firstLine="420"/>
        <w:rPr>
          <w:color w:val="000000"/>
          <w:szCs w:val="21"/>
        </w:rPr>
      </w:pPr>
      <w:r>
        <w:rPr>
          <w:rFonts w:hint="eastAsia"/>
          <w:color w:val="000000"/>
          <w:szCs w:val="21"/>
        </w:rPr>
        <w:t>（</w:t>
      </w:r>
      <w:r>
        <w:rPr>
          <w:color w:val="000000"/>
          <w:szCs w:val="21"/>
        </w:rPr>
        <w:t>26</w:t>
      </w:r>
      <w:r>
        <w:rPr>
          <w:rFonts w:hint="eastAsia"/>
          <w:color w:val="000000"/>
          <w:szCs w:val="21"/>
        </w:rPr>
        <w:t>）建立并保存基金份额持有人名册；</w:t>
      </w:r>
    </w:p>
    <w:p w14:paraId="1871A648"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27</w:t>
      </w:r>
      <w:r>
        <w:rPr>
          <w:rFonts w:hint="eastAsia"/>
          <w:color w:val="000000"/>
          <w:szCs w:val="21"/>
        </w:rPr>
        <w:t>）法律法规及中国证监会规定的和《基金合同》约定的其他义务。</w:t>
      </w:r>
    </w:p>
    <w:p w14:paraId="5B04DD77" w14:textId="77777777" w:rsidR="00175DB4" w:rsidRDefault="000519D1">
      <w:pPr>
        <w:tabs>
          <w:tab w:val="left" w:pos="540"/>
        </w:tabs>
        <w:snapToGrid w:val="0"/>
        <w:spacing w:line="360" w:lineRule="auto"/>
        <w:ind w:firstLineChars="200" w:firstLine="420"/>
        <w:rPr>
          <w:color w:val="000000"/>
          <w:szCs w:val="21"/>
        </w:rPr>
      </w:pPr>
      <w:r>
        <w:rPr>
          <w:color w:val="000000"/>
          <w:szCs w:val="21"/>
        </w:rPr>
        <w:t>（二）基金托管人</w:t>
      </w:r>
    </w:p>
    <w:p w14:paraId="64B0F8BE" w14:textId="77777777" w:rsidR="00175DB4" w:rsidRDefault="000519D1">
      <w:pPr>
        <w:spacing w:line="440" w:lineRule="exact"/>
        <w:ind w:firstLineChars="200" w:firstLine="420"/>
        <w:rPr>
          <w:color w:val="000000"/>
          <w:szCs w:val="21"/>
        </w:rPr>
      </w:pPr>
      <w:r>
        <w:rPr>
          <w:color w:val="000000"/>
          <w:szCs w:val="21"/>
        </w:rPr>
        <w:t>1</w:t>
      </w:r>
      <w:r>
        <w:rPr>
          <w:rFonts w:hint="eastAsia"/>
          <w:color w:val="000000"/>
          <w:szCs w:val="21"/>
        </w:rPr>
        <w:t>、根据《基金法》、《运作办法》及其他有关规定，基金托管人的权利包括但不限于：</w:t>
      </w:r>
    </w:p>
    <w:p w14:paraId="74437B0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）自《基金合同》生效之日起，依法</w:t>
      </w:r>
      <w:proofErr w:type="gramStart"/>
      <w:r>
        <w:rPr>
          <w:rFonts w:hint="eastAsia"/>
          <w:color w:val="000000"/>
          <w:szCs w:val="21"/>
        </w:rPr>
        <w:t>律法规</w:t>
      </w:r>
      <w:proofErr w:type="gramEnd"/>
      <w:r>
        <w:rPr>
          <w:rFonts w:hint="eastAsia"/>
          <w:color w:val="000000"/>
          <w:szCs w:val="21"/>
        </w:rPr>
        <w:t>和《基金合同》的规定安全保管基金财</w:t>
      </w:r>
      <w:r>
        <w:rPr>
          <w:rFonts w:hint="eastAsia"/>
          <w:color w:val="000000"/>
          <w:szCs w:val="21"/>
        </w:rPr>
        <w:lastRenderedPageBreak/>
        <w:t>产；</w:t>
      </w:r>
    </w:p>
    <w:p w14:paraId="5BD4560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）依《基金合同》约定获得基金托管费以及法律法规规定或监管部门批准的其他费用；</w:t>
      </w:r>
    </w:p>
    <w:p w14:paraId="7BF4F5E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7F8B657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）根据相关市场规则，为基金开设资金账户、证券账户和期货结算账户等投资所需账户，为基金办理证券、期货交易资金清算；</w:t>
      </w:r>
    </w:p>
    <w:p w14:paraId="21C003C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）提议召开或召集基金份额持有人大会；</w:t>
      </w:r>
    </w:p>
    <w:p w14:paraId="5E5D039D"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）在基金管理人更换时，提名新的基金管理人；</w:t>
      </w:r>
    </w:p>
    <w:p w14:paraId="31608B9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）法律法规及中国证监会规定的和《基金合同》约定的其他权利。</w:t>
      </w:r>
    </w:p>
    <w:p w14:paraId="5FD79C08"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、根据《基金法》、《运作办法》及其他有关规定，基金托管人的义务包括但不限于：</w:t>
      </w:r>
    </w:p>
    <w:p w14:paraId="6D89D4F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）以诚实信用、勤勉尽责的原则持有并安全保管基金财产；</w:t>
      </w:r>
    </w:p>
    <w:p w14:paraId="5BBCF84D"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）设立专门的基金托管部门，具有符合要求的营业场所，配备足够的、合格的熟悉基金托管业务的专职人员，负责基金财产托管事宜；</w:t>
      </w:r>
    </w:p>
    <w:p w14:paraId="7B8E8EB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7050BA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）除依据《基金法》、《基金合同》及其他有关规定外，不得利用基金财产为自己及任何第三人谋取利益，不得委托第三人托管基金财产；</w:t>
      </w:r>
    </w:p>
    <w:p w14:paraId="079C8FC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）保管由基金管理人代表基金签订的与基金有关的重大合同及有关凭证；</w:t>
      </w:r>
    </w:p>
    <w:p w14:paraId="1C44D981"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）按规定开设基金财产的资金账户、证券账户和期货结算账户等投资所需账户，按照《基金合同》的约定，根据基金管理人的投资指令，及时办理清算、交割事宜；</w:t>
      </w:r>
    </w:p>
    <w:p w14:paraId="1858E848" w14:textId="23E7EF4D"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）保守基金商业秘密，除《基金法》、《基金合同》及其他有关规定另有规定外，在基金信息公开披露前予以保密，不得向他人泄露</w:t>
      </w:r>
      <w:r w:rsidR="009B6065" w:rsidRPr="009B6065">
        <w:rPr>
          <w:rFonts w:hint="eastAsia"/>
          <w:color w:val="000000"/>
          <w:szCs w:val="21"/>
        </w:rPr>
        <w:t>，但因监管机构、司法机关等有权机关的要求，或因审计、法律等外部专业顾问提供服务需要提供的情况除外</w:t>
      </w:r>
      <w:r>
        <w:rPr>
          <w:rFonts w:hint="eastAsia"/>
          <w:color w:val="000000"/>
          <w:szCs w:val="21"/>
        </w:rPr>
        <w:t>；</w:t>
      </w:r>
    </w:p>
    <w:p w14:paraId="25D3D16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）复核、审查基金管理人计算的基金资产净值、基金份额净值和基金份额申购、赎回对价的现金部分；</w:t>
      </w:r>
    </w:p>
    <w:p w14:paraId="4A14F53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）办理与基金托管业务活动有关的信息披露事项；</w:t>
      </w:r>
    </w:p>
    <w:p w14:paraId="211043E8" w14:textId="77777777" w:rsidR="00175DB4" w:rsidRDefault="000519D1">
      <w:pPr>
        <w:spacing w:line="360" w:lineRule="auto"/>
        <w:ind w:firstLineChars="200" w:firstLine="420"/>
        <w:rPr>
          <w:color w:val="000000"/>
          <w:szCs w:val="21"/>
        </w:rPr>
      </w:pPr>
      <w:r>
        <w:rPr>
          <w:rFonts w:hint="eastAsia"/>
          <w:color w:val="000000"/>
          <w:szCs w:val="21"/>
        </w:rPr>
        <w:lastRenderedPageBreak/>
        <w:t>（</w:t>
      </w:r>
      <w:r>
        <w:rPr>
          <w:color w:val="000000"/>
          <w:szCs w:val="21"/>
        </w:rPr>
        <w:t>10</w:t>
      </w:r>
      <w:r>
        <w:rPr>
          <w:rFonts w:hint="eastAsia"/>
          <w:color w:val="000000"/>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809D79A" w14:textId="182EC3AA"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）保存基金托管业务活动的记录、账册、报表和其他相关资料不低于法律法规规定的</w:t>
      </w:r>
      <w:r w:rsidR="0011532A">
        <w:rPr>
          <w:rFonts w:hint="eastAsia"/>
          <w:color w:val="000000"/>
          <w:szCs w:val="21"/>
        </w:rPr>
        <w:t>最低</w:t>
      </w:r>
      <w:r>
        <w:rPr>
          <w:rFonts w:hint="eastAsia"/>
          <w:color w:val="000000"/>
          <w:szCs w:val="21"/>
        </w:rPr>
        <w:t>期限；</w:t>
      </w:r>
    </w:p>
    <w:p w14:paraId="7CA0EAE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）建立并保存基金份额持有人名册；</w:t>
      </w:r>
    </w:p>
    <w:p w14:paraId="445FEC4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）按规定制作相关账册并与基金管理人核对；</w:t>
      </w:r>
    </w:p>
    <w:p w14:paraId="2EF8CD6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）依据基金管理人的指令或有关规定向基金份额持有人支付基金收益和赎回对价的现金部分；</w:t>
      </w:r>
    </w:p>
    <w:p w14:paraId="19EC4E7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15</w:t>
      </w:r>
      <w:r>
        <w:rPr>
          <w:rFonts w:hint="eastAsia"/>
          <w:color w:val="000000"/>
          <w:szCs w:val="21"/>
        </w:rPr>
        <w:t>）依据《基金法》、《基金合同》及其他有关规定，召集基金份额持有人大会或配合基金管理人、基金份额持有人依法召集基金份额持有人大会；</w:t>
      </w:r>
    </w:p>
    <w:p w14:paraId="198C177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16</w:t>
      </w:r>
      <w:r>
        <w:rPr>
          <w:rFonts w:hint="eastAsia"/>
          <w:color w:val="000000"/>
          <w:szCs w:val="21"/>
        </w:rPr>
        <w:t>）按照法律法规和《基金合同》的规定监督基金管理人的投资运作；</w:t>
      </w:r>
    </w:p>
    <w:p w14:paraId="2E6CBB9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17</w:t>
      </w:r>
      <w:r>
        <w:rPr>
          <w:rFonts w:hint="eastAsia"/>
          <w:color w:val="000000"/>
          <w:szCs w:val="21"/>
        </w:rPr>
        <w:t>）参加基金财产清算小组，参与基金财产的保管、清理、估价、变现和分配；</w:t>
      </w:r>
    </w:p>
    <w:p w14:paraId="1C668D9E" w14:textId="218034F4"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18</w:t>
      </w:r>
      <w:r>
        <w:rPr>
          <w:rFonts w:hint="eastAsia"/>
          <w:color w:val="000000"/>
          <w:szCs w:val="21"/>
        </w:rPr>
        <w:t>）面临解散、依法被撤销或者被依法宣告破产时，及时报告中国证监会，并通知基金管理人；</w:t>
      </w:r>
    </w:p>
    <w:p w14:paraId="2553AB7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19</w:t>
      </w:r>
      <w:r>
        <w:rPr>
          <w:rFonts w:hint="eastAsia"/>
          <w:color w:val="000000"/>
          <w:szCs w:val="21"/>
        </w:rPr>
        <w:t>）因违反《基金合同》导致基金财产损失时，应承担赔偿责任，其赔偿责任不因其退任而免除；</w:t>
      </w:r>
    </w:p>
    <w:p w14:paraId="15E679A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20</w:t>
      </w:r>
      <w:r>
        <w:rPr>
          <w:rFonts w:hint="eastAsia"/>
          <w:color w:val="000000"/>
          <w:szCs w:val="21"/>
        </w:rPr>
        <w:t>）按规定监督基金管理人按法律法规和《基金合同》规定履行自己的义务，基金管理人因违反《基金合同》造成基金财产损失时，应为基金份额持有人利益向基金管理人追偿</w:t>
      </w:r>
      <w:bookmarkStart w:id="76" w:name="_Hlt88825668"/>
      <w:bookmarkEnd w:id="76"/>
      <w:r>
        <w:rPr>
          <w:rFonts w:hint="eastAsia"/>
          <w:color w:val="000000"/>
          <w:szCs w:val="21"/>
        </w:rPr>
        <w:t>；</w:t>
      </w:r>
    </w:p>
    <w:p w14:paraId="45D5F20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21</w:t>
      </w:r>
      <w:r>
        <w:rPr>
          <w:rFonts w:hint="eastAsia"/>
          <w:color w:val="000000"/>
          <w:szCs w:val="21"/>
        </w:rPr>
        <w:t>）执行生效的基金份额持有人大会的决议；</w:t>
      </w:r>
    </w:p>
    <w:p w14:paraId="3BB3DCA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22</w:t>
      </w:r>
      <w:r>
        <w:rPr>
          <w:rFonts w:hint="eastAsia"/>
          <w:color w:val="000000"/>
          <w:szCs w:val="21"/>
        </w:rPr>
        <w:t>）法律法规及中国证监会规定的和《基金合同》约定的其他义务。</w:t>
      </w:r>
    </w:p>
    <w:p w14:paraId="7E23C249" w14:textId="77777777" w:rsidR="00175DB4" w:rsidRDefault="000519D1">
      <w:pPr>
        <w:tabs>
          <w:tab w:val="left" w:pos="540"/>
        </w:tabs>
        <w:snapToGrid w:val="0"/>
        <w:spacing w:line="360" w:lineRule="auto"/>
        <w:ind w:firstLineChars="200" w:firstLine="420"/>
        <w:rPr>
          <w:color w:val="000000"/>
          <w:szCs w:val="21"/>
        </w:rPr>
      </w:pPr>
      <w:r>
        <w:rPr>
          <w:color w:val="000000"/>
          <w:szCs w:val="21"/>
        </w:rPr>
        <w:t>（三）基金份额持有人</w:t>
      </w:r>
      <w:r>
        <w:rPr>
          <w:color w:val="000000"/>
          <w:szCs w:val="21"/>
        </w:rPr>
        <w:tab/>
      </w:r>
    </w:p>
    <w:p w14:paraId="3CE15465" w14:textId="77777777" w:rsidR="00175DB4" w:rsidRDefault="000519D1">
      <w:pPr>
        <w:spacing w:line="360" w:lineRule="auto"/>
        <w:ind w:firstLineChars="200" w:firstLine="420"/>
        <w:rPr>
          <w:color w:val="000000"/>
          <w:szCs w:val="21"/>
        </w:rPr>
      </w:pPr>
      <w:r>
        <w:rPr>
          <w:rFonts w:hint="eastAsia"/>
          <w:color w:val="000000"/>
          <w:szCs w:val="21"/>
        </w:rPr>
        <w:t>基金投资人持有本</w:t>
      </w:r>
      <w:proofErr w:type="gramStart"/>
      <w:r>
        <w:rPr>
          <w:rFonts w:hint="eastAsia"/>
          <w:color w:val="000000"/>
          <w:szCs w:val="21"/>
        </w:rPr>
        <w:t>基金基金</w:t>
      </w:r>
      <w:proofErr w:type="gramEnd"/>
      <w:r>
        <w:rPr>
          <w:rFonts w:hint="eastAsia"/>
          <w:color w:val="000000"/>
          <w:szCs w:val="21"/>
        </w:rPr>
        <w:t>份额的行为即视为对《基金合同》的承认和接受，基金投资人</w:t>
      </w:r>
      <w:proofErr w:type="gramStart"/>
      <w:r>
        <w:rPr>
          <w:rFonts w:hint="eastAsia"/>
          <w:color w:val="000000"/>
          <w:szCs w:val="21"/>
        </w:rPr>
        <w:t>自依据</w:t>
      </w:r>
      <w:proofErr w:type="gramEnd"/>
      <w:r>
        <w:rPr>
          <w:rFonts w:hint="eastAsia"/>
          <w:color w:val="000000"/>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2B6F737F" w14:textId="77777777" w:rsidR="00175DB4" w:rsidRDefault="000519D1">
      <w:pPr>
        <w:spacing w:line="360" w:lineRule="auto"/>
        <w:ind w:firstLineChars="200" w:firstLine="420"/>
        <w:rPr>
          <w:color w:val="000000"/>
          <w:szCs w:val="21"/>
        </w:rPr>
      </w:pPr>
      <w:r>
        <w:rPr>
          <w:rFonts w:hint="eastAsia"/>
          <w:color w:val="000000"/>
          <w:szCs w:val="21"/>
        </w:rPr>
        <w:t>每份基金份额具有同等的合法权益。</w:t>
      </w:r>
    </w:p>
    <w:p w14:paraId="6DAE8994"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、根据《基金法》、《运作办法》及其他有关规定，基金份额持有人的权利包括但不限于：</w:t>
      </w:r>
    </w:p>
    <w:p w14:paraId="5BE0E6AE" w14:textId="77777777" w:rsidR="00175DB4" w:rsidRDefault="000519D1">
      <w:pPr>
        <w:spacing w:line="360" w:lineRule="auto"/>
        <w:ind w:firstLineChars="200" w:firstLine="420"/>
        <w:rPr>
          <w:color w:val="000000"/>
          <w:szCs w:val="21"/>
        </w:rPr>
      </w:pPr>
      <w:r>
        <w:rPr>
          <w:rFonts w:hint="eastAsia"/>
          <w:color w:val="000000"/>
          <w:szCs w:val="21"/>
        </w:rPr>
        <w:lastRenderedPageBreak/>
        <w:t>（</w:t>
      </w:r>
      <w:r>
        <w:rPr>
          <w:color w:val="000000"/>
          <w:szCs w:val="21"/>
        </w:rPr>
        <w:t>1</w:t>
      </w:r>
      <w:r>
        <w:rPr>
          <w:rFonts w:hint="eastAsia"/>
          <w:color w:val="000000"/>
          <w:szCs w:val="21"/>
        </w:rPr>
        <w:t>）分享基金财产收益；</w:t>
      </w:r>
    </w:p>
    <w:p w14:paraId="5DFE7B0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）参与分配清算后的剩余基金财产；</w:t>
      </w:r>
    </w:p>
    <w:p w14:paraId="06C3736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）依法转让或者申请赎回其持有的基金份额；</w:t>
      </w:r>
    </w:p>
    <w:p w14:paraId="132EC31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）按照规定要求召开基金份额持有人大会或者召集基金份额持有人大会；</w:t>
      </w:r>
    </w:p>
    <w:p w14:paraId="03FECAD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）出席或者委派代表出席基金份额持有人大会，对基金份额持有人大会审议事项行使表决权；</w:t>
      </w:r>
    </w:p>
    <w:p w14:paraId="60B8FF4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）查阅或者复制公开披露的基金信息资料；</w:t>
      </w:r>
    </w:p>
    <w:p w14:paraId="34276C0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）监督基金管理人的投资运作；</w:t>
      </w:r>
    </w:p>
    <w:p w14:paraId="67689C8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）对基金管理人、基金托管人、基金服务机构损害其合法权益的行为依法提起诉讼或仲裁；</w:t>
      </w:r>
    </w:p>
    <w:p w14:paraId="3349487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）法律法规及中国证监会规定的和《基金合同》约定的其他权利。</w:t>
      </w:r>
    </w:p>
    <w:p w14:paraId="1D6E1F9A"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、根据《基金法》、《运作办法》及其他有关规定，基金份额持有人的义务包括但不限于：</w:t>
      </w:r>
    </w:p>
    <w:p w14:paraId="24BF220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）认真阅读并遵守《基金合同》、招募说明书等信息披露文件；</w:t>
      </w:r>
    </w:p>
    <w:p w14:paraId="53891A2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）了解所投资基金产品，了解自身风险承受能力，自主判断基金的投资价值，自主做出投资决策，自行承担投资风险；</w:t>
      </w:r>
    </w:p>
    <w:p w14:paraId="4DBDC33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）关注基金信息披露，及时行使权利和履行义务；</w:t>
      </w:r>
    </w:p>
    <w:p w14:paraId="03F77F96"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）交纳基金认购款项和认购股票、应付申购对价和赎回对价及《基金合同》规定的费用；</w:t>
      </w:r>
    </w:p>
    <w:p w14:paraId="48E6461A"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）在其持有的基金份额范围内，承担基金亏损或者《基金合同》终止的有限责任；</w:t>
      </w:r>
    </w:p>
    <w:p w14:paraId="451C3E8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）不从事任何有损基金及其他《基金合同》当事人合法权益的活动；</w:t>
      </w:r>
    </w:p>
    <w:p w14:paraId="67973D7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）执行生效的基金份额持有人大会的决议；</w:t>
      </w:r>
    </w:p>
    <w:p w14:paraId="301D230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）返还在基金交易过程中因任何原因获得的不当得利；</w:t>
      </w:r>
    </w:p>
    <w:p w14:paraId="68D634A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）遵守基金管理人、销售机构和登记机构的相关交易及业务规则；</w:t>
      </w:r>
    </w:p>
    <w:p w14:paraId="7CAF2529"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）法律法规及中国证监会规定的和《基金合同》约定的其他义务。</w:t>
      </w:r>
    </w:p>
    <w:p w14:paraId="66319A11" w14:textId="77777777" w:rsidR="00175DB4" w:rsidRDefault="00175DB4">
      <w:pPr>
        <w:tabs>
          <w:tab w:val="left" w:pos="540"/>
        </w:tabs>
        <w:snapToGrid w:val="0"/>
        <w:spacing w:line="360" w:lineRule="auto"/>
        <w:ind w:firstLineChars="200" w:firstLine="420"/>
        <w:rPr>
          <w:color w:val="000000"/>
          <w:szCs w:val="21"/>
        </w:rPr>
      </w:pPr>
    </w:p>
    <w:p w14:paraId="17F067E7" w14:textId="77777777" w:rsidR="00175DB4" w:rsidRDefault="000519D1">
      <w:pPr>
        <w:tabs>
          <w:tab w:val="left" w:pos="540"/>
        </w:tabs>
        <w:snapToGrid w:val="0"/>
        <w:spacing w:line="360" w:lineRule="auto"/>
        <w:ind w:firstLineChars="200" w:firstLine="420"/>
        <w:rPr>
          <w:color w:val="000000"/>
          <w:szCs w:val="21"/>
        </w:rPr>
      </w:pPr>
      <w:r>
        <w:rPr>
          <w:color w:val="000000"/>
          <w:szCs w:val="21"/>
        </w:rPr>
        <w:t>二、基金份额持有人大会召集、议事及表决的程序和规则</w:t>
      </w:r>
    </w:p>
    <w:p w14:paraId="7CCEC7B4" w14:textId="77777777" w:rsidR="00175DB4" w:rsidRDefault="000519D1">
      <w:pPr>
        <w:spacing w:line="360" w:lineRule="auto"/>
        <w:ind w:firstLineChars="200" w:firstLine="420"/>
        <w:rPr>
          <w:color w:val="000000"/>
          <w:szCs w:val="21"/>
        </w:rPr>
      </w:pPr>
      <w:r>
        <w:rPr>
          <w:rFonts w:hint="eastAsia"/>
          <w:color w:val="000000"/>
          <w:szCs w:val="21"/>
        </w:rPr>
        <w:t>（一）基金份额持有人大会由基金份额持有人组成，基金份额持有人的合法授权代表有权代表基金份额持有人出席会议并表决。基金份额持有人持有的每一基金份额拥有平等的投票权。若将来法律法规对基金份额持有人大会另有规定的，以届时有效的法律法规为</w:t>
      </w:r>
      <w:r>
        <w:rPr>
          <w:rFonts w:hint="eastAsia"/>
          <w:color w:val="000000"/>
          <w:szCs w:val="21"/>
        </w:rPr>
        <w:lastRenderedPageBreak/>
        <w:t>准。</w:t>
      </w:r>
    </w:p>
    <w:p w14:paraId="23D04CD6" w14:textId="77777777" w:rsidR="00175DB4" w:rsidRDefault="000519D1">
      <w:pPr>
        <w:spacing w:line="360" w:lineRule="auto"/>
        <w:ind w:firstLineChars="200" w:firstLine="420"/>
        <w:rPr>
          <w:color w:val="000000"/>
          <w:szCs w:val="21"/>
        </w:rPr>
      </w:pPr>
      <w:r>
        <w:rPr>
          <w:rFonts w:hint="eastAsia"/>
          <w:color w:val="000000"/>
          <w:szCs w:val="21"/>
        </w:rPr>
        <w:t>本基金份额持有人大会不设日常机构。在本基金存续期内，根据本基金的运作需要，基金份额持有人大会可以增设日常机构，日常机构的设立与运作应当根据相关法律法规和中国证监会的规定进行。</w:t>
      </w:r>
    </w:p>
    <w:p w14:paraId="09207EBE" w14:textId="4E7C439D" w:rsidR="00175DB4" w:rsidRDefault="000519D1">
      <w:pPr>
        <w:spacing w:line="360" w:lineRule="auto"/>
        <w:ind w:firstLineChars="200" w:firstLine="420"/>
        <w:rPr>
          <w:color w:val="000000"/>
          <w:szCs w:val="21"/>
        </w:rPr>
      </w:pPr>
      <w:r>
        <w:rPr>
          <w:rFonts w:hint="eastAsia"/>
          <w:color w:val="000000"/>
          <w:szCs w:val="21"/>
        </w:rPr>
        <w:t>（二）若以本基金为目标</w:t>
      </w:r>
      <w:r w:rsidR="00D63951">
        <w:rPr>
          <w:rFonts w:hint="eastAsia"/>
          <w:color w:val="000000"/>
          <w:szCs w:val="21"/>
        </w:rPr>
        <w:t>ETF</w:t>
      </w:r>
      <w:r>
        <w:rPr>
          <w:rFonts w:hint="eastAsia"/>
          <w:color w:val="000000"/>
          <w:szCs w:val="21"/>
        </w:rPr>
        <w:t>的联接基金的基金合同生效，</w:t>
      </w:r>
      <w:proofErr w:type="gramStart"/>
      <w:r>
        <w:rPr>
          <w:rFonts w:hint="eastAsia"/>
          <w:color w:val="000000"/>
          <w:szCs w:val="21"/>
        </w:rPr>
        <w:t>鉴于本</w:t>
      </w:r>
      <w:proofErr w:type="gramEnd"/>
      <w:r>
        <w:rPr>
          <w:rFonts w:hint="eastAsia"/>
          <w:color w:val="000000"/>
          <w:szCs w:val="21"/>
        </w:rPr>
        <w:t>基金和联接基金的相关性，本基金联接基金的基金份额持有人可以凭所持有的联接基金的基金份额直接出席或者委派代表出席本基金的基金份额持有人大会并参与表决。在计算参会份额和计票时，联接基金持有人持有的享有表决权的基金份额数和表决票数为：在本</w:t>
      </w:r>
      <w:proofErr w:type="gramStart"/>
      <w:r>
        <w:rPr>
          <w:rFonts w:hint="eastAsia"/>
          <w:color w:val="000000"/>
          <w:szCs w:val="21"/>
        </w:rPr>
        <w:t>基金基金</w:t>
      </w:r>
      <w:proofErr w:type="gramEnd"/>
      <w:r>
        <w:rPr>
          <w:rFonts w:hint="eastAsia"/>
          <w:color w:val="000000"/>
          <w:szCs w:val="21"/>
        </w:rPr>
        <w:t>份额持有人大会的权益登记日，联接基金持有本基金份额的总数乘以该基金份额持有人所持有的联接基金份额占联接基金总份额的比例，计算结果按照四舍五入的方法，保留到整数位。</w:t>
      </w:r>
    </w:p>
    <w:p w14:paraId="3EAB0010" w14:textId="77777777" w:rsidR="00175DB4" w:rsidRDefault="000519D1">
      <w:pPr>
        <w:spacing w:line="360" w:lineRule="auto"/>
        <w:ind w:firstLineChars="200" w:firstLine="420"/>
        <w:rPr>
          <w:color w:val="000000"/>
          <w:szCs w:val="21"/>
        </w:rPr>
      </w:pPr>
      <w:r>
        <w:rPr>
          <w:rFonts w:hint="eastAsia"/>
          <w:color w:val="000000"/>
          <w:szCs w:val="21"/>
        </w:rPr>
        <w:t>联接基金的基金管理人不应以联接基金的名义代表联接基金的全体基金份额持有人以本基金的基金份额持有人的身份行使表决权，但可接受联接基金的</w:t>
      </w:r>
      <w:proofErr w:type="gramStart"/>
      <w:r>
        <w:rPr>
          <w:rFonts w:hint="eastAsia"/>
          <w:color w:val="000000"/>
          <w:szCs w:val="21"/>
        </w:rPr>
        <w:t>特定基金</w:t>
      </w:r>
      <w:proofErr w:type="gramEnd"/>
      <w:r>
        <w:rPr>
          <w:rFonts w:hint="eastAsia"/>
          <w:color w:val="000000"/>
          <w:szCs w:val="21"/>
        </w:rPr>
        <w:t>份额持有人的委托以联接基金的基金份额持有人代理人的身份出席本基金的基金份额持有人大会并参与表决。</w:t>
      </w:r>
    </w:p>
    <w:p w14:paraId="412E32C4" w14:textId="77777777" w:rsidR="00175DB4" w:rsidRDefault="000519D1">
      <w:pPr>
        <w:spacing w:line="360" w:lineRule="auto"/>
        <w:ind w:firstLineChars="200" w:firstLine="420"/>
        <w:rPr>
          <w:color w:val="000000"/>
          <w:szCs w:val="21"/>
        </w:rPr>
      </w:pPr>
      <w:r>
        <w:rPr>
          <w:rFonts w:hint="eastAsia"/>
          <w:color w:val="000000"/>
          <w:szCs w:val="21"/>
        </w:rPr>
        <w:t>联接基金的基金管理人代表联接基金的基金份额持有人提议召开或召集本基金份额持有人大会的，须先遵照联接</w:t>
      </w:r>
      <w:proofErr w:type="gramStart"/>
      <w:r>
        <w:rPr>
          <w:rFonts w:hint="eastAsia"/>
          <w:color w:val="000000"/>
          <w:szCs w:val="21"/>
        </w:rPr>
        <w:t>基金基金</w:t>
      </w:r>
      <w:proofErr w:type="gramEnd"/>
      <w:r>
        <w:rPr>
          <w:rFonts w:hint="eastAsia"/>
          <w:color w:val="000000"/>
          <w:szCs w:val="21"/>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245E5196" w14:textId="77777777" w:rsidR="00175DB4" w:rsidRDefault="000519D1">
      <w:pPr>
        <w:spacing w:line="360" w:lineRule="auto"/>
        <w:ind w:firstLineChars="200" w:firstLine="420"/>
        <w:rPr>
          <w:color w:val="000000"/>
          <w:szCs w:val="21"/>
        </w:rPr>
      </w:pPr>
      <w:r>
        <w:rPr>
          <w:rFonts w:hint="eastAsia"/>
          <w:color w:val="000000"/>
          <w:szCs w:val="21"/>
        </w:rPr>
        <w:t>（三）召开事由</w:t>
      </w:r>
    </w:p>
    <w:p w14:paraId="516CACCD" w14:textId="0C68BB6A"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、当出现或需要决定下列事由之一的，应当召开基金份额持有人大会</w:t>
      </w:r>
      <w:r w:rsidR="00D63951" w:rsidRPr="00D63951">
        <w:rPr>
          <w:rFonts w:hint="eastAsia"/>
          <w:color w:val="000000"/>
          <w:szCs w:val="21"/>
        </w:rPr>
        <w:t>，法律法规、中国证监会另有规定的除外</w:t>
      </w:r>
      <w:r>
        <w:rPr>
          <w:rFonts w:hint="eastAsia"/>
          <w:color w:val="000000"/>
          <w:szCs w:val="21"/>
        </w:rPr>
        <w:t>：</w:t>
      </w:r>
    </w:p>
    <w:p w14:paraId="512E0EFC"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）终止《基金合同》；</w:t>
      </w:r>
    </w:p>
    <w:p w14:paraId="6F01C391"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）更换基金管理人；</w:t>
      </w:r>
    </w:p>
    <w:p w14:paraId="31B892B4"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）更换基金托管人；</w:t>
      </w:r>
    </w:p>
    <w:p w14:paraId="10E0D524" w14:textId="103AC91C"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）转换基金运作方式；</w:t>
      </w:r>
    </w:p>
    <w:p w14:paraId="1C5D8013" w14:textId="3A42004D"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）调整基金管理人、基金托管人的报酬标准；</w:t>
      </w:r>
    </w:p>
    <w:p w14:paraId="4A072302"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）变更基金类别；</w:t>
      </w:r>
    </w:p>
    <w:p w14:paraId="0ED6CFDB"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）本基金与其他基金的合并；</w:t>
      </w:r>
    </w:p>
    <w:p w14:paraId="61F0CD03"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）变更基金投资目标、范围或策略；</w:t>
      </w:r>
    </w:p>
    <w:p w14:paraId="6DF5DEBA"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）变更基金份额持有人大会程序；</w:t>
      </w:r>
    </w:p>
    <w:p w14:paraId="0C6E8254" w14:textId="77777777" w:rsidR="00175DB4" w:rsidRDefault="000519D1">
      <w:pPr>
        <w:spacing w:line="440" w:lineRule="atLeast"/>
        <w:ind w:firstLineChars="200" w:firstLine="420"/>
        <w:rPr>
          <w:color w:val="000000"/>
          <w:szCs w:val="21"/>
        </w:rPr>
      </w:pPr>
      <w:r>
        <w:rPr>
          <w:rFonts w:hint="eastAsia"/>
          <w:color w:val="000000"/>
          <w:szCs w:val="21"/>
        </w:rPr>
        <w:lastRenderedPageBreak/>
        <w:t>（</w:t>
      </w:r>
      <w:r>
        <w:rPr>
          <w:color w:val="000000"/>
          <w:szCs w:val="21"/>
        </w:rPr>
        <w:t>10</w:t>
      </w:r>
      <w:r>
        <w:rPr>
          <w:rFonts w:hint="eastAsia"/>
          <w:color w:val="000000"/>
          <w:szCs w:val="21"/>
        </w:rPr>
        <w:t>）基金管理人或基金托管人要求召开基金份额持有人大会；</w:t>
      </w:r>
    </w:p>
    <w:p w14:paraId="068A94A1"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）单独或合计持有本基金总份额</w:t>
      </w:r>
      <w:r>
        <w:rPr>
          <w:color w:val="000000"/>
          <w:szCs w:val="21"/>
        </w:rPr>
        <w:t>10%</w:t>
      </w:r>
      <w:r>
        <w:rPr>
          <w:rFonts w:hint="eastAsia"/>
          <w:color w:val="000000"/>
          <w:szCs w:val="21"/>
        </w:rPr>
        <w:t>以上（含</w:t>
      </w:r>
      <w:r>
        <w:rPr>
          <w:color w:val="000000"/>
          <w:szCs w:val="21"/>
        </w:rPr>
        <w:t>10%</w:t>
      </w:r>
      <w:r>
        <w:rPr>
          <w:rFonts w:hint="eastAsia"/>
          <w:color w:val="000000"/>
          <w:szCs w:val="21"/>
        </w:rPr>
        <w:t>）基金份额的基金份额持有人（以基金管理人收到提议当日的基金份额计算，下同）就同一事项书面要求召开基金份额持有人大会；</w:t>
      </w:r>
    </w:p>
    <w:p w14:paraId="0D749C3D"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12</w:t>
      </w:r>
      <w:r>
        <w:rPr>
          <w:rFonts w:hint="eastAsia"/>
          <w:color w:val="000000"/>
          <w:szCs w:val="21"/>
        </w:rPr>
        <w:t>）终止基金上市，但被深圳证券交易所决定终止上市的除外；</w:t>
      </w:r>
    </w:p>
    <w:p w14:paraId="4D9A8908"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13</w:t>
      </w:r>
      <w:r>
        <w:rPr>
          <w:rFonts w:hint="eastAsia"/>
          <w:color w:val="000000"/>
          <w:szCs w:val="21"/>
        </w:rPr>
        <w:t>）对《基金合同》当事人权利、义务产生重大影响的其他事项；</w:t>
      </w:r>
    </w:p>
    <w:p w14:paraId="3C87CC93" w14:textId="77777777" w:rsidR="00175DB4" w:rsidRDefault="000519D1">
      <w:pPr>
        <w:spacing w:line="440" w:lineRule="atLeast"/>
        <w:ind w:firstLineChars="200" w:firstLine="420"/>
        <w:rPr>
          <w:color w:val="000000"/>
          <w:szCs w:val="21"/>
        </w:rPr>
      </w:pPr>
      <w:r>
        <w:rPr>
          <w:rFonts w:hint="eastAsia"/>
          <w:color w:val="000000"/>
          <w:szCs w:val="21"/>
        </w:rPr>
        <w:t>（</w:t>
      </w:r>
      <w:r>
        <w:rPr>
          <w:color w:val="000000"/>
          <w:szCs w:val="21"/>
        </w:rPr>
        <w:t>14</w:t>
      </w:r>
      <w:r>
        <w:rPr>
          <w:rFonts w:hint="eastAsia"/>
          <w:color w:val="000000"/>
          <w:szCs w:val="21"/>
        </w:rPr>
        <w:t>）法律法规、《基金合同》或中国证监会规定的其他应当召开基金份额持有人大会的事项。</w:t>
      </w:r>
    </w:p>
    <w:p w14:paraId="40C006FB"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、在法律法规规定和《基金合同》约定的范围内且对基金份额持有人利益无实质性不利影响的前提下，以下情况可由基金管理人和基金托管人协商后修改，不需召开基金份额持有人大会：</w:t>
      </w:r>
    </w:p>
    <w:p w14:paraId="21D8B46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）法律法规要求增加的基金费用的收取；</w:t>
      </w:r>
    </w:p>
    <w:p w14:paraId="118CEE58" w14:textId="77777777" w:rsidR="00175DB4" w:rsidRDefault="000519D1">
      <w:pPr>
        <w:spacing w:line="480" w:lineRule="exact"/>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）调整基金的申购费率、调低赎回费率或变更收费方式；</w:t>
      </w:r>
    </w:p>
    <w:p w14:paraId="66A0582B" w14:textId="77777777" w:rsidR="00175DB4" w:rsidRDefault="000519D1">
      <w:pPr>
        <w:spacing w:line="480" w:lineRule="exact"/>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w:t>
      </w:r>
      <w:proofErr w:type="gramStart"/>
      <w:r>
        <w:rPr>
          <w:rFonts w:hint="eastAsia"/>
          <w:color w:val="000000"/>
          <w:szCs w:val="21"/>
        </w:rPr>
        <w:t>因相应</w:t>
      </w:r>
      <w:proofErr w:type="gramEnd"/>
      <w:r>
        <w:rPr>
          <w:rFonts w:hint="eastAsia"/>
          <w:color w:val="000000"/>
          <w:szCs w:val="21"/>
        </w:rPr>
        <w:t>的法律法规、相关证券交易所或者登记机构的相关业务规则发生变动以及中国证监会的相关规定，应当对《基金合同》进行修改；</w:t>
      </w:r>
    </w:p>
    <w:p w14:paraId="30635E49" w14:textId="77777777" w:rsidR="00175DB4" w:rsidRDefault="000519D1">
      <w:pPr>
        <w:spacing w:line="480" w:lineRule="exact"/>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）基金管理人、证券交易所、登记机构、销售机构调整有关基金认购、申购、赎回、交易、收益分配、</w:t>
      </w:r>
      <w:proofErr w:type="gramStart"/>
      <w:r>
        <w:rPr>
          <w:rFonts w:hint="eastAsia"/>
          <w:color w:val="000000"/>
          <w:szCs w:val="21"/>
        </w:rPr>
        <w:t>非交易</w:t>
      </w:r>
      <w:proofErr w:type="gramEnd"/>
      <w:r>
        <w:rPr>
          <w:rFonts w:hint="eastAsia"/>
          <w:color w:val="000000"/>
          <w:szCs w:val="21"/>
        </w:rPr>
        <w:t>过户等业务的规则；</w:t>
      </w:r>
    </w:p>
    <w:p w14:paraId="6F24E93D" w14:textId="5613B976"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）对《基金合同》的修改对基金份额持有人利益无实质性不利影响或修改不涉及《基金合同》当事人权利义务关系发生</w:t>
      </w:r>
      <w:r w:rsidR="00D63951">
        <w:rPr>
          <w:rFonts w:hint="eastAsia"/>
          <w:color w:val="000000"/>
          <w:szCs w:val="21"/>
        </w:rPr>
        <w:t>重大</w:t>
      </w:r>
      <w:r>
        <w:rPr>
          <w:rFonts w:hint="eastAsia"/>
          <w:color w:val="000000"/>
          <w:szCs w:val="21"/>
        </w:rPr>
        <w:t>变化；</w:t>
      </w:r>
    </w:p>
    <w:p w14:paraId="7614B76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）调整基金的申购赎回方式及申购对价、赎回对价组成；</w:t>
      </w:r>
    </w:p>
    <w:p w14:paraId="13CBE59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）调整基金份额净值、申购赎回清单的计算和公告时间或频率；</w:t>
      </w:r>
    </w:p>
    <w:p w14:paraId="1032EA1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）本基金的联接基金采取特殊申购或其他方式参与本基金的申购赎回；</w:t>
      </w:r>
    </w:p>
    <w:p w14:paraId="0C4AEB8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9</w:t>
      </w:r>
      <w:r>
        <w:rPr>
          <w:rFonts w:hint="eastAsia"/>
          <w:color w:val="000000"/>
          <w:szCs w:val="21"/>
        </w:rPr>
        <w:t>）增加、减少、调整基金份额类别设置；</w:t>
      </w:r>
    </w:p>
    <w:p w14:paraId="3139F02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10</w:t>
      </w:r>
      <w:r>
        <w:rPr>
          <w:rFonts w:hint="eastAsia"/>
          <w:color w:val="000000"/>
          <w:szCs w:val="21"/>
        </w:rPr>
        <w:t>）履行相关程序后，基金推出新业务或服务；</w:t>
      </w:r>
    </w:p>
    <w:p w14:paraId="3C5A3789" w14:textId="6A0569D8"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11</w:t>
      </w:r>
      <w:r>
        <w:rPr>
          <w:rFonts w:hint="eastAsia"/>
          <w:color w:val="000000"/>
          <w:szCs w:val="21"/>
        </w:rPr>
        <w:t>）按照法律法规或《基金合同》规定不需召开基金份额持有人大会的其他情形。</w:t>
      </w:r>
    </w:p>
    <w:p w14:paraId="6C114A8C" w14:textId="77777777" w:rsidR="00175DB4" w:rsidRDefault="000519D1">
      <w:pPr>
        <w:spacing w:line="360" w:lineRule="auto"/>
        <w:ind w:firstLineChars="200" w:firstLine="420"/>
        <w:rPr>
          <w:color w:val="000000"/>
          <w:szCs w:val="21"/>
        </w:rPr>
      </w:pPr>
      <w:r>
        <w:rPr>
          <w:rFonts w:hint="eastAsia"/>
          <w:color w:val="000000"/>
          <w:szCs w:val="21"/>
        </w:rPr>
        <w:t>（四）会议召集人及召集方式</w:t>
      </w:r>
    </w:p>
    <w:p w14:paraId="6E65DD82"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、除法律法规规定或《基金合同》另有约定外，基金份额持有人大会由基金管理人召集；</w:t>
      </w:r>
    </w:p>
    <w:p w14:paraId="54EFBFC8"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、基金管理人未按规定召集或不能召集时，由基金托管人召集；</w:t>
      </w:r>
    </w:p>
    <w:p w14:paraId="0C9D49BB" w14:textId="77777777"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、基金托管人认为有必要召开基金份额持有人大会的，应当向基金管理人提出书面</w:t>
      </w:r>
      <w:r>
        <w:rPr>
          <w:rFonts w:hint="eastAsia"/>
          <w:color w:val="000000"/>
          <w:szCs w:val="21"/>
        </w:rPr>
        <w:lastRenderedPageBreak/>
        <w:t>提议。基金管理人应当自收到书面提议之日起</w:t>
      </w:r>
      <w:r>
        <w:rPr>
          <w:color w:val="000000"/>
          <w:szCs w:val="21"/>
        </w:rPr>
        <w:t xml:space="preserve"> 10</w:t>
      </w:r>
      <w:r>
        <w:rPr>
          <w:rFonts w:hint="eastAsia"/>
          <w:color w:val="000000"/>
          <w:szCs w:val="21"/>
        </w:rPr>
        <w:t>日内决定是否召集，并书面告知基金托管人。基金管理人决定召集的，应当自出具书面决定之日起</w:t>
      </w:r>
      <w:r>
        <w:rPr>
          <w:color w:val="000000"/>
          <w:szCs w:val="21"/>
        </w:rPr>
        <w:t xml:space="preserve"> </w:t>
      </w:r>
    </w:p>
    <w:p w14:paraId="092237E5" w14:textId="77777777" w:rsidR="00175DB4" w:rsidRDefault="000519D1">
      <w:pPr>
        <w:spacing w:line="360" w:lineRule="auto"/>
        <w:rPr>
          <w:color w:val="000000"/>
          <w:szCs w:val="21"/>
        </w:rPr>
      </w:pPr>
      <w:r>
        <w:rPr>
          <w:color w:val="000000"/>
          <w:szCs w:val="21"/>
        </w:rPr>
        <w:t>60</w:t>
      </w:r>
      <w:r>
        <w:rPr>
          <w:rFonts w:hint="eastAsia"/>
          <w:color w:val="000000"/>
          <w:szCs w:val="21"/>
        </w:rPr>
        <w:t>日内召开；基金管理人决定不召集，基金托管人仍认为有必要召开的，应当由基金托管人自行召集，并自出具书面决定之日起</w:t>
      </w:r>
      <w:r>
        <w:rPr>
          <w:color w:val="000000"/>
          <w:szCs w:val="21"/>
        </w:rPr>
        <w:t>60</w:t>
      </w:r>
      <w:r>
        <w:rPr>
          <w:rFonts w:hint="eastAsia"/>
          <w:color w:val="000000"/>
          <w:szCs w:val="21"/>
        </w:rPr>
        <w:t>日内召开并告知基金管理人，基金管理人应当配合；</w:t>
      </w:r>
    </w:p>
    <w:p w14:paraId="00C6FF12" w14:textId="77777777" w:rsidR="00175DB4" w:rsidRDefault="000519D1">
      <w:pPr>
        <w:spacing w:line="360" w:lineRule="auto"/>
        <w:ind w:firstLine="420"/>
        <w:rPr>
          <w:color w:val="000000"/>
          <w:szCs w:val="21"/>
        </w:rPr>
      </w:pPr>
      <w:r>
        <w:rPr>
          <w:color w:val="000000"/>
          <w:szCs w:val="21"/>
        </w:rPr>
        <w:t>4</w:t>
      </w:r>
      <w:r>
        <w:rPr>
          <w:rFonts w:hint="eastAsia"/>
          <w:color w:val="000000"/>
          <w:szCs w:val="21"/>
        </w:rPr>
        <w:t>、代表基金份额</w:t>
      </w:r>
      <w:r>
        <w:rPr>
          <w:color w:val="000000"/>
          <w:szCs w:val="21"/>
        </w:rPr>
        <w:t>10%</w:t>
      </w:r>
      <w:r>
        <w:rPr>
          <w:rFonts w:hint="eastAsia"/>
          <w:color w:val="000000"/>
          <w:szCs w:val="21"/>
        </w:rPr>
        <w:t>以上（含</w:t>
      </w:r>
      <w:r>
        <w:rPr>
          <w:color w:val="000000"/>
          <w:szCs w:val="21"/>
        </w:rPr>
        <w:t>10%</w:t>
      </w:r>
      <w:r>
        <w:rPr>
          <w:rFonts w:hint="eastAsia"/>
          <w:color w:val="000000"/>
          <w:szCs w:val="21"/>
        </w:rPr>
        <w:t>）的基金份额持有人就同一事项书面要求召开基金份额持有人大会，应当向基金管理人提出书面提议。基金管理人应当自收到书面提议之日起</w:t>
      </w:r>
      <w:r>
        <w:rPr>
          <w:color w:val="000000"/>
          <w:szCs w:val="21"/>
        </w:rPr>
        <w:t>10</w:t>
      </w:r>
      <w:r>
        <w:rPr>
          <w:rFonts w:hint="eastAsia"/>
          <w:color w:val="000000"/>
          <w:szCs w:val="21"/>
        </w:rPr>
        <w:t>日内决定是否召集，并书面告知提出提议的基金份额持有人代表和基金托管人。基金管理人决定召集的，应当自出具书面决定之日起</w:t>
      </w:r>
      <w:r>
        <w:rPr>
          <w:color w:val="000000"/>
          <w:szCs w:val="21"/>
        </w:rPr>
        <w:t>60</w:t>
      </w:r>
      <w:r>
        <w:rPr>
          <w:rFonts w:hint="eastAsia"/>
          <w:color w:val="000000"/>
          <w:szCs w:val="21"/>
        </w:rPr>
        <w:t>日内召开；基金管理人决定不召集，代表基金份额</w:t>
      </w:r>
      <w:r>
        <w:rPr>
          <w:color w:val="000000"/>
          <w:szCs w:val="21"/>
        </w:rPr>
        <w:t>10%</w:t>
      </w:r>
      <w:r>
        <w:rPr>
          <w:rFonts w:hint="eastAsia"/>
          <w:color w:val="000000"/>
          <w:szCs w:val="21"/>
        </w:rPr>
        <w:t>以上（含</w:t>
      </w:r>
      <w:r>
        <w:rPr>
          <w:color w:val="000000"/>
          <w:szCs w:val="21"/>
        </w:rPr>
        <w:t>10%</w:t>
      </w:r>
      <w:r>
        <w:rPr>
          <w:rFonts w:hint="eastAsia"/>
          <w:color w:val="000000"/>
          <w:szCs w:val="21"/>
        </w:rPr>
        <w:t>）的基金份额持有人仍认为有必要召开的，应当向基金托管人提出书面提议。基金托管人应当自收到书面提议之日起</w:t>
      </w:r>
      <w:r>
        <w:rPr>
          <w:color w:val="000000"/>
          <w:szCs w:val="21"/>
        </w:rPr>
        <w:t>10</w:t>
      </w:r>
      <w:r>
        <w:rPr>
          <w:rFonts w:hint="eastAsia"/>
          <w:color w:val="000000"/>
          <w:szCs w:val="21"/>
        </w:rPr>
        <w:t>日内决定是否召集，并书面告知提出提议的基金份额持有人代表和基金管理人；基金托管人决定召集的，应当自出具书面决定之日起</w:t>
      </w:r>
      <w:r>
        <w:rPr>
          <w:color w:val="000000"/>
          <w:szCs w:val="21"/>
        </w:rPr>
        <w:t>60</w:t>
      </w:r>
      <w:r>
        <w:rPr>
          <w:rFonts w:hint="eastAsia"/>
          <w:color w:val="000000"/>
          <w:szCs w:val="21"/>
        </w:rPr>
        <w:t>日内召开并告知基金管理人，基金管理人应当配合；</w:t>
      </w:r>
    </w:p>
    <w:p w14:paraId="6D3415D3" w14:textId="77777777" w:rsidR="00175DB4" w:rsidRDefault="000519D1">
      <w:pPr>
        <w:spacing w:line="360" w:lineRule="auto"/>
        <w:ind w:firstLineChars="200" w:firstLine="420"/>
        <w:rPr>
          <w:color w:val="000000"/>
          <w:szCs w:val="21"/>
        </w:rPr>
      </w:pPr>
      <w:r>
        <w:rPr>
          <w:color w:val="000000"/>
          <w:szCs w:val="21"/>
        </w:rPr>
        <w:t>5</w:t>
      </w:r>
      <w:r>
        <w:rPr>
          <w:rFonts w:hint="eastAsia"/>
          <w:color w:val="000000"/>
          <w:szCs w:val="21"/>
        </w:rPr>
        <w:t>、代表基金份额</w:t>
      </w:r>
      <w:r>
        <w:rPr>
          <w:color w:val="000000"/>
          <w:szCs w:val="21"/>
        </w:rPr>
        <w:t>10%</w:t>
      </w:r>
      <w:r>
        <w:rPr>
          <w:rFonts w:hint="eastAsia"/>
          <w:color w:val="000000"/>
          <w:szCs w:val="21"/>
        </w:rPr>
        <w:t>以上（含</w:t>
      </w:r>
      <w:r>
        <w:rPr>
          <w:color w:val="000000"/>
          <w:szCs w:val="21"/>
        </w:rPr>
        <w:t>10%</w:t>
      </w:r>
      <w:r>
        <w:rPr>
          <w:rFonts w:hint="eastAsia"/>
          <w:color w:val="000000"/>
          <w:szCs w:val="21"/>
        </w:rPr>
        <w:t>）的基金份额持有人就同一事项要求召开基金份额持有人大会，而基金管理人、基金托管人都不召集的，单独或合计代表基金份额</w:t>
      </w:r>
      <w:r>
        <w:rPr>
          <w:color w:val="000000"/>
          <w:szCs w:val="21"/>
        </w:rPr>
        <w:t>10%</w:t>
      </w:r>
      <w:r>
        <w:rPr>
          <w:rFonts w:hint="eastAsia"/>
          <w:color w:val="000000"/>
          <w:szCs w:val="21"/>
        </w:rPr>
        <w:t>以上（含</w:t>
      </w:r>
      <w:r>
        <w:rPr>
          <w:color w:val="000000"/>
          <w:szCs w:val="21"/>
        </w:rPr>
        <w:t>10%</w:t>
      </w:r>
      <w:r>
        <w:rPr>
          <w:rFonts w:hint="eastAsia"/>
          <w:color w:val="000000"/>
          <w:szCs w:val="21"/>
        </w:rPr>
        <w:t>）的基金份额持有人有权自行召集，并至少提前</w:t>
      </w:r>
      <w:r>
        <w:rPr>
          <w:color w:val="000000"/>
          <w:szCs w:val="21"/>
        </w:rPr>
        <w:t>30</w:t>
      </w:r>
      <w:r>
        <w:rPr>
          <w:rFonts w:hint="eastAsia"/>
          <w:color w:val="000000"/>
          <w:szCs w:val="21"/>
        </w:rPr>
        <w:t>日报中国证监会备案。基金份额持有人依法自行召集基金份额持有人大会的，基金管理人、基金托管人应当配合，不得阻碍、干扰；</w:t>
      </w:r>
    </w:p>
    <w:p w14:paraId="755C5BEE" w14:textId="419976F8" w:rsidR="00175DB4" w:rsidRDefault="000519D1" w:rsidP="008647F5">
      <w:pPr>
        <w:spacing w:line="360" w:lineRule="auto"/>
        <w:ind w:firstLineChars="200" w:firstLine="420"/>
        <w:rPr>
          <w:color w:val="000000"/>
          <w:szCs w:val="21"/>
        </w:rPr>
      </w:pPr>
      <w:r>
        <w:rPr>
          <w:color w:val="000000"/>
          <w:szCs w:val="21"/>
        </w:rPr>
        <w:t>6</w:t>
      </w:r>
      <w:r>
        <w:rPr>
          <w:rFonts w:hint="eastAsia"/>
          <w:color w:val="000000"/>
          <w:szCs w:val="21"/>
        </w:rPr>
        <w:t>、基金份额持有人会议的召集人负责选择确定开会时间、地点、方式和权益登记日。</w:t>
      </w:r>
    </w:p>
    <w:p w14:paraId="733FA74E" w14:textId="77777777" w:rsidR="00175DB4" w:rsidRDefault="000519D1">
      <w:pPr>
        <w:spacing w:line="360" w:lineRule="auto"/>
        <w:ind w:firstLineChars="200" w:firstLine="420"/>
        <w:rPr>
          <w:color w:val="000000"/>
          <w:szCs w:val="21"/>
        </w:rPr>
      </w:pPr>
      <w:r>
        <w:rPr>
          <w:rFonts w:hint="eastAsia"/>
          <w:color w:val="000000"/>
          <w:szCs w:val="21"/>
        </w:rPr>
        <w:t>（五）召开基金份额持有人大会的通知时间、通知内容、通知方式</w:t>
      </w:r>
    </w:p>
    <w:p w14:paraId="6C025731"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、召开基金份额持有人大会，召集人应于会议召开前</w:t>
      </w:r>
      <w:r>
        <w:rPr>
          <w:color w:val="000000"/>
          <w:szCs w:val="21"/>
        </w:rPr>
        <w:t>30</w:t>
      </w:r>
      <w:r>
        <w:rPr>
          <w:rFonts w:hint="eastAsia"/>
          <w:color w:val="000000"/>
          <w:szCs w:val="21"/>
        </w:rPr>
        <w:t>日，在规定媒介公告。基金份额持有人大会通知应至少载明以下内容：</w:t>
      </w:r>
    </w:p>
    <w:p w14:paraId="30D7D66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）会议召开的时间、地点和会议形式；</w:t>
      </w:r>
    </w:p>
    <w:p w14:paraId="6348308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）会议</w:t>
      </w:r>
      <w:proofErr w:type="gramStart"/>
      <w:r>
        <w:rPr>
          <w:rFonts w:hint="eastAsia"/>
          <w:color w:val="000000"/>
          <w:szCs w:val="21"/>
        </w:rPr>
        <w:t>拟审议</w:t>
      </w:r>
      <w:proofErr w:type="gramEnd"/>
      <w:r>
        <w:rPr>
          <w:rFonts w:hint="eastAsia"/>
          <w:color w:val="000000"/>
          <w:szCs w:val="21"/>
        </w:rPr>
        <w:t>的事项、议事程序和表决方式；</w:t>
      </w:r>
    </w:p>
    <w:p w14:paraId="6379F34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）有权出席基金份额持有人大会的基金份额持有人的权益登记日；</w:t>
      </w:r>
    </w:p>
    <w:p w14:paraId="58777F0D"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）授权委托证明的内容要求（包括但不限于代理人身份，代理权限和代理有效期限等）、送达时间和地点；</w:t>
      </w:r>
    </w:p>
    <w:p w14:paraId="7B520AC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）会务常设联系人姓名及联系电话；</w:t>
      </w:r>
    </w:p>
    <w:p w14:paraId="1573AA0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）出席会议者必须准备的文件和必须履行的手续；</w:t>
      </w:r>
    </w:p>
    <w:p w14:paraId="114F1B53"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）召集人需要通知的其他事项。</w:t>
      </w:r>
    </w:p>
    <w:p w14:paraId="22D802E4" w14:textId="11126E9B" w:rsidR="00175DB4" w:rsidRDefault="000519D1">
      <w:pPr>
        <w:spacing w:line="360" w:lineRule="auto"/>
        <w:ind w:firstLineChars="200" w:firstLine="420"/>
        <w:rPr>
          <w:color w:val="000000"/>
          <w:szCs w:val="21"/>
        </w:rPr>
      </w:pPr>
      <w:r>
        <w:rPr>
          <w:color w:val="000000"/>
          <w:szCs w:val="21"/>
        </w:rPr>
        <w:lastRenderedPageBreak/>
        <w:t>2</w:t>
      </w:r>
      <w:r>
        <w:rPr>
          <w:rFonts w:hint="eastAsia"/>
          <w:color w:val="000000"/>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F3A018" w14:textId="77777777"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color w:val="000000"/>
          <w:szCs w:val="21"/>
        </w:rPr>
        <w:t>拒不派</w:t>
      </w:r>
      <w:proofErr w:type="gramEnd"/>
      <w:r>
        <w:rPr>
          <w:rFonts w:hint="eastAsia"/>
          <w:color w:val="000000"/>
          <w:szCs w:val="21"/>
        </w:rPr>
        <w:t>代表对表决意见的计票进行监督的，不影响表决意见的计票效力。</w:t>
      </w:r>
    </w:p>
    <w:p w14:paraId="4451AC8F" w14:textId="77777777" w:rsidR="00175DB4" w:rsidRDefault="000519D1">
      <w:pPr>
        <w:spacing w:line="360" w:lineRule="auto"/>
        <w:ind w:firstLineChars="200" w:firstLine="420"/>
        <w:rPr>
          <w:color w:val="000000"/>
          <w:szCs w:val="21"/>
        </w:rPr>
      </w:pPr>
      <w:r>
        <w:rPr>
          <w:rFonts w:hint="eastAsia"/>
          <w:color w:val="000000"/>
          <w:szCs w:val="21"/>
        </w:rPr>
        <w:t>（六）基金份额持有人出席会议的方式</w:t>
      </w:r>
    </w:p>
    <w:p w14:paraId="0C55BCC0" w14:textId="77777777" w:rsidR="00175DB4" w:rsidRDefault="000519D1">
      <w:pPr>
        <w:spacing w:line="360" w:lineRule="auto"/>
        <w:ind w:firstLineChars="200" w:firstLine="420"/>
        <w:rPr>
          <w:color w:val="000000"/>
          <w:szCs w:val="21"/>
        </w:rPr>
      </w:pPr>
      <w:r>
        <w:rPr>
          <w:rFonts w:hint="eastAsia"/>
          <w:color w:val="000000"/>
          <w:szCs w:val="21"/>
        </w:rPr>
        <w:t>基金份额持有人大会可通过现场开会方式、通讯开会方式或法律法规、监管机关允许的其他方式召开，会议的召开方式由会议召集人确定。</w:t>
      </w:r>
    </w:p>
    <w:p w14:paraId="5036BA36"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E9286C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6486B7C"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color w:val="000000"/>
          <w:szCs w:val="21"/>
        </w:rPr>
        <w:t>3</w:t>
      </w:r>
      <w:r>
        <w:rPr>
          <w:rFonts w:hint="eastAsia"/>
          <w:color w:val="000000"/>
          <w:szCs w:val="21"/>
        </w:rPr>
        <w:t>个月以后、</w:t>
      </w:r>
      <w:r>
        <w:rPr>
          <w:color w:val="000000"/>
          <w:szCs w:val="21"/>
        </w:rPr>
        <w:t>6</w:t>
      </w:r>
      <w:r>
        <w:rPr>
          <w:rFonts w:hint="eastAsia"/>
          <w:color w:val="000000"/>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35057EE" w14:textId="60C10B71"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、通讯开会。</w:t>
      </w:r>
      <w:r w:rsidR="00D63951" w:rsidRPr="00D63951">
        <w:rPr>
          <w:rFonts w:hint="eastAsia"/>
          <w:color w:val="000000"/>
          <w:szCs w:val="21"/>
        </w:rPr>
        <w:t>通讯开会系指基金份额持有人将其对表决事项的投票以书面形式或会议通知载明的形式在表决截止日以前送达至召集人指定的地址或系统。通讯开会应以书面方式或会议通知载明的其他形式进行表决。</w:t>
      </w:r>
    </w:p>
    <w:p w14:paraId="0C49FDCF" w14:textId="77777777" w:rsidR="00175DB4" w:rsidRDefault="000519D1">
      <w:pPr>
        <w:spacing w:line="360" w:lineRule="auto"/>
        <w:ind w:firstLineChars="200" w:firstLine="420"/>
        <w:rPr>
          <w:color w:val="000000"/>
          <w:szCs w:val="21"/>
        </w:rPr>
      </w:pPr>
      <w:r>
        <w:rPr>
          <w:rFonts w:hint="eastAsia"/>
          <w:color w:val="000000"/>
          <w:szCs w:val="21"/>
        </w:rPr>
        <w:t>在同时符合以下条件时，通讯开会的方式视为有效：</w:t>
      </w:r>
    </w:p>
    <w:p w14:paraId="0D9AB875"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）会议召集人按《基金合同》约定公布会议通知后，在</w:t>
      </w:r>
      <w:r>
        <w:rPr>
          <w:color w:val="000000"/>
          <w:szCs w:val="21"/>
        </w:rPr>
        <w:t>2</w:t>
      </w:r>
      <w:r>
        <w:rPr>
          <w:rFonts w:hint="eastAsia"/>
          <w:color w:val="000000"/>
          <w:szCs w:val="21"/>
        </w:rPr>
        <w:t>个工作日内连续公布相关提示性公告；</w:t>
      </w:r>
    </w:p>
    <w:p w14:paraId="03A31435" w14:textId="68E0CBDC" w:rsidR="00175DB4" w:rsidRDefault="000519D1">
      <w:pPr>
        <w:spacing w:line="360" w:lineRule="auto"/>
        <w:ind w:firstLineChars="200" w:firstLine="420"/>
        <w:rPr>
          <w:color w:val="000000"/>
          <w:szCs w:val="21"/>
        </w:rPr>
      </w:pPr>
      <w:r>
        <w:rPr>
          <w:rFonts w:hint="eastAsia"/>
          <w:color w:val="000000"/>
          <w:szCs w:val="21"/>
        </w:rPr>
        <w:lastRenderedPageBreak/>
        <w:t>（</w:t>
      </w:r>
      <w:r>
        <w:rPr>
          <w:color w:val="000000"/>
          <w:szCs w:val="21"/>
        </w:rPr>
        <w:t>2</w:t>
      </w:r>
      <w:r>
        <w:rPr>
          <w:rFonts w:hint="eastAsia"/>
          <w:color w:val="000000"/>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4AF578" w14:textId="12F9A0A6" w:rsidR="00175DB4" w:rsidRDefault="000519D1" w:rsidP="00975E0D">
      <w:pPr>
        <w:spacing w:line="360" w:lineRule="auto"/>
        <w:ind w:firstLineChars="225" w:firstLine="473"/>
        <w:rPr>
          <w:color w:val="000000"/>
          <w:szCs w:val="21"/>
        </w:rPr>
      </w:pPr>
      <w:r>
        <w:rPr>
          <w:rFonts w:hint="eastAsia"/>
          <w:color w:val="000000"/>
          <w:szCs w:val="21"/>
        </w:rPr>
        <w:t>（</w:t>
      </w:r>
      <w:r>
        <w:rPr>
          <w:color w:val="000000"/>
          <w:szCs w:val="21"/>
        </w:rPr>
        <w:t>3</w:t>
      </w:r>
      <w:r>
        <w:rPr>
          <w:rFonts w:hint="eastAsia"/>
          <w:color w:val="000000"/>
          <w:szCs w:val="21"/>
        </w:rPr>
        <w:t>）本人直接出具表决意见或授权他人代表出具表决意见的，基金份额持有人所持有的基金份额不小于在权益登记日基金总份额的二分之一（含二分之一）</w:t>
      </w:r>
      <w:r w:rsidR="0011532A">
        <w:rPr>
          <w:rFonts w:hint="eastAsia"/>
          <w:color w:val="000000"/>
          <w:szCs w:val="21"/>
        </w:rPr>
        <w:t>；</w:t>
      </w:r>
      <w:r>
        <w:rPr>
          <w:rFonts w:hint="eastAsia"/>
          <w:color w:val="000000"/>
          <w:szCs w:val="21"/>
        </w:rPr>
        <w:t>若本人直接出具表决意见或授权他人代表出具表决意见</w:t>
      </w:r>
      <w:r w:rsidR="00D63951">
        <w:rPr>
          <w:rFonts w:hint="eastAsia"/>
          <w:color w:val="000000"/>
          <w:szCs w:val="21"/>
        </w:rPr>
        <w:t>的</w:t>
      </w:r>
      <w:r>
        <w:rPr>
          <w:rFonts w:hint="eastAsia"/>
          <w:color w:val="000000"/>
          <w:szCs w:val="21"/>
        </w:rPr>
        <w:t>基金份额持有人所持有的基金份额小于在权益登记日基金总份额的二分之一，召集人可以在原公告的基金份额持有人大会召开时间的</w:t>
      </w:r>
      <w:r>
        <w:rPr>
          <w:color w:val="000000"/>
          <w:szCs w:val="21"/>
        </w:rPr>
        <w:t>3</w:t>
      </w:r>
      <w:r>
        <w:rPr>
          <w:rFonts w:hint="eastAsia"/>
          <w:color w:val="000000"/>
          <w:szCs w:val="21"/>
        </w:rPr>
        <w:t>个月以后、</w:t>
      </w:r>
      <w:r>
        <w:rPr>
          <w:color w:val="000000"/>
          <w:szCs w:val="21"/>
        </w:rPr>
        <w:t>6</w:t>
      </w:r>
      <w:r>
        <w:rPr>
          <w:rFonts w:hint="eastAsia"/>
          <w:color w:val="000000"/>
          <w:szCs w:val="21"/>
        </w:rPr>
        <w:t>个月以内，就原定审议事项重新召集基金份额持有人大会。重新召集的基金份额持有人大会应当有代表三分之一以上（含三分之一）基金份额的</w:t>
      </w:r>
      <w:r w:rsidR="00D63951">
        <w:rPr>
          <w:rFonts w:hint="eastAsia"/>
          <w:color w:val="000000"/>
          <w:szCs w:val="21"/>
        </w:rPr>
        <w:t>基金份额</w:t>
      </w:r>
      <w:r>
        <w:rPr>
          <w:rFonts w:hint="eastAsia"/>
          <w:color w:val="000000"/>
          <w:szCs w:val="21"/>
        </w:rPr>
        <w:t>持有人直接出具表决意见或授权他人代表出具表决意见；</w:t>
      </w:r>
    </w:p>
    <w:p w14:paraId="30B7C99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）上述第（</w:t>
      </w:r>
      <w:r>
        <w:rPr>
          <w:color w:val="000000"/>
          <w:szCs w:val="21"/>
        </w:rPr>
        <w:t>3</w:t>
      </w:r>
      <w:r>
        <w:rPr>
          <w:rFonts w:hint="eastAsia"/>
          <w:color w:val="000000"/>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5BEA81D" w14:textId="0D94BF19"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w:t>
      </w:r>
      <w:r w:rsidR="00D63951" w:rsidRPr="00D63951">
        <w:rPr>
          <w:rFonts w:hint="eastAsia"/>
          <w:color w:val="000000"/>
          <w:szCs w:val="21"/>
        </w:rPr>
        <w:t>在法律法规或监管机构允许的情况下，经会议通知载明，基金份额持有人大会可通过网络、电话等非现场方式召开，本基金亦可采用其他非现场方式或者以现场方式与非现场方式相结合的方式召开基金份额持有人大会，会议程序比照现场开会和通讯方式开会的程序进行，且除书面授权外，基金份额持有人之间的授权亦可根据召集人在会议通知中规定的方式，通过电话、网络等方式进行。</w:t>
      </w:r>
    </w:p>
    <w:p w14:paraId="4E4421B9" w14:textId="77777777" w:rsidR="00175DB4" w:rsidRDefault="000519D1">
      <w:pPr>
        <w:spacing w:line="360" w:lineRule="auto"/>
        <w:ind w:firstLineChars="200" w:firstLine="420"/>
        <w:rPr>
          <w:color w:val="000000"/>
          <w:szCs w:val="21"/>
        </w:rPr>
      </w:pPr>
      <w:r>
        <w:rPr>
          <w:rFonts w:hint="eastAsia"/>
          <w:color w:val="000000"/>
          <w:szCs w:val="21"/>
        </w:rPr>
        <w:t>（七）议事内容与程序</w:t>
      </w:r>
    </w:p>
    <w:p w14:paraId="26CE9119"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、议事内容及提案权</w:t>
      </w:r>
    </w:p>
    <w:p w14:paraId="5DA12C38" w14:textId="77777777" w:rsidR="00175DB4" w:rsidRDefault="000519D1">
      <w:pPr>
        <w:spacing w:line="360" w:lineRule="auto"/>
        <w:ind w:firstLineChars="200" w:firstLine="420"/>
        <w:rPr>
          <w:color w:val="000000"/>
          <w:szCs w:val="21"/>
        </w:rPr>
      </w:pPr>
      <w:r>
        <w:rPr>
          <w:rFonts w:hint="eastAsia"/>
          <w:color w:val="000000"/>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B2A4CC5" w14:textId="77777777" w:rsidR="00175DB4" w:rsidRDefault="000519D1">
      <w:pPr>
        <w:spacing w:line="360" w:lineRule="auto"/>
        <w:ind w:firstLineChars="200" w:firstLine="420"/>
        <w:rPr>
          <w:color w:val="000000"/>
          <w:szCs w:val="21"/>
        </w:rPr>
      </w:pPr>
      <w:r>
        <w:rPr>
          <w:rFonts w:hint="eastAsia"/>
          <w:color w:val="000000"/>
          <w:szCs w:val="21"/>
        </w:rPr>
        <w:t>基金份额持有人大会的召集人发出召集会议的通知后，对原有提案的修改应当在基金份额持有人大会召开前及时公告。</w:t>
      </w:r>
    </w:p>
    <w:p w14:paraId="70CFCEAC" w14:textId="77777777" w:rsidR="00175DB4" w:rsidRDefault="000519D1">
      <w:pPr>
        <w:spacing w:line="360" w:lineRule="auto"/>
        <w:ind w:firstLineChars="200" w:firstLine="420"/>
        <w:rPr>
          <w:color w:val="000000"/>
          <w:szCs w:val="21"/>
        </w:rPr>
      </w:pPr>
      <w:r>
        <w:rPr>
          <w:rFonts w:hint="eastAsia"/>
          <w:color w:val="000000"/>
          <w:szCs w:val="21"/>
        </w:rPr>
        <w:t>基金份额持有人大会不得对未事先公告的议事内容进行表决。</w:t>
      </w:r>
    </w:p>
    <w:p w14:paraId="6F3883A8"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、议事程序</w:t>
      </w:r>
    </w:p>
    <w:p w14:paraId="661FC8E1" w14:textId="77777777" w:rsidR="00175DB4" w:rsidRDefault="000519D1">
      <w:pPr>
        <w:spacing w:line="360" w:lineRule="auto"/>
        <w:ind w:firstLineChars="200" w:firstLine="420"/>
        <w:rPr>
          <w:color w:val="000000"/>
          <w:szCs w:val="21"/>
        </w:rPr>
      </w:pPr>
      <w:r>
        <w:rPr>
          <w:rFonts w:hint="eastAsia"/>
          <w:color w:val="000000"/>
          <w:szCs w:val="21"/>
        </w:rPr>
        <w:lastRenderedPageBreak/>
        <w:t>（</w:t>
      </w:r>
      <w:r>
        <w:rPr>
          <w:color w:val="000000"/>
          <w:szCs w:val="21"/>
        </w:rPr>
        <w:t>1</w:t>
      </w:r>
      <w:r>
        <w:rPr>
          <w:rFonts w:hint="eastAsia"/>
          <w:color w:val="000000"/>
          <w:szCs w:val="21"/>
        </w:rPr>
        <w:t>）现场开会</w:t>
      </w:r>
    </w:p>
    <w:p w14:paraId="6C6A3B86" w14:textId="45A75000" w:rsidR="00175DB4" w:rsidRDefault="000519D1">
      <w:pPr>
        <w:spacing w:line="360" w:lineRule="auto"/>
        <w:ind w:firstLineChars="200" w:firstLine="420"/>
        <w:rPr>
          <w:color w:val="000000"/>
          <w:szCs w:val="21"/>
        </w:rPr>
      </w:pPr>
      <w:r>
        <w:rPr>
          <w:rFonts w:hint="eastAsia"/>
          <w:color w:val="000000"/>
          <w:szCs w:val="21"/>
        </w:rPr>
        <w:t>在现场开会的方式下，首先由大会主持人按照下列第</w:t>
      </w:r>
      <w:r w:rsidR="0065640E">
        <w:rPr>
          <w:rFonts w:hint="eastAsia"/>
          <w:color w:val="000000"/>
          <w:szCs w:val="21"/>
        </w:rPr>
        <w:t>（</w:t>
      </w:r>
      <w:r>
        <w:rPr>
          <w:rFonts w:hint="eastAsia"/>
          <w:color w:val="000000"/>
          <w:szCs w:val="21"/>
        </w:rPr>
        <w:t>九</w:t>
      </w:r>
      <w:r w:rsidR="0065640E">
        <w:rPr>
          <w:rFonts w:hint="eastAsia"/>
          <w:color w:val="000000"/>
          <w:szCs w:val="21"/>
        </w:rPr>
        <w:t>）</w:t>
      </w:r>
      <w:r>
        <w:rPr>
          <w:rFonts w:hint="eastAsia"/>
          <w:color w:val="000000"/>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color w:val="000000"/>
          <w:szCs w:val="21"/>
        </w:rPr>
        <w:t>作出</w:t>
      </w:r>
      <w:proofErr w:type="gramEnd"/>
      <w:r>
        <w:rPr>
          <w:rFonts w:hint="eastAsia"/>
          <w:color w:val="000000"/>
          <w:szCs w:val="21"/>
        </w:rPr>
        <w:t>的决议的效力。</w:t>
      </w:r>
    </w:p>
    <w:p w14:paraId="427A7113" w14:textId="77777777" w:rsidR="00175DB4" w:rsidRDefault="000519D1">
      <w:pPr>
        <w:spacing w:line="360" w:lineRule="auto"/>
        <w:ind w:firstLineChars="200" w:firstLine="420"/>
        <w:rPr>
          <w:color w:val="000000"/>
          <w:szCs w:val="21"/>
        </w:rPr>
      </w:pPr>
      <w:r>
        <w:rPr>
          <w:rFonts w:hint="eastAsia"/>
          <w:color w:val="000000"/>
          <w:szCs w:val="21"/>
        </w:rPr>
        <w:t>会议召集人应当制作出席会议人员的签名册。签名</w:t>
      </w:r>
      <w:proofErr w:type="gramStart"/>
      <w:r>
        <w:rPr>
          <w:rFonts w:hint="eastAsia"/>
          <w:color w:val="000000"/>
          <w:szCs w:val="21"/>
        </w:rPr>
        <w:t>册</w:t>
      </w:r>
      <w:proofErr w:type="gramEnd"/>
      <w:r>
        <w:rPr>
          <w:rFonts w:hint="eastAsia"/>
          <w:color w:val="000000"/>
          <w:szCs w:val="21"/>
        </w:rPr>
        <w:t>载明参加会议人员姓名（或单位名称）、身份证明文件号码、持有或代表有表决权的基金份额、委托人姓名（或单位名称）和联系方式等事项。</w:t>
      </w:r>
    </w:p>
    <w:p w14:paraId="6E50C73B"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）通讯开会</w:t>
      </w:r>
    </w:p>
    <w:p w14:paraId="2BF820C4" w14:textId="77777777" w:rsidR="00175DB4" w:rsidRDefault="000519D1">
      <w:pPr>
        <w:spacing w:line="360" w:lineRule="auto"/>
        <w:ind w:firstLineChars="200" w:firstLine="420"/>
        <w:rPr>
          <w:color w:val="000000"/>
          <w:szCs w:val="21"/>
        </w:rPr>
      </w:pPr>
      <w:r>
        <w:rPr>
          <w:rFonts w:hint="eastAsia"/>
          <w:color w:val="000000"/>
          <w:szCs w:val="21"/>
        </w:rPr>
        <w:t>在通讯开会的情况下，首先由召集人提前</w:t>
      </w:r>
      <w:r>
        <w:rPr>
          <w:color w:val="000000"/>
          <w:szCs w:val="21"/>
        </w:rPr>
        <w:t>30</w:t>
      </w:r>
      <w:r>
        <w:rPr>
          <w:rFonts w:hint="eastAsia"/>
          <w:color w:val="000000"/>
          <w:szCs w:val="21"/>
        </w:rPr>
        <w:t>日公布提案，在所通知的表决截止日期后</w:t>
      </w:r>
      <w:r>
        <w:rPr>
          <w:color w:val="000000"/>
          <w:szCs w:val="21"/>
        </w:rPr>
        <w:t>2</w:t>
      </w:r>
      <w:r>
        <w:rPr>
          <w:rFonts w:hint="eastAsia"/>
          <w:color w:val="000000"/>
          <w:szCs w:val="21"/>
        </w:rPr>
        <w:t>个工作日内在公证机关监督下由召集人统计全部有效表决，在公证机关监督下形成决议。</w:t>
      </w:r>
    </w:p>
    <w:p w14:paraId="690DBC44" w14:textId="77777777" w:rsidR="00175DB4" w:rsidRDefault="000519D1">
      <w:pPr>
        <w:spacing w:line="360" w:lineRule="auto"/>
        <w:ind w:firstLineChars="200" w:firstLine="420"/>
        <w:rPr>
          <w:color w:val="000000"/>
          <w:szCs w:val="21"/>
        </w:rPr>
      </w:pPr>
      <w:r>
        <w:rPr>
          <w:rFonts w:hint="eastAsia"/>
          <w:color w:val="000000"/>
          <w:szCs w:val="21"/>
        </w:rPr>
        <w:t>（八）表决</w:t>
      </w:r>
    </w:p>
    <w:p w14:paraId="4EFC7E54" w14:textId="77777777" w:rsidR="00175DB4" w:rsidRDefault="000519D1">
      <w:pPr>
        <w:spacing w:line="360" w:lineRule="auto"/>
        <w:ind w:firstLineChars="200" w:firstLine="420"/>
        <w:rPr>
          <w:color w:val="000000"/>
          <w:szCs w:val="21"/>
        </w:rPr>
      </w:pPr>
      <w:r>
        <w:rPr>
          <w:rFonts w:hint="eastAsia"/>
          <w:color w:val="000000"/>
          <w:szCs w:val="21"/>
        </w:rPr>
        <w:t>基金份额持有人所持每份基金份额有一票表决权。</w:t>
      </w:r>
    </w:p>
    <w:p w14:paraId="47873F7F" w14:textId="77777777" w:rsidR="00175DB4" w:rsidRDefault="000519D1">
      <w:pPr>
        <w:spacing w:line="360" w:lineRule="auto"/>
        <w:ind w:firstLineChars="200" w:firstLine="420"/>
        <w:rPr>
          <w:color w:val="000000"/>
          <w:szCs w:val="21"/>
        </w:rPr>
      </w:pPr>
      <w:r>
        <w:rPr>
          <w:rFonts w:hint="eastAsia"/>
          <w:color w:val="000000"/>
          <w:szCs w:val="21"/>
        </w:rPr>
        <w:t>基金份额持有人大会决议分为一般决议和特别决议：</w:t>
      </w:r>
    </w:p>
    <w:p w14:paraId="2A9BC2F4"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、一般决议，一般决议须经参加大会的基金份额持有人或其代理人所持表决权的二分之一以上（含二分之一）通过方为有效；除下列第</w:t>
      </w:r>
      <w:r>
        <w:rPr>
          <w:color w:val="000000"/>
          <w:szCs w:val="21"/>
        </w:rPr>
        <w:t>2</w:t>
      </w:r>
      <w:r>
        <w:rPr>
          <w:rFonts w:hint="eastAsia"/>
          <w:color w:val="000000"/>
          <w:szCs w:val="21"/>
        </w:rPr>
        <w:t>项所规定的须以特别决议通过事项以外的其他事项均以一般决议的方式通过。</w:t>
      </w:r>
    </w:p>
    <w:p w14:paraId="3492DFFC" w14:textId="58FF8492"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、特别决议，特别决议应当经参加大会的基金份额持有人或其代理人所持表决权的三分之二以上（含三分之二）通过方可做出。除</w:t>
      </w:r>
      <w:r w:rsidR="00D63951" w:rsidRPr="00D63951">
        <w:rPr>
          <w:rFonts w:hint="eastAsia"/>
          <w:color w:val="000000"/>
          <w:szCs w:val="21"/>
        </w:rPr>
        <w:t>法律法规、监管机构另有规定或</w:t>
      </w:r>
      <w:r>
        <w:rPr>
          <w:rFonts w:hint="eastAsia"/>
          <w:color w:val="000000"/>
          <w:szCs w:val="21"/>
        </w:rPr>
        <w:t>《基金合同》另有约定外，转换基金运作方式、更换基金管理人或者基金托管人、终止《基金合同》、本基金与其他基金合并以特别决议通过方为有效。</w:t>
      </w:r>
    </w:p>
    <w:p w14:paraId="01A79C1E" w14:textId="77777777" w:rsidR="00175DB4" w:rsidRDefault="000519D1">
      <w:pPr>
        <w:spacing w:line="360" w:lineRule="auto"/>
        <w:ind w:firstLineChars="200" w:firstLine="420"/>
        <w:rPr>
          <w:color w:val="000000"/>
          <w:szCs w:val="21"/>
        </w:rPr>
      </w:pPr>
      <w:r>
        <w:rPr>
          <w:rFonts w:hint="eastAsia"/>
          <w:color w:val="000000"/>
          <w:szCs w:val="21"/>
        </w:rPr>
        <w:t>基金份额持有人大会采取记名方式进行投票表决。</w:t>
      </w:r>
    </w:p>
    <w:p w14:paraId="161CEF03" w14:textId="77777777" w:rsidR="00175DB4" w:rsidRDefault="000519D1">
      <w:pPr>
        <w:spacing w:line="360" w:lineRule="auto"/>
        <w:ind w:firstLineChars="200" w:firstLine="420"/>
        <w:rPr>
          <w:color w:val="000000"/>
          <w:szCs w:val="21"/>
        </w:rPr>
      </w:pPr>
      <w:r>
        <w:rPr>
          <w:rFonts w:hint="eastAsia"/>
          <w:color w:val="000000"/>
          <w:szCs w:val="21"/>
        </w:rPr>
        <w:t>采取通讯方式进行表决时，除非在计票时有充分的相反证据证明，否则提交符合会议通知中规定的确认投资者身份文件的投资者视为有效出席的投资者，表面符合会议通知规定的表决意见视为有效表决，表决意见模糊不清或相互矛盾的视为弃权表决，但应当计入</w:t>
      </w:r>
      <w:r>
        <w:rPr>
          <w:rFonts w:hint="eastAsia"/>
          <w:color w:val="000000"/>
          <w:szCs w:val="21"/>
        </w:rPr>
        <w:lastRenderedPageBreak/>
        <w:t>出具表决意见的基金份额持有人所代表的基金份额总数。</w:t>
      </w:r>
    </w:p>
    <w:p w14:paraId="6F09FDD6" w14:textId="77777777" w:rsidR="00175DB4" w:rsidRDefault="000519D1">
      <w:pPr>
        <w:spacing w:line="360" w:lineRule="auto"/>
        <w:ind w:firstLineChars="200" w:firstLine="420"/>
        <w:rPr>
          <w:color w:val="000000"/>
          <w:szCs w:val="21"/>
        </w:rPr>
      </w:pPr>
      <w:r>
        <w:rPr>
          <w:rFonts w:hint="eastAsia"/>
          <w:color w:val="000000"/>
          <w:szCs w:val="21"/>
        </w:rPr>
        <w:t>基金份额持有人大会的各项提案或同一项提案内并列的各项议题应当分开审议、逐项表决。</w:t>
      </w:r>
    </w:p>
    <w:p w14:paraId="6D5BE57A" w14:textId="77777777" w:rsidR="00175DB4" w:rsidRDefault="000519D1">
      <w:pPr>
        <w:spacing w:line="360" w:lineRule="auto"/>
        <w:ind w:firstLineChars="200" w:firstLine="420"/>
        <w:rPr>
          <w:color w:val="000000"/>
          <w:szCs w:val="21"/>
        </w:rPr>
      </w:pPr>
      <w:r>
        <w:rPr>
          <w:rFonts w:hint="eastAsia"/>
          <w:color w:val="000000"/>
          <w:szCs w:val="21"/>
        </w:rPr>
        <w:t>（九）计票</w:t>
      </w:r>
    </w:p>
    <w:p w14:paraId="797F5CBF"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、现场开会</w:t>
      </w:r>
    </w:p>
    <w:p w14:paraId="26160D17"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color w:val="000000"/>
          <w:szCs w:val="21"/>
        </w:rPr>
        <w:t>或大会</w:t>
      </w:r>
      <w:proofErr w:type="gramEnd"/>
      <w:r>
        <w:rPr>
          <w:rFonts w:hint="eastAsia"/>
          <w:color w:val="000000"/>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700EF04"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）监票人应当在基金份额持有人表决后立即进行清点并由大会主持人当场公布计票结果。</w:t>
      </w:r>
    </w:p>
    <w:p w14:paraId="39DE471E"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）如果会议主持人或基金份额持有人或代理人对于提交的表决结果有怀疑，可以在宣布表决结果后立即对所投票</w:t>
      </w:r>
      <w:proofErr w:type="gramStart"/>
      <w:r>
        <w:rPr>
          <w:rFonts w:hint="eastAsia"/>
          <w:color w:val="000000"/>
          <w:szCs w:val="21"/>
        </w:rPr>
        <w:t>数要求</w:t>
      </w:r>
      <w:proofErr w:type="gramEnd"/>
      <w:r>
        <w:rPr>
          <w:rFonts w:hint="eastAsia"/>
          <w:color w:val="000000"/>
          <w:szCs w:val="21"/>
        </w:rPr>
        <w:t>进行重新清点。监票人应当进行重新清点，重新清点以一次为限。重新清点后，大会主持人应当当场公布重新清点结果。</w:t>
      </w:r>
    </w:p>
    <w:p w14:paraId="1F5B1B7F" w14:textId="1E73DDCD"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）计票过程应由公证机关予以公证</w:t>
      </w:r>
      <w:r w:rsidR="0011532A">
        <w:rPr>
          <w:rFonts w:hint="eastAsia"/>
          <w:color w:val="000000"/>
          <w:szCs w:val="21"/>
        </w:rPr>
        <w:t>，</w:t>
      </w:r>
      <w:r>
        <w:rPr>
          <w:rFonts w:hint="eastAsia"/>
          <w:color w:val="000000"/>
          <w:szCs w:val="21"/>
        </w:rPr>
        <w:t>基金管理人或基金托管人拒不出席大会的，不影响计票的效力。</w:t>
      </w:r>
    </w:p>
    <w:p w14:paraId="053AA990"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、通讯开会</w:t>
      </w:r>
    </w:p>
    <w:p w14:paraId="3687A54C" w14:textId="77777777" w:rsidR="00175DB4" w:rsidRDefault="000519D1">
      <w:pPr>
        <w:spacing w:line="360" w:lineRule="auto"/>
        <w:ind w:firstLineChars="200" w:firstLine="420"/>
        <w:rPr>
          <w:color w:val="000000"/>
          <w:szCs w:val="21"/>
        </w:rPr>
      </w:pPr>
      <w:r>
        <w:rPr>
          <w:rFonts w:hint="eastAsia"/>
          <w:color w:val="000000"/>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color w:val="000000"/>
          <w:szCs w:val="21"/>
        </w:rPr>
        <w:t>人拒派</w:t>
      </w:r>
      <w:proofErr w:type="gramEnd"/>
      <w:r>
        <w:rPr>
          <w:rFonts w:hint="eastAsia"/>
          <w:color w:val="000000"/>
          <w:szCs w:val="21"/>
        </w:rPr>
        <w:t>代表对表决意见的计票进行监督的，不影响计票和表决结果。</w:t>
      </w:r>
    </w:p>
    <w:p w14:paraId="0CDD1FFE" w14:textId="77777777" w:rsidR="00175DB4" w:rsidRDefault="000519D1">
      <w:pPr>
        <w:spacing w:line="360" w:lineRule="auto"/>
        <w:ind w:firstLineChars="200" w:firstLine="420"/>
        <w:rPr>
          <w:color w:val="000000"/>
          <w:szCs w:val="21"/>
        </w:rPr>
      </w:pPr>
      <w:r>
        <w:rPr>
          <w:rFonts w:hint="eastAsia"/>
          <w:color w:val="000000"/>
          <w:szCs w:val="21"/>
        </w:rPr>
        <w:t>（十）生效与公告</w:t>
      </w:r>
    </w:p>
    <w:p w14:paraId="1A20FC69" w14:textId="77777777" w:rsidR="00175DB4" w:rsidRDefault="000519D1">
      <w:pPr>
        <w:spacing w:line="360" w:lineRule="auto"/>
        <w:ind w:firstLineChars="200" w:firstLine="420"/>
        <w:rPr>
          <w:color w:val="000000"/>
          <w:szCs w:val="21"/>
        </w:rPr>
      </w:pPr>
      <w:r>
        <w:rPr>
          <w:rFonts w:hint="eastAsia"/>
          <w:color w:val="000000"/>
          <w:szCs w:val="21"/>
        </w:rPr>
        <w:t>基金份额持有人大会的决议，召集人应当自通过之日起</w:t>
      </w:r>
      <w:r>
        <w:rPr>
          <w:color w:val="000000"/>
          <w:szCs w:val="21"/>
        </w:rPr>
        <w:t>5</w:t>
      </w:r>
      <w:r>
        <w:rPr>
          <w:rFonts w:hint="eastAsia"/>
          <w:color w:val="000000"/>
          <w:szCs w:val="21"/>
        </w:rPr>
        <w:t>日内报中国证监会备案。</w:t>
      </w:r>
    </w:p>
    <w:p w14:paraId="7E801744" w14:textId="77777777" w:rsidR="00175DB4" w:rsidRDefault="000519D1">
      <w:pPr>
        <w:spacing w:line="360" w:lineRule="auto"/>
        <w:ind w:firstLineChars="200" w:firstLine="420"/>
        <w:rPr>
          <w:color w:val="000000"/>
          <w:szCs w:val="21"/>
        </w:rPr>
      </w:pPr>
      <w:r>
        <w:rPr>
          <w:rFonts w:hint="eastAsia"/>
          <w:color w:val="000000"/>
          <w:szCs w:val="21"/>
        </w:rPr>
        <w:t>基金份额持有人大会的决议自表决通过之日起生效。</w:t>
      </w:r>
    </w:p>
    <w:p w14:paraId="130984B7" w14:textId="77777777" w:rsidR="00175DB4" w:rsidRDefault="000519D1">
      <w:pPr>
        <w:spacing w:line="360" w:lineRule="auto"/>
        <w:ind w:firstLineChars="200" w:firstLine="420"/>
        <w:rPr>
          <w:color w:val="000000"/>
          <w:szCs w:val="21"/>
        </w:rPr>
      </w:pPr>
      <w:r>
        <w:rPr>
          <w:rFonts w:hint="eastAsia"/>
          <w:color w:val="000000"/>
          <w:szCs w:val="21"/>
        </w:rPr>
        <w:t>基金份额持有人大会决议自生效之日起</w:t>
      </w:r>
      <w:r>
        <w:rPr>
          <w:color w:val="000000"/>
          <w:szCs w:val="21"/>
        </w:rPr>
        <w:t>2</w:t>
      </w:r>
      <w:r>
        <w:rPr>
          <w:rFonts w:hint="eastAsia"/>
          <w:color w:val="000000"/>
          <w:szCs w:val="21"/>
        </w:rPr>
        <w:t>日内在规定媒介上公告。如果采用通讯方式进行表决，在公告基金份额持有人大会决议时，必须将公证书全文、公证机构、公证员姓名等一同公告。</w:t>
      </w:r>
    </w:p>
    <w:p w14:paraId="6F352171" w14:textId="77777777" w:rsidR="00175DB4" w:rsidRDefault="000519D1">
      <w:pPr>
        <w:spacing w:line="360" w:lineRule="auto"/>
        <w:ind w:firstLineChars="200" w:firstLine="420"/>
        <w:rPr>
          <w:color w:val="000000"/>
          <w:szCs w:val="21"/>
        </w:rPr>
      </w:pPr>
      <w:r>
        <w:rPr>
          <w:rFonts w:hint="eastAsia"/>
          <w:color w:val="000000"/>
          <w:szCs w:val="21"/>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6450D865" w14:textId="2B149D80"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（十一）本部</w:t>
      </w:r>
      <w:proofErr w:type="gramStart"/>
      <w:r>
        <w:rPr>
          <w:rFonts w:hint="eastAsia"/>
          <w:color w:val="000000"/>
          <w:szCs w:val="21"/>
        </w:rPr>
        <w:t>分关于</w:t>
      </w:r>
      <w:proofErr w:type="gramEnd"/>
      <w:r>
        <w:rPr>
          <w:rFonts w:hint="eastAsia"/>
          <w:color w:val="000000"/>
          <w:szCs w:val="21"/>
        </w:rPr>
        <w:t>基金份额持有人大会召开事由、召开条件、议事程序、表决条件等规定，凡是直接引用法律法规</w:t>
      </w:r>
      <w:r w:rsidR="00D63951" w:rsidRPr="00D63951">
        <w:rPr>
          <w:rFonts w:hint="eastAsia"/>
          <w:color w:val="000000"/>
          <w:szCs w:val="21"/>
        </w:rPr>
        <w:t>或监管规则</w:t>
      </w:r>
      <w:r>
        <w:rPr>
          <w:rFonts w:hint="eastAsia"/>
          <w:color w:val="000000"/>
          <w:szCs w:val="21"/>
        </w:rPr>
        <w:t>的部分，如将来法律法规</w:t>
      </w:r>
      <w:r w:rsidR="00D63951" w:rsidRPr="00D63951">
        <w:rPr>
          <w:rFonts w:hint="eastAsia"/>
          <w:color w:val="000000"/>
          <w:szCs w:val="21"/>
        </w:rPr>
        <w:t>或监管规则</w:t>
      </w:r>
      <w:r>
        <w:rPr>
          <w:rFonts w:hint="eastAsia"/>
          <w:color w:val="000000"/>
          <w:szCs w:val="21"/>
        </w:rPr>
        <w:t>修改导致相关内容被取消或变更的，基金管理人与基金托管人协商一致并提前公告后，可直接对本部分内容进行修改和调整，无需召开基金份额持有人大会审议。</w:t>
      </w:r>
    </w:p>
    <w:p w14:paraId="0C8A8DB6" w14:textId="77777777" w:rsidR="00175DB4" w:rsidRDefault="00175DB4">
      <w:pPr>
        <w:tabs>
          <w:tab w:val="left" w:pos="540"/>
        </w:tabs>
        <w:snapToGrid w:val="0"/>
        <w:spacing w:line="360" w:lineRule="auto"/>
        <w:ind w:firstLineChars="200" w:firstLine="420"/>
        <w:rPr>
          <w:color w:val="000000"/>
          <w:szCs w:val="21"/>
        </w:rPr>
      </w:pPr>
    </w:p>
    <w:p w14:paraId="3A6B2BA0" w14:textId="77777777" w:rsidR="00175DB4" w:rsidRDefault="000519D1">
      <w:pPr>
        <w:tabs>
          <w:tab w:val="left" w:pos="540"/>
        </w:tabs>
        <w:snapToGrid w:val="0"/>
        <w:spacing w:line="360" w:lineRule="auto"/>
        <w:ind w:firstLineChars="200" w:firstLine="420"/>
        <w:rPr>
          <w:color w:val="000000"/>
          <w:szCs w:val="21"/>
        </w:rPr>
      </w:pPr>
      <w:r>
        <w:rPr>
          <w:rFonts w:hint="eastAsia"/>
          <w:color w:val="000000"/>
          <w:szCs w:val="21"/>
        </w:rPr>
        <w:t>三、基金合同解除和终止的事由、程序以及基金财产清算方式</w:t>
      </w:r>
    </w:p>
    <w:p w14:paraId="3C756EEB" w14:textId="77777777" w:rsidR="00175DB4" w:rsidRDefault="000519D1">
      <w:pPr>
        <w:spacing w:line="360" w:lineRule="auto"/>
        <w:ind w:firstLineChars="200" w:firstLine="420"/>
        <w:rPr>
          <w:color w:val="000000"/>
          <w:szCs w:val="21"/>
        </w:rPr>
      </w:pPr>
      <w:r>
        <w:rPr>
          <w:rFonts w:hint="eastAsia"/>
          <w:color w:val="000000"/>
          <w:szCs w:val="21"/>
        </w:rPr>
        <w:t>（一）《基金合同》的变更</w:t>
      </w:r>
    </w:p>
    <w:p w14:paraId="002D0664" w14:textId="77777777" w:rsidR="00175DB4" w:rsidRDefault="000519D1">
      <w:pPr>
        <w:autoSpaceDE w:val="0"/>
        <w:autoSpaceDN w:val="0"/>
        <w:adjustRightInd w:val="0"/>
        <w:spacing w:line="360" w:lineRule="auto"/>
        <w:ind w:firstLineChars="300" w:firstLine="630"/>
        <w:jc w:val="left"/>
        <w:rPr>
          <w:color w:val="000000"/>
          <w:szCs w:val="21"/>
        </w:rPr>
      </w:pPr>
      <w:r>
        <w:rPr>
          <w:color w:val="000000"/>
          <w:szCs w:val="21"/>
        </w:rPr>
        <w:t>1</w:t>
      </w:r>
      <w:r>
        <w:rPr>
          <w:rFonts w:hint="eastAsia"/>
          <w:color w:val="000000"/>
          <w:szCs w:val="21"/>
        </w:rPr>
        <w:t>、变更基金合同涉及法律法规规定或本基金合同约定应经基金份额持有人大会决议通过的事项的，应召</w:t>
      </w:r>
      <w:proofErr w:type="gramStart"/>
      <w:r>
        <w:rPr>
          <w:rFonts w:hint="eastAsia"/>
          <w:color w:val="000000"/>
          <w:szCs w:val="21"/>
        </w:rPr>
        <w:t>开基金</w:t>
      </w:r>
      <w:proofErr w:type="gramEnd"/>
      <w:r>
        <w:rPr>
          <w:rFonts w:hint="eastAsia"/>
          <w:color w:val="000000"/>
          <w:szCs w:val="21"/>
        </w:rPr>
        <w:t>份额持有人大会决议通过。对于可不经基金份额持有人大会决议通过的事项，由基金管理人和基金托管人同意后变更并公告，并报中国证监会备案。</w:t>
      </w:r>
    </w:p>
    <w:p w14:paraId="5A5AD5B6" w14:textId="77777777" w:rsidR="00175DB4" w:rsidRDefault="000519D1">
      <w:pPr>
        <w:spacing w:line="360" w:lineRule="auto"/>
        <w:ind w:firstLineChars="200" w:firstLine="420"/>
        <w:rPr>
          <w:color w:val="000000"/>
          <w:szCs w:val="21"/>
        </w:rPr>
      </w:pPr>
      <w:r>
        <w:rPr>
          <w:color w:val="000000"/>
          <w:szCs w:val="21"/>
        </w:rPr>
        <w:t xml:space="preserve"> 2</w:t>
      </w:r>
      <w:r>
        <w:rPr>
          <w:rFonts w:hint="eastAsia"/>
          <w:color w:val="000000"/>
          <w:szCs w:val="21"/>
        </w:rPr>
        <w:t>、关于《基金合同》变更的基金份额持有人大会决议表决通过之日起生效，生效后方可执行，</w:t>
      </w:r>
      <w:proofErr w:type="gramStart"/>
      <w:r>
        <w:rPr>
          <w:rFonts w:hint="eastAsia"/>
          <w:color w:val="000000"/>
          <w:szCs w:val="21"/>
        </w:rPr>
        <w:t>自决议</w:t>
      </w:r>
      <w:proofErr w:type="gramEnd"/>
      <w:r>
        <w:rPr>
          <w:rFonts w:hint="eastAsia"/>
          <w:color w:val="000000"/>
          <w:szCs w:val="21"/>
        </w:rPr>
        <w:t>生效后两日内在规定媒介公告。</w:t>
      </w:r>
    </w:p>
    <w:p w14:paraId="69C58779" w14:textId="77777777" w:rsidR="00175DB4" w:rsidRDefault="000519D1">
      <w:pPr>
        <w:spacing w:line="360" w:lineRule="auto"/>
        <w:ind w:firstLineChars="200" w:firstLine="420"/>
        <w:rPr>
          <w:color w:val="000000"/>
          <w:szCs w:val="21"/>
        </w:rPr>
      </w:pPr>
      <w:r>
        <w:rPr>
          <w:rFonts w:hint="eastAsia"/>
          <w:color w:val="000000"/>
          <w:szCs w:val="21"/>
        </w:rPr>
        <w:t>（二）《基金合同》的终止事由</w:t>
      </w:r>
    </w:p>
    <w:p w14:paraId="59EB2BCF" w14:textId="77777777" w:rsidR="00175DB4" w:rsidRDefault="000519D1">
      <w:pPr>
        <w:spacing w:line="360" w:lineRule="auto"/>
        <w:ind w:firstLineChars="200" w:firstLine="420"/>
        <w:rPr>
          <w:color w:val="000000"/>
          <w:szCs w:val="21"/>
        </w:rPr>
      </w:pPr>
      <w:r>
        <w:rPr>
          <w:rFonts w:hint="eastAsia"/>
          <w:color w:val="000000"/>
          <w:szCs w:val="21"/>
        </w:rPr>
        <w:t>有下列情形之一的，经履行相关程序后，《基金合同》应当终止：</w:t>
      </w:r>
    </w:p>
    <w:p w14:paraId="2DFC91E5" w14:textId="77777777"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、基金份额持有人大会决定终止的；</w:t>
      </w:r>
    </w:p>
    <w:p w14:paraId="4D75D508" w14:textId="77777777" w:rsidR="00175DB4" w:rsidRDefault="000519D1">
      <w:pPr>
        <w:spacing w:line="360" w:lineRule="auto"/>
        <w:ind w:firstLineChars="200" w:firstLine="420"/>
        <w:rPr>
          <w:color w:val="000000"/>
          <w:szCs w:val="21"/>
        </w:rPr>
      </w:pPr>
      <w:r>
        <w:rPr>
          <w:color w:val="000000"/>
          <w:szCs w:val="21"/>
        </w:rPr>
        <w:t>2</w:t>
      </w:r>
      <w:r>
        <w:rPr>
          <w:rFonts w:hint="eastAsia"/>
          <w:color w:val="000000"/>
          <w:szCs w:val="21"/>
        </w:rPr>
        <w:t>、基金管理人、基金托管人职责终止，在</w:t>
      </w:r>
      <w:r>
        <w:rPr>
          <w:color w:val="000000"/>
          <w:szCs w:val="21"/>
        </w:rPr>
        <w:t>6</w:t>
      </w:r>
      <w:r>
        <w:rPr>
          <w:rFonts w:hint="eastAsia"/>
          <w:color w:val="000000"/>
          <w:szCs w:val="21"/>
        </w:rPr>
        <w:t>个月内没有新基金管理人、新基金托管人承接的；</w:t>
      </w:r>
    </w:p>
    <w:p w14:paraId="3C7A81C0" w14:textId="77777777"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、《基金合同》约定的其他情形；</w:t>
      </w:r>
    </w:p>
    <w:p w14:paraId="42D08787" w14:textId="5E10D265" w:rsidR="00175DB4" w:rsidRDefault="000519D1">
      <w:pPr>
        <w:spacing w:line="360" w:lineRule="auto"/>
        <w:ind w:firstLineChars="200" w:firstLine="420"/>
        <w:rPr>
          <w:color w:val="000000"/>
          <w:szCs w:val="21"/>
        </w:rPr>
      </w:pPr>
      <w:r>
        <w:rPr>
          <w:rFonts w:hint="eastAsia"/>
          <w:color w:val="000000"/>
          <w:szCs w:val="21"/>
        </w:rPr>
        <w:t>4</w:t>
      </w:r>
      <w:r>
        <w:rPr>
          <w:rFonts w:hint="eastAsia"/>
          <w:color w:val="000000"/>
          <w:szCs w:val="21"/>
        </w:rPr>
        <w:t>、</w:t>
      </w:r>
      <w:r w:rsidRPr="00D41605">
        <w:rPr>
          <w:rFonts w:hint="eastAsia"/>
          <w:color w:val="000000"/>
          <w:szCs w:val="21"/>
        </w:rPr>
        <w:t>出现标的指数不符合要求（因成份股价格波动等指数编制方法变动之外的因素致使标的指数不符合要求</w:t>
      </w:r>
      <w:r w:rsidR="00D63951" w:rsidRPr="00D63951">
        <w:rPr>
          <w:rFonts w:hint="eastAsia"/>
          <w:color w:val="000000"/>
          <w:szCs w:val="21"/>
        </w:rPr>
        <w:t>及法律法规、监管机构另有规定的</w:t>
      </w:r>
      <w:r w:rsidRPr="00D41605">
        <w:rPr>
          <w:rFonts w:hint="eastAsia"/>
          <w:color w:val="000000"/>
          <w:szCs w:val="21"/>
        </w:rPr>
        <w:t>除外）、指数编制机构退出等情形，基金管理人召集基金份额持有人大会对解决方案进行表决，基金份额持有人大会未成功召开或就上述事项表决未通过的；</w:t>
      </w:r>
    </w:p>
    <w:p w14:paraId="54EC2BA5" w14:textId="77777777" w:rsidR="00175DB4" w:rsidRDefault="000519D1">
      <w:pPr>
        <w:spacing w:line="360" w:lineRule="auto"/>
        <w:ind w:firstLineChars="200" w:firstLine="420"/>
        <w:rPr>
          <w:color w:val="000000"/>
          <w:szCs w:val="21"/>
        </w:rPr>
      </w:pPr>
      <w:r>
        <w:rPr>
          <w:rFonts w:hint="eastAsia"/>
          <w:color w:val="000000"/>
          <w:szCs w:val="21"/>
        </w:rPr>
        <w:t>5</w:t>
      </w:r>
      <w:r>
        <w:rPr>
          <w:rFonts w:hint="eastAsia"/>
          <w:color w:val="000000"/>
          <w:szCs w:val="21"/>
        </w:rPr>
        <w:t>、相关法律法规和中国证监会规定的其他情况。</w:t>
      </w:r>
    </w:p>
    <w:p w14:paraId="03533E79" w14:textId="77777777" w:rsidR="00175DB4" w:rsidRDefault="000519D1">
      <w:pPr>
        <w:spacing w:line="360" w:lineRule="auto"/>
        <w:ind w:firstLineChars="200" w:firstLine="420"/>
        <w:rPr>
          <w:color w:val="000000"/>
          <w:szCs w:val="21"/>
        </w:rPr>
      </w:pPr>
      <w:r>
        <w:rPr>
          <w:rFonts w:hint="eastAsia"/>
          <w:color w:val="000000"/>
          <w:szCs w:val="21"/>
        </w:rPr>
        <w:t>（三）基金财产的清算</w:t>
      </w:r>
    </w:p>
    <w:p w14:paraId="2B906028" w14:textId="4D815383" w:rsidR="00175DB4" w:rsidRDefault="000519D1">
      <w:pPr>
        <w:spacing w:line="360" w:lineRule="auto"/>
        <w:ind w:firstLineChars="200" w:firstLine="420"/>
        <w:rPr>
          <w:color w:val="000000"/>
          <w:szCs w:val="21"/>
        </w:rPr>
      </w:pPr>
      <w:r>
        <w:rPr>
          <w:color w:val="000000"/>
          <w:szCs w:val="21"/>
        </w:rPr>
        <w:t>1</w:t>
      </w:r>
      <w:r>
        <w:rPr>
          <w:rFonts w:hint="eastAsia"/>
          <w:color w:val="000000"/>
          <w:szCs w:val="21"/>
        </w:rPr>
        <w:t>、基金财产清算小组：自出现《基金合同》终止事由之日起</w:t>
      </w:r>
      <w:r>
        <w:rPr>
          <w:color w:val="000000"/>
          <w:szCs w:val="21"/>
        </w:rPr>
        <w:t>30</w:t>
      </w:r>
      <w:r>
        <w:rPr>
          <w:rFonts w:hint="eastAsia"/>
          <w:color w:val="000000"/>
          <w:szCs w:val="21"/>
        </w:rPr>
        <w:t>个工作日内成立</w:t>
      </w:r>
      <w:r w:rsidR="00D63951" w:rsidRPr="00D63951">
        <w:rPr>
          <w:rFonts w:hint="eastAsia"/>
          <w:color w:val="000000"/>
          <w:szCs w:val="21"/>
        </w:rPr>
        <w:t>基金财产</w:t>
      </w:r>
      <w:r>
        <w:rPr>
          <w:rFonts w:hint="eastAsia"/>
          <w:color w:val="000000"/>
          <w:szCs w:val="21"/>
        </w:rPr>
        <w:t>清算小组，基金管理人组织基金财产清算小组并在中国证监会的监督下进行基金清算。</w:t>
      </w:r>
    </w:p>
    <w:p w14:paraId="5CC59AD9" w14:textId="77777777" w:rsidR="00175DB4" w:rsidRDefault="000519D1">
      <w:pPr>
        <w:spacing w:line="360" w:lineRule="auto"/>
        <w:ind w:firstLineChars="200" w:firstLine="420"/>
        <w:rPr>
          <w:color w:val="000000"/>
          <w:szCs w:val="21"/>
        </w:rPr>
      </w:pPr>
      <w:r>
        <w:rPr>
          <w:color w:val="000000"/>
          <w:szCs w:val="21"/>
        </w:rPr>
        <w:lastRenderedPageBreak/>
        <w:t>2</w:t>
      </w:r>
      <w:r>
        <w:rPr>
          <w:rFonts w:hint="eastAsia"/>
          <w:color w:val="000000"/>
          <w:szCs w:val="21"/>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3D27025" w14:textId="77777777" w:rsidR="00175DB4" w:rsidRDefault="000519D1">
      <w:pPr>
        <w:spacing w:line="360" w:lineRule="auto"/>
        <w:ind w:firstLineChars="200" w:firstLine="420"/>
        <w:rPr>
          <w:color w:val="000000"/>
          <w:szCs w:val="21"/>
        </w:rPr>
      </w:pPr>
      <w:r>
        <w:rPr>
          <w:color w:val="000000"/>
          <w:szCs w:val="21"/>
        </w:rPr>
        <w:t>3</w:t>
      </w:r>
      <w:r>
        <w:rPr>
          <w:rFonts w:hint="eastAsia"/>
          <w:color w:val="000000"/>
          <w:szCs w:val="21"/>
        </w:rPr>
        <w:t>、基金财产清算小组职责：基金财产清算小组负责基金财产的保管、清理、估价、变现和分配。基金财产清算小组可以依法进行必要的民事活动。</w:t>
      </w:r>
    </w:p>
    <w:p w14:paraId="5B24F1D7" w14:textId="77777777" w:rsidR="00175DB4" w:rsidRDefault="000519D1">
      <w:pPr>
        <w:spacing w:line="360" w:lineRule="auto"/>
        <w:ind w:firstLineChars="200" w:firstLine="420"/>
        <w:rPr>
          <w:color w:val="000000"/>
          <w:szCs w:val="21"/>
        </w:rPr>
      </w:pPr>
      <w:r>
        <w:rPr>
          <w:color w:val="000000"/>
          <w:szCs w:val="21"/>
        </w:rPr>
        <w:t>4</w:t>
      </w:r>
      <w:r>
        <w:rPr>
          <w:rFonts w:hint="eastAsia"/>
          <w:color w:val="000000"/>
          <w:szCs w:val="21"/>
        </w:rPr>
        <w:t>、基金财产清算程序：</w:t>
      </w:r>
    </w:p>
    <w:p w14:paraId="335E9A00"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）《基金合同》终止情形出现时，由基金财产清算小组统一接管基金；</w:t>
      </w:r>
    </w:p>
    <w:p w14:paraId="4F46C41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）对基金财产和债权债务进行清理和确认；</w:t>
      </w:r>
    </w:p>
    <w:p w14:paraId="68DEB61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）对基金财产进行估值和变现；</w:t>
      </w:r>
    </w:p>
    <w:p w14:paraId="42FCB8F2"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）制作清算报告；</w:t>
      </w:r>
    </w:p>
    <w:p w14:paraId="744FE9E9"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）聘请会计师事务所对清算报告进行外部审计，聘请律师事务所对清算报告出具法律意见书；</w:t>
      </w:r>
    </w:p>
    <w:p w14:paraId="38CD9338"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）将清算报告报中国证监会备案并公告；</w:t>
      </w:r>
    </w:p>
    <w:p w14:paraId="4195A3AF" w14:textId="77777777" w:rsidR="00175DB4" w:rsidRDefault="000519D1">
      <w:pPr>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）对基金剩余财产进行分配。</w:t>
      </w:r>
    </w:p>
    <w:p w14:paraId="24B55056" w14:textId="77777777" w:rsidR="00175DB4" w:rsidRDefault="000519D1">
      <w:pPr>
        <w:spacing w:line="360" w:lineRule="auto"/>
        <w:ind w:firstLineChars="200" w:firstLine="420"/>
        <w:rPr>
          <w:color w:val="000000"/>
          <w:szCs w:val="21"/>
        </w:rPr>
      </w:pPr>
      <w:r>
        <w:rPr>
          <w:color w:val="000000"/>
          <w:szCs w:val="21"/>
        </w:rPr>
        <w:t>5</w:t>
      </w:r>
      <w:r>
        <w:rPr>
          <w:rFonts w:hint="eastAsia"/>
          <w:color w:val="000000"/>
          <w:szCs w:val="21"/>
        </w:rPr>
        <w:t>、基金财产清算的期限为</w:t>
      </w:r>
      <w:r>
        <w:rPr>
          <w:color w:val="000000"/>
          <w:szCs w:val="21"/>
        </w:rPr>
        <w:t>6</w:t>
      </w:r>
      <w:r>
        <w:rPr>
          <w:rFonts w:hint="eastAsia"/>
          <w:color w:val="000000"/>
          <w:szCs w:val="21"/>
        </w:rPr>
        <w:t>个月，但因本基金所持证券的流动性受到限制而不能及时变现的，清算期限相应顺延。</w:t>
      </w:r>
    </w:p>
    <w:p w14:paraId="5AD7ABF6" w14:textId="77777777" w:rsidR="00175DB4" w:rsidRDefault="000519D1">
      <w:pPr>
        <w:spacing w:line="360" w:lineRule="auto"/>
        <w:ind w:firstLineChars="200" w:firstLine="420"/>
        <w:rPr>
          <w:color w:val="000000"/>
          <w:szCs w:val="21"/>
        </w:rPr>
      </w:pPr>
      <w:r>
        <w:rPr>
          <w:rFonts w:hint="eastAsia"/>
          <w:color w:val="000000"/>
          <w:szCs w:val="21"/>
        </w:rPr>
        <w:t>（四）清算费用</w:t>
      </w:r>
    </w:p>
    <w:p w14:paraId="1EECE977" w14:textId="37211F0B" w:rsidR="00175DB4" w:rsidRDefault="000519D1">
      <w:pPr>
        <w:spacing w:line="360" w:lineRule="auto"/>
        <w:ind w:firstLineChars="200" w:firstLine="420"/>
        <w:rPr>
          <w:color w:val="000000"/>
          <w:szCs w:val="21"/>
        </w:rPr>
      </w:pPr>
      <w:r>
        <w:rPr>
          <w:rFonts w:hint="eastAsia"/>
          <w:color w:val="000000"/>
          <w:szCs w:val="21"/>
        </w:rPr>
        <w:t>清算费用是指基金财产清算小组在进行基金</w:t>
      </w:r>
      <w:r w:rsidR="00D63951" w:rsidRPr="00D63951">
        <w:rPr>
          <w:rFonts w:hint="eastAsia"/>
          <w:color w:val="000000"/>
          <w:szCs w:val="21"/>
        </w:rPr>
        <w:t>财产</w:t>
      </w:r>
      <w:r>
        <w:rPr>
          <w:rFonts w:hint="eastAsia"/>
          <w:color w:val="000000"/>
          <w:szCs w:val="21"/>
        </w:rPr>
        <w:t>清算过程中发生的所有合理费用，清算费用由基金财产清算小组优先从基金</w:t>
      </w:r>
      <w:r w:rsidR="00D63951">
        <w:rPr>
          <w:rFonts w:hint="eastAsia"/>
          <w:color w:val="000000"/>
          <w:szCs w:val="21"/>
        </w:rPr>
        <w:t>剩余</w:t>
      </w:r>
      <w:r>
        <w:rPr>
          <w:rFonts w:hint="eastAsia"/>
          <w:color w:val="000000"/>
          <w:szCs w:val="21"/>
        </w:rPr>
        <w:t>财产中支付。</w:t>
      </w:r>
    </w:p>
    <w:p w14:paraId="01C53FB1" w14:textId="77777777" w:rsidR="00175DB4" w:rsidRDefault="000519D1">
      <w:pPr>
        <w:spacing w:line="360" w:lineRule="auto"/>
        <w:ind w:firstLineChars="200" w:firstLine="420"/>
        <w:rPr>
          <w:color w:val="000000"/>
          <w:szCs w:val="21"/>
        </w:rPr>
      </w:pPr>
      <w:r>
        <w:rPr>
          <w:rFonts w:hint="eastAsia"/>
          <w:color w:val="000000"/>
          <w:szCs w:val="21"/>
        </w:rPr>
        <w:t>（五）基金财产清算剩余资产的分配</w:t>
      </w:r>
    </w:p>
    <w:p w14:paraId="07292B64" w14:textId="77777777" w:rsidR="00175DB4" w:rsidRDefault="000519D1">
      <w:pPr>
        <w:spacing w:line="360" w:lineRule="auto"/>
        <w:ind w:firstLineChars="200" w:firstLine="420"/>
        <w:rPr>
          <w:color w:val="000000"/>
          <w:szCs w:val="21"/>
        </w:rPr>
      </w:pPr>
      <w:r>
        <w:rPr>
          <w:rFonts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14:paraId="2A76CFCB" w14:textId="77777777" w:rsidR="00175DB4" w:rsidRDefault="000519D1">
      <w:pPr>
        <w:spacing w:line="360" w:lineRule="auto"/>
        <w:ind w:firstLineChars="200" w:firstLine="420"/>
        <w:rPr>
          <w:color w:val="000000"/>
          <w:szCs w:val="21"/>
        </w:rPr>
      </w:pPr>
      <w:r>
        <w:rPr>
          <w:rFonts w:hint="eastAsia"/>
          <w:color w:val="000000"/>
          <w:szCs w:val="21"/>
        </w:rPr>
        <w:t>（六）基金财产清算的公告</w:t>
      </w:r>
    </w:p>
    <w:p w14:paraId="2B0E7750" w14:textId="77777777" w:rsidR="00175DB4" w:rsidRDefault="000519D1">
      <w:pPr>
        <w:spacing w:line="360" w:lineRule="auto"/>
        <w:ind w:firstLineChars="200" w:firstLine="420"/>
        <w:rPr>
          <w:color w:val="000000"/>
          <w:szCs w:val="21"/>
        </w:rPr>
      </w:pPr>
      <w:r>
        <w:rPr>
          <w:rFonts w:hint="eastAsia"/>
          <w:color w:val="000000"/>
          <w:szCs w:val="21"/>
        </w:rPr>
        <w:t>清算过程中的有关重大事项须及时公告；基金财产清算报告</w:t>
      </w:r>
      <w:proofErr w:type="gramStart"/>
      <w:r>
        <w:rPr>
          <w:rFonts w:hint="eastAsia"/>
          <w:color w:val="000000"/>
          <w:szCs w:val="21"/>
        </w:rPr>
        <w:t>经符合</w:t>
      </w:r>
      <w:proofErr w:type="gramEnd"/>
      <w:r>
        <w:rPr>
          <w:rFonts w:hint="eastAsia"/>
          <w:color w:val="000000"/>
          <w:szCs w:val="21"/>
        </w:rPr>
        <w:t>《中华人民共和国证券法》规定的会计师事务所审计并由律师事务所出具法律意见书后报中国证监会备案并公告。基金财产清算公告于基金财产清算报告报中国证监会备案后</w:t>
      </w:r>
      <w:r>
        <w:rPr>
          <w:color w:val="000000"/>
          <w:szCs w:val="21"/>
        </w:rPr>
        <w:t>5</w:t>
      </w:r>
      <w:r>
        <w:rPr>
          <w:rFonts w:hint="eastAsia"/>
          <w:color w:val="000000"/>
          <w:szCs w:val="21"/>
        </w:rPr>
        <w:t>个工作日内由基金财产清算小组进行公告。基金财产清算小组应当将清算报告登载在规定网站上，并将清算报告提示性公告登载在规定报刊上。</w:t>
      </w:r>
    </w:p>
    <w:p w14:paraId="6504065C" w14:textId="77777777" w:rsidR="00175DB4" w:rsidRDefault="000519D1">
      <w:pPr>
        <w:spacing w:line="360" w:lineRule="auto"/>
        <w:ind w:firstLineChars="200" w:firstLine="420"/>
        <w:rPr>
          <w:color w:val="000000"/>
          <w:szCs w:val="21"/>
        </w:rPr>
      </w:pPr>
      <w:r>
        <w:rPr>
          <w:rFonts w:hint="eastAsia"/>
          <w:color w:val="000000"/>
          <w:szCs w:val="21"/>
        </w:rPr>
        <w:t>（七）基金财产清算账册及文件的保存</w:t>
      </w:r>
    </w:p>
    <w:p w14:paraId="6674F081" w14:textId="524EBC08" w:rsidR="00175DB4" w:rsidRDefault="000519D1">
      <w:pPr>
        <w:tabs>
          <w:tab w:val="left" w:pos="540"/>
        </w:tabs>
        <w:snapToGrid w:val="0"/>
        <w:spacing w:line="360" w:lineRule="auto"/>
        <w:ind w:firstLineChars="200" w:firstLine="420"/>
        <w:rPr>
          <w:color w:val="000000"/>
          <w:szCs w:val="21"/>
        </w:rPr>
      </w:pPr>
      <w:r>
        <w:rPr>
          <w:rFonts w:hint="eastAsia"/>
          <w:color w:val="000000"/>
          <w:szCs w:val="21"/>
        </w:rPr>
        <w:t>基金财产清算账册及有关文件由基金托管人保存</w:t>
      </w:r>
      <w:r w:rsidR="00D63951" w:rsidRPr="00D63951">
        <w:rPr>
          <w:rFonts w:hint="eastAsia"/>
          <w:color w:val="000000"/>
          <w:szCs w:val="21"/>
        </w:rPr>
        <w:t>，保存期限不低于法律法规规定的最</w:t>
      </w:r>
      <w:r w:rsidR="00D63951" w:rsidRPr="00D63951">
        <w:rPr>
          <w:rFonts w:hint="eastAsia"/>
          <w:color w:val="000000"/>
          <w:szCs w:val="21"/>
        </w:rPr>
        <w:lastRenderedPageBreak/>
        <w:t>低期限</w:t>
      </w:r>
      <w:r>
        <w:rPr>
          <w:rFonts w:hint="eastAsia"/>
          <w:color w:val="000000"/>
          <w:szCs w:val="21"/>
        </w:rPr>
        <w:t>。</w:t>
      </w:r>
    </w:p>
    <w:p w14:paraId="2F3B7316" w14:textId="77777777" w:rsidR="00175DB4" w:rsidRDefault="00175DB4">
      <w:pPr>
        <w:tabs>
          <w:tab w:val="left" w:pos="540"/>
        </w:tabs>
        <w:snapToGrid w:val="0"/>
        <w:spacing w:line="360" w:lineRule="auto"/>
        <w:ind w:firstLineChars="200" w:firstLine="420"/>
        <w:rPr>
          <w:color w:val="000000"/>
          <w:szCs w:val="21"/>
        </w:rPr>
      </w:pPr>
    </w:p>
    <w:p w14:paraId="16BACDE4" w14:textId="77777777" w:rsidR="00175DB4" w:rsidRDefault="000519D1">
      <w:pPr>
        <w:rPr>
          <w:color w:val="000000"/>
          <w:szCs w:val="21"/>
        </w:rPr>
      </w:pPr>
      <w:r>
        <w:rPr>
          <w:rFonts w:hint="eastAsia"/>
          <w:color w:val="000000"/>
          <w:szCs w:val="21"/>
        </w:rPr>
        <w:t>四、争议解决方式</w:t>
      </w:r>
    </w:p>
    <w:p w14:paraId="17794E77" w14:textId="77777777" w:rsidR="00175DB4" w:rsidRDefault="000519D1">
      <w:pPr>
        <w:widowControl/>
        <w:autoSpaceDE w:val="0"/>
        <w:autoSpaceDN w:val="0"/>
        <w:adjustRightInd w:val="0"/>
        <w:spacing w:line="360" w:lineRule="auto"/>
        <w:ind w:firstLine="480"/>
        <w:rPr>
          <w:color w:val="000000"/>
          <w:szCs w:val="21"/>
        </w:rPr>
      </w:pPr>
      <w:bookmarkStart w:id="77" w:name="_Hlk4888406"/>
      <w:r>
        <w:rPr>
          <w:rFonts w:hint="eastAsia"/>
          <w:color w:val="000000"/>
          <w:szCs w:val="21"/>
        </w:rPr>
        <w:t>各方当事人同意，因《基金合同》而产生的或与《基金合同》有关的一切争议，基金合同各方当事人应尽量通过协商、调解途径解决。如经友好协商、调解未能解决的，任何一方均有权将争议提交深圳国际仲裁院，按照深圳国际仲裁院届时有效的仲裁规则进行仲裁。仲裁地点为深圳市。仲裁裁决是终局的，对各方当事人均有约束力，除非仲裁裁决另有规定，仲裁费用由败诉方承担。</w:t>
      </w:r>
    </w:p>
    <w:p w14:paraId="23C3EC45" w14:textId="77777777" w:rsidR="00175DB4" w:rsidRDefault="000519D1">
      <w:pPr>
        <w:widowControl/>
        <w:autoSpaceDE w:val="0"/>
        <w:autoSpaceDN w:val="0"/>
        <w:adjustRightInd w:val="0"/>
        <w:spacing w:line="360" w:lineRule="auto"/>
        <w:ind w:firstLine="480"/>
        <w:rPr>
          <w:color w:val="000000"/>
          <w:szCs w:val="21"/>
        </w:rPr>
      </w:pPr>
      <w:r>
        <w:rPr>
          <w:rFonts w:hint="eastAsia"/>
          <w:color w:val="000000"/>
          <w:szCs w:val="21"/>
        </w:rPr>
        <w:t>争议处理期间，基金合同当事人应恪守各自的职责，继续忠实、勤勉、尽责地履行《基金合同》和托管协议规定的义务，维护基金份额持有人的合法权益。</w:t>
      </w:r>
    </w:p>
    <w:p w14:paraId="2E4BE005" w14:textId="77777777" w:rsidR="00175DB4" w:rsidRDefault="000519D1">
      <w:pPr>
        <w:spacing w:line="360" w:lineRule="auto"/>
        <w:ind w:firstLineChars="200" w:firstLine="420"/>
        <w:rPr>
          <w:color w:val="000000"/>
          <w:szCs w:val="21"/>
        </w:rPr>
      </w:pPr>
      <w:r>
        <w:rPr>
          <w:rFonts w:hint="eastAsia"/>
          <w:color w:val="000000"/>
          <w:szCs w:val="21"/>
        </w:rPr>
        <w:t>《基金合同》适用中华人民共和国法律（不含港澳台立法）并从其解释。</w:t>
      </w:r>
      <w:bookmarkEnd w:id="77"/>
    </w:p>
    <w:p w14:paraId="2FDDE833" w14:textId="77777777" w:rsidR="00175DB4" w:rsidRDefault="00175DB4">
      <w:pPr>
        <w:spacing w:line="360" w:lineRule="auto"/>
        <w:ind w:firstLineChars="200" w:firstLine="420"/>
        <w:rPr>
          <w:color w:val="000000"/>
          <w:szCs w:val="21"/>
        </w:rPr>
      </w:pPr>
    </w:p>
    <w:p w14:paraId="6F21B1D5" w14:textId="77777777" w:rsidR="00175DB4" w:rsidRDefault="000519D1">
      <w:pPr>
        <w:rPr>
          <w:color w:val="000000"/>
          <w:szCs w:val="21"/>
        </w:rPr>
      </w:pPr>
      <w:r>
        <w:rPr>
          <w:rFonts w:hint="eastAsia"/>
          <w:color w:val="000000"/>
          <w:szCs w:val="21"/>
        </w:rPr>
        <w:t>五、基金合同存放地和投资人取得基金合同的方式</w:t>
      </w:r>
    </w:p>
    <w:p w14:paraId="7AB03941" w14:textId="77777777" w:rsidR="00175DB4" w:rsidRDefault="000519D1">
      <w:pPr>
        <w:spacing w:line="360" w:lineRule="auto"/>
        <w:ind w:firstLineChars="200" w:firstLine="420"/>
        <w:rPr>
          <w:color w:val="000000"/>
          <w:szCs w:val="21"/>
        </w:rPr>
      </w:pPr>
      <w:r>
        <w:rPr>
          <w:rFonts w:hint="eastAsia"/>
          <w:color w:val="000000"/>
          <w:szCs w:val="21"/>
        </w:rPr>
        <w:t>《基金合同》可印制成册，供投资者在基金管理人、基金托管人、销售机构的办公场所和营业场所查阅。</w:t>
      </w:r>
    </w:p>
    <w:p w14:paraId="55915CA3" w14:textId="77777777" w:rsidR="00175DB4" w:rsidRDefault="00175DB4">
      <w:pPr>
        <w:tabs>
          <w:tab w:val="left" w:pos="540"/>
        </w:tabs>
        <w:snapToGrid w:val="0"/>
        <w:spacing w:line="360" w:lineRule="auto"/>
        <w:ind w:firstLineChars="200" w:firstLine="420"/>
        <w:rPr>
          <w:color w:val="000000"/>
          <w:szCs w:val="21"/>
        </w:rPr>
      </w:pPr>
    </w:p>
    <w:p w14:paraId="449BB3F4" w14:textId="77777777" w:rsidR="00175DB4" w:rsidRDefault="00175DB4">
      <w:pPr>
        <w:tabs>
          <w:tab w:val="left" w:pos="540"/>
        </w:tabs>
        <w:snapToGrid w:val="0"/>
        <w:spacing w:line="360" w:lineRule="auto"/>
        <w:ind w:firstLineChars="200" w:firstLine="420"/>
        <w:rPr>
          <w:color w:val="000000"/>
          <w:szCs w:val="21"/>
        </w:rPr>
      </w:pPr>
    </w:p>
    <w:p w14:paraId="24537035" w14:textId="77777777" w:rsidR="00175DB4" w:rsidRDefault="00175DB4"/>
    <w:p w14:paraId="30046F8E" w14:textId="77777777" w:rsidR="008647F5" w:rsidRDefault="008647F5"/>
    <w:p w14:paraId="35386D4F" w14:textId="77777777" w:rsidR="008647F5" w:rsidRDefault="008647F5"/>
    <w:p w14:paraId="50C6378E" w14:textId="77777777" w:rsidR="008647F5" w:rsidRDefault="008647F5"/>
    <w:p w14:paraId="5F4E23D7" w14:textId="77777777" w:rsidR="008647F5" w:rsidRDefault="008647F5"/>
    <w:p w14:paraId="53C1E677" w14:textId="77777777" w:rsidR="008647F5" w:rsidRDefault="008647F5"/>
    <w:p w14:paraId="50B34AA1" w14:textId="77777777" w:rsidR="008647F5" w:rsidRDefault="008647F5"/>
    <w:p w14:paraId="0942F5CE" w14:textId="77777777" w:rsidR="008647F5" w:rsidRDefault="008647F5"/>
    <w:p w14:paraId="68DCA837" w14:textId="77777777" w:rsidR="008647F5" w:rsidRDefault="008647F5"/>
    <w:p w14:paraId="742E31A6" w14:textId="77777777" w:rsidR="008647F5" w:rsidRDefault="008647F5"/>
    <w:p w14:paraId="2B33AE2F" w14:textId="77777777" w:rsidR="008647F5" w:rsidRDefault="008647F5"/>
    <w:p w14:paraId="78AE04BB" w14:textId="77777777" w:rsidR="008647F5" w:rsidRDefault="008647F5"/>
    <w:p w14:paraId="46F87AF6" w14:textId="77777777" w:rsidR="008647F5" w:rsidRDefault="008647F5"/>
    <w:p w14:paraId="4592011D" w14:textId="77777777" w:rsidR="008647F5" w:rsidRDefault="008647F5"/>
    <w:p w14:paraId="0D4195E5" w14:textId="77777777" w:rsidR="008647F5" w:rsidRDefault="008647F5"/>
    <w:p w14:paraId="28203C4C" w14:textId="77777777" w:rsidR="008647F5" w:rsidRDefault="008647F5"/>
    <w:p w14:paraId="77B5FBBC" w14:textId="77777777" w:rsidR="008647F5" w:rsidRDefault="008647F5"/>
    <w:p w14:paraId="1B874A1E" w14:textId="77777777" w:rsidR="008647F5" w:rsidRDefault="008647F5"/>
    <w:p w14:paraId="30332D40" w14:textId="77777777" w:rsidR="00175DB4" w:rsidRDefault="000519D1">
      <w:pPr>
        <w:pStyle w:val="1"/>
        <w:spacing w:line="360" w:lineRule="exact"/>
        <w:rPr>
          <w:rFonts w:eastAsia="宋体"/>
          <w:color w:val="000000"/>
          <w:sz w:val="30"/>
          <w:szCs w:val="30"/>
        </w:rPr>
      </w:pPr>
      <w:bookmarkStart w:id="78" w:name="_Hlt88825574"/>
      <w:bookmarkStart w:id="79" w:name="_Hlt88820702"/>
      <w:bookmarkStart w:id="80" w:name="_Toc86589184"/>
      <w:bookmarkStart w:id="81" w:name="_Toc92531667"/>
      <w:bookmarkStart w:id="82" w:name="_Toc135741023"/>
      <w:bookmarkEnd w:id="78"/>
      <w:bookmarkEnd w:id="79"/>
      <w:r>
        <w:rPr>
          <w:rFonts w:eastAsia="宋体"/>
          <w:color w:val="000000"/>
          <w:sz w:val="30"/>
          <w:szCs w:val="30"/>
        </w:rPr>
        <w:lastRenderedPageBreak/>
        <w:t>二十</w:t>
      </w:r>
      <w:r>
        <w:rPr>
          <w:rFonts w:eastAsia="宋体" w:hint="eastAsia"/>
          <w:color w:val="000000"/>
          <w:sz w:val="30"/>
          <w:szCs w:val="30"/>
        </w:rPr>
        <w:t>一</w:t>
      </w:r>
      <w:r>
        <w:rPr>
          <w:rFonts w:eastAsia="宋体"/>
          <w:color w:val="000000"/>
          <w:sz w:val="30"/>
          <w:szCs w:val="30"/>
        </w:rPr>
        <w:t>、基金托管协议的内容摘要</w:t>
      </w:r>
      <w:bookmarkStart w:id="83" w:name="_Toc86217868"/>
      <w:bookmarkEnd w:id="80"/>
      <w:bookmarkEnd w:id="81"/>
      <w:bookmarkEnd w:id="82"/>
    </w:p>
    <w:p w14:paraId="365BCD9D" w14:textId="77777777" w:rsidR="00175DB4" w:rsidRDefault="000519D1">
      <w:pPr>
        <w:tabs>
          <w:tab w:val="left" w:pos="540"/>
        </w:tabs>
        <w:snapToGrid w:val="0"/>
        <w:spacing w:line="360" w:lineRule="auto"/>
        <w:ind w:firstLineChars="200" w:firstLine="420"/>
        <w:rPr>
          <w:color w:val="000000"/>
          <w:szCs w:val="21"/>
        </w:rPr>
      </w:pPr>
      <w:bookmarkStart w:id="84" w:name="_Toc116900096"/>
      <w:r>
        <w:rPr>
          <w:rFonts w:hint="eastAsia"/>
          <w:color w:val="000000"/>
          <w:szCs w:val="21"/>
        </w:rPr>
        <w:t>一、托管协议当事人</w:t>
      </w:r>
    </w:p>
    <w:p w14:paraId="7AEBBFF2" w14:textId="77777777" w:rsidR="00175DB4" w:rsidRDefault="000519D1">
      <w:pPr>
        <w:adjustRightInd w:val="0"/>
        <w:snapToGrid w:val="0"/>
        <w:spacing w:line="360" w:lineRule="auto"/>
        <w:ind w:firstLineChars="200" w:firstLine="420"/>
        <w:rPr>
          <w:rFonts w:ascii="宋体" w:hAnsi="宋体" w:cs="Arial"/>
          <w:szCs w:val="21"/>
        </w:rPr>
      </w:pPr>
      <w:r>
        <w:rPr>
          <w:rFonts w:ascii="宋体" w:hAnsi="宋体" w:cs="Arial" w:hint="eastAsia"/>
          <w:szCs w:val="21"/>
        </w:rPr>
        <w:t>（一）基金管理人</w:t>
      </w:r>
    </w:p>
    <w:p w14:paraId="412FA4CB" w14:textId="77777777" w:rsidR="00175DB4" w:rsidRDefault="000519D1">
      <w:pPr>
        <w:adjustRightInd w:val="0"/>
        <w:snapToGrid w:val="0"/>
        <w:spacing w:line="360" w:lineRule="auto"/>
        <w:ind w:firstLineChars="200" w:firstLine="420"/>
        <w:rPr>
          <w:rFonts w:ascii="宋体" w:hAnsi="宋体" w:cs="Arial"/>
          <w:szCs w:val="21"/>
        </w:rPr>
      </w:pPr>
      <w:bookmarkStart w:id="85" w:name="_Toc15118236"/>
      <w:r>
        <w:rPr>
          <w:rFonts w:ascii="宋体" w:hAnsi="宋体" w:cs="Arial" w:hint="eastAsia"/>
          <w:szCs w:val="21"/>
        </w:rPr>
        <w:t>名称：景顺长城基金管理有限公司</w:t>
      </w:r>
    </w:p>
    <w:p w14:paraId="68EB2D28"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注册地址：深圳市福田区中心四路1号嘉里建设广场第1座21层</w:t>
      </w:r>
    </w:p>
    <w:p w14:paraId="21304A19"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办公地址：深圳市福田区中心四路1号嘉里建设广场第1座21层</w:t>
      </w:r>
    </w:p>
    <w:p w14:paraId="54977081"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邮政编码：518048</w:t>
      </w:r>
    </w:p>
    <w:p w14:paraId="50C3F362"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法定代表人：李进</w:t>
      </w:r>
    </w:p>
    <w:p w14:paraId="085CCD5F"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成立日期：2003年6月12日</w:t>
      </w:r>
    </w:p>
    <w:p w14:paraId="6B3F7606"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批准设立机关及批准设立文号：中国证监会证</w:t>
      </w:r>
      <w:proofErr w:type="gramStart"/>
      <w:r w:rsidRPr="007C65E1">
        <w:rPr>
          <w:rFonts w:ascii="宋体" w:hAnsi="宋体" w:cs="Arial" w:hint="eastAsia"/>
          <w:szCs w:val="21"/>
        </w:rPr>
        <w:t>监基金字</w:t>
      </w:r>
      <w:proofErr w:type="gramEnd"/>
      <w:r w:rsidRPr="007C65E1">
        <w:rPr>
          <w:rFonts w:ascii="宋体" w:hAnsi="宋体" w:cs="Arial" w:hint="eastAsia"/>
          <w:szCs w:val="21"/>
        </w:rPr>
        <w:t>【2003】76号</w:t>
      </w:r>
    </w:p>
    <w:p w14:paraId="7C9FAD13"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组织形式：有限责任公司</w:t>
      </w:r>
    </w:p>
    <w:p w14:paraId="14BFBD7F"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注册资本：1.3亿元人民币</w:t>
      </w:r>
    </w:p>
    <w:p w14:paraId="1AD573E7" w14:textId="77777777" w:rsidR="007C65E1" w:rsidRPr="007C65E1" w:rsidRDefault="007C65E1" w:rsidP="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存续期间：持续经营</w:t>
      </w:r>
    </w:p>
    <w:p w14:paraId="48096052" w14:textId="33F1F2CA" w:rsidR="00175DB4" w:rsidRDefault="007C65E1">
      <w:pPr>
        <w:adjustRightInd w:val="0"/>
        <w:snapToGrid w:val="0"/>
        <w:spacing w:line="360" w:lineRule="auto"/>
        <w:ind w:firstLineChars="200" w:firstLine="420"/>
        <w:rPr>
          <w:rFonts w:ascii="宋体" w:hAnsi="宋体" w:cs="Arial"/>
          <w:szCs w:val="21"/>
        </w:rPr>
      </w:pPr>
      <w:r w:rsidRPr="007C65E1">
        <w:rPr>
          <w:rFonts w:ascii="宋体" w:hAnsi="宋体" w:cs="Arial" w:hint="eastAsia"/>
          <w:szCs w:val="21"/>
        </w:rPr>
        <w:t>经营范围：基金管理业务、发起设立基金及中国证券监督管理委员会批准的其他业务。</w:t>
      </w:r>
      <w:bookmarkEnd w:id="85"/>
      <w:r w:rsidR="000519D1">
        <w:rPr>
          <w:rFonts w:ascii="宋体" w:hAnsi="宋体" w:cs="Arial" w:hint="eastAsia"/>
          <w:szCs w:val="21"/>
        </w:rPr>
        <w:t>（二）基金托管人</w:t>
      </w:r>
    </w:p>
    <w:p w14:paraId="08683AD6"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名称：广发证券股份有限公司</w:t>
      </w:r>
    </w:p>
    <w:p w14:paraId="21A5E0E3"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注册地址：广东省广州市黄埔区中新广州知识城腾飞一街2号618室</w:t>
      </w:r>
    </w:p>
    <w:p w14:paraId="73B12054"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办公地址：广州市天河区</w:t>
      </w:r>
      <w:proofErr w:type="gramStart"/>
      <w:r w:rsidRPr="00D63951">
        <w:rPr>
          <w:rFonts w:ascii="宋体" w:hAnsi="宋体" w:cs="Arial" w:hint="eastAsia"/>
          <w:szCs w:val="21"/>
        </w:rPr>
        <w:t>马场路</w:t>
      </w:r>
      <w:proofErr w:type="gramEnd"/>
      <w:r w:rsidRPr="00D63951">
        <w:rPr>
          <w:rFonts w:ascii="宋体" w:hAnsi="宋体" w:cs="Arial" w:hint="eastAsia"/>
          <w:szCs w:val="21"/>
        </w:rPr>
        <w:t>26号广发证券大厦34楼</w:t>
      </w:r>
    </w:p>
    <w:p w14:paraId="6D323BBC"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法定代表人：林传辉</w:t>
      </w:r>
    </w:p>
    <w:p w14:paraId="3B2A9A00"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成立日期：1994年01月21日</w:t>
      </w:r>
    </w:p>
    <w:p w14:paraId="6C62D1D5"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批准设立机关和批准设立文号：中国人民银行广东省分行粤银管字【1991】第133号</w:t>
      </w:r>
    </w:p>
    <w:p w14:paraId="2618BE6F"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注册资本：762108.766400万人民币</w:t>
      </w:r>
    </w:p>
    <w:p w14:paraId="1E4E6B16"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存续期间：长期</w:t>
      </w:r>
    </w:p>
    <w:p w14:paraId="416EFEC3"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基金托管资格批文及文号：证监许可【2014】510号</w:t>
      </w:r>
    </w:p>
    <w:p w14:paraId="5A305B86" w14:textId="77777777" w:rsidR="00D63951" w:rsidRPr="00D63951" w:rsidRDefault="00D63951" w:rsidP="00D63951">
      <w:pPr>
        <w:adjustRightInd w:val="0"/>
        <w:snapToGrid w:val="0"/>
        <w:spacing w:line="360" w:lineRule="auto"/>
        <w:ind w:firstLineChars="200" w:firstLine="420"/>
        <w:rPr>
          <w:rFonts w:ascii="宋体" w:hAnsi="宋体" w:cs="Arial"/>
          <w:szCs w:val="21"/>
        </w:rPr>
      </w:pPr>
      <w:r w:rsidRPr="00D63951">
        <w:rPr>
          <w:rFonts w:ascii="宋体" w:hAnsi="宋体" w:cs="Arial" w:hint="eastAsia"/>
          <w:szCs w:val="21"/>
        </w:rPr>
        <w:t>组织形式：股份有限公司</w:t>
      </w:r>
    </w:p>
    <w:p w14:paraId="45885B56" w14:textId="77777777" w:rsidR="00D63951" w:rsidRDefault="00D63951">
      <w:pPr>
        <w:spacing w:line="360" w:lineRule="auto"/>
        <w:ind w:firstLineChars="200" w:firstLine="420"/>
        <w:rPr>
          <w:rFonts w:ascii="宋体" w:hAnsi="宋体" w:cs="Arial"/>
          <w:szCs w:val="21"/>
        </w:rPr>
      </w:pPr>
      <w:r w:rsidRPr="00D63951">
        <w:rPr>
          <w:rFonts w:ascii="宋体" w:hAnsi="宋体" w:cs="Arial" w:hint="eastAsia"/>
          <w:szCs w:val="21"/>
        </w:rPr>
        <w:t>经营范围：证券经纪；证券投资咨询；与证券交易、证券投资活动有关的财务顾问；证券承销与保荐；证券自营；融资融券；证券投资基金代销；证券投资基金托管；为期货公司提供中间介绍业务；代销金融产品；股票期权做市。（依法须经批准的项目，经相关部门批准后方可开展经营活动。）</w:t>
      </w:r>
    </w:p>
    <w:p w14:paraId="64A82AC7" w14:textId="77777777" w:rsidR="00175DB4" w:rsidRDefault="000519D1">
      <w:pPr>
        <w:spacing w:line="360" w:lineRule="auto"/>
        <w:ind w:firstLineChars="200" w:firstLine="420"/>
        <w:rPr>
          <w:rFonts w:ascii="宋体" w:hAnsi="宋体" w:cs="Arial"/>
          <w:szCs w:val="21"/>
        </w:rPr>
      </w:pPr>
      <w:bookmarkStart w:id="86" w:name="_Toc384992693"/>
      <w:bookmarkStart w:id="87" w:name="_Toc348082031"/>
      <w:r>
        <w:rPr>
          <w:rFonts w:ascii="宋体" w:hAnsi="宋体" w:cs="Arial" w:hint="eastAsia"/>
          <w:szCs w:val="21"/>
        </w:rPr>
        <w:t>二、基金托管人对基金管理人的业务监督和核查</w:t>
      </w:r>
      <w:bookmarkEnd w:id="84"/>
      <w:bookmarkEnd w:id="86"/>
      <w:bookmarkEnd w:id="87"/>
    </w:p>
    <w:p w14:paraId="227DFF4B" w14:textId="0352B893" w:rsidR="00175DB4" w:rsidRDefault="000519D1">
      <w:pPr>
        <w:spacing w:line="360" w:lineRule="auto"/>
        <w:ind w:firstLineChars="200" w:firstLine="420"/>
        <w:rPr>
          <w:szCs w:val="21"/>
        </w:rPr>
      </w:pPr>
      <w:bookmarkStart w:id="88" w:name="_Toc116900098"/>
      <w:r>
        <w:rPr>
          <w:rFonts w:hint="eastAsia"/>
          <w:szCs w:val="21"/>
        </w:rPr>
        <w:t>（一）</w:t>
      </w:r>
      <w:r w:rsidR="00D63951" w:rsidRPr="00D63951">
        <w:rPr>
          <w:rFonts w:hint="eastAsia"/>
          <w:szCs w:val="21"/>
        </w:rPr>
        <w:t>基金托管人根据有关法律法规的规定及《基金合同》的约定，对基金投资范围、投资对象进行监督。基金管理人应通过基金管理人公司邮箱或双方共同认可的其他方式向</w:t>
      </w:r>
      <w:r w:rsidR="00D63951" w:rsidRPr="00D63951">
        <w:rPr>
          <w:rFonts w:hint="eastAsia"/>
          <w:szCs w:val="21"/>
        </w:rPr>
        <w:lastRenderedPageBreak/>
        <w:t>基金托管人提供投资监督联系方式。基金托管人接收基金管理人投资监督联系方式以及向基金管理人发送投资监督提示邮件的邮箱地址为：</w:t>
      </w:r>
      <w:r w:rsidR="00D63951" w:rsidRPr="00D63951">
        <w:rPr>
          <w:rFonts w:hint="eastAsia"/>
          <w:szCs w:val="21"/>
        </w:rPr>
        <w:t>compliance_zctg@gf.com.cn</w:t>
      </w:r>
      <w:r w:rsidR="00D63951" w:rsidRPr="00D63951">
        <w:rPr>
          <w:rFonts w:hint="eastAsia"/>
          <w:szCs w:val="21"/>
        </w:rPr>
        <w:t>。</w:t>
      </w:r>
    </w:p>
    <w:p w14:paraId="7D1E7862" w14:textId="77777777" w:rsidR="00D63951" w:rsidRPr="00D63951" w:rsidRDefault="00D63951" w:rsidP="00D63951">
      <w:pPr>
        <w:spacing w:line="360" w:lineRule="auto"/>
        <w:ind w:firstLineChars="200" w:firstLine="420"/>
        <w:rPr>
          <w:szCs w:val="21"/>
        </w:rPr>
      </w:pPr>
      <w:r w:rsidRPr="00D63951">
        <w:rPr>
          <w:rFonts w:hint="eastAsia"/>
          <w:szCs w:val="21"/>
        </w:rPr>
        <w:t>本基金投资范围主要为标的指数成份股及备选成份股（</w:t>
      </w:r>
      <w:proofErr w:type="gramStart"/>
      <w:r w:rsidRPr="00D63951">
        <w:rPr>
          <w:rFonts w:hint="eastAsia"/>
          <w:szCs w:val="21"/>
        </w:rPr>
        <w:t>含存托</w:t>
      </w:r>
      <w:proofErr w:type="gramEnd"/>
      <w:r w:rsidRPr="00D63951">
        <w:rPr>
          <w:rFonts w:hint="eastAsia"/>
          <w:szCs w:val="21"/>
        </w:rPr>
        <w:t>凭证，下同），此外，为更好地实现投资目标，本基金可少量投资于部分非成份股（包含主板、创业板及其他经中国证监会核准或注册上市的股票及存托凭证）、衍生工具（股指期货、股票期权等）、债券（包括国债、金融债、企业债、公司债、地方政府债、公开发行的次级债、可交换债券、可转换债券、分离交易可转债</w:t>
      </w:r>
      <w:proofErr w:type="gramStart"/>
      <w:r w:rsidRPr="00D63951">
        <w:rPr>
          <w:rFonts w:hint="eastAsia"/>
          <w:szCs w:val="21"/>
        </w:rPr>
        <w:t>的纯债部分</w:t>
      </w:r>
      <w:proofErr w:type="gramEnd"/>
      <w:r w:rsidRPr="00D63951">
        <w:rPr>
          <w:rFonts w:hint="eastAsia"/>
          <w:szCs w:val="21"/>
        </w:rPr>
        <w:t>、央行票据、中期票据、短期融资</w:t>
      </w:r>
      <w:proofErr w:type="gramStart"/>
      <w:r w:rsidRPr="00D63951">
        <w:rPr>
          <w:rFonts w:hint="eastAsia"/>
          <w:szCs w:val="21"/>
        </w:rPr>
        <w:t>券</w:t>
      </w:r>
      <w:proofErr w:type="gramEnd"/>
      <w:r w:rsidRPr="00D63951">
        <w:rPr>
          <w:rFonts w:hint="eastAsia"/>
          <w:szCs w:val="21"/>
        </w:rPr>
        <w:t>、超短期融资</w:t>
      </w:r>
      <w:proofErr w:type="gramStart"/>
      <w:r w:rsidRPr="00D63951">
        <w:rPr>
          <w:rFonts w:hint="eastAsia"/>
          <w:szCs w:val="21"/>
        </w:rPr>
        <w:t>券</w:t>
      </w:r>
      <w:proofErr w:type="gramEnd"/>
      <w:r w:rsidRPr="00D63951">
        <w:rPr>
          <w:rFonts w:hint="eastAsia"/>
          <w:szCs w:val="21"/>
        </w:rPr>
        <w:t>、政府支持机构债券、政府支持债券）、资产支持证券、债券回购、银行存款（包括协议存款、定期存款及其他银行存款）、同业存单、货币市场工具以及中国证监会允许基金投资的其他金融工具（但须符合中国证监会的相关规定）。</w:t>
      </w:r>
      <w:r w:rsidRPr="00D63951">
        <w:rPr>
          <w:rFonts w:hint="eastAsia"/>
          <w:szCs w:val="21"/>
        </w:rPr>
        <w:t xml:space="preserve"> </w:t>
      </w:r>
    </w:p>
    <w:p w14:paraId="14FD3500" w14:textId="77777777" w:rsidR="00D63951" w:rsidRPr="00D63951" w:rsidRDefault="00D63951" w:rsidP="00D63951">
      <w:pPr>
        <w:spacing w:line="360" w:lineRule="auto"/>
        <w:ind w:firstLineChars="200" w:firstLine="420"/>
        <w:rPr>
          <w:szCs w:val="21"/>
        </w:rPr>
      </w:pPr>
      <w:r w:rsidRPr="00D63951">
        <w:rPr>
          <w:rFonts w:hint="eastAsia"/>
          <w:szCs w:val="21"/>
        </w:rPr>
        <w:t>本基金可以根据有关法律法规的规定进行融资及转融通证券出借业务交易。</w:t>
      </w:r>
    </w:p>
    <w:p w14:paraId="50E6FBF8" w14:textId="77777777" w:rsidR="00D63951" w:rsidRPr="00D63951" w:rsidRDefault="00D63951" w:rsidP="00D63951">
      <w:pPr>
        <w:spacing w:line="360" w:lineRule="auto"/>
        <w:ind w:firstLineChars="200" w:firstLine="420"/>
        <w:rPr>
          <w:szCs w:val="21"/>
        </w:rPr>
      </w:pPr>
      <w:r w:rsidRPr="00D63951">
        <w:rPr>
          <w:rFonts w:hint="eastAsia"/>
          <w:szCs w:val="21"/>
        </w:rPr>
        <w:t>如法律法规或监管机构以后允许基金投资其他品种，基金管理人在履行适当程序后，可以将其纳入投资范围，并可依据届时有效的法律法规适时合理地调整投资范围。</w:t>
      </w:r>
    </w:p>
    <w:p w14:paraId="485D310F" w14:textId="77777777" w:rsidR="00D63951" w:rsidRPr="00D63951" w:rsidRDefault="00D63951" w:rsidP="00D63951">
      <w:pPr>
        <w:spacing w:line="360" w:lineRule="auto"/>
        <w:ind w:firstLineChars="200" w:firstLine="420"/>
        <w:rPr>
          <w:szCs w:val="21"/>
        </w:rPr>
      </w:pPr>
      <w:r w:rsidRPr="00D63951">
        <w:rPr>
          <w:rFonts w:hint="eastAsia"/>
          <w:szCs w:val="21"/>
        </w:rPr>
        <w:t>基金的投资组合比例为：基金投资于标的指数成份股及备选成份股的资产不低于基金资产净值的</w:t>
      </w:r>
      <w:r w:rsidRPr="00D63951">
        <w:rPr>
          <w:rFonts w:hint="eastAsia"/>
          <w:szCs w:val="21"/>
        </w:rPr>
        <w:t>90%</w:t>
      </w:r>
      <w:r w:rsidRPr="00D63951">
        <w:rPr>
          <w:rFonts w:hint="eastAsia"/>
          <w:szCs w:val="21"/>
        </w:rPr>
        <w:t>，且不低于非现金基金资产的</w:t>
      </w:r>
      <w:r w:rsidRPr="00D63951">
        <w:rPr>
          <w:rFonts w:hint="eastAsia"/>
          <w:szCs w:val="21"/>
        </w:rPr>
        <w:t>80</w:t>
      </w:r>
      <w:r w:rsidRPr="00D63951">
        <w:rPr>
          <w:rFonts w:hint="eastAsia"/>
          <w:szCs w:val="21"/>
        </w:rPr>
        <w:t>％，因法律法规的规定而受限制的情形除外。本基金每个交易日日终在扣除股指期货合约、股票期权合约需缴纳的交易保证金后，应当保持不低于交易保证金一倍的现金，其中，现金不包括结算备付金、存出保证金和应收申购款等。</w:t>
      </w:r>
    </w:p>
    <w:p w14:paraId="5C0CA642" w14:textId="77777777" w:rsidR="00D63951" w:rsidRDefault="00D63951">
      <w:pPr>
        <w:spacing w:line="360" w:lineRule="auto"/>
        <w:ind w:firstLineChars="200" w:firstLine="420"/>
        <w:rPr>
          <w:szCs w:val="21"/>
        </w:rPr>
      </w:pPr>
      <w:r w:rsidRPr="00D63951">
        <w:rPr>
          <w:rFonts w:hint="eastAsia"/>
          <w:szCs w:val="21"/>
        </w:rPr>
        <w:t>如法律法规或中国证监会变更投资品种的投资比例限制，基金管理人在履行适当程序后，可以调整上述投资品种的投资比例。</w:t>
      </w:r>
    </w:p>
    <w:p w14:paraId="07683C0F" w14:textId="3B31ABA7" w:rsidR="00175DB4" w:rsidRDefault="000519D1">
      <w:pPr>
        <w:spacing w:line="360" w:lineRule="auto"/>
        <w:ind w:firstLineChars="200" w:firstLine="420"/>
        <w:rPr>
          <w:szCs w:val="21"/>
        </w:rPr>
      </w:pPr>
      <w:r>
        <w:rPr>
          <w:rFonts w:hint="eastAsia"/>
          <w:szCs w:val="21"/>
        </w:rPr>
        <w:t>（二）基金托管人根据有关法律法规的规定及</w:t>
      </w:r>
      <w:r w:rsidR="007C65E1">
        <w:rPr>
          <w:rFonts w:hint="eastAsia"/>
          <w:szCs w:val="21"/>
        </w:rPr>
        <w:t>《</w:t>
      </w:r>
      <w:r>
        <w:rPr>
          <w:rFonts w:hint="eastAsia"/>
          <w:szCs w:val="21"/>
        </w:rPr>
        <w:t>基金合同</w:t>
      </w:r>
      <w:r w:rsidR="007C65E1">
        <w:rPr>
          <w:rFonts w:hint="eastAsia"/>
          <w:szCs w:val="21"/>
        </w:rPr>
        <w:t>》</w:t>
      </w:r>
      <w:r>
        <w:rPr>
          <w:rFonts w:hint="eastAsia"/>
          <w:szCs w:val="21"/>
        </w:rPr>
        <w:t>的约定，对基金投资、融资比例进行监督。基金托管人按下述比例和调整期限进行监督：</w:t>
      </w:r>
    </w:p>
    <w:p w14:paraId="3277AC1D"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w:t>
      </w:r>
      <w:r w:rsidRPr="00D63951">
        <w:rPr>
          <w:rFonts w:hint="eastAsia"/>
          <w:bCs/>
          <w:szCs w:val="21"/>
        </w:rPr>
        <w:t>）本基金投资于标的指数成份股及备选成份股的资产不低于基金资产净值的</w:t>
      </w:r>
      <w:r w:rsidRPr="00D63951">
        <w:rPr>
          <w:rFonts w:hint="eastAsia"/>
          <w:bCs/>
          <w:szCs w:val="21"/>
        </w:rPr>
        <w:t>90%</w:t>
      </w:r>
      <w:r w:rsidRPr="00D63951">
        <w:rPr>
          <w:rFonts w:hint="eastAsia"/>
          <w:bCs/>
          <w:szCs w:val="21"/>
        </w:rPr>
        <w:t>，且不低于非现金基金资产的</w:t>
      </w:r>
      <w:r w:rsidRPr="00D63951">
        <w:rPr>
          <w:rFonts w:hint="eastAsia"/>
          <w:bCs/>
          <w:szCs w:val="21"/>
        </w:rPr>
        <w:t>80</w:t>
      </w:r>
      <w:r w:rsidRPr="00D63951">
        <w:rPr>
          <w:rFonts w:hint="eastAsia"/>
          <w:bCs/>
          <w:szCs w:val="21"/>
        </w:rPr>
        <w:t>％，因法律法规的规定而受限制的情形除外；</w:t>
      </w:r>
    </w:p>
    <w:p w14:paraId="3412B605"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2</w:t>
      </w:r>
      <w:r w:rsidRPr="00D63951">
        <w:rPr>
          <w:rFonts w:hint="eastAsia"/>
          <w:bCs/>
          <w:szCs w:val="21"/>
        </w:rPr>
        <w:t>）本基金投资于同一原始权益人的各类资产支持证券的比例，不得超过基金资产净值的</w:t>
      </w:r>
      <w:r w:rsidRPr="00D63951">
        <w:rPr>
          <w:rFonts w:hint="eastAsia"/>
          <w:bCs/>
          <w:szCs w:val="21"/>
        </w:rPr>
        <w:t>10</w:t>
      </w:r>
      <w:r w:rsidRPr="00D63951">
        <w:rPr>
          <w:rFonts w:hint="eastAsia"/>
          <w:bCs/>
          <w:szCs w:val="21"/>
        </w:rPr>
        <w:t>％；</w:t>
      </w:r>
    </w:p>
    <w:p w14:paraId="4CDD9D5B"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3</w:t>
      </w:r>
      <w:r w:rsidRPr="00D63951">
        <w:rPr>
          <w:rFonts w:hint="eastAsia"/>
          <w:bCs/>
          <w:szCs w:val="21"/>
        </w:rPr>
        <w:t>）本基金持有的全部资产支持证券，其市值不得超过基金资产净值的</w:t>
      </w:r>
      <w:r w:rsidRPr="00D63951">
        <w:rPr>
          <w:rFonts w:hint="eastAsia"/>
          <w:bCs/>
          <w:szCs w:val="21"/>
        </w:rPr>
        <w:t>20</w:t>
      </w:r>
      <w:r w:rsidRPr="00D63951">
        <w:rPr>
          <w:rFonts w:hint="eastAsia"/>
          <w:bCs/>
          <w:szCs w:val="21"/>
        </w:rPr>
        <w:t>％；</w:t>
      </w:r>
    </w:p>
    <w:p w14:paraId="6CEA8718"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4</w:t>
      </w:r>
      <w:r w:rsidRPr="00D63951">
        <w:rPr>
          <w:rFonts w:hint="eastAsia"/>
          <w:bCs/>
          <w:szCs w:val="21"/>
        </w:rPr>
        <w:t>）本基金持有的同一</w:t>
      </w:r>
      <w:r w:rsidRPr="00D63951">
        <w:rPr>
          <w:rFonts w:hint="eastAsia"/>
          <w:bCs/>
          <w:szCs w:val="21"/>
        </w:rPr>
        <w:t>(</w:t>
      </w:r>
      <w:r w:rsidRPr="00D63951">
        <w:rPr>
          <w:rFonts w:hint="eastAsia"/>
          <w:bCs/>
          <w:szCs w:val="21"/>
        </w:rPr>
        <w:t>指同一信用级别</w:t>
      </w:r>
      <w:r w:rsidRPr="00D63951">
        <w:rPr>
          <w:rFonts w:hint="eastAsia"/>
          <w:bCs/>
          <w:szCs w:val="21"/>
        </w:rPr>
        <w:t>)</w:t>
      </w:r>
      <w:r w:rsidRPr="00D63951">
        <w:rPr>
          <w:rFonts w:hint="eastAsia"/>
          <w:bCs/>
          <w:szCs w:val="21"/>
        </w:rPr>
        <w:t>资产支持证券的比例，不得超过该资产支持证券规模的</w:t>
      </w:r>
      <w:r w:rsidRPr="00D63951">
        <w:rPr>
          <w:rFonts w:hint="eastAsia"/>
          <w:bCs/>
          <w:szCs w:val="21"/>
        </w:rPr>
        <w:t>10</w:t>
      </w:r>
      <w:r w:rsidRPr="00D63951">
        <w:rPr>
          <w:rFonts w:hint="eastAsia"/>
          <w:bCs/>
          <w:szCs w:val="21"/>
        </w:rPr>
        <w:t>％；</w:t>
      </w:r>
    </w:p>
    <w:p w14:paraId="7C4D9827"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5</w:t>
      </w:r>
      <w:r w:rsidRPr="00D63951">
        <w:rPr>
          <w:rFonts w:hint="eastAsia"/>
          <w:bCs/>
          <w:szCs w:val="21"/>
        </w:rPr>
        <w:t>）本基金管理人管理的全部基金投资于同一原始权益人的各类资产支持证券，不</w:t>
      </w:r>
      <w:r w:rsidRPr="00D63951">
        <w:rPr>
          <w:rFonts w:hint="eastAsia"/>
          <w:bCs/>
          <w:szCs w:val="21"/>
        </w:rPr>
        <w:lastRenderedPageBreak/>
        <w:t>得超过其各类资产支持证券合计规模的</w:t>
      </w:r>
      <w:r w:rsidRPr="00D63951">
        <w:rPr>
          <w:rFonts w:hint="eastAsia"/>
          <w:bCs/>
          <w:szCs w:val="21"/>
        </w:rPr>
        <w:t>10</w:t>
      </w:r>
      <w:r w:rsidRPr="00D63951">
        <w:rPr>
          <w:rFonts w:hint="eastAsia"/>
          <w:bCs/>
          <w:szCs w:val="21"/>
        </w:rPr>
        <w:t>％；</w:t>
      </w:r>
    </w:p>
    <w:p w14:paraId="47D31ADC"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6</w:t>
      </w:r>
      <w:r w:rsidRPr="00D63951">
        <w:rPr>
          <w:rFonts w:hint="eastAsia"/>
          <w:bCs/>
          <w:szCs w:val="21"/>
        </w:rPr>
        <w:t>）本基金应投资于信用级别评级为</w:t>
      </w:r>
      <w:r w:rsidRPr="00D63951">
        <w:rPr>
          <w:rFonts w:hint="eastAsia"/>
          <w:bCs/>
          <w:szCs w:val="21"/>
        </w:rPr>
        <w:t>BBB</w:t>
      </w:r>
      <w:r w:rsidRPr="00D63951">
        <w:rPr>
          <w:rFonts w:hint="eastAsia"/>
          <w:bCs/>
          <w:szCs w:val="21"/>
        </w:rPr>
        <w:t>以上</w:t>
      </w:r>
      <w:r w:rsidRPr="00D63951">
        <w:rPr>
          <w:rFonts w:hint="eastAsia"/>
          <w:bCs/>
          <w:szCs w:val="21"/>
        </w:rPr>
        <w:t>(</w:t>
      </w:r>
      <w:r w:rsidRPr="00D63951">
        <w:rPr>
          <w:rFonts w:hint="eastAsia"/>
          <w:bCs/>
          <w:szCs w:val="21"/>
        </w:rPr>
        <w:t>含</w:t>
      </w:r>
      <w:r w:rsidRPr="00D63951">
        <w:rPr>
          <w:rFonts w:hint="eastAsia"/>
          <w:bCs/>
          <w:szCs w:val="21"/>
        </w:rPr>
        <w:t>BBB)</w:t>
      </w:r>
      <w:r w:rsidRPr="00D63951">
        <w:rPr>
          <w:rFonts w:hint="eastAsia"/>
          <w:bCs/>
          <w:szCs w:val="21"/>
        </w:rPr>
        <w:t>的资产支持证券。基金持有资产支持证券期间，如果其信用等级下降、不再符合投资标准，应在评级报告发布之日起</w:t>
      </w:r>
      <w:r w:rsidRPr="00D63951">
        <w:rPr>
          <w:rFonts w:hint="eastAsia"/>
          <w:bCs/>
          <w:szCs w:val="21"/>
        </w:rPr>
        <w:t>3</w:t>
      </w:r>
      <w:r w:rsidRPr="00D63951">
        <w:rPr>
          <w:rFonts w:hint="eastAsia"/>
          <w:bCs/>
          <w:szCs w:val="21"/>
        </w:rPr>
        <w:t>个月内予以全部卖出；</w:t>
      </w:r>
    </w:p>
    <w:p w14:paraId="08BA4C28"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7</w:t>
      </w:r>
      <w:r w:rsidRPr="00D63951">
        <w:rPr>
          <w:rFonts w:hint="eastAsia"/>
          <w:bCs/>
          <w:szCs w:val="21"/>
        </w:rPr>
        <w:t>）基金财产参与股票发行申购，本基金所申报的金额不超过本基金的总资产，本基金所申报的股票数量不超过拟发行股票公司本次发行股票的总量；</w:t>
      </w:r>
    </w:p>
    <w:p w14:paraId="6E085306"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8</w:t>
      </w:r>
      <w:r w:rsidRPr="00D63951">
        <w:rPr>
          <w:rFonts w:hint="eastAsia"/>
          <w:bCs/>
          <w:szCs w:val="21"/>
        </w:rPr>
        <w:t>）本基金参与股指期货交易依据下列标准建构组合：</w:t>
      </w:r>
    </w:p>
    <w:p w14:paraId="50660BBC"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8.1 </w:t>
      </w:r>
      <w:r w:rsidRPr="00D63951">
        <w:rPr>
          <w:rFonts w:hint="eastAsia"/>
          <w:bCs/>
          <w:szCs w:val="21"/>
        </w:rPr>
        <w:t>本基金在任何交易日日终，持有的买入股指期货合约价值，不得超过基金资产净值的</w:t>
      </w:r>
      <w:r w:rsidRPr="00D63951">
        <w:rPr>
          <w:rFonts w:hint="eastAsia"/>
          <w:bCs/>
          <w:szCs w:val="21"/>
        </w:rPr>
        <w:t>10%</w:t>
      </w:r>
      <w:r w:rsidRPr="00D63951">
        <w:rPr>
          <w:rFonts w:hint="eastAsia"/>
          <w:bCs/>
          <w:szCs w:val="21"/>
        </w:rPr>
        <w:t>；</w:t>
      </w:r>
    </w:p>
    <w:p w14:paraId="75DCFD31"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8.2 </w:t>
      </w:r>
      <w:r w:rsidRPr="00D63951">
        <w:rPr>
          <w:rFonts w:hint="eastAsia"/>
          <w:bCs/>
          <w:szCs w:val="21"/>
        </w:rPr>
        <w:t>本基金在任何交易日日终，持有的买入股指期货合约价值与有价证券市值之和不得超过基金资产净值的</w:t>
      </w:r>
      <w:r w:rsidRPr="00D63951">
        <w:rPr>
          <w:rFonts w:hint="eastAsia"/>
          <w:bCs/>
          <w:szCs w:val="21"/>
        </w:rPr>
        <w:t>100%</w:t>
      </w:r>
      <w:r w:rsidRPr="00D63951">
        <w:rPr>
          <w:rFonts w:hint="eastAsia"/>
          <w:bCs/>
          <w:szCs w:val="21"/>
        </w:rPr>
        <w:t>，其中，有价证券指股票、债券（不含到期日在一年以内的政府债券）、资产支持证券、买入返售金融资产（不含质押式回购）等；</w:t>
      </w:r>
    </w:p>
    <w:p w14:paraId="39EA2F19"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8.3 </w:t>
      </w:r>
      <w:r w:rsidRPr="00D63951">
        <w:rPr>
          <w:rFonts w:hint="eastAsia"/>
          <w:bCs/>
          <w:szCs w:val="21"/>
        </w:rPr>
        <w:t>本基金在任何交易日日终，持有的卖出股指期货合约价值不得超过本基金持有的股票总市值的</w:t>
      </w:r>
      <w:r w:rsidRPr="00D63951">
        <w:rPr>
          <w:rFonts w:hint="eastAsia"/>
          <w:bCs/>
          <w:szCs w:val="21"/>
        </w:rPr>
        <w:t>20%</w:t>
      </w:r>
      <w:r w:rsidRPr="00D63951">
        <w:rPr>
          <w:rFonts w:hint="eastAsia"/>
          <w:bCs/>
          <w:szCs w:val="21"/>
        </w:rPr>
        <w:t>；</w:t>
      </w:r>
    </w:p>
    <w:p w14:paraId="681D93F1"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8.4 </w:t>
      </w:r>
      <w:r w:rsidRPr="00D63951">
        <w:rPr>
          <w:rFonts w:hint="eastAsia"/>
          <w:bCs/>
          <w:szCs w:val="21"/>
        </w:rPr>
        <w:t>本基金所持有的股票市值和买入、卖出股指期货合约价值，合计（轧差计算）应当符合基金合同关于股票投资比例的有关约定；</w:t>
      </w:r>
    </w:p>
    <w:p w14:paraId="51C177CA"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8.5 </w:t>
      </w:r>
      <w:r w:rsidRPr="00D63951">
        <w:rPr>
          <w:rFonts w:hint="eastAsia"/>
          <w:bCs/>
          <w:szCs w:val="21"/>
        </w:rPr>
        <w:t>本基金在任何交易日内交易（不包括平仓）的股指期货合约的成交金额不得超过上一交易日基金资产净值的</w:t>
      </w:r>
      <w:r w:rsidRPr="00D63951">
        <w:rPr>
          <w:rFonts w:hint="eastAsia"/>
          <w:bCs/>
          <w:szCs w:val="21"/>
        </w:rPr>
        <w:t>20%</w:t>
      </w:r>
      <w:r w:rsidRPr="00D63951">
        <w:rPr>
          <w:rFonts w:hint="eastAsia"/>
          <w:bCs/>
          <w:szCs w:val="21"/>
        </w:rPr>
        <w:t>；</w:t>
      </w:r>
    </w:p>
    <w:p w14:paraId="061D682A" w14:textId="77777777" w:rsidR="00D63951" w:rsidRPr="00D63951" w:rsidRDefault="00D63951" w:rsidP="00D63951">
      <w:pPr>
        <w:spacing w:line="360" w:lineRule="auto"/>
        <w:ind w:firstLineChars="200" w:firstLine="420"/>
        <w:rPr>
          <w:bCs/>
          <w:szCs w:val="21"/>
        </w:rPr>
      </w:pPr>
      <w:r w:rsidRPr="00D63951">
        <w:rPr>
          <w:rFonts w:hint="eastAsia"/>
          <w:bCs/>
          <w:szCs w:val="21"/>
        </w:rPr>
        <w:t>8.6</w:t>
      </w:r>
      <w:r w:rsidRPr="00D63951">
        <w:rPr>
          <w:rFonts w:hint="eastAsia"/>
          <w:bCs/>
          <w:szCs w:val="21"/>
        </w:rPr>
        <w:t>本基金每个交易日日终在扣除股指期货合约、股票期权合约需缴纳的交易保证金后，应当保持不低于交易保证金一倍的现金，其中，现金不包括结算备付金、存出保证金和应收申购款等；</w:t>
      </w:r>
    </w:p>
    <w:p w14:paraId="3131B653"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9</w:t>
      </w:r>
      <w:r w:rsidRPr="00D63951">
        <w:rPr>
          <w:rFonts w:hint="eastAsia"/>
          <w:bCs/>
          <w:szCs w:val="21"/>
        </w:rPr>
        <w:t>）因未平仓的股票期权合约支付和收取的权利金总额不得超过基金资产净值的</w:t>
      </w:r>
      <w:r w:rsidRPr="00D63951">
        <w:rPr>
          <w:rFonts w:hint="eastAsia"/>
          <w:bCs/>
          <w:szCs w:val="21"/>
        </w:rPr>
        <w:t>10%</w:t>
      </w:r>
      <w:r w:rsidRPr="00D63951">
        <w:rPr>
          <w:rFonts w:hint="eastAsia"/>
          <w:bCs/>
          <w:szCs w:val="21"/>
        </w:rPr>
        <w:t>；开仓卖出认购股票期权的，应持有足额标的证券；开仓卖出认</w:t>
      </w:r>
      <w:proofErr w:type="gramStart"/>
      <w:r w:rsidRPr="00D63951">
        <w:rPr>
          <w:rFonts w:hint="eastAsia"/>
          <w:bCs/>
          <w:szCs w:val="21"/>
        </w:rPr>
        <w:t>沽股票</w:t>
      </w:r>
      <w:proofErr w:type="gramEnd"/>
      <w:r w:rsidRPr="00D63951">
        <w:rPr>
          <w:rFonts w:hint="eastAsia"/>
          <w:bCs/>
          <w:szCs w:val="21"/>
        </w:rPr>
        <w:t>期权的，应持有合约行权所需的全额现金或交易所规则认可的可冲抵股票期权保证金的现金等价物；未平仓的股票期权合约面值不得超过基金资产净值的</w:t>
      </w:r>
      <w:r w:rsidRPr="00D63951">
        <w:rPr>
          <w:rFonts w:hint="eastAsia"/>
          <w:bCs/>
          <w:szCs w:val="21"/>
        </w:rPr>
        <w:t xml:space="preserve">20% </w:t>
      </w:r>
      <w:r w:rsidRPr="00D63951">
        <w:rPr>
          <w:rFonts w:hint="eastAsia"/>
          <w:bCs/>
          <w:szCs w:val="21"/>
        </w:rPr>
        <w:t>。其中，合约面值按照行权价乘以合约乘数计算；基金投资股票期权符合基金合同约定的比例限制</w:t>
      </w:r>
      <w:r w:rsidRPr="00D63951">
        <w:rPr>
          <w:rFonts w:hint="eastAsia"/>
          <w:bCs/>
          <w:szCs w:val="21"/>
        </w:rPr>
        <w:t xml:space="preserve"> </w:t>
      </w:r>
      <w:r w:rsidRPr="00D63951">
        <w:rPr>
          <w:rFonts w:hint="eastAsia"/>
          <w:bCs/>
          <w:szCs w:val="21"/>
        </w:rPr>
        <w:t>（如股票</w:t>
      </w:r>
      <w:proofErr w:type="gramStart"/>
      <w:r w:rsidRPr="00D63951">
        <w:rPr>
          <w:rFonts w:hint="eastAsia"/>
          <w:bCs/>
          <w:szCs w:val="21"/>
        </w:rPr>
        <w:t>仓位</w:t>
      </w:r>
      <w:proofErr w:type="gramEnd"/>
      <w:r w:rsidRPr="00D63951">
        <w:rPr>
          <w:rFonts w:hint="eastAsia"/>
          <w:bCs/>
          <w:szCs w:val="21"/>
        </w:rPr>
        <w:t>、个股占比等）、投资目标和风险收益特征；</w:t>
      </w:r>
    </w:p>
    <w:p w14:paraId="5B2C684A"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10</w:t>
      </w:r>
      <w:r w:rsidRPr="00D63951">
        <w:rPr>
          <w:rFonts w:hint="eastAsia"/>
          <w:bCs/>
          <w:szCs w:val="21"/>
        </w:rPr>
        <w:t>）本基金参与融资的，每个交易日日终，本基金持有的融资买入股票与</w:t>
      </w:r>
    </w:p>
    <w:p w14:paraId="51A9CC6D" w14:textId="77777777" w:rsidR="00D63951" w:rsidRPr="00D63951" w:rsidRDefault="00D63951" w:rsidP="00D63951">
      <w:pPr>
        <w:spacing w:line="360" w:lineRule="auto"/>
        <w:ind w:firstLineChars="200" w:firstLine="420"/>
        <w:rPr>
          <w:bCs/>
          <w:szCs w:val="21"/>
        </w:rPr>
      </w:pPr>
      <w:r w:rsidRPr="00D63951">
        <w:rPr>
          <w:rFonts w:hint="eastAsia"/>
          <w:bCs/>
          <w:szCs w:val="21"/>
        </w:rPr>
        <w:t>其他有价证券市值之和，不得超过基金资产净值的</w:t>
      </w:r>
      <w:r w:rsidRPr="00D63951">
        <w:rPr>
          <w:rFonts w:hint="eastAsia"/>
          <w:bCs/>
          <w:szCs w:val="21"/>
        </w:rPr>
        <w:t>95%</w:t>
      </w:r>
      <w:r w:rsidRPr="00D63951">
        <w:rPr>
          <w:rFonts w:hint="eastAsia"/>
          <w:bCs/>
          <w:szCs w:val="21"/>
        </w:rPr>
        <w:t>；</w:t>
      </w:r>
    </w:p>
    <w:p w14:paraId="7A1460DD"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11</w:t>
      </w:r>
      <w:r w:rsidRPr="00D63951">
        <w:rPr>
          <w:rFonts w:hint="eastAsia"/>
          <w:bCs/>
          <w:szCs w:val="21"/>
        </w:rPr>
        <w:t>）本基金参与转融通证券出借业务，应当遵守以下交易限制：</w:t>
      </w:r>
    </w:p>
    <w:p w14:paraId="7AD4F45E" w14:textId="77777777" w:rsidR="00D63951" w:rsidRPr="00D63951" w:rsidRDefault="00D63951" w:rsidP="00D63951">
      <w:pPr>
        <w:spacing w:line="360" w:lineRule="auto"/>
        <w:ind w:firstLineChars="200" w:firstLine="420"/>
        <w:rPr>
          <w:bCs/>
          <w:szCs w:val="21"/>
        </w:rPr>
      </w:pPr>
      <w:r w:rsidRPr="00D63951">
        <w:rPr>
          <w:rFonts w:hint="eastAsia"/>
          <w:bCs/>
          <w:szCs w:val="21"/>
        </w:rPr>
        <w:lastRenderedPageBreak/>
        <w:t xml:space="preserve">11.1 </w:t>
      </w:r>
      <w:r w:rsidRPr="00D63951">
        <w:rPr>
          <w:rFonts w:hint="eastAsia"/>
          <w:bCs/>
          <w:szCs w:val="21"/>
        </w:rPr>
        <w:t>参与转融通证券出借业务的资产不得超过基金资产净值的</w:t>
      </w:r>
      <w:r w:rsidRPr="00D63951">
        <w:rPr>
          <w:rFonts w:hint="eastAsia"/>
          <w:bCs/>
          <w:szCs w:val="21"/>
        </w:rPr>
        <w:t>30%</w:t>
      </w:r>
      <w:r w:rsidRPr="00D63951">
        <w:rPr>
          <w:rFonts w:hint="eastAsia"/>
          <w:bCs/>
          <w:szCs w:val="21"/>
        </w:rPr>
        <w:t>，其中出借期限在</w:t>
      </w:r>
      <w:r w:rsidRPr="00D63951">
        <w:rPr>
          <w:rFonts w:hint="eastAsia"/>
          <w:bCs/>
          <w:szCs w:val="21"/>
        </w:rPr>
        <w:t xml:space="preserve">10 </w:t>
      </w:r>
      <w:proofErr w:type="gramStart"/>
      <w:r w:rsidRPr="00D63951">
        <w:rPr>
          <w:rFonts w:hint="eastAsia"/>
          <w:bCs/>
          <w:szCs w:val="21"/>
        </w:rPr>
        <w:t>个</w:t>
      </w:r>
      <w:proofErr w:type="gramEnd"/>
      <w:r w:rsidRPr="00D63951">
        <w:rPr>
          <w:rFonts w:hint="eastAsia"/>
          <w:bCs/>
          <w:szCs w:val="21"/>
        </w:rPr>
        <w:t>交易日以上的出借证券应纳入《流动性风险管理规定》所述流动性受限证券的范围；</w:t>
      </w:r>
    </w:p>
    <w:p w14:paraId="56AFC48A"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11.2 </w:t>
      </w:r>
      <w:r w:rsidRPr="00D63951">
        <w:rPr>
          <w:rFonts w:hint="eastAsia"/>
          <w:bCs/>
          <w:szCs w:val="21"/>
        </w:rPr>
        <w:t>参与转融通证券出借业务的单只证券不得超过基金持有该证券总量的</w:t>
      </w:r>
      <w:r w:rsidRPr="00D63951">
        <w:rPr>
          <w:rFonts w:hint="eastAsia"/>
          <w:bCs/>
          <w:szCs w:val="21"/>
        </w:rPr>
        <w:t>30%</w:t>
      </w:r>
      <w:r w:rsidRPr="00D63951">
        <w:rPr>
          <w:rFonts w:hint="eastAsia"/>
          <w:bCs/>
          <w:szCs w:val="21"/>
        </w:rPr>
        <w:t>；</w:t>
      </w:r>
    </w:p>
    <w:p w14:paraId="3013CEDB"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11.3 </w:t>
      </w:r>
      <w:r w:rsidRPr="00D63951">
        <w:rPr>
          <w:rFonts w:hint="eastAsia"/>
          <w:bCs/>
          <w:szCs w:val="21"/>
        </w:rPr>
        <w:t>最近</w:t>
      </w:r>
      <w:r w:rsidRPr="00D63951">
        <w:rPr>
          <w:rFonts w:hint="eastAsia"/>
          <w:bCs/>
          <w:szCs w:val="21"/>
        </w:rPr>
        <w:t>6</w:t>
      </w:r>
      <w:r w:rsidRPr="00D63951">
        <w:rPr>
          <w:rFonts w:hint="eastAsia"/>
          <w:bCs/>
          <w:szCs w:val="21"/>
        </w:rPr>
        <w:t>个月内日均基金资产净值不低于</w:t>
      </w:r>
      <w:r w:rsidRPr="00D63951">
        <w:rPr>
          <w:rFonts w:hint="eastAsia"/>
          <w:bCs/>
          <w:szCs w:val="21"/>
        </w:rPr>
        <w:t>2</w:t>
      </w:r>
      <w:r w:rsidRPr="00D63951">
        <w:rPr>
          <w:rFonts w:hint="eastAsia"/>
          <w:bCs/>
          <w:szCs w:val="21"/>
        </w:rPr>
        <w:t>亿元；</w:t>
      </w:r>
    </w:p>
    <w:p w14:paraId="02F3708B" w14:textId="77777777" w:rsidR="00D63951" w:rsidRPr="00D63951" w:rsidRDefault="00D63951" w:rsidP="00D63951">
      <w:pPr>
        <w:spacing w:line="360" w:lineRule="auto"/>
        <w:ind w:firstLineChars="200" w:firstLine="420"/>
        <w:rPr>
          <w:bCs/>
          <w:szCs w:val="21"/>
        </w:rPr>
      </w:pPr>
      <w:r w:rsidRPr="00D63951">
        <w:rPr>
          <w:rFonts w:hint="eastAsia"/>
          <w:bCs/>
          <w:szCs w:val="21"/>
        </w:rPr>
        <w:t xml:space="preserve">11.4 </w:t>
      </w:r>
      <w:r w:rsidRPr="00D63951">
        <w:rPr>
          <w:rFonts w:hint="eastAsia"/>
          <w:bCs/>
          <w:szCs w:val="21"/>
        </w:rPr>
        <w:t>证券出借的平均剩余期限不得超过</w:t>
      </w:r>
      <w:r w:rsidRPr="00D63951">
        <w:rPr>
          <w:rFonts w:hint="eastAsia"/>
          <w:bCs/>
          <w:szCs w:val="21"/>
        </w:rPr>
        <w:t>30</w:t>
      </w:r>
      <w:r w:rsidRPr="00D63951">
        <w:rPr>
          <w:rFonts w:hint="eastAsia"/>
          <w:bCs/>
          <w:szCs w:val="21"/>
        </w:rPr>
        <w:t>天，平均剩余期限按照市值加权平均计算；</w:t>
      </w:r>
    </w:p>
    <w:p w14:paraId="503134D3"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12</w:t>
      </w:r>
      <w:r w:rsidRPr="00D63951">
        <w:rPr>
          <w:rFonts w:hint="eastAsia"/>
          <w:bCs/>
          <w:szCs w:val="21"/>
        </w:rPr>
        <w:t>）本基金主动投资于流动性受限资产的市值合计不得超过本基金资产净值的</w:t>
      </w:r>
      <w:r w:rsidRPr="00D63951">
        <w:rPr>
          <w:rFonts w:hint="eastAsia"/>
          <w:bCs/>
          <w:szCs w:val="21"/>
        </w:rPr>
        <w:t>15%</w:t>
      </w:r>
      <w:r w:rsidRPr="00D63951">
        <w:rPr>
          <w:rFonts w:hint="eastAsia"/>
          <w:bCs/>
          <w:szCs w:val="21"/>
        </w:rPr>
        <w:t>。因证券市场波动、上市公司股票停牌、基金规模变动等基金管理人之外的因素致使基金不符合前述所规定比例限制的，基金管理人不得主动新增流动性受限资产的投资；</w:t>
      </w:r>
    </w:p>
    <w:p w14:paraId="0AC46291"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13</w:t>
      </w:r>
      <w:r w:rsidRPr="00D63951">
        <w:rPr>
          <w:rFonts w:hint="eastAsia"/>
          <w:bCs/>
          <w:szCs w:val="21"/>
        </w:rPr>
        <w:t>）本基金与私募类</w:t>
      </w:r>
      <w:proofErr w:type="gramStart"/>
      <w:r w:rsidRPr="00D63951">
        <w:rPr>
          <w:rFonts w:hint="eastAsia"/>
          <w:bCs/>
          <w:szCs w:val="21"/>
        </w:rPr>
        <w:t>证券资管产品</w:t>
      </w:r>
      <w:proofErr w:type="gramEnd"/>
      <w:r w:rsidRPr="00D63951">
        <w:rPr>
          <w:rFonts w:hint="eastAsia"/>
          <w:bCs/>
          <w:szCs w:val="21"/>
        </w:rPr>
        <w:t>及中国证监会认定的其他主体为交易对手开展逆回购交易的，可接受质押品的资质要求应当与基金合同约定的投资范围保持一致；</w:t>
      </w:r>
    </w:p>
    <w:p w14:paraId="2B060BF9"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14</w:t>
      </w:r>
      <w:r w:rsidRPr="00D63951">
        <w:rPr>
          <w:rFonts w:hint="eastAsia"/>
          <w:bCs/>
          <w:szCs w:val="21"/>
        </w:rPr>
        <w:t>）基金总资产不得超过基金净资产的</w:t>
      </w:r>
      <w:r w:rsidRPr="00D63951">
        <w:rPr>
          <w:rFonts w:hint="eastAsia"/>
          <w:bCs/>
          <w:szCs w:val="21"/>
        </w:rPr>
        <w:t>140%</w:t>
      </w:r>
      <w:r w:rsidRPr="00D63951">
        <w:rPr>
          <w:rFonts w:hint="eastAsia"/>
          <w:bCs/>
          <w:szCs w:val="21"/>
        </w:rPr>
        <w:t>；</w:t>
      </w:r>
    </w:p>
    <w:p w14:paraId="22062B3F"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15</w:t>
      </w:r>
      <w:r w:rsidRPr="00D63951">
        <w:rPr>
          <w:rFonts w:hint="eastAsia"/>
          <w:bCs/>
          <w:szCs w:val="21"/>
        </w:rPr>
        <w:t>）本基金持有一家公司发行的证券，其市值不超过基金资产净值的</w:t>
      </w:r>
      <w:r w:rsidRPr="00D63951">
        <w:rPr>
          <w:rFonts w:hint="eastAsia"/>
          <w:bCs/>
          <w:szCs w:val="21"/>
        </w:rPr>
        <w:t>10%</w:t>
      </w:r>
      <w:r w:rsidRPr="00D63951">
        <w:rPr>
          <w:rFonts w:hint="eastAsia"/>
          <w:bCs/>
          <w:szCs w:val="21"/>
        </w:rPr>
        <w:t>，完全按照有关指数的构成比例进行证券投资的基金品种可以不受此条款规定的比例限制；</w:t>
      </w:r>
    </w:p>
    <w:p w14:paraId="61B5D6EB"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16</w:t>
      </w:r>
      <w:r w:rsidRPr="00D63951">
        <w:rPr>
          <w:rFonts w:hint="eastAsia"/>
          <w:bCs/>
          <w:szCs w:val="21"/>
        </w:rPr>
        <w:t>）本基金管理人管理的全部基金持有一家公司发行的证券，不超过该证券的</w:t>
      </w:r>
      <w:r w:rsidRPr="00D63951">
        <w:rPr>
          <w:rFonts w:hint="eastAsia"/>
          <w:bCs/>
          <w:szCs w:val="21"/>
        </w:rPr>
        <w:t>10</w:t>
      </w:r>
      <w:r w:rsidRPr="00D63951">
        <w:rPr>
          <w:rFonts w:hint="eastAsia"/>
          <w:bCs/>
          <w:szCs w:val="21"/>
        </w:rPr>
        <w:t>％，完全按照有关指数的构成比例进行证券投资的基金品种可以不受此条款规定的比例限制；</w:t>
      </w:r>
    </w:p>
    <w:p w14:paraId="1802D6B5"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17</w:t>
      </w:r>
      <w:r w:rsidRPr="00D63951">
        <w:rPr>
          <w:rFonts w:hint="eastAsia"/>
          <w:bCs/>
          <w:szCs w:val="21"/>
        </w:rPr>
        <w:t>）本基金管理人管理的全部开放式基金</w:t>
      </w:r>
      <w:r w:rsidRPr="00D63951">
        <w:rPr>
          <w:rFonts w:hint="eastAsia"/>
          <w:bCs/>
          <w:szCs w:val="21"/>
        </w:rPr>
        <w:t>(</w:t>
      </w:r>
      <w:r w:rsidRPr="00D63951">
        <w:rPr>
          <w:rFonts w:hint="eastAsia"/>
          <w:bCs/>
          <w:szCs w:val="21"/>
        </w:rPr>
        <w:t>包括开放式基金以及处于开放期的定期开放基金</w:t>
      </w:r>
      <w:r w:rsidRPr="00D63951">
        <w:rPr>
          <w:rFonts w:hint="eastAsia"/>
          <w:bCs/>
          <w:szCs w:val="21"/>
        </w:rPr>
        <w:t>)</w:t>
      </w:r>
      <w:r w:rsidRPr="00D63951">
        <w:rPr>
          <w:rFonts w:hint="eastAsia"/>
          <w:bCs/>
          <w:szCs w:val="21"/>
        </w:rPr>
        <w:t>持有一家上市公司发行的可流通股票，不得超过该上市公司可流通股票的</w:t>
      </w:r>
      <w:r w:rsidRPr="00D63951">
        <w:rPr>
          <w:rFonts w:hint="eastAsia"/>
          <w:bCs/>
          <w:szCs w:val="21"/>
        </w:rPr>
        <w:t>15%</w:t>
      </w:r>
      <w:r w:rsidRPr="00D63951">
        <w:rPr>
          <w:rFonts w:hint="eastAsia"/>
          <w:bCs/>
          <w:szCs w:val="21"/>
        </w:rPr>
        <w:t>，完全按照有关指数的构成比例进行证券投资的开放式基金以及中国证监会认定的特殊投资组合可不受前述比例限制；本基金管理人管理的全部投资组合持有一家上市公司发行的可流通股票，不得超过该上市公司可流通股票的</w:t>
      </w:r>
      <w:r w:rsidRPr="00D63951">
        <w:rPr>
          <w:rFonts w:hint="eastAsia"/>
          <w:bCs/>
          <w:szCs w:val="21"/>
        </w:rPr>
        <w:t>30%</w:t>
      </w:r>
      <w:r w:rsidRPr="00D63951">
        <w:rPr>
          <w:rFonts w:hint="eastAsia"/>
          <w:bCs/>
          <w:szCs w:val="21"/>
        </w:rPr>
        <w:t>，完全按照有关指数的构成比例进行证券投资的开放式基金以及中国证监会认定的特殊投资组合可不受前述比例限制；</w:t>
      </w:r>
    </w:p>
    <w:p w14:paraId="3FF38F5B"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18</w:t>
      </w:r>
      <w:r w:rsidRPr="00D63951">
        <w:rPr>
          <w:rFonts w:hint="eastAsia"/>
          <w:bCs/>
          <w:szCs w:val="21"/>
        </w:rPr>
        <w:t>）本基金投资存托凭证的比例限制依照股票执行，与股票合并计算；</w:t>
      </w:r>
    </w:p>
    <w:p w14:paraId="7DCF7956" w14:textId="77777777" w:rsidR="00D63951" w:rsidRPr="00D63951" w:rsidRDefault="00D63951" w:rsidP="00D63951">
      <w:pPr>
        <w:spacing w:line="360" w:lineRule="auto"/>
        <w:ind w:firstLineChars="200" w:firstLine="420"/>
        <w:rPr>
          <w:bCs/>
          <w:szCs w:val="21"/>
        </w:rPr>
      </w:pPr>
      <w:r w:rsidRPr="00D63951">
        <w:rPr>
          <w:rFonts w:hint="eastAsia"/>
          <w:bCs/>
          <w:szCs w:val="21"/>
        </w:rPr>
        <w:t>（</w:t>
      </w:r>
      <w:r w:rsidRPr="00D63951">
        <w:rPr>
          <w:rFonts w:hint="eastAsia"/>
          <w:bCs/>
          <w:szCs w:val="21"/>
        </w:rPr>
        <w:t>19</w:t>
      </w:r>
      <w:r w:rsidRPr="00D63951">
        <w:rPr>
          <w:rFonts w:hint="eastAsia"/>
          <w:bCs/>
          <w:szCs w:val="21"/>
        </w:rPr>
        <w:t>）法律法规及中国证监会规定的和《基金合同》约定的其他投资限制。</w:t>
      </w:r>
    </w:p>
    <w:p w14:paraId="049254B0" w14:textId="77777777" w:rsidR="00D63951" w:rsidRDefault="00D63951">
      <w:pPr>
        <w:spacing w:line="360" w:lineRule="auto"/>
        <w:ind w:firstLineChars="200" w:firstLine="420"/>
        <w:rPr>
          <w:bCs/>
          <w:szCs w:val="21"/>
        </w:rPr>
      </w:pPr>
      <w:r w:rsidRPr="00D63951">
        <w:rPr>
          <w:rFonts w:hint="eastAsia"/>
          <w:bCs/>
          <w:szCs w:val="21"/>
        </w:rPr>
        <w:t>除上述（</w:t>
      </w:r>
      <w:r w:rsidRPr="00D63951">
        <w:rPr>
          <w:rFonts w:hint="eastAsia"/>
          <w:bCs/>
          <w:szCs w:val="21"/>
        </w:rPr>
        <w:t>6</w:t>
      </w:r>
      <w:r w:rsidRPr="00D63951">
        <w:rPr>
          <w:rFonts w:hint="eastAsia"/>
          <w:bCs/>
          <w:szCs w:val="21"/>
        </w:rPr>
        <w:t>）、（</w:t>
      </w:r>
      <w:r w:rsidRPr="00D63951">
        <w:rPr>
          <w:rFonts w:hint="eastAsia"/>
          <w:bCs/>
          <w:szCs w:val="21"/>
        </w:rPr>
        <w:t>11</w:t>
      </w:r>
      <w:r w:rsidRPr="00D63951">
        <w:rPr>
          <w:rFonts w:hint="eastAsia"/>
          <w:bCs/>
          <w:szCs w:val="21"/>
        </w:rPr>
        <w:t>）、（</w:t>
      </w:r>
      <w:r w:rsidRPr="00D63951">
        <w:rPr>
          <w:rFonts w:hint="eastAsia"/>
          <w:bCs/>
          <w:szCs w:val="21"/>
        </w:rPr>
        <w:t>12</w:t>
      </w:r>
      <w:r w:rsidRPr="00D63951">
        <w:rPr>
          <w:rFonts w:hint="eastAsia"/>
          <w:bCs/>
          <w:szCs w:val="21"/>
        </w:rPr>
        <w:t>）、（</w:t>
      </w:r>
      <w:r w:rsidRPr="00D63951">
        <w:rPr>
          <w:rFonts w:hint="eastAsia"/>
          <w:bCs/>
          <w:szCs w:val="21"/>
        </w:rPr>
        <w:t>13</w:t>
      </w:r>
      <w:r w:rsidRPr="00D63951">
        <w:rPr>
          <w:rFonts w:hint="eastAsia"/>
          <w:bCs/>
          <w:szCs w:val="21"/>
        </w:rPr>
        <w:t>）项外，因证券、期货市场波动、证券发行人合并、基金规模变动、标的指数成份股调整、标的指数成份股流动性限制等基金管理人之外的因素致使基金投资比例不符合上述规定投资比例的，基金管理人应当在</w:t>
      </w:r>
      <w:r w:rsidRPr="00D63951">
        <w:rPr>
          <w:rFonts w:hint="eastAsia"/>
          <w:bCs/>
          <w:szCs w:val="21"/>
        </w:rPr>
        <w:t>10</w:t>
      </w:r>
      <w:r w:rsidRPr="00D63951">
        <w:rPr>
          <w:rFonts w:hint="eastAsia"/>
          <w:bCs/>
          <w:szCs w:val="21"/>
        </w:rPr>
        <w:t>个交易日内进行调整，但中国证监会规定的特殊情形除外。因证券市场波动、上市公司合并、基金规模变动等基金管理人之外的因素致使基金投资不符合第（</w:t>
      </w:r>
      <w:r w:rsidRPr="00D63951">
        <w:rPr>
          <w:rFonts w:hint="eastAsia"/>
          <w:bCs/>
          <w:szCs w:val="21"/>
        </w:rPr>
        <w:t>11</w:t>
      </w:r>
      <w:r w:rsidRPr="00D63951">
        <w:rPr>
          <w:rFonts w:hint="eastAsia"/>
          <w:bCs/>
          <w:szCs w:val="21"/>
        </w:rPr>
        <w:t>）项规定的，基金管理人不得新增转融通证券出借业务。法律法规另有规定的，从其规定。</w:t>
      </w:r>
    </w:p>
    <w:p w14:paraId="6D0E5FCF" w14:textId="77777777" w:rsidR="00175DB4" w:rsidRDefault="000519D1">
      <w:pPr>
        <w:spacing w:line="360" w:lineRule="auto"/>
        <w:ind w:firstLineChars="200" w:firstLine="420"/>
        <w:rPr>
          <w:bCs/>
          <w:szCs w:val="21"/>
        </w:rPr>
      </w:pPr>
      <w:r>
        <w:rPr>
          <w:rFonts w:hint="eastAsia"/>
          <w:bCs/>
          <w:szCs w:val="21"/>
        </w:rPr>
        <w:lastRenderedPageBreak/>
        <w:t>基金管理人应当自基金合同生效之日起</w:t>
      </w:r>
      <w:r>
        <w:rPr>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5B7E7AD7" w14:textId="77777777" w:rsidR="00175DB4" w:rsidRDefault="000519D1">
      <w:pPr>
        <w:spacing w:line="360" w:lineRule="auto"/>
        <w:ind w:firstLineChars="200" w:firstLine="420"/>
        <w:rPr>
          <w:szCs w:val="21"/>
        </w:rPr>
      </w:pPr>
      <w:r>
        <w:rPr>
          <w:rFonts w:hint="eastAsia"/>
          <w:bCs/>
          <w:szCs w:val="21"/>
        </w:rPr>
        <w:t>法律法规或监管部门取消或调整上述限制，如适用于本基金，基金管理人在履行适当程序后，则本基金投资不再受相关限制或按照调整后的规定执行。</w:t>
      </w:r>
    </w:p>
    <w:p w14:paraId="59DE86A4" w14:textId="77777777" w:rsidR="00D63951" w:rsidRPr="00D63951" w:rsidRDefault="00D63951" w:rsidP="00D63951">
      <w:pPr>
        <w:spacing w:line="360" w:lineRule="auto"/>
        <w:ind w:firstLineChars="200" w:firstLine="420"/>
        <w:rPr>
          <w:szCs w:val="21"/>
        </w:rPr>
      </w:pPr>
      <w:r w:rsidRPr="00D63951">
        <w:rPr>
          <w:rFonts w:hint="eastAsia"/>
          <w:szCs w:val="21"/>
        </w:rPr>
        <w:t>（三）基金托管人根据有关法律法规的规定及《基金合同》的约定，对本基金投资禁止行为进行监督。</w:t>
      </w:r>
    </w:p>
    <w:p w14:paraId="48E01739" w14:textId="77777777" w:rsidR="00D63951" w:rsidRPr="00D63951" w:rsidRDefault="00D63951" w:rsidP="00D63951">
      <w:pPr>
        <w:spacing w:line="360" w:lineRule="auto"/>
        <w:ind w:firstLineChars="200" w:firstLine="420"/>
        <w:rPr>
          <w:szCs w:val="21"/>
        </w:rPr>
      </w:pPr>
      <w:r w:rsidRPr="00D63951">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基金管理人应在基金投资运作之前向基金托管人提供基金管理人关联方名单和关联交易证券名单。如基金管理人关联方名单和关联交易证券名单发生变化的，基金管理人应确保不影响基金托管人履行投资监督职责，及时将变化情况以书面形式通知基金托管人。</w:t>
      </w:r>
    </w:p>
    <w:p w14:paraId="57E7B0C9" w14:textId="77777777" w:rsidR="00D63951" w:rsidRPr="00D63951" w:rsidRDefault="00D63951" w:rsidP="00D63951">
      <w:pPr>
        <w:spacing w:line="360" w:lineRule="auto"/>
        <w:ind w:firstLineChars="200" w:firstLine="420"/>
        <w:rPr>
          <w:szCs w:val="21"/>
        </w:rPr>
      </w:pPr>
      <w:r w:rsidRPr="00D63951">
        <w:rPr>
          <w:rFonts w:hint="eastAsia"/>
          <w:szCs w:val="21"/>
        </w:rPr>
        <w:t>（四）基金托管人根据有关法律法规的规定及《基金合同》的约定，对基金管理人参与银行间债券市场进行监督。本基金参与银行间债券交易前，须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在事后向基金托管人说明理由。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并负责解决因交易对手不履行合同而造成的纠纷及损失，基金托管人不承担由此造成的相应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但不承担交易对手不</w:t>
      </w:r>
      <w:r w:rsidRPr="00D63951">
        <w:rPr>
          <w:rFonts w:hint="eastAsia"/>
          <w:szCs w:val="21"/>
        </w:rPr>
        <w:lastRenderedPageBreak/>
        <w:t>履行合同造成的损失。如基金托管人事后发现基金管理人没有按照事先约定的交易对手或交易方式进行交易时，基金托管人应及时提醒基金管理人，基金托管人不承担由此造成相应损失和责任。如基金管理人未提供名单，视为可与全市场交易对手进行交易。</w:t>
      </w:r>
    </w:p>
    <w:p w14:paraId="6E75E902" w14:textId="77777777" w:rsidR="00D63951" w:rsidRPr="00D63951" w:rsidRDefault="00D63951" w:rsidP="00D63951">
      <w:pPr>
        <w:spacing w:line="360" w:lineRule="auto"/>
        <w:ind w:firstLineChars="200" w:firstLine="420"/>
        <w:rPr>
          <w:szCs w:val="21"/>
        </w:rPr>
      </w:pPr>
      <w:r w:rsidRPr="00D63951">
        <w:rPr>
          <w:rFonts w:hint="eastAsia"/>
          <w:szCs w:val="21"/>
        </w:rPr>
        <w:t>（五）基金托管人根据有关法律法规的规定及《基金合同》的约定，对基金管理人投资银行存款进行监督。</w:t>
      </w:r>
    </w:p>
    <w:p w14:paraId="3C78D156" w14:textId="77777777" w:rsidR="00D63951" w:rsidRPr="00D63951" w:rsidRDefault="00D63951" w:rsidP="00D63951">
      <w:pPr>
        <w:spacing w:line="360" w:lineRule="auto"/>
        <w:ind w:firstLineChars="200" w:firstLine="420"/>
        <w:rPr>
          <w:szCs w:val="21"/>
        </w:rPr>
      </w:pPr>
      <w:r w:rsidRPr="00D63951">
        <w:rPr>
          <w:rFonts w:hint="eastAsia"/>
          <w:szCs w:val="21"/>
        </w:rPr>
        <w:t>基金投资银行存款的，基金管理人应根据法律法规的规定及《基金合同》的约定，建立投资制度、审慎选择存款银行，做好风险控制；并按照基金托管人的要求配合基金托管人完成相关业务办理。</w:t>
      </w:r>
    </w:p>
    <w:p w14:paraId="0203A165" w14:textId="77777777" w:rsidR="00D63951" w:rsidRPr="00D63951" w:rsidRDefault="00D63951" w:rsidP="00D63951">
      <w:pPr>
        <w:spacing w:line="360" w:lineRule="auto"/>
        <w:ind w:firstLineChars="200" w:firstLine="420"/>
        <w:rPr>
          <w:szCs w:val="21"/>
        </w:rPr>
      </w:pPr>
      <w:r w:rsidRPr="00D63951">
        <w:rPr>
          <w:rFonts w:hint="eastAsia"/>
          <w:szCs w:val="21"/>
        </w:rPr>
        <w:t>本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6053484D" w14:textId="77777777" w:rsidR="00D63951" w:rsidRPr="00D63951" w:rsidRDefault="00D63951" w:rsidP="00D63951">
      <w:pPr>
        <w:spacing w:line="360" w:lineRule="auto"/>
        <w:ind w:firstLineChars="200" w:firstLine="420"/>
        <w:rPr>
          <w:szCs w:val="21"/>
        </w:rPr>
      </w:pPr>
      <w:r w:rsidRPr="00D63951">
        <w:rPr>
          <w:rFonts w:hint="eastAsia"/>
          <w:szCs w:val="21"/>
        </w:rPr>
        <w:t>（六）若本基金参与转融通证券出借业务，基金管理人应当遵守审慎经营的原则，配备技术系统和专业人员，制定科学合理的投资策略和风险管理制度，完善业务流程，有效地防范和控制风险，基金托管人对基金参与转融通证券出借业务进行监督和复核。</w:t>
      </w:r>
    </w:p>
    <w:p w14:paraId="76099D0B" w14:textId="77777777" w:rsidR="00D63951" w:rsidRPr="00D63951" w:rsidRDefault="00D63951" w:rsidP="00D63951">
      <w:pPr>
        <w:spacing w:line="360" w:lineRule="auto"/>
        <w:ind w:firstLineChars="200" w:firstLine="420"/>
        <w:rPr>
          <w:szCs w:val="21"/>
        </w:rPr>
      </w:pPr>
      <w:r w:rsidRPr="00D63951">
        <w:rPr>
          <w:rFonts w:hint="eastAsia"/>
          <w:szCs w:val="21"/>
        </w:rPr>
        <w:t>（七）基金托管人根据有关法律法规的规定及《基金合同》的约定，对基金资产净值计算、基金份额净值计算、基金份额申购赎回对价的现金部分、应收资金到账、基金费用开支及收入确定、基金收益分配、相关信息披露、基金宣传推介材料中登载基金业绩表现数据等进行监督和核查。</w:t>
      </w:r>
    </w:p>
    <w:p w14:paraId="69DAB57D" w14:textId="77777777" w:rsidR="00D63951" w:rsidRPr="00D63951" w:rsidRDefault="00D63951" w:rsidP="00D63951">
      <w:pPr>
        <w:spacing w:line="360" w:lineRule="auto"/>
        <w:ind w:firstLineChars="200" w:firstLine="420"/>
        <w:rPr>
          <w:szCs w:val="21"/>
        </w:rPr>
      </w:pPr>
      <w:r w:rsidRPr="00D63951">
        <w:rPr>
          <w:rFonts w:hint="eastAsia"/>
          <w:szCs w:val="21"/>
        </w:rPr>
        <w:t>如果基金管理人未经基金托管人的审核擅自将不实的业绩表现数据印制在宣传推介材料上，</w:t>
      </w:r>
      <w:proofErr w:type="gramStart"/>
      <w:r w:rsidRPr="00D63951">
        <w:rPr>
          <w:rFonts w:hint="eastAsia"/>
          <w:szCs w:val="21"/>
        </w:rPr>
        <w:t>则基金</w:t>
      </w:r>
      <w:proofErr w:type="gramEnd"/>
      <w:r w:rsidRPr="00D63951">
        <w:rPr>
          <w:rFonts w:hint="eastAsia"/>
          <w:szCs w:val="21"/>
        </w:rPr>
        <w:t>托管人对此不承担相应责任，并将在发现后立即报告中国证监会。</w:t>
      </w:r>
    </w:p>
    <w:p w14:paraId="06717E6A" w14:textId="77777777" w:rsidR="00D63951" w:rsidRPr="00D63951" w:rsidRDefault="00D63951" w:rsidP="00D63951">
      <w:pPr>
        <w:spacing w:line="360" w:lineRule="auto"/>
        <w:ind w:firstLineChars="200" w:firstLine="420"/>
        <w:rPr>
          <w:szCs w:val="21"/>
        </w:rPr>
      </w:pPr>
      <w:r w:rsidRPr="00D63951">
        <w:rPr>
          <w:rFonts w:hint="eastAsia"/>
          <w:szCs w:val="21"/>
        </w:rPr>
        <w:t>（八）基金托管人根据有关法律法规的规定及《基金合同》的约定，对基金投资流通受限证券进行监督。</w:t>
      </w:r>
    </w:p>
    <w:p w14:paraId="4B0B619A" w14:textId="77777777" w:rsidR="00D63951" w:rsidRPr="00D63951" w:rsidRDefault="00D63951" w:rsidP="00D63951">
      <w:pPr>
        <w:spacing w:line="360" w:lineRule="auto"/>
        <w:ind w:firstLineChars="200" w:firstLine="420"/>
        <w:rPr>
          <w:szCs w:val="21"/>
        </w:rPr>
      </w:pPr>
      <w:r w:rsidRPr="00D63951">
        <w:rPr>
          <w:rFonts w:hint="eastAsia"/>
          <w:szCs w:val="21"/>
        </w:rPr>
        <w:t>1</w:t>
      </w:r>
      <w:r w:rsidRPr="00D63951">
        <w:rPr>
          <w:rFonts w:hint="eastAsia"/>
          <w:szCs w:val="21"/>
        </w:rPr>
        <w:t>、基金投资流通受限证券，应遵守《关于基金投资非公开发行股票等流通受限证券有关问题的通知》等有关法律法规规定。</w:t>
      </w:r>
    </w:p>
    <w:p w14:paraId="0EAC3A86" w14:textId="77777777" w:rsidR="00D63951" w:rsidRPr="00D63951" w:rsidRDefault="00D63951" w:rsidP="00D63951">
      <w:pPr>
        <w:spacing w:line="360" w:lineRule="auto"/>
        <w:ind w:firstLineChars="200" w:firstLine="420"/>
        <w:rPr>
          <w:szCs w:val="21"/>
        </w:rPr>
      </w:pPr>
      <w:r w:rsidRPr="00D63951">
        <w:rPr>
          <w:rFonts w:hint="eastAsia"/>
          <w:szCs w:val="21"/>
        </w:rPr>
        <w:t>2</w:t>
      </w:r>
      <w:r w:rsidRPr="00D63951">
        <w:rPr>
          <w:rFonts w:hint="eastAsia"/>
          <w:szCs w:val="21"/>
        </w:rPr>
        <w:t>、此处流通受限证券与上文流动性受限资产释义并不完全相同，包括由《上市公司证券发行注册管理办法》规范的非公开发行股票、公开发行股票网下配售部分等在发行时明确一定期限锁定期的可交易证券</w:t>
      </w:r>
      <w:r w:rsidRPr="00D63951">
        <w:rPr>
          <w:rFonts w:hint="eastAsia"/>
          <w:szCs w:val="21"/>
        </w:rPr>
        <w:t>,</w:t>
      </w:r>
      <w:r w:rsidRPr="00D63951">
        <w:rPr>
          <w:rFonts w:hint="eastAsia"/>
          <w:szCs w:val="21"/>
        </w:rPr>
        <w:t>不包括由于发布重大消息或其他原因而临时停牌的证券、已发行未上市证券、回购交易中的质押</w:t>
      </w:r>
      <w:proofErr w:type="gramStart"/>
      <w:r w:rsidRPr="00D63951">
        <w:rPr>
          <w:rFonts w:hint="eastAsia"/>
          <w:szCs w:val="21"/>
        </w:rPr>
        <w:t>券</w:t>
      </w:r>
      <w:proofErr w:type="gramEnd"/>
      <w:r w:rsidRPr="00D63951">
        <w:rPr>
          <w:rFonts w:hint="eastAsia"/>
          <w:szCs w:val="21"/>
        </w:rPr>
        <w:t>等流通受限证券。本基金不投资有</w:t>
      </w:r>
      <w:proofErr w:type="gramStart"/>
      <w:r w:rsidRPr="00D63951">
        <w:rPr>
          <w:rFonts w:hint="eastAsia"/>
          <w:szCs w:val="21"/>
        </w:rPr>
        <w:t>锁定期但锁定</w:t>
      </w:r>
      <w:proofErr w:type="gramEnd"/>
      <w:r w:rsidRPr="00D63951">
        <w:rPr>
          <w:rFonts w:hint="eastAsia"/>
          <w:szCs w:val="21"/>
        </w:rPr>
        <w:t>期不明确的证券。</w:t>
      </w:r>
    </w:p>
    <w:p w14:paraId="004DD78A" w14:textId="77777777" w:rsidR="00D63951" w:rsidRPr="00D63951" w:rsidRDefault="00D63951" w:rsidP="00D63951">
      <w:pPr>
        <w:spacing w:line="360" w:lineRule="auto"/>
        <w:ind w:firstLineChars="200" w:firstLine="420"/>
        <w:rPr>
          <w:szCs w:val="21"/>
        </w:rPr>
      </w:pPr>
      <w:r w:rsidRPr="00D63951">
        <w:rPr>
          <w:rFonts w:hint="eastAsia"/>
          <w:szCs w:val="21"/>
        </w:rPr>
        <w:t>本基金投资的流通受限证券限于可由中国证券登记结算有限责任公司或中央国债登</w:t>
      </w:r>
      <w:r w:rsidRPr="00D63951">
        <w:rPr>
          <w:rFonts w:hint="eastAsia"/>
          <w:szCs w:val="21"/>
        </w:rPr>
        <w:lastRenderedPageBreak/>
        <w:t>记结算有限责任公司负责登记和存管，并可在证券交易所或全国银行间债券市场交易的证券。</w:t>
      </w:r>
    </w:p>
    <w:p w14:paraId="455266BB" w14:textId="77777777" w:rsidR="00D63951" w:rsidRPr="00D63951" w:rsidRDefault="00D63951" w:rsidP="00D63951">
      <w:pPr>
        <w:spacing w:line="360" w:lineRule="auto"/>
        <w:ind w:firstLineChars="200" w:firstLine="420"/>
        <w:rPr>
          <w:szCs w:val="21"/>
        </w:rPr>
      </w:pPr>
      <w:r w:rsidRPr="00D63951">
        <w:rPr>
          <w:rFonts w:hint="eastAsia"/>
          <w:szCs w:val="21"/>
        </w:rPr>
        <w:t>本基金投资的流通受限证券应保证登记存管在本基金名下，基金管理人负责相关工作的落实和协调，并确保基金托管人能够正常查询。因基金管理</w:t>
      </w:r>
      <w:proofErr w:type="gramStart"/>
      <w:r w:rsidRPr="00D63951">
        <w:rPr>
          <w:rFonts w:hint="eastAsia"/>
          <w:szCs w:val="21"/>
        </w:rPr>
        <w:t>人原因</w:t>
      </w:r>
      <w:proofErr w:type="gramEnd"/>
      <w:r w:rsidRPr="00D63951">
        <w:rPr>
          <w:rFonts w:hint="eastAsia"/>
          <w:szCs w:val="21"/>
        </w:rPr>
        <w:t>产生的流通受限证券登记存管问题，造成基金托管人无法安全保管本基金资产的责任与损失，及因流通受限证券存管直接影响本基金安全的责任及损失，由基金管理人承担。</w:t>
      </w:r>
    </w:p>
    <w:p w14:paraId="053BE41D" w14:textId="77777777" w:rsidR="00D63951" w:rsidRPr="00D63951" w:rsidRDefault="00D63951" w:rsidP="00D63951">
      <w:pPr>
        <w:spacing w:line="360" w:lineRule="auto"/>
        <w:ind w:firstLineChars="200" w:firstLine="420"/>
        <w:rPr>
          <w:szCs w:val="21"/>
        </w:rPr>
      </w:pPr>
      <w:r w:rsidRPr="00D63951">
        <w:rPr>
          <w:rFonts w:hint="eastAsia"/>
          <w:szCs w:val="21"/>
        </w:rPr>
        <w:t>3</w:t>
      </w:r>
      <w:r w:rsidRPr="00D63951">
        <w:rPr>
          <w:rFonts w:hint="eastAsia"/>
          <w:szCs w:val="21"/>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基金管理人应当将上述规章制度提交给基金托管人。</w:t>
      </w:r>
    </w:p>
    <w:p w14:paraId="65AAD5AB" w14:textId="77777777" w:rsidR="00D63951" w:rsidRPr="00D63951" w:rsidRDefault="00D63951" w:rsidP="00D63951">
      <w:pPr>
        <w:spacing w:line="360" w:lineRule="auto"/>
        <w:ind w:firstLineChars="200" w:firstLine="420"/>
        <w:rPr>
          <w:szCs w:val="21"/>
        </w:rPr>
      </w:pPr>
      <w:r w:rsidRPr="00D63951">
        <w:rPr>
          <w:rFonts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相应责任。如因基金管理</w:t>
      </w:r>
      <w:proofErr w:type="gramStart"/>
      <w:r w:rsidRPr="00D63951">
        <w:rPr>
          <w:rFonts w:hint="eastAsia"/>
          <w:szCs w:val="21"/>
        </w:rPr>
        <w:t>人原因</w:t>
      </w:r>
      <w:proofErr w:type="gramEnd"/>
      <w:r w:rsidRPr="00D63951">
        <w:rPr>
          <w:rFonts w:hint="eastAsia"/>
          <w:szCs w:val="21"/>
        </w:rPr>
        <w:t>导致本基金出现损失致使基金托管人承担连带赔偿责任的，基金管理人应赔偿基金托管人由此遭受的损失。</w:t>
      </w:r>
    </w:p>
    <w:p w14:paraId="65D3F69B" w14:textId="77777777" w:rsidR="00D63951" w:rsidRPr="00D63951" w:rsidRDefault="00D63951" w:rsidP="00D63951">
      <w:pPr>
        <w:spacing w:line="360" w:lineRule="auto"/>
        <w:ind w:firstLineChars="200" w:firstLine="420"/>
        <w:rPr>
          <w:szCs w:val="21"/>
        </w:rPr>
      </w:pPr>
      <w:r w:rsidRPr="00D63951">
        <w:rPr>
          <w:rFonts w:hint="eastAsia"/>
          <w:szCs w:val="21"/>
        </w:rPr>
        <w:t>在投资流通受限证券之前，基金管理人应至少提前一个交易日向基金托管人提供有关流通受限证券的相关信息，具体应当包括但不限于如下文件（如有）：</w:t>
      </w:r>
    </w:p>
    <w:p w14:paraId="0FA89152" w14:textId="77777777" w:rsidR="00D63951" w:rsidRPr="00D63951" w:rsidRDefault="00D63951" w:rsidP="00D63951">
      <w:pPr>
        <w:spacing w:line="360" w:lineRule="auto"/>
        <w:ind w:firstLineChars="200" w:firstLine="420"/>
        <w:rPr>
          <w:szCs w:val="21"/>
        </w:rPr>
      </w:pPr>
      <w:r w:rsidRPr="00D63951">
        <w:rPr>
          <w:rFonts w:hint="eastAsia"/>
          <w:szCs w:val="21"/>
        </w:rPr>
        <w:t>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w:t>
      </w:r>
    </w:p>
    <w:p w14:paraId="50DBB7AD" w14:textId="77777777" w:rsidR="00D63951" w:rsidRPr="00D63951" w:rsidRDefault="00D63951" w:rsidP="00D63951">
      <w:pPr>
        <w:spacing w:line="360" w:lineRule="auto"/>
        <w:ind w:firstLineChars="200" w:firstLine="420"/>
        <w:rPr>
          <w:szCs w:val="21"/>
        </w:rPr>
      </w:pPr>
      <w:r w:rsidRPr="00D63951">
        <w:rPr>
          <w:rFonts w:hint="eastAsia"/>
          <w:szCs w:val="21"/>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14:paraId="18224D3A" w14:textId="77777777" w:rsidR="00D63951" w:rsidRPr="00D63951" w:rsidRDefault="00D63951" w:rsidP="00D63951">
      <w:pPr>
        <w:spacing w:line="360" w:lineRule="auto"/>
        <w:ind w:firstLineChars="200" w:firstLine="420"/>
        <w:rPr>
          <w:szCs w:val="21"/>
        </w:rPr>
      </w:pPr>
      <w:r w:rsidRPr="00D63951">
        <w:rPr>
          <w:rFonts w:hint="eastAsia"/>
          <w:szCs w:val="21"/>
        </w:rPr>
        <w:t>基金管理人应保证基金投资的流通受限证券登记存管在本基金名下，并</w:t>
      </w:r>
      <w:proofErr w:type="gramStart"/>
      <w:r w:rsidRPr="00D63951">
        <w:rPr>
          <w:rFonts w:hint="eastAsia"/>
          <w:szCs w:val="21"/>
        </w:rPr>
        <w:t>确保证</w:t>
      </w:r>
      <w:proofErr w:type="gramEnd"/>
      <w:r w:rsidRPr="00D63951">
        <w:rPr>
          <w:rFonts w:hint="eastAsia"/>
          <w:szCs w:val="21"/>
        </w:rPr>
        <w:t>基金托管人能够正常查询。因基金管理</w:t>
      </w:r>
      <w:proofErr w:type="gramStart"/>
      <w:r w:rsidRPr="00D63951">
        <w:rPr>
          <w:rFonts w:hint="eastAsia"/>
          <w:szCs w:val="21"/>
        </w:rPr>
        <w:t>人原因</w:t>
      </w:r>
      <w:proofErr w:type="gramEnd"/>
      <w:r w:rsidRPr="00D63951">
        <w:rPr>
          <w:rFonts w:hint="eastAsia"/>
          <w:szCs w:val="21"/>
        </w:rPr>
        <w:t>产生的流通受限证券登记存管问题，造成基金财产的损失或基金托管人无法安全保管基金财产的责任与损失，由基金管理人承担。</w:t>
      </w:r>
    </w:p>
    <w:p w14:paraId="76F97AB1" w14:textId="77777777" w:rsidR="00D63951" w:rsidRPr="00D63951" w:rsidRDefault="00D63951" w:rsidP="00D63951">
      <w:pPr>
        <w:spacing w:line="360" w:lineRule="auto"/>
        <w:ind w:firstLineChars="200" w:firstLine="420"/>
        <w:rPr>
          <w:szCs w:val="21"/>
        </w:rPr>
      </w:pPr>
      <w:r w:rsidRPr="00D63951">
        <w:rPr>
          <w:rFonts w:hint="eastAsia"/>
          <w:szCs w:val="21"/>
        </w:rPr>
        <w:t>如果基金管理人未按照本协议的约定向基金托管人报送相关数据或者报送了虚假的</w:t>
      </w:r>
      <w:r w:rsidRPr="00D63951">
        <w:rPr>
          <w:rFonts w:hint="eastAsia"/>
          <w:szCs w:val="21"/>
        </w:rPr>
        <w:lastRenderedPageBreak/>
        <w:t>数据，导致基金托管人不能按照《基金合同》及本协议的约定履行基金托管人职责的，基金管理人应依法承担相应法律后果。除基金托管人未能依据《基金合同》及本协议履行职责外，因投资流通受限证券产生的损失，基金托管人按照本协议履行监督职责后不承担上述损失。</w:t>
      </w:r>
    </w:p>
    <w:p w14:paraId="5BE4C339" w14:textId="77777777" w:rsidR="00D63951" w:rsidRPr="00D63951" w:rsidRDefault="00D63951" w:rsidP="00D63951">
      <w:pPr>
        <w:spacing w:line="360" w:lineRule="auto"/>
        <w:ind w:firstLineChars="200" w:firstLine="420"/>
        <w:rPr>
          <w:szCs w:val="21"/>
        </w:rPr>
      </w:pPr>
      <w:r w:rsidRPr="00D63951">
        <w:rPr>
          <w:rFonts w:hint="eastAsia"/>
          <w:szCs w:val="21"/>
        </w:rPr>
        <w:t>（九）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72224356" w14:textId="77777777" w:rsidR="00D63951" w:rsidRPr="00D63951" w:rsidRDefault="00D63951" w:rsidP="00D63951">
      <w:pPr>
        <w:spacing w:line="360" w:lineRule="auto"/>
        <w:ind w:firstLineChars="200" w:firstLine="420"/>
        <w:rPr>
          <w:szCs w:val="21"/>
        </w:rPr>
      </w:pPr>
      <w:r w:rsidRPr="00D63951">
        <w:rPr>
          <w:rFonts w:hint="eastAsia"/>
          <w:szCs w:val="21"/>
        </w:rPr>
        <w:t>（十）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14:paraId="2EBAAE93" w14:textId="77777777" w:rsidR="00D63951" w:rsidRDefault="00D63951">
      <w:pPr>
        <w:spacing w:line="360" w:lineRule="auto"/>
        <w:ind w:firstLineChars="200" w:firstLine="420"/>
        <w:rPr>
          <w:szCs w:val="21"/>
        </w:rPr>
      </w:pPr>
      <w:r w:rsidRPr="00D63951">
        <w:rPr>
          <w:rFonts w:hint="eastAsia"/>
          <w:szCs w:val="21"/>
        </w:rPr>
        <w:t>（十一）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2F300FFA" w14:textId="5FE0C0C1" w:rsidR="00175DB4" w:rsidRDefault="000519D1">
      <w:pPr>
        <w:spacing w:line="360" w:lineRule="auto"/>
        <w:ind w:firstLineChars="200" w:firstLine="420"/>
        <w:rPr>
          <w:rFonts w:ascii="宋体" w:hAnsi="宋体" w:cs="Arial"/>
          <w:szCs w:val="21"/>
        </w:rPr>
      </w:pPr>
      <w:r>
        <w:rPr>
          <w:rFonts w:ascii="宋体" w:hAnsi="宋体" w:cs="Arial" w:hint="eastAsia"/>
          <w:szCs w:val="21"/>
        </w:rPr>
        <w:t>三、基金管理人对基金托管人的业务核查</w:t>
      </w:r>
    </w:p>
    <w:p w14:paraId="3B592845" w14:textId="77777777" w:rsidR="00D63951" w:rsidRPr="00D63951" w:rsidRDefault="00D63951" w:rsidP="00D63951">
      <w:pPr>
        <w:spacing w:line="360" w:lineRule="auto"/>
        <w:ind w:firstLineChars="200" w:firstLine="420"/>
        <w:rPr>
          <w:szCs w:val="21"/>
        </w:rPr>
      </w:pPr>
      <w:r w:rsidRPr="00D63951">
        <w:rPr>
          <w:rFonts w:hint="eastAsia"/>
          <w:szCs w:val="21"/>
        </w:rPr>
        <w:t>（一）基金管理人对基金托管人履行托管职责情况进行核查，核查事项包括基金托管人安全保管基金财产、开设基金财产的托管账户和证券账户等投资所需账户、及时、准确复核基金管理人计算的基金净值信息、根据基金管理人指令办理清算交收、相关信息披露和监督基金投资运作等行为。</w:t>
      </w:r>
    </w:p>
    <w:p w14:paraId="666AB84E" w14:textId="77777777" w:rsidR="00D63951" w:rsidRPr="00D63951" w:rsidRDefault="00D63951" w:rsidP="00D63951">
      <w:pPr>
        <w:spacing w:line="360" w:lineRule="auto"/>
        <w:ind w:firstLineChars="200" w:firstLine="420"/>
        <w:rPr>
          <w:szCs w:val="21"/>
        </w:rPr>
      </w:pPr>
      <w:r w:rsidRPr="00D63951">
        <w:rPr>
          <w:rFonts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r w:rsidRPr="00D63951">
        <w:rPr>
          <w:rFonts w:hint="eastAsia"/>
          <w:szCs w:val="21"/>
        </w:rPr>
        <w:lastRenderedPageBreak/>
        <w:t>基金托管人收到通知后应在下一工作日前及时核对并以书面形式给基金管理人发出回函，说明违规原因及纠正期限，并保证在规定期限内及时改正。基金托管人对基金管理人通知的违规事项未能在限期内纠正的，基金管理人应报告中国证监会。在上述规定期限内，基金管理人有权随时对通知事项进行复查</w:t>
      </w:r>
      <w:r w:rsidRPr="00D63951">
        <w:rPr>
          <w:rFonts w:hint="eastAsia"/>
          <w:szCs w:val="21"/>
        </w:rPr>
        <w:t>,</w:t>
      </w:r>
      <w:r w:rsidRPr="00D63951">
        <w:rPr>
          <w:rFonts w:hint="eastAsia"/>
          <w:szCs w:val="21"/>
        </w:rPr>
        <w:t>督促基金托管人改正。基金托管人应积极配合基金管理人的核查行为，包括但不限于：提交相关资料以</w:t>
      </w:r>
      <w:proofErr w:type="gramStart"/>
      <w:r w:rsidRPr="00D63951">
        <w:rPr>
          <w:rFonts w:hint="eastAsia"/>
          <w:szCs w:val="21"/>
        </w:rPr>
        <w:t>供基金</w:t>
      </w:r>
      <w:proofErr w:type="gramEnd"/>
      <w:r w:rsidRPr="00D63951">
        <w:rPr>
          <w:rFonts w:hint="eastAsia"/>
          <w:szCs w:val="21"/>
        </w:rPr>
        <w:t>管理人核查托管财产的完整性和真实性，在规定时间内答复基金管理人并改正。对基金管理人按照法规要求需向中国证监会报送基金监督报告的，基金托管人应积极配合提供相关数据资料和制度等。</w:t>
      </w:r>
    </w:p>
    <w:p w14:paraId="1507B3E8" w14:textId="77777777" w:rsidR="00D63951" w:rsidRDefault="00D63951">
      <w:pPr>
        <w:tabs>
          <w:tab w:val="left" w:pos="540"/>
        </w:tabs>
        <w:snapToGrid w:val="0"/>
        <w:spacing w:line="360" w:lineRule="auto"/>
        <w:ind w:firstLineChars="200" w:firstLine="420"/>
        <w:rPr>
          <w:szCs w:val="21"/>
        </w:rPr>
      </w:pPr>
      <w:r w:rsidRPr="00D63951">
        <w:rPr>
          <w:rFonts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4FF39CD" w14:textId="77777777" w:rsidR="00175DB4" w:rsidRDefault="000519D1">
      <w:pPr>
        <w:tabs>
          <w:tab w:val="left" w:pos="540"/>
        </w:tabs>
        <w:snapToGrid w:val="0"/>
        <w:spacing w:line="360" w:lineRule="auto"/>
        <w:ind w:firstLineChars="200" w:firstLine="420"/>
        <w:rPr>
          <w:rFonts w:ascii="宋体" w:hAnsi="宋体" w:cs="Arial"/>
          <w:szCs w:val="21"/>
        </w:rPr>
      </w:pPr>
      <w:bookmarkStart w:id="89" w:name="_Hlk4890049"/>
      <w:bookmarkStart w:id="90" w:name="_Toc116900099"/>
      <w:bookmarkEnd w:id="88"/>
      <w:bookmarkEnd w:id="89"/>
      <w:r>
        <w:rPr>
          <w:rFonts w:ascii="宋体" w:hAnsi="宋体" w:cs="Arial" w:hint="eastAsia"/>
          <w:szCs w:val="21"/>
        </w:rPr>
        <w:t>四、基金财产的保管</w:t>
      </w:r>
      <w:bookmarkEnd w:id="90"/>
    </w:p>
    <w:p w14:paraId="3E5938A0" w14:textId="77777777" w:rsidR="00175DB4" w:rsidRDefault="000519D1">
      <w:pPr>
        <w:adjustRightInd w:val="0"/>
        <w:snapToGrid w:val="0"/>
        <w:spacing w:line="360" w:lineRule="auto"/>
        <w:ind w:firstLineChars="200" w:firstLine="420"/>
        <w:rPr>
          <w:szCs w:val="21"/>
        </w:rPr>
      </w:pPr>
      <w:bookmarkStart w:id="91" w:name="_Hlk4890079"/>
      <w:bookmarkStart w:id="92" w:name="_Toc37159173"/>
      <w:bookmarkStart w:id="93" w:name="_Toc116900103"/>
      <w:r>
        <w:rPr>
          <w:rFonts w:hint="eastAsia"/>
          <w:szCs w:val="21"/>
        </w:rPr>
        <w:t>（一）基金财产保管的原则</w:t>
      </w:r>
    </w:p>
    <w:p w14:paraId="04C8BC5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、基金财产应独立于基金管理人、基金托管人、证券经纪机构的固有财产。</w:t>
      </w:r>
    </w:p>
    <w:p w14:paraId="23EF4DE6"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、基金托管人应安全保管基金财产。未经基金管理人依据合法程序</w:t>
      </w:r>
      <w:proofErr w:type="gramStart"/>
      <w:r w:rsidRPr="00500A31">
        <w:rPr>
          <w:rFonts w:hint="eastAsia"/>
          <w:szCs w:val="21"/>
        </w:rPr>
        <w:t>作出</w:t>
      </w:r>
      <w:proofErr w:type="gramEnd"/>
      <w:r w:rsidRPr="00500A31">
        <w:rPr>
          <w:rFonts w:hint="eastAsia"/>
          <w:szCs w:val="21"/>
        </w:rPr>
        <w:t>的合法合</w:t>
      </w:r>
      <w:proofErr w:type="gramStart"/>
      <w:r w:rsidRPr="00500A31">
        <w:rPr>
          <w:rFonts w:hint="eastAsia"/>
          <w:szCs w:val="21"/>
        </w:rPr>
        <w:t>规</w:t>
      </w:r>
      <w:proofErr w:type="gramEnd"/>
      <w:r w:rsidRPr="00500A31">
        <w:rPr>
          <w:rFonts w:hint="eastAsia"/>
          <w:szCs w:val="21"/>
        </w:rPr>
        <w:t>指令，基金托管人不得自行运用、处分、分配基金的任何财产。</w:t>
      </w:r>
    </w:p>
    <w:p w14:paraId="2E8C2BAD"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3</w:t>
      </w:r>
      <w:r w:rsidRPr="00500A31">
        <w:rPr>
          <w:rFonts w:hint="eastAsia"/>
          <w:szCs w:val="21"/>
        </w:rPr>
        <w:t>、基金托管人按照规定开设基金财产的托管账户、证券账户和期货结算账户等投资所需账户。</w:t>
      </w:r>
    </w:p>
    <w:p w14:paraId="52744B63"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4</w:t>
      </w:r>
      <w:r w:rsidRPr="00500A31">
        <w:rPr>
          <w:rFonts w:hint="eastAsia"/>
          <w:szCs w:val="21"/>
        </w:rPr>
        <w:t>、基金托管人对所托管的不同基金财产分别设置账户，独立核算，分账管理，确保基金财产的完整与独立。</w:t>
      </w:r>
    </w:p>
    <w:p w14:paraId="527CF000"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5</w:t>
      </w:r>
      <w:r w:rsidRPr="00500A31">
        <w:rPr>
          <w:rFonts w:hint="eastAsia"/>
          <w:szCs w:val="21"/>
        </w:rPr>
        <w:t>、基金托管人根据基金管理人的指令，按照《基金合同》和本协议的约定保管基金财产，如有特殊情况双方可另行协商解决。基金托管人未经基金管理人的指令，不得自行运用、处分、分配本基金的任何资产。</w:t>
      </w:r>
    </w:p>
    <w:p w14:paraId="1E10247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6</w:t>
      </w:r>
      <w:r w:rsidRPr="00500A31">
        <w:rPr>
          <w:rFonts w:hint="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相应责任，但应当提供必要的协助和配合。</w:t>
      </w:r>
    </w:p>
    <w:p w14:paraId="6C52C0DD"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7</w:t>
      </w:r>
      <w:r w:rsidRPr="00500A31">
        <w:rPr>
          <w:rFonts w:hint="eastAsia"/>
          <w:szCs w:val="21"/>
        </w:rPr>
        <w:t>、除依据法律法规和《基金合同》的规定外，基金托管人不得委托第三人托管基金财产。</w:t>
      </w:r>
    </w:p>
    <w:p w14:paraId="3DBDD8D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（二）基金募集期间及募集资金的验资</w:t>
      </w:r>
    </w:p>
    <w:p w14:paraId="37359CC8"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基金募集期满或基金停止募集时，基金管理人应按照登记机构的相关规定和流程将属于基金财产的全部资金划入基金托管人为基金开立的基金托管账户。网下股票认购结束，网下认购的股票按照交易所和登记机构的规则和流程办理股票的冻结与过户，最终将投资</w:t>
      </w:r>
      <w:r w:rsidRPr="00500A31">
        <w:rPr>
          <w:rFonts w:hint="eastAsia"/>
          <w:szCs w:val="21"/>
        </w:rPr>
        <w:lastRenderedPageBreak/>
        <w:t>者申请认购的股票过户至基金证券账户。基金募集期满，募集的基金份额总额、基金募集金额（含网下股票认购所募集的股票市值）、基金份额持有人人数符合《基金法》、《运作办法》等有关规定后，由基金管理人聘请符合《中华人民共和国证券法》规定的会计师事务所进行验资，出具验资报告，出具的验资报告应由参加验资的</w:t>
      </w:r>
      <w:r w:rsidRPr="00500A31">
        <w:rPr>
          <w:rFonts w:hint="eastAsia"/>
          <w:szCs w:val="21"/>
        </w:rPr>
        <w:t>2</w:t>
      </w:r>
      <w:r w:rsidRPr="00500A31">
        <w:rPr>
          <w:rFonts w:hint="eastAsia"/>
          <w:szCs w:val="21"/>
        </w:rPr>
        <w:t>名以上（含</w:t>
      </w:r>
      <w:r w:rsidRPr="00500A31">
        <w:rPr>
          <w:rFonts w:hint="eastAsia"/>
          <w:szCs w:val="21"/>
        </w:rPr>
        <w:t>2</w:t>
      </w:r>
      <w:r w:rsidRPr="00500A31">
        <w:rPr>
          <w:rFonts w:hint="eastAsia"/>
          <w:szCs w:val="21"/>
        </w:rPr>
        <w:t>名）中国注册会计师签字有效。验资完成，基金管理人应将募集的属于本基金财产的全部资金划入基金托管人为基金开立的基金托管账户中，并确保划入的资金与</w:t>
      </w:r>
      <w:proofErr w:type="gramStart"/>
      <w:r w:rsidRPr="00500A31">
        <w:rPr>
          <w:rFonts w:hint="eastAsia"/>
          <w:szCs w:val="21"/>
        </w:rPr>
        <w:t>验资金额相</w:t>
      </w:r>
      <w:proofErr w:type="gramEnd"/>
      <w:r w:rsidRPr="00500A31">
        <w:rPr>
          <w:rFonts w:hint="eastAsia"/>
          <w:szCs w:val="21"/>
        </w:rPr>
        <w:t>一致。基金托管人收到有效认购资金当日以书面形式确认资金到账情况，并及时将资金到账凭证传真给基金管理人，双方进行账务处理。</w:t>
      </w:r>
    </w:p>
    <w:p w14:paraId="1ECC8039" w14:textId="77777777" w:rsidR="00500A31" w:rsidRPr="00500A31" w:rsidRDefault="00500A31" w:rsidP="00500A31">
      <w:pPr>
        <w:adjustRightInd w:val="0"/>
        <w:snapToGrid w:val="0"/>
        <w:spacing w:line="360" w:lineRule="auto"/>
        <w:ind w:firstLineChars="200" w:firstLine="420"/>
        <w:rPr>
          <w:szCs w:val="21"/>
        </w:rPr>
      </w:pPr>
      <w:proofErr w:type="gramStart"/>
      <w:r w:rsidRPr="00500A31">
        <w:rPr>
          <w:rFonts w:hint="eastAsia"/>
          <w:szCs w:val="21"/>
        </w:rPr>
        <w:t>若基金</w:t>
      </w:r>
      <w:proofErr w:type="gramEnd"/>
      <w:r w:rsidRPr="00500A31">
        <w:rPr>
          <w:rFonts w:hint="eastAsia"/>
          <w:szCs w:val="21"/>
        </w:rPr>
        <w:t>募集期限届满，未能达到基金备案的条件，由基金管理人按规定办理退款事宜。对于基金募集期间网下股票认购所募集的股票，登记机构应予以解冻。</w:t>
      </w:r>
    </w:p>
    <w:p w14:paraId="265FBCD6"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（三）基金托管账户的开立和管理</w:t>
      </w:r>
    </w:p>
    <w:p w14:paraId="41DC2513"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、基金托管人应负责本基金的托管账户的开设和管理。</w:t>
      </w:r>
    </w:p>
    <w:p w14:paraId="358720B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、基金托管人可以本基金的名义开设本基金的托管账户，并根据基金管理人合法合</w:t>
      </w:r>
      <w:proofErr w:type="gramStart"/>
      <w:r w:rsidRPr="00500A31">
        <w:rPr>
          <w:rFonts w:hint="eastAsia"/>
          <w:szCs w:val="21"/>
        </w:rPr>
        <w:t>规</w:t>
      </w:r>
      <w:proofErr w:type="gramEnd"/>
      <w:r w:rsidRPr="00500A31">
        <w:rPr>
          <w:rFonts w:hint="eastAsia"/>
          <w:szCs w:val="21"/>
        </w:rPr>
        <w:t>的指令办理资金收付。本基金的银行预留印鉴由基金托管人保管和使用。本基金的一切货币收支活动，包括但不限于投资、支付赎回对价现金部分、支付基金收益、收取申购款，均需通过本基金的托管账户进行。</w:t>
      </w:r>
    </w:p>
    <w:p w14:paraId="1C0006D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3</w:t>
      </w:r>
      <w:r w:rsidRPr="00500A31">
        <w:rPr>
          <w:rFonts w:hint="eastAsia"/>
          <w:szCs w:val="21"/>
        </w:rPr>
        <w:t>、基金托管账户的开立和使用，限于满足开展本基金业务的需要。基金托管人和基金管理人不得假借本基金的名义开立任何其他银行账户；亦不得使用基金的任何账户进行本基金业务以外的活动。</w:t>
      </w:r>
    </w:p>
    <w:p w14:paraId="4814576D"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4</w:t>
      </w:r>
      <w:r w:rsidRPr="00500A31">
        <w:rPr>
          <w:rFonts w:hint="eastAsia"/>
          <w:szCs w:val="21"/>
        </w:rPr>
        <w:t>、基金托管账户的开立和管理应符合相关法律法规的有关规定。</w:t>
      </w:r>
    </w:p>
    <w:p w14:paraId="4F6AD633"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（四）基金证券账户和证券资金账户的开立和管理</w:t>
      </w:r>
    </w:p>
    <w:p w14:paraId="50A8480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、基金托管人在中国证券登记结算有限责任公司为基金开立基金托管人与基金联名的证券账户。</w:t>
      </w:r>
    </w:p>
    <w:p w14:paraId="62E11FA5"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7187DF9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3</w:t>
      </w:r>
      <w:r w:rsidRPr="00500A31">
        <w:rPr>
          <w:rFonts w:hint="eastAsia"/>
          <w:szCs w:val="21"/>
        </w:rPr>
        <w:t>、基金管理人以基金名义在基金管理人选择的证券经营机构营业网点开立证券资金账户。证券经营机构根据相关法律法规、规范性文件为本基金开立相关资金账户并按照该证券经营机构开户的流程和要求与基金管理人签订相关协议。</w:t>
      </w:r>
    </w:p>
    <w:p w14:paraId="049AB912"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4</w:t>
      </w:r>
      <w:r w:rsidRPr="00500A31">
        <w:rPr>
          <w:rFonts w:hint="eastAsia"/>
          <w:szCs w:val="21"/>
        </w:rPr>
        <w:t>、交易所证券交易资金采用第三方存管模式，即用于证券交易结算资金全额存放在基金管理人为基金开设证券资金账户中，场内的证券交易资金清算由基金管理人所选择的证券公司负责。基金托管人不负责办理场内的证券交易资金清算，也不负责保管证券资金账户内存放的资金。</w:t>
      </w:r>
    </w:p>
    <w:p w14:paraId="3EBAA70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5</w:t>
      </w:r>
      <w:r w:rsidRPr="00500A31">
        <w:rPr>
          <w:rFonts w:hint="eastAsia"/>
          <w:szCs w:val="21"/>
        </w:rPr>
        <w:t>、在本托管协议生效日之后，本基金被允许从事其他投资品种的投资业务，涉及相</w:t>
      </w:r>
      <w:r w:rsidRPr="00500A31">
        <w:rPr>
          <w:rFonts w:hint="eastAsia"/>
          <w:szCs w:val="21"/>
        </w:rPr>
        <w:lastRenderedPageBreak/>
        <w:t>关账户的开设、使用的，按有关规定开设、使用并管理；若无相关规定，</w:t>
      </w:r>
      <w:proofErr w:type="gramStart"/>
      <w:r w:rsidRPr="00500A31">
        <w:rPr>
          <w:rFonts w:hint="eastAsia"/>
          <w:szCs w:val="21"/>
        </w:rPr>
        <w:t>则基金</w:t>
      </w:r>
      <w:proofErr w:type="gramEnd"/>
      <w:r w:rsidRPr="00500A31">
        <w:rPr>
          <w:rFonts w:hint="eastAsia"/>
          <w:szCs w:val="21"/>
        </w:rPr>
        <w:t>托管人应当比照并遵守上述关于账户开设、使用的规定。</w:t>
      </w:r>
    </w:p>
    <w:p w14:paraId="19A5A56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（五）债券托管账户的开设和管理</w:t>
      </w:r>
    </w:p>
    <w:p w14:paraId="02C86586"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根据基金管理人的要求，《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共同代表基金签订全国银行间债券市场债券回购主协议。全国银行间同业拆借市场的交易资格由基金管理人以基金的名义申请，银行间债券市场准入备案由基金管理人和基金托管人共同负责。</w:t>
      </w:r>
    </w:p>
    <w:p w14:paraId="5CEB831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（六）其他账户的开立和管理</w:t>
      </w:r>
    </w:p>
    <w:p w14:paraId="5212140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、因业务发展需要而开立的其他账户，可以根据法律法规和《基金合同》的规定，在基金管理人和基金托管人商议后开立。新账户按有关规则使用并管理。</w:t>
      </w:r>
    </w:p>
    <w:p w14:paraId="1A964FB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、法律法规等有关规定对相关账户的开立和管理另有规定的，从其规定办理。</w:t>
      </w:r>
    </w:p>
    <w:p w14:paraId="137DFCA6"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（七）基金财产投资的有关有价凭证等的保管</w:t>
      </w:r>
    </w:p>
    <w:p w14:paraId="635230DD"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63296FD7"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（八）与基金财产有关的重大合同的保管</w:t>
      </w:r>
    </w:p>
    <w:p w14:paraId="716B88BC" w14:textId="77777777" w:rsidR="00500A31" w:rsidRDefault="00500A31">
      <w:pPr>
        <w:tabs>
          <w:tab w:val="left" w:pos="540"/>
        </w:tabs>
        <w:snapToGrid w:val="0"/>
        <w:spacing w:line="360" w:lineRule="auto"/>
        <w:ind w:firstLineChars="200" w:firstLine="420"/>
        <w:rPr>
          <w:szCs w:val="21"/>
        </w:rPr>
      </w:pPr>
      <w:r w:rsidRPr="00500A31">
        <w:rPr>
          <w:rFonts w:hint="eastAsia"/>
          <w:szCs w:val="21"/>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基金管理人应在重大合同签署后及时将重大合同扫描件发送给基金托管人，并在三十个工作日内将正本送达基金托管人处。重大合同的保管期限不低于法律法规规定的最低期限。对于无法取得二份以上的正本的，基金管理人应向基金托管人提供加盖公章的合同复印件或扫描件，未经双方协商一致，合同原件不得转移。</w:t>
      </w:r>
    </w:p>
    <w:p w14:paraId="0270EF9D" w14:textId="4E4C4962" w:rsidR="00175DB4" w:rsidRDefault="000519D1">
      <w:pPr>
        <w:tabs>
          <w:tab w:val="left" w:pos="540"/>
        </w:tabs>
        <w:snapToGrid w:val="0"/>
        <w:spacing w:line="360" w:lineRule="auto"/>
        <w:ind w:firstLineChars="200" w:firstLine="420"/>
        <w:rPr>
          <w:rFonts w:ascii="宋体" w:hAnsi="宋体" w:cs="Arial"/>
          <w:szCs w:val="21"/>
        </w:rPr>
      </w:pPr>
      <w:bookmarkStart w:id="94" w:name="_Hlt88903033"/>
      <w:bookmarkStart w:id="95" w:name="_Hlt88902859"/>
      <w:bookmarkEnd w:id="91"/>
      <w:bookmarkEnd w:id="92"/>
      <w:bookmarkEnd w:id="94"/>
      <w:bookmarkEnd w:id="95"/>
      <w:r>
        <w:rPr>
          <w:rFonts w:ascii="宋体" w:hAnsi="宋体" w:cs="Arial" w:hint="eastAsia"/>
          <w:szCs w:val="21"/>
        </w:rPr>
        <w:t>五、</w:t>
      </w:r>
      <w:r w:rsidR="00500A31" w:rsidRPr="00500A31">
        <w:rPr>
          <w:rFonts w:ascii="宋体" w:hAnsi="宋体" w:cs="Arial" w:hint="eastAsia"/>
          <w:szCs w:val="21"/>
        </w:rPr>
        <w:t>基金资产净值计算和会计核算</w:t>
      </w:r>
      <w:bookmarkEnd w:id="93"/>
    </w:p>
    <w:p w14:paraId="532AD4A4" w14:textId="77777777" w:rsidR="00500A31" w:rsidRPr="00500A31" w:rsidRDefault="00500A31" w:rsidP="00500A31">
      <w:pPr>
        <w:tabs>
          <w:tab w:val="left" w:pos="540"/>
        </w:tabs>
        <w:snapToGrid w:val="0"/>
        <w:spacing w:line="360" w:lineRule="auto"/>
        <w:ind w:firstLineChars="200" w:firstLine="420"/>
        <w:rPr>
          <w:szCs w:val="21"/>
        </w:rPr>
      </w:pPr>
      <w:bookmarkStart w:id="96" w:name="_Toc350467689"/>
      <w:r w:rsidRPr="00500A31">
        <w:rPr>
          <w:rFonts w:hint="eastAsia"/>
          <w:szCs w:val="21"/>
        </w:rPr>
        <w:t>（一）基金资产净值的计算及复核程序</w:t>
      </w:r>
    </w:p>
    <w:p w14:paraId="2D2C7E02"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1</w:t>
      </w:r>
      <w:r w:rsidRPr="00500A31">
        <w:rPr>
          <w:rFonts w:hint="eastAsia"/>
          <w:szCs w:val="21"/>
        </w:rPr>
        <w:t>、基金资产净值</w:t>
      </w:r>
    </w:p>
    <w:p w14:paraId="1EEAD1D2"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基金资产净值是指基金资产总值减去基金负债后的价值。</w:t>
      </w:r>
    </w:p>
    <w:p w14:paraId="31801685" w14:textId="5FA82511"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基金份额净值是按照每个</w:t>
      </w:r>
      <w:r w:rsidR="007C65E1">
        <w:rPr>
          <w:rFonts w:hint="eastAsia"/>
          <w:szCs w:val="21"/>
        </w:rPr>
        <w:t>估值</w:t>
      </w:r>
      <w:r w:rsidRPr="00500A31">
        <w:rPr>
          <w:rFonts w:hint="eastAsia"/>
          <w:szCs w:val="21"/>
        </w:rPr>
        <w:t>日闭市后，基金资产净值除以当日基金份额的余额数量计算，精确到</w:t>
      </w:r>
      <w:r w:rsidRPr="00500A31">
        <w:rPr>
          <w:rFonts w:hint="eastAsia"/>
          <w:szCs w:val="21"/>
        </w:rPr>
        <w:t>0.0001</w:t>
      </w:r>
      <w:r w:rsidRPr="00500A31">
        <w:rPr>
          <w:rFonts w:hint="eastAsia"/>
          <w:szCs w:val="21"/>
        </w:rPr>
        <w:t>元，小数点后第</w:t>
      </w:r>
      <w:r w:rsidRPr="00500A31">
        <w:rPr>
          <w:rFonts w:hint="eastAsia"/>
          <w:szCs w:val="21"/>
        </w:rPr>
        <w:t>5</w:t>
      </w:r>
      <w:r w:rsidRPr="00500A31">
        <w:rPr>
          <w:rFonts w:hint="eastAsia"/>
          <w:szCs w:val="21"/>
        </w:rPr>
        <w:t>位四舍五入，由此产生的误差由基金财产承担。基金管理人可以设立大额赎回情形下的净值精度应急调整机制。国家另有规定的，从其规定。</w:t>
      </w:r>
    </w:p>
    <w:p w14:paraId="19ECACC2"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lastRenderedPageBreak/>
        <w:t>基金管理人每个估值日计算基金资产净值及基金份额净值，并按规定公告。</w:t>
      </w:r>
    </w:p>
    <w:p w14:paraId="27AC4A0C"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2</w:t>
      </w:r>
      <w:r w:rsidRPr="00500A31">
        <w:rPr>
          <w:rFonts w:hint="eastAsia"/>
          <w:szCs w:val="21"/>
        </w:rPr>
        <w:t>、复核程序</w:t>
      </w:r>
    </w:p>
    <w:p w14:paraId="17A17159"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基金管理人每个估值日对基金资产估值后，将基金份额净值结果发送基金托管人，经基金托管人复核无误后，由基金管理人按约定对外公布。</w:t>
      </w:r>
    </w:p>
    <w:p w14:paraId="278625A5"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（二）基金资产估值方法和特殊情形的处理</w:t>
      </w:r>
    </w:p>
    <w:p w14:paraId="605EFB43"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1</w:t>
      </w:r>
      <w:r w:rsidRPr="00500A31">
        <w:rPr>
          <w:rFonts w:hint="eastAsia"/>
          <w:szCs w:val="21"/>
        </w:rPr>
        <w:t>、估值对象</w:t>
      </w:r>
    </w:p>
    <w:p w14:paraId="36DA2EC1"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基金所拥有的股票、股指期货合约、股票期权合约、债券、资产支持证券和银行存款本息、应收款项、其它投资等资产及负债。</w:t>
      </w:r>
    </w:p>
    <w:p w14:paraId="6B406DCA"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2</w:t>
      </w:r>
      <w:r w:rsidRPr="00500A31">
        <w:rPr>
          <w:rFonts w:hint="eastAsia"/>
          <w:szCs w:val="21"/>
        </w:rPr>
        <w:t>、估值方法</w:t>
      </w:r>
    </w:p>
    <w:p w14:paraId="21C0C9C2"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基金管理人与基金托管人应按照《基金合同》约定的估值方法进行估值。</w:t>
      </w:r>
    </w:p>
    <w:p w14:paraId="7C08D630"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3</w:t>
      </w:r>
      <w:r w:rsidRPr="00500A31">
        <w:rPr>
          <w:rFonts w:hint="eastAsia"/>
          <w:szCs w:val="21"/>
        </w:rPr>
        <w:t>、特殊情形的处理</w:t>
      </w:r>
    </w:p>
    <w:p w14:paraId="7A0DF0E9"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基金管理人与基金托管人应当按照《基金合同》的约定处理特殊情况。</w:t>
      </w:r>
    </w:p>
    <w:p w14:paraId="03E0160E"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（三）基金份额净值错误的处理方式</w:t>
      </w:r>
    </w:p>
    <w:p w14:paraId="46BAD0DB"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基金管理人与基金托管人应当按照《基金合同》的约定处理估值错误。</w:t>
      </w:r>
    </w:p>
    <w:p w14:paraId="07EB3D20"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（四）暂停估值与公告基金份额净值的情形</w:t>
      </w:r>
    </w:p>
    <w:p w14:paraId="6694A6C0"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1</w:t>
      </w:r>
      <w:r w:rsidRPr="00500A31">
        <w:rPr>
          <w:rFonts w:hint="eastAsia"/>
          <w:szCs w:val="21"/>
        </w:rPr>
        <w:t>、基金投资所涉及的证券、期货交易市场遇法定节假日或因其他原因暂停营业时；</w:t>
      </w:r>
    </w:p>
    <w:p w14:paraId="6FCE0171"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2</w:t>
      </w:r>
      <w:r w:rsidRPr="00500A31">
        <w:rPr>
          <w:rFonts w:hint="eastAsia"/>
          <w:szCs w:val="21"/>
        </w:rPr>
        <w:t>、因不可抗力致使基金管理人、基金托管人无法准确评估基金资产价值时；</w:t>
      </w:r>
    </w:p>
    <w:p w14:paraId="4D1A4941"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3</w:t>
      </w:r>
      <w:r w:rsidRPr="00500A31">
        <w:rPr>
          <w:rFonts w:hint="eastAsia"/>
          <w:szCs w:val="21"/>
        </w:rPr>
        <w:t>、当前一估值日基金资产净值</w:t>
      </w:r>
      <w:r w:rsidRPr="00500A31">
        <w:rPr>
          <w:rFonts w:hint="eastAsia"/>
          <w:szCs w:val="21"/>
        </w:rPr>
        <w:t>50%</w:t>
      </w:r>
      <w:r w:rsidRPr="00500A31">
        <w:rPr>
          <w:rFonts w:hint="eastAsia"/>
          <w:szCs w:val="21"/>
        </w:rPr>
        <w:t>以上的资产出现无可参考的活跃市场价格且采用估值技术</w:t>
      </w:r>
      <w:proofErr w:type="gramStart"/>
      <w:r w:rsidRPr="00500A31">
        <w:rPr>
          <w:rFonts w:hint="eastAsia"/>
          <w:szCs w:val="21"/>
        </w:rPr>
        <w:t>仍导致</w:t>
      </w:r>
      <w:proofErr w:type="gramEnd"/>
      <w:r w:rsidRPr="00500A31">
        <w:rPr>
          <w:rFonts w:hint="eastAsia"/>
          <w:szCs w:val="21"/>
        </w:rPr>
        <w:t>公允价值存在重大不确定性时，经与基金托管人协商确认后，基金管理人应当暂停估值；</w:t>
      </w:r>
    </w:p>
    <w:p w14:paraId="04793089"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4</w:t>
      </w:r>
      <w:r w:rsidRPr="00500A31">
        <w:rPr>
          <w:rFonts w:hint="eastAsia"/>
          <w:szCs w:val="21"/>
        </w:rPr>
        <w:t>、中国证监会和基金合同认定的其它情形。</w:t>
      </w:r>
    </w:p>
    <w:p w14:paraId="3847BD27"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（五）基金会计制度</w:t>
      </w:r>
    </w:p>
    <w:p w14:paraId="333062A7"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按国家有关部门规定的会计制度执行。</w:t>
      </w:r>
    </w:p>
    <w:p w14:paraId="62456035"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（六）基金账册的建立</w:t>
      </w:r>
    </w:p>
    <w:p w14:paraId="1A88AC4B"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基金管理人进行基金会计核算并编制基金财务会计报告。基金管理人独立地设置、记录和保管本基金的全套账册。</w:t>
      </w:r>
      <w:proofErr w:type="gramStart"/>
      <w:r w:rsidRPr="00500A31">
        <w:rPr>
          <w:rFonts w:hint="eastAsia"/>
          <w:szCs w:val="21"/>
        </w:rPr>
        <w:t>若基金</w:t>
      </w:r>
      <w:proofErr w:type="gramEnd"/>
      <w:r w:rsidRPr="00500A31">
        <w:rPr>
          <w:rFonts w:hint="eastAsia"/>
          <w:szCs w:val="21"/>
        </w:rPr>
        <w:t>管理人和基金托管人对会计处理方法存在分歧，应以基金管理人的处理方法为准。若当日核对不符，暂时无法查找到错账的原因而影响到基金净值的计算和公告的，以基金管理人的账册为准。</w:t>
      </w:r>
    </w:p>
    <w:p w14:paraId="08468753"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（七）基金财务报表与报告的编制和复核</w:t>
      </w:r>
    </w:p>
    <w:p w14:paraId="14C238F9"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1</w:t>
      </w:r>
      <w:r w:rsidRPr="00500A31">
        <w:rPr>
          <w:rFonts w:hint="eastAsia"/>
          <w:szCs w:val="21"/>
        </w:rPr>
        <w:t>、财务报表的编制</w:t>
      </w:r>
    </w:p>
    <w:p w14:paraId="7A10564F"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基金管理人应当及时编制并对外提供真实、完整的基金财务会计报告。月度报表的编制，基金管理人应于每月终了后</w:t>
      </w:r>
      <w:r w:rsidRPr="00500A31">
        <w:rPr>
          <w:rFonts w:hint="eastAsia"/>
          <w:szCs w:val="21"/>
        </w:rPr>
        <w:t>5</w:t>
      </w:r>
      <w:r w:rsidRPr="00500A31">
        <w:rPr>
          <w:rFonts w:hint="eastAsia"/>
          <w:szCs w:val="21"/>
        </w:rPr>
        <w:t>个工作日内完成。季度报告应在季度结束之日起</w:t>
      </w:r>
      <w:r w:rsidRPr="00500A31">
        <w:rPr>
          <w:rFonts w:hint="eastAsia"/>
          <w:szCs w:val="21"/>
        </w:rPr>
        <w:t>15</w:t>
      </w:r>
      <w:r w:rsidRPr="00500A31">
        <w:rPr>
          <w:rFonts w:hint="eastAsia"/>
          <w:szCs w:val="21"/>
        </w:rPr>
        <w:t>个工作日内编制完毕并予以公告；中期报告在上半年结束之日起两个月内编制完毕并予以公告；年度报告在每年结束之日起三个月内编制完毕并予以公告。基金年度报告中的财务会</w:t>
      </w:r>
      <w:r w:rsidRPr="00500A31">
        <w:rPr>
          <w:rFonts w:hint="eastAsia"/>
          <w:szCs w:val="21"/>
        </w:rPr>
        <w:lastRenderedPageBreak/>
        <w:t>计报告应当经过符合《中华人民共和国证券法》规定的会计师事务所审计。《基金合同》生效不足</w:t>
      </w:r>
      <w:r w:rsidRPr="00500A31">
        <w:rPr>
          <w:rFonts w:hint="eastAsia"/>
          <w:szCs w:val="21"/>
        </w:rPr>
        <w:t>2</w:t>
      </w:r>
      <w:r w:rsidRPr="00500A31">
        <w:rPr>
          <w:rFonts w:hint="eastAsia"/>
          <w:szCs w:val="21"/>
        </w:rPr>
        <w:t>个月的，基金管理人可以不编制当期季度报告、中期报告或者年度报告。</w:t>
      </w:r>
    </w:p>
    <w:p w14:paraId="5FCC1B32"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2</w:t>
      </w:r>
      <w:r w:rsidRPr="00500A31">
        <w:rPr>
          <w:rFonts w:hint="eastAsia"/>
          <w:szCs w:val="21"/>
        </w:rPr>
        <w:t>、报表复核</w:t>
      </w:r>
    </w:p>
    <w:p w14:paraId="343C28CD"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在上述财务报表完成后，将报表提供给基金托管人复核，基金托管人应在收到后进行复核，并将复核结果书面通知基金管理人。基金管理人和基金托管人之间的上述文件往来均以邮件的方式或双方商定的其他方式进行。</w:t>
      </w:r>
    </w:p>
    <w:p w14:paraId="3733D709" w14:textId="77777777" w:rsidR="00500A31" w:rsidRDefault="00500A31">
      <w:pPr>
        <w:tabs>
          <w:tab w:val="left" w:pos="540"/>
        </w:tabs>
        <w:snapToGrid w:val="0"/>
        <w:spacing w:line="360" w:lineRule="auto"/>
        <w:ind w:firstLineChars="200" w:firstLine="420"/>
        <w:rPr>
          <w:szCs w:val="21"/>
        </w:rPr>
      </w:pPr>
      <w:r w:rsidRPr="00500A31">
        <w:rPr>
          <w:rFonts w:hint="eastAsia"/>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w:t>
      </w:r>
      <w:proofErr w:type="gramStart"/>
      <w:r w:rsidRPr="00500A31">
        <w:rPr>
          <w:rFonts w:hint="eastAsia"/>
          <w:szCs w:val="21"/>
        </w:rPr>
        <w:t>于应当</w:t>
      </w:r>
      <w:proofErr w:type="gramEnd"/>
      <w:r w:rsidRPr="00500A31">
        <w:rPr>
          <w:rFonts w:hint="eastAsia"/>
          <w:szCs w:val="21"/>
        </w:rPr>
        <w:t>发布公告之日之前就相关报表达成一致，基金管理人有权按照其编制的报表对外发布公告，基金托管人有权就相关情况报中国证监会备案。</w:t>
      </w:r>
    </w:p>
    <w:p w14:paraId="1E715255" w14:textId="77777777" w:rsidR="00175DB4" w:rsidRDefault="000519D1">
      <w:pPr>
        <w:tabs>
          <w:tab w:val="left" w:pos="540"/>
        </w:tabs>
        <w:snapToGrid w:val="0"/>
        <w:spacing w:line="360" w:lineRule="auto"/>
        <w:ind w:firstLineChars="200" w:firstLine="420"/>
        <w:rPr>
          <w:rFonts w:ascii="宋体" w:hAnsi="宋体" w:cs="Arial"/>
          <w:szCs w:val="21"/>
        </w:rPr>
      </w:pPr>
      <w:bookmarkStart w:id="97" w:name="_Hlt89689505"/>
      <w:bookmarkStart w:id="98" w:name="_Hlt89687912"/>
      <w:bookmarkEnd w:id="96"/>
      <w:bookmarkEnd w:id="97"/>
      <w:bookmarkEnd w:id="98"/>
      <w:r>
        <w:rPr>
          <w:rFonts w:ascii="宋体" w:hAnsi="宋体" w:cs="Arial" w:hint="eastAsia"/>
          <w:szCs w:val="21"/>
        </w:rPr>
        <w:t>六、基金份额持有人名册的登记与保管</w:t>
      </w:r>
    </w:p>
    <w:p w14:paraId="53070A27" w14:textId="77777777" w:rsidR="00500A31" w:rsidRPr="00500A31" w:rsidRDefault="00500A31" w:rsidP="00500A31">
      <w:pPr>
        <w:tabs>
          <w:tab w:val="left" w:pos="540"/>
        </w:tabs>
        <w:snapToGrid w:val="0"/>
        <w:spacing w:line="360" w:lineRule="auto"/>
        <w:ind w:firstLineChars="200" w:firstLine="420"/>
        <w:rPr>
          <w:szCs w:val="21"/>
        </w:rPr>
      </w:pPr>
      <w:bookmarkStart w:id="99" w:name="_Hlk4890200"/>
      <w:r w:rsidRPr="00500A31">
        <w:rPr>
          <w:rFonts w:hint="eastAsia"/>
          <w:szCs w:val="21"/>
        </w:rPr>
        <w:t>本基金的基金管理人和基金托管人须分别妥善保管的基金份额持有人名册，包括基金合同生效日、基金合同终止日、基金权益登记日、基金份额持有人大会权益登记日、每年</w:t>
      </w:r>
      <w:r w:rsidRPr="00500A31">
        <w:rPr>
          <w:rFonts w:hint="eastAsia"/>
          <w:szCs w:val="21"/>
        </w:rPr>
        <w:t>6</w:t>
      </w:r>
      <w:r w:rsidRPr="00500A31">
        <w:rPr>
          <w:rFonts w:hint="eastAsia"/>
          <w:szCs w:val="21"/>
        </w:rPr>
        <w:t>月</w:t>
      </w:r>
      <w:r w:rsidRPr="00500A31">
        <w:rPr>
          <w:rFonts w:hint="eastAsia"/>
          <w:szCs w:val="21"/>
        </w:rPr>
        <w:t>30</w:t>
      </w:r>
      <w:r w:rsidRPr="00500A31">
        <w:rPr>
          <w:rFonts w:hint="eastAsia"/>
          <w:szCs w:val="21"/>
        </w:rPr>
        <w:t>日、</w:t>
      </w:r>
      <w:r w:rsidRPr="00500A31">
        <w:rPr>
          <w:rFonts w:hint="eastAsia"/>
          <w:szCs w:val="21"/>
        </w:rPr>
        <w:t>12</w:t>
      </w:r>
      <w:r w:rsidRPr="00500A31">
        <w:rPr>
          <w:rFonts w:hint="eastAsia"/>
          <w:szCs w:val="21"/>
        </w:rPr>
        <w:t>月</w:t>
      </w:r>
      <w:r w:rsidRPr="00500A31">
        <w:rPr>
          <w:rFonts w:hint="eastAsia"/>
          <w:szCs w:val="21"/>
        </w:rPr>
        <w:t>31</w:t>
      </w:r>
      <w:r w:rsidRPr="00500A31">
        <w:rPr>
          <w:rFonts w:hint="eastAsia"/>
          <w:szCs w:val="21"/>
        </w:rPr>
        <w:t>日的基金份额持有人名册。基金份额持有人名册的内容至少应包括持有人的名称和持有的基金份额。</w:t>
      </w:r>
    </w:p>
    <w:p w14:paraId="501D5A00"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1112980E" w14:textId="77777777" w:rsidR="00500A31" w:rsidRPr="00500A31" w:rsidRDefault="00500A31" w:rsidP="00500A31">
      <w:pPr>
        <w:tabs>
          <w:tab w:val="left" w:pos="540"/>
        </w:tabs>
        <w:snapToGrid w:val="0"/>
        <w:spacing w:line="360" w:lineRule="auto"/>
        <w:ind w:firstLineChars="200" w:firstLine="420"/>
        <w:rPr>
          <w:szCs w:val="21"/>
        </w:rPr>
      </w:pPr>
      <w:r w:rsidRPr="00500A31">
        <w:rPr>
          <w:rFonts w:hint="eastAsia"/>
          <w:szCs w:val="21"/>
        </w:rPr>
        <w:t>基金管理人应及时向基金托管人提交基金份额持有人名册。每年</w:t>
      </w:r>
      <w:r w:rsidRPr="00500A31">
        <w:rPr>
          <w:rFonts w:hint="eastAsia"/>
          <w:szCs w:val="21"/>
        </w:rPr>
        <w:t>6</w:t>
      </w:r>
      <w:r w:rsidRPr="00500A31">
        <w:rPr>
          <w:rFonts w:hint="eastAsia"/>
          <w:szCs w:val="21"/>
        </w:rPr>
        <w:t>月</w:t>
      </w:r>
      <w:r w:rsidRPr="00500A31">
        <w:rPr>
          <w:rFonts w:hint="eastAsia"/>
          <w:szCs w:val="21"/>
        </w:rPr>
        <w:t>30</w:t>
      </w:r>
      <w:r w:rsidRPr="00500A31">
        <w:rPr>
          <w:rFonts w:hint="eastAsia"/>
          <w:szCs w:val="21"/>
        </w:rPr>
        <w:t>日和</w:t>
      </w:r>
      <w:r w:rsidRPr="00500A31">
        <w:rPr>
          <w:rFonts w:hint="eastAsia"/>
          <w:szCs w:val="21"/>
        </w:rPr>
        <w:t>12</w:t>
      </w:r>
      <w:r w:rsidRPr="00500A31">
        <w:rPr>
          <w:rFonts w:hint="eastAsia"/>
          <w:szCs w:val="21"/>
        </w:rPr>
        <w:t>月</w:t>
      </w:r>
      <w:r w:rsidRPr="00500A31">
        <w:rPr>
          <w:rFonts w:hint="eastAsia"/>
          <w:szCs w:val="21"/>
        </w:rPr>
        <w:t>31</w:t>
      </w:r>
      <w:r w:rsidRPr="00500A31">
        <w:rPr>
          <w:rFonts w:hint="eastAsia"/>
          <w:szCs w:val="21"/>
        </w:rPr>
        <w:t>日的基金份额持有人名册应于下月前十个工作日内提交；基金合同生效日、基金合同终止日等涉及到基金重要事项日期的基金份额持有人名册应于发生日后十个工作日内提交。</w:t>
      </w:r>
    </w:p>
    <w:p w14:paraId="2DE07FDD" w14:textId="77777777" w:rsidR="00500A31" w:rsidRDefault="00500A31">
      <w:pPr>
        <w:tabs>
          <w:tab w:val="left" w:pos="540"/>
        </w:tabs>
        <w:snapToGrid w:val="0"/>
        <w:spacing w:line="360" w:lineRule="auto"/>
        <w:ind w:firstLineChars="200" w:firstLine="420"/>
        <w:rPr>
          <w:szCs w:val="21"/>
        </w:rPr>
      </w:pPr>
      <w:r w:rsidRPr="00500A31">
        <w:rPr>
          <w:rFonts w:hint="eastAsia"/>
          <w:szCs w:val="21"/>
        </w:rPr>
        <w:t>基金管理人和基金托管人应妥善保管基金份额持有人名册，保存期限不少于法律法规规定的最低期限。基金托管人不得将所保管的基金份额持有人名册用于基金托管业务以外的其他用途，并应遵守保密义务。</w:t>
      </w:r>
      <w:proofErr w:type="gramStart"/>
      <w:r w:rsidRPr="00500A31">
        <w:rPr>
          <w:rFonts w:hint="eastAsia"/>
          <w:szCs w:val="21"/>
        </w:rPr>
        <w:t>若基金</w:t>
      </w:r>
      <w:proofErr w:type="gramEnd"/>
      <w:r w:rsidRPr="00500A31">
        <w:rPr>
          <w:rFonts w:hint="eastAsia"/>
          <w:szCs w:val="21"/>
        </w:rPr>
        <w:t>管理人或基金托管人由于自身原因无法妥善保管基金份额持有人名册，应按有关法规规定各自承担相应的责任。</w:t>
      </w:r>
    </w:p>
    <w:p w14:paraId="3BA4755A" w14:textId="77777777" w:rsidR="00175DB4" w:rsidRDefault="000519D1">
      <w:pPr>
        <w:tabs>
          <w:tab w:val="left" w:pos="540"/>
        </w:tabs>
        <w:snapToGrid w:val="0"/>
        <w:spacing w:line="360" w:lineRule="auto"/>
        <w:ind w:firstLineChars="200" w:firstLine="420"/>
        <w:rPr>
          <w:rFonts w:ascii="宋体" w:hAnsi="宋体" w:cs="Arial"/>
          <w:szCs w:val="21"/>
        </w:rPr>
      </w:pPr>
      <w:bookmarkStart w:id="100" w:name="_Hlt112616834"/>
      <w:bookmarkStart w:id="101" w:name="_Toc116900112"/>
      <w:bookmarkEnd w:id="99"/>
      <w:bookmarkEnd w:id="100"/>
      <w:r>
        <w:rPr>
          <w:rFonts w:ascii="宋体" w:hAnsi="宋体" w:cs="Arial" w:hint="eastAsia"/>
          <w:szCs w:val="21"/>
        </w:rPr>
        <w:t>七、争议解决</w:t>
      </w:r>
      <w:bookmarkEnd w:id="101"/>
      <w:r>
        <w:rPr>
          <w:rFonts w:ascii="宋体" w:hAnsi="宋体" w:cs="Arial" w:hint="eastAsia"/>
          <w:szCs w:val="21"/>
        </w:rPr>
        <w:t>方式</w:t>
      </w:r>
    </w:p>
    <w:p w14:paraId="7292348D" w14:textId="77777777" w:rsidR="00500A31" w:rsidRPr="00500A31" w:rsidRDefault="00500A31" w:rsidP="00500A31">
      <w:pPr>
        <w:tabs>
          <w:tab w:val="left" w:pos="540"/>
        </w:tabs>
        <w:snapToGrid w:val="0"/>
        <w:spacing w:line="360" w:lineRule="auto"/>
        <w:ind w:firstLineChars="200" w:firstLine="420"/>
        <w:rPr>
          <w:bCs/>
          <w:szCs w:val="21"/>
        </w:rPr>
      </w:pPr>
      <w:bookmarkStart w:id="102" w:name="_Hlk4890226"/>
      <w:r w:rsidRPr="00500A31">
        <w:rPr>
          <w:rFonts w:hint="eastAsia"/>
          <w:bCs/>
          <w:szCs w:val="21"/>
        </w:rPr>
        <w:t>因本协议产生或与之相关的争议，双方当事人应尽量通过协商、调解途径解决。如经友好协商、调解未能解决的，任何一方均有权将争议提交深圳国际仲裁院，按照深圳国际仲裁院届时有效的仲裁规则进行仲裁。仲裁地点为深圳市。仲裁裁决是终局的，对各方当事人均有约束力，除非仲裁裁决另有规定，仲裁费用由败诉方承担。</w:t>
      </w:r>
    </w:p>
    <w:p w14:paraId="6DF6EC52" w14:textId="77777777" w:rsidR="00500A31" w:rsidRPr="00500A31" w:rsidRDefault="00500A31" w:rsidP="00500A31">
      <w:pPr>
        <w:tabs>
          <w:tab w:val="left" w:pos="540"/>
        </w:tabs>
        <w:snapToGrid w:val="0"/>
        <w:spacing w:line="360" w:lineRule="auto"/>
        <w:ind w:firstLineChars="200" w:firstLine="420"/>
        <w:rPr>
          <w:bCs/>
          <w:szCs w:val="21"/>
        </w:rPr>
      </w:pPr>
      <w:r w:rsidRPr="00500A31">
        <w:rPr>
          <w:rFonts w:hint="eastAsia"/>
          <w:bCs/>
          <w:szCs w:val="21"/>
        </w:rPr>
        <w:t>争议处理期间，双方当事人应恪守基金管理人和基金托管人职责，各自继续忠实、勤勉、尽责地履行《基金合同》和本托管协议规定的义务，维护基金份额持有人的合法权益。</w:t>
      </w:r>
    </w:p>
    <w:p w14:paraId="6AF7B728" w14:textId="77777777" w:rsidR="00500A31" w:rsidRDefault="00500A31">
      <w:pPr>
        <w:tabs>
          <w:tab w:val="left" w:pos="540"/>
        </w:tabs>
        <w:snapToGrid w:val="0"/>
        <w:spacing w:line="360" w:lineRule="auto"/>
        <w:ind w:firstLineChars="200" w:firstLine="420"/>
        <w:rPr>
          <w:bCs/>
          <w:szCs w:val="21"/>
        </w:rPr>
      </w:pPr>
      <w:r w:rsidRPr="00500A31">
        <w:rPr>
          <w:rFonts w:hint="eastAsia"/>
          <w:bCs/>
          <w:szCs w:val="21"/>
        </w:rPr>
        <w:lastRenderedPageBreak/>
        <w:t>本协议受中国法律（为本协议之目的，不包括香港特别行政区、澳门特别行政区和台湾地区法律）管辖。</w:t>
      </w:r>
    </w:p>
    <w:bookmarkEnd w:id="102"/>
    <w:p w14:paraId="14FADE58" w14:textId="77777777" w:rsidR="00175DB4" w:rsidRDefault="000519D1">
      <w:pPr>
        <w:tabs>
          <w:tab w:val="left" w:pos="540"/>
        </w:tabs>
        <w:snapToGrid w:val="0"/>
        <w:spacing w:line="360" w:lineRule="auto"/>
        <w:ind w:firstLineChars="200" w:firstLine="420"/>
        <w:rPr>
          <w:rFonts w:ascii="宋体" w:hAnsi="宋体" w:cs="Arial"/>
          <w:szCs w:val="21"/>
        </w:rPr>
      </w:pPr>
      <w:r>
        <w:rPr>
          <w:rFonts w:ascii="宋体" w:hAnsi="宋体" w:cs="Arial" w:hint="eastAsia"/>
          <w:szCs w:val="21"/>
        </w:rPr>
        <w:t>八、托管协议的变更、终止与基金财产的清算</w:t>
      </w:r>
    </w:p>
    <w:p w14:paraId="77309AC0" w14:textId="77777777" w:rsidR="00175DB4" w:rsidRDefault="000519D1">
      <w:pPr>
        <w:adjustRightInd w:val="0"/>
        <w:snapToGrid w:val="0"/>
        <w:spacing w:line="360" w:lineRule="auto"/>
        <w:ind w:firstLineChars="200" w:firstLine="420"/>
        <w:rPr>
          <w:szCs w:val="21"/>
        </w:rPr>
      </w:pPr>
      <w:bookmarkStart w:id="103" w:name="_Hlk4890255"/>
      <w:r>
        <w:rPr>
          <w:rFonts w:hint="eastAsia"/>
          <w:szCs w:val="21"/>
        </w:rPr>
        <w:t>（一）托管协议的变更程序</w:t>
      </w:r>
    </w:p>
    <w:p w14:paraId="7FB854C5"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本协议双方当事人经协商一致，可以对协议进行修改。修改后的新协议，其内容不得与基金合同的规定有任何冲突。基金托管协议的变更报中国证监会备案。</w:t>
      </w:r>
    </w:p>
    <w:p w14:paraId="5D98FDC7"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（二）基金托管协议终止的情形</w:t>
      </w:r>
    </w:p>
    <w:p w14:paraId="514CB10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、基金合同终止；</w:t>
      </w:r>
    </w:p>
    <w:p w14:paraId="062F5AEB"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、基金托管人解散、依法被撤销、破产，被依法取消基金托管资格或由其他基金托管人接管基金资产；</w:t>
      </w:r>
    </w:p>
    <w:p w14:paraId="61BF9DE5"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3</w:t>
      </w:r>
      <w:r w:rsidRPr="00500A31">
        <w:rPr>
          <w:rFonts w:hint="eastAsia"/>
          <w:szCs w:val="21"/>
        </w:rPr>
        <w:t>、基金管理人解散、依法被撤销、破产，被依法取消基金管理资格或由其他基金管理人接管基金管理权；</w:t>
      </w:r>
    </w:p>
    <w:p w14:paraId="0F1940B2"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4</w:t>
      </w:r>
      <w:r w:rsidRPr="00500A31">
        <w:rPr>
          <w:rFonts w:hint="eastAsia"/>
          <w:szCs w:val="21"/>
        </w:rPr>
        <w:t>、发生法律法规、中国证监会或基金合同规定的终止事项。</w:t>
      </w:r>
    </w:p>
    <w:p w14:paraId="56D3B2B9"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（三）基金财产的清算</w:t>
      </w:r>
    </w:p>
    <w:p w14:paraId="127C36A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1</w:t>
      </w:r>
      <w:r w:rsidRPr="00500A31">
        <w:rPr>
          <w:rFonts w:hint="eastAsia"/>
          <w:szCs w:val="21"/>
        </w:rPr>
        <w:t>、基金财产清算小组：自出现《基金合同》终止事由之日起</w:t>
      </w:r>
      <w:r w:rsidRPr="00500A31">
        <w:rPr>
          <w:rFonts w:hint="eastAsia"/>
          <w:szCs w:val="21"/>
        </w:rPr>
        <w:t>30</w:t>
      </w:r>
      <w:r w:rsidRPr="00500A31">
        <w:rPr>
          <w:rFonts w:hint="eastAsia"/>
          <w:szCs w:val="21"/>
        </w:rPr>
        <w:t>个工作日内成立基金财产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14:paraId="424A7206"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2</w:t>
      </w:r>
      <w:r w:rsidRPr="00500A31">
        <w:rPr>
          <w:rFonts w:hint="eastAsia"/>
          <w:szCs w:val="21"/>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D052E97"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3</w:t>
      </w:r>
      <w:r w:rsidRPr="00500A31">
        <w:rPr>
          <w:rFonts w:hint="eastAsia"/>
          <w:szCs w:val="21"/>
        </w:rPr>
        <w:t>、基金财产清算小组职责：基金财产清算小组负责基金财产的保管、清理、估价、变现和分配。基金财产清算小组可以依法进行必要的民事活动。</w:t>
      </w:r>
    </w:p>
    <w:p w14:paraId="0AD92B9A"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4</w:t>
      </w:r>
      <w:r w:rsidRPr="00500A31">
        <w:rPr>
          <w:rFonts w:hint="eastAsia"/>
          <w:szCs w:val="21"/>
        </w:rPr>
        <w:t>、基金财产清算程序</w:t>
      </w:r>
    </w:p>
    <w:p w14:paraId="486A772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1</w:t>
      </w:r>
      <w:r w:rsidRPr="00500A31">
        <w:rPr>
          <w:rFonts w:hint="eastAsia"/>
          <w:szCs w:val="21"/>
        </w:rPr>
        <w:t>）《基金合同》终止情形出现时，由基金财产清算小组统一接管基金；</w:t>
      </w:r>
    </w:p>
    <w:p w14:paraId="3769121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2</w:t>
      </w:r>
      <w:r w:rsidRPr="00500A31">
        <w:rPr>
          <w:rFonts w:hint="eastAsia"/>
          <w:szCs w:val="21"/>
        </w:rPr>
        <w:t>）对基金财产和债权债务进行清理和确认；</w:t>
      </w:r>
    </w:p>
    <w:p w14:paraId="54E6F14A"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3</w:t>
      </w:r>
      <w:r w:rsidRPr="00500A31">
        <w:rPr>
          <w:rFonts w:hint="eastAsia"/>
          <w:szCs w:val="21"/>
        </w:rPr>
        <w:t>）对基金财产进行估值和变现；</w:t>
      </w:r>
    </w:p>
    <w:p w14:paraId="3AC378ED"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4</w:t>
      </w:r>
      <w:r w:rsidRPr="00500A31">
        <w:rPr>
          <w:rFonts w:hint="eastAsia"/>
          <w:szCs w:val="21"/>
        </w:rPr>
        <w:t>）制作清算报告；</w:t>
      </w:r>
    </w:p>
    <w:p w14:paraId="7802FC27"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5</w:t>
      </w:r>
      <w:r w:rsidRPr="00500A31">
        <w:rPr>
          <w:rFonts w:hint="eastAsia"/>
          <w:szCs w:val="21"/>
        </w:rPr>
        <w:t>）聘请会计师事务所对清算报告进行外部审计，聘请律师事务所对清算报告出具法律意见书；</w:t>
      </w:r>
    </w:p>
    <w:p w14:paraId="25905F2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6</w:t>
      </w:r>
      <w:r w:rsidRPr="00500A31">
        <w:rPr>
          <w:rFonts w:hint="eastAsia"/>
          <w:szCs w:val="21"/>
        </w:rPr>
        <w:t>）将清算报告报中国证监会备案并公告；</w:t>
      </w:r>
    </w:p>
    <w:p w14:paraId="2E9E2B50"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w:t>
      </w:r>
      <w:r w:rsidRPr="00500A31">
        <w:rPr>
          <w:rFonts w:hint="eastAsia"/>
          <w:szCs w:val="21"/>
        </w:rPr>
        <w:t>7</w:t>
      </w:r>
      <w:r w:rsidRPr="00500A31">
        <w:rPr>
          <w:rFonts w:hint="eastAsia"/>
          <w:szCs w:val="21"/>
        </w:rPr>
        <w:t>）对基金剩余财产进行分配。</w:t>
      </w:r>
    </w:p>
    <w:p w14:paraId="04F069F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5</w:t>
      </w:r>
      <w:r w:rsidRPr="00500A31">
        <w:rPr>
          <w:rFonts w:hint="eastAsia"/>
          <w:szCs w:val="21"/>
        </w:rPr>
        <w:t>、基金财产清算的期限为</w:t>
      </w:r>
      <w:r w:rsidRPr="00500A31">
        <w:rPr>
          <w:rFonts w:hint="eastAsia"/>
          <w:szCs w:val="21"/>
        </w:rPr>
        <w:t>6</w:t>
      </w:r>
      <w:r w:rsidRPr="00500A31">
        <w:rPr>
          <w:rFonts w:hint="eastAsia"/>
          <w:szCs w:val="21"/>
        </w:rPr>
        <w:t>个月，但因本基金所持证券的流动性受到限制而不能及时变现的，清算期限相应顺延。</w:t>
      </w:r>
    </w:p>
    <w:p w14:paraId="161EE528" w14:textId="77777777" w:rsidR="00500A31" w:rsidRPr="00500A31" w:rsidRDefault="00500A31" w:rsidP="00500A31">
      <w:pPr>
        <w:adjustRightInd w:val="0"/>
        <w:snapToGrid w:val="0"/>
        <w:spacing w:line="360" w:lineRule="auto"/>
        <w:ind w:firstLineChars="200" w:firstLine="420"/>
        <w:rPr>
          <w:szCs w:val="21"/>
        </w:rPr>
      </w:pPr>
    </w:p>
    <w:p w14:paraId="3A49E5A1"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6</w:t>
      </w:r>
      <w:r w:rsidRPr="00500A31">
        <w:rPr>
          <w:rFonts w:hint="eastAsia"/>
          <w:szCs w:val="21"/>
        </w:rPr>
        <w:t>、清算费用</w:t>
      </w:r>
    </w:p>
    <w:p w14:paraId="3FFB30D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清算费用是指基金财产清算小组在进行基金财产清算过程中发生的所有合理费用，清算费用由基金财产清算小组优先从基金剩余财产中支付。</w:t>
      </w:r>
    </w:p>
    <w:p w14:paraId="228EBD9F"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7</w:t>
      </w:r>
      <w:r w:rsidRPr="00500A31">
        <w:rPr>
          <w:rFonts w:hint="eastAsia"/>
          <w:szCs w:val="21"/>
        </w:rPr>
        <w:t>、基金财产清算剩余资产的分配</w:t>
      </w:r>
    </w:p>
    <w:p w14:paraId="590D31BC"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依据基金财产清算的分配方案，将基金财产清算后的全部剩余资产扣除基金财产清算费用、交纳所欠税款并清偿基金债务后，按基金份额持有人持有的基金份额比例进行分配。</w:t>
      </w:r>
    </w:p>
    <w:p w14:paraId="6A39E33E"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8</w:t>
      </w:r>
      <w:r w:rsidRPr="00500A31">
        <w:rPr>
          <w:rFonts w:hint="eastAsia"/>
          <w:szCs w:val="21"/>
        </w:rPr>
        <w:t>、基金财产清算的公告</w:t>
      </w:r>
    </w:p>
    <w:p w14:paraId="49CFBB95"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清算过程中的有关重大事项须及时公告；基金财产清算报告</w:t>
      </w:r>
      <w:proofErr w:type="gramStart"/>
      <w:r w:rsidRPr="00500A31">
        <w:rPr>
          <w:rFonts w:hint="eastAsia"/>
          <w:szCs w:val="21"/>
        </w:rPr>
        <w:t>经符合</w:t>
      </w:r>
      <w:proofErr w:type="gramEnd"/>
      <w:r w:rsidRPr="00500A31">
        <w:rPr>
          <w:rFonts w:hint="eastAsia"/>
          <w:szCs w:val="21"/>
        </w:rPr>
        <w:t>《中华人民共和国证券法》规定的会计师事务所审计并由律师事务所出具法律意见书后报中国证监会备案并公告。基金财产清算公告于基金财产清算报告报中国证监会备案后</w:t>
      </w:r>
      <w:r w:rsidRPr="00500A31">
        <w:rPr>
          <w:rFonts w:hint="eastAsia"/>
          <w:szCs w:val="21"/>
        </w:rPr>
        <w:t>5</w:t>
      </w:r>
      <w:r w:rsidRPr="00500A31">
        <w:rPr>
          <w:rFonts w:hint="eastAsia"/>
          <w:szCs w:val="21"/>
        </w:rPr>
        <w:t>个工作日内由基金财产清算小组进行公告。基金财产清算小组应当将清算报告登载在规定网站上，并将清算报告提示性公告登载在规定报刊上。</w:t>
      </w:r>
    </w:p>
    <w:p w14:paraId="415C18D9" w14:textId="77777777" w:rsidR="00500A31" w:rsidRPr="00500A31" w:rsidRDefault="00500A31" w:rsidP="00500A31">
      <w:pPr>
        <w:adjustRightInd w:val="0"/>
        <w:snapToGrid w:val="0"/>
        <w:spacing w:line="360" w:lineRule="auto"/>
        <w:ind w:firstLineChars="200" w:firstLine="420"/>
        <w:rPr>
          <w:szCs w:val="21"/>
        </w:rPr>
      </w:pPr>
      <w:r w:rsidRPr="00500A31">
        <w:rPr>
          <w:rFonts w:hint="eastAsia"/>
          <w:szCs w:val="21"/>
        </w:rPr>
        <w:t>9</w:t>
      </w:r>
      <w:r w:rsidRPr="00500A31">
        <w:rPr>
          <w:rFonts w:hint="eastAsia"/>
          <w:szCs w:val="21"/>
        </w:rPr>
        <w:t>、基金财产清算账册及文件的保存</w:t>
      </w:r>
    </w:p>
    <w:p w14:paraId="6506D3E4" w14:textId="33D40CB6" w:rsidR="00175DB4" w:rsidRDefault="00500A31">
      <w:pPr>
        <w:adjustRightInd w:val="0"/>
        <w:snapToGrid w:val="0"/>
        <w:spacing w:line="360" w:lineRule="auto"/>
        <w:rPr>
          <w:rFonts w:ascii="宋体" w:hAnsi="宋体" w:cs="Arial"/>
          <w:szCs w:val="21"/>
        </w:rPr>
      </w:pPr>
      <w:r w:rsidRPr="00500A31">
        <w:rPr>
          <w:rFonts w:hint="eastAsia"/>
          <w:szCs w:val="21"/>
        </w:rPr>
        <w:t>基金财产清算账册及有关文件由基金托管人保存，保存期限不低于法律法规规定的最低期限。</w:t>
      </w:r>
      <w:bookmarkEnd w:id="83"/>
      <w:bookmarkEnd w:id="103"/>
    </w:p>
    <w:p w14:paraId="51FBAFCA" w14:textId="77777777" w:rsidR="00175DB4" w:rsidRDefault="00175DB4">
      <w:pPr>
        <w:pStyle w:val="1"/>
        <w:spacing w:line="380" w:lineRule="exact"/>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104" w:name="_Toc86589193"/>
      <w:bookmarkStart w:id="105" w:name="_Toc92531668"/>
    </w:p>
    <w:p w14:paraId="3F93A9AE" w14:textId="77777777" w:rsidR="00175DB4" w:rsidRDefault="000519D1">
      <w:pPr>
        <w:pStyle w:val="1"/>
        <w:spacing w:line="360" w:lineRule="exact"/>
        <w:rPr>
          <w:rFonts w:eastAsia="宋体"/>
          <w:color w:val="000000"/>
          <w:sz w:val="30"/>
          <w:szCs w:val="30"/>
        </w:rPr>
      </w:pPr>
      <w:bookmarkStart w:id="106" w:name="_Toc135741024"/>
      <w:r>
        <w:rPr>
          <w:rFonts w:eastAsia="宋体"/>
          <w:color w:val="000000"/>
          <w:sz w:val="30"/>
          <w:szCs w:val="30"/>
        </w:rPr>
        <w:lastRenderedPageBreak/>
        <w:t>二十</w:t>
      </w:r>
      <w:r>
        <w:rPr>
          <w:rFonts w:eastAsia="宋体" w:hint="eastAsia"/>
          <w:color w:val="000000"/>
          <w:sz w:val="30"/>
          <w:szCs w:val="30"/>
        </w:rPr>
        <w:t>二</w:t>
      </w:r>
      <w:r>
        <w:rPr>
          <w:rFonts w:eastAsia="宋体"/>
          <w:color w:val="000000"/>
          <w:sz w:val="30"/>
          <w:szCs w:val="30"/>
        </w:rPr>
        <w:t>、对基金份额持有人的服务</w:t>
      </w:r>
      <w:bookmarkEnd w:id="104"/>
      <w:bookmarkEnd w:id="105"/>
      <w:bookmarkEnd w:id="106"/>
    </w:p>
    <w:p w14:paraId="1EE15520" w14:textId="77777777" w:rsidR="00175DB4" w:rsidRDefault="000519D1">
      <w:pPr>
        <w:tabs>
          <w:tab w:val="left" w:pos="540"/>
        </w:tabs>
        <w:spacing w:line="380" w:lineRule="exact"/>
        <w:ind w:firstLineChars="200" w:firstLine="420"/>
        <w:rPr>
          <w:color w:val="000000"/>
        </w:rPr>
      </w:pPr>
      <w:r>
        <w:rPr>
          <w:color w:val="FF0000"/>
        </w:rPr>
        <w:tab/>
      </w:r>
    </w:p>
    <w:p w14:paraId="458B6918" w14:textId="77777777" w:rsidR="008647F5" w:rsidRPr="00255AAF" w:rsidRDefault="008647F5" w:rsidP="00255AAF">
      <w:pPr>
        <w:spacing w:line="360" w:lineRule="auto"/>
        <w:ind w:firstLineChars="200" w:firstLine="420"/>
        <w:rPr>
          <w:szCs w:val="21"/>
        </w:rPr>
      </w:pPr>
      <w:r w:rsidRPr="00255AAF">
        <w:rPr>
          <w:rFonts w:hint="eastAsia"/>
          <w:szCs w:val="21"/>
        </w:rPr>
        <w:t>基金管理人承诺为基金份额持有人提供一系列的服务，以下是主要的服务内容，基金管理人根据基金份额持有人的需要和市场的变化，有权增加和修改以下服务项目：</w:t>
      </w:r>
    </w:p>
    <w:p w14:paraId="5AF060CB" w14:textId="77777777" w:rsidR="00500A31" w:rsidRPr="00500A31" w:rsidRDefault="00500A31" w:rsidP="00500A31">
      <w:pPr>
        <w:spacing w:line="360" w:lineRule="auto"/>
        <w:ind w:firstLineChars="200" w:firstLine="420"/>
        <w:rPr>
          <w:szCs w:val="21"/>
        </w:rPr>
      </w:pPr>
      <w:r w:rsidRPr="00500A31">
        <w:rPr>
          <w:rFonts w:hint="eastAsia"/>
          <w:szCs w:val="21"/>
        </w:rPr>
        <w:t>（一）基金份额持有人的对账单服务</w:t>
      </w:r>
    </w:p>
    <w:p w14:paraId="52BE4162" w14:textId="77777777" w:rsidR="00500A31" w:rsidRPr="00500A31" w:rsidRDefault="00500A31" w:rsidP="00500A31">
      <w:pPr>
        <w:spacing w:line="360" w:lineRule="auto"/>
        <w:ind w:firstLineChars="200" w:firstLine="420"/>
        <w:rPr>
          <w:szCs w:val="21"/>
        </w:rPr>
      </w:pPr>
      <w:r w:rsidRPr="00500A31">
        <w:rPr>
          <w:rFonts w:hint="eastAsia"/>
          <w:szCs w:val="21"/>
        </w:rPr>
        <w:t>1</w:t>
      </w:r>
      <w:r w:rsidRPr="00500A31">
        <w:rPr>
          <w:rFonts w:hint="eastAsia"/>
          <w:szCs w:val="21"/>
        </w:rPr>
        <w:t>、基金注册登记机构保留基金份额持有人名册上列明的所有基金份额持有人的基金交易记录；</w:t>
      </w:r>
    </w:p>
    <w:p w14:paraId="67DF2D2F" w14:textId="77777777" w:rsidR="00500A31" w:rsidRPr="00500A31" w:rsidRDefault="00500A31" w:rsidP="00500A31">
      <w:pPr>
        <w:spacing w:line="360" w:lineRule="auto"/>
        <w:ind w:firstLineChars="200" w:firstLine="420"/>
        <w:rPr>
          <w:szCs w:val="21"/>
        </w:rPr>
      </w:pPr>
      <w:r w:rsidRPr="00500A31">
        <w:rPr>
          <w:rFonts w:hint="eastAsia"/>
          <w:szCs w:val="21"/>
        </w:rPr>
        <w:t>2</w:t>
      </w:r>
      <w:r w:rsidRPr="00500A31">
        <w:rPr>
          <w:rFonts w:hint="eastAsia"/>
          <w:szCs w:val="21"/>
        </w:rPr>
        <w:t>、本公司至少每年度以电子邮件、短信或其他形式向通过本公司直销系统持有本公司基金份额的基金份额持有人提供基金保有情况信息。</w:t>
      </w:r>
    </w:p>
    <w:p w14:paraId="77D54315" w14:textId="77777777" w:rsidR="00500A31" w:rsidRPr="00500A31" w:rsidRDefault="00500A31" w:rsidP="00500A31">
      <w:pPr>
        <w:spacing w:line="360" w:lineRule="auto"/>
        <w:ind w:firstLineChars="200" w:firstLine="420"/>
        <w:rPr>
          <w:szCs w:val="21"/>
        </w:rPr>
      </w:pPr>
      <w:r w:rsidRPr="00500A31">
        <w:rPr>
          <w:rFonts w:hint="eastAsia"/>
          <w:szCs w:val="21"/>
        </w:rPr>
        <w:t>3</w:t>
      </w:r>
      <w:r w:rsidRPr="00500A31">
        <w:rPr>
          <w:rFonts w:hint="eastAsia"/>
          <w:szCs w:val="21"/>
        </w:rPr>
        <w:t>、基金份额持有人可以向本公司定制月度对账单，基金管理人按照投资者成功定制的服务形式提供基金对账单服务。</w:t>
      </w:r>
    </w:p>
    <w:p w14:paraId="4B7B62C1" w14:textId="77777777" w:rsidR="00500A31" w:rsidRPr="00500A31" w:rsidRDefault="00500A31" w:rsidP="00500A31">
      <w:pPr>
        <w:spacing w:line="360" w:lineRule="auto"/>
        <w:ind w:firstLineChars="200" w:firstLine="420"/>
        <w:rPr>
          <w:szCs w:val="21"/>
        </w:rPr>
      </w:pPr>
      <w:r w:rsidRPr="00500A31">
        <w:rPr>
          <w:rFonts w:hint="eastAsia"/>
          <w:szCs w:val="21"/>
        </w:rPr>
        <w:t>（</w:t>
      </w:r>
      <w:r w:rsidRPr="00500A31">
        <w:rPr>
          <w:rFonts w:hint="eastAsia"/>
          <w:szCs w:val="21"/>
        </w:rPr>
        <w:t>1</w:t>
      </w:r>
      <w:r w:rsidRPr="00500A31">
        <w:rPr>
          <w:rFonts w:hint="eastAsia"/>
          <w:szCs w:val="21"/>
        </w:rPr>
        <w:t>）月度电子邮件对账单：每月初本公司以电子邮件方式给截至上月最后一个交易日仍持有基金管理人基金份额或者账户余额为</w:t>
      </w:r>
      <w:r w:rsidRPr="00500A31">
        <w:rPr>
          <w:rFonts w:hint="eastAsia"/>
          <w:szCs w:val="21"/>
        </w:rPr>
        <w:t>0</w:t>
      </w:r>
      <w:r w:rsidRPr="00500A31">
        <w:rPr>
          <w:rFonts w:hint="eastAsia"/>
          <w:szCs w:val="21"/>
        </w:rPr>
        <w:t>但当期有交易发生的定制投资者发送月度电子邮件对账单。</w:t>
      </w:r>
    </w:p>
    <w:p w14:paraId="57887621" w14:textId="77777777" w:rsidR="00500A31" w:rsidRPr="00500A31" w:rsidRDefault="00500A31" w:rsidP="00500A31">
      <w:pPr>
        <w:spacing w:line="360" w:lineRule="auto"/>
        <w:ind w:firstLineChars="200" w:firstLine="420"/>
        <w:rPr>
          <w:szCs w:val="21"/>
        </w:rPr>
      </w:pPr>
      <w:r w:rsidRPr="00500A31">
        <w:rPr>
          <w:rFonts w:hint="eastAsia"/>
          <w:szCs w:val="21"/>
        </w:rPr>
        <w:t>（</w:t>
      </w:r>
      <w:r w:rsidRPr="00500A31">
        <w:rPr>
          <w:rFonts w:hint="eastAsia"/>
          <w:szCs w:val="21"/>
        </w:rPr>
        <w:t>2</w:t>
      </w:r>
      <w:r w:rsidRPr="00500A31">
        <w:rPr>
          <w:rFonts w:hint="eastAsia"/>
          <w:szCs w:val="21"/>
        </w:rPr>
        <w:t>）月度短信对账单：每月初本公司以短信方式给截至上月最后一个交易日仍持有基金管理人基金份额的定制投资者发送月度短信对账单。</w:t>
      </w:r>
    </w:p>
    <w:p w14:paraId="2928BF09" w14:textId="77777777" w:rsidR="00500A31" w:rsidRPr="00500A31" w:rsidRDefault="00500A31" w:rsidP="00500A31">
      <w:pPr>
        <w:spacing w:line="360" w:lineRule="auto"/>
        <w:ind w:firstLineChars="200" w:firstLine="420"/>
        <w:rPr>
          <w:szCs w:val="21"/>
        </w:rPr>
      </w:pPr>
      <w:r w:rsidRPr="00500A31">
        <w:rPr>
          <w:rFonts w:hint="eastAsia"/>
          <w:szCs w:val="21"/>
        </w:rPr>
        <w:t>（</w:t>
      </w:r>
      <w:r w:rsidRPr="00500A31">
        <w:rPr>
          <w:rFonts w:hint="eastAsia"/>
          <w:szCs w:val="21"/>
        </w:rPr>
        <w:t>3</w:t>
      </w:r>
      <w:r w:rsidRPr="00500A31">
        <w:rPr>
          <w:rFonts w:hint="eastAsia"/>
          <w:szCs w:val="21"/>
        </w:rPr>
        <w:t>）</w:t>
      </w:r>
      <w:proofErr w:type="gramStart"/>
      <w:r w:rsidRPr="00500A31">
        <w:rPr>
          <w:rFonts w:hint="eastAsia"/>
          <w:szCs w:val="21"/>
        </w:rPr>
        <w:t>月度微信对</w:t>
      </w:r>
      <w:proofErr w:type="gramEnd"/>
      <w:r w:rsidRPr="00500A31">
        <w:rPr>
          <w:rFonts w:hint="eastAsia"/>
          <w:szCs w:val="21"/>
        </w:rPr>
        <w:t>账单：每月初本公司</w:t>
      </w:r>
      <w:proofErr w:type="gramStart"/>
      <w:r w:rsidRPr="00500A31">
        <w:rPr>
          <w:rFonts w:hint="eastAsia"/>
          <w:szCs w:val="21"/>
        </w:rPr>
        <w:t>以微信方式</w:t>
      </w:r>
      <w:proofErr w:type="gramEnd"/>
      <w:r w:rsidRPr="00500A31">
        <w:rPr>
          <w:rFonts w:hint="eastAsia"/>
          <w:szCs w:val="21"/>
        </w:rPr>
        <w:t>给截至上月最后一个交易日仍持有基金管理人基金份额或者账户余额为</w:t>
      </w:r>
      <w:r w:rsidRPr="00500A31">
        <w:rPr>
          <w:rFonts w:hint="eastAsia"/>
          <w:szCs w:val="21"/>
        </w:rPr>
        <w:t>0</w:t>
      </w:r>
      <w:r w:rsidRPr="00500A31">
        <w:rPr>
          <w:rFonts w:hint="eastAsia"/>
          <w:szCs w:val="21"/>
        </w:rPr>
        <w:t>但当期有交易发生、且已在“景顺长城基金”</w:t>
      </w:r>
      <w:proofErr w:type="gramStart"/>
      <w:r w:rsidRPr="00500A31">
        <w:rPr>
          <w:rFonts w:hint="eastAsia"/>
          <w:szCs w:val="21"/>
        </w:rPr>
        <w:t>微信公众号</w:t>
      </w:r>
      <w:proofErr w:type="gramEnd"/>
      <w:r w:rsidRPr="00500A31">
        <w:rPr>
          <w:rFonts w:hint="eastAsia"/>
          <w:szCs w:val="21"/>
        </w:rPr>
        <w:t>上成功绑定账户的投资者发送</w:t>
      </w:r>
      <w:proofErr w:type="gramStart"/>
      <w:r w:rsidRPr="00500A31">
        <w:rPr>
          <w:rFonts w:hint="eastAsia"/>
          <w:szCs w:val="21"/>
        </w:rPr>
        <w:t>月度微信对</w:t>
      </w:r>
      <w:proofErr w:type="gramEnd"/>
      <w:r w:rsidRPr="00500A31">
        <w:rPr>
          <w:rFonts w:hint="eastAsia"/>
          <w:szCs w:val="21"/>
        </w:rPr>
        <w:t>账单。</w:t>
      </w:r>
    </w:p>
    <w:p w14:paraId="1B357717" w14:textId="77777777" w:rsidR="00500A31" w:rsidRPr="00500A31" w:rsidRDefault="00500A31" w:rsidP="00500A31">
      <w:pPr>
        <w:spacing w:line="360" w:lineRule="auto"/>
        <w:ind w:firstLineChars="200" w:firstLine="420"/>
        <w:rPr>
          <w:szCs w:val="21"/>
        </w:rPr>
      </w:pPr>
      <w:r w:rsidRPr="00500A31">
        <w:rPr>
          <w:rFonts w:hint="eastAsia"/>
          <w:szCs w:val="21"/>
        </w:rPr>
        <w:t>（</w:t>
      </w:r>
      <w:r w:rsidRPr="00500A31">
        <w:rPr>
          <w:rFonts w:hint="eastAsia"/>
          <w:szCs w:val="21"/>
        </w:rPr>
        <w:t>4</w:t>
      </w:r>
      <w:r w:rsidRPr="00500A31">
        <w:rPr>
          <w:rFonts w:hint="eastAsia"/>
          <w:szCs w:val="21"/>
        </w:rPr>
        <w:t>）季度及年度纸质对账单：每年一、二、三季度结束后，基金管理人向定制纸质对账单且在当季度内有交易的投资者寄送季度对账单；每年度结束后，基金管理人向定制纸质对账单且在第四季度内有基金交易或者年度最后一个交易日仍持有基金管理人基金份额的投资者寄送年度纸质对账单。</w:t>
      </w:r>
    </w:p>
    <w:p w14:paraId="6D267762" w14:textId="77777777" w:rsidR="00500A31" w:rsidRPr="00500A31" w:rsidRDefault="00500A31" w:rsidP="00500A31">
      <w:pPr>
        <w:spacing w:line="360" w:lineRule="auto"/>
        <w:ind w:firstLineChars="200" w:firstLine="420"/>
        <w:rPr>
          <w:szCs w:val="21"/>
        </w:rPr>
      </w:pPr>
      <w:r w:rsidRPr="00500A31">
        <w:rPr>
          <w:rFonts w:hint="eastAsia"/>
          <w:szCs w:val="21"/>
        </w:rPr>
        <w:t>具体查阅和定制账单的方法可参见本公司网站或拨打客服热线咨询。因提供的个人信息（包括但不限于姓名、电子邮件地址、邮寄地址、邮编等）不详、错误、变更或邮局投递差错、通讯故障、延误等原因有可能造成对账单无法按时或准确送达。因上述原因无法正常收取对账单的，请及时到</w:t>
      </w:r>
      <w:proofErr w:type="gramStart"/>
      <w:r w:rsidRPr="00500A31">
        <w:rPr>
          <w:rFonts w:hint="eastAsia"/>
          <w:szCs w:val="21"/>
        </w:rPr>
        <w:t>原基金</w:t>
      </w:r>
      <w:proofErr w:type="gramEnd"/>
      <w:r w:rsidRPr="00500A31">
        <w:rPr>
          <w:rFonts w:hint="eastAsia"/>
          <w:szCs w:val="21"/>
        </w:rPr>
        <w:t>销售网点或基金管理人网站办理联系方式变更手续。详</w:t>
      </w:r>
      <w:proofErr w:type="gramStart"/>
      <w:r w:rsidRPr="00500A31">
        <w:rPr>
          <w:rFonts w:hint="eastAsia"/>
          <w:szCs w:val="21"/>
        </w:rPr>
        <w:t>询</w:t>
      </w:r>
      <w:proofErr w:type="gramEnd"/>
      <w:r w:rsidRPr="00500A31">
        <w:rPr>
          <w:rFonts w:hint="eastAsia"/>
          <w:szCs w:val="21"/>
        </w:rPr>
        <w:t>400-8888-606</w:t>
      </w:r>
      <w:r w:rsidRPr="00500A31">
        <w:rPr>
          <w:rFonts w:hint="eastAsia"/>
          <w:szCs w:val="21"/>
        </w:rPr>
        <w:t>，或通过基金管理人网站（</w:t>
      </w:r>
      <w:r w:rsidRPr="00500A31">
        <w:rPr>
          <w:rFonts w:hint="eastAsia"/>
          <w:szCs w:val="21"/>
        </w:rPr>
        <w:t>www.igwfmc.com</w:t>
      </w:r>
      <w:r w:rsidRPr="00500A31">
        <w:rPr>
          <w:rFonts w:hint="eastAsia"/>
          <w:szCs w:val="21"/>
        </w:rPr>
        <w:t>）“在线客服”咨询。</w:t>
      </w:r>
    </w:p>
    <w:p w14:paraId="77BED61F" w14:textId="77777777" w:rsidR="00500A31" w:rsidRPr="00500A31" w:rsidRDefault="00500A31" w:rsidP="00500A31">
      <w:pPr>
        <w:spacing w:line="360" w:lineRule="auto"/>
        <w:ind w:firstLineChars="200" w:firstLine="420"/>
        <w:rPr>
          <w:szCs w:val="21"/>
        </w:rPr>
      </w:pPr>
    </w:p>
    <w:p w14:paraId="6F295646" w14:textId="77777777" w:rsidR="00500A31" w:rsidRPr="00500A31" w:rsidRDefault="00500A31" w:rsidP="00500A31">
      <w:pPr>
        <w:spacing w:line="360" w:lineRule="auto"/>
        <w:ind w:firstLineChars="200" w:firstLine="420"/>
        <w:rPr>
          <w:szCs w:val="21"/>
        </w:rPr>
      </w:pPr>
      <w:r w:rsidRPr="00500A31">
        <w:rPr>
          <w:rFonts w:hint="eastAsia"/>
          <w:szCs w:val="21"/>
        </w:rPr>
        <w:lastRenderedPageBreak/>
        <w:t>（二）网络在线服务</w:t>
      </w:r>
    </w:p>
    <w:p w14:paraId="1FDFB4BE" w14:textId="77777777" w:rsidR="00500A31" w:rsidRPr="00500A31" w:rsidRDefault="00500A31" w:rsidP="00500A31">
      <w:pPr>
        <w:spacing w:line="360" w:lineRule="auto"/>
        <w:ind w:firstLineChars="200" w:firstLine="420"/>
        <w:rPr>
          <w:szCs w:val="21"/>
        </w:rPr>
      </w:pPr>
      <w:r w:rsidRPr="00500A31">
        <w:rPr>
          <w:rFonts w:hint="eastAsia"/>
          <w:szCs w:val="21"/>
        </w:rPr>
        <w:t>基金管理人利用其网站（</w:t>
      </w:r>
      <w:r w:rsidRPr="00500A31">
        <w:rPr>
          <w:rFonts w:hint="eastAsia"/>
          <w:szCs w:val="21"/>
        </w:rPr>
        <w:t>www.igwfmc.com</w:t>
      </w:r>
      <w:r w:rsidRPr="00500A31">
        <w:rPr>
          <w:rFonts w:hint="eastAsia"/>
          <w:szCs w:val="21"/>
        </w:rPr>
        <w:t>）定期或不定期为投资者提供基金管理人信息、基金产品信息、账户查询等服务。投资者可以登录该网站修改基金查询密码。</w:t>
      </w:r>
    </w:p>
    <w:p w14:paraId="6425937F" w14:textId="77777777" w:rsidR="00500A31" w:rsidRPr="00500A31" w:rsidRDefault="00500A31" w:rsidP="00500A31">
      <w:pPr>
        <w:spacing w:line="360" w:lineRule="auto"/>
        <w:ind w:firstLineChars="200" w:firstLine="420"/>
        <w:rPr>
          <w:szCs w:val="21"/>
        </w:rPr>
      </w:pPr>
      <w:r w:rsidRPr="00500A31">
        <w:rPr>
          <w:rFonts w:hint="eastAsia"/>
          <w:szCs w:val="21"/>
        </w:rPr>
        <w:t>对于直销个人客户，基金管理人还将提供网上查询服务。</w:t>
      </w:r>
    </w:p>
    <w:p w14:paraId="10984B01" w14:textId="77777777" w:rsidR="00500A31" w:rsidRPr="00500A31" w:rsidRDefault="00500A31" w:rsidP="00500A31">
      <w:pPr>
        <w:spacing w:line="360" w:lineRule="auto"/>
        <w:ind w:firstLineChars="200" w:firstLine="420"/>
        <w:rPr>
          <w:szCs w:val="21"/>
        </w:rPr>
      </w:pPr>
    </w:p>
    <w:p w14:paraId="3D820D00" w14:textId="77777777" w:rsidR="00500A31" w:rsidRPr="00500A31" w:rsidRDefault="00500A31" w:rsidP="00500A31">
      <w:pPr>
        <w:spacing w:line="360" w:lineRule="auto"/>
        <w:ind w:firstLineChars="200" w:firstLine="420"/>
        <w:rPr>
          <w:szCs w:val="21"/>
        </w:rPr>
      </w:pPr>
      <w:r w:rsidRPr="00500A31">
        <w:rPr>
          <w:rFonts w:hint="eastAsia"/>
          <w:szCs w:val="21"/>
        </w:rPr>
        <w:t>（三）客户服务中心（</w:t>
      </w:r>
      <w:r w:rsidRPr="00500A31">
        <w:rPr>
          <w:rFonts w:hint="eastAsia"/>
          <w:szCs w:val="21"/>
        </w:rPr>
        <w:t>Call Center</w:t>
      </w:r>
      <w:r w:rsidRPr="00500A31">
        <w:rPr>
          <w:rFonts w:hint="eastAsia"/>
          <w:szCs w:val="21"/>
        </w:rPr>
        <w:t>）电话服务</w:t>
      </w:r>
    </w:p>
    <w:p w14:paraId="41399636" w14:textId="77777777" w:rsidR="00500A31" w:rsidRPr="00500A31" w:rsidRDefault="00500A31" w:rsidP="00500A31">
      <w:pPr>
        <w:spacing w:line="360" w:lineRule="auto"/>
        <w:ind w:firstLineChars="200" w:firstLine="420"/>
        <w:rPr>
          <w:szCs w:val="21"/>
        </w:rPr>
      </w:pPr>
      <w:r w:rsidRPr="00500A31">
        <w:rPr>
          <w:rFonts w:hint="eastAsia"/>
          <w:szCs w:val="21"/>
        </w:rPr>
        <w:t>投资者想要了解交易情况、基金账户余额、基金产品与服务信息或进行投诉等，可拨打基金管理</w:t>
      </w:r>
      <w:proofErr w:type="gramStart"/>
      <w:r w:rsidRPr="00500A31">
        <w:rPr>
          <w:rFonts w:hint="eastAsia"/>
          <w:szCs w:val="21"/>
        </w:rPr>
        <w:t>人客户</w:t>
      </w:r>
      <w:proofErr w:type="gramEnd"/>
      <w:r w:rsidRPr="00500A31">
        <w:rPr>
          <w:rFonts w:hint="eastAsia"/>
          <w:szCs w:val="21"/>
        </w:rPr>
        <w:t>服务电话：</w:t>
      </w:r>
      <w:r w:rsidRPr="00500A31">
        <w:rPr>
          <w:rFonts w:hint="eastAsia"/>
          <w:szCs w:val="21"/>
        </w:rPr>
        <w:t>400 8888 606</w:t>
      </w:r>
      <w:r w:rsidRPr="00500A31">
        <w:rPr>
          <w:rFonts w:hint="eastAsia"/>
          <w:szCs w:val="21"/>
        </w:rPr>
        <w:t>（免长途费）。</w:t>
      </w:r>
    </w:p>
    <w:p w14:paraId="59446DF5" w14:textId="77777777" w:rsidR="00500A31" w:rsidRPr="00500A31" w:rsidRDefault="00500A31" w:rsidP="00500A31">
      <w:pPr>
        <w:spacing w:line="360" w:lineRule="auto"/>
        <w:ind w:firstLineChars="200" w:firstLine="420"/>
        <w:rPr>
          <w:szCs w:val="21"/>
        </w:rPr>
      </w:pPr>
      <w:r w:rsidRPr="00500A31">
        <w:rPr>
          <w:rFonts w:hint="eastAsia"/>
          <w:szCs w:val="21"/>
        </w:rPr>
        <w:t>客户服务中心的人工坐席服务时间为每周一至周五（法定节假日及因此导致的证券交易所休市日除外）</w:t>
      </w:r>
      <w:r w:rsidRPr="00500A31">
        <w:rPr>
          <w:rFonts w:hint="eastAsia"/>
          <w:szCs w:val="21"/>
        </w:rPr>
        <w:t>9</w:t>
      </w:r>
      <w:r w:rsidRPr="00500A31">
        <w:rPr>
          <w:rFonts w:hint="eastAsia"/>
          <w:szCs w:val="21"/>
        </w:rPr>
        <w:t>：</w:t>
      </w:r>
      <w:r w:rsidRPr="00500A31">
        <w:rPr>
          <w:rFonts w:hint="eastAsia"/>
          <w:szCs w:val="21"/>
        </w:rPr>
        <w:t>00</w:t>
      </w:r>
      <w:r w:rsidRPr="00500A31">
        <w:rPr>
          <w:rFonts w:hint="eastAsia"/>
          <w:szCs w:val="21"/>
        </w:rPr>
        <w:t>—</w:t>
      </w:r>
      <w:r w:rsidRPr="00500A31">
        <w:rPr>
          <w:rFonts w:hint="eastAsia"/>
          <w:szCs w:val="21"/>
        </w:rPr>
        <w:t>17</w:t>
      </w:r>
      <w:r w:rsidRPr="00500A31">
        <w:rPr>
          <w:rFonts w:hint="eastAsia"/>
          <w:szCs w:val="21"/>
        </w:rPr>
        <w:t>：</w:t>
      </w:r>
      <w:r w:rsidRPr="00500A31">
        <w:rPr>
          <w:rFonts w:hint="eastAsia"/>
          <w:szCs w:val="21"/>
        </w:rPr>
        <w:t>00</w:t>
      </w:r>
      <w:r w:rsidRPr="00500A31">
        <w:rPr>
          <w:rFonts w:hint="eastAsia"/>
          <w:szCs w:val="21"/>
        </w:rPr>
        <w:t>。</w:t>
      </w:r>
    </w:p>
    <w:p w14:paraId="313B2FC3" w14:textId="77777777" w:rsidR="00500A31" w:rsidRPr="00500A31" w:rsidRDefault="00500A31" w:rsidP="00500A31">
      <w:pPr>
        <w:spacing w:line="360" w:lineRule="auto"/>
        <w:ind w:firstLineChars="200" w:firstLine="420"/>
        <w:rPr>
          <w:szCs w:val="21"/>
        </w:rPr>
      </w:pPr>
    </w:p>
    <w:p w14:paraId="46A42AEC" w14:textId="77777777" w:rsidR="00500A31" w:rsidRPr="00500A31" w:rsidRDefault="00500A31" w:rsidP="00500A31">
      <w:pPr>
        <w:spacing w:line="360" w:lineRule="auto"/>
        <w:ind w:firstLineChars="200" w:firstLine="420"/>
        <w:rPr>
          <w:szCs w:val="21"/>
        </w:rPr>
      </w:pPr>
      <w:r w:rsidRPr="00500A31">
        <w:rPr>
          <w:rFonts w:hint="eastAsia"/>
          <w:szCs w:val="21"/>
        </w:rPr>
        <w:t>（四）客户投诉受理服务</w:t>
      </w:r>
    </w:p>
    <w:p w14:paraId="230F8CD5" w14:textId="77777777" w:rsidR="00500A31" w:rsidRPr="00500A31" w:rsidRDefault="00500A31" w:rsidP="00500A31">
      <w:pPr>
        <w:spacing w:line="360" w:lineRule="auto"/>
        <w:ind w:firstLineChars="200" w:firstLine="420"/>
        <w:rPr>
          <w:szCs w:val="21"/>
        </w:rPr>
      </w:pPr>
      <w:r w:rsidRPr="00500A31">
        <w:rPr>
          <w:rFonts w:hint="eastAsia"/>
          <w:szCs w:val="21"/>
        </w:rPr>
        <w:t>投资者可以通过各销售机构网点、基金管理</w:t>
      </w:r>
      <w:proofErr w:type="gramStart"/>
      <w:r w:rsidRPr="00500A31">
        <w:rPr>
          <w:rFonts w:hint="eastAsia"/>
          <w:szCs w:val="21"/>
        </w:rPr>
        <w:t>人客户</w:t>
      </w:r>
      <w:proofErr w:type="gramEnd"/>
      <w:r w:rsidRPr="00500A31">
        <w:rPr>
          <w:rFonts w:hint="eastAsia"/>
          <w:szCs w:val="21"/>
        </w:rPr>
        <w:t>服务热线和在线服务、书信、电子邮件等渠道对基金管理人和销售网点所提供的服务以及基金管理人的政策规定进行投诉。</w:t>
      </w:r>
    </w:p>
    <w:p w14:paraId="269A8CD7" w14:textId="77777777" w:rsidR="00500A31" w:rsidRPr="00500A31" w:rsidRDefault="00500A31" w:rsidP="00500A31">
      <w:pPr>
        <w:spacing w:line="360" w:lineRule="auto"/>
        <w:ind w:firstLineChars="200" w:firstLine="420"/>
        <w:rPr>
          <w:szCs w:val="21"/>
        </w:rPr>
      </w:pPr>
      <w:r w:rsidRPr="00500A31">
        <w:rPr>
          <w:rFonts w:hint="eastAsia"/>
          <w:szCs w:val="21"/>
        </w:rPr>
        <w:t>基金管理人承诺在工作日收到的投诉，将在下一个工作日内</w:t>
      </w:r>
      <w:proofErr w:type="gramStart"/>
      <w:r w:rsidRPr="00500A31">
        <w:rPr>
          <w:rFonts w:hint="eastAsia"/>
          <w:szCs w:val="21"/>
        </w:rPr>
        <w:t>作出</w:t>
      </w:r>
      <w:proofErr w:type="gramEnd"/>
      <w:r w:rsidRPr="00500A31">
        <w:rPr>
          <w:rFonts w:hint="eastAsia"/>
          <w:szCs w:val="21"/>
        </w:rPr>
        <w:t>回应，在非工作日收到的投诉，将顺延至下一个工作日当日或者次日回复。对于不能及时解决的投诉，基金管理人就投诉处理进度向投诉人</w:t>
      </w:r>
      <w:proofErr w:type="gramStart"/>
      <w:r w:rsidRPr="00500A31">
        <w:rPr>
          <w:rFonts w:hint="eastAsia"/>
          <w:szCs w:val="21"/>
        </w:rPr>
        <w:t>作出</w:t>
      </w:r>
      <w:proofErr w:type="gramEnd"/>
      <w:r w:rsidRPr="00500A31">
        <w:rPr>
          <w:rFonts w:hint="eastAsia"/>
          <w:szCs w:val="21"/>
        </w:rPr>
        <w:t>定期更新。</w:t>
      </w:r>
    </w:p>
    <w:p w14:paraId="1219D632" w14:textId="77777777" w:rsidR="00500A31" w:rsidRPr="00500A31" w:rsidRDefault="00500A31" w:rsidP="00500A31">
      <w:pPr>
        <w:spacing w:line="360" w:lineRule="auto"/>
        <w:ind w:firstLineChars="200" w:firstLine="420"/>
        <w:rPr>
          <w:szCs w:val="21"/>
        </w:rPr>
      </w:pPr>
    </w:p>
    <w:p w14:paraId="06E37D41" w14:textId="75E43AF4" w:rsidR="00175DB4" w:rsidRDefault="00500A31">
      <w:pPr>
        <w:tabs>
          <w:tab w:val="left" w:pos="540"/>
        </w:tabs>
        <w:spacing w:line="380" w:lineRule="exact"/>
        <w:ind w:firstLineChars="200" w:firstLine="420"/>
        <w:rPr>
          <w:color w:val="000000"/>
        </w:rPr>
      </w:pPr>
      <w:r w:rsidRPr="00500A31">
        <w:rPr>
          <w:rFonts w:hint="eastAsia"/>
          <w:szCs w:val="21"/>
        </w:rPr>
        <w:t>（五）如本招募说明书存在任何您</w:t>
      </w:r>
      <w:r w:rsidRPr="00500A31">
        <w:rPr>
          <w:rFonts w:hint="eastAsia"/>
          <w:szCs w:val="21"/>
        </w:rPr>
        <w:t>/</w:t>
      </w:r>
      <w:proofErr w:type="gramStart"/>
      <w:r w:rsidRPr="00500A31">
        <w:rPr>
          <w:rFonts w:hint="eastAsia"/>
          <w:szCs w:val="21"/>
        </w:rPr>
        <w:t>贵机构</w:t>
      </w:r>
      <w:proofErr w:type="gramEnd"/>
      <w:r w:rsidRPr="00500A31">
        <w:rPr>
          <w:rFonts w:hint="eastAsia"/>
          <w:szCs w:val="21"/>
        </w:rPr>
        <w:t>无法理解的内容，请通过上述方式联系本基金管理人。</w:t>
      </w:r>
      <w:proofErr w:type="gramStart"/>
      <w:r w:rsidRPr="00500A31">
        <w:rPr>
          <w:rFonts w:hint="eastAsia"/>
          <w:szCs w:val="21"/>
        </w:rPr>
        <w:t>请确保</w:t>
      </w:r>
      <w:proofErr w:type="gramEnd"/>
      <w:r w:rsidRPr="00500A31">
        <w:rPr>
          <w:rFonts w:hint="eastAsia"/>
          <w:szCs w:val="21"/>
        </w:rPr>
        <w:t>投资前，您</w:t>
      </w:r>
      <w:r w:rsidRPr="00500A31">
        <w:rPr>
          <w:rFonts w:hint="eastAsia"/>
          <w:szCs w:val="21"/>
        </w:rPr>
        <w:t>/</w:t>
      </w:r>
      <w:proofErr w:type="gramStart"/>
      <w:r w:rsidRPr="00500A31">
        <w:rPr>
          <w:rFonts w:hint="eastAsia"/>
          <w:szCs w:val="21"/>
        </w:rPr>
        <w:t>贵机构</w:t>
      </w:r>
      <w:proofErr w:type="gramEnd"/>
      <w:r w:rsidRPr="00500A31">
        <w:rPr>
          <w:rFonts w:hint="eastAsia"/>
          <w:szCs w:val="21"/>
        </w:rPr>
        <w:t>已经全面理解了本招募说明书。</w:t>
      </w:r>
    </w:p>
    <w:p w14:paraId="6048E819" w14:textId="77777777" w:rsidR="00175DB4" w:rsidRDefault="00175DB4">
      <w:pPr>
        <w:tabs>
          <w:tab w:val="left" w:pos="540"/>
        </w:tabs>
        <w:spacing w:line="360" w:lineRule="auto"/>
        <w:ind w:firstLineChars="200" w:firstLine="420"/>
        <w:rPr>
          <w:color w:val="000000"/>
        </w:rPr>
      </w:pPr>
    </w:p>
    <w:p w14:paraId="67FCFDD7" w14:textId="77777777" w:rsidR="00175DB4" w:rsidRDefault="00175DB4">
      <w:pPr>
        <w:spacing w:line="360" w:lineRule="exact"/>
        <w:rPr>
          <w:color w:val="000000"/>
          <w:szCs w:val="21"/>
        </w:rPr>
      </w:pPr>
    </w:p>
    <w:p w14:paraId="6FA31D7C" w14:textId="77777777" w:rsidR="00175DB4" w:rsidRDefault="00175DB4">
      <w:pPr>
        <w:pStyle w:val="1"/>
        <w:spacing w:line="360" w:lineRule="exact"/>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107" w:name="_Toc86589195"/>
      <w:bookmarkStart w:id="108" w:name="_Toc92531670"/>
    </w:p>
    <w:p w14:paraId="5FAF0BF7" w14:textId="77777777" w:rsidR="00175DB4" w:rsidRDefault="000519D1">
      <w:pPr>
        <w:pStyle w:val="1"/>
        <w:spacing w:line="360" w:lineRule="exact"/>
        <w:rPr>
          <w:rFonts w:eastAsia="宋体"/>
          <w:color w:val="000000"/>
          <w:sz w:val="30"/>
          <w:szCs w:val="30"/>
        </w:rPr>
      </w:pPr>
      <w:bookmarkStart w:id="109" w:name="_Toc135741025"/>
      <w:r>
        <w:rPr>
          <w:rFonts w:eastAsia="宋体"/>
          <w:color w:val="000000"/>
          <w:sz w:val="30"/>
          <w:szCs w:val="30"/>
        </w:rPr>
        <w:lastRenderedPageBreak/>
        <w:t>二十</w:t>
      </w:r>
      <w:r>
        <w:rPr>
          <w:rFonts w:eastAsia="宋体" w:hint="eastAsia"/>
          <w:color w:val="000000"/>
          <w:sz w:val="30"/>
          <w:szCs w:val="30"/>
        </w:rPr>
        <w:t>三</w:t>
      </w:r>
      <w:r>
        <w:rPr>
          <w:rFonts w:eastAsia="宋体"/>
          <w:color w:val="000000"/>
          <w:sz w:val="30"/>
          <w:szCs w:val="30"/>
        </w:rPr>
        <w:t>、其他应披露事项</w:t>
      </w:r>
      <w:bookmarkEnd w:id="109"/>
    </w:p>
    <w:p w14:paraId="596AEE8D" w14:textId="77777777" w:rsidR="00175DB4" w:rsidRDefault="000519D1">
      <w:pPr>
        <w:tabs>
          <w:tab w:val="left" w:pos="540"/>
        </w:tabs>
        <w:snapToGrid w:val="0"/>
        <w:spacing w:line="360" w:lineRule="auto"/>
        <w:ind w:firstLineChars="200" w:firstLine="420"/>
        <w:rPr>
          <w:color w:val="000000"/>
          <w:szCs w:val="21"/>
        </w:rPr>
      </w:pPr>
      <w:r>
        <w:rPr>
          <w:color w:val="000000"/>
          <w:szCs w:val="21"/>
        </w:rPr>
        <w:t>暂无</w:t>
      </w:r>
    </w:p>
    <w:p w14:paraId="764E7FAB" w14:textId="77777777" w:rsidR="00175DB4" w:rsidRDefault="00175DB4" w:rsidP="00D41605">
      <w:pPr>
        <w:spacing w:line="360" w:lineRule="exact"/>
        <w:rPr>
          <w:color w:val="000000"/>
          <w:sz w:val="30"/>
          <w:szCs w:val="30"/>
        </w:rPr>
      </w:pPr>
    </w:p>
    <w:p w14:paraId="3C84CB44" w14:textId="77777777" w:rsidR="00175DB4" w:rsidRDefault="00175DB4" w:rsidP="00D41605">
      <w:pPr>
        <w:spacing w:line="360" w:lineRule="exact"/>
      </w:pPr>
    </w:p>
    <w:p w14:paraId="4D76CB31" w14:textId="77777777" w:rsidR="00175DB4" w:rsidRPr="00D41605" w:rsidRDefault="00175DB4" w:rsidP="00D41605">
      <w:pPr>
        <w:spacing w:line="360" w:lineRule="exact"/>
        <w:rPr>
          <w:color w:val="000000"/>
          <w:sz w:val="30"/>
          <w:szCs w:val="30"/>
        </w:rPr>
        <w:sectPr w:rsidR="00175DB4" w:rsidRPr="00D41605">
          <w:pgSz w:w="11906" w:h="16838"/>
          <w:pgMar w:top="1440" w:right="1797" w:bottom="1440" w:left="1980" w:header="851" w:footer="992" w:gutter="0"/>
          <w:cols w:space="425"/>
          <w:docGrid w:type="lines" w:linePitch="312"/>
        </w:sectPr>
      </w:pPr>
    </w:p>
    <w:p w14:paraId="615DE852" w14:textId="77777777" w:rsidR="00175DB4" w:rsidRDefault="000519D1">
      <w:pPr>
        <w:pStyle w:val="1"/>
        <w:spacing w:line="360" w:lineRule="exact"/>
        <w:rPr>
          <w:rFonts w:eastAsia="宋体"/>
          <w:color w:val="000000"/>
          <w:sz w:val="30"/>
          <w:szCs w:val="30"/>
        </w:rPr>
      </w:pPr>
      <w:bookmarkStart w:id="110" w:name="_Toc135741026"/>
      <w:r>
        <w:rPr>
          <w:rFonts w:eastAsia="宋体"/>
          <w:color w:val="000000"/>
          <w:sz w:val="30"/>
          <w:szCs w:val="30"/>
        </w:rPr>
        <w:lastRenderedPageBreak/>
        <w:t>二十</w:t>
      </w:r>
      <w:r>
        <w:rPr>
          <w:rFonts w:eastAsia="宋体" w:hint="eastAsia"/>
          <w:color w:val="000000"/>
          <w:sz w:val="30"/>
          <w:szCs w:val="30"/>
        </w:rPr>
        <w:t>四</w:t>
      </w:r>
      <w:r>
        <w:rPr>
          <w:rFonts w:eastAsia="宋体"/>
          <w:color w:val="000000"/>
          <w:sz w:val="30"/>
          <w:szCs w:val="30"/>
        </w:rPr>
        <w:t>、招募说明书的存放及查阅方式</w:t>
      </w:r>
      <w:bookmarkEnd w:id="107"/>
      <w:bookmarkEnd w:id="108"/>
      <w:bookmarkEnd w:id="110"/>
    </w:p>
    <w:p w14:paraId="6AA6839A" w14:textId="77777777" w:rsidR="00175DB4" w:rsidRDefault="000519D1">
      <w:pPr>
        <w:tabs>
          <w:tab w:val="left" w:pos="540"/>
        </w:tabs>
        <w:snapToGrid w:val="0"/>
        <w:spacing w:line="360" w:lineRule="auto"/>
        <w:ind w:firstLineChars="200" w:firstLine="420"/>
        <w:rPr>
          <w:color w:val="000000"/>
          <w:szCs w:val="21"/>
        </w:rPr>
      </w:pPr>
      <w:r>
        <w:rPr>
          <w:color w:val="000000"/>
          <w:szCs w:val="21"/>
        </w:rPr>
        <w:tab/>
      </w:r>
      <w:r>
        <w:rPr>
          <w:color w:val="000000"/>
          <w:szCs w:val="21"/>
        </w:rPr>
        <w:t>招募说明书公布后，应当分别置备于基金管理人、基金托管人和基金份额发售机构的住所，供公众查阅、复制。</w:t>
      </w:r>
    </w:p>
    <w:p w14:paraId="1113A7C7" w14:textId="77777777" w:rsidR="00175DB4" w:rsidRDefault="000519D1">
      <w:pPr>
        <w:tabs>
          <w:tab w:val="left" w:pos="540"/>
        </w:tabs>
        <w:snapToGrid w:val="0"/>
        <w:spacing w:line="360" w:lineRule="auto"/>
        <w:ind w:firstLineChars="200" w:firstLine="420"/>
        <w:rPr>
          <w:color w:val="000000"/>
          <w:szCs w:val="21"/>
        </w:rPr>
      </w:pPr>
      <w:r>
        <w:rPr>
          <w:color w:val="000000"/>
          <w:szCs w:val="21"/>
        </w:rPr>
        <w:tab/>
      </w:r>
      <w:r>
        <w:rPr>
          <w:color w:val="000000"/>
          <w:szCs w:val="21"/>
        </w:rPr>
        <w:t>基金管理人和基金托管人保证文本的内容与所公告的内容完全一致。</w:t>
      </w:r>
    </w:p>
    <w:p w14:paraId="3A18484C" w14:textId="77777777" w:rsidR="00175DB4" w:rsidRDefault="00175DB4">
      <w:pPr>
        <w:tabs>
          <w:tab w:val="left" w:pos="540"/>
        </w:tabs>
        <w:snapToGrid w:val="0"/>
        <w:spacing w:line="360" w:lineRule="auto"/>
        <w:ind w:firstLineChars="200" w:firstLine="420"/>
        <w:rPr>
          <w:color w:val="000000"/>
          <w:szCs w:val="21"/>
        </w:rPr>
      </w:pPr>
    </w:p>
    <w:p w14:paraId="509A5EA1" w14:textId="77777777" w:rsidR="00175DB4" w:rsidRDefault="00175DB4">
      <w:pPr>
        <w:tabs>
          <w:tab w:val="left" w:pos="540"/>
        </w:tabs>
        <w:snapToGrid w:val="0"/>
        <w:spacing w:line="360" w:lineRule="auto"/>
        <w:ind w:firstLineChars="200" w:firstLine="420"/>
        <w:rPr>
          <w:color w:val="000000"/>
          <w:szCs w:val="21"/>
        </w:rPr>
      </w:pPr>
    </w:p>
    <w:p w14:paraId="4D2D2A38" w14:textId="77777777" w:rsidR="00175DB4" w:rsidRDefault="00175DB4">
      <w:pPr>
        <w:tabs>
          <w:tab w:val="left" w:pos="540"/>
        </w:tabs>
        <w:snapToGrid w:val="0"/>
        <w:spacing w:line="360" w:lineRule="auto"/>
        <w:ind w:firstLineChars="200" w:firstLine="420"/>
        <w:rPr>
          <w:color w:val="000000"/>
          <w:szCs w:val="21"/>
        </w:rPr>
      </w:pPr>
    </w:p>
    <w:p w14:paraId="58B9771E" w14:textId="77777777" w:rsidR="00175DB4" w:rsidRDefault="00175DB4">
      <w:pPr>
        <w:spacing w:line="360" w:lineRule="exact"/>
        <w:rPr>
          <w:color w:val="000000"/>
        </w:rPr>
      </w:pPr>
    </w:p>
    <w:p w14:paraId="5E1B8C65" w14:textId="77777777" w:rsidR="008647F5" w:rsidRDefault="008647F5">
      <w:pPr>
        <w:spacing w:line="360" w:lineRule="exact"/>
        <w:rPr>
          <w:color w:val="000000"/>
        </w:rPr>
      </w:pPr>
    </w:p>
    <w:p w14:paraId="61E5D801" w14:textId="77777777" w:rsidR="008647F5" w:rsidRDefault="008647F5">
      <w:pPr>
        <w:spacing w:line="360" w:lineRule="exact"/>
        <w:rPr>
          <w:color w:val="000000"/>
        </w:rPr>
      </w:pPr>
    </w:p>
    <w:p w14:paraId="499C8BFC" w14:textId="77777777" w:rsidR="008647F5" w:rsidRDefault="008647F5">
      <w:pPr>
        <w:spacing w:line="360" w:lineRule="exact"/>
        <w:rPr>
          <w:color w:val="000000"/>
        </w:rPr>
      </w:pPr>
    </w:p>
    <w:p w14:paraId="15B3126C" w14:textId="77777777" w:rsidR="008647F5" w:rsidRDefault="008647F5">
      <w:pPr>
        <w:spacing w:line="360" w:lineRule="exact"/>
        <w:rPr>
          <w:color w:val="000000"/>
        </w:rPr>
      </w:pPr>
    </w:p>
    <w:p w14:paraId="11D684D7" w14:textId="77777777" w:rsidR="008647F5" w:rsidRDefault="008647F5">
      <w:pPr>
        <w:spacing w:line="360" w:lineRule="exact"/>
        <w:rPr>
          <w:color w:val="000000"/>
        </w:rPr>
      </w:pPr>
    </w:p>
    <w:p w14:paraId="6DB2EA25" w14:textId="77777777" w:rsidR="008647F5" w:rsidRDefault="008647F5">
      <w:pPr>
        <w:spacing w:line="360" w:lineRule="exact"/>
        <w:rPr>
          <w:color w:val="000000"/>
        </w:rPr>
      </w:pPr>
    </w:p>
    <w:p w14:paraId="03CD7692" w14:textId="77777777" w:rsidR="008647F5" w:rsidRDefault="008647F5">
      <w:pPr>
        <w:spacing w:line="360" w:lineRule="exact"/>
        <w:rPr>
          <w:color w:val="000000"/>
        </w:rPr>
      </w:pPr>
    </w:p>
    <w:p w14:paraId="7C4A6C84" w14:textId="77777777" w:rsidR="008647F5" w:rsidRDefault="008647F5">
      <w:pPr>
        <w:spacing w:line="360" w:lineRule="exact"/>
        <w:rPr>
          <w:color w:val="000000"/>
        </w:rPr>
      </w:pPr>
    </w:p>
    <w:p w14:paraId="4E320DF8" w14:textId="77777777" w:rsidR="008647F5" w:rsidRDefault="008647F5">
      <w:pPr>
        <w:spacing w:line="360" w:lineRule="exact"/>
        <w:rPr>
          <w:color w:val="000000"/>
        </w:rPr>
      </w:pPr>
    </w:p>
    <w:p w14:paraId="714ED369" w14:textId="77777777" w:rsidR="008647F5" w:rsidRDefault="008647F5">
      <w:pPr>
        <w:spacing w:line="360" w:lineRule="exact"/>
        <w:rPr>
          <w:color w:val="000000"/>
        </w:rPr>
      </w:pPr>
    </w:p>
    <w:p w14:paraId="781147B2" w14:textId="77777777" w:rsidR="008647F5" w:rsidRDefault="008647F5">
      <w:pPr>
        <w:spacing w:line="360" w:lineRule="exact"/>
        <w:rPr>
          <w:color w:val="000000"/>
        </w:rPr>
      </w:pPr>
    </w:p>
    <w:p w14:paraId="49F86EE0" w14:textId="77777777" w:rsidR="008647F5" w:rsidRDefault="008647F5">
      <w:pPr>
        <w:spacing w:line="360" w:lineRule="exact"/>
        <w:rPr>
          <w:color w:val="000000"/>
        </w:rPr>
      </w:pPr>
    </w:p>
    <w:p w14:paraId="5AC260EA" w14:textId="77777777" w:rsidR="008647F5" w:rsidRDefault="008647F5">
      <w:pPr>
        <w:spacing w:line="360" w:lineRule="exact"/>
        <w:rPr>
          <w:color w:val="000000"/>
        </w:rPr>
      </w:pPr>
    </w:p>
    <w:p w14:paraId="6E0CCD2B" w14:textId="77777777" w:rsidR="008647F5" w:rsidRDefault="008647F5">
      <w:pPr>
        <w:spacing w:line="360" w:lineRule="exact"/>
        <w:rPr>
          <w:color w:val="000000"/>
        </w:rPr>
      </w:pPr>
    </w:p>
    <w:p w14:paraId="7C27D47E" w14:textId="77777777" w:rsidR="008647F5" w:rsidRDefault="008647F5">
      <w:pPr>
        <w:spacing w:line="360" w:lineRule="exact"/>
        <w:rPr>
          <w:color w:val="000000"/>
        </w:rPr>
      </w:pPr>
    </w:p>
    <w:p w14:paraId="1F0FD8F1" w14:textId="77777777" w:rsidR="008647F5" w:rsidRDefault="008647F5">
      <w:pPr>
        <w:spacing w:line="360" w:lineRule="exact"/>
        <w:rPr>
          <w:color w:val="000000"/>
        </w:rPr>
      </w:pPr>
    </w:p>
    <w:p w14:paraId="3E025012" w14:textId="77777777" w:rsidR="008647F5" w:rsidRDefault="008647F5">
      <w:pPr>
        <w:spacing w:line="360" w:lineRule="exact"/>
        <w:rPr>
          <w:color w:val="000000"/>
        </w:rPr>
      </w:pPr>
    </w:p>
    <w:p w14:paraId="79C6970E" w14:textId="77777777" w:rsidR="008647F5" w:rsidRDefault="008647F5">
      <w:pPr>
        <w:spacing w:line="360" w:lineRule="exact"/>
        <w:rPr>
          <w:color w:val="000000"/>
        </w:rPr>
      </w:pPr>
    </w:p>
    <w:p w14:paraId="529DF017" w14:textId="77777777" w:rsidR="008647F5" w:rsidRDefault="008647F5">
      <w:pPr>
        <w:spacing w:line="360" w:lineRule="exact"/>
        <w:rPr>
          <w:color w:val="000000"/>
        </w:rPr>
      </w:pPr>
    </w:p>
    <w:p w14:paraId="101093E0" w14:textId="77777777" w:rsidR="008647F5" w:rsidRDefault="008647F5">
      <w:pPr>
        <w:spacing w:line="360" w:lineRule="exact"/>
        <w:rPr>
          <w:color w:val="000000"/>
        </w:rPr>
      </w:pPr>
    </w:p>
    <w:p w14:paraId="6705B2F8" w14:textId="77777777" w:rsidR="008647F5" w:rsidRDefault="008647F5">
      <w:pPr>
        <w:spacing w:line="360" w:lineRule="exact"/>
        <w:rPr>
          <w:color w:val="000000"/>
        </w:rPr>
      </w:pPr>
    </w:p>
    <w:p w14:paraId="60AFAF94" w14:textId="77777777" w:rsidR="008647F5" w:rsidRDefault="008647F5">
      <w:pPr>
        <w:spacing w:line="360" w:lineRule="exact"/>
        <w:rPr>
          <w:color w:val="000000"/>
        </w:rPr>
      </w:pPr>
    </w:p>
    <w:p w14:paraId="4EEFB8A6" w14:textId="77777777" w:rsidR="008647F5" w:rsidRDefault="008647F5">
      <w:pPr>
        <w:spacing w:line="360" w:lineRule="exact"/>
        <w:rPr>
          <w:color w:val="000000"/>
        </w:rPr>
      </w:pPr>
    </w:p>
    <w:p w14:paraId="5D8BAA1F" w14:textId="77777777" w:rsidR="008647F5" w:rsidRDefault="008647F5">
      <w:pPr>
        <w:spacing w:line="360" w:lineRule="exact"/>
        <w:rPr>
          <w:color w:val="000000"/>
        </w:rPr>
      </w:pPr>
    </w:p>
    <w:p w14:paraId="520A3DBA" w14:textId="77777777" w:rsidR="008647F5" w:rsidRDefault="008647F5">
      <w:pPr>
        <w:spacing w:line="360" w:lineRule="exact"/>
        <w:rPr>
          <w:color w:val="000000"/>
        </w:rPr>
      </w:pPr>
    </w:p>
    <w:p w14:paraId="6DEEF9EF" w14:textId="77777777" w:rsidR="008647F5" w:rsidRDefault="008647F5">
      <w:pPr>
        <w:spacing w:line="360" w:lineRule="exact"/>
        <w:rPr>
          <w:color w:val="000000"/>
        </w:rPr>
      </w:pPr>
    </w:p>
    <w:p w14:paraId="03F73F36" w14:textId="77777777" w:rsidR="00175DB4" w:rsidRDefault="000519D1" w:rsidP="00D41605">
      <w:pPr>
        <w:pStyle w:val="1"/>
        <w:spacing w:line="360" w:lineRule="exact"/>
        <w:rPr>
          <w:color w:val="000000"/>
          <w:sz w:val="30"/>
          <w:szCs w:val="30"/>
        </w:rPr>
      </w:pPr>
      <w:bookmarkStart w:id="111" w:name="_Toc135741027"/>
      <w:r w:rsidRPr="00D41605">
        <w:rPr>
          <w:rFonts w:eastAsia="宋体" w:hint="eastAsia"/>
          <w:color w:val="000000"/>
          <w:sz w:val="30"/>
          <w:szCs w:val="30"/>
        </w:rPr>
        <w:lastRenderedPageBreak/>
        <w:t>二十五、标的指数的编制方案及指数信息查阅方式</w:t>
      </w:r>
      <w:bookmarkEnd w:id="111"/>
    </w:p>
    <w:p w14:paraId="3F40B7FC" w14:textId="77777777" w:rsidR="00175DB4" w:rsidRDefault="000519D1" w:rsidP="00255AAF">
      <w:pPr>
        <w:spacing w:line="520" w:lineRule="exact"/>
        <w:ind w:firstLine="420"/>
        <w:rPr>
          <w:color w:val="000000"/>
          <w:szCs w:val="21"/>
        </w:rPr>
      </w:pPr>
      <w:r>
        <w:rPr>
          <w:rFonts w:hint="eastAsia"/>
          <w:color w:val="000000"/>
          <w:szCs w:val="21"/>
        </w:rPr>
        <w:t>（一）标的指数简介</w:t>
      </w:r>
    </w:p>
    <w:p w14:paraId="1F65B11F" w14:textId="77777777" w:rsidR="00500A31" w:rsidRDefault="00500A31" w:rsidP="00255AAF">
      <w:pPr>
        <w:spacing w:line="520" w:lineRule="exact"/>
        <w:ind w:firstLine="420"/>
        <w:rPr>
          <w:color w:val="000000"/>
          <w:szCs w:val="21"/>
        </w:rPr>
      </w:pPr>
      <w:r w:rsidRPr="00500A31">
        <w:rPr>
          <w:rFonts w:hint="eastAsia"/>
          <w:color w:val="000000"/>
          <w:szCs w:val="21"/>
        </w:rPr>
        <w:t>为反映沪深北交易所小型证券的价格变动趋势，丰富市场研究工具、业绩比较基准和指数</w:t>
      </w:r>
      <w:proofErr w:type="gramStart"/>
      <w:r w:rsidRPr="00500A31">
        <w:rPr>
          <w:rFonts w:hint="eastAsia"/>
          <w:color w:val="000000"/>
          <w:szCs w:val="21"/>
        </w:rPr>
        <w:t>化投资</w:t>
      </w:r>
      <w:proofErr w:type="gramEnd"/>
      <w:r w:rsidRPr="00500A31">
        <w:rPr>
          <w:rFonts w:hint="eastAsia"/>
          <w:color w:val="000000"/>
          <w:szCs w:val="21"/>
        </w:rPr>
        <w:t>标的，</w:t>
      </w:r>
      <w:proofErr w:type="gramStart"/>
      <w:r w:rsidRPr="00500A31">
        <w:rPr>
          <w:rFonts w:hint="eastAsia"/>
          <w:color w:val="000000"/>
          <w:szCs w:val="21"/>
        </w:rPr>
        <w:t>编制国证</w:t>
      </w:r>
      <w:proofErr w:type="gramEnd"/>
      <w:r w:rsidRPr="00500A31">
        <w:rPr>
          <w:rFonts w:hint="eastAsia"/>
          <w:color w:val="000000"/>
          <w:szCs w:val="21"/>
        </w:rPr>
        <w:t>2000</w:t>
      </w:r>
      <w:r w:rsidRPr="00500A31">
        <w:rPr>
          <w:rFonts w:hint="eastAsia"/>
          <w:color w:val="000000"/>
          <w:szCs w:val="21"/>
        </w:rPr>
        <w:t>指数。</w:t>
      </w:r>
    </w:p>
    <w:p w14:paraId="785B8F48" w14:textId="77777777" w:rsidR="00175DB4" w:rsidRDefault="000519D1" w:rsidP="00255AAF">
      <w:pPr>
        <w:spacing w:line="520" w:lineRule="exact"/>
        <w:ind w:firstLine="420"/>
        <w:rPr>
          <w:color w:val="000000"/>
          <w:szCs w:val="21"/>
        </w:rPr>
      </w:pPr>
      <w:r>
        <w:rPr>
          <w:rFonts w:hint="eastAsia"/>
          <w:color w:val="000000"/>
          <w:szCs w:val="21"/>
        </w:rPr>
        <w:t>（二）标的</w:t>
      </w:r>
      <w:proofErr w:type="gramStart"/>
      <w:r w:rsidRPr="00D41605">
        <w:rPr>
          <w:rFonts w:hint="eastAsia"/>
          <w:color w:val="000000"/>
          <w:szCs w:val="21"/>
        </w:rPr>
        <w:t>的</w:t>
      </w:r>
      <w:proofErr w:type="gramEnd"/>
      <w:r w:rsidRPr="00D41605">
        <w:rPr>
          <w:rFonts w:hint="eastAsia"/>
          <w:color w:val="000000"/>
          <w:szCs w:val="21"/>
        </w:rPr>
        <w:t>指数编制方案</w:t>
      </w:r>
    </w:p>
    <w:p w14:paraId="6B94BCD5" w14:textId="77777777" w:rsidR="00175DB4" w:rsidRDefault="000519D1" w:rsidP="00D41605">
      <w:pPr>
        <w:numPr>
          <w:ilvl w:val="0"/>
          <w:numId w:val="2"/>
        </w:numPr>
        <w:spacing w:line="520" w:lineRule="exact"/>
        <w:rPr>
          <w:color w:val="000000"/>
          <w:szCs w:val="21"/>
        </w:rPr>
      </w:pPr>
      <w:r>
        <w:rPr>
          <w:rFonts w:hint="eastAsia"/>
          <w:color w:val="000000"/>
          <w:szCs w:val="21"/>
        </w:rPr>
        <w:t>代码与名称</w:t>
      </w:r>
    </w:p>
    <w:p w14:paraId="26927C8F" w14:textId="77777777" w:rsidR="00500A31" w:rsidRPr="00500A31" w:rsidRDefault="00500A31" w:rsidP="00500A31">
      <w:pPr>
        <w:spacing w:line="520" w:lineRule="exact"/>
        <w:ind w:left="786"/>
        <w:rPr>
          <w:color w:val="000000"/>
          <w:szCs w:val="21"/>
        </w:rPr>
      </w:pPr>
      <w:r w:rsidRPr="00500A31">
        <w:rPr>
          <w:rFonts w:hint="eastAsia"/>
          <w:color w:val="000000"/>
          <w:szCs w:val="21"/>
        </w:rPr>
        <w:t>指数名称：</w:t>
      </w:r>
      <w:proofErr w:type="gramStart"/>
      <w:r w:rsidRPr="00500A31">
        <w:rPr>
          <w:rFonts w:hint="eastAsia"/>
          <w:color w:val="000000"/>
          <w:szCs w:val="21"/>
        </w:rPr>
        <w:t>国证</w:t>
      </w:r>
      <w:proofErr w:type="gramEnd"/>
      <w:r w:rsidRPr="00500A31">
        <w:rPr>
          <w:rFonts w:hint="eastAsia"/>
          <w:color w:val="000000"/>
          <w:szCs w:val="21"/>
        </w:rPr>
        <w:t>2000</w:t>
      </w:r>
      <w:r w:rsidRPr="00500A31">
        <w:rPr>
          <w:rFonts w:hint="eastAsia"/>
          <w:color w:val="000000"/>
          <w:szCs w:val="21"/>
        </w:rPr>
        <w:t>指数</w:t>
      </w:r>
    </w:p>
    <w:p w14:paraId="5CC139B6" w14:textId="77777777" w:rsidR="00500A31" w:rsidRPr="00500A31" w:rsidRDefault="00500A31" w:rsidP="00500A31">
      <w:pPr>
        <w:spacing w:line="520" w:lineRule="exact"/>
        <w:ind w:left="786"/>
        <w:rPr>
          <w:color w:val="000000"/>
          <w:szCs w:val="21"/>
        </w:rPr>
      </w:pPr>
      <w:r w:rsidRPr="00500A31">
        <w:rPr>
          <w:rFonts w:hint="eastAsia"/>
          <w:color w:val="000000"/>
          <w:szCs w:val="21"/>
        </w:rPr>
        <w:t>指数简称：</w:t>
      </w:r>
      <w:proofErr w:type="gramStart"/>
      <w:r w:rsidRPr="00500A31">
        <w:rPr>
          <w:rFonts w:hint="eastAsia"/>
          <w:color w:val="000000"/>
          <w:szCs w:val="21"/>
        </w:rPr>
        <w:t>国证</w:t>
      </w:r>
      <w:proofErr w:type="gramEnd"/>
      <w:r w:rsidRPr="00500A31">
        <w:rPr>
          <w:rFonts w:hint="eastAsia"/>
          <w:color w:val="000000"/>
          <w:szCs w:val="21"/>
        </w:rPr>
        <w:t>2000</w:t>
      </w:r>
    </w:p>
    <w:p w14:paraId="7BCFEB0F" w14:textId="77777777" w:rsidR="00500A31" w:rsidRPr="00500A31" w:rsidRDefault="00500A31" w:rsidP="00500A31">
      <w:pPr>
        <w:spacing w:line="520" w:lineRule="exact"/>
        <w:ind w:left="786"/>
        <w:rPr>
          <w:color w:val="000000"/>
          <w:szCs w:val="21"/>
        </w:rPr>
      </w:pPr>
      <w:r w:rsidRPr="00500A31">
        <w:rPr>
          <w:rFonts w:hint="eastAsia"/>
          <w:color w:val="000000"/>
          <w:szCs w:val="21"/>
        </w:rPr>
        <w:t>英文名称：</w:t>
      </w:r>
      <w:r w:rsidRPr="00500A31">
        <w:rPr>
          <w:rFonts w:hint="eastAsia"/>
          <w:color w:val="000000"/>
          <w:szCs w:val="21"/>
        </w:rPr>
        <w:t>CNI 2000 Index</w:t>
      </w:r>
    </w:p>
    <w:p w14:paraId="72798686" w14:textId="77777777" w:rsidR="00500A31" w:rsidRPr="00500A31" w:rsidRDefault="00500A31" w:rsidP="00500A31">
      <w:pPr>
        <w:spacing w:line="520" w:lineRule="exact"/>
        <w:ind w:left="786"/>
        <w:rPr>
          <w:color w:val="000000"/>
          <w:szCs w:val="21"/>
        </w:rPr>
      </w:pPr>
      <w:r w:rsidRPr="00500A31">
        <w:rPr>
          <w:rFonts w:hint="eastAsia"/>
          <w:color w:val="000000"/>
          <w:szCs w:val="21"/>
        </w:rPr>
        <w:t>英文简称：</w:t>
      </w:r>
      <w:r w:rsidRPr="00500A31">
        <w:rPr>
          <w:rFonts w:hint="eastAsia"/>
          <w:color w:val="000000"/>
          <w:szCs w:val="21"/>
        </w:rPr>
        <w:t>CNI 2000</w:t>
      </w:r>
    </w:p>
    <w:p w14:paraId="1E38F877" w14:textId="3B2AA80F" w:rsidR="00500A31" w:rsidRDefault="00500A31" w:rsidP="0084159B">
      <w:pPr>
        <w:spacing w:line="520" w:lineRule="exact"/>
        <w:ind w:left="786"/>
        <w:rPr>
          <w:color w:val="000000"/>
          <w:szCs w:val="21"/>
        </w:rPr>
      </w:pPr>
      <w:r w:rsidRPr="00500A31">
        <w:rPr>
          <w:rFonts w:hint="eastAsia"/>
          <w:color w:val="000000"/>
          <w:szCs w:val="21"/>
        </w:rPr>
        <w:t>指数代码：</w:t>
      </w:r>
      <w:r w:rsidRPr="00500A31">
        <w:rPr>
          <w:rFonts w:hint="eastAsia"/>
          <w:color w:val="000000"/>
          <w:szCs w:val="21"/>
        </w:rPr>
        <w:t>399303</w:t>
      </w:r>
    </w:p>
    <w:p w14:paraId="6A6F55A9" w14:textId="77777777" w:rsidR="00500A31" w:rsidRDefault="00500A31" w:rsidP="00D41605">
      <w:pPr>
        <w:numPr>
          <w:ilvl w:val="0"/>
          <w:numId w:val="2"/>
        </w:numPr>
        <w:spacing w:line="520" w:lineRule="exact"/>
        <w:rPr>
          <w:color w:val="000000"/>
          <w:szCs w:val="21"/>
        </w:rPr>
      </w:pPr>
      <w:r>
        <w:rPr>
          <w:color w:val="000000"/>
          <w:szCs w:val="21"/>
        </w:rPr>
        <w:t>基日与基点</w:t>
      </w:r>
    </w:p>
    <w:p w14:paraId="6112BC63" w14:textId="03D39A24" w:rsidR="00175DB4" w:rsidRPr="0084159B" w:rsidRDefault="00500A31" w:rsidP="0084159B">
      <w:pPr>
        <w:spacing w:line="520" w:lineRule="exact"/>
        <w:ind w:left="426"/>
        <w:rPr>
          <w:color w:val="000000"/>
          <w:szCs w:val="21"/>
        </w:rPr>
      </w:pPr>
      <w:r w:rsidRPr="0084159B">
        <w:rPr>
          <w:rFonts w:hint="eastAsia"/>
          <w:color w:val="000000"/>
          <w:szCs w:val="21"/>
        </w:rPr>
        <w:t>指数的基日为</w:t>
      </w:r>
      <w:r w:rsidRPr="0084159B">
        <w:rPr>
          <w:color w:val="000000"/>
          <w:szCs w:val="21"/>
        </w:rPr>
        <w:t>2009</w:t>
      </w:r>
      <w:r w:rsidRPr="0084159B">
        <w:rPr>
          <w:rFonts w:hint="eastAsia"/>
          <w:color w:val="000000"/>
          <w:szCs w:val="21"/>
        </w:rPr>
        <w:t>年</w:t>
      </w:r>
      <w:r w:rsidRPr="0084159B">
        <w:rPr>
          <w:color w:val="000000"/>
          <w:szCs w:val="21"/>
        </w:rPr>
        <w:t>12</w:t>
      </w:r>
      <w:r w:rsidRPr="0084159B">
        <w:rPr>
          <w:rFonts w:hint="eastAsia"/>
          <w:color w:val="000000"/>
          <w:szCs w:val="21"/>
        </w:rPr>
        <w:t>月</w:t>
      </w:r>
      <w:r w:rsidRPr="0084159B">
        <w:rPr>
          <w:color w:val="000000"/>
          <w:szCs w:val="21"/>
        </w:rPr>
        <w:t>31</w:t>
      </w:r>
      <w:r w:rsidRPr="0084159B">
        <w:rPr>
          <w:rFonts w:hint="eastAsia"/>
          <w:color w:val="000000"/>
          <w:szCs w:val="21"/>
        </w:rPr>
        <w:t>日，基点为</w:t>
      </w:r>
      <w:r w:rsidRPr="0084159B">
        <w:rPr>
          <w:color w:val="000000"/>
          <w:szCs w:val="21"/>
        </w:rPr>
        <w:t>3326.4448</w:t>
      </w:r>
      <w:r w:rsidRPr="0084159B">
        <w:rPr>
          <w:rFonts w:hint="eastAsia"/>
          <w:color w:val="000000"/>
          <w:szCs w:val="21"/>
        </w:rPr>
        <w:t>点。</w:t>
      </w:r>
    </w:p>
    <w:p w14:paraId="39E5AD93" w14:textId="594A5DDE" w:rsidR="00500A31" w:rsidRDefault="00500A31">
      <w:pPr>
        <w:numPr>
          <w:ilvl w:val="0"/>
          <w:numId w:val="2"/>
        </w:numPr>
        <w:spacing w:line="520" w:lineRule="exact"/>
        <w:rPr>
          <w:color w:val="000000"/>
          <w:szCs w:val="21"/>
        </w:rPr>
      </w:pPr>
      <w:r w:rsidRPr="00D41605">
        <w:rPr>
          <w:rFonts w:hint="eastAsia"/>
          <w:color w:val="000000"/>
          <w:szCs w:val="21"/>
        </w:rPr>
        <w:t>选样空间</w:t>
      </w:r>
    </w:p>
    <w:p w14:paraId="4F9B1881" w14:textId="77777777" w:rsidR="00500A31" w:rsidRPr="00500A31" w:rsidRDefault="00500A31" w:rsidP="00500A31">
      <w:pPr>
        <w:spacing w:line="520" w:lineRule="exact"/>
        <w:ind w:left="426"/>
        <w:rPr>
          <w:color w:val="000000"/>
          <w:szCs w:val="21"/>
        </w:rPr>
      </w:pPr>
      <w:r w:rsidRPr="00500A31">
        <w:rPr>
          <w:rFonts w:hint="eastAsia"/>
          <w:color w:val="000000"/>
          <w:szCs w:val="21"/>
        </w:rPr>
        <w:t>满足下列条件的</w:t>
      </w:r>
      <w:r w:rsidRPr="00500A31">
        <w:rPr>
          <w:rFonts w:hint="eastAsia"/>
          <w:color w:val="000000"/>
          <w:szCs w:val="21"/>
        </w:rPr>
        <w:t>A</w:t>
      </w:r>
      <w:r w:rsidRPr="00500A31">
        <w:rPr>
          <w:rFonts w:hint="eastAsia"/>
          <w:color w:val="000000"/>
          <w:szCs w:val="21"/>
        </w:rPr>
        <w:t>股和红</w:t>
      </w:r>
      <w:proofErr w:type="gramStart"/>
      <w:r w:rsidRPr="00500A31">
        <w:rPr>
          <w:rFonts w:hint="eastAsia"/>
          <w:color w:val="000000"/>
          <w:szCs w:val="21"/>
        </w:rPr>
        <w:t>筹企业</w:t>
      </w:r>
      <w:proofErr w:type="gramEnd"/>
      <w:r w:rsidRPr="00500A31">
        <w:rPr>
          <w:rFonts w:hint="eastAsia"/>
          <w:color w:val="000000"/>
          <w:szCs w:val="21"/>
        </w:rPr>
        <w:t>发行的存托凭证：</w:t>
      </w:r>
    </w:p>
    <w:p w14:paraId="0C07F518" w14:textId="2E732E72" w:rsidR="00500A31" w:rsidRPr="00500A31" w:rsidRDefault="00500A31" w:rsidP="00500A31">
      <w:pPr>
        <w:spacing w:line="520" w:lineRule="exact"/>
        <w:ind w:left="426"/>
        <w:rPr>
          <w:color w:val="000000"/>
          <w:szCs w:val="21"/>
        </w:rPr>
      </w:pPr>
      <w:r>
        <w:rPr>
          <w:rFonts w:hint="eastAsia"/>
          <w:color w:val="000000"/>
          <w:szCs w:val="21"/>
        </w:rPr>
        <w:t>（</w:t>
      </w:r>
      <w:r>
        <w:rPr>
          <w:rFonts w:hint="eastAsia"/>
          <w:color w:val="000000"/>
          <w:szCs w:val="21"/>
        </w:rPr>
        <w:t>1</w:t>
      </w:r>
      <w:r>
        <w:rPr>
          <w:rFonts w:hint="eastAsia"/>
          <w:color w:val="000000"/>
          <w:szCs w:val="21"/>
        </w:rPr>
        <w:t>）</w:t>
      </w:r>
      <w:r w:rsidRPr="00500A31">
        <w:rPr>
          <w:rFonts w:hint="eastAsia"/>
          <w:color w:val="000000"/>
          <w:szCs w:val="21"/>
        </w:rPr>
        <w:t>非</w:t>
      </w:r>
      <w:r w:rsidRPr="00500A31">
        <w:rPr>
          <w:rFonts w:hint="eastAsia"/>
          <w:color w:val="000000"/>
          <w:szCs w:val="21"/>
        </w:rPr>
        <w:t>ST</w:t>
      </w:r>
      <w:r w:rsidRPr="00500A31">
        <w:rPr>
          <w:rFonts w:hint="eastAsia"/>
          <w:color w:val="000000"/>
          <w:szCs w:val="21"/>
        </w:rPr>
        <w:t>、</w:t>
      </w:r>
      <w:r w:rsidRPr="00500A31">
        <w:rPr>
          <w:rFonts w:hint="eastAsia"/>
          <w:color w:val="000000"/>
          <w:szCs w:val="21"/>
        </w:rPr>
        <w:t>*ST</w:t>
      </w:r>
      <w:r w:rsidRPr="00500A31">
        <w:rPr>
          <w:rFonts w:hint="eastAsia"/>
          <w:color w:val="000000"/>
          <w:szCs w:val="21"/>
        </w:rPr>
        <w:t>证券；</w:t>
      </w:r>
    </w:p>
    <w:p w14:paraId="7DDD3178" w14:textId="535DF205" w:rsidR="00500A31" w:rsidRPr="00500A31" w:rsidRDefault="00500A31" w:rsidP="00500A31">
      <w:pPr>
        <w:spacing w:line="520" w:lineRule="exact"/>
        <w:ind w:left="426"/>
        <w:rPr>
          <w:color w:val="000000"/>
          <w:szCs w:val="21"/>
        </w:rPr>
      </w:pPr>
      <w:r>
        <w:rPr>
          <w:rFonts w:hint="eastAsia"/>
          <w:color w:val="000000"/>
          <w:szCs w:val="21"/>
        </w:rPr>
        <w:t>（</w:t>
      </w:r>
      <w:r>
        <w:rPr>
          <w:color w:val="000000"/>
          <w:szCs w:val="21"/>
        </w:rPr>
        <w:t>2</w:t>
      </w:r>
      <w:r>
        <w:rPr>
          <w:rFonts w:hint="eastAsia"/>
          <w:color w:val="000000"/>
          <w:szCs w:val="21"/>
        </w:rPr>
        <w:t>）</w:t>
      </w:r>
      <w:proofErr w:type="gramStart"/>
      <w:r w:rsidRPr="00500A31">
        <w:rPr>
          <w:rFonts w:hint="eastAsia"/>
          <w:color w:val="000000"/>
          <w:szCs w:val="21"/>
        </w:rPr>
        <w:t>科创板</w:t>
      </w:r>
      <w:proofErr w:type="gramEnd"/>
      <w:r w:rsidRPr="00500A31">
        <w:rPr>
          <w:rFonts w:hint="eastAsia"/>
          <w:color w:val="000000"/>
          <w:szCs w:val="21"/>
        </w:rPr>
        <w:t>证券、北交所证券上市时间超过</w:t>
      </w:r>
      <w:r w:rsidRPr="00500A31">
        <w:rPr>
          <w:rFonts w:hint="eastAsia"/>
          <w:color w:val="000000"/>
          <w:szCs w:val="21"/>
        </w:rPr>
        <w:t>1</w:t>
      </w:r>
      <w:r w:rsidRPr="00500A31">
        <w:rPr>
          <w:rFonts w:hint="eastAsia"/>
          <w:color w:val="000000"/>
          <w:szCs w:val="21"/>
        </w:rPr>
        <w:t>年；其他证券上市时间超过</w:t>
      </w:r>
      <w:r w:rsidRPr="00500A31">
        <w:rPr>
          <w:rFonts w:hint="eastAsia"/>
          <w:color w:val="000000"/>
          <w:szCs w:val="21"/>
        </w:rPr>
        <w:t>6</w:t>
      </w:r>
      <w:r w:rsidRPr="00500A31">
        <w:rPr>
          <w:rFonts w:hint="eastAsia"/>
          <w:color w:val="000000"/>
          <w:szCs w:val="21"/>
        </w:rPr>
        <w:t>个月；</w:t>
      </w:r>
    </w:p>
    <w:p w14:paraId="29BFB9E3" w14:textId="6AE0428B" w:rsidR="00500A31" w:rsidRPr="00500A31" w:rsidRDefault="00500A31" w:rsidP="00500A31">
      <w:pPr>
        <w:spacing w:line="520" w:lineRule="exact"/>
        <w:ind w:left="426"/>
        <w:rPr>
          <w:color w:val="000000"/>
          <w:szCs w:val="21"/>
        </w:rPr>
      </w:pPr>
      <w:r>
        <w:rPr>
          <w:rFonts w:hint="eastAsia"/>
          <w:color w:val="000000"/>
          <w:szCs w:val="21"/>
        </w:rPr>
        <w:t>（</w:t>
      </w:r>
      <w:r>
        <w:rPr>
          <w:color w:val="000000"/>
          <w:szCs w:val="21"/>
        </w:rPr>
        <w:t>3</w:t>
      </w:r>
      <w:r>
        <w:rPr>
          <w:rFonts w:hint="eastAsia"/>
          <w:color w:val="000000"/>
          <w:szCs w:val="21"/>
        </w:rPr>
        <w:t>）</w:t>
      </w:r>
      <w:r w:rsidRPr="00500A31">
        <w:rPr>
          <w:rFonts w:hint="eastAsia"/>
          <w:color w:val="000000"/>
          <w:szCs w:val="21"/>
        </w:rPr>
        <w:t>公司最近一年无重大违规、财务报告无重大问题；</w:t>
      </w:r>
    </w:p>
    <w:p w14:paraId="3B4B0585" w14:textId="04B91584" w:rsidR="00500A31" w:rsidRPr="00500A31" w:rsidRDefault="00500A31" w:rsidP="00500A31">
      <w:pPr>
        <w:spacing w:line="520" w:lineRule="exact"/>
        <w:ind w:left="426"/>
        <w:rPr>
          <w:color w:val="000000"/>
          <w:szCs w:val="21"/>
        </w:rPr>
      </w:pPr>
      <w:r>
        <w:rPr>
          <w:rFonts w:hint="eastAsia"/>
          <w:color w:val="000000"/>
          <w:szCs w:val="21"/>
        </w:rPr>
        <w:t>（</w:t>
      </w:r>
      <w:r>
        <w:rPr>
          <w:color w:val="000000"/>
          <w:szCs w:val="21"/>
        </w:rPr>
        <w:t>4</w:t>
      </w:r>
      <w:r>
        <w:rPr>
          <w:rFonts w:hint="eastAsia"/>
          <w:color w:val="000000"/>
          <w:szCs w:val="21"/>
        </w:rPr>
        <w:t>）</w:t>
      </w:r>
      <w:r w:rsidRPr="00500A31">
        <w:rPr>
          <w:rFonts w:hint="eastAsia"/>
          <w:color w:val="000000"/>
          <w:szCs w:val="21"/>
        </w:rPr>
        <w:t>公司最近一年经营无异常、无重大亏损；</w:t>
      </w:r>
    </w:p>
    <w:p w14:paraId="3549AB07" w14:textId="59B74E01" w:rsidR="00500A31" w:rsidRPr="00500A31" w:rsidRDefault="00500A31" w:rsidP="0084159B">
      <w:pPr>
        <w:spacing w:line="520" w:lineRule="exact"/>
        <w:ind w:left="426"/>
        <w:rPr>
          <w:color w:val="000000"/>
          <w:szCs w:val="21"/>
        </w:rPr>
      </w:pPr>
      <w:r>
        <w:rPr>
          <w:rFonts w:hint="eastAsia"/>
          <w:color w:val="000000"/>
          <w:szCs w:val="21"/>
        </w:rPr>
        <w:t>（</w:t>
      </w:r>
      <w:r>
        <w:rPr>
          <w:color w:val="000000"/>
          <w:szCs w:val="21"/>
        </w:rPr>
        <w:t>5</w:t>
      </w:r>
      <w:r>
        <w:rPr>
          <w:rFonts w:hint="eastAsia"/>
          <w:color w:val="000000"/>
          <w:szCs w:val="21"/>
        </w:rPr>
        <w:t>）</w:t>
      </w:r>
      <w:r w:rsidRPr="00500A31">
        <w:rPr>
          <w:rFonts w:hint="eastAsia"/>
          <w:color w:val="000000"/>
          <w:szCs w:val="21"/>
        </w:rPr>
        <w:t>考察期内证券价格无异常波动。</w:t>
      </w:r>
    </w:p>
    <w:p w14:paraId="5B8F809A" w14:textId="77777777" w:rsidR="00175DB4" w:rsidRPr="00D41605" w:rsidRDefault="000519D1" w:rsidP="00D41605">
      <w:pPr>
        <w:numPr>
          <w:ilvl w:val="0"/>
          <w:numId w:val="2"/>
        </w:numPr>
        <w:spacing w:line="520" w:lineRule="exact"/>
        <w:rPr>
          <w:color w:val="000000"/>
          <w:szCs w:val="21"/>
        </w:rPr>
      </w:pPr>
      <w:r w:rsidRPr="00D41605">
        <w:rPr>
          <w:rFonts w:hint="eastAsia"/>
          <w:color w:val="000000"/>
          <w:szCs w:val="21"/>
        </w:rPr>
        <w:t>选样方法</w:t>
      </w:r>
    </w:p>
    <w:p w14:paraId="7FF82EB2" w14:textId="22D28C24" w:rsidR="00500A31" w:rsidRPr="00500A31" w:rsidRDefault="00500A31" w:rsidP="00500A31">
      <w:pPr>
        <w:spacing w:line="520" w:lineRule="exact"/>
        <w:ind w:firstLine="420"/>
        <w:rPr>
          <w:color w:val="000000"/>
          <w:szCs w:val="21"/>
        </w:rPr>
      </w:pPr>
      <w:r w:rsidRPr="00500A31">
        <w:rPr>
          <w:rFonts w:hint="eastAsia"/>
          <w:color w:val="000000"/>
          <w:szCs w:val="21"/>
        </w:rPr>
        <w:t>首先，计算入围选样空间证券在最近半年的</w:t>
      </w:r>
      <w:proofErr w:type="gramStart"/>
      <w:r w:rsidRPr="00500A31">
        <w:rPr>
          <w:rFonts w:hint="eastAsia"/>
          <w:color w:val="000000"/>
          <w:szCs w:val="21"/>
        </w:rPr>
        <w:t>日均总</w:t>
      </w:r>
      <w:proofErr w:type="gramEnd"/>
      <w:r w:rsidRPr="00500A31">
        <w:rPr>
          <w:rFonts w:hint="eastAsia"/>
          <w:color w:val="000000"/>
          <w:szCs w:val="21"/>
        </w:rPr>
        <w:t>市值和日均成交金额；</w:t>
      </w:r>
    </w:p>
    <w:p w14:paraId="6F24530E" w14:textId="5D7AB70C" w:rsidR="00500A31" w:rsidRPr="00500A31" w:rsidRDefault="00500A31" w:rsidP="00500A31">
      <w:pPr>
        <w:spacing w:line="520" w:lineRule="exact"/>
        <w:ind w:firstLine="420"/>
        <w:rPr>
          <w:color w:val="000000"/>
          <w:szCs w:val="21"/>
        </w:rPr>
      </w:pPr>
      <w:r w:rsidRPr="00500A31">
        <w:rPr>
          <w:rFonts w:hint="eastAsia"/>
          <w:color w:val="000000"/>
          <w:szCs w:val="21"/>
        </w:rPr>
        <w:t>其次，对入围证券在最近半年的日均成交金额按从高到低排序，剔除</w:t>
      </w:r>
      <w:r>
        <w:rPr>
          <w:rFonts w:hint="eastAsia"/>
          <w:color w:val="000000"/>
          <w:szCs w:val="21"/>
        </w:rPr>
        <w:t>排</w:t>
      </w:r>
      <w:r w:rsidRPr="00500A31">
        <w:rPr>
          <w:rFonts w:hint="eastAsia"/>
          <w:color w:val="000000"/>
          <w:szCs w:val="21"/>
        </w:rPr>
        <w:t>名后</w:t>
      </w:r>
      <w:r w:rsidRPr="00500A31">
        <w:rPr>
          <w:rFonts w:hint="eastAsia"/>
          <w:color w:val="000000"/>
          <w:szCs w:val="21"/>
        </w:rPr>
        <w:t>10%</w:t>
      </w:r>
      <w:r w:rsidRPr="00500A31">
        <w:rPr>
          <w:rFonts w:hint="eastAsia"/>
          <w:color w:val="000000"/>
          <w:szCs w:val="21"/>
        </w:rPr>
        <w:t>的证券；</w:t>
      </w:r>
    </w:p>
    <w:p w14:paraId="7FCB7BA3" w14:textId="5F932B9B" w:rsidR="00500A31" w:rsidRDefault="00500A31" w:rsidP="00500A31">
      <w:pPr>
        <w:spacing w:line="520" w:lineRule="exact"/>
        <w:ind w:firstLine="420"/>
        <w:rPr>
          <w:color w:val="000000"/>
          <w:szCs w:val="21"/>
        </w:rPr>
      </w:pPr>
      <w:r w:rsidRPr="00500A31">
        <w:rPr>
          <w:rFonts w:hint="eastAsia"/>
          <w:color w:val="000000"/>
          <w:szCs w:val="21"/>
        </w:rPr>
        <w:t>然后，按</w:t>
      </w:r>
      <w:proofErr w:type="gramStart"/>
      <w:r w:rsidRPr="00500A31">
        <w:rPr>
          <w:rFonts w:hint="eastAsia"/>
          <w:color w:val="000000"/>
          <w:szCs w:val="21"/>
        </w:rPr>
        <w:t>日均总</w:t>
      </w:r>
      <w:proofErr w:type="gramEnd"/>
      <w:r w:rsidRPr="00500A31">
        <w:rPr>
          <w:rFonts w:hint="eastAsia"/>
          <w:color w:val="000000"/>
          <w:szCs w:val="21"/>
        </w:rPr>
        <w:t>市值从高到低排序，扣除前</w:t>
      </w:r>
      <w:r w:rsidRPr="00500A31">
        <w:rPr>
          <w:rFonts w:hint="eastAsia"/>
          <w:color w:val="000000"/>
          <w:szCs w:val="21"/>
        </w:rPr>
        <w:t>1000</w:t>
      </w:r>
      <w:r w:rsidRPr="00500A31">
        <w:rPr>
          <w:rFonts w:hint="eastAsia"/>
          <w:color w:val="000000"/>
          <w:szCs w:val="21"/>
        </w:rPr>
        <w:t>只证券后，按照缓冲区技术选取排名靠前的</w:t>
      </w:r>
      <w:r w:rsidRPr="00500A31">
        <w:rPr>
          <w:rFonts w:hint="eastAsia"/>
          <w:color w:val="000000"/>
          <w:szCs w:val="21"/>
        </w:rPr>
        <w:t>2000</w:t>
      </w:r>
      <w:r w:rsidRPr="00500A31">
        <w:rPr>
          <w:rFonts w:hint="eastAsia"/>
          <w:color w:val="000000"/>
          <w:szCs w:val="21"/>
        </w:rPr>
        <w:t>只证券作为样本。</w:t>
      </w:r>
    </w:p>
    <w:p w14:paraId="14B79389" w14:textId="77777777" w:rsidR="00175DB4" w:rsidRPr="00D41605" w:rsidRDefault="000519D1" w:rsidP="00D41605">
      <w:pPr>
        <w:numPr>
          <w:ilvl w:val="0"/>
          <w:numId w:val="2"/>
        </w:numPr>
        <w:spacing w:line="520" w:lineRule="exact"/>
        <w:rPr>
          <w:color w:val="000000"/>
          <w:szCs w:val="21"/>
        </w:rPr>
      </w:pPr>
      <w:r w:rsidRPr="00D41605">
        <w:rPr>
          <w:rFonts w:hint="eastAsia"/>
          <w:color w:val="000000"/>
          <w:szCs w:val="21"/>
        </w:rPr>
        <w:lastRenderedPageBreak/>
        <w:t>指数计算</w:t>
      </w:r>
    </w:p>
    <w:p w14:paraId="61A39F2C" w14:textId="327F5ABE" w:rsidR="00175DB4" w:rsidRDefault="00500A31" w:rsidP="0084159B">
      <w:pPr>
        <w:spacing w:line="520" w:lineRule="exact"/>
        <w:ind w:left="426"/>
        <w:rPr>
          <w:color w:val="000000"/>
          <w:szCs w:val="21"/>
        </w:rPr>
      </w:pPr>
      <w:r w:rsidRPr="00500A31">
        <w:rPr>
          <w:noProof/>
          <w:color w:val="000000"/>
          <w:szCs w:val="21"/>
        </w:rPr>
        <w:drawing>
          <wp:anchor distT="0" distB="0" distL="114300" distR="114300" simplePos="0" relativeHeight="251658752" behindDoc="0" locked="0" layoutInCell="1" allowOverlap="1" wp14:anchorId="3ED1D210" wp14:editId="30993DDE">
            <wp:simplePos x="0" y="0"/>
            <wp:positionH relativeFrom="column">
              <wp:posOffset>219075</wp:posOffset>
            </wp:positionH>
            <wp:positionV relativeFrom="paragraph">
              <wp:posOffset>479425</wp:posOffset>
            </wp:positionV>
            <wp:extent cx="5161915" cy="562610"/>
            <wp:effectExtent l="0" t="0" r="635"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161915" cy="562610"/>
                    </a:xfrm>
                    <a:prstGeom prst="rect">
                      <a:avLst/>
                    </a:prstGeom>
                  </pic:spPr>
                </pic:pic>
              </a:graphicData>
            </a:graphic>
          </wp:anchor>
        </w:drawing>
      </w:r>
      <w:r w:rsidRPr="00500A31">
        <w:rPr>
          <w:rFonts w:hint="eastAsia"/>
          <w:noProof/>
        </w:rPr>
        <w:t>指数采用派氏加权法，依据下列公式逐日连锁实时计算</w:t>
      </w:r>
      <w:r w:rsidR="000519D1" w:rsidRPr="0084159B">
        <w:rPr>
          <w:rFonts w:hint="eastAsia"/>
          <w:color w:val="000000"/>
          <w:szCs w:val="21"/>
        </w:rPr>
        <w:t>：</w:t>
      </w:r>
    </w:p>
    <w:p w14:paraId="78C58E75" w14:textId="292E6224" w:rsidR="00500A31" w:rsidRPr="0084159B" w:rsidRDefault="00500A31" w:rsidP="0084159B">
      <w:pPr>
        <w:spacing w:line="520" w:lineRule="exact"/>
        <w:ind w:left="426"/>
        <w:rPr>
          <w:color w:val="000000"/>
          <w:szCs w:val="21"/>
        </w:rPr>
      </w:pPr>
      <w:r w:rsidRPr="00500A31">
        <w:rPr>
          <w:rFonts w:hint="eastAsia"/>
          <w:color w:val="000000"/>
          <w:szCs w:val="21"/>
        </w:rPr>
        <w:t>其中，样本权数调整方法参见指数计算与维护细则。</w:t>
      </w:r>
    </w:p>
    <w:p w14:paraId="5D1E41DC" w14:textId="6D3C7EE9" w:rsidR="00175DB4" w:rsidRPr="00D41605" w:rsidRDefault="000519D1" w:rsidP="0084159B">
      <w:pPr>
        <w:numPr>
          <w:ilvl w:val="0"/>
          <w:numId w:val="2"/>
        </w:numPr>
        <w:spacing w:line="520" w:lineRule="exact"/>
        <w:rPr>
          <w:color w:val="000000"/>
          <w:szCs w:val="21"/>
        </w:rPr>
      </w:pPr>
      <w:r w:rsidRPr="00D41605">
        <w:rPr>
          <w:color w:val="000000"/>
          <w:szCs w:val="21"/>
        </w:rPr>
        <w:t>样本股定期调整</w:t>
      </w:r>
    </w:p>
    <w:p w14:paraId="2708E231" w14:textId="77777777" w:rsidR="00500A31" w:rsidRDefault="00500A31" w:rsidP="0084159B">
      <w:pPr>
        <w:spacing w:line="520" w:lineRule="exact"/>
        <w:ind w:firstLine="420"/>
        <w:rPr>
          <w:color w:val="000000"/>
          <w:szCs w:val="21"/>
        </w:rPr>
      </w:pPr>
      <w:r w:rsidRPr="00500A31">
        <w:rPr>
          <w:rFonts w:hint="eastAsia"/>
          <w:color w:val="000000"/>
          <w:szCs w:val="21"/>
        </w:rPr>
        <w:t>指数样本每半年定期调整，于每年</w:t>
      </w:r>
      <w:r w:rsidRPr="00500A31">
        <w:rPr>
          <w:rFonts w:hint="eastAsia"/>
          <w:color w:val="000000"/>
          <w:szCs w:val="21"/>
        </w:rPr>
        <w:t>6</w:t>
      </w:r>
      <w:r w:rsidRPr="00500A31">
        <w:rPr>
          <w:rFonts w:hint="eastAsia"/>
          <w:color w:val="000000"/>
          <w:szCs w:val="21"/>
        </w:rPr>
        <w:t>月和</w:t>
      </w:r>
      <w:r w:rsidRPr="00500A31">
        <w:rPr>
          <w:rFonts w:hint="eastAsia"/>
          <w:color w:val="000000"/>
          <w:szCs w:val="21"/>
        </w:rPr>
        <w:t>12</w:t>
      </w:r>
      <w:r w:rsidRPr="00500A31">
        <w:rPr>
          <w:rFonts w:hint="eastAsia"/>
          <w:color w:val="000000"/>
          <w:szCs w:val="21"/>
        </w:rPr>
        <w:t>月的第二个星期五的下一个交易日实施。样本调整方案通常在实施前两周公布。</w:t>
      </w:r>
    </w:p>
    <w:p w14:paraId="5B957ACF" w14:textId="17D11E8A" w:rsidR="00500A31" w:rsidRDefault="00500A31" w:rsidP="00255AAF">
      <w:pPr>
        <w:spacing w:line="520" w:lineRule="exact"/>
        <w:ind w:firstLineChars="200" w:firstLine="420"/>
        <w:rPr>
          <w:color w:val="000000"/>
          <w:szCs w:val="21"/>
        </w:rPr>
      </w:pPr>
      <w:proofErr w:type="gramStart"/>
      <w:r w:rsidRPr="00500A31">
        <w:rPr>
          <w:rFonts w:hint="eastAsia"/>
          <w:color w:val="000000"/>
          <w:szCs w:val="21"/>
        </w:rPr>
        <w:t>当国证</w:t>
      </w:r>
      <w:proofErr w:type="gramEnd"/>
      <w:r w:rsidRPr="00500A31">
        <w:rPr>
          <w:rFonts w:hint="eastAsia"/>
          <w:color w:val="000000"/>
          <w:szCs w:val="21"/>
        </w:rPr>
        <w:t>2000</w:t>
      </w:r>
      <w:r w:rsidRPr="00500A31">
        <w:rPr>
          <w:rFonts w:hint="eastAsia"/>
          <w:color w:val="000000"/>
          <w:szCs w:val="21"/>
        </w:rPr>
        <w:t>指数样本数量达到</w:t>
      </w:r>
      <w:r w:rsidRPr="00500A31">
        <w:rPr>
          <w:rFonts w:hint="eastAsia"/>
          <w:color w:val="000000"/>
          <w:szCs w:val="21"/>
        </w:rPr>
        <w:t>2000</w:t>
      </w:r>
      <w:r w:rsidRPr="00500A31">
        <w:rPr>
          <w:rFonts w:hint="eastAsia"/>
          <w:color w:val="000000"/>
          <w:szCs w:val="21"/>
        </w:rPr>
        <w:t>只后，先对入围证券进行综合排名，每次样本调整数量不超过样本总数的</w:t>
      </w:r>
      <w:r w:rsidRPr="00500A31">
        <w:rPr>
          <w:rFonts w:hint="eastAsia"/>
          <w:color w:val="000000"/>
          <w:szCs w:val="21"/>
        </w:rPr>
        <w:t>10%</w:t>
      </w:r>
      <w:r>
        <w:rPr>
          <w:rFonts w:hint="eastAsia"/>
          <w:color w:val="000000"/>
          <w:szCs w:val="21"/>
        </w:rPr>
        <w:t>。排名在样本数</w:t>
      </w:r>
      <w:r>
        <w:rPr>
          <w:rFonts w:hint="eastAsia"/>
          <w:color w:val="000000"/>
          <w:szCs w:val="21"/>
        </w:rPr>
        <w:t>7</w:t>
      </w:r>
      <w:r>
        <w:rPr>
          <w:color w:val="000000"/>
          <w:szCs w:val="21"/>
        </w:rPr>
        <w:t>0</w:t>
      </w:r>
      <w:r>
        <w:rPr>
          <w:rFonts w:hint="eastAsia"/>
          <w:color w:val="000000"/>
          <w:szCs w:val="21"/>
        </w:rPr>
        <w:t>%</w:t>
      </w:r>
      <w:r>
        <w:rPr>
          <w:color w:val="000000"/>
          <w:szCs w:val="21"/>
        </w:rPr>
        <w:t>范围之内的非原样本按顺序入选</w:t>
      </w:r>
      <w:r>
        <w:rPr>
          <w:rFonts w:hint="eastAsia"/>
          <w:color w:val="000000"/>
          <w:szCs w:val="21"/>
        </w:rPr>
        <w:t>，</w:t>
      </w:r>
      <w:r>
        <w:rPr>
          <w:color w:val="000000"/>
          <w:szCs w:val="21"/>
        </w:rPr>
        <w:t>排名在样本数</w:t>
      </w:r>
      <w:r>
        <w:rPr>
          <w:rFonts w:hint="eastAsia"/>
          <w:color w:val="000000"/>
          <w:szCs w:val="21"/>
        </w:rPr>
        <w:t>1</w:t>
      </w:r>
      <w:r>
        <w:rPr>
          <w:color w:val="000000"/>
          <w:szCs w:val="21"/>
        </w:rPr>
        <w:t>30</w:t>
      </w:r>
      <w:r>
        <w:rPr>
          <w:rFonts w:hint="eastAsia"/>
          <w:color w:val="000000"/>
          <w:szCs w:val="21"/>
        </w:rPr>
        <w:t>%</w:t>
      </w:r>
      <w:r>
        <w:rPr>
          <w:color w:val="000000"/>
          <w:szCs w:val="21"/>
        </w:rPr>
        <w:t>范围之内的原样本按顺序优</w:t>
      </w:r>
      <w:r w:rsidR="0068615A">
        <w:rPr>
          <w:rFonts w:hint="eastAsia"/>
          <w:color w:val="000000"/>
          <w:szCs w:val="21"/>
        </w:rPr>
        <w:t>先</w:t>
      </w:r>
      <w:r>
        <w:rPr>
          <w:color w:val="000000"/>
          <w:szCs w:val="21"/>
        </w:rPr>
        <w:t>保留</w:t>
      </w:r>
      <w:r>
        <w:rPr>
          <w:rFonts w:hint="eastAsia"/>
          <w:color w:val="000000"/>
          <w:szCs w:val="21"/>
        </w:rPr>
        <w:t>。</w:t>
      </w:r>
    </w:p>
    <w:p w14:paraId="1294A95D" w14:textId="4C8D4D87" w:rsidR="00500A31" w:rsidRDefault="00500A31" w:rsidP="00255AAF">
      <w:pPr>
        <w:spacing w:line="520" w:lineRule="exact"/>
        <w:ind w:firstLineChars="200" w:firstLine="420"/>
        <w:rPr>
          <w:color w:val="000000"/>
          <w:szCs w:val="21"/>
        </w:rPr>
      </w:pPr>
      <w:r w:rsidRPr="00500A31">
        <w:rPr>
          <w:rFonts w:hint="eastAsia"/>
          <w:color w:val="000000"/>
          <w:szCs w:val="21"/>
        </w:rPr>
        <w:t>在确定新入选成份样本后，在剩余证券中按选样指标从高到低排序选取样本数量</w:t>
      </w:r>
      <w:r w:rsidRPr="00500A31">
        <w:rPr>
          <w:rFonts w:hint="eastAsia"/>
          <w:color w:val="000000"/>
          <w:szCs w:val="21"/>
        </w:rPr>
        <w:t>5%</w:t>
      </w:r>
      <w:r w:rsidRPr="00500A31">
        <w:rPr>
          <w:rFonts w:hint="eastAsia"/>
          <w:color w:val="000000"/>
          <w:szCs w:val="21"/>
        </w:rPr>
        <w:t>的证券作为备选样本</w:t>
      </w:r>
      <w:r>
        <w:rPr>
          <w:rFonts w:hint="eastAsia"/>
          <w:color w:val="000000"/>
          <w:szCs w:val="21"/>
        </w:rPr>
        <w:t>，</w:t>
      </w:r>
      <w:r w:rsidRPr="00500A31">
        <w:rPr>
          <w:rFonts w:hint="eastAsia"/>
          <w:color w:val="000000"/>
          <w:szCs w:val="21"/>
        </w:rPr>
        <w:t>用于指数样本定期调整之间的临时</w:t>
      </w:r>
      <w:r w:rsidR="0068615A">
        <w:rPr>
          <w:rFonts w:hint="eastAsia"/>
          <w:color w:val="000000"/>
          <w:szCs w:val="21"/>
        </w:rPr>
        <w:t>调整</w:t>
      </w:r>
      <w:r>
        <w:rPr>
          <w:rFonts w:hint="eastAsia"/>
          <w:color w:val="000000"/>
          <w:szCs w:val="21"/>
        </w:rPr>
        <w:t>。</w:t>
      </w:r>
    </w:p>
    <w:p w14:paraId="6CD09F13" w14:textId="55E1292A" w:rsidR="00175DB4" w:rsidRPr="00D41605" w:rsidRDefault="000519D1" w:rsidP="0084159B">
      <w:pPr>
        <w:numPr>
          <w:ilvl w:val="0"/>
          <w:numId w:val="2"/>
        </w:numPr>
        <w:spacing w:line="520" w:lineRule="exact"/>
        <w:rPr>
          <w:color w:val="000000"/>
          <w:szCs w:val="21"/>
        </w:rPr>
      </w:pPr>
      <w:r w:rsidRPr="00D41605">
        <w:rPr>
          <w:color w:val="000000"/>
          <w:szCs w:val="21"/>
        </w:rPr>
        <w:t>样本股的临时调整</w:t>
      </w:r>
    </w:p>
    <w:p w14:paraId="1A73960A" w14:textId="1DD5C0F2" w:rsidR="00175DB4" w:rsidRPr="00D41605" w:rsidRDefault="000519D1">
      <w:pPr>
        <w:spacing w:line="520" w:lineRule="exact"/>
        <w:ind w:firstLine="420"/>
        <w:rPr>
          <w:color w:val="000000"/>
          <w:szCs w:val="21"/>
        </w:rPr>
      </w:pPr>
      <w:r w:rsidRPr="00D41605">
        <w:rPr>
          <w:rFonts w:hint="eastAsia"/>
          <w:color w:val="000000"/>
          <w:szCs w:val="21"/>
        </w:rPr>
        <w:t>样本出现终止上市时，将其从指数样本中剔除，选择备选样本股名单中排序最靠前的</w:t>
      </w:r>
      <w:r w:rsidR="008E1AF6">
        <w:rPr>
          <w:rFonts w:hint="eastAsia"/>
          <w:color w:val="000000"/>
          <w:szCs w:val="21"/>
        </w:rPr>
        <w:t>证券</w:t>
      </w:r>
      <w:r w:rsidRPr="00D41605">
        <w:rPr>
          <w:rFonts w:hint="eastAsia"/>
          <w:color w:val="000000"/>
          <w:szCs w:val="21"/>
        </w:rPr>
        <w:t>补足。</w:t>
      </w:r>
    </w:p>
    <w:p w14:paraId="5F4FB41B" w14:textId="2C57C242" w:rsidR="00175DB4" w:rsidRPr="00D41605" w:rsidRDefault="000519D1" w:rsidP="00D41605">
      <w:pPr>
        <w:spacing w:line="520" w:lineRule="exact"/>
        <w:ind w:firstLine="420"/>
        <w:rPr>
          <w:color w:val="000000"/>
          <w:szCs w:val="21"/>
        </w:rPr>
      </w:pPr>
      <w:r w:rsidRPr="00D41605">
        <w:rPr>
          <w:rFonts w:hint="eastAsia"/>
          <w:color w:val="000000"/>
          <w:szCs w:val="21"/>
        </w:rPr>
        <w:t>样本公司被实施风险警示，发生收购、合并、分拆情形的处理，同国证</w:t>
      </w:r>
      <w:r w:rsidRPr="00D41605">
        <w:rPr>
          <w:color w:val="000000"/>
          <w:szCs w:val="21"/>
        </w:rPr>
        <w:t>1000</w:t>
      </w:r>
      <w:r w:rsidRPr="00D41605">
        <w:rPr>
          <w:color w:val="000000"/>
          <w:szCs w:val="21"/>
        </w:rPr>
        <w:t>指数。</w:t>
      </w:r>
    </w:p>
    <w:p w14:paraId="494C1A28" w14:textId="77777777" w:rsidR="00175DB4" w:rsidRDefault="000519D1" w:rsidP="00D41605">
      <w:pPr>
        <w:spacing w:line="520" w:lineRule="exact"/>
        <w:ind w:firstLine="420"/>
        <w:rPr>
          <w:color w:val="000000"/>
          <w:szCs w:val="21"/>
        </w:rPr>
      </w:pPr>
      <w:r>
        <w:rPr>
          <w:rFonts w:hint="eastAsia"/>
          <w:color w:val="000000"/>
          <w:szCs w:val="21"/>
        </w:rPr>
        <w:t>（三）指数信息查阅方式</w:t>
      </w:r>
    </w:p>
    <w:p w14:paraId="07945DB5" w14:textId="77777777" w:rsidR="00175DB4" w:rsidRDefault="000519D1" w:rsidP="00D41605">
      <w:pPr>
        <w:spacing w:line="520" w:lineRule="exact"/>
        <w:ind w:firstLine="420"/>
        <w:rPr>
          <w:color w:val="000000"/>
          <w:szCs w:val="21"/>
        </w:rPr>
      </w:pPr>
      <w:r>
        <w:rPr>
          <w:rFonts w:hint="eastAsia"/>
          <w:color w:val="000000"/>
          <w:szCs w:val="21"/>
        </w:rPr>
        <w:t>投资者可</w:t>
      </w:r>
      <w:proofErr w:type="gramStart"/>
      <w:r>
        <w:rPr>
          <w:rFonts w:hint="eastAsia"/>
          <w:color w:val="000000"/>
          <w:szCs w:val="21"/>
        </w:rPr>
        <w:t>通过国证指数</w:t>
      </w:r>
      <w:proofErr w:type="gramEnd"/>
      <w:r>
        <w:rPr>
          <w:rFonts w:hint="eastAsia"/>
          <w:color w:val="000000"/>
          <w:szCs w:val="21"/>
        </w:rPr>
        <w:t>网（</w:t>
      </w:r>
      <w:r>
        <w:rPr>
          <w:color w:val="000000"/>
          <w:szCs w:val="21"/>
        </w:rPr>
        <w:t>http://www.cnindex.com.cn/</w:t>
      </w:r>
      <w:r>
        <w:rPr>
          <w:rFonts w:hint="eastAsia"/>
          <w:color w:val="000000"/>
          <w:szCs w:val="21"/>
        </w:rPr>
        <w:t>）免费查阅标的指数的最新的编制方案。</w:t>
      </w:r>
    </w:p>
    <w:p w14:paraId="61DB8ED1" w14:textId="77777777" w:rsidR="00175DB4" w:rsidRDefault="000519D1" w:rsidP="00D41605">
      <w:pPr>
        <w:spacing w:line="520" w:lineRule="exact"/>
        <w:ind w:firstLine="420"/>
        <w:rPr>
          <w:color w:val="000000"/>
          <w:szCs w:val="21"/>
        </w:rPr>
      </w:pPr>
      <w:r>
        <w:rPr>
          <w:rFonts w:hint="eastAsia"/>
          <w:color w:val="000000"/>
          <w:szCs w:val="21"/>
        </w:rPr>
        <w:t>（四）指数信息的更新</w:t>
      </w:r>
    </w:p>
    <w:p w14:paraId="3F02CC41" w14:textId="77777777" w:rsidR="00175DB4" w:rsidRPr="0084159B" w:rsidRDefault="000519D1" w:rsidP="0084159B">
      <w:pPr>
        <w:spacing w:line="520" w:lineRule="exact"/>
        <w:ind w:firstLine="420"/>
        <w:rPr>
          <w:color w:val="000000"/>
          <w:szCs w:val="21"/>
        </w:rPr>
      </w:pPr>
      <w:r>
        <w:rPr>
          <w:rFonts w:hint="eastAsia"/>
          <w:color w:val="000000"/>
          <w:szCs w:val="21"/>
        </w:rPr>
        <w:t>如标的指数的编制方案进行了修订，本</w:t>
      </w:r>
      <w:proofErr w:type="gramStart"/>
      <w:r>
        <w:rPr>
          <w:rFonts w:hint="eastAsia"/>
          <w:color w:val="000000"/>
          <w:szCs w:val="21"/>
        </w:rPr>
        <w:t>基金基金</w:t>
      </w:r>
      <w:proofErr w:type="gramEnd"/>
      <w:r>
        <w:rPr>
          <w:rFonts w:hint="eastAsia"/>
          <w:color w:val="000000"/>
          <w:szCs w:val="21"/>
        </w:rPr>
        <w:t>管理人将在年度更新招募说明书更新指数编制方案。本基金存在招募说明书中的指数编制方案与指数编制</w:t>
      </w:r>
      <w:proofErr w:type="gramStart"/>
      <w:r>
        <w:rPr>
          <w:rFonts w:hint="eastAsia"/>
          <w:color w:val="000000"/>
          <w:szCs w:val="21"/>
        </w:rPr>
        <w:t>方最新</w:t>
      </w:r>
      <w:proofErr w:type="gramEnd"/>
      <w:r>
        <w:rPr>
          <w:rFonts w:hint="eastAsia"/>
          <w:color w:val="000000"/>
          <w:szCs w:val="21"/>
        </w:rPr>
        <w:t>的指数编制方案不一致的风险。</w:t>
      </w:r>
    </w:p>
    <w:p w14:paraId="6962BBC4" w14:textId="77777777" w:rsidR="00175DB4" w:rsidRDefault="00175DB4">
      <w:pPr>
        <w:spacing w:line="360" w:lineRule="exact"/>
        <w:rPr>
          <w:color w:val="000000"/>
        </w:rPr>
      </w:pPr>
    </w:p>
    <w:p w14:paraId="0BCA4C76" w14:textId="77777777" w:rsidR="00175DB4" w:rsidRDefault="00175DB4">
      <w:pPr>
        <w:pStyle w:val="1"/>
        <w:spacing w:line="360" w:lineRule="exact"/>
        <w:rPr>
          <w:rFonts w:eastAsia="宋体"/>
          <w:color w:val="000000"/>
          <w:sz w:val="30"/>
          <w:szCs w:val="30"/>
        </w:rPr>
        <w:sectPr w:rsidR="00175DB4">
          <w:pgSz w:w="11906" w:h="16838"/>
          <w:pgMar w:top="1440" w:right="1797" w:bottom="1440" w:left="1980" w:header="851" w:footer="992" w:gutter="0"/>
          <w:cols w:space="425"/>
          <w:docGrid w:type="lines" w:linePitch="312"/>
        </w:sectPr>
      </w:pPr>
      <w:bookmarkStart w:id="112" w:name="_Toc86589196"/>
      <w:bookmarkStart w:id="113" w:name="_Toc92531671"/>
    </w:p>
    <w:p w14:paraId="6AE400D0" w14:textId="77777777" w:rsidR="00175DB4" w:rsidRDefault="000519D1">
      <w:pPr>
        <w:pStyle w:val="1"/>
        <w:spacing w:line="360" w:lineRule="exact"/>
        <w:rPr>
          <w:rFonts w:eastAsia="宋体"/>
          <w:color w:val="000000"/>
          <w:sz w:val="30"/>
          <w:szCs w:val="30"/>
        </w:rPr>
      </w:pPr>
      <w:bookmarkStart w:id="114" w:name="_Toc135741028"/>
      <w:r>
        <w:rPr>
          <w:rFonts w:eastAsia="宋体"/>
          <w:color w:val="000000"/>
          <w:sz w:val="30"/>
          <w:szCs w:val="30"/>
        </w:rPr>
        <w:lastRenderedPageBreak/>
        <w:t>二十</w:t>
      </w:r>
      <w:r>
        <w:rPr>
          <w:rFonts w:eastAsia="宋体" w:hint="eastAsia"/>
          <w:color w:val="000000"/>
          <w:sz w:val="30"/>
          <w:szCs w:val="30"/>
        </w:rPr>
        <w:t>六</w:t>
      </w:r>
      <w:r>
        <w:rPr>
          <w:rFonts w:eastAsia="宋体"/>
          <w:color w:val="000000"/>
          <w:sz w:val="30"/>
          <w:szCs w:val="30"/>
        </w:rPr>
        <w:t>、备查文件</w:t>
      </w:r>
      <w:bookmarkEnd w:id="112"/>
      <w:bookmarkEnd w:id="113"/>
      <w:bookmarkEnd w:id="114"/>
    </w:p>
    <w:p w14:paraId="4800235F" w14:textId="51B2E0CA" w:rsidR="00175DB4" w:rsidRDefault="000519D1">
      <w:pPr>
        <w:tabs>
          <w:tab w:val="left" w:pos="540"/>
        </w:tabs>
        <w:snapToGrid w:val="0"/>
        <w:spacing w:line="360" w:lineRule="auto"/>
        <w:ind w:firstLineChars="200" w:firstLine="420"/>
        <w:rPr>
          <w:color w:val="000000"/>
          <w:szCs w:val="21"/>
        </w:rPr>
      </w:pPr>
      <w:r>
        <w:rPr>
          <w:color w:val="000000"/>
          <w:szCs w:val="21"/>
        </w:rPr>
        <w:t>（一）中国证监会准予</w:t>
      </w:r>
      <w:r w:rsidR="0064733D">
        <w:rPr>
          <w:color w:val="000000"/>
          <w:szCs w:val="21"/>
        </w:rPr>
        <w:t>景顺</w:t>
      </w:r>
      <w:proofErr w:type="gramStart"/>
      <w:r w:rsidR="0064733D">
        <w:rPr>
          <w:color w:val="000000"/>
          <w:szCs w:val="21"/>
        </w:rPr>
        <w:t>长城国证</w:t>
      </w:r>
      <w:proofErr w:type="gramEnd"/>
      <w:r w:rsidR="0064733D">
        <w:rPr>
          <w:color w:val="000000"/>
          <w:szCs w:val="21"/>
        </w:rPr>
        <w:t>2000</w:t>
      </w:r>
      <w:r w:rsidR="0064733D">
        <w:rPr>
          <w:color w:val="000000"/>
          <w:szCs w:val="21"/>
        </w:rPr>
        <w:t>交易型开放式指数证券投资基金</w:t>
      </w:r>
      <w:r>
        <w:rPr>
          <w:color w:val="000000"/>
          <w:szCs w:val="21"/>
        </w:rPr>
        <w:t>募集注册的文件</w:t>
      </w:r>
    </w:p>
    <w:p w14:paraId="4859DE6F" w14:textId="56668D15" w:rsidR="00175DB4" w:rsidRDefault="000519D1">
      <w:pPr>
        <w:tabs>
          <w:tab w:val="left" w:pos="540"/>
        </w:tabs>
        <w:snapToGrid w:val="0"/>
        <w:spacing w:line="360" w:lineRule="auto"/>
        <w:ind w:firstLineChars="200" w:firstLine="420"/>
        <w:rPr>
          <w:color w:val="000000"/>
          <w:szCs w:val="21"/>
        </w:rPr>
      </w:pPr>
      <w:r>
        <w:rPr>
          <w:color w:val="000000"/>
          <w:szCs w:val="21"/>
        </w:rPr>
        <w:t>（二）</w:t>
      </w:r>
      <w:r w:rsidR="0064733D">
        <w:rPr>
          <w:color w:val="000000"/>
          <w:szCs w:val="21"/>
        </w:rPr>
        <w:t>景顺</w:t>
      </w:r>
      <w:proofErr w:type="gramStart"/>
      <w:r w:rsidR="0064733D">
        <w:rPr>
          <w:color w:val="000000"/>
          <w:szCs w:val="21"/>
        </w:rPr>
        <w:t>长城国证</w:t>
      </w:r>
      <w:proofErr w:type="gramEnd"/>
      <w:r w:rsidR="0064733D">
        <w:rPr>
          <w:color w:val="000000"/>
          <w:szCs w:val="21"/>
        </w:rPr>
        <w:t>2000</w:t>
      </w:r>
      <w:r w:rsidR="0064733D">
        <w:rPr>
          <w:color w:val="000000"/>
          <w:szCs w:val="21"/>
        </w:rPr>
        <w:t>交易型开放式指数证券投资</w:t>
      </w:r>
      <w:proofErr w:type="gramStart"/>
      <w:r w:rsidR="0064733D">
        <w:rPr>
          <w:color w:val="000000"/>
          <w:szCs w:val="21"/>
        </w:rPr>
        <w:t>基金</w:t>
      </w:r>
      <w:r>
        <w:rPr>
          <w:color w:val="000000"/>
          <w:szCs w:val="21"/>
        </w:rPr>
        <w:t>基金</w:t>
      </w:r>
      <w:proofErr w:type="gramEnd"/>
      <w:r>
        <w:rPr>
          <w:color w:val="000000"/>
          <w:szCs w:val="21"/>
        </w:rPr>
        <w:t>合同</w:t>
      </w:r>
    </w:p>
    <w:p w14:paraId="1FCE899D" w14:textId="11A50B67" w:rsidR="00175DB4" w:rsidRDefault="000519D1">
      <w:pPr>
        <w:tabs>
          <w:tab w:val="left" w:pos="540"/>
        </w:tabs>
        <w:snapToGrid w:val="0"/>
        <w:spacing w:line="360" w:lineRule="auto"/>
        <w:ind w:firstLineChars="200" w:firstLine="420"/>
        <w:rPr>
          <w:color w:val="000000"/>
          <w:szCs w:val="21"/>
        </w:rPr>
      </w:pPr>
      <w:r>
        <w:rPr>
          <w:color w:val="000000"/>
          <w:szCs w:val="21"/>
        </w:rPr>
        <w:t>（</w:t>
      </w:r>
      <w:r w:rsidR="00F12740">
        <w:rPr>
          <w:color w:val="000000"/>
          <w:szCs w:val="21"/>
        </w:rPr>
        <w:t>三</w:t>
      </w:r>
      <w:r>
        <w:rPr>
          <w:color w:val="000000"/>
          <w:szCs w:val="21"/>
        </w:rPr>
        <w:t>）法律意见书</w:t>
      </w:r>
    </w:p>
    <w:p w14:paraId="5181FC97" w14:textId="03B3353B" w:rsidR="00175DB4" w:rsidRDefault="000519D1">
      <w:pPr>
        <w:tabs>
          <w:tab w:val="left" w:pos="540"/>
        </w:tabs>
        <w:snapToGrid w:val="0"/>
        <w:spacing w:line="360" w:lineRule="auto"/>
        <w:ind w:firstLineChars="200" w:firstLine="420"/>
        <w:rPr>
          <w:color w:val="000000"/>
          <w:szCs w:val="21"/>
        </w:rPr>
      </w:pPr>
      <w:r>
        <w:rPr>
          <w:color w:val="000000"/>
          <w:szCs w:val="21"/>
        </w:rPr>
        <w:t>（</w:t>
      </w:r>
      <w:r w:rsidR="00F12740">
        <w:rPr>
          <w:color w:val="000000"/>
          <w:szCs w:val="21"/>
        </w:rPr>
        <w:t>四</w:t>
      </w:r>
      <w:r>
        <w:rPr>
          <w:color w:val="000000"/>
          <w:szCs w:val="21"/>
        </w:rPr>
        <w:t>）基金管理人业务资格批件、营业执照</w:t>
      </w:r>
    </w:p>
    <w:p w14:paraId="02C3FB4F" w14:textId="0D0DBE80" w:rsidR="00175DB4" w:rsidRDefault="000519D1">
      <w:pPr>
        <w:tabs>
          <w:tab w:val="left" w:pos="540"/>
        </w:tabs>
        <w:snapToGrid w:val="0"/>
        <w:spacing w:line="360" w:lineRule="auto"/>
        <w:ind w:firstLineChars="200" w:firstLine="420"/>
        <w:rPr>
          <w:color w:val="000000"/>
          <w:szCs w:val="21"/>
        </w:rPr>
      </w:pPr>
      <w:r>
        <w:rPr>
          <w:color w:val="000000"/>
          <w:szCs w:val="21"/>
        </w:rPr>
        <w:t>（</w:t>
      </w:r>
      <w:r w:rsidR="00F12740">
        <w:rPr>
          <w:color w:val="000000"/>
          <w:szCs w:val="21"/>
        </w:rPr>
        <w:t>五</w:t>
      </w:r>
      <w:r>
        <w:rPr>
          <w:color w:val="000000"/>
          <w:szCs w:val="21"/>
        </w:rPr>
        <w:t>）基金托管人业务资格批件、营业执照</w:t>
      </w:r>
    </w:p>
    <w:p w14:paraId="338CBFFF" w14:textId="59CFA163" w:rsidR="00175DB4" w:rsidRDefault="000519D1">
      <w:pPr>
        <w:tabs>
          <w:tab w:val="left" w:pos="540"/>
        </w:tabs>
        <w:snapToGrid w:val="0"/>
        <w:spacing w:line="360" w:lineRule="auto"/>
        <w:ind w:firstLineChars="200" w:firstLine="420"/>
        <w:rPr>
          <w:color w:val="000000"/>
          <w:szCs w:val="21"/>
        </w:rPr>
      </w:pPr>
      <w:r>
        <w:rPr>
          <w:color w:val="000000"/>
          <w:szCs w:val="21"/>
        </w:rPr>
        <w:t>（</w:t>
      </w:r>
      <w:r w:rsidR="00F12740">
        <w:rPr>
          <w:color w:val="000000"/>
          <w:szCs w:val="21"/>
        </w:rPr>
        <w:t>六</w:t>
      </w:r>
      <w:r>
        <w:rPr>
          <w:color w:val="000000"/>
          <w:szCs w:val="21"/>
        </w:rPr>
        <w:t>）</w:t>
      </w:r>
      <w:r w:rsidR="0064733D">
        <w:rPr>
          <w:color w:val="000000"/>
          <w:szCs w:val="21"/>
        </w:rPr>
        <w:t>景顺</w:t>
      </w:r>
      <w:proofErr w:type="gramStart"/>
      <w:r w:rsidR="0064733D">
        <w:rPr>
          <w:color w:val="000000"/>
          <w:szCs w:val="21"/>
        </w:rPr>
        <w:t>长城国证</w:t>
      </w:r>
      <w:proofErr w:type="gramEnd"/>
      <w:r w:rsidR="0064733D">
        <w:rPr>
          <w:color w:val="000000"/>
          <w:szCs w:val="21"/>
        </w:rPr>
        <w:t>2000</w:t>
      </w:r>
      <w:r w:rsidR="0064733D">
        <w:rPr>
          <w:color w:val="000000"/>
          <w:szCs w:val="21"/>
        </w:rPr>
        <w:t>交易型开放式指数证券投资基金</w:t>
      </w:r>
      <w:r>
        <w:rPr>
          <w:color w:val="000000"/>
          <w:szCs w:val="21"/>
        </w:rPr>
        <w:t>托管协议</w:t>
      </w:r>
    </w:p>
    <w:p w14:paraId="39AE5941" w14:textId="0D6F2ADC" w:rsidR="00175DB4" w:rsidRDefault="000519D1">
      <w:pPr>
        <w:tabs>
          <w:tab w:val="left" w:pos="540"/>
        </w:tabs>
        <w:snapToGrid w:val="0"/>
        <w:spacing w:line="360" w:lineRule="auto"/>
        <w:ind w:firstLineChars="200" w:firstLine="420"/>
        <w:rPr>
          <w:color w:val="000000"/>
          <w:szCs w:val="21"/>
        </w:rPr>
      </w:pPr>
      <w:r>
        <w:rPr>
          <w:color w:val="000000"/>
          <w:szCs w:val="21"/>
        </w:rPr>
        <w:t>（</w:t>
      </w:r>
      <w:r w:rsidR="00F12740">
        <w:rPr>
          <w:color w:val="000000"/>
          <w:szCs w:val="21"/>
        </w:rPr>
        <w:t>七</w:t>
      </w:r>
      <w:r>
        <w:rPr>
          <w:color w:val="000000"/>
          <w:szCs w:val="21"/>
        </w:rPr>
        <w:t>）中国证监会要求的其他文件</w:t>
      </w:r>
    </w:p>
    <w:p w14:paraId="70A2E542" w14:textId="77777777" w:rsidR="00175DB4" w:rsidRDefault="00175DB4">
      <w:pPr>
        <w:tabs>
          <w:tab w:val="left" w:pos="540"/>
        </w:tabs>
        <w:snapToGrid w:val="0"/>
        <w:spacing w:line="360" w:lineRule="auto"/>
        <w:ind w:firstLineChars="200" w:firstLine="420"/>
        <w:rPr>
          <w:color w:val="000000"/>
          <w:szCs w:val="21"/>
        </w:rPr>
      </w:pPr>
    </w:p>
    <w:p w14:paraId="3441FC3B" w14:textId="77777777" w:rsidR="00175DB4" w:rsidRDefault="000519D1">
      <w:pPr>
        <w:tabs>
          <w:tab w:val="left" w:pos="540"/>
        </w:tabs>
        <w:snapToGrid w:val="0"/>
        <w:spacing w:line="360" w:lineRule="auto"/>
        <w:ind w:firstLineChars="200" w:firstLine="420"/>
        <w:rPr>
          <w:color w:val="000000"/>
          <w:szCs w:val="21"/>
        </w:rPr>
      </w:pPr>
      <w:r>
        <w:rPr>
          <w:color w:val="000000"/>
          <w:szCs w:val="21"/>
        </w:rPr>
        <w:t>上述文件分别置备于基金管理人和基金托管人的住所，以供公众查阅、复制。</w:t>
      </w:r>
    </w:p>
    <w:p w14:paraId="62762299" w14:textId="77777777" w:rsidR="00175DB4" w:rsidRDefault="00175DB4">
      <w:pPr>
        <w:tabs>
          <w:tab w:val="left" w:pos="540"/>
        </w:tabs>
        <w:snapToGrid w:val="0"/>
        <w:spacing w:line="360" w:lineRule="auto"/>
        <w:ind w:firstLineChars="200" w:firstLine="420"/>
        <w:rPr>
          <w:color w:val="000000"/>
          <w:szCs w:val="21"/>
        </w:rPr>
      </w:pPr>
    </w:p>
    <w:p w14:paraId="691A2624" w14:textId="77777777" w:rsidR="00175DB4" w:rsidRDefault="00175DB4">
      <w:pPr>
        <w:rPr>
          <w:color w:val="FF0000"/>
        </w:rPr>
      </w:pPr>
    </w:p>
    <w:p w14:paraId="2B3615C3" w14:textId="77777777" w:rsidR="00175DB4" w:rsidRDefault="000519D1">
      <w:pPr>
        <w:spacing w:line="360" w:lineRule="exact"/>
        <w:ind w:firstLineChars="200" w:firstLine="420"/>
        <w:jc w:val="right"/>
        <w:rPr>
          <w:color w:val="000000"/>
          <w:szCs w:val="21"/>
        </w:rPr>
      </w:pPr>
      <w:r>
        <w:rPr>
          <w:color w:val="000000"/>
          <w:szCs w:val="21"/>
        </w:rPr>
        <w:t>景顺长城基金管理有限公司</w:t>
      </w:r>
    </w:p>
    <w:p w14:paraId="3997FF7C" w14:textId="32C6C083" w:rsidR="00175DB4" w:rsidRPr="006E4E86" w:rsidRDefault="000519D1" w:rsidP="006E4E86">
      <w:pPr>
        <w:wordWrap w:val="0"/>
        <w:spacing w:line="360" w:lineRule="exact"/>
        <w:ind w:firstLineChars="200" w:firstLine="420"/>
        <w:jc w:val="right"/>
      </w:pPr>
      <w:r>
        <w:rPr>
          <w:color w:val="000000"/>
          <w:szCs w:val="21"/>
        </w:rPr>
        <w:t>二</w:t>
      </w:r>
      <w:r>
        <w:rPr>
          <w:rFonts w:hint="eastAsia"/>
          <w:color w:val="000000"/>
          <w:szCs w:val="21"/>
        </w:rPr>
        <w:t>〇</w:t>
      </w:r>
      <w:r w:rsidR="001E728F">
        <w:rPr>
          <w:rFonts w:hint="eastAsia"/>
          <w:color w:val="000000"/>
          <w:szCs w:val="21"/>
        </w:rPr>
        <w:t>二三</w:t>
      </w:r>
      <w:r>
        <w:rPr>
          <w:color w:val="000000"/>
          <w:szCs w:val="21"/>
        </w:rPr>
        <w:t>年</w:t>
      </w:r>
      <w:r w:rsidR="001E728F">
        <w:rPr>
          <w:rFonts w:hint="eastAsia"/>
          <w:color w:val="000000"/>
          <w:szCs w:val="21"/>
        </w:rPr>
        <w:t>八</w:t>
      </w:r>
      <w:r>
        <w:rPr>
          <w:color w:val="000000"/>
          <w:szCs w:val="21"/>
        </w:rPr>
        <w:t>月</w:t>
      </w:r>
      <w:r w:rsidR="001E728F">
        <w:rPr>
          <w:rFonts w:hint="eastAsia"/>
          <w:color w:val="000000"/>
          <w:szCs w:val="21"/>
        </w:rPr>
        <w:t>十</w:t>
      </w:r>
      <w:r w:rsidR="00DC2F5A">
        <w:rPr>
          <w:rFonts w:hint="eastAsia"/>
          <w:color w:val="000000"/>
          <w:szCs w:val="21"/>
        </w:rPr>
        <w:t>六</w:t>
      </w:r>
      <w:r>
        <w:rPr>
          <w:color w:val="000000"/>
          <w:szCs w:val="21"/>
        </w:rPr>
        <w:t>日</w:t>
      </w:r>
    </w:p>
    <w:sectPr w:rsidR="00175DB4" w:rsidRPr="006E4E86">
      <w:headerReference w:type="default" r:id="rId22"/>
      <w:pgSz w:w="11906" w:h="16838"/>
      <w:pgMar w:top="1440" w:right="1797" w:bottom="1440" w:left="19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E116" w14:textId="77777777" w:rsidR="00D03BD4" w:rsidRDefault="00D03BD4">
      <w:r>
        <w:separator/>
      </w:r>
    </w:p>
  </w:endnote>
  <w:endnote w:type="continuationSeparator" w:id="0">
    <w:p w14:paraId="57956B56" w14:textId="77777777" w:rsidR="00D03BD4" w:rsidRDefault="00D0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E1C18" w14:textId="77777777" w:rsidR="00FC72B0" w:rsidRDefault="00FC72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80320" w14:textId="77777777" w:rsidR="00374A22" w:rsidRDefault="00374A22">
    <w:pPr>
      <w:pStyle w:val="af"/>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1139" w14:textId="77777777" w:rsidR="00FC72B0" w:rsidRDefault="00FC72B0">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E06AD" w14:textId="77777777" w:rsidR="00374A22" w:rsidRDefault="00374A22">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20746" w14:textId="77777777" w:rsidR="00374A22" w:rsidRDefault="00374A22">
    <w:pPr>
      <w:pStyle w:val="af"/>
      <w:jc w:val="center"/>
    </w:pPr>
  </w:p>
  <w:p w14:paraId="0A0DC50D" w14:textId="77777777" w:rsidR="00374A22" w:rsidRDefault="00374A22">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D4B1" w14:textId="77777777" w:rsidR="00374A22" w:rsidRDefault="00374A22">
    <w:pPr>
      <w:pStyle w:val="af"/>
      <w:jc w:val="center"/>
    </w:pPr>
    <w:r>
      <w:fldChar w:fldCharType="begin"/>
    </w:r>
    <w:r>
      <w:instrText xml:space="preserve"> PAGE   \* MERGEFORMAT </w:instrText>
    </w:r>
    <w:r>
      <w:fldChar w:fldCharType="separate"/>
    </w:r>
    <w:r w:rsidR="00A15C48" w:rsidRPr="00A15C48">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3B62" w14:textId="77777777" w:rsidR="00D03BD4" w:rsidRDefault="00D03BD4">
      <w:r>
        <w:separator/>
      </w:r>
    </w:p>
  </w:footnote>
  <w:footnote w:type="continuationSeparator" w:id="0">
    <w:p w14:paraId="0DFD0239" w14:textId="77777777" w:rsidR="00D03BD4" w:rsidRDefault="00D03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EC2B" w14:textId="77777777" w:rsidR="00FC72B0" w:rsidRDefault="00FC72B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F955" w14:textId="0DD42C39" w:rsidR="00374A22" w:rsidRDefault="00374A22" w:rsidP="0084159B">
    <w:pPr>
      <w:pStyle w:val="af0"/>
      <w:ind w:firstLineChars="1102" w:firstLine="1984"/>
      <w:jc w:val="right"/>
    </w:pPr>
    <w:r>
      <w:rPr>
        <w:rFonts w:hint="eastAsia"/>
      </w:rPr>
      <w:t>景顺</w:t>
    </w:r>
    <w:proofErr w:type="gramStart"/>
    <w:r>
      <w:rPr>
        <w:rFonts w:hint="eastAsia"/>
      </w:rPr>
      <w:t>长城国证</w:t>
    </w:r>
    <w:proofErr w:type="gramEnd"/>
    <w:r>
      <w:rPr>
        <w:rFonts w:hint="eastAsia"/>
      </w:rPr>
      <w:t>2000</w:t>
    </w:r>
    <w:r>
      <w:rPr>
        <w:rFonts w:hint="eastAsia"/>
      </w:rPr>
      <w:t>交易型开放式指数证券投资基金招募说明书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76F4" w14:textId="77777777" w:rsidR="00FC72B0" w:rsidRDefault="00FC72B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CB4C" w14:textId="1FB136E3" w:rsidR="00374A22" w:rsidRPr="006E4E86" w:rsidRDefault="00374A22" w:rsidP="006E4E86">
    <w:pPr>
      <w:pStyle w:val="af0"/>
      <w:ind w:firstLineChars="1102" w:firstLine="1984"/>
      <w:jc w:val="right"/>
    </w:pPr>
    <w:r>
      <w:rPr>
        <w:rFonts w:hint="eastAsia"/>
      </w:rPr>
      <w:t>景顺长城国证</w:t>
    </w:r>
    <w:r>
      <w:rPr>
        <w:rFonts w:hint="eastAsia"/>
      </w:rPr>
      <w:t>2000</w:t>
    </w:r>
    <w:r>
      <w:rPr>
        <w:rFonts w:hint="eastAsia"/>
      </w:rPr>
      <w:t>交易型开放式指数证券投资基金招募说明书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C781B"/>
    <w:multiLevelType w:val="multilevel"/>
    <w:tmpl w:val="187C781B"/>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28E33DE3"/>
    <w:multiLevelType w:val="multilevel"/>
    <w:tmpl w:val="28E33DE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83919E2"/>
    <w:multiLevelType w:val="multilevel"/>
    <w:tmpl w:val="383919E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47D73EE"/>
    <w:multiLevelType w:val="multilevel"/>
    <w:tmpl w:val="606430B2"/>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06"/>
    <w:rsid w:val="F4BF81A6"/>
    <w:rsid w:val="FDF7EF2F"/>
    <w:rsid w:val="FFFEED76"/>
    <w:rsid w:val="00000420"/>
    <w:rsid w:val="00001568"/>
    <w:rsid w:val="00001E17"/>
    <w:rsid w:val="00001ECD"/>
    <w:rsid w:val="00003917"/>
    <w:rsid w:val="000042DB"/>
    <w:rsid w:val="000049F1"/>
    <w:rsid w:val="00004A6A"/>
    <w:rsid w:val="00004AC4"/>
    <w:rsid w:val="000051A4"/>
    <w:rsid w:val="00005DC5"/>
    <w:rsid w:val="00007103"/>
    <w:rsid w:val="000107FC"/>
    <w:rsid w:val="00010CF9"/>
    <w:rsid w:val="000116F9"/>
    <w:rsid w:val="00011FF0"/>
    <w:rsid w:val="000122F8"/>
    <w:rsid w:val="000125C4"/>
    <w:rsid w:val="00012D5C"/>
    <w:rsid w:val="00012D6A"/>
    <w:rsid w:val="00013B57"/>
    <w:rsid w:val="00013C8B"/>
    <w:rsid w:val="0001411E"/>
    <w:rsid w:val="000143D2"/>
    <w:rsid w:val="00014FCE"/>
    <w:rsid w:val="00015939"/>
    <w:rsid w:val="00020075"/>
    <w:rsid w:val="00021284"/>
    <w:rsid w:val="000212E5"/>
    <w:rsid w:val="000234D9"/>
    <w:rsid w:val="00023655"/>
    <w:rsid w:val="00023941"/>
    <w:rsid w:val="00023B24"/>
    <w:rsid w:val="00023EE4"/>
    <w:rsid w:val="00024967"/>
    <w:rsid w:val="000258E7"/>
    <w:rsid w:val="000261D7"/>
    <w:rsid w:val="00026AC8"/>
    <w:rsid w:val="0003142B"/>
    <w:rsid w:val="00031F36"/>
    <w:rsid w:val="00032512"/>
    <w:rsid w:val="00032659"/>
    <w:rsid w:val="00032BB4"/>
    <w:rsid w:val="00033411"/>
    <w:rsid w:val="000338CE"/>
    <w:rsid w:val="0003399A"/>
    <w:rsid w:val="00034114"/>
    <w:rsid w:val="00034214"/>
    <w:rsid w:val="00037536"/>
    <w:rsid w:val="000405FF"/>
    <w:rsid w:val="00042BB2"/>
    <w:rsid w:val="00043262"/>
    <w:rsid w:val="00043599"/>
    <w:rsid w:val="000473FE"/>
    <w:rsid w:val="00050542"/>
    <w:rsid w:val="00050A90"/>
    <w:rsid w:val="000519D1"/>
    <w:rsid w:val="00052DF6"/>
    <w:rsid w:val="00053C34"/>
    <w:rsid w:val="0005423B"/>
    <w:rsid w:val="000550D7"/>
    <w:rsid w:val="000561B1"/>
    <w:rsid w:val="00057238"/>
    <w:rsid w:val="00057CFA"/>
    <w:rsid w:val="00060232"/>
    <w:rsid w:val="000616F5"/>
    <w:rsid w:val="00061B01"/>
    <w:rsid w:val="00061B32"/>
    <w:rsid w:val="000628C8"/>
    <w:rsid w:val="00064428"/>
    <w:rsid w:val="000644A1"/>
    <w:rsid w:val="00065462"/>
    <w:rsid w:val="000668C9"/>
    <w:rsid w:val="000670F6"/>
    <w:rsid w:val="00067E58"/>
    <w:rsid w:val="00070068"/>
    <w:rsid w:val="0007077F"/>
    <w:rsid w:val="00071397"/>
    <w:rsid w:val="0007149D"/>
    <w:rsid w:val="0007165A"/>
    <w:rsid w:val="0007249E"/>
    <w:rsid w:val="0007375A"/>
    <w:rsid w:val="00073B70"/>
    <w:rsid w:val="00074151"/>
    <w:rsid w:val="0007498D"/>
    <w:rsid w:val="0007504F"/>
    <w:rsid w:val="00075723"/>
    <w:rsid w:val="00075DFA"/>
    <w:rsid w:val="0007652F"/>
    <w:rsid w:val="00077A4B"/>
    <w:rsid w:val="00077C50"/>
    <w:rsid w:val="00080B12"/>
    <w:rsid w:val="00082469"/>
    <w:rsid w:val="000825A3"/>
    <w:rsid w:val="00082930"/>
    <w:rsid w:val="00082BD1"/>
    <w:rsid w:val="00083829"/>
    <w:rsid w:val="00083CB5"/>
    <w:rsid w:val="00084E5A"/>
    <w:rsid w:val="0008522F"/>
    <w:rsid w:val="00085DFE"/>
    <w:rsid w:val="000864EB"/>
    <w:rsid w:val="000873B9"/>
    <w:rsid w:val="00087DAF"/>
    <w:rsid w:val="00091C0A"/>
    <w:rsid w:val="000923F0"/>
    <w:rsid w:val="00092C43"/>
    <w:rsid w:val="00093948"/>
    <w:rsid w:val="00093C96"/>
    <w:rsid w:val="000952FB"/>
    <w:rsid w:val="000955B1"/>
    <w:rsid w:val="000968D8"/>
    <w:rsid w:val="00096CE8"/>
    <w:rsid w:val="000A0129"/>
    <w:rsid w:val="000A01AF"/>
    <w:rsid w:val="000A10F6"/>
    <w:rsid w:val="000A1F31"/>
    <w:rsid w:val="000A2133"/>
    <w:rsid w:val="000A22C3"/>
    <w:rsid w:val="000A2E2F"/>
    <w:rsid w:val="000A354E"/>
    <w:rsid w:val="000A391E"/>
    <w:rsid w:val="000A39D6"/>
    <w:rsid w:val="000A4062"/>
    <w:rsid w:val="000A4903"/>
    <w:rsid w:val="000A49FD"/>
    <w:rsid w:val="000A4B87"/>
    <w:rsid w:val="000A4C9F"/>
    <w:rsid w:val="000A777D"/>
    <w:rsid w:val="000A7AB9"/>
    <w:rsid w:val="000A7EAD"/>
    <w:rsid w:val="000B0BB3"/>
    <w:rsid w:val="000B0E00"/>
    <w:rsid w:val="000B1D38"/>
    <w:rsid w:val="000B212D"/>
    <w:rsid w:val="000B343E"/>
    <w:rsid w:val="000B4183"/>
    <w:rsid w:val="000B4CB3"/>
    <w:rsid w:val="000B6456"/>
    <w:rsid w:val="000B6E3E"/>
    <w:rsid w:val="000B70B0"/>
    <w:rsid w:val="000C29AE"/>
    <w:rsid w:val="000C4F26"/>
    <w:rsid w:val="000C6E26"/>
    <w:rsid w:val="000C7AE4"/>
    <w:rsid w:val="000C7C29"/>
    <w:rsid w:val="000D0031"/>
    <w:rsid w:val="000D07C7"/>
    <w:rsid w:val="000D0B21"/>
    <w:rsid w:val="000D1166"/>
    <w:rsid w:val="000D123B"/>
    <w:rsid w:val="000D19B9"/>
    <w:rsid w:val="000D1DA5"/>
    <w:rsid w:val="000D5B5D"/>
    <w:rsid w:val="000D6FC5"/>
    <w:rsid w:val="000D75BE"/>
    <w:rsid w:val="000D7C5E"/>
    <w:rsid w:val="000E0231"/>
    <w:rsid w:val="000E03D9"/>
    <w:rsid w:val="000E0B64"/>
    <w:rsid w:val="000E28F6"/>
    <w:rsid w:val="000E3404"/>
    <w:rsid w:val="000E36BC"/>
    <w:rsid w:val="000E437A"/>
    <w:rsid w:val="000E444A"/>
    <w:rsid w:val="000E473C"/>
    <w:rsid w:val="000E493B"/>
    <w:rsid w:val="000E59F8"/>
    <w:rsid w:val="000E5C64"/>
    <w:rsid w:val="000E5D88"/>
    <w:rsid w:val="000E6933"/>
    <w:rsid w:val="000E6EBF"/>
    <w:rsid w:val="000E6ED6"/>
    <w:rsid w:val="000F01CE"/>
    <w:rsid w:val="000F0B1F"/>
    <w:rsid w:val="000F0C6D"/>
    <w:rsid w:val="000F11B1"/>
    <w:rsid w:val="000F1B1D"/>
    <w:rsid w:val="000F2AF3"/>
    <w:rsid w:val="000F2F12"/>
    <w:rsid w:val="000F316B"/>
    <w:rsid w:val="000F3299"/>
    <w:rsid w:val="000F40AE"/>
    <w:rsid w:val="000F4B37"/>
    <w:rsid w:val="000F5636"/>
    <w:rsid w:val="000F5666"/>
    <w:rsid w:val="000F5B19"/>
    <w:rsid w:val="000F6045"/>
    <w:rsid w:val="000F7A80"/>
    <w:rsid w:val="00100174"/>
    <w:rsid w:val="00100203"/>
    <w:rsid w:val="00100ACD"/>
    <w:rsid w:val="00101046"/>
    <w:rsid w:val="001017C6"/>
    <w:rsid w:val="00101D99"/>
    <w:rsid w:val="00101FCA"/>
    <w:rsid w:val="001021EA"/>
    <w:rsid w:val="001043E2"/>
    <w:rsid w:val="00104FC3"/>
    <w:rsid w:val="0010740D"/>
    <w:rsid w:val="0010744A"/>
    <w:rsid w:val="00110027"/>
    <w:rsid w:val="00110289"/>
    <w:rsid w:val="001109F3"/>
    <w:rsid w:val="00110F03"/>
    <w:rsid w:val="001114F5"/>
    <w:rsid w:val="001117EE"/>
    <w:rsid w:val="001128D0"/>
    <w:rsid w:val="00113652"/>
    <w:rsid w:val="00113F3B"/>
    <w:rsid w:val="0011417F"/>
    <w:rsid w:val="001143C4"/>
    <w:rsid w:val="0011502F"/>
    <w:rsid w:val="00115160"/>
    <w:rsid w:val="0011532A"/>
    <w:rsid w:val="001163E3"/>
    <w:rsid w:val="00116432"/>
    <w:rsid w:val="001173CB"/>
    <w:rsid w:val="00117CCC"/>
    <w:rsid w:val="0012002E"/>
    <w:rsid w:val="001202AD"/>
    <w:rsid w:val="00120893"/>
    <w:rsid w:val="00121314"/>
    <w:rsid w:val="0012477E"/>
    <w:rsid w:val="0012498C"/>
    <w:rsid w:val="00124A10"/>
    <w:rsid w:val="001258C8"/>
    <w:rsid w:val="00126608"/>
    <w:rsid w:val="0012682A"/>
    <w:rsid w:val="001304EE"/>
    <w:rsid w:val="00130F54"/>
    <w:rsid w:val="00131128"/>
    <w:rsid w:val="001319AA"/>
    <w:rsid w:val="00133BFC"/>
    <w:rsid w:val="0013428D"/>
    <w:rsid w:val="00134334"/>
    <w:rsid w:val="0013441B"/>
    <w:rsid w:val="00134935"/>
    <w:rsid w:val="00134E12"/>
    <w:rsid w:val="0013534A"/>
    <w:rsid w:val="00135961"/>
    <w:rsid w:val="00135A4C"/>
    <w:rsid w:val="00135BCD"/>
    <w:rsid w:val="00135CB0"/>
    <w:rsid w:val="0013621C"/>
    <w:rsid w:val="00136D96"/>
    <w:rsid w:val="001370A8"/>
    <w:rsid w:val="0013717C"/>
    <w:rsid w:val="00137ED4"/>
    <w:rsid w:val="00141B12"/>
    <w:rsid w:val="00142329"/>
    <w:rsid w:val="0014263C"/>
    <w:rsid w:val="001433C3"/>
    <w:rsid w:val="00143741"/>
    <w:rsid w:val="00143839"/>
    <w:rsid w:val="0014400E"/>
    <w:rsid w:val="00145724"/>
    <w:rsid w:val="00145783"/>
    <w:rsid w:val="00145842"/>
    <w:rsid w:val="00145B94"/>
    <w:rsid w:val="00146121"/>
    <w:rsid w:val="00147605"/>
    <w:rsid w:val="00150D1F"/>
    <w:rsid w:val="00150D93"/>
    <w:rsid w:val="001546CD"/>
    <w:rsid w:val="00154A40"/>
    <w:rsid w:val="001550C3"/>
    <w:rsid w:val="00156489"/>
    <w:rsid w:val="00156541"/>
    <w:rsid w:val="00156F43"/>
    <w:rsid w:val="00157BCD"/>
    <w:rsid w:val="00157C9C"/>
    <w:rsid w:val="00157D15"/>
    <w:rsid w:val="00160149"/>
    <w:rsid w:val="001602CA"/>
    <w:rsid w:val="0016035D"/>
    <w:rsid w:val="00160550"/>
    <w:rsid w:val="00160C14"/>
    <w:rsid w:val="001617DC"/>
    <w:rsid w:val="00162322"/>
    <w:rsid w:val="0016279F"/>
    <w:rsid w:val="00162E15"/>
    <w:rsid w:val="00162EF6"/>
    <w:rsid w:val="00162F1F"/>
    <w:rsid w:val="00164097"/>
    <w:rsid w:val="00164711"/>
    <w:rsid w:val="00164B03"/>
    <w:rsid w:val="00165145"/>
    <w:rsid w:val="001663AA"/>
    <w:rsid w:val="00166591"/>
    <w:rsid w:val="001669C7"/>
    <w:rsid w:val="00167A2B"/>
    <w:rsid w:val="00170AB8"/>
    <w:rsid w:val="00171BB5"/>
    <w:rsid w:val="00173152"/>
    <w:rsid w:val="0017315D"/>
    <w:rsid w:val="00173360"/>
    <w:rsid w:val="001737F9"/>
    <w:rsid w:val="00173C3E"/>
    <w:rsid w:val="00174220"/>
    <w:rsid w:val="001744FB"/>
    <w:rsid w:val="001747A3"/>
    <w:rsid w:val="00175DB4"/>
    <w:rsid w:val="00177843"/>
    <w:rsid w:val="00180C5A"/>
    <w:rsid w:val="0018162C"/>
    <w:rsid w:val="00182B6B"/>
    <w:rsid w:val="00182DCD"/>
    <w:rsid w:val="001831F4"/>
    <w:rsid w:val="001832D9"/>
    <w:rsid w:val="00183E64"/>
    <w:rsid w:val="0018430C"/>
    <w:rsid w:val="001849DF"/>
    <w:rsid w:val="00184BEB"/>
    <w:rsid w:val="001855C3"/>
    <w:rsid w:val="0018615A"/>
    <w:rsid w:val="00186597"/>
    <w:rsid w:val="00187044"/>
    <w:rsid w:val="00187710"/>
    <w:rsid w:val="00190169"/>
    <w:rsid w:val="00191BF1"/>
    <w:rsid w:val="00192572"/>
    <w:rsid w:val="00193F32"/>
    <w:rsid w:val="00194502"/>
    <w:rsid w:val="00194541"/>
    <w:rsid w:val="00195B0C"/>
    <w:rsid w:val="0019658A"/>
    <w:rsid w:val="001967F5"/>
    <w:rsid w:val="00196805"/>
    <w:rsid w:val="001A0264"/>
    <w:rsid w:val="001A07BF"/>
    <w:rsid w:val="001A09D1"/>
    <w:rsid w:val="001A162F"/>
    <w:rsid w:val="001A16F3"/>
    <w:rsid w:val="001A3171"/>
    <w:rsid w:val="001A35A0"/>
    <w:rsid w:val="001A3835"/>
    <w:rsid w:val="001A4036"/>
    <w:rsid w:val="001A46E0"/>
    <w:rsid w:val="001A5C4A"/>
    <w:rsid w:val="001A6DF8"/>
    <w:rsid w:val="001A6E83"/>
    <w:rsid w:val="001A7372"/>
    <w:rsid w:val="001A7AF1"/>
    <w:rsid w:val="001B0197"/>
    <w:rsid w:val="001B1491"/>
    <w:rsid w:val="001B2A45"/>
    <w:rsid w:val="001B2DDF"/>
    <w:rsid w:val="001B3615"/>
    <w:rsid w:val="001B549B"/>
    <w:rsid w:val="001B6177"/>
    <w:rsid w:val="001B734F"/>
    <w:rsid w:val="001B7A52"/>
    <w:rsid w:val="001C0367"/>
    <w:rsid w:val="001C1026"/>
    <w:rsid w:val="001C1BE0"/>
    <w:rsid w:val="001C24FC"/>
    <w:rsid w:val="001C2D37"/>
    <w:rsid w:val="001C369C"/>
    <w:rsid w:val="001C4BB5"/>
    <w:rsid w:val="001C542D"/>
    <w:rsid w:val="001C54FD"/>
    <w:rsid w:val="001C5A02"/>
    <w:rsid w:val="001C65DC"/>
    <w:rsid w:val="001C7DE4"/>
    <w:rsid w:val="001D03BB"/>
    <w:rsid w:val="001D0DA3"/>
    <w:rsid w:val="001D1A9C"/>
    <w:rsid w:val="001D1D28"/>
    <w:rsid w:val="001D2037"/>
    <w:rsid w:val="001D28F4"/>
    <w:rsid w:val="001D395D"/>
    <w:rsid w:val="001D4026"/>
    <w:rsid w:val="001D4D27"/>
    <w:rsid w:val="001D5610"/>
    <w:rsid w:val="001D5617"/>
    <w:rsid w:val="001D60A6"/>
    <w:rsid w:val="001D6719"/>
    <w:rsid w:val="001D6A71"/>
    <w:rsid w:val="001D6DB0"/>
    <w:rsid w:val="001D75F2"/>
    <w:rsid w:val="001D7C7F"/>
    <w:rsid w:val="001E019A"/>
    <w:rsid w:val="001E03B2"/>
    <w:rsid w:val="001E0492"/>
    <w:rsid w:val="001E14AC"/>
    <w:rsid w:val="001E1575"/>
    <w:rsid w:val="001E16A1"/>
    <w:rsid w:val="001E172D"/>
    <w:rsid w:val="001E1B20"/>
    <w:rsid w:val="001E1C92"/>
    <w:rsid w:val="001E2D8B"/>
    <w:rsid w:val="001E2E1C"/>
    <w:rsid w:val="001E463F"/>
    <w:rsid w:val="001E4EC0"/>
    <w:rsid w:val="001E53B4"/>
    <w:rsid w:val="001E57B6"/>
    <w:rsid w:val="001E5ADF"/>
    <w:rsid w:val="001E66DF"/>
    <w:rsid w:val="001E681C"/>
    <w:rsid w:val="001E6B0F"/>
    <w:rsid w:val="001E728F"/>
    <w:rsid w:val="001F0685"/>
    <w:rsid w:val="001F0854"/>
    <w:rsid w:val="001F0D8D"/>
    <w:rsid w:val="001F1DC6"/>
    <w:rsid w:val="001F1FDE"/>
    <w:rsid w:val="001F2EDB"/>
    <w:rsid w:val="001F329D"/>
    <w:rsid w:val="001F32B6"/>
    <w:rsid w:val="001F3901"/>
    <w:rsid w:val="001F3F42"/>
    <w:rsid w:val="001F40D2"/>
    <w:rsid w:val="001F43CF"/>
    <w:rsid w:val="001F44CB"/>
    <w:rsid w:val="001F4E23"/>
    <w:rsid w:val="001F648F"/>
    <w:rsid w:val="001F66C7"/>
    <w:rsid w:val="001F6B8C"/>
    <w:rsid w:val="00200863"/>
    <w:rsid w:val="00200AFE"/>
    <w:rsid w:val="00200C93"/>
    <w:rsid w:val="00201681"/>
    <w:rsid w:val="002017A8"/>
    <w:rsid w:val="0020453B"/>
    <w:rsid w:val="00204D19"/>
    <w:rsid w:val="00205937"/>
    <w:rsid w:val="00205B18"/>
    <w:rsid w:val="002109BA"/>
    <w:rsid w:val="002114CC"/>
    <w:rsid w:val="002139C0"/>
    <w:rsid w:val="0021413B"/>
    <w:rsid w:val="0021419C"/>
    <w:rsid w:val="00214398"/>
    <w:rsid w:val="00216224"/>
    <w:rsid w:val="00216AC6"/>
    <w:rsid w:val="00216D88"/>
    <w:rsid w:val="00216FEB"/>
    <w:rsid w:val="002176A1"/>
    <w:rsid w:val="00217C78"/>
    <w:rsid w:val="002209EC"/>
    <w:rsid w:val="00220E5D"/>
    <w:rsid w:val="002211A2"/>
    <w:rsid w:val="00221949"/>
    <w:rsid w:val="00221F9A"/>
    <w:rsid w:val="00223083"/>
    <w:rsid w:val="002230F0"/>
    <w:rsid w:val="00223CB4"/>
    <w:rsid w:val="00223F1B"/>
    <w:rsid w:val="00224470"/>
    <w:rsid w:val="00224B7D"/>
    <w:rsid w:val="0022528C"/>
    <w:rsid w:val="00225A1E"/>
    <w:rsid w:val="00225F4E"/>
    <w:rsid w:val="0022636E"/>
    <w:rsid w:val="00226446"/>
    <w:rsid w:val="002267B0"/>
    <w:rsid w:val="00227C58"/>
    <w:rsid w:val="00227E9B"/>
    <w:rsid w:val="00230710"/>
    <w:rsid w:val="00231B76"/>
    <w:rsid w:val="002343E3"/>
    <w:rsid w:val="0023636A"/>
    <w:rsid w:val="0023758A"/>
    <w:rsid w:val="00237AB4"/>
    <w:rsid w:val="00237AFC"/>
    <w:rsid w:val="00237D56"/>
    <w:rsid w:val="00240C3C"/>
    <w:rsid w:val="00241EE3"/>
    <w:rsid w:val="00241FB3"/>
    <w:rsid w:val="00242618"/>
    <w:rsid w:val="00242769"/>
    <w:rsid w:val="00243274"/>
    <w:rsid w:val="002432CA"/>
    <w:rsid w:val="00243B00"/>
    <w:rsid w:val="002452FF"/>
    <w:rsid w:val="00245949"/>
    <w:rsid w:val="00246280"/>
    <w:rsid w:val="0024741B"/>
    <w:rsid w:val="002477F5"/>
    <w:rsid w:val="00247FFD"/>
    <w:rsid w:val="002504CD"/>
    <w:rsid w:val="00250F61"/>
    <w:rsid w:val="00252658"/>
    <w:rsid w:val="002527EE"/>
    <w:rsid w:val="00252946"/>
    <w:rsid w:val="0025318A"/>
    <w:rsid w:val="00254170"/>
    <w:rsid w:val="00254B6B"/>
    <w:rsid w:val="00254BEA"/>
    <w:rsid w:val="00255376"/>
    <w:rsid w:val="00255AAF"/>
    <w:rsid w:val="00255DA1"/>
    <w:rsid w:val="00256B69"/>
    <w:rsid w:val="00256F7B"/>
    <w:rsid w:val="002604B9"/>
    <w:rsid w:val="002605E4"/>
    <w:rsid w:val="00260A9F"/>
    <w:rsid w:val="00260F59"/>
    <w:rsid w:val="00262770"/>
    <w:rsid w:val="002638C2"/>
    <w:rsid w:val="00264586"/>
    <w:rsid w:val="00265DD9"/>
    <w:rsid w:val="00266952"/>
    <w:rsid w:val="00266C19"/>
    <w:rsid w:val="002677CD"/>
    <w:rsid w:val="00267AED"/>
    <w:rsid w:val="0027078E"/>
    <w:rsid w:val="002718CB"/>
    <w:rsid w:val="00272073"/>
    <w:rsid w:val="00272AE6"/>
    <w:rsid w:val="00272C8B"/>
    <w:rsid w:val="00272DF2"/>
    <w:rsid w:val="00273086"/>
    <w:rsid w:val="0027356E"/>
    <w:rsid w:val="00273750"/>
    <w:rsid w:val="00273CBE"/>
    <w:rsid w:val="00274B23"/>
    <w:rsid w:val="00276357"/>
    <w:rsid w:val="002806A8"/>
    <w:rsid w:val="002808E2"/>
    <w:rsid w:val="00280CF7"/>
    <w:rsid w:val="00281C2B"/>
    <w:rsid w:val="00282597"/>
    <w:rsid w:val="00282CB6"/>
    <w:rsid w:val="00283ABA"/>
    <w:rsid w:val="0028405A"/>
    <w:rsid w:val="00284C95"/>
    <w:rsid w:val="00285009"/>
    <w:rsid w:val="00285974"/>
    <w:rsid w:val="00290574"/>
    <w:rsid w:val="00290C1D"/>
    <w:rsid w:val="00292558"/>
    <w:rsid w:val="00292B8F"/>
    <w:rsid w:val="00293934"/>
    <w:rsid w:val="00294045"/>
    <w:rsid w:val="00294355"/>
    <w:rsid w:val="002963EF"/>
    <w:rsid w:val="002969EF"/>
    <w:rsid w:val="0029780D"/>
    <w:rsid w:val="00297893"/>
    <w:rsid w:val="00297E72"/>
    <w:rsid w:val="002A0B34"/>
    <w:rsid w:val="002A0BDE"/>
    <w:rsid w:val="002A144B"/>
    <w:rsid w:val="002A1BBF"/>
    <w:rsid w:val="002A3C57"/>
    <w:rsid w:val="002A441E"/>
    <w:rsid w:val="002A442E"/>
    <w:rsid w:val="002A4E82"/>
    <w:rsid w:val="002A54D0"/>
    <w:rsid w:val="002A6039"/>
    <w:rsid w:val="002A6559"/>
    <w:rsid w:val="002A6B8F"/>
    <w:rsid w:val="002A7140"/>
    <w:rsid w:val="002A7659"/>
    <w:rsid w:val="002B04AF"/>
    <w:rsid w:val="002B1EBA"/>
    <w:rsid w:val="002B2004"/>
    <w:rsid w:val="002B30D1"/>
    <w:rsid w:val="002B354E"/>
    <w:rsid w:val="002B3D9A"/>
    <w:rsid w:val="002B4286"/>
    <w:rsid w:val="002B5033"/>
    <w:rsid w:val="002B5C74"/>
    <w:rsid w:val="002B5F89"/>
    <w:rsid w:val="002B6B97"/>
    <w:rsid w:val="002B6D86"/>
    <w:rsid w:val="002B75A1"/>
    <w:rsid w:val="002B7769"/>
    <w:rsid w:val="002C1B71"/>
    <w:rsid w:val="002C380E"/>
    <w:rsid w:val="002C3FC4"/>
    <w:rsid w:val="002C41F1"/>
    <w:rsid w:val="002C4768"/>
    <w:rsid w:val="002C5139"/>
    <w:rsid w:val="002C6EB3"/>
    <w:rsid w:val="002C722D"/>
    <w:rsid w:val="002C7288"/>
    <w:rsid w:val="002D0A62"/>
    <w:rsid w:val="002D0B35"/>
    <w:rsid w:val="002D0F86"/>
    <w:rsid w:val="002D103E"/>
    <w:rsid w:val="002D1123"/>
    <w:rsid w:val="002D2645"/>
    <w:rsid w:val="002D3D8D"/>
    <w:rsid w:val="002D451E"/>
    <w:rsid w:val="002D48CF"/>
    <w:rsid w:val="002D4D92"/>
    <w:rsid w:val="002D529F"/>
    <w:rsid w:val="002D5C19"/>
    <w:rsid w:val="002D6333"/>
    <w:rsid w:val="002D699E"/>
    <w:rsid w:val="002D71C8"/>
    <w:rsid w:val="002D7456"/>
    <w:rsid w:val="002D75C0"/>
    <w:rsid w:val="002D78C4"/>
    <w:rsid w:val="002D7C0C"/>
    <w:rsid w:val="002D7EDD"/>
    <w:rsid w:val="002E0A4F"/>
    <w:rsid w:val="002E0D81"/>
    <w:rsid w:val="002E1448"/>
    <w:rsid w:val="002E19E3"/>
    <w:rsid w:val="002E1BAC"/>
    <w:rsid w:val="002E1CA9"/>
    <w:rsid w:val="002E3240"/>
    <w:rsid w:val="002E3811"/>
    <w:rsid w:val="002E3FE4"/>
    <w:rsid w:val="002E4559"/>
    <w:rsid w:val="002E58E4"/>
    <w:rsid w:val="002E5928"/>
    <w:rsid w:val="002E6469"/>
    <w:rsid w:val="002E660F"/>
    <w:rsid w:val="002E7D3A"/>
    <w:rsid w:val="002F0205"/>
    <w:rsid w:val="002F0272"/>
    <w:rsid w:val="002F0B0E"/>
    <w:rsid w:val="002F0F6F"/>
    <w:rsid w:val="002F214D"/>
    <w:rsid w:val="002F246E"/>
    <w:rsid w:val="002F260D"/>
    <w:rsid w:val="002F46A0"/>
    <w:rsid w:val="002F48FD"/>
    <w:rsid w:val="002F4FF3"/>
    <w:rsid w:val="002F519B"/>
    <w:rsid w:val="002F5764"/>
    <w:rsid w:val="002F66B1"/>
    <w:rsid w:val="002F7DD0"/>
    <w:rsid w:val="0030041F"/>
    <w:rsid w:val="00300CDC"/>
    <w:rsid w:val="0030206D"/>
    <w:rsid w:val="00302801"/>
    <w:rsid w:val="00303D97"/>
    <w:rsid w:val="00304431"/>
    <w:rsid w:val="00304ED7"/>
    <w:rsid w:val="00305519"/>
    <w:rsid w:val="00305B5F"/>
    <w:rsid w:val="00305CAC"/>
    <w:rsid w:val="00305F29"/>
    <w:rsid w:val="003066EE"/>
    <w:rsid w:val="003067FA"/>
    <w:rsid w:val="00306818"/>
    <w:rsid w:val="00306961"/>
    <w:rsid w:val="00307A72"/>
    <w:rsid w:val="00311A98"/>
    <w:rsid w:val="00311B99"/>
    <w:rsid w:val="00311F01"/>
    <w:rsid w:val="00312344"/>
    <w:rsid w:val="00313375"/>
    <w:rsid w:val="0031493F"/>
    <w:rsid w:val="003167EB"/>
    <w:rsid w:val="003171B1"/>
    <w:rsid w:val="003172C7"/>
    <w:rsid w:val="003177D8"/>
    <w:rsid w:val="003178E3"/>
    <w:rsid w:val="00320B8B"/>
    <w:rsid w:val="00320DEB"/>
    <w:rsid w:val="003226A6"/>
    <w:rsid w:val="00322B21"/>
    <w:rsid w:val="00324A46"/>
    <w:rsid w:val="00324C89"/>
    <w:rsid w:val="0032664A"/>
    <w:rsid w:val="00326C4A"/>
    <w:rsid w:val="003302B7"/>
    <w:rsid w:val="00330D42"/>
    <w:rsid w:val="00330E6A"/>
    <w:rsid w:val="00331043"/>
    <w:rsid w:val="0033150C"/>
    <w:rsid w:val="00332454"/>
    <w:rsid w:val="003336D9"/>
    <w:rsid w:val="00336205"/>
    <w:rsid w:val="003362FB"/>
    <w:rsid w:val="003363C6"/>
    <w:rsid w:val="003363EC"/>
    <w:rsid w:val="00336D1E"/>
    <w:rsid w:val="00336FF2"/>
    <w:rsid w:val="00337F13"/>
    <w:rsid w:val="00341448"/>
    <w:rsid w:val="00341703"/>
    <w:rsid w:val="00341C15"/>
    <w:rsid w:val="0034221D"/>
    <w:rsid w:val="00342377"/>
    <w:rsid w:val="003430BE"/>
    <w:rsid w:val="0034409C"/>
    <w:rsid w:val="00345653"/>
    <w:rsid w:val="00346362"/>
    <w:rsid w:val="003473A5"/>
    <w:rsid w:val="003474E1"/>
    <w:rsid w:val="00347CB9"/>
    <w:rsid w:val="00347CD0"/>
    <w:rsid w:val="0035048B"/>
    <w:rsid w:val="00350EEA"/>
    <w:rsid w:val="00352440"/>
    <w:rsid w:val="00353246"/>
    <w:rsid w:val="00353BD0"/>
    <w:rsid w:val="00353E2D"/>
    <w:rsid w:val="003540DF"/>
    <w:rsid w:val="00355AB7"/>
    <w:rsid w:val="00357BBF"/>
    <w:rsid w:val="00357F3B"/>
    <w:rsid w:val="0036019A"/>
    <w:rsid w:val="00360308"/>
    <w:rsid w:val="003604D6"/>
    <w:rsid w:val="00360A4B"/>
    <w:rsid w:val="0036106F"/>
    <w:rsid w:val="003623C3"/>
    <w:rsid w:val="00362485"/>
    <w:rsid w:val="00362C74"/>
    <w:rsid w:val="00363049"/>
    <w:rsid w:val="003633AE"/>
    <w:rsid w:val="00363B1C"/>
    <w:rsid w:val="00363FAE"/>
    <w:rsid w:val="0036428D"/>
    <w:rsid w:val="00365EB0"/>
    <w:rsid w:val="00365FEE"/>
    <w:rsid w:val="003666AA"/>
    <w:rsid w:val="003668A0"/>
    <w:rsid w:val="003676D1"/>
    <w:rsid w:val="0036791E"/>
    <w:rsid w:val="0037172C"/>
    <w:rsid w:val="00372119"/>
    <w:rsid w:val="00372D93"/>
    <w:rsid w:val="003733FF"/>
    <w:rsid w:val="00373796"/>
    <w:rsid w:val="00373AD0"/>
    <w:rsid w:val="003749A3"/>
    <w:rsid w:val="00374A22"/>
    <w:rsid w:val="00374C0E"/>
    <w:rsid w:val="00374D4B"/>
    <w:rsid w:val="00375A93"/>
    <w:rsid w:val="00376020"/>
    <w:rsid w:val="0037770C"/>
    <w:rsid w:val="00377D59"/>
    <w:rsid w:val="00380DCF"/>
    <w:rsid w:val="00380E29"/>
    <w:rsid w:val="00382ADC"/>
    <w:rsid w:val="0038441B"/>
    <w:rsid w:val="003848F0"/>
    <w:rsid w:val="003854F0"/>
    <w:rsid w:val="003860E1"/>
    <w:rsid w:val="0038616A"/>
    <w:rsid w:val="003875A5"/>
    <w:rsid w:val="003876C0"/>
    <w:rsid w:val="00387D2D"/>
    <w:rsid w:val="003915BC"/>
    <w:rsid w:val="003928E2"/>
    <w:rsid w:val="00392CD3"/>
    <w:rsid w:val="003931A2"/>
    <w:rsid w:val="00393598"/>
    <w:rsid w:val="00393A76"/>
    <w:rsid w:val="00393D06"/>
    <w:rsid w:val="0039411A"/>
    <w:rsid w:val="0039490A"/>
    <w:rsid w:val="00395287"/>
    <w:rsid w:val="003955C7"/>
    <w:rsid w:val="00395EE7"/>
    <w:rsid w:val="003968D3"/>
    <w:rsid w:val="003972B3"/>
    <w:rsid w:val="0039774B"/>
    <w:rsid w:val="003A0F76"/>
    <w:rsid w:val="003A2641"/>
    <w:rsid w:val="003A2827"/>
    <w:rsid w:val="003A2CAE"/>
    <w:rsid w:val="003A3F32"/>
    <w:rsid w:val="003A4B22"/>
    <w:rsid w:val="003A4CA1"/>
    <w:rsid w:val="003A61A1"/>
    <w:rsid w:val="003A6CA7"/>
    <w:rsid w:val="003A7594"/>
    <w:rsid w:val="003B05D4"/>
    <w:rsid w:val="003B13E7"/>
    <w:rsid w:val="003B2C18"/>
    <w:rsid w:val="003B2D3F"/>
    <w:rsid w:val="003B45B7"/>
    <w:rsid w:val="003B4EB2"/>
    <w:rsid w:val="003B5E5A"/>
    <w:rsid w:val="003B6952"/>
    <w:rsid w:val="003B7356"/>
    <w:rsid w:val="003C017B"/>
    <w:rsid w:val="003C1AA4"/>
    <w:rsid w:val="003C2EC9"/>
    <w:rsid w:val="003C2FEE"/>
    <w:rsid w:val="003C40FF"/>
    <w:rsid w:val="003C41EA"/>
    <w:rsid w:val="003C5409"/>
    <w:rsid w:val="003C5850"/>
    <w:rsid w:val="003C597F"/>
    <w:rsid w:val="003C7A1F"/>
    <w:rsid w:val="003C7EF7"/>
    <w:rsid w:val="003D0227"/>
    <w:rsid w:val="003D22A3"/>
    <w:rsid w:val="003D2BD6"/>
    <w:rsid w:val="003D4732"/>
    <w:rsid w:val="003D4DA5"/>
    <w:rsid w:val="003D55D4"/>
    <w:rsid w:val="003D577F"/>
    <w:rsid w:val="003D5F0E"/>
    <w:rsid w:val="003D624C"/>
    <w:rsid w:val="003D669F"/>
    <w:rsid w:val="003E15FE"/>
    <w:rsid w:val="003E23D8"/>
    <w:rsid w:val="003E33AC"/>
    <w:rsid w:val="003E4F7B"/>
    <w:rsid w:val="003E55F6"/>
    <w:rsid w:val="003E5680"/>
    <w:rsid w:val="003E5C6C"/>
    <w:rsid w:val="003E67C8"/>
    <w:rsid w:val="003F0BDC"/>
    <w:rsid w:val="003F0D5A"/>
    <w:rsid w:val="003F0D70"/>
    <w:rsid w:val="003F12CC"/>
    <w:rsid w:val="003F2C1F"/>
    <w:rsid w:val="003F36AF"/>
    <w:rsid w:val="003F4043"/>
    <w:rsid w:val="003F405D"/>
    <w:rsid w:val="003F44ED"/>
    <w:rsid w:val="003F53EC"/>
    <w:rsid w:val="003F58BE"/>
    <w:rsid w:val="003F60A1"/>
    <w:rsid w:val="003F6358"/>
    <w:rsid w:val="003F6C8D"/>
    <w:rsid w:val="0040093E"/>
    <w:rsid w:val="0040136C"/>
    <w:rsid w:val="0040194C"/>
    <w:rsid w:val="004029BE"/>
    <w:rsid w:val="00402A22"/>
    <w:rsid w:val="00402DAC"/>
    <w:rsid w:val="00404974"/>
    <w:rsid w:val="00404BCF"/>
    <w:rsid w:val="00406A18"/>
    <w:rsid w:val="00407A8B"/>
    <w:rsid w:val="00410274"/>
    <w:rsid w:val="00410D6F"/>
    <w:rsid w:val="00411F38"/>
    <w:rsid w:val="004124AC"/>
    <w:rsid w:val="00412AFB"/>
    <w:rsid w:val="00414535"/>
    <w:rsid w:val="00415FA5"/>
    <w:rsid w:val="004174D7"/>
    <w:rsid w:val="00420032"/>
    <w:rsid w:val="0042046D"/>
    <w:rsid w:val="0042102F"/>
    <w:rsid w:val="00421486"/>
    <w:rsid w:val="00421A39"/>
    <w:rsid w:val="00422126"/>
    <w:rsid w:val="0042262A"/>
    <w:rsid w:val="00422A4A"/>
    <w:rsid w:val="00422A5F"/>
    <w:rsid w:val="00422DFF"/>
    <w:rsid w:val="00422E9F"/>
    <w:rsid w:val="00424565"/>
    <w:rsid w:val="0042589A"/>
    <w:rsid w:val="004276C0"/>
    <w:rsid w:val="00430025"/>
    <w:rsid w:val="00430DD2"/>
    <w:rsid w:val="004313A2"/>
    <w:rsid w:val="00432A14"/>
    <w:rsid w:val="004336B7"/>
    <w:rsid w:val="00433849"/>
    <w:rsid w:val="00434252"/>
    <w:rsid w:val="00435101"/>
    <w:rsid w:val="004356E0"/>
    <w:rsid w:val="004359B8"/>
    <w:rsid w:val="00436B46"/>
    <w:rsid w:val="004372D8"/>
    <w:rsid w:val="0043786A"/>
    <w:rsid w:val="0044005B"/>
    <w:rsid w:val="004400E6"/>
    <w:rsid w:val="004427F4"/>
    <w:rsid w:val="00442BAD"/>
    <w:rsid w:val="00442CFC"/>
    <w:rsid w:val="004437A1"/>
    <w:rsid w:val="00443ED4"/>
    <w:rsid w:val="0044465E"/>
    <w:rsid w:val="00444BB6"/>
    <w:rsid w:val="00446211"/>
    <w:rsid w:val="004507EF"/>
    <w:rsid w:val="00450826"/>
    <w:rsid w:val="00452F63"/>
    <w:rsid w:val="00453542"/>
    <w:rsid w:val="00454A3E"/>
    <w:rsid w:val="0045548F"/>
    <w:rsid w:val="00455AFE"/>
    <w:rsid w:val="00455B93"/>
    <w:rsid w:val="00457941"/>
    <w:rsid w:val="00457E70"/>
    <w:rsid w:val="00460C54"/>
    <w:rsid w:val="004615FC"/>
    <w:rsid w:val="00461A78"/>
    <w:rsid w:val="004625C7"/>
    <w:rsid w:val="004627C2"/>
    <w:rsid w:val="00462BDC"/>
    <w:rsid w:val="00462D3E"/>
    <w:rsid w:val="00463D08"/>
    <w:rsid w:val="00465AC2"/>
    <w:rsid w:val="0046768F"/>
    <w:rsid w:val="00470741"/>
    <w:rsid w:val="00470D47"/>
    <w:rsid w:val="00471451"/>
    <w:rsid w:val="004715DB"/>
    <w:rsid w:val="004717C0"/>
    <w:rsid w:val="00473AAD"/>
    <w:rsid w:val="00474401"/>
    <w:rsid w:val="004747DC"/>
    <w:rsid w:val="0047597A"/>
    <w:rsid w:val="004764ED"/>
    <w:rsid w:val="00476E48"/>
    <w:rsid w:val="00477338"/>
    <w:rsid w:val="00477A0B"/>
    <w:rsid w:val="00477C51"/>
    <w:rsid w:val="00477D8B"/>
    <w:rsid w:val="00480447"/>
    <w:rsid w:val="0048064E"/>
    <w:rsid w:val="00480F0B"/>
    <w:rsid w:val="004817E3"/>
    <w:rsid w:val="0048199C"/>
    <w:rsid w:val="004828EA"/>
    <w:rsid w:val="00483790"/>
    <w:rsid w:val="004839B8"/>
    <w:rsid w:val="00484176"/>
    <w:rsid w:val="0048479C"/>
    <w:rsid w:val="00485625"/>
    <w:rsid w:val="00485D00"/>
    <w:rsid w:val="00485D15"/>
    <w:rsid w:val="004874CA"/>
    <w:rsid w:val="004877F9"/>
    <w:rsid w:val="00487FF5"/>
    <w:rsid w:val="00490982"/>
    <w:rsid w:val="0049227B"/>
    <w:rsid w:val="00493399"/>
    <w:rsid w:val="0049394B"/>
    <w:rsid w:val="00493994"/>
    <w:rsid w:val="00493D22"/>
    <w:rsid w:val="00494A14"/>
    <w:rsid w:val="00496A98"/>
    <w:rsid w:val="00496ABD"/>
    <w:rsid w:val="004975DA"/>
    <w:rsid w:val="004A01F3"/>
    <w:rsid w:val="004A3190"/>
    <w:rsid w:val="004A3B39"/>
    <w:rsid w:val="004A6B07"/>
    <w:rsid w:val="004A74A7"/>
    <w:rsid w:val="004A7549"/>
    <w:rsid w:val="004B0127"/>
    <w:rsid w:val="004B1704"/>
    <w:rsid w:val="004B1BD0"/>
    <w:rsid w:val="004B224B"/>
    <w:rsid w:val="004B225F"/>
    <w:rsid w:val="004B245A"/>
    <w:rsid w:val="004B2A85"/>
    <w:rsid w:val="004B4505"/>
    <w:rsid w:val="004B63C9"/>
    <w:rsid w:val="004B63D6"/>
    <w:rsid w:val="004B68DE"/>
    <w:rsid w:val="004B6B28"/>
    <w:rsid w:val="004B7381"/>
    <w:rsid w:val="004B7736"/>
    <w:rsid w:val="004C2392"/>
    <w:rsid w:val="004C2C5B"/>
    <w:rsid w:val="004C338E"/>
    <w:rsid w:val="004C3DD5"/>
    <w:rsid w:val="004C4171"/>
    <w:rsid w:val="004C4DFA"/>
    <w:rsid w:val="004C5F21"/>
    <w:rsid w:val="004D041E"/>
    <w:rsid w:val="004D060A"/>
    <w:rsid w:val="004D119F"/>
    <w:rsid w:val="004D182F"/>
    <w:rsid w:val="004D1E83"/>
    <w:rsid w:val="004D2D13"/>
    <w:rsid w:val="004D2EDA"/>
    <w:rsid w:val="004D38CF"/>
    <w:rsid w:val="004D3BCA"/>
    <w:rsid w:val="004D45F1"/>
    <w:rsid w:val="004D4A38"/>
    <w:rsid w:val="004D4AFE"/>
    <w:rsid w:val="004D59D6"/>
    <w:rsid w:val="004D5CED"/>
    <w:rsid w:val="004D62FF"/>
    <w:rsid w:val="004E0701"/>
    <w:rsid w:val="004E0F40"/>
    <w:rsid w:val="004E19E5"/>
    <w:rsid w:val="004E21A4"/>
    <w:rsid w:val="004E24F8"/>
    <w:rsid w:val="004E348F"/>
    <w:rsid w:val="004E45B9"/>
    <w:rsid w:val="004E51AB"/>
    <w:rsid w:val="004E563B"/>
    <w:rsid w:val="004E6502"/>
    <w:rsid w:val="004E7A04"/>
    <w:rsid w:val="004F062C"/>
    <w:rsid w:val="004F0B9D"/>
    <w:rsid w:val="004F123C"/>
    <w:rsid w:val="004F1BEB"/>
    <w:rsid w:val="004F2029"/>
    <w:rsid w:val="004F3BC3"/>
    <w:rsid w:val="004F4984"/>
    <w:rsid w:val="004F4A30"/>
    <w:rsid w:val="004F516F"/>
    <w:rsid w:val="004F5361"/>
    <w:rsid w:val="004F6171"/>
    <w:rsid w:val="004F618D"/>
    <w:rsid w:val="004F638E"/>
    <w:rsid w:val="004F63EF"/>
    <w:rsid w:val="004F70B9"/>
    <w:rsid w:val="00500526"/>
    <w:rsid w:val="00500A31"/>
    <w:rsid w:val="005013BD"/>
    <w:rsid w:val="00501E64"/>
    <w:rsid w:val="00503291"/>
    <w:rsid w:val="005034AE"/>
    <w:rsid w:val="00503EBF"/>
    <w:rsid w:val="00504573"/>
    <w:rsid w:val="00505934"/>
    <w:rsid w:val="00505B11"/>
    <w:rsid w:val="00507E1D"/>
    <w:rsid w:val="005118A5"/>
    <w:rsid w:val="00511FA8"/>
    <w:rsid w:val="00512182"/>
    <w:rsid w:val="0051325F"/>
    <w:rsid w:val="00513754"/>
    <w:rsid w:val="00513B3A"/>
    <w:rsid w:val="0051458E"/>
    <w:rsid w:val="00514FE1"/>
    <w:rsid w:val="005159AD"/>
    <w:rsid w:val="00515C4F"/>
    <w:rsid w:val="00515C66"/>
    <w:rsid w:val="0051625A"/>
    <w:rsid w:val="00516CF9"/>
    <w:rsid w:val="005172D4"/>
    <w:rsid w:val="0051733A"/>
    <w:rsid w:val="00517C34"/>
    <w:rsid w:val="00517E3E"/>
    <w:rsid w:val="00520D5C"/>
    <w:rsid w:val="00521298"/>
    <w:rsid w:val="00521E3E"/>
    <w:rsid w:val="00522AB5"/>
    <w:rsid w:val="00523DEC"/>
    <w:rsid w:val="00524765"/>
    <w:rsid w:val="005252B9"/>
    <w:rsid w:val="0052670F"/>
    <w:rsid w:val="00526BF8"/>
    <w:rsid w:val="00527260"/>
    <w:rsid w:val="005277F5"/>
    <w:rsid w:val="00527A5F"/>
    <w:rsid w:val="00531CE2"/>
    <w:rsid w:val="00532F5E"/>
    <w:rsid w:val="005336B9"/>
    <w:rsid w:val="00533878"/>
    <w:rsid w:val="0053743C"/>
    <w:rsid w:val="00537CE7"/>
    <w:rsid w:val="005421D0"/>
    <w:rsid w:val="00542794"/>
    <w:rsid w:val="005435C0"/>
    <w:rsid w:val="00543833"/>
    <w:rsid w:val="00543AD1"/>
    <w:rsid w:val="00543BA9"/>
    <w:rsid w:val="00543BAE"/>
    <w:rsid w:val="00546525"/>
    <w:rsid w:val="00546645"/>
    <w:rsid w:val="00546AED"/>
    <w:rsid w:val="00546D38"/>
    <w:rsid w:val="00546F77"/>
    <w:rsid w:val="005476A1"/>
    <w:rsid w:val="00551D2D"/>
    <w:rsid w:val="0055213F"/>
    <w:rsid w:val="005522C6"/>
    <w:rsid w:val="005523AE"/>
    <w:rsid w:val="005530DC"/>
    <w:rsid w:val="0055429B"/>
    <w:rsid w:val="005546C6"/>
    <w:rsid w:val="00554A7B"/>
    <w:rsid w:val="00555636"/>
    <w:rsid w:val="00555832"/>
    <w:rsid w:val="00555C79"/>
    <w:rsid w:val="00557112"/>
    <w:rsid w:val="005576A0"/>
    <w:rsid w:val="00557C98"/>
    <w:rsid w:val="0056003C"/>
    <w:rsid w:val="00560276"/>
    <w:rsid w:val="005605F6"/>
    <w:rsid w:val="00560D30"/>
    <w:rsid w:val="0056154E"/>
    <w:rsid w:val="005622D5"/>
    <w:rsid w:val="005639FF"/>
    <w:rsid w:val="0056423D"/>
    <w:rsid w:val="00564C02"/>
    <w:rsid w:val="0056551E"/>
    <w:rsid w:val="00567536"/>
    <w:rsid w:val="00570A7D"/>
    <w:rsid w:val="0057157E"/>
    <w:rsid w:val="005718C4"/>
    <w:rsid w:val="00571C62"/>
    <w:rsid w:val="00572813"/>
    <w:rsid w:val="00572A21"/>
    <w:rsid w:val="00572E93"/>
    <w:rsid w:val="0057475A"/>
    <w:rsid w:val="005747B5"/>
    <w:rsid w:val="0057662E"/>
    <w:rsid w:val="00577655"/>
    <w:rsid w:val="005806E0"/>
    <w:rsid w:val="00580F27"/>
    <w:rsid w:val="0058118D"/>
    <w:rsid w:val="00583A86"/>
    <w:rsid w:val="00583DBD"/>
    <w:rsid w:val="00584006"/>
    <w:rsid w:val="00584A28"/>
    <w:rsid w:val="0058500E"/>
    <w:rsid w:val="00585DD1"/>
    <w:rsid w:val="00587003"/>
    <w:rsid w:val="005875D4"/>
    <w:rsid w:val="00587D91"/>
    <w:rsid w:val="005901C8"/>
    <w:rsid w:val="0059096D"/>
    <w:rsid w:val="00590BFA"/>
    <w:rsid w:val="0059105E"/>
    <w:rsid w:val="00591250"/>
    <w:rsid w:val="005925C6"/>
    <w:rsid w:val="00592876"/>
    <w:rsid w:val="00593A3D"/>
    <w:rsid w:val="00593BB6"/>
    <w:rsid w:val="005940CB"/>
    <w:rsid w:val="0059439F"/>
    <w:rsid w:val="00595647"/>
    <w:rsid w:val="00597187"/>
    <w:rsid w:val="00597555"/>
    <w:rsid w:val="005978A1"/>
    <w:rsid w:val="00597916"/>
    <w:rsid w:val="00597B50"/>
    <w:rsid w:val="005A05D4"/>
    <w:rsid w:val="005A07A9"/>
    <w:rsid w:val="005A0A35"/>
    <w:rsid w:val="005A0B1D"/>
    <w:rsid w:val="005A12D0"/>
    <w:rsid w:val="005A1A89"/>
    <w:rsid w:val="005A2DD1"/>
    <w:rsid w:val="005A2E3B"/>
    <w:rsid w:val="005A32CF"/>
    <w:rsid w:val="005A47B1"/>
    <w:rsid w:val="005A4CFE"/>
    <w:rsid w:val="005A58EC"/>
    <w:rsid w:val="005A5930"/>
    <w:rsid w:val="005A67C3"/>
    <w:rsid w:val="005B3390"/>
    <w:rsid w:val="005B33FF"/>
    <w:rsid w:val="005B343C"/>
    <w:rsid w:val="005B35E8"/>
    <w:rsid w:val="005B415C"/>
    <w:rsid w:val="005B44AD"/>
    <w:rsid w:val="005B47B9"/>
    <w:rsid w:val="005B70D6"/>
    <w:rsid w:val="005B7CBF"/>
    <w:rsid w:val="005B7D5B"/>
    <w:rsid w:val="005C0190"/>
    <w:rsid w:val="005C106C"/>
    <w:rsid w:val="005C4420"/>
    <w:rsid w:val="005C46C6"/>
    <w:rsid w:val="005C4E45"/>
    <w:rsid w:val="005C4F6C"/>
    <w:rsid w:val="005C6118"/>
    <w:rsid w:val="005C61C6"/>
    <w:rsid w:val="005C760C"/>
    <w:rsid w:val="005C7C63"/>
    <w:rsid w:val="005D06EE"/>
    <w:rsid w:val="005D0CE3"/>
    <w:rsid w:val="005D104D"/>
    <w:rsid w:val="005D2086"/>
    <w:rsid w:val="005D23B5"/>
    <w:rsid w:val="005D245B"/>
    <w:rsid w:val="005D2D32"/>
    <w:rsid w:val="005D3A52"/>
    <w:rsid w:val="005D4419"/>
    <w:rsid w:val="005D490E"/>
    <w:rsid w:val="005D5609"/>
    <w:rsid w:val="005D58CD"/>
    <w:rsid w:val="005D5ADD"/>
    <w:rsid w:val="005D6530"/>
    <w:rsid w:val="005D6787"/>
    <w:rsid w:val="005D751D"/>
    <w:rsid w:val="005D7E42"/>
    <w:rsid w:val="005E32AB"/>
    <w:rsid w:val="005E4145"/>
    <w:rsid w:val="005E41D4"/>
    <w:rsid w:val="005E45C4"/>
    <w:rsid w:val="005E4679"/>
    <w:rsid w:val="005E6519"/>
    <w:rsid w:val="005E796D"/>
    <w:rsid w:val="005F0131"/>
    <w:rsid w:val="005F0AB2"/>
    <w:rsid w:val="005F18C4"/>
    <w:rsid w:val="005F197E"/>
    <w:rsid w:val="005F2AFF"/>
    <w:rsid w:val="005F2B4F"/>
    <w:rsid w:val="005F3763"/>
    <w:rsid w:val="005F4A10"/>
    <w:rsid w:val="005F5459"/>
    <w:rsid w:val="005F5BD7"/>
    <w:rsid w:val="005F6072"/>
    <w:rsid w:val="005F6368"/>
    <w:rsid w:val="0060035E"/>
    <w:rsid w:val="00602548"/>
    <w:rsid w:val="0060322B"/>
    <w:rsid w:val="0060370D"/>
    <w:rsid w:val="00603A64"/>
    <w:rsid w:val="0060461A"/>
    <w:rsid w:val="00604653"/>
    <w:rsid w:val="006048E0"/>
    <w:rsid w:val="00604A07"/>
    <w:rsid w:val="00604EE1"/>
    <w:rsid w:val="006057BC"/>
    <w:rsid w:val="006061FE"/>
    <w:rsid w:val="00606B66"/>
    <w:rsid w:val="00607200"/>
    <w:rsid w:val="00607352"/>
    <w:rsid w:val="00607D14"/>
    <w:rsid w:val="006104D4"/>
    <w:rsid w:val="0061051D"/>
    <w:rsid w:val="00610DDC"/>
    <w:rsid w:val="00611859"/>
    <w:rsid w:val="00611E36"/>
    <w:rsid w:val="006126EE"/>
    <w:rsid w:val="006133ED"/>
    <w:rsid w:val="00613FA9"/>
    <w:rsid w:val="00614CBD"/>
    <w:rsid w:val="006155A9"/>
    <w:rsid w:val="00615B7C"/>
    <w:rsid w:val="00616D1D"/>
    <w:rsid w:val="00617C48"/>
    <w:rsid w:val="0062105A"/>
    <w:rsid w:val="00621579"/>
    <w:rsid w:val="00623735"/>
    <w:rsid w:val="00624D99"/>
    <w:rsid w:val="00624F23"/>
    <w:rsid w:val="00626151"/>
    <w:rsid w:val="006304F3"/>
    <w:rsid w:val="0063230D"/>
    <w:rsid w:val="006338A1"/>
    <w:rsid w:val="00633B01"/>
    <w:rsid w:val="00634BF1"/>
    <w:rsid w:val="00636838"/>
    <w:rsid w:val="00640BF5"/>
    <w:rsid w:val="00640FD3"/>
    <w:rsid w:val="00641D72"/>
    <w:rsid w:val="00641F36"/>
    <w:rsid w:val="00642E4A"/>
    <w:rsid w:val="0064506A"/>
    <w:rsid w:val="006453A0"/>
    <w:rsid w:val="00646799"/>
    <w:rsid w:val="0064733D"/>
    <w:rsid w:val="006476C0"/>
    <w:rsid w:val="00647BB7"/>
    <w:rsid w:val="0065016C"/>
    <w:rsid w:val="00651397"/>
    <w:rsid w:val="006516E0"/>
    <w:rsid w:val="006524A5"/>
    <w:rsid w:val="006526E5"/>
    <w:rsid w:val="00653640"/>
    <w:rsid w:val="006546FD"/>
    <w:rsid w:val="00654888"/>
    <w:rsid w:val="00654A95"/>
    <w:rsid w:val="00654AE3"/>
    <w:rsid w:val="006550B4"/>
    <w:rsid w:val="00655A9A"/>
    <w:rsid w:val="0065640E"/>
    <w:rsid w:val="00657930"/>
    <w:rsid w:val="00660346"/>
    <w:rsid w:val="00661C65"/>
    <w:rsid w:val="006649C3"/>
    <w:rsid w:val="00664A43"/>
    <w:rsid w:val="00665154"/>
    <w:rsid w:val="0066535D"/>
    <w:rsid w:val="006661D5"/>
    <w:rsid w:val="00666429"/>
    <w:rsid w:val="006677AE"/>
    <w:rsid w:val="00667D44"/>
    <w:rsid w:val="006705B7"/>
    <w:rsid w:val="0067060E"/>
    <w:rsid w:val="0067062E"/>
    <w:rsid w:val="00670728"/>
    <w:rsid w:val="00670C1D"/>
    <w:rsid w:val="0067204A"/>
    <w:rsid w:val="00672514"/>
    <w:rsid w:val="00672DD1"/>
    <w:rsid w:val="00672F0E"/>
    <w:rsid w:val="00674932"/>
    <w:rsid w:val="00674C4C"/>
    <w:rsid w:val="00674D7A"/>
    <w:rsid w:val="00675159"/>
    <w:rsid w:val="006751F4"/>
    <w:rsid w:val="0067577A"/>
    <w:rsid w:val="0067663E"/>
    <w:rsid w:val="0067676D"/>
    <w:rsid w:val="00676E23"/>
    <w:rsid w:val="00676E37"/>
    <w:rsid w:val="0067760F"/>
    <w:rsid w:val="00677D2D"/>
    <w:rsid w:val="00680EF0"/>
    <w:rsid w:val="00681747"/>
    <w:rsid w:val="00684ED1"/>
    <w:rsid w:val="006857FA"/>
    <w:rsid w:val="00686112"/>
    <w:rsid w:val="0068615A"/>
    <w:rsid w:val="006864C2"/>
    <w:rsid w:val="00687751"/>
    <w:rsid w:val="00687807"/>
    <w:rsid w:val="0069022C"/>
    <w:rsid w:val="006902D5"/>
    <w:rsid w:val="00690935"/>
    <w:rsid w:val="00691318"/>
    <w:rsid w:val="00692837"/>
    <w:rsid w:val="00692E5B"/>
    <w:rsid w:val="00692F50"/>
    <w:rsid w:val="006933E6"/>
    <w:rsid w:val="00693969"/>
    <w:rsid w:val="00693A6A"/>
    <w:rsid w:val="00693B77"/>
    <w:rsid w:val="00697A20"/>
    <w:rsid w:val="006A0082"/>
    <w:rsid w:val="006A0DA8"/>
    <w:rsid w:val="006A11F6"/>
    <w:rsid w:val="006A1CF2"/>
    <w:rsid w:val="006A211E"/>
    <w:rsid w:val="006A2752"/>
    <w:rsid w:val="006A352D"/>
    <w:rsid w:val="006A52CB"/>
    <w:rsid w:val="006A5B96"/>
    <w:rsid w:val="006A6AD0"/>
    <w:rsid w:val="006A7E20"/>
    <w:rsid w:val="006B013A"/>
    <w:rsid w:val="006B02CA"/>
    <w:rsid w:val="006B1385"/>
    <w:rsid w:val="006B149D"/>
    <w:rsid w:val="006B2DC3"/>
    <w:rsid w:val="006B334A"/>
    <w:rsid w:val="006B33E3"/>
    <w:rsid w:val="006B35A3"/>
    <w:rsid w:val="006B37C2"/>
    <w:rsid w:val="006B3970"/>
    <w:rsid w:val="006B3F1C"/>
    <w:rsid w:val="006B50DA"/>
    <w:rsid w:val="006B5C52"/>
    <w:rsid w:val="006B6233"/>
    <w:rsid w:val="006B666B"/>
    <w:rsid w:val="006B66BC"/>
    <w:rsid w:val="006B6F7C"/>
    <w:rsid w:val="006B7915"/>
    <w:rsid w:val="006B7D00"/>
    <w:rsid w:val="006B7E57"/>
    <w:rsid w:val="006C0005"/>
    <w:rsid w:val="006C0939"/>
    <w:rsid w:val="006C2547"/>
    <w:rsid w:val="006C36E3"/>
    <w:rsid w:val="006C40E7"/>
    <w:rsid w:val="006C4101"/>
    <w:rsid w:val="006C561D"/>
    <w:rsid w:val="006C66FA"/>
    <w:rsid w:val="006C7A48"/>
    <w:rsid w:val="006D074F"/>
    <w:rsid w:val="006D1242"/>
    <w:rsid w:val="006D1441"/>
    <w:rsid w:val="006D186F"/>
    <w:rsid w:val="006D1FC4"/>
    <w:rsid w:val="006D20E8"/>
    <w:rsid w:val="006D290E"/>
    <w:rsid w:val="006D2966"/>
    <w:rsid w:val="006D296A"/>
    <w:rsid w:val="006D2A08"/>
    <w:rsid w:val="006D2D94"/>
    <w:rsid w:val="006D425E"/>
    <w:rsid w:val="006D592F"/>
    <w:rsid w:val="006D6DA4"/>
    <w:rsid w:val="006D7F22"/>
    <w:rsid w:val="006E0941"/>
    <w:rsid w:val="006E115A"/>
    <w:rsid w:val="006E22CB"/>
    <w:rsid w:val="006E2E5B"/>
    <w:rsid w:val="006E4E86"/>
    <w:rsid w:val="006E5BB1"/>
    <w:rsid w:val="006E5D09"/>
    <w:rsid w:val="006E6166"/>
    <w:rsid w:val="006E6230"/>
    <w:rsid w:val="006E6352"/>
    <w:rsid w:val="006E68BF"/>
    <w:rsid w:val="006E7388"/>
    <w:rsid w:val="006E7AA0"/>
    <w:rsid w:val="006F0918"/>
    <w:rsid w:val="006F18E3"/>
    <w:rsid w:val="006F193E"/>
    <w:rsid w:val="006F2E21"/>
    <w:rsid w:val="006F3BD2"/>
    <w:rsid w:val="006F3DEE"/>
    <w:rsid w:val="006F45D0"/>
    <w:rsid w:val="006F5B23"/>
    <w:rsid w:val="006F5EAE"/>
    <w:rsid w:val="006F601A"/>
    <w:rsid w:val="006F6614"/>
    <w:rsid w:val="006F677B"/>
    <w:rsid w:val="006F6FEF"/>
    <w:rsid w:val="006F7FA3"/>
    <w:rsid w:val="00700898"/>
    <w:rsid w:val="00700ACE"/>
    <w:rsid w:val="00701A3E"/>
    <w:rsid w:val="00701F00"/>
    <w:rsid w:val="007023DF"/>
    <w:rsid w:val="00702601"/>
    <w:rsid w:val="00703DDB"/>
    <w:rsid w:val="00703E7C"/>
    <w:rsid w:val="007049CB"/>
    <w:rsid w:val="007051C4"/>
    <w:rsid w:val="0070555C"/>
    <w:rsid w:val="007058A1"/>
    <w:rsid w:val="007058AB"/>
    <w:rsid w:val="00706283"/>
    <w:rsid w:val="00706655"/>
    <w:rsid w:val="0070676E"/>
    <w:rsid w:val="00706C9D"/>
    <w:rsid w:val="00710C4A"/>
    <w:rsid w:val="007130FE"/>
    <w:rsid w:val="00716037"/>
    <w:rsid w:val="00716100"/>
    <w:rsid w:val="007164F2"/>
    <w:rsid w:val="00717031"/>
    <w:rsid w:val="00717185"/>
    <w:rsid w:val="00720174"/>
    <w:rsid w:val="0072178B"/>
    <w:rsid w:val="00721E21"/>
    <w:rsid w:val="007221C8"/>
    <w:rsid w:val="007227C1"/>
    <w:rsid w:val="00722DC5"/>
    <w:rsid w:val="00723388"/>
    <w:rsid w:val="00724B8E"/>
    <w:rsid w:val="00724C18"/>
    <w:rsid w:val="00725200"/>
    <w:rsid w:val="007256D1"/>
    <w:rsid w:val="00727D1F"/>
    <w:rsid w:val="007303C0"/>
    <w:rsid w:val="007308BF"/>
    <w:rsid w:val="00730BA0"/>
    <w:rsid w:val="00731850"/>
    <w:rsid w:val="0073244C"/>
    <w:rsid w:val="00732EAD"/>
    <w:rsid w:val="00733837"/>
    <w:rsid w:val="00733C2A"/>
    <w:rsid w:val="007347EC"/>
    <w:rsid w:val="00735858"/>
    <w:rsid w:val="00735A48"/>
    <w:rsid w:val="00735B88"/>
    <w:rsid w:val="00735BA4"/>
    <w:rsid w:val="00736F57"/>
    <w:rsid w:val="007371AD"/>
    <w:rsid w:val="00737F7D"/>
    <w:rsid w:val="00740350"/>
    <w:rsid w:val="00740BAF"/>
    <w:rsid w:val="00743E46"/>
    <w:rsid w:val="00743F32"/>
    <w:rsid w:val="00744523"/>
    <w:rsid w:val="007464F0"/>
    <w:rsid w:val="00746589"/>
    <w:rsid w:val="00746769"/>
    <w:rsid w:val="007475FF"/>
    <w:rsid w:val="00747ADF"/>
    <w:rsid w:val="00750147"/>
    <w:rsid w:val="00750C1D"/>
    <w:rsid w:val="00752A25"/>
    <w:rsid w:val="007534D9"/>
    <w:rsid w:val="007535B4"/>
    <w:rsid w:val="00753765"/>
    <w:rsid w:val="00753D48"/>
    <w:rsid w:val="007542C7"/>
    <w:rsid w:val="00755577"/>
    <w:rsid w:val="00755724"/>
    <w:rsid w:val="00755788"/>
    <w:rsid w:val="0075591F"/>
    <w:rsid w:val="00760798"/>
    <w:rsid w:val="00761F97"/>
    <w:rsid w:val="0076297E"/>
    <w:rsid w:val="00762D5D"/>
    <w:rsid w:val="007638C4"/>
    <w:rsid w:val="0076421E"/>
    <w:rsid w:val="00764E77"/>
    <w:rsid w:val="007652C0"/>
    <w:rsid w:val="00765945"/>
    <w:rsid w:val="007662F8"/>
    <w:rsid w:val="00766467"/>
    <w:rsid w:val="00766E91"/>
    <w:rsid w:val="007671DC"/>
    <w:rsid w:val="00767454"/>
    <w:rsid w:val="00767C90"/>
    <w:rsid w:val="007702E2"/>
    <w:rsid w:val="00770D4E"/>
    <w:rsid w:val="00770DB3"/>
    <w:rsid w:val="00771B47"/>
    <w:rsid w:val="00773988"/>
    <w:rsid w:val="00773A8C"/>
    <w:rsid w:val="00774449"/>
    <w:rsid w:val="007767BE"/>
    <w:rsid w:val="00776B19"/>
    <w:rsid w:val="007771C2"/>
    <w:rsid w:val="00777225"/>
    <w:rsid w:val="007772BF"/>
    <w:rsid w:val="00777836"/>
    <w:rsid w:val="00777C8E"/>
    <w:rsid w:val="00780A07"/>
    <w:rsid w:val="007810C1"/>
    <w:rsid w:val="007811D0"/>
    <w:rsid w:val="007813BD"/>
    <w:rsid w:val="007827D3"/>
    <w:rsid w:val="007837AC"/>
    <w:rsid w:val="00783A44"/>
    <w:rsid w:val="00783EEC"/>
    <w:rsid w:val="00784157"/>
    <w:rsid w:val="0078478E"/>
    <w:rsid w:val="007849E8"/>
    <w:rsid w:val="00784E3A"/>
    <w:rsid w:val="00787399"/>
    <w:rsid w:val="007873D4"/>
    <w:rsid w:val="00791E66"/>
    <w:rsid w:val="00792CC2"/>
    <w:rsid w:val="00792D38"/>
    <w:rsid w:val="00792ECA"/>
    <w:rsid w:val="00792F12"/>
    <w:rsid w:val="0079374A"/>
    <w:rsid w:val="00794D90"/>
    <w:rsid w:val="007954D2"/>
    <w:rsid w:val="0079585F"/>
    <w:rsid w:val="00795CE2"/>
    <w:rsid w:val="00796764"/>
    <w:rsid w:val="00796854"/>
    <w:rsid w:val="00797D7F"/>
    <w:rsid w:val="007A067E"/>
    <w:rsid w:val="007A10B5"/>
    <w:rsid w:val="007A1DE2"/>
    <w:rsid w:val="007A1FBD"/>
    <w:rsid w:val="007A2499"/>
    <w:rsid w:val="007A3ECB"/>
    <w:rsid w:val="007A4288"/>
    <w:rsid w:val="007A5B2C"/>
    <w:rsid w:val="007A608F"/>
    <w:rsid w:val="007A6CC3"/>
    <w:rsid w:val="007A6E11"/>
    <w:rsid w:val="007A7E8E"/>
    <w:rsid w:val="007A7EA8"/>
    <w:rsid w:val="007B005E"/>
    <w:rsid w:val="007B0D94"/>
    <w:rsid w:val="007B1B65"/>
    <w:rsid w:val="007B1E77"/>
    <w:rsid w:val="007B223E"/>
    <w:rsid w:val="007B2364"/>
    <w:rsid w:val="007B2ABC"/>
    <w:rsid w:val="007B2FE6"/>
    <w:rsid w:val="007B3326"/>
    <w:rsid w:val="007B3C63"/>
    <w:rsid w:val="007B4834"/>
    <w:rsid w:val="007B4842"/>
    <w:rsid w:val="007B4B78"/>
    <w:rsid w:val="007B4C21"/>
    <w:rsid w:val="007B4F66"/>
    <w:rsid w:val="007B65A5"/>
    <w:rsid w:val="007B6868"/>
    <w:rsid w:val="007B6B1C"/>
    <w:rsid w:val="007B7782"/>
    <w:rsid w:val="007B799F"/>
    <w:rsid w:val="007B7C2A"/>
    <w:rsid w:val="007C047E"/>
    <w:rsid w:val="007C0E7C"/>
    <w:rsid w:val="007C1C8E"/>
    <w:rsid w:val="007C1EEE"/>
    <w:rsid w:val="007C2F3C"/>
    <w:rsid w:val="007C2F41"/>
    <w:rsid w:val="007C33E2"/>
    <w:rsid w:val="007C4397"/>
    <w:rsid w:val="007C65E1"/>
    <w:rsid w:val="007C68F3"/>
    <w:rsid w:val="007C7594"/>
    <w:rsid w:val="007D186E"/>
    <w:rsid w:val="007D3702"/>
    <w:rsid w:val="007D3797"/>
    <w:rsid w:val="007D409B"/>
    <w:rsid w:val="007D6A87"/>
    <w:rsid w:val="007D763E"/>
    <w:rsid w:val="007D781C"/>
    <w:rsid w:val="007E07B1"/>
    <w:rsid w:val="007E0844"/>
    <w:rsid w:val="007E0AC3"/>
    <w:rsid w:val="007E0D99"/>
    <w:rsid w:val="007E11B9"/>
    <w:rsid w:val="007E1683"/>
    <w:rsid w:val="007E18CB"/>
    <w:rsid w:val="007E23BC"/>
    <w:rsid w:val="007E323B"/>
    <w:rsid w:val="007E3CA6"/>
    <w:rsid w:val="007E44DA"/>
    <w:rsid w:val="007E5179"/>
    <w:rsid w:val="007E556E"/>
    <w:rsid w:val="007E5A0A"/>
    <w:rsid w:val="007E6534"/>
    <w:rsid w:val="007E68C3"/>
    <w:rsid w:val="007E68E4"/>
    <w:rsid w:val="007F00D8"/>
    <w:rsid w:val="007F1798"/>
    <w:rsid w:val="007F18EB"/>
    <w:rsid w:val="007F1F61"/>
    <w:rsid w:val="007F2CFC"/>
    <w:rsid w:val="007F3868"/>
    <w:rsid w:val="007F4246"/>
    <w:rsid w:val="007F6512"/>
    <w:rsid w:val="007F7290"/>
    <w:rsid w:val="007F7708"/>
    <w:rsid w:val="007F7CE1"/>
    <w:rsid w:val="00800062"/>
    <w:rsid w:val="008003D6"/>
    <w:rsid w:val="008017CE"/>
    <w:rsid w:val="0080296D"/>
    <w:rsid w:val="00802E5D"/>
    <w:rsid w:val="00803539"/>
    <w:rsid w:val="00805BE4"/>
    <w:rsid w:val="00807C2E"/>
    <w:rsid w:val="008102CB"/>
    <w:rsid w:val="00811A97"/>
    <w:rsid w:val="00811D66"/>
    <w:rsid w:val="0081210C"/>
    <w:rsid w:val="008134A3"/>
    <w:rsid w:val="0081390D"/>
    <w:rsid w:val="00813A6E"/>
    <w:rsid w:val="00813E71"/>
    <w:rsid w:val="0081421E"/>
    <w:rsid w:val="00817B80"/>
    <w:rsid w:val="00817BF9"/>
    <w:rsid w:val="008203E9"/>
    <w:rsid w:val="00820968"/>
    <w:rsid w:val="00821815"/>
    <w:rsid w:val="00822D91"/>
    <w:rsid w:val="00823830"/>
    <w:rsid w:val="00823C1D"/>
    <w:rsid w:val="008244F9"/>
    <w:rsid w:val="00825CBE"/>
    <w:rsid w:val="00826FF3"/>
    <w:rsid w:val="00827E5A"/>
    <w:rsid w:val="00831BC4"/>
    <w:rsid w:val="0083226C"/>
    <w:rsid w:val="008324DD"/>
    <w:rsid w:val="0083473A"/>
    <w:rsid w:val="00835D3B"/>
    <w:rsid w:val="00836497"/>
    <w:rsid w:val="0083680F"/>
    <w:rsid w:val="00837C73"/>
    <w:rsid w:val="008405E5"/>
    <w:rsid w:val="00840B32"/>
    <w:rsid w:val="0084159B"/>
    <w:rsid w:val="00842605"/>
    <w:rsid w:val="00843AB1"/>
    <w:rsid w:val="00843F40"/>
    <w:rsid w:val="00844072"/>
    <w:rsid w:val="00844614"/>
    <w:rsid w:val="00845CAE"/>
    <w:rsid w:val="00846BC3"/>
    <w:rsid w:val="00846BE8"/>
    <w:rsid w:val="0084726F"/>
    <w:rsid w:val="008478B0"/>
    <w:rsid w:val="00847D3B"/>
    <w:rsid w:val="00850043"/>
    <w:rsid w:val="00850D0B"/>
    <w:rsid w:val="00850FC7"/>
    <w:rsid w:val="008517F7"/>
    <w:rsid w:val="00851937"/>
    <w:rsid w:val="0085322C"/>
    <w:rsid w:val="00853252"/>
    <w:rsid w:val="00853C2E"/>
    <w:rsid w:val="00853DF9"/>
    <w:rsid w:val="00853ECB"/>
    <w:rsid w:val="00854829"/>
    <w:rsid w:val="008549F1"/>
    <w:rsid w:val="0085511B"/>
    <w:rsid w:val="008553FB"/>
    <w:rsid w:val="00855613"/>
    <w:rsid w:val="00855C97"/>
    <w:rsid w:val="0085622C"/>
    <w:rsid w:val="008574E0"/>
    <w:rsid w:val="00857F70"/>
    <w:rsid w:val="00861205"/>
    <w:rsid w:val="008616BC"/>
    <w:rsid w:val="00862682"/>
    <w:rsid w:val="00863607"/>
    <w:rsid w:val="00863D74"/>
    <w:rsid w:val="0086467B"/>
    <w:rsid w:val="008647F5"/>
    <w:rsid w:val="00864AAF"/>
    <w:rsid w:val="00867212"/>
    <w:rsid w:val="00867EEB"/>
    <w:rsid w:val="008732B9"/>
    <w:rsid w:val="00873A6F"/>
    <w:rsid w:val="008740C7"/>
    <w:rsid w:val="008759AC"/>
    <w:rsid w:val="00876966"/>
    <w:rsid w:val="00876B86"/>
    <w:rsid w:val="00876B98"/>
    <w:rsid w:val="0087738F"/>
    <w:rsid w:val="00877865"/>
    <w:rsid w:val="0088020B"/>
    <w:rsid w:val="00880231"/>
    <w:rsid w:val="008817C4"/>
    <w:rsid w:val="00881837"/>
    <w:rsid w:val="00883020"/>
    <w:rsid w:val="00884A42"/>
    <w:rsid w:val="008857B9"/>
    <w:rsid w:val="0088631E"/>
    <w:rsid w:val="00886E92"/>
    <w:rsid w:val="00887130"/>
    <w:rsid w:val="00887F8D"/>
    <w:rsid w:val="00890B9C"/>
    <w:rsid w:val="00891D88"/>
    <w:rsid w:val="00892BE8"/>
    <w:rsid w:val="0089338F"/>
    <w:rsid w:val="00893FB6"/>
    <w:rsid w:val="00894CD2"/>
    <w:rsid w:val="0089565E"/>
    <w:rsid w:val="00895A6A"/>
    <w:rsid w:val="00896936"/>
    <w:rsid w:val="008973BA"/>
    <w:rsid w:val="00897993"/>
    <w:rsid w:val="008A0016"/>
    <w:rsid w:val="008A0097"/>
    <w:rsid w:val="008A14D6"/>
    <w:rsid w:val="008A1B6D"/>
    <w:rsid w:val="008A21D8"/>
    <w:rsid w:val="008A2391"/>
    <w:rsid w:val="008A362E"/>
    <w:rsid w:val="008A3BFA"/>
    <w:rsid w:val="008A3D6A"/>
    <w:rsid w:val="008A3DDA"/>
    <w:rsid w:val="008A53FB"/>
    <w:rsid w:val="008A5D90"/>
    <w:rsid w:val="008A62B2"/>
    <w:rsid w:val="008A63D0"/>
    <w:rsid w:val="008A66BC"/>
    <w:rsid w:val="008A785B"/>
    <w:rsid w:val="008B0D71"/>
    <w:rsid w:val="008B138F"/>
    <w:rsid w:val="008B17A4"/>
    <w:rsid w:val="008B1FE6"/>
    <w:rsid w:val="008B2769"/>
    <w:rsid w:val="008B2D92"/>
    <w:rsid w:val="008B3799"/>
    <w:rsid w:val="008B53DB"/>
    <w:rsid w:val="008B5B01"/>
    <w:rsid w:val="008B69F1"/>
    <w:rsid w:val="008C00E7"/>
    <w:rsid w:val="008C0BB1"/>
    <w:rsid w:val="008C0CE3"/>
    <w:rsid w:val="008C1BD3"/>
    <w:rsid w:val="008C22E3"/>
    <w:rsid w:val="008C2378"/>
    <w:rsid w:val="008C23E5"/>
    <w:rsid w:val="008C2B08"/>
    <w:rsid w:val="008C2B0C"/>
    <w:rsid w:val="008C2D0A"/>
    <w:rsid w:val="008C2DF4"/>
    <w:rsid w:val="008C3BF6"/>
    <w:rsid w:val="008C4922"/>
    <w:rsid w:val="008C68C0"/>
    <w:rsid w:val="008C7198"/>
    <w:rsid w:val="008C7EEE"/>
    <w:rsid w:val="008D02B9"/>
    <w:rsid w:val="008D0364"/>
    <w:rsid w:val="008D0B70"/>
    <w:rsid w:val="008D0FD1"/>
    <w:rsid w:val="008D0FDC"/>
    <w:rsid w:val="008D1B1B"/>
    <w:rsid w:val="008D3121"/>
    <w:rsid w:val="008D37EB"/>
    <w:rsid w:val="008D46A4"/>
    <w:rsid w:val="008D581E"/>
    <w:rsid w:val="008D5972"/>
    <w:rsid w:val="008D6C68"/>
    <w:rsid w:val="008E16E2"/>
    <w:rsid w:val="008E1AF6"/>
    <w:rsid w:val="008E1C1B"/>
    <w:rsid w:val="008E1D87"/>
    <w:rsid w:val="008E1DBE"/>
    <w:rsid w:val="008E1F7C"/>
    <w:rsid w:val="008E2323"/>
    <w:rsid w:val="008E2924"/>
    <w:rsid w:val="008E362A"/>
    <w:rsid w:val="008E372C"/>
    <w:rsid w:val="008E3783"/>
    <w:rsid w:val="008E3927"/>
    <w:rsid w:val="008E4209"/>
    <w:rsid w:val="008E484F"/>
    <w:rsid w:val="008E4C01"/>
    <w:rsid w:val="008E59F6"/>
    <w:rsid w:val="008E603C"/>
    <w:rsid w:val="008F04D1"/>
    <w:rsid w:val="008F05B4"/>
    <w:rsid w:val="008F0E62"/>
    <w:rsid w:val="008F31B8"/>
    <w:rsid w:val="008F3D12"/>
    <w:rsid w:val="008F4983"/>
    <w:rsid w:val="008F4B00"/>
    <w:rsid w:val="008F5E2D"/>
    <w:rsid w:val="008F68D9"/>
    <w:rsid w:val="008F692D"/>
    <w:rsid w:val="008F75BD"/>
    <w:rsid w:val="008F7893"/>
    <w:rsid w:val="009004D4"/>
    <w:rsid w:val="00902590"/>
    <w:rsid w:val="00903402"/>
    <w:rsid w:val="00903D7C"/>
    <w:rsid w:val="0090504D"/>
    <w:rsid w:val="0090557F"/>
    <w:rsid w:val="00906480"/>
    <w:rsid w:val="00906C43"/>
    <w:rsid w:val="00907050"/>
    <w:rsid w:val="00907BB1"/>
    <w:rsid w:val="0091223E"/>
    <w:rsid w:val="0091382C"/>
    <w:rsid w:val="0091517B"/>
    <w:rsid w:val="0091541F"/>
    <w:rsid w:val="00915C45"/>
    <w:rsid w:val="009160C7"/>
    <w:rsid w:val="00916185"/>
    <w:rsid w:val="00917620"/>
    <w:rsid w:val="00920300"/>
    <w:rsid w:val="00920379"/>
    <w:rsid w:val="009208D6"/>
    <w:rsid w:val="00920EA7"/>
    <w:rsid w:val="00920ECC"/>
    <w:rsid w:val="00921267"/>
    <w:rsid w:val="00921739"/>
    <w:rsid w:val="00921E7E"/>
    <w:rsid w:val="009240BD"/>
    <w:rsid w:val="009249DC"/>
    <w:rsid w:val="00924F74"/>
    <w:rsid w:val="0092548F"/>
    <w:rsid w:val="00926098"/>
    <w:rsid w:val="009266AF"/>
    <w:rsid w:val="00926AB3"/>
    <w:rsid w:val="00927787"/>
    <w:rsid w:val="00930F9C"/>
    <w:rsid w:val="00931E74"/>
    <w:rsid w:val="009337F6"/>
    <w:rsid w:val="009345C3"/>
    <w:rsid w:val="00935118"/>
    <w:rsid w:val="00936479"/>
    <w:rsid w:val="00936ABF"/>
    <w:rsid w:val="009401A3"/>
    <w:rsid w:val="00940FCE"/>
    <w:rsid w:val="009410F4"/>
    <w:rsid w:val="009412AC"/>
    <w:rsid w:val="00941DD9"/>
    <w:rsid w:val="00941E83"/>
    <w:rsid w:val="009433CE"/>
    <w:rsid w:val="0094354D"/>
    <w:rsid w:val="009436A0"/>
    <w:rsid w:val="00943B19"/>
    <w:rsid w:val="00944138"/>
    <w:rsid w:val="00944EE5"/>
    <w:rsid w:val="00944F2D"/>
    <w:rsid w:val="009457A4"/>
    <w:rsid w:val="00945AD3"/>
    <w:rsid w:val="00945E2B"/>
    <w:rsid w:val="00945EC8"/>
    <w:rsid w:val="00946131"/>
    <w:rsid w:val="00946F71"/>
    <w:rsid w:val="00947C2E"/>
    <w:rsid w:val="00947E39"/>
    <w:rsid w:val="00947FA2"/>
    <w:rsid w:val="009505EE"/>
    <w:rsid w:val="0095060F"/>
    <w:rsid w:val="009509BB"/>
    <w:rsid w:val="00950BCA"/>
    <w:rsid w:val="00951279"/>
    <w:rsid w:val="0095185E"/>
    <w:rsid w:val="00952820"/>
    <w:rsid w:val="00952CC7"/>
    <w:rsid w:val="00952CDF"/>
    <w:rsid w:val="00953390"/>
    <w:rsid w:val="0095339A"/>
    <w:rsid w:val="00954780"/>
    <w:rsid w:val="00954F83"/>
    <w:rsid w:val="009550B9"/>
    <w:rsid w:val="009561A7"/>
    <w:rsid w:val="0095679B"/>
    <w:rsid w:val="00960AB5"/>
    <w:rsid w:val="009613E7"/>
    <w:rsid w:val="0096159D"/>
    <w:rsid w:val="00961B65"/>
    <w:rsid w:val="009620CC"/>
    <w:rsid w:val="009622F1"/>
    <w:rsid w:val="0096430E"/>
    <w:rsid w:val="00966322"/>
    <w:rsid w:val="00967733"/>
    <w:rsid w:val="00967F00"/>
    <w:rsid w:val="009701D6"/>
    <w:rsid w:val="00970FAC"/>
    <w:rsid w:val="009722E9"/>
    <w:rsid w:val="00972C87"/>
    <w:rsid w:val="0097429A"/>
    <w:rsid w:val="00974681"/>
    <w:rsid w:val="00974A35"/>
    <w:rsid w:val="00975406"/>
    <w:rsid w:val="00975E0D"/>
    <w:rsid w:val="00976A42"/>
    <w:rsid w:val="009772A8"/>
    <w:rsid w:val="00980961"/>
    <w:rsid w:val="00982201"/>
    <w:rsid w:val="00982BDB"/>
    <w:rsid w:val="009830EE"/>
    <w:rsid w:val="00983173"/>
    <w:rsid w:val="0098339E"/>
    <w:rsid w:val="00983941"/>
    <w:rsid w:val="00983B24"/>
    <w:rsid w:val="00983E37"/>
    <w:rsid w:val="00984065"/>
    <w:rsid w:val="00984A75"/>
    <w:rsid w:val="00984B40"/>
    <w:rsid w:val="00985BB2"/>
    <w:rsid w:val="009872E1"/>
    <w:rsid w:val="009873C1"/>
    <w:rsid w:val="00987DE0"/>
    <w:rsid w:val="00990415"/>
    <w:rsid w:val="00990B5F"/>
    <w:rsid w:val="00990D2C"/>
    <w:rsid w:val="009924B8"/>
    <w:rsid w:val="00992E5C"/>
    <w:rsid w:val="00993A1F"/>
    <w:rsid w:val="00993B91"/>
    <w:rsid w:val="00993BBB"/>
    <w:rsid w:val="00994630"/>
    <w:rsid w:val="00994BD7"/>
    <w:rsid w:val="0099500B"/>
    <w:rsid w:val="009952EC"/>
    <w:rsid w:val="009953C0"/>
    <w:rsid w:val="00995DE5"/>
    <w:rsid w:val="00996F9C"/>
    <w:rsid w:val="0099736E"/>
    <w:rsid w:val="009A0109"/>
    <w:rsid w:val="009A05FB"/>
    <w:rsid w:val="009A0620"/>
    <w:rsid w:val="009A0B02"/>
    <w:rsid w:val="009A19A8"/>
    <w:rsid w:val="009A2BDF"/>
    <w:rsid w:val="009A4A6F"/>
    <w:rsid w:val="009A5B2E"/>
    <w:rsid w:val="009A5F92"/>
    <w:rsid w:val="009A679F"/>
    <w:rsid w:val="009B08FF"/>
    <w:rsid w:val="009B0DDE"/>
    <w:rsid w:val="009B1AC9"/>
    <w:rsid w:val="009B268E"/>
    <w:rsid w:val="009B2DCF"/>
    <w:rsid w:val="009B382D"/>
    <w:rsid w:val="009B4316"/>
    <w:rsid w:val="009B4CE1"/>
    <w:rsid w:val="009B6065"/>
    <w:rsid w:val="009B7BF9"/>
    <w:rsid w:val="009C0361"/>
    <w:rsid w:val="009C1A71"/>
    <w:rsid w:val="009C25C4"/>
    <w:rsid w:val="009C314D"/>
    <w:rsid w:val="009C3632"/>
    <w:rsid w:val="009C3CA7"/>
    <w:rsid w:val="009C5B7D"/>
    <w:rsid w:val="009C5F22"/>
    <w:rsid w:val="009C65D0"/>
    <w:rsid w:val="009C7388"/>
    <w:rsid w:val="009C73BF"/>
    <w:rsid w:val="009D0CEE"/>
    <w:rsid w:val="009D12D6"/>
    <w:rsid w:val="009D16EE"/>
    <w:rsid w:val="009D18FF"/>
    <w:rsid w:val="009D2092"/>
    <w:rsid w:val="009D2D8A"/>
    <w:rsid w:val="009D301B"/>
    <w:rsid w:val="009D3959"/>
    <w:rsid w:val="009D4934"/>
    <w:rsid w:val="009D4AD2"/>
    <w:rsid w:val="009D5795"/>
    <w:rsid w:val="009D5C38"/>
    <w:rsid w:val="009D5C74"/>
    <w:rsid w:val="009D5CA0"/>
    <w:rsid w:val="009D5E07"/>
    <w:rsid w:val="009D663A"/>
    <w:rsid w:val="009E048D"/>
    <w:rsid w:val="009E223F"/>
    <w:rsid w:val="009E24A1"/>
    <w:rsid w:val="009E2616"/>
    <w:rsid w:val="009E2E1E"/>
    <w:rsid w:val="009E351B"/>
    <w:rsid w:val="009E44CD"/>
    <w:rsid w:val="009E4B3D"/>
    <w:rsid w:val="009E697E"/>
    <w:rsid w:val="009E72A0"/>
    <w:rsid w:val="009E79B9"/>
    <w:rsid w:val="009E7EFB"/>
    <w:rsid w:val="009E7F69"/>
    <w:rsid w:val="009F241A"/>
    <w:rsid w:val="009F26BD"/>
    <w:rsid w:val="009F38B0"/>
    <w:rsid w:val="009F4922"/>
    <w:rsid w:val="009F4E91"/>
    <w:rsid w:val="009F4EFA"/>
    <w:rsid w:val="009F5606"/>
    <w:rsid w:val="009F581C"/>
    <w:rsid w:val="009F6254"/>
    <w:rsid w:val="009F6D71"/>
    <w:rsid w:val="00A00EDC"/>
    <w:rsid w:val="00A016AE"/>
    <w:rsid w:val="00A0182B"/>
    <w:rsid w:val="00A038BC"/>
    <w:rsid w:val="00A04FCA"/>
    <w:rsid w:val="00A0572D"/>
    <w:rsid w:val="00A05F14"/>
    <w:rsid w:val="00A062F3"/>
    <w:rsid w:val="00A072FB"/>
    <w:rsid w:val="00A0753A"/>
    <w:rsid w:val="00A1130F"/>
    <w:rsid w:val="00A1367F"/>
    <w:rsid w:val="00A13851"/>
    <w:rsid w:val="00A13E62"/>
    <w:rsid w:val="00A14956"/>
    <w:rsid w:val="00A14BEC"/>
    <w:rsid w:val="00A15C48"/>
    <w:rsid w:val="00A17187"/>
    <w:rsid w:val="00A2204A"/>
    <w:rsid w:val="00A2258B"/>
    <w:rsid w:val="00A23A38"/>
    <w:rsid w:val="00A245FB"/>
    <w:rsid w:val="00A260CA"/>
    <w:rsid w:val="00A26115"/>
    <w:rsid w:val="00A26BD5"/>
    <w:rsid w:val="00A26F2F"/>
    <w:rsid w:val="00A30B21"/>
    <w:rsid w:val="00A30E9E"/>
    <w:rsid w:val="00A30F64"/>
    <w:rsid w:val="00A31E97"/>
    <w:rsid w:val="00A326B1"/>
    <w:rsid w:val="00A327E1"/>
    <w:rsid w:val="00A328C1"/>
    <w:rsid w:val="00A33328"/>
    <w:rsid w:val="00A34804"/>
    <w:rsid w:val="00A34EAE"/>
    <w:rsid w:val="00A356F6"/>
    <w:rsid w:val="00A35F09"/>
    <w:rsid w:val="00A35FA1"/>
    <w:rsid w:val="00A3621A"/>
    <w:rsid w:val="00A36E33"/>
    <w:rsid w:val="00A37209"/>
    <w:rsid w:val="00A377F7"/>
    <w:rsid w:val="00A37914"/>
    <w:rsid w:val="00A37D54"/>
    <w:rsid w:val="00A40726"/>
    <w:rsid w:val="00A408CA"/>
    <w:rsid w:val="00A4201B"/>
    <w:rsid w:val="00A423F2"/>
    <w:rsid w:val="00A42605"/>
    <w:rsid w:val="00A426ED"/>
    <w:rsid w:val="00A444C3"/>
    <w:rsid w:val="00A44F49"/>
    <w:rsid w:val="00A45337"/>
    <w:rsid w:val="00A45716"/>
    <w:rsid w:val="00A5062C"/>
    <w:rsid w:val="00A5136E"/>
    <w:rsid w:val="00A54BA7"/>
    <w:rsid w:val="00A554BD"/>
    <w:rsid w:val="00A556FA"/>
    <w:rsid w:val="00A55CB1"/>
    <w:rsid w:val="00A5605B"/>
    <w:rsid w:val="00A5633B"/>
    <w:rsid w:val="00A5680C"/>
    <w:rsid w:val="00A57B42"/>
    <w:rsid w:val="00A60028"/>
    <w:rsid w:val="00A6048B"/>
    <w:rsid w:val="00A60A3D"/>
    <w:rsid w:val="00A615E2"/>
    <w:rsid w:val="00A61720"/>
    <w:rsid w:val="00A619F4"/>
    <w:rsid w:val="00A6214B"/>
    <w:rsid w:val="00A62584"/>
    <w:rsid w:val="00A626B5"/>
    <w:rsid w:val="00A635A2"/>
    <w:rsid w:val="00A63B4D"/>
    <w:rsid w:val="00A65A34"/>
    <w:rsid w:val="00A669A9"/>
    <w:rsid w:val="00A709B2"/>
    <w:rsid w:val="00A71251"/>
    <w:rsid w:val="00A715EA"/>
    <w:rsid w:val="00A71D8A"/>
    <w:rsid w:val="00A723D4"/>
    <w:rsid w:val="00A726E5"/>
    <w:rsid w:val="00A72D16"/>
    <w:rsid w:val="00A72E01"/>
    <w:rsid w:val="00A732A5"/>
    <w:rsid w:val="00A732BA"/>
    <w:rsid w:val="00A73783"/>
    <w:rsid w:val="00A739F8"/>
    <w:rsid w:val="00A73E05"/>
    <w:rsid w:val="00A73F3C"/>
    <w:rsid w:val="00A7483F"/>
    <w:rsid w:val="00A74E6A"/>
    <w:rsid w:val="00A75D0B"/>
    <w:rsid w:val="00A763E7"/>
    <w:rsid w:val="00A76C5D"/>
    <w:rsid w:val="00A813A7"/>
    <w:rsid w:val="00A813A9"/>
    <w:rsid w:val="00A82B31"/>
    <w:rsid w:val="00A82F39"/>
    <w:rsid w:val="00A83049"/>
    <w:rsid w:val="00A83AB6"/>
    <w:rsid w:val="00A83B77"/>
    <w:rsid w:val="00A8541D"/>
    <w:rsid w:val="00A864D7"/>
    <w:rsid w:val="00A868A5"/>
    <w:rsid w:val="00A868E6"/>
    <w:rsid w:val="00A872E3"/>
    <w:rsid w:val="00A90447"/>
    <w:rsid w:val="00A9065C"/>
    <w:rsid w:val="00A90693"/>
    <w:rsid w:val="00A915E5"/>
    <w:rsid w:val="00A91F7C"/>
    <w:rsid w:val="00A92B38"/>
    <w:rsid w:val="00A92CE6"/>
    <w:rsid w:val="00A95221"/>
    <w:rsid w:val="00A952F4"/>
    <w:rsid w:val="00A95719"/>
    <w:rsid w:val="00A976B7"/>
    <w:rsid w:val="00A97F66"/>
    <w:rsid w:val="00AA0A6E"/>
    <w:rsid w:val="00AA15BC"/>
    <w:rsid w:val="00AA1D2B"/>
    <w:rsid w:val="00AA1E10"/>
    <w:rsid w:val="00AA2EDD"/>
    <w:rsid w:val="00AA4269"/>
    <w:rsid w:val="00AA50CE"/>
    <w:rsid w:val="00AA6208"/>
    <w:rsid w:val="00AB0A05"/>
    <w:rsid w:val="00AB1B25"/>
    <w:rsid w:val="00AB27EF"/>
    <w:rsid w:val="00AB5E3A"/>
    <w:rsid w:val="00AC0C10"/>
    <w:rsid w:val="00AC25BC"/>
    <w:rsid w:val="00AC378D"/>
    <w:rsid w:val="00AC4953"/>
    <w:rsid w:val="00AC5E6C"/>
    <w:rsid w:val="00AC69D3"/>
    <w:rsid w:val="00AD062C"/>
    <w:rsid w:val="00AD0A43"/>
    <w:rsid w:val="00AD129D"/>
    <w:rsid w:val="00AD208D"/>
    <w:rsid w:val="00AD2116"/>
    <w:rsid w:val="00AD2433"/>
    <w:rsid w:val="00AD2B12"/>
    <w:rsid w:val="00AD52DC"/>
    <w:rsid w:val="00AD57D7"/>
    <w:rsid w:val="00AD648D"/>
    <w:rsid w:val="00AD7BE7"/>
    <w:rsid w:val="00AE012D"/>
    <w:rsid w:val="00AE0DB3"/>
    <w:rsid w:val="00AE52EB"/>
    <w:rsid w:val="00AE5EDB"/>
    <w:rsid w:val="00AE62D2"/>
    <w:rsid w:val="00AE6C28"/>
    <w:rsid w:val="00AE6C79"/>
    <w:rsid w:val="00AE6F82"/>
    <w:rsid w:val="00AE7301"/>
    <w:rsid w:val="00AE79C9"/>
    <w:rsid w:val="00AE7B51"/>
    <w:rsid w:val="00AF066C"/>
    <w:rsid w:val="00AF1832"/>
    <w:rsid w:val="00AF25C9"/>
    <w:rsid w:val="00AF2819"/>
    <w:rsid w:val="00AF35C6"/>
    <w:rsid w:val="00AF385C"/>
    <w:rsid w:val="00AF44B3"/>
    <w:rsid w:val="00AF50C4"/>
    <w:rsid w:val="00AF55C9"/>
    <w:rsid w:val="00AF6A80"/>
    <w:rsid w:val="00AF726E"/>
    <w:rsid w:val="00AF7523"/>
    <w:rsid w:val="00AF7A75"/>
    <w:rsid w:val="00AF7DB0"/>
    <w:rsid w:val="00B02FC6"/>
    <w:rsid w:val="00B0383A"/>
    <w:rsid w:val="00B03AA7"/>
    <w:rsid w:val="00B04104"/>
    <w:rsid w:val="00B04172"/>
    <w:rsid w:val="00B052BF"/>
    <w:rsid w:val="00B05506"/>
    <w:rsid w:val="00B05F75"/>
    <w:rsid w:val="00B06C81"/>
    <w:rsid w:val="00B073B5"/>
    <w:rsid w:val="00B0770B"/>
    <w:rsid w:val="00B10612"/>
    <w:rsid w:val="00B10F34"/>
    <w:rsid w:val="00B10FD1"/>
    <w:rsid w:val="00B116F2"/>
    <w:rsid w:val="00B12867"/>
    <w:rsid w:val="00B1348E"/>
    <w:rsid w:val="00B1365C"/>
    <w:rsid w:val="00B14073"/>
    <w:rsid w:val="00B141A0"/>
    <w:rsid w:val="00B141CC"/>
    <w:rsid w:val="00B145A8"/>
    <w:rsid w:val="00B15307"/>
    <w:rsid w:val="00B16346"/>
    <w:rsid w:val="00B1658F"/>
    <w:rsid w:val="00B16966"/>
    <w:rsid w:val="00B16C7C"/>
    <w:rsid w:val="00B16E53"/>
    <w:rsid w:val="00B17CD2"/>
    <w:rsid w:val="00B17D91"/>
    <w:rsid w:val="00B211D1"/>
    <w:rsid w:val="00B23DF0"/>
    <w:rsid w:val="00B2400A"/>
    <w:rsid w:val="00B244DF"/>
    <w:rsid w:val="00B255AF"/>
    <w:rsid w:val="00B25ECC"/>
    <w:rsid w:val="00B261E6"/>
    <w:rsid w:val="00B26547"/>
    <w:rsid w:val="00B26CF4"/>
    <w:rsid w:val="00B27396"/>
    <w:rsid w:val="00B30093"/>
    <w:rsid w:val="00B303BC"/>
    <w:rsid w:val="00B30AF9"/>
    <w:rsid w:val="00B30EC6"/>
    <w:rsid w:val="00B3107D"/>
    <w:rsid w:val="00B31807"/>
    <w:rsid w:val="00B32BF8"/>
    <w:rsid w:val="00B32CCA"/>
    <w:rsid w:val="00B33A01"/>
    <w:rsid w:val="00B33B09"/>
    <w:rsid w:val="00B34B9C"/>
    <w:rsid w:val="00B3508D"/>
    <w:rsid w:val="00B35370"/>
    <w:rsid w:val="00B36B43"/>
    <w:rsid w:val="00B40220"/>
    <w:rsid w:val="00B40762"/>
    <w:rsid w:val="00B40A23"/>
    <w:rsid w:val="00B42C5A"/>
    <w:rsid w:val="00B43347"/>
    <w:rsid w:val="00B434B0"/>
    <w:rsid w:val="00B43E63"/>
    <w:rsid w:val="00B443F3"/>
    <w:rsid w:val="00B44D82"/>
    <w:rsid w:val="00B4511A"/>
    <w:rsid w:val="00B45473"/>
    <w:rsid w:val="00B45D16"/>
    <w:rsid w:val="00B47779"/>
    <w:rsid w:val="00B50603"/>
    <w:rsid w:val="00B52055"/>
    <w:rsid w:val="00B522C6"/>
    <w:rsid w:val="00B524F7"/>
    <w:rsid w:val="00B52AE6"/>
    <w:rsid w:val="00B52B88"/>
    <w:rsid w:val="00B530E7"/>
    <w:rsid w:val="00B542B6"/>
    <w:rsid w:val="00B5464A"/>
    <w:rsid w:val="00B54698"/>
    <w:rsid w:val="00B54EC8"/>
    <w:rsid w:val="00B56473"/>
    <w:rsid w:val="00B57529"/>
    <w:rsid w:val="00B57EB3"/>
    <w:rsid w:val="00B60258"/>
    <w:rsid w:val="00B6038D"/>
    <w:rsid w:val="00B60873"/>
    <w:rsid w:val="00B60901"/>
    <w:rsid w:val="00B61037"/>
    <w:rsid w:val="00B64B11"/>
    <w:rsid w:val="00B64C82"/>
    <w:rsid w:val="00B650FE"/>
    <w:rsid w:val="00B6560D"/>
    <w:rsid w:val="00B65C44"/>
    <w:rsid w:val="00B709AC"/>
    <w:rsid w:val="00B713EE"/>
    <w:rsid w:val="00B718A6"/>
    <w:rsid w:val="00B725EE"/>
    <w:rsid w:val="00B726AC"/>
    <w:rsid w:val="00B73DFC"/>
    <w:rsid w:val="00B740C9"/>
    <w:rsid w:val="00B75017"/>
    <w:rsid w:val="00B76386"/>
    <w:rsid w:val="00B765CB"/>
    <w:rsid w:val="00B76FCC"/>
    <w:rsid w:val="00B77909"/>
    <w:rsid w:val="00B779BE"/>
    <w:rsid w:val="00B77CDC"/>
    <w:rsid w:val="00B803A2"/>
    <w:rsid w:val="00B80BBC"/>
    <w:rsid w:val="00B80CC8"/>
    <w:rsid w:val="00B80D54"/>
    <w:rsid w:val="00B80EC4"/>
    <w:rsid w:val="00B81677"/>
    <w:rsid w:val="00B81744"/>
    <w:rsid w:val="00B81DF8"/>
    <w:rsid w:val="00B81E84"/>
    <w:rsid w:val="00B82965"/>
    <w:rsid w:val="00B839BC"/>
    <w:rsid w:val="00B8405E"/>
    <w:rsid w:val="00B85CC7"/>
    <w:rsid w:val="00B865F7"/>
    <w:rsid w:val="00B8660D"/>
    <w:rsid w:val="00B87740"/>
    <w:rsid w:val="00B87F8A"/>
    <w:rsid w:val="00B87FF6"/>
    <w:rsid w:val="00B906E1"/>
    <w:rsid w:val="00B90FC1"/>
    <w:rsid w:val="00B91229"/>
    <w:rsid w:val="00B91C08"/>
    <w:rsid w:val="00B92471"/>
    <w:rsid w:val="00B92A1B"/>
    <w:rsid w:val="00B94F29"/>
    <w:rsid w:val="00B95F2D"/>
    <w:rsid w:val="00B95FE5"/>
    <w:rsid w:val="00B965D7"/>
    <w:rsid w:val="00B978A3"/>
    <w:rsid w:val="00BA0134"/>
    <w:rsid w:val="00BA05E7"/>
    <w:rsid w:val="00BA1286"/>
    <w:rsid w:val="00BA1302"/>
    <w:rsid w:val="00BA3F6C"/>
    <w:rsid w:val="00BA419C"/>
    <w:rsid w:val="00BA42DF"/>
    <w:rsid w:val="00BA45D0"/>
    <w:rsid w:val="00BA493C"/>
    <w:rsid w:val="00BA4D8F"/>
    <w:rsid w:val="00BA50C8"/>
    <w:rsid w:val="00BA5285"/>
    <w:rsid w:val="00BA5D7E"/>
    <w:rsid w:val="00BA6A7E"/>
    <w:rsid w:val="00BA6F9C"/>
    <w:rsid w:val="00BB00BF"/>
    <w:rsid w:val="00BB0584"/>
    <w:rsid w:val="00BB1939"/>
    <w:rsid w:val="00BB2581"/>
    <w:rsid w:val="00BB3058"/>
    <w:rsid w:val="00BB3E1E"/>
    <w:rsid w:val="00BB4178"/>
    <w:rsid w:val="00BB420E"/>
    <w:rsid w:val="00BB59BB"/>
    <w:rsid w:val="00BB7277"/>
    <w:rsid w:val="00BC03D3"/>
    <w:rsid w:val="00BC0576"/>
    <w:rsid w:val="00BC0588"/>
    <w:rsid w:val="00BC0D41"/>
    <w:rsid w:val="00BC0F4D"/>
    <w:rsid w:val="00BC1B97"/>
    <w:rsid w:val="00BC20B3"/>
    <w:rsid w:val="00BC25A8"/>
    <w:rsid w:val="00BC2FE7"/>
    <w:rsid w:val="00BC33C7"/>
    <w:rsid w:val="00BC3415"/>
    <w:rsid w:val="00BC4513"/>
    <w:rsid w:val="00BC4B64"/>
    <w:rsid w:val="00BC4BA4"/>
    <w:rsid w:val="00BC5EE4"/>
    <w:rsid w:val="00BC740D"/>
    <w:rsid w:val="00BC75A3"/>
    <w:rsid w:val="00BC7E5D"/>
    <w:rsid w:val="00BD03B8"/>
    <w:rsid w:val="00BD192E"/>
    <w:rsid w:val="00BD19D1"/>
    <w:rsid w:val="00BD2523"/>
    <w:rsid w:val="00BD2574"/>
    <w:rsid w:val="00BD2B41"/>
    <w:rsid w:val="00BD342F"/>
    <w:rsid w:val="00BD359F"/>
    <w:rsid w:val="00BD36C6"/>
    <w:rsid w:val="00BD3C8B"/>
    <w:rsid w:val="00BD3F83"/>
    <w:rsid w:val="00BD414A"/>
    <w:rsid w:val="00BD4181"/>
    <w:rsid w:val="00BD4AC4"/>
    <w:rsid w:val="00BD538A"/>
    <w:rsid w:val="00BD54F4"/>
    <w:rsid w:val="00BD5CD5"/>
    <w:rsid w:val="00BD62B3"/>
    <w:rsid w:val="00BD6D89"/>
    <w:rsid w:val="00BD6E06"/>
    <w:rsid w:val="00BD780E"/>
    <w:rsid w:val="00BD79E8"/>
    <w:rsid w:val="00BE018A"/>
    <w:rsid w:val="00BE07C9"/>
    <w:rsid w:val="00BE07ED"/>
    <w:rsid w:val="00BE3CE0"/>
    <w:rsid w:val="00BE4109"/>
    <w:rsid w:val="00BE49A3"/>
    <w:rsid w:val="00BE53C6"/>
    <w:rsid w:val="00BE67E0"/>
    <w:rsid w:val="00BE68D4"/>
    <w:rsid w:val="00BE794C"/>
    <w:rsid w:val="00BE7E45"/>
    <w:rsid w:val="00BE7F61"/>
    <w:rsid w:val="00BF0055"/>
    <w:rsid w:val="00BF3FC9"/>
    <w:rsid w:val="00BF4123"/>
    <w:rsid w:val="00BF41D8"/>
    <w:rsid w:val="00BF4653"/>
    <w:rsid w:val="00BF55AB"/>
    <w:rsid w:val="00BF5FE5"/>
    <w:rsid w:val="00BF652B"/>
    <w:rsid w:val="00BF6700"/>
    <w:rsid w:val="00BF68D6"/>
    <w:rsid w:val="00BF6A9E"/>
    <w:rsid w:val="00BF7C24"/>
    <w:rsid w:val="00BF7E8E"/>
    <w:rsid w:val="00C0083E"/>
    <w:rsid w:val="00C00CE0"/>
    <w:rsid w:val="00C0101D"/>
    <w:rsid w:val="00C025AB"/>
    <w:rsid w:val="00C0306C"/>
    <w:rsid w:val="00C03A35"/>
    <w:rsid w:val="00C04461"/>
    <w:rsid w:val="00C04852"/>
    <w:rsid w:val="00C04F71"/>
    <w:rsid w:val="00C0630E"/>
    <w:rsid w:val="00C11A6D"/>
    <w:rsid w:val="00C11DB6"/>
    <w:rsid w:val="00C12BC7"/>
    <w:rsid w:val="00C12BE3"/>
    <w:rsid w:val="00C12C53"/>
    <w:rsid w:val="00C14529"/>
    <w:rsid w:val="00C152DF"/>
    <w:rsid w:val="00C16A75"/>
    <w:rsid w:val="00C17045"/>
    <w:rsid w:val="00C17A3B"/>
    <w:rsid w:val="00C17A65"/>
    <w:rsid w:val="00C17DDA"/>
    <w:rsid w:val="00C17ED1"/>
    <w:rsid w:val="00C2070E"/>
    <w:rsid w:val="00C21075"/>
    <w:rsid w:val="00C21FF8"/>
    <w:rsid w:val="00C22E1B"/>
    <w:rsid w:val="00C2357D"/>
    <w:rsid w:val="00C24B7A"/>
    <w:rsid w:val="00C25102"/>
    <w:rsid w:val="00C253DC"/>
    <w:rsid w:val="00C2564D"/>
    <w:rsid w:val="00C26842"/>
    <w:rsid w:val="00C26928"/>
    <w:rsid w:val="00C269FC"/>
    <w:rsid w:val="00C279BF"/>
    <w:rsid w:val="00C307A9"/>
    <w:rsid w:val="00C30963"/>
    <w:rsid w:val="00C316B9"/>
    <w:rsid w:val="00C328F7"/>
    <w:rsid w:val="00C32DB9"/>
    <w:rsid w:val="00C33052"/>
    <w:rsid w:val="00C339E6"/>
    <w:rsid w:val="00C342DD"/>
    <w:rsid w:val="00C34372"/>
    <w:rsid w:val="00C34BFF"/>
    <w:rsid w:val="00C35353"/>
    <w:rsid w:val="00C35DA4"/>
    <w:rsid w:val="00C360DB"/>
    <w:rsid w:val="00C366E1"/>
    <w:rsid w:val="00C36D48"/>
    <w:rsid w:val="00C3771C"/>
    <w:rsid w:val="00C37821"/>
    <w:rsid w:val="00C378B9"/>
    <w:rsid w:val="00C37D17"/>
    <w:rsid w:val="00C37F88"/>
    <w:rsid w:val="00C40775"/>
    <w:rsid w:val="00C40FF8"/>
    <w:rsid w:val="00C43019"/>
    <w:rsid w:val="00C43B77"/>
    <w:rsid w:val="00C462F1"/>
    <w:rsid w:val="00C46BC3"/>
    <w:rsid w:val="00C47A54"/>
    <w:rsid w:val="00C50D70"/>
    <w:rsid w:val="00C51326"/>
    <w:rsid w:val="00C523C2"/>
    <w:rsid w:val="00C524BB"/>
    <w:rsid w:val="00C53154"/>
    <w:rsid w:val="00C5322C"/>
    <w:rsid w:val="00C533F4"/>
    <w:rsid w:val="00C53A21"/>
    <w:rsid w:val="00C53B4F"/>
    <w:rsid w:val="00C53E45"/>
    <w:rsid w:val="00C54281"/>
    <w:rsid w:val="00C54EB0"/>
    <w:rsid w:val="00C5531B"/>
    <w:rsid w:val="00C56991"/>
    <w:rsid w:val="00C56EBA"/>
    <w:rsid w:val="00C578F5"/>
    <w:rsid w:val="00C60E75"/>
    <w:rsid w:val="00C61A94"/>
    <w:rsid w:val="00C61F90"/>
    <w:rsid w:val="00C63C24"/>
    <w:rsid w:val="00C6517E"/>
    <w:rsid w:val="00C65D04"/>
    <w:rsid w:val="00C67108"/>
    <w:rsid w:val="00C67843"/>
    <w:rsid w:val="00C6794B"/>
    <w:rsid w:val="00C67DB0"/>
    <w:rsid w:val="00C70864"/>
    <w:rsid w:val="00C70866"/>
    <w:rsid w:val="00C70BB1"/>
    <w:rsid w:val="00C71259"/>
    <w:rsid w:val="00C71E3B"/>
    <w:rsid w:val="00C72C1C"/>
    <w:rsid w:val="00C7422C"/>
    <w:rsid w:val="00C7474B"/>
    <w:rsid w:val="00C76849"/>
    <w:rsid w:val="00C77745"/>
    <w:rsid w:val="00C77860"/>
    <w:rsid w:val="00C77BC1"/>
    <w:rsid w:val="00C80EE0"/>
    <w:rsid w:val="00C81A30"/>
    <w:rsid w:val="00C84622"/>
    <w:rsid w:val="00C862DB"/>
    <w:rsid w:val="00C86E0D"/>
    <w:rsid w:val="00C8745D"/>
    <w:rsid w:val="00C8747D"/>
    <w:rsid w:val="00C877E0"/>
    <w:rsid w:val="00C87C64"/>
    <w:rsid w:val="00C9045B"/>
    <w:rsid w:val="00C90618"/>
    <w:rsid w:val="00C90736"/>
    <w:rsid w:val="00C9137F"/>
    <w:rsid w:val="00C9198D"/>
    <w:rsid w:val="00C92046"/>
    <w:rsid w:val="00C926F9"/>
    <w:rsid w:val="00C927B5"/>
    <w:rsid w:val="00C93290"/>
    <w:rsid w:val="00C9419F"/>
    <w:rsid w:val="00C94D84"/>
    <w:rsid w:val="00C95C55"/>
    <w:rsid w:val="00C95C61"/>
    <w:rsid w:val="00C9627D"/>
    <w:rsid w:val="00C96B05"/>
    <w:rsid w:val="00C96C1D"/>
    <w:rsid w:val="00C96CE5"/>
    <w:rsid w:val="00C975AB"/>
    <w:rsid w:val="00C97FA7"/>
    <w:rsid w:val="00CA0993"/>
    <w:rsid w:val="00CA1391"/>
    <w:rsid w:val="00CA19D6"/>
    <w:rsid w:val="00CA2CA0"/>
    <w:rsid w:val="00CA2DC0"/>
    <w:rsid w:val="00CA454D"/>
    <w:rsid w:val="00CA4E7E"/>
    <w:rsid w:val="00CA5982"/>
    <w:rsid w:val="00CA5B0A"/>
    <w:rsid w:val="00CA5BAE"/>
    <w:rsid w:val="00CA64FC"/>
    <w:rsid w:val="00CA790A"/>
    <w:rsid w:val="00CB02C2"/>
    <w:rsid w:val="00CB0DC2"/>
    <w:rsid w:val="00CB108E"/>
    <w:rsid w:val="00CB14B1"/>
    <w:rsid w:val="00CB1E11"/>
    <w:rsid w:val="00CB2102"/>
    <w:rsid w:val="00CB292D"/>
    <w:rsid w:val="00CB39F0"/>
    <w:rsid w:val="00CB3B80"/>
    <w:rsid w:val="00CB6126"/>
    <w:rsid w:val="00CB6577"/>
    <w:rsid w:val="00CC02DF"/>
    <w:rsid w:val="00CC0651"/>
    <w:rsid w:val="00CC074E"/>
    <w:rsid w:val="00CC07F3"/>
    <w:rsid w:val="00CC0DEC"/>
    <w:rsid w:val="00CC0E4A"/>
    <w:rsid w:val="00CC0F29"/>
    <w:rsid w:val="00CC1625"/>
    <w:rsid w:val="00CC1F2E"/>
    <w:rsid w:val="00CC387A"/>
    <w:rsid w:val="00CC573D"/>
    <w:rsid w:val="00CC578F"/>
    <w:rsid w:val="00CC6230"/>
    <w:rsid w:val="00CC716A"/>
    <w:rsid w:val="00CC776F"/>
    <w:rsid w:val="00CC7E2F"/>
    <w:rsid w:val="00CD0F06"/>
    <w:rsid w:val="00CD1E41"/>
    <w:rsid w:val="00CD2615"/>
    <w:rsid w:val="00CD281F"/>
    <w:rsid w:val="00CD2FD3"/>
    <w:rsid w:val="00CD499D"/>
    <w:rsid w:val="00CD72C2"/>
    <w:rsid w:val="00CD7525"/>
    <w:rsid w:val="00CD7856"/>
    <w:rsid w:val="00CE0B0D"/>
    <w:rsid w:val="00CE124B"/>
    <w:rsid w:val="00CE136C"/>
    <w:rsid w:val="00CE28C9"/>
    <w:rsid w:val="00CE2DE1"/>
    <w:rsid w:val="00CE3995"/>
    <w:rsid w:val="00CE5D38"/>
    <w:rsid w:val="00CE5F82"/>
    <w:rsid w:val="00CE6C3B"/>
    <w:rsid w:val="00CE75FF"/>
    <w:rsid w:val="00CE78D2"/>
    <w:rsid w:val="00CF1BA9"/>
    <w:rsid w:val="00CF3846"/>
    <w:rsid w:val="00CF41A6"/>
    <w:rsid w:val="00CF690B"/>
    <w:rsid w:val="00CF7079"/>
    <w:rsid w:val="00CF7AC3"/>
    <w:rsid w:val="00CF7EE3"/>
    <w:rsid w:val="00D00ED1"/>
    <w:rsid w:val="00D00F74"/>
    <w:rsid w:val="00D012B4"/>
    <w:rsid w:val="00D0204C"/>
    <w:rsid w:val="00D023A5"/>
    <w:rsid w:val="00D02F6B"/>
    <w:rsid w:val="00D03A73"/>
    <w:rsid w:val="00D03BD4"/>
    <w:rsid w:val="00D05078"/>
    <w:rsid w:val="00D0593F"/>
    <w:rsid w:val="00D06168"/>
    <w:rsid w:val="00D06659"/>
    <w:rsid w:val="00D06D85"/>
    <w:rsid w:val="00D07544"/>
    <w:rsid w:val="00D0781F"/>
    <w:rsid w:val="00D0788D"/>
    <w:rsid w:val="00D07DE1"/>
    <w:rsid w:val="00D1006E"/>
    <w:rsid w:val="00D1085C"/>
    <w:rsid w:val="00D114A6"/>
    <w:rsid w:val="00D11B42"/>
    <w:rsid w:val="00D13574"/>
    <w:rsid w:val="00D13B49"/>
    <w:rsid w:val="00D14C35"/>
    <w:rsid w:val="00D1511C"/>
    <w:rsid w:val="00D15AB2"/>
    <w:rsid w:val="00D207AB"/>
    <w:rsid w:val="00D225DD"/>
    <w:rsid w:val="00D22E22"/>
    <w:rsid w:val="00D234DB"/>
    <w:rsid w:val="00D23786"/>
    <w:rsid w:val="00D24BB6"/>
    <w:rsid w:val="00D24F8A"/>
    <w:rsid w:val="00D2528E"/>
    <w:rsid w:val="00D253CB"/>
    <w:rsid w:val="00D255D9"/>
    <w:rsid w:val="00D25D99"/>
    <w:rsid w:val="00D261FF"/>
    <w:rsid w:val="00D26FC0"/>
    <w:rsid w:val="00D27166"/>
    <w:rsid w:val="00D2752D"/>
    <w:rsid w:val="00D27B6F"/>
    <w:rsid w:val="00D30003"/>
    <w:rsid w:val="00D30064"/>
    <w:rsid w:val="00D305A2"/>
    <w:rsid w:val="00D30A36"/>
    <w:rsid w:val="00D30EF1"/>
    <w:rsid w:val="00D32264"/>
    <w:rsid w:val="00D324A4"/>
    <w:rsid w:val="00D3290A"/>
    <w:rsid w:val="00D33CFA"/>
    <w:rsid w:val="00D34496"/>
    <w:rsid w:val="00D357D8"/>
    <w:rsid w:val="00D35B6A"/>
    <w:rsid w:val="00D35FE6"/>
    <w:rsid w:val="00D36348"/>
    <w:rsid w:val="00D3688A"/>
    <w:rsid w:val="00D41605"/>
    <w:rsid w:val="00D41CBD"/>
    <w:rsid w:val="00D42447"/>
    <w:rsid w:val="00D42CA7"/>
    <w:rsid w:val="00D42F26"/>
    <w:rsid w:val="00D43B64"/>
    <w:rsid w:val="00D43C81"/>
    <w:rsid w:val="00D43F4C"/>
    <w:rsid w:val="00D44720"/>
    <w:rsid w:val="00D4496C"/>
    <w:rsid w:val="00D50435"/>
    <w:rsid w:val="00D50940"/>
    <w:rsid w:val="00D54639"/>
    <w:rsid w:val="00D54720"/>
    <w:rsid w:val="00D5493A"/>
    <w:rsid w:val="00D550A5"/>
    <w:rsid w:val="00D56DC1"/>
    <w:rsid w:val="00D57CD4"/>
    <w:rsid w:val="00D60589"/>
    <w:rsid w:val="00D60599"/>
    <w:rsid w:val="00D60912"/>
    <w:rsid w:val="00D60A06"/>
    <w:rsid w:val="00D6151C"/>
    <w:rsid w:val="00D61707"/>
    <w:rsid w:val="00D62237"/>
    <w:rsid w:val="00D629C2"/>
    <w:rsid w:val="00D62DEB"/>
    <w:rsid w:val="00D63630"/>
    <w:rsid w:val="00D63951"/>
    <w:rsid w:val="00D6447B"/>
    <w:rsid w:val="00D6458E"/>
    <w:rsid w:val="00D6630D"/>
    <w:rsid w:val="00D66C51"/>
    <w:rsid w:val="00D70202"/>
    <w:rsid w:val="00D70443"/>
    <w:rsid w:val="00D70C0D"/>
    <w:rsid w:val="00D71F6F"/>
    <w:rsid w:val="00D7241E"/>
    <w:rsid w:val="00D73231"/>
    <w:rsid w:val="00D734BA"/>
    <w:rsid w:val="00D74C66"/>
    <w:rsid w:val="00D74F5E"/>
    <w:rsid w:val="00D75F4C"/>
    <w:rsid w:val="00D76C6A"/>
    <w:rsid w:val="00D76DEC"/>
    <w:rsid w:val="00D775F6"/>
    <w:rsid w:val="00D806D8"/>
    <w:rsid w:val="00D80A1C"/>
    <w:rsid w:val="00D81859"/>
    <w:rsid w:val="00D81DFC"/>
    <w:rsid w:val="00D82012"/>
    <w:rsid w:val="00D8231D"/>
    <w:rsid w:val="00D831E4"/>
    <w:rsid w:val="00D837BF"/>
    <w:rsid w:val="00D83A4E"/>
    <w:rsid w:val="00D83B80"/>
    <w:rsid w:val="00D83D06"/>
    <w:rsid w:val="00D8403E"/>
    <w:rsid w:val="00D84825"/>
    <w:rsid w:val="00D849CD"/>
    <w:rsid w:val="00D84EE6"/>
    <w:rsid w:val="00D85723"/>
    <w:rsid w:val="00D8662C"/>
    <w:rsid w:val="00D86C35"/>
    <w:rsid w:val="00D870FE"/>
    <w:rsid w:val="00D87107"/>
    <w:rsid w:val="00D87481"/>
    <w:rsid w:val="00D91489"/>
    <w:rsid w:val="00D92167"/>
    <w:rsid w:val="00D935FA"/>
    <w:rsid w:val="00D938A0"/>
    <w:rsid w:val="00D945F7"/>
    <w:rsid w:val="00D94873"/>
    <w:rsid w:val="00D95810"/>
    <w:rsid w:val="00D95EDF"/>
    <w:rsid w:val="00D96992"/>
    <w:rsid w:val="00D96A06"/>
    <w:rsid w:val="00D96B79"/>
    <w:rsid w:val="00D96E32"/>
    <w:rsid w:val="00D972CA"/>
    <w:rsid w:val="00DA1C86"/>
    <w:rsid w:val="00DA2605"/>
    <w:rsid w:val="00DA290C"/>
    <w:rsid w:val="00DA2EEA"/>
    <w:rsid w:val="00DA3F0A"/>
    <w:rsid w:val="00DA4250"/>
    <w:rsid w:val="00DA6438"/>
    <w:rsid w:val="00DA67CC"/>
    <w:rsid w:val="00DA7206"/>
    <w:rsid w:val="00DA756F"/>
    <w:rsid w:val="00DA7C15"/>
    <w:rsid w:val="00DB0EA5"/>
    <w:rsid w:val="00DB11A0"/>
    <w:rsid w:val="00DB14CD"/>
    <w:rsid w:val="00DB2D6E"/>
    <w:rsid w:val="00DB342F"/>
    <w:rsid w:val="00DB3F98"/>
    <w:rsid w:val="00DB41F8"/>
    <w:rsid w:val="00DB452B"/>
    <w:rsid w:val="00DB54D4"/>
    <w:rsid w:val="00DB7245"/>
    <w:rsid w:val="00DB7AA0"/>
    <w:rsid w:val="00DC10C9"/>
    <w:rsid w:val="00DC1556"/>
    <w:rsid w:val="00DC1D3D"/>
    <w:rsid w:val="00DC2458"/>
    <w:rsid w:val="00DC2F5A"/>
    <w:rsid w:val="00DC4403"/>
    <w:rsid w:val="00DC6B5A"/>
    <w:rsid w:val="00DC7221"/>
    <w:rsid w:val="00DC7464"/>
    <w:rsid w:val="00DC7750"/>
    <w:rsid w:val="00DC7812"/>
    <w:rsid w:val="00DC7B1F"/>
    <w:rsid w:val="00DC7C63"/>
    <w:rsid w:val="00DD07B8"/>
    <w:rsid w:val="00DD0933"/>
    <w:rsid w:val="00DD0990"/>
    <w:rsid w:val="00DD2095"/>
    <w:rsid w:val="00DD345E"/>
    <w:rsid w:val="00DD3B04"/>
    <w:rsid w:val="00DD3D06"/>
    <w:rsid w:val="00DD53FB"/>
    <w:rsid w:val="00DD5B1D"/>
    <w:rsid w:val="00DD6772"/>
    <w:rsid w:val="00DD6C90"/>
    <w:rsid w:val="00DD7041"/>
    <w:rsid w:val="00DD707F"/>
    <w:rsid w:val="00DD70D9"/>
    <w:rsid w:val="00DD7BB6"/>
    <w:rsid w:val="00DE0088"/>
    <w:rsid w:val="00DE13CC"/>
    <w:rsid w:val="00DE2B42"/>
    <w:rsid w:val="00DE2D9F"/>
    <w:rsid w:val="00DE3401"/>
    <w:rsid w:val="00DE453E"/>
    <w:rsid w:val="00DE466E"/>
    <w:rsid w:val="00DE4713"/>
    <w:rsid w:val="00DE4868"/>
    <w:rsid w:val="00DE700B"/>
    <w:rsid w:val="00DE73E8"/>
    <w:rsid w:val="00DE752F"/>
    <w:rsid w:val="00DE7694"/>
    <w:rsid w:val="00DF04A7"/>
    <w:rsid w:val="00DF0946"/>
    <w:rsid w:val="00DF09B1"/>
    <w:rsid w:val="00DF0E8C"/>
    <w:rsid w:val="00DF1287"/>
    <w:rsid w:val="00DF314C"/>
    <w:rsid w:val="00DF3E8E"/>
    <w:rsid w:val="00DF3ED6"/>
    <w:rsid w:val="00DF516A"/>
    <w:rsid w:val="00DF51A5"/>
    <w:rsid w:val="00DF5601"/>
    <w:rsid w:val="00DF68FE"/>
    <w:rsid w:val="00DF706C"/>
    <w:rsid w:val="00DF77D6"/>
    <w:rsid w:val="00DF7D4A"/>
    <w:rsid w:val="00E0002C"/>
    <w:rsid w:val="00E00110"/>
    <w:rsid w:val="00E01D0E"/>
    <w:rsid w:val="00E020B1"/>
    <w:rsid w:val="00E02C7B"/>
    <w:rsid w:val="00E032C6"/>
    <w:rsid w:val="00E036D5"/>
    <w:rsid w:val="00E041D3"/>
    <w:rsid w:val="00E04DD1"/>
    <w:rsid w:val="00E04EB9"/>
    <w:rsid w:val="00E05CD8"/>
    <w:rsid w:val="00E06129"/>
    <w:rsid w:val="00E06AB9"/>
    <w:rsid w:val="00E102B1"/>
    <w:rsid w:val="00E10707"/>
    <w:rsid w:val="00E13422"/>
    <w:rsid w:val="00E13B7B"/>
    <w:rsid w:val="00E146A9"/>
    <w:rsid w:val="00E14DEA"/>
    <w:rsid w:val="00E15464"/>
    <w:rsid w:val="00E1680C"/>
    <w:rsid w:val="00E16A53"/>
    <w:rsid w:val="00E17399"/>
    <w:rsid w:val="00E17A5F"/>
    <w:rsid w:val="00E17DE2"/>
    <w:rsid w:val="00E2250C"/>
    <w:rsid w:val="00E225EC"/>
    <w:rsid w:val="00E24402"/>
    <w:rsid w:val="00E24A9E"/>
    <w:rsid w:val="00E25D52"/>
    <w:rsid w:val="00E26AE3"/>
    <w:rsid w:val="00E27E91"/>
    <w:rsid w:val="00E301A5"/>
    <w:rsid w:val="00E30494"/>
    <w:rsid w:val="00E30595"/>
    <w:rsid w:val="00E30B3A"/>
    <w:rsid w:val="00E30D16"/>
    <w:rsid w:val="00E31528"/>
    <w:rsid w:val="00E31ACB"/>
    <w:rsid w:val="00E33C0E"/>
    <w:rsid w:val="00E34DA3"/>
    <w:rsid w:val="00E353B9"/>
    <w:rsid w:val="00E36919"/>
    <w:rsid w:val="00E4014F"/>
    <w:rsid w:val="00E404E2"/>
    <w:rsid w:val="00E4079E"/>
    <w:rsid w:val="00E40B65"/>
    <w:rsid w:val="00E43785"/>
    <w:rsid w:val="00E43902"/>
    <w:rsid w:val="00E44C28"/>
    <w:rsid w:val="00E45128"/>
    <w:rsid w:val="00E45B3B"/>
    <w:rsid w:val="00E47110"/>
    <w:rsid w:val="00E50769"/>
    <w:rsid w:val="00E50CE9"/>
    <w:rsid w:val="00E5215A"/>
    <w:rsid w:val="00E52B3F"/>
    <w:rsid w:val="00E536A7"/>
    <w:rsid w:val="00E53A28"/>
    <w:rsid w:val="00E53AB4"/>
    <w:rsid w:val="00E548F9"/>
    <w:rsid w:val="00E54F17"/>
    <w:rsid w:val="00E55390"/>
    <w:rsid w:val="00E5577A"/>
    <w:rsid w:val="00E5678C"/>
    <w:rsid w:val="00E56C13"/>
    <w:rsid w:val="00E578EB"/>
    <w:rsid w:val="00E60342"/>
    <w:rsid w:val="00E60516"/>
    <w:rsid w:val="00E608CC"/>
    <w:rsid w:val="00E60CC0"/>
    <w:rsid w:val="00E60F14"/>
    <w:rsid w:val="00E60F6A"/>
    <w:rsid w:val="00E62AA8"/>
    <w:rsid w:val="00E6453A"/>
    <w:rsid w:val="00E645BA"/>
    <w:rsid w:val="00E65CA6"/>
    <w:rsid w:val="00E661E9"/>
    <w:rsid w:val="00E66AE0"/>
    <w:rsid w:val="00E70E37"/>
    <w:rsid w:val="00E712B2"/>
    <w:rsid w:val="00E71E82"/>
    <w:rsid w:val="00E726CC"/>
    <w:rsid w:val="00E73C35"/>
    <w:rsid w:val="00E73D90"/>
    <w:rsid w:val="00E764AF"/>
    <w:rsid w:val="00E76F91"/>
    <w:rsid w:val="00E771D6"/>
    <w:rsid w:val="00E77A36"/>
    <w:rsid w:val="00E77CB3"/>
    <w:rsid w:val="00E81A0F"/>
    <w:rsid w:val="00E82312"/>
    <w:rsid w:val="00E82E65"/>
    <w:rsid w:val="00E83B16"/>
    <w:rsid w:val="00E83B8F"/>
    <w:rsid w:val="00E84202"/>
    <w:rsid w:val="00E8421F"/>
    <w:rsid w:val="00E843DC"/>
    <w:rsid w:val="00E851E3"/>
    <w:rsid w:val="00E86C43"/>
    <w:rsid w:val="00E87C13"/>
    <w:rsid w:val="00E87E85"/>
    <w:rsid w:val="00E92169"/>
    <w:rsid w:val="00E923A3"/>
    <w:rsid w:val="00E92A56"/>
    <w:rsid w:val="00E92E09"/>
    <w:rsid w:val="00E931AF"/>
    <w:rsid w:val="00E9338F"/>
    <w:rsid w:val="00E9341D"/>
    <w:rsid w:val="00E9371E"/>
    <w:rsid w:val="00E94122"/>
    <w:rsid w:val="00E956FC"/>
    <w:rsid w:val="00E95DB0"/>
    <w:rsid w:val="00E95FDB"/>
    <w:rsid w:val="00E95FF2"/>
    <w:rsid w:val="00E9694F"/>
    <w:rsid w:val="00EA1719"/>
    <w:rsid w:val="00EA1E30"/>
    <w:rsid w:val="00EA3B0D"/>
    <w:rsid w:val="00EA40CE"/>
    <w:rsid w:val="00EA46D2"/>
    <w:rsid w:val="00EA4E2C"/>
    <w:rsid w:val="00EA60B5"/>
    <w:rsid w:val="00EA66E8"/>
    <w:rsid w:val="00EA6FB5"/>
    <w:rsid w:val="00EA7239"/>
    <w:rsid w:val="00EB017F"/>
    <w:rsid w:val="00EB11AB"/>
    <w:rsid w:val="00EB1AFD"/>
    <w:rsid w:val="00EB4EF3"/>
    <w:rsid w:val="00EB6B91"/>
    <w:rsid w:val="00EB6F13"/>
    <w:rsid w:val="00EB71C5"/>
    <w:rsid w:val="00EB76C2"/>
    <w:rsid w:val="00EB7817"/>
    <w:rsid w:val="00EC028F"/>
    <w:rsid w:val="00EC0680"/>
    <w:rsid w:val="00EC3D6D"/>
    <w:rsid w:val="00EC50D3"/>
    <w:rsid w:val="00EC5569"/>
    <w:rsid w:val="00EC56BA"/>
    <w:rsid w:val="00EC5AFB"/>
    <w:rsid w:val="00EC68EA"/>
    <w:rsid w:val="00EC6AF8"/>
    <w:rsid w:val="00EC7239"/>
    <w:rsid w:val="00ED096D"/>
    <w:rsid w:val="00ED1767"/>
    <w:rsid w:val="00ED1779"/>
    <w:rsid w:val="00ED1A5D"/>
    <w:rsid w:val="00ED265B"/>
    <w:rsid w:val="00ED2D18"/>
    <w:rsid w:val="00ED329F"/>
    <w:rsid w:val="00ED338A"/>
    <w:rsid w:val="00ED472F"/>
    <w:rsid w:val="00ED56EA"/>
    <w:rsid w:val="00ED6404"/>
    <w:rsid w:val="00ED652C"/>
    <w:rsid w:val="00ED7B0C"/>
    <w:rsid w:val="00EE05C8"/>
    <w:rsid w:val="00EE09EC"/>
    <w:rsid w:val="00EE101E"/>
    <w:rsid w:val="00EE1963"/>
    <w:rsid w:val="00EE1CEF"/>
    <w:rsid w:val="00EE1D28"/>
    <w:rsid w:val="00EE2373"/>
    <w:rsid w:val="00EE2E49"/>
    <w:rsid w:val="00EE60D2"/>
    <w:rsid w:val="00EE6913"/>
    <w:rsid w:val="00EE6E22"/>
    <w:rsid w:val="00EF0874"/>
    <w:rsid w:val="00EF0B71"/>
    <w:rsid w:val="00EF15D2"/>
    <w:rsid w:val="00EF16DB"/>
    <w:rsid w:val="00EF30FC"/>
    <w:rsid w:val="00EF4206"/>
    <w:rsid w:val="00EF49A6"/>
    <w:rsid w:val="00EF4A64"/>
    <w:rsid w:val="00EF55CA"/>
    <w:rsid w:val="00EF5E1A"/>
    <w:rsid w:val="00EF713D"/>
    <w:rsid w:val="00EF718B"/>
    <w:rsid w:val="00EF778E"/>
    <w:rsid w:val="00F01596"/>
    <w:rsid w:val="00F01A9C"/>
    <w:rsid w:val="00F02282"/>
    <w:rsid w:val="00F02951"/>
    <w:rsid w:val="00F02953"/>
    <w:rsid w:val="00F02A93"/>
    <w:rsid w:val="00F02ECD"/>
    <w:rsid w:val="00F035F1"/>
    <w:rsid w:val="00F03DCC"/>
    <w:rsid w:val="00F043AD"/>
    <w:rsid w:val="00F04503"/>
    <w:rsid w:val="00F0468D"/>
    <w:rsid w:val="00F04795"/>
    <w:rsid w:val="00F048D5"/>
    <w:rsid w:val="00F04D40"/>
    <w:rsid w:val="00F05392"/>
    <w:rsid w:val="00F05CEE"/>
    <w:rsid w:val="00F05E06"/>
    <w:rsid w:val="00F06F53"/>
    <w:rsid w:val="00F075C1"/>
    <w:rsid w:val="00F078E3"/>
    <w:rsid w:val="00F1047A"/>
    <w:rsid w:val="00F104B8"/>
    <w:rsid w:val="00F11430"/>
    <w:rsid w:val="00F12640"/>
    <w:rsid w:val="00F12740"/>
    <w:rsid w:val="00F12CB4"/>
    <w:rsid w:val="00F12D97"/>
    <w:rsid w:val="00F148E7"/>
    <w:rsid w:val="00F159E0"/>
    <w:rsid w:val="00F15E20"/>
    <w:rsid w:val="00F160D5"/>
    <w:rsid w:val="00F1635D"/>
    <w:rsid w:val="00F1639D"/>
    <w:rsid w:val="00F164E6"/>
    <w:rsid w:val="00F16B74"/>
    <w:rsid w:val="00F174EA"/>
    <w:rsid w:val="00F20096"/>
    <w:rsid w:val="00F20D9A"/>
    <w:rsid w:val="00F20E93"/>
    <w:rsid w:val="00F21684"/>
    <w:rsid w:val="00F218AC"/>
    <w:rsid w:val="00F21BD2"/>
    <w:rsid w:val="00F22114"/>
    <w:rsid w:val="00F22EB6"/>
    <w:rsid w:val="00F24346"/>
    <w:rsid w:val="00F2435A"/>
    <w:rsid w:val="00F24406"/>
    <w:rsid w:val="00F24546"/>
    <w:rsid w:val="00F26CDC"/>
    <w:rsid w:val="00F278BF"/>
    <w:rsid w:val="00F27A83"/>
    <w:rsid w:val="00F30301"/>
    <w:rsid w:val="00F306FF"/>
    <w:rsid w:val="00F30ADA"/>
    <w:rsid w:val="00F31773"/>
    <w:rsid w:val="00F317AF"/>
    <w:rsid w:val="00F32DFC"/>
    <w:rsid w:val="00F33BB2"/>
    <w:rsid w:val="00F33EB4"/>
    <w:rsid w:val="00F34430"/>
    <w:rsid w:val="00F344F7"/>
    <w:rsid w:val="00F37FC0"/>
    <w:rsid w:val="00F404C5"/>
    <w:rsid w:val="00F40762"/>
    <w:rsid w:val="00F417D6"/>
    <w:rsid w:val="00F41970"/>
    <w:rsid w:val="00F425E6"/>
    <w:rsid w:val="00F42702"/>
    <w:rsid w:val="00F43602"/>
    <w:rsid w:val="00F4362D"/>
    <w:rsid w:val="00F46012"/>
    <w:rsid w:val="00F4623B"/>
    <w:rsid w:val="00F462A1"/>
    <w:rsid w:val="00F50880"/>
    <w:rsid w:val="00F508F3"/>
    <w:rsid w:val="00F51E5A"/>
    <w:rsid w:val="00F53D67"/>
    <w:rsid w:val="00F54D34"/>
    <w:rsid w:val="00F54DC5"/>
    <w:rsid w:val="00F55D25"/>
    <w:rsid w:val="00F55DE3"/>
    <w:rsid w:val="00F56298"/>
    <w:rsid w:val="00F567AC"/>
    <w:rsid w:val="00F57647"/>
    <w:rsid w:val="00F6098F"/>
    <w:rsid w:val="00F619A7"/>
    <w:rsid w:val="00F61A6A"/>
    <w:rsid w:val="00F626E6"/>
    <w:rsid w:val="00F669EB"/>
    <w:rsid w:val="00F66D42"/>
    <w:rsid w:val="00F66E34"/>
    <w:rsid w:val="00F672EB"/>
    <w:rsid w:val="00F72638"/>
    <w:rsid w:val="00F72A0E"/>
    <w:rsid w:val="00F73F2E"/>
    <w:rsid w:val="00F75343"/>
    <w:rsid w:val="00F76BC5"/>
    <w:rsid w:val="00F770FF"/>
    <w:rsid w:val="00F8083E"/>
    <w:rsid w:val="00F81137"/>
    <w:rsid w:val="00F81237"/>
    <w:rsid w:val="00F81B38"/>
    <w:rsid w:val="00F82229"/>
    <w:rsid w:val="00F82757"/>
    <w:rsid w:val="00F848F7"/>
    <w:rsid w:val="00F84D34"/>
    <w:rsid w:val="00F84D4A"/>
    <w:rsid w:val="00F85013"/>
    <w:rsid w:val="00F851E3"/>
    <w:rsid w:val="00F85220"/>
    <w:rsid w:val="00F8614D"/>
    <w:rsid w:val="00F8669B"/>
    <w:rsid w:val="00F87C5B"/>
    <w:rsid w:val="00F87E4B"/>
    <w:rsid w:val="00F9087E"/>
    <w:rsid w:val="00F9266B"/>
    <w:rsid w:val="00F92C0D"/>
    <w:rsid w:val="00F938E3"/>
    <w:rsid w:val="00F93E64"/>
    <w:rsid w:val="00F9401B"/>
    <w:rsid w:val="00F955E7"/>
    <w:rsid w:val="00F95768"/>
    <w:rsid w:val="00F96C7C"/>
    <w:rsid w:val="00F96CBC"/>
    <w:rsid w:val="00F97C62"/>
    <w:rsid w:val="00FA018D"/>
    <w:rsid w:val="00FA10C1"/>
    <w:rsid w:val="00FA2288"/>
    <w:rsid w:val="00FA27CD"/>
    <w:rsid w:val="00FA4F62"/>
    <w:rsid w:val="00FA5217"/>
    <w:rsid w:val="00FA5702"/>
    <w:rsid w:val="00FA634A"/>
    <w:rsid w:val="00FA6759"/>
    <w:rsid w:val="00FA6BDC"/>
    <w:rsid w:val="00FA7E0D"/>
    <w:rsid w:val="00FA7EB6"/>
    <w:rsid w:val="00FB003D"/>
    <w:rsid w:val="00FB08C2"/>
    <w:rsid w:val="00FB14DD"/>
    <w:rsid w:val="00FB193F"/>
    <w:rsid w:val="00FB1C84"/>
    <w:rsid w:val="00FB2EF6"/>
    <w:rsid w:val="00FB3EB7"/>
    <w:rsid w:val="00FB4095"/>
    <w:rsid w:val="00FB5448"/>
    <w:rsid w:val="00FB6DFE"/>
    <w:rsid w:val="00FB6E53"/>
    <w:rsid w:val="00FB71C3"/>
    <w:rsid w:val="00FB7C84"/>
    <w:rsid w:val="00FC009D"/>
    <w:rsid w:val="00FC0324"/>
    <w:rsid w:val="00FC0738"/>
    <w:rsid w:val="00FC076F"/>
    <w:rsid w:val="00FC08B8"/>
    <w:rsid w:val="00FC100C"/>
    <w:rsid w:val="00FC10A1"/>
    <w:rsid w:val="00FC1909"/>
    <w:rsid w:val="00FC1D22"/>
    <w:rsid w:val="00FC2F1E"/>
    <w:rsid w:val="00FC3FC6"/>
    <w:rsid w:val="00FC4C94"/>
    <w:rsid w:val="00FC587A"/>
    <w:rsid w:val="00FC6449"/>
    <w:rsid w:val="00FC66A6"/>
    <w:rsid w:val="00FC72B0"/>
    <w:rsid w:val="00FC7BBF"/>
    <w:rsid w:val="00FD07B0"/>
    <w:rsid w:val="00FD0972"/>
    <w:rsid w:val="00FD0B72"/>
    <w:rsid w:val="00FD0FAE"/>
    <w:rsid w:val="00FD1810"/>
    <w:rsid w:val="00FD334E"/>
    <w:rsid w:val="00FD3E6C"/>
    <w:rsid w:val="00FD3FFC"/>
    <w:rsid w:val="00FD5EDC"/>
    <w:rsid w:val="00FD73B3"/>
    <w:rsid w:val="00FD7E9C"/>
    <w:rsid w:val="00FE0136"/>
    <w:rsid w:val="00FE1A14"/>
    <w:rsid w:val="00FE3920"/>
    <w:rsid w:val="00FE48C7"/>
    <w:rsid w:val="00FE4E48"/>
    <w:rsid w:val="00FE57A8"/>
    <w:rsid w:val="00FE65C7"/>
    <w:rsid w:val="00FE6611"/>
    <w:rsid w:val="00FE69A4"/>
    <w:rsid w:val="00FE7F5E"/>
    <w:rsid w:val="00FF07B0"/>
    <w:rsid w:val="00FF1B26"/>
    <w:rsid w:val="00FF1FFA"/>
    <w:rsid w:val="00FF396E"/>
    <w:rsid w:val="00FF3AEB"/>
    <w:rsid w:val="00FF3BFE"/>
    <w:rsid w:val="00FF3EA9"/>
    <w:rsid w:val="00FF4807"/>
    <w:rsid w:val="00FF4D4B"/>
    <w:rsid w:val="00FF509D"/>
    <w:rsid w:val="00FF51BB"/>
    <w:rsid w:val="00FF7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85980E"/>
  <w15:docId w15:val="{E08E7A34-747C-4F7E-B14D-3834D987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rFonts w:eastAsia="黑体"/>
      <w:b/>
      <w:bCs/>
      <w:kern w:val="44"/>
      <w:sz w:val="32"/>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pPr>
      <w:keepNext/>
      <w:keepLines/>
      <w:spacing w:before="120" w:after="120" w:line="380" w:lineRule="exact"/>
      <w:jc w:val="left"/>
      <w:outlineLvl w:val="2"/>
    </w:pPr>
    <w:rPr>
      <w:rFonts w:ascii="宋体" w:hAnsi="宋体"/>
      <w:b/>
      <w:spacing w:val="8"/>
      <w:sz w:val="24"/>
      <w:szCs w:val="20"/>
    </w:rPr>
  </w:style>
  <w:style w:type="paragraph" w:styleId="4">
    <w:name w:val="heading 4"/>
    <w:basedOn w:val="a"/>
    <w:next w:val="a"/>
    <w:link w:val="4Char"/>
    <w:semiHidden/>
    <w:unhideWhenUsed/>
    <w:qFormat/>
    <w:rsid w:val="008636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napToGrid w:val="0"/>
      <w:spacing w:before="180" w:after="180" w:line="360" w:lineRule="atLeast"/>
      <w:ind w:firstLineChars="200" w:firstLine="200"/>
    </w:pPr>
    <w:rPr>
      <w:szCs w:val="21"/>
    </w:rPr>
  </w:style>
  <w:style w:type="paragraph" w:styleId="a4">
    <w:name w:val="annotation subject"/>
    <w:basedOn w:val="a5"/>
    <w:next w:val="a5"/>
    <w:semiHidden/>
    <w:qFormat/>
    <w:rPr>
      <w:b/>
      <w:bCs/>
    </w:rPr>
  </w:style>
  <w:style w:type="paragraph" w:styleId="a5">
    <w:name w:val="annotation text"/>
    <w:basedOn w:val="a"/>
    <w:link w:val="Char"/>
    <w:qFormat/>
    <w:pPr>
      <w:jc w:val="left"/>
    </w:pPr>
  </w:style>
  <w:style w:type="paragraph" w:styleId="7">
    <w:name w:val="toc 7"/>
    <w:basedOn w:val="a"/>
    <w:next w:val="a"/>
    <w:semiHidden/>
    <w:qFormat/>
    <w:pPr>
      <w:ind w:left="1260"/>
      <w:jc w:val="left"/>
    </w:pPr>
    <w:rPr>
      <w:sz w:val="18"/>
      <w:szCs w:val="18"/>
    </w:rPr>
  </w:style>
  <w:style w:type="paragraph" w:styleId="a6">
    <w:name w:val="Body Text First Indent"/>
    <w:basedOn w:val="a"/>
    <w:qFormat/>
    <w:pPr>
      <w:spacing w:after="120" w:line="360" w:lineRule="auto"/>
      <w:ind w:firstLine="420"/>
    </w:pPr>
    <w:rPr>
      <w:sz w:val="28"/>
      <w:szCs w:val="20"/>
    </w:rPr>
  </w:style>
  <w:style w:type="paragraph" w:styleId="a7">
    <w:name w:val="table of authorities"/>
    <w:basedOn w:val="a"/>
    <w:next w:val="a"/>
    <w:uiPriority w:val="99"/>
    <w:unhideWhenUsed/>
    <w:qFormat/>
    <w:pPr>
      <w:ind w:leftChars="200" w:left="420"/>
    </w:pPr>
    <w:rPr>
      <w:szCs w:val="20"/>
    </w:rPr>
  </w:style>
  <w:style w:type="paragraph" w:styleId="a8">
    <w:name w:val="Document Map"/>
    <w:basedOn w:val="a"/>
    <w:semiHidden/>
    <w:qFormat/>
    <w:pPr>
      <w:shd w:val="clear" w:color="auto" w:fill="000080"/>
    </w:pPr>
  </w:style>
  <w:style w:type="paragraph" w:styleId="30">
    <w:name w:val="Body Text 3"/>
    <w:basedOn w:val="a"/>
    <w:qFormat/>
    <w:pPr>
      <w:widowControl/>
      <w:spacing w:line="300" w:lineRule="atLeast"/>
      <w:ind w:right="-134"/>
    </w:pPr>
    <w:rPr>
      <w:rFonts w:ascii="宋体"/>
      <w:snapToGrid w:val="0"/>
      <w:kern w:val="0"/>
      <w:sz w:val="24"/>
      <w:szCs w:val="20"/>
      <w:lang w:val="en-GB"/>
    </w:rPr>
  </w:style>
  <w:style w:type="paragraph" w:styleId="a9">
    <w:name w:val="Body Text"/>
    <w:basedOn w:val="a"/>
    <w:link w:val="Char0"/>
    <w:qFormat/>
    <w:pPr>
      <w:spacing w:after="120"/>
    </w:pPr>
  </w:style>
  <w:style w:type="paragraph" w:styleId="aa">
    <w:name w:val="Body Text Indent"/>
    <w:basedOn w:val="a"/>
    <w:qFormat/>
    <w:pPr>
      <w:spacing w:after="120"/>
      <w:ind w:leftChars="200" w:left="420"/>
    </w:pPr>
  </w:style>
  <w:style w:type="paragraph" w:styleId="ab">
    <w:name w:val="Block Text"/>
    <w:basedOn w:val="a"/>
    <w:qFormat/>
    <w:pPr>
      <w:widowControl/>
      <w:autoSpaceDE w:val="0"/>
      <w:autoSpaceDN w:val="0"/>
      <w:adjustRightInd w:val="0"/>
      <w:ind w:left="1440" w:right="-194"/>
      <w:textAlignment w:val="bottom"/>
    </w:pPr>
    <w:rPr>
      <w:rFonts w:eastAsia="华文楷体"/>
      <w:kern w:val="0"/>
      <w:sz w:val="24"/>
      <w:szCs w:val="20"/>
    </w:rPr>
  </w:style>
  <w:style w:type="paragraph" w:styleId="5">
    <w:name w:val="toc 5"/>
    <w:basedOn w:val="a"/>
    <w:next w:val="a"/>
    <w:semiHidden/>
    <w:qFormat/>
    <w:pPr>
      <w:ind w:left="840"/>
      <w:jc w:val="left"/>
    </w:pPr>
    <w:rPr>
      <w:sz w:val="18"/>
      <w:szCs w:val="18"/>
    </w:rPr>
  </w:style>
  <w:style w:type="paragraph" w:styleId="31">
    <w:name w:val="toc 3"/>
    <w:basedOn w:val="a"/>
    <w:next w:val="a"/>
    <w:semiHidden/>
    <w:qFormat/>
    <w:pPr>
      <w:ind w:left="420"/>
      <w:jc w:val="left"/>
    </w:pPr>
    <w:rPr>
      <w:i/>
      <w:iCs/>
      <w:sz w:val="20"/>
      <w:szCs w:val="20"/>
    </w:rPr>
  </w:style>
  <w:style w:type="paragraph" w:styleId="ac">
    <w:name w:val="Plain Text"/>
    <w:basedOn w:val="a"/>
    <w:link w:val="Char1"/>
    <w:uiPriority w:val="99"/>
    <w:qFormat/>
    <w:rPr>
      <w:rFonts w:ascii="宋体" w:hAnsi="Courier New" w:cs="Courier New"/>
      <w:szCs w:val="21"/>
    </w:rPr>
  </w:style>
  <w:style w:type="paragraph" w:styleId="8">
    <w:name w:val="toc 8"/>
    <w:basedOn w:val="a"/>
    <w:next w:val="a"/>
    <w:semiHidden/>
    <w:qFormat/>
    <w:pPr>
      <w:ind w:left="1470"/>
      <w:jc w:val="left"/>
    </w:pPr>
    <w:rPr>
      <w:sz w:val="18"/>
      <w:szCs w:val="18"/>
    </w:rPr>
  </w:style>
  <w:style w:type="paragraph" w:styleId="ad">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e">
    <w:name w:val="Balloon Text"/>
    <w:basedOn w:val="a"/>
    <w:semiHidden/>
    <w:qFormat/>
    <w:rPr>
      <w:sz w:val="18"/>
      <w:szCs w:val="18"/>
    </w:rPr>
  </w:style>
  <w:style w:type="paragraph" w:styleId="af">
    <w:name w:val="footer"/>
    <w:basedOn w:val="a"/>
    <w:link w:val="Char2"/>
    <w:uiPriority w:val="99"/>
    <w:qFormat/>
    <w:pPr>
      <w:tabs>
        <w:tab w:val="center" w:pos="4153"/>
        <w:tab w:val="right" w:pos="8306"/>
      </w:tabs>
      <w:snapToGrid w:val="0"/>
      <w:jc w:val="left"/>
    </w:pPr>
    <w:rPr>
      <w:sz w:val="18"/>
      <w:szCs w:val="18"/>
    </w:rPr>
  </w:style>
  <w:style w:type="paragraph" w:styleId="af0">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before="120" w:after="120"/>
      <w:jc w:val="left"/>
    </w:pPr>
    <w:rPr>
      <w:rFonts w:ascii="黑体"/>
      <w:b/>
      <w:bCs/>
      <w:caps/>
      <w:sz w:val="24"/>
      <w:szCs w:val="20"/>
    </w:rPr>
  </w:style>
  <w:style w:type="paragraph" w:styleId="40">
    <w:name w:val="toc 4"/>
    <w:basedOn w:val="a"/>
    <w:next w:val="a"/>
    <w:semiHidden/>
    <w:qFormat/>
    <w:pPr>
      <w:ind w:left="630"/>
      <w:jc w:val="left"/>
    </w:pPr>
    <w:rPr>
      <w:sz w:val="18"/>
      <w:szCs w:val="18"/>
    </w:rPr>
  </w:style>
  <w:style w:type="paragraph" w:styleId="6">
    <w:name w:val="toc 6"/>
    <w:basedOn w:val="a"/>
    <w:next w:val="a"/>
    <w:semiHidden/>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21">
    <w:name w:val="toc 2"/>
    <w:basedOn w:val="a"/>
    <w:next w:val="a"/>
    <w:semiHidden/>
    <w:qFormat/>
    <w:pPr>
      <w:ind w:left="210"/>
      <w:jc w:val="left"/>
    </w:pPr>
    <w:rPr>
      <w:smallCaps/>
      <w:sz w:val="20"/>
      <w:szCs w:val="20"/>
    </w:rPr>
  </w:style>
  <w:style w:type="paragraph" w:styleId="9">
    <w:name w:val="toc 9"/>
    <w:basedOn w:val="a"/>
    <w:next w:val="a"/>
    <w:semiHidden/>
    <w:qFormat/>
    <w:pPr>
      <w:ind w:left="1680"/>
      <w:jc w:val="left"/>
    </w:pPr>
    <w:rPr>
      <w:sz w:val="18"/>
      <w:szCs w:val="18"/>
    </w:rPr>
  </w:style>
  <w:style w:type="paragraph" w:styleId="22">
    <w:name w:val="Body Text 2"/>
    <w:basedOn w:val="a"/>
    <w:qFormat/>
    <w:pPr>
      <w:spacing w:after="120" w:line="480" w:lineRule="auto"/>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f2">
    <w:name w:val="Strong"/>
    <w:qFormat/>
    <w:rPr>
      <w:b/>
      <w:bCs/>
    </w:r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List 3"/>
    <w:basedOn w:val="a2"/>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paragraph" w:customStyle="1" w:styleId="ParaCharCharCharCharCharCharCharChar">
    <w:name w:val="默认段落字体 Para Char Char Char Char Char Char Char Char"/>
    <w:basedOn w:val="a"/>
    <w:qFormat/>
    <w:pPr>
      <w:tabs>
        <w:tab w:val="left" w:pos="840"/>
      </w:tabs>
      <w:ind w:left="840" w:hanging="360"/>
    </w:pPr>
    <w:rPr>
      <w:sz w:val="24"/>
    </w:rPr>
  </w:style>
  <w:style w:type="character" w:customStyle="1" w:styleId="CharChar">
    <w:name w:val="Char Char"/>
    <w:qFormat/>
    <w:rPr>
      <w:rFonts w:eastAsia="宋体"/>
      <w:kern w:val="2"/>
      <w:sz w:val="21"/>
      <w:szCs w:val="21"/>
      <w:lang w:val="en-US" w:eastAsia="zh-CN" w:bidi="ar-SA"/>
    </w:rPr>
  </w:style>
  <w:style w:type="paragraph" w:customStyle="1" w:styleId="50">
    <w:name w:val="5"/>
    <w:basedOn w:val="a"/>
    <w:qFormat/>
    <w:pPr>
      <w:spacing w:line="360" w:lineRule="auto"/>
      <w:ind w:firstLine="539"/>
    </w:pPr>
    <w:rPr>
      <w:rFonts w:ascii="黑体" w:eastAsia="黑体"/>
      <w:b/>
      <w:color w:val="3366FF"/>
      <w:sz w:val="28"/>
    </w:rPr>
  </w:style>
  <w:style w:type="character" w:customStyle="1" w:styleId="fontred">
    <w:name w:val="fontred"/>
    <w:basedOn w:val="a1"/>
    <w:qFormat/>
  </w:style>
  <w:style w:type="character" w:customStyle="1" w:styleId="fontgray2">
    <w:name w:val="fontgray2"/>
    <w:basedOn w:val="a1"/>
    <w:qFormat/>
  </w:style>
  <w:style w:type="character" w:customStyle="1" w:styleId="fontgray21">
    <w:name w:val="fontgray21"/>
    <w:qFormat/>
    <w:rPr>
      <w:rFonts w:ascii="Arial" w:hAnsi="Arial" w:cs="Arial" w:hint="default"/>
      <w:color w:val="585858"/>
      <w:sz w:val="18"/>
      <w:szCs w:val="18"/>
    </w:rPr>
  </w:style>
  <w:style w:type="paragraph" w:customStyle="1" w:styleId="41">
    <w:name w:val="4"/>
    <w:basedOn w:val="a"/>
    <w:next w:val="20"/>
    <w:qFormat/>
    <w:pPr>
      <w:tabs>
        <w:tab w:val="left" w:pos="1110"/>
      </w:tabs>
      <w:spacing w:line="360" w:lineRule="auto"/>
      <w:ind w:firstLineChars="200" w:firstLine="420"/>
    </w:pPr>
    <w:rPr>
      <w:rFonts w:ascii="宋体" w:hAnsi="宋体"/>
      <w:color w:val="FF0000"/>
    </w:rPr>
  </w:style>
  <w:style w:type="paragraph" w:customStyle="1" w:styleId="34">
    <w:name w:val="3"/>
    <w:basedOn w:val="a"/>
    <w:next w:val="32"/>
    <w:qFormat/>
    <w:pPr>
      <w:widowControl/>
      <w:tabs>
        <w:tab w:val="left" w:pos="1620"/>
      </w:tabs>
      <w:spacing w:line="360" w:lineRule="auto"/>
      <w:ind w:firstLineChars="200" w:firstLine="480"/>
      <w:jc w:val="left"/>
    </w:pPr>
    <w:rPr>
      <w:rFonts w:eastAsia="楷体_GB2312"/>
      <w:kern w:val="0"/>
      <w:sz w:val="24"/>
      <w:szCs w:val="20"/>
    </w:rPr>
  </w:style>
  <w:style w:type="character" w:customStyle="1" w:styleId="read1">
    <w:name w:val="read1"/>
    <w:basedOn w:val="a1"/>
    <w:qFormat/>
  </w:style>
  <w:style w:type="paragraph" w:customStyle="1" w:styleId="web">
    <w:name w:val="web"/>
    <w:basedOn w:val="a"/>
    <w:qFormat/>
    <w:pPr>
      <w:widowControl/>
      <w:spacing w:before="100" w:beforeAutospacing="1" w:after="100" w:afterAutospacing="1"/>
      <w:jc w:val="left"/>
    </w:pPr>
    <w:rPr>
      <w:rFonts w:ascii="宋体" w:hAnsi="宋体" w:cs="宋体"/>
      <w:kern w:val="0"/>
      <w:sz w:val="24"/>
    </w:rPr>
  </w:style>
  <w:style w:type="paragraph" w:customStyle="1" w:styleId="af8">
    <w:name w:val="特点"/>
    <w:basedOn w:val="a"/>
    <w:next w:val="a0"/>
    <w:qFormat/>
    <w:pPr>
      <w:ind w:firstLine="420"/>
    </w:pPr>
    <w:rPr>
      <w:szCs w:val="20"/>
    </w:rPr>
  </w:style>
  <w:style w:type="paragraph" w:customStyle="1" w:styleId="Para">
    <w:name w:val="默认段落字体 Para"/>
    <w:basedOn w:val="a"/>
    <w:qFormat/>
    <w:pPr>
      <w:tabs>
        <w:tab w:val="left" w:pos="360"/>
      </w:tabs>
    </w:pPr>
    <w:rPr>
      <w:sz w:val="24"/>
    </w:rPr>
  </w:style>
  <w:style w:type="paragraph" w:customStyle="1" w:styleId="ParaCharCharCharCharCharCharCharCharCharChar">
    <w:name w:val="默认段落字体 Para Char Char Char Char Char Char 字元 Char Char Char Char"/>
    <w:basedOn w:val="a"/>
    <w:qFormat/>
    <w:pPr>
      <w:tabs>
        <w:tab w:val="left" w:pos="840"/>
      </w:tabs>
      <w:ind w:left="840" w:hanging="360"/>
    </w:pPr>
    <w:rPr>
      <w:sz w:val="24"/>
    </w:rPr>
  </w:style>
  <w:style w:type="paragraph" w:customStyle="1" w:styleId="ParaCharCharCharCharCharCharCharCharCharCharCharCharCharCharChar1CharCharCharCharCharCharChar">
    <w:name w:val="默认段落字体 Para Char Char Char Char Char Char Char Char Char Char Char Char Char Char Char1 Char Char Char Char Char Char Char"/>
    <w:basedOn w:val="a"/>
    <w:qFormat/>
    <w:pPr>
      <w:tabs>
        <w:tab w:val="left" w:pos="360"/>
      </w:tabs>
    </w:pPr>
    <w:rPr>
      <w:sz w:val="24"/>
    </w:rPr>
  </w:style>
  <w:style w:type="paragraph" w:customStyle="1" w:styleId="ParaCharCharChar1Char">
    <w:name w:val="默认段落字体 Para Char Char Char1 Char"/>
    <w:basedOn w:val="a"/>
    <w:qFormat/>
    <w:pPr>
      <w:tabs>
        <w:tab w:val="left" w:pos="360"/>
      </w:tabs>
    </w:pPr>
    <w:rPr>
      <w:sz w:val="24"/>
    </w:rPr>
  </w:style>
  <w:style w:type="paragraph" w:customStyle="1" w:styleId="23">
    <w:name w:val="2"/>
    <w:basedOn w:val="a"/>
    <w:next w:val="af1"/>
    <w:qFormat/>
    <w:pPr>
      <w:widowControl/>
      <w:spacing w:before="100" w:beforeAutospacing="1" w:after="100" w:afterAutospacing="1"/>
      <w:jc w:val="left"/>
    </w:pPr>
    <w:rPr>
      <w:rFonts w:ascii="宋体" w:hAnsi="宋体" w:cs="宋体"/>
      <w:kern w:val="0"/>
      <w:sz w:val="24"/>
    </w:rPr>
  </w:style>
  <w:style w:type="paragraph" w:customStyle="1" w:styleId="ParaCharCharCharCharCharChar1Char">
    <w:name w:val="默认段落字体 Para Char Char Char Char Char Char1 Char"/>
    <w:basedOn w:val="a"/>
    <w:qFormat/>
    <w:pPr>
      <w:tabs>
        <w:tab w:val="left" w:pos="360"/>
      </w:tabs>
    </w:pPr>
    <w:rPr>
      <w:sz w:val="24"/>
    </w:rPr>
  </w:style>
  <w:style w:type="paragraph" w:customStyle="1" w:styleId="ParaCharCharCharCharCharCharCharCharCharCharCharCharCharCharChar">
    <w:name w:val="默认段落字体 Para Char Char Char Char Char Char Char Char Char Char Char Char Char Char Char"/>
    <w:basedOn w:val="a"/>
    <w:qFormat/>
    <w:pPr>
      <w:tabs>
        <w:tab w:val="left" w:pos="360"/>
      </w:tabs>
    </w:pPr>
    <w:rPr>
      <w:sz w:val="24"/>
    </w:rPr>
  </w:style>
  <w:style w:type="paragraph" w:customStyle="1" w:styleId="11">
    <w:name w:val="1"/>
    <w:basedOn w:val="a"/>
    <w:next w:val="af1"/>
    <w:qFormat/>
    <w:pPr>
      <w:widowControl/>
      <w:spacing w:before="100" w:beforeAutospacing="1" w:after="100" w:afterAutospacing="1"/>
      <w:ind w:firstLine="400"/>
      <w:jc w:val="left"/>
    </w:pPr>
    <w:rPr>
      <w:kern w:val="0"/>
      <w:sz w:val="18"/>
      <w:szCs w:val="18"/>
    </w:rPr>
  </w:style>
  <w:style w:type="paragraph" w:customStyle="1" w:styleId="ParaCharCharCharCharCharCharCharCharCharCharCharChar1CharCharCharCharChar">
    <w:name w:val="默认段落字体 Para Char Char Char Char Char Char Char Char Char Char Char Char1 Char Char Char Char Char"/>
    <w:basedOn w:val="a"/>
    <w:qFormat/>
    <w:pPr>
      <w:tabs>
        <w:tab w:val="left" w:pos="840"/>
      </w:tabs>
      <w:ind w:left="840" w:hanging="360"/>
    </w:pPr>
    <w:rPr>
      <w:sz w:val="24"/>
    </w:rPr>
  </w:style>
  <w:style w:type="paragraph" w:customStyle="1" w:styleId="ParaCharCharCharCharCharCharCharCharChar">
    <w:name w:val="默认段落字体 Para Char Char Char Char Char Char Char Char Char"/>
    <w:basedOn w:val="a"/>
    <w:qFormat/>
    <w:pPr>
      <w:tabs>
        <w:tab w:val="left" w:pos="840"/>
      </w:tabs>
      <w:ind w:left="840" w:hanging="360"/>
    </w:pPr>
    <w:rPr>
      <w:sz w:val="24"/>
    </w:rPr>
  </w:style>
  <w:style w:type="paragraph" w:customStyle="1" w:styleId="CharCharCharCharCharCharCharCharChar">
    <w:name w:val="Char Char Char Char Char Char Char Char Char"/>
    <w:basedOn w:val="a"/>
    <w:qFormat/>
    <w:pPr>
      <w:tabs>
        <w:tab w:val="left" w:pos="840"/>
      </w:tabs>
      <w:ind w:left="840" w:hanging="360"/>
    </w:pPr>
    <w:rPr>
      <w:sz w:val="24"/>
    </w:rPr>
  </w:style>
  <w:style w:type="paragraph" w:customStyle="1" w:styleId="ParaCharCharCharCharCharCharCharCharCharCharCharChar1CharCharCharCharCharCharCharCharChar">
    <w:name w:val="默认段落字体 Para Char Char Char Char Char Char 字元 Char Char Char Char Char Char1 Char Char Char Char Char Char Char Char Char"/>
    <w:basedOn w:val="a"/>
    <w:qFormat/>
    <w:pPr>
      <w:tabs>
        <w:tab w:val="left" w:pos="840"/>
      </w:tabs>
      <w:ind w:left="840" w:hanging="360"/>
    </w:pPr>
    <w:rPr>
      <w:sz w:val="24"/>
    </w:rPr>
  </w:style>
  <w:style w:type="paragraph" w:customStyle="1" w:styleId="Char1CharCharChar">
    <w:name w:val="Char1 Char Char Char"/>
    <w:basedOn w:val="a"/>
    <w:qFormat/>
    <w:pPr>
      <w:tabs>
        <w:tab w:val="left" w:pos="840"/>
      </w:tabs>
      <w:ind w:left="840" w:hanging="360"/>
    </w:pPr>
    <w:rPr>
      <w:sz w:val="24"/>
    </w:rPr>
  </w:style>
  <w:style w:type="character" w:customStyle="1" w:styleId="big1">
    <w:name w:val="big1"/>
    <w:qFormat/>
    <w:rPr>
      <w:spacing w:val="360"/>
      <w:sz w:val="22"/>
      <w:szCs w:val="22"/>
    </w:rPr>
  </w:style>
  <w:style w:type="paragraph" w:customStyle="1" w:styleId="ParaCharCharCharCharChar1CharCharCharCharCharCharCharCharChar">
    <w:name w:val="默认段落字体 Para Char Char Char Char Char1 Char Char Char Char Char Char Char Char Char"/>
    <w:basedOn w:val="a"/>
    <w:qFormat/>
    <w:pPr>
      <w:tabs>
        <w:tab w:val="left" w:pos="360"/>
      </w:tabs>
    </w:pPr>
    <w:rPr>
      <w:sz w:val="24"/>
    </w:rPr>
  </w:style>
  <w:style w:type="paragraph" w:customStyle="1" w:styleId="ParaCharCharChar">
    <w:name w:val="默认段落字体 Para Char Char Char"/>
    <w:basedOn w:val="a"/>
    <w:qFormat/>
    <w:pPr>
      <w:tabs>
        <w:tab w:val="left" w:pos="360"/>
      </w:tabs>
    </w:pPr>
    <w:rPr>
      <w:sz w:val="24"/>
    </w:rPr>
  </w:style>
  <w:style w:type="paragraph" w:customStyle="1" w:styleId="Disclaimer">
    <w:name w:val="Disclaimer"/>
    <w:basedOn w:val="a"/>
    <w:qFormat/>
    <w:pPr>
      <w:widowControl/>
      <w:spacing w:line="200" w:lineRule="exact"/>
      <w:jc w:val="left"/>
    </w:pPr>
    <w:rPr>
      <w:kern w:val="0"/>
      <w:sz w:val="16"/>
      <w:szCs w:val="20"/>
      <w:lang w:val="en-GB" w:eastAsia="en-US"/>
    </w:rPr>
  </w:style>
  <w:style w:type="character" w:customStyle="1" w:styleId="read">
    <w:name w:val="read"/>
    <w:basedOn w:val="a1"/>
    <w:qFormat/>
  </w:style>
  <w:style w:type="character" w:customStyle="1" w:styleId="big">
    <w:name w:val="big"/>
    <w:basedOn w:val="a1"/>
    <w:qFormat/>
  </w:style>
  <w:style w:type="paragraph" w:customStyle="1" w:styleId="ParaCharCharCharCharChar">
    <w:name w:val="默认段落字体 Para Char Char Char Char Char"/>
    <w:basedOn w:val="a"/>
    <w:qFormat/>
    <w:pPr>
      <w:tabs>
        <w:tab w:val="left" w:pos="840"/>
      </w:tabs>
      <w:ind w:left="840" w:hanging="360"/>
    </w:pPr>
    <w:rPr>
      <w:sz w:val="24"/>
    </w:rPr>
  </w:style>
  <w:style w:type="paragraph" w:customStyle="1" w:styleId="xl27">
    <w:name w:val="xl27"/>
    <w:basedOn w:val="a"/>
    <w:qFormat/>
    <w:pPr>
      <w:widowControl/>
      <w:spacing w:before="100" w:beforeAutospacing="1" w:after="100" w:afterAutospacing="1"/>
      <w:jc w:val="center"/>
    </w:pPr>
    <w:rPr>
      <w:rFonts w:ascii="宋体" w:hAnsi="Arial Unicode MS" w:hint="eastAsia"/>
      <w:kern w:val="0"/>
      <w:sz w:val="24"/>
      <w:lang w:eastAsia="en-US"/>
    </w:rPr>
  </w:style>
  <w:style w:type="paragraph" w:customStyle="1" w:styleId="ParaCharCharChar1">
    <w:name w:val="默认段落字体 Para Char Char Char1"/>
    <w:basedOn w:val="a"/>
    <w:qFormat/>
    <w:pPr>
      <w:tabs>
        <w:tab w:val="left" w:pos="360"/>
      </w:tabs>
    </w:pPr>
    <w:rPr>
      <w:sz w:val="24"/>
    </w:rPr>
  </w:style>
  <w:style w:type="paragraph" w:customStyle="1" w:styleId="CharChar1">
    <w:name w:val="Char Char1"/>
    <w:basedOn w:val="a"/>
    <w:qFormat/>
    <w:pPr>
      <w:tabs>
        <w:tab w:val="left" w:pos="360"/>
      </w:tabs>
    </w:pPr>
    <w:rPr>
      <w:sz w:val="24"/>
    </w:rPr>
  </w:style>
  <w:style w:type="paragraph" w:customStyle="1" w:styleId="ParaCharCharCharCharCharChar1CharCharChar1CharCharChar1">
    <w:name w:val="默认段落字体 Para Char Char Char Char Char Char1 Char Char Char1 Char Char Char1"/>
    <w:basedOn w:val="a"/>
    <w:qFormat/>
    <w:pPr>
      <w:tabs>
        <w:tab w:val="left" w:pos="360"/>
      </w:tabs>
    </w:pPr>
    <w:rPr>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tabs>
        <w:tab w:val="left" w:pos="360"/>
      </w:tabs>
    </w:pPr>
    <w:rPr>
      <w:sz w:val="24"/>
    </w:rPr>
  </w:style>
  <w:style w:type="paragraph" w:customStyle="1" w:styleId="ParaCharCharCharCharCharChar">
    <w:name w:val="默认段落字体 Para Char Char Char Char Char Char"/>
    <w:basedOn w:val="a"/>
    <w:qFormat/>
    <w:pPr>
      <w:tabs>
        <w:tab w:val="left" w:pos="360"/>
      </w:tabs>
    </w:pPr>
    <w:rPr>
      <w:sz w:val="24"/>
    </w:rPr>
  </w:style>
  <w:style w:type="paragraph" w:customStyle="1" w:styleId="ParaCharCharCharCharCharChar1">
    <w:name w:val="默认段落字体 Para Char Char Char Char Char Char1"/>
    <w:basedOn w:val="a"/>
    <w:qFormat/>
    <w:pPr>
      <w:tabs>
        <w:tab w:val="left" w:pos="360"/>
      </w:tabs>
    </w:pPr>
    <w:rPr>
      <w:sz w:val="24"/>
    </w:rPr>
  </w:style>
  <w:style w:type="paragraph" w:customStyle="1" w:styleId="ParaCharCharCharChar">
    <w:name w:val="默认段落字体 Para Char Char Char Char"/>
    <w:basedOn w:val="a"/>
    <w:qFormat/>
    <w:pPr>
      <w:tabs>
        <w:tab w:val="left" w:pos="360"/>
      </w:tabs>
    </w:pPr>
    <w:rPr>
      <w:sz w:val="24"/>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lang w:eastAsia="en-US"/>
    </w:rPr>
  </w:style>
  <w:style w:type="paragraph" w:customStyle="1" w:styleId="font6">
    <w:name w:val="font6"/>
    <w:basedOn w:val="a"/>
    <w:qFormat/>
    <w:pPr>
      <w:widowControl/>
      <w:spacing w:before="100" w:beforeAutospacing="1" w:after="100" w:afterAutospacing="1"/>
      <w:jc w:val="left"/>
    </w:pPr>
    <w:rPr>
      <w:rFonts w:eastAsia="Arial Unicode MS"/>
      <w:kern w:val="0"/>
      <w:sz w:val="22"/>
      <w:szCs w:val="22"/>
      <w:lang w:eastAsia="en-US"/>
    </w:rPr>
  </w:style>
  <w:style w:type="paragraph" w:customStyle="1" w:styleId="font7">
    <w:name w:val="font7"/>
    <w:basedOn w:val="a"/>
    <w:qFormat/>
    <w:pPr>
      <w:widowControl/>
      <w:spacing w:before="100" w:beforeAutospacing="1" w:after="100" w:afterAutospacing="1"/>
      <w:jc w:val="left"/>
    </w:pPr>
    <w:rPr>
      <w:rFonts w:eastAsia="Arial Unicode MS"/>
      <w:b/>
      <w:bCs/>
      <w:kern w:val="0"/>
      <w:sz w:val="22"/>
      <w:szCs w:val="22"/>
      <w:lang w:eastAsia="en-US"/>
    </w:rPr>
  </w:style>
  <w:style w:type="paragraph" w:customStyle="1" w:styleId="font8">
    <w:name w:val="font8"/>
    <w:basedOn w:val="a"/>
    <w:qFormat/>
    <w:pPr>
      <w:widowControl/>
      <w:spacing w:before="100" w:beforeAutospacing="1" w:after="100" w:afterAutospacing="1"/>
      <w:jc w:val="left"/>
    </w:pPr>
    <w:rPr>
      <w:rFonts w:ascii="华文楷体" w:eastAsia="华文楷体" w:hAnsi="华文楷体" w:cs="Arial Unicode MS" w:hint="eastAsia"/>
      <w:kern w:val="0"/>
      <w:sz w:val="22"/>
      <w:szCs w:val="22"/>
      <w:lang w:eastAsia="en-US"/>
    </w:rPr>
  </w:style>
  <w:style w:type="paragraph" w:customStyle="1" w:styleId="font9">
    <w:name w:val="font9"/>
    <w:basedOn w:val="a"/>
    <w:qFormat/>
    <w:pPr>
      <w:widowControl/>
      <w:spacing w:before="100" w:beforeAutospacing="1" w:after="100" w:afterAutospacing="1"/>
      <w:jc w:val="left"/>
    </w:pPr>
    <w:rPr>
      <w:rFonts w:ascii="华文楷体" w:eastAsia="华文楷体" w:hAnsi="华文楷体" w:cs="Arial Unicode MS" w:hint="eastAsia"/>
      <w:b/>
      <w:bCs/>
      <w:kern w:val="0"/>
      <w:sz w:val="22"/>
      <w:szCs w:val="22"/>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2"/>
      <w:szCs w:val="22"/>
      <w:lang w:eastAsia="en-US"/>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2"/>
      <w:szCs w:val="22"/>
      <w:lang w:eastAsia="en-US"/>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28">
    <w:name w:val="xl28"/>
    <w:basedOn w:val="a"/>
    <w:qFormat/>
    <w:pPr>
      <w:widowControl/>
      <w:spacing w:before="100" w:beforeAutospacing="1" w:after="100" w:afterAutospacing="1"/>
      <w:jc w:val="left"/>
    </w:pPr>
    <w:rPr>
      <w:rFonts w:eastAsia="Arial Unicode MS"/>
      <w:kern w:val="0"/>
      <w:sz w:val="22"/>
      <w:szCs w:val="22"/>
      <w:lang w:eastAsia="en-US"/>
    </w:rPr>
  </w:style>
  <w:style w:type="paragraph" w:customStyle="1" w:styleId="xl29">
    <w:name w:val="xl29"/>
    <w:basedOn w:val="a"/>
    <w:qFormat/>
    <w:pPr>
      <w:widowControl/>
      <w:spacing w:before="100" w:beforeAutospacing="1" w:after="100" w:afterAutospacing="1"/>
      <w:jc w:val="left"/>
    </w:pPr>
    <w:rPr>
      <w:rFonts w:eastAsia="Arial Unicode MS"/>
      <w:kern w:val="0"/>
      <w:sz w:val="12"/>
      <w:szCs w:val="12"/>
      <w:lang w:eastAsia="en-US"/>
    </w:rPr>
  </w:style>
  <w:style w:type="paragraph" w:customStyle="1" w:styleId="xl30">
    <w:name w:val="xl30"/>
    <w:basedOn w:val="a"/>
    <w:qFormat/>
    <w:pPr>
      <w:widowControl/>
      <w:spacing w:before="100" w:beforeAutospacing="1" w:after="100" w:afterAutospacing="1"/>
      <w:jc w:val="left"/>
    </w:pPr>
    <w:rPr>
      <w:rFonts w:eastAsia="Arial Unicode MS"/>
      <w:kern w:val="0"/>
      <w:sz w:val="22"/>
      <w:szCs w:val="22"/>
      <w:lang w:eastAsia="en-US"/>
    </w:rPr>
  </w:style>
  <w:style w:type="paragraph" w:customStyle="1" w:styleId="xl31">
    <w:name w:val="xl31"/>
    <w:basedOn w:val="a"/>
    <w:qFormat/>
    <w:pPr>
      <w:widowControl/>
      <w:spacing w:before="100" w:beforeAutospacing="1" w:after="100" w:afterAutospacing="1"/>
    </w:pPr>
    <w:rPr>
      <w:rFonts w:eastAsia="Arial Unicode MS"/>
      <w:kern w:val="0"/>
      <w:szCs w:val="21"/>
      <w:lang w:eastAsia="en-US"/>
    </w:rPr>
  </w:style>
  <w:style w:type="paragraph" w:customStyle="1" w:styleId="xl32">
    <w:name w:val="xl32"/>
    <w:basedOn w:val="a"/>
    <w:qFormat/>
    <w:pPr>
      <w:widowControl/>
      <w:spacing w:before="100" w:beforeAutospacing="1" w:after="100" w:afterAutospacing="1"/>
      <w:jc w:val="right"/>
    </w:pPr>
    <w:rPr>
      <w:rFonts w:eastAsia="Arial Unicode MS"/>
      <w:kern w:val="0"/>
      <w:sz w:val="22"/>
      <w:szCs w:val="22"/>
      <w:lang w:eastAsia="en-US"/>
    </w:rPr>
  </w:style>
  <w:style w:type="paragraph" w:customStyle="1" w:styleId="xl33">
    <w:name w:val="xl33"/>
    <w:basedOn w:val="a"/>
    <w:qFormat/>
    <w:pPr>
      <w:widowControl/>
      <w:spacing w:before="100" w:beforeAutospacing="1" w:after="100" w:afterAutospacing="1"/>
      <w:jc w:val="left"/>
    </w:pPr>
    <w:rPr>
      <w:rFonts w:eastAsia="Arial Unicode MS"/>
      <w:kern w:val="0"/>
      <w:sz w:val="28"/>
      <w:szCs w:val="28"/>
      <w:lang w:eastAsia="en-US"/>
    </w:rPr>
  </w:style>
  <w:style w:type="paragraph" w:customStyle="1" w:styleId="xl34">
    <w:name w:val="xl34"/>
    <w:basedOn w:val="a"/>
    <w:qFormat/>
    <w:pPr>
      <w:widowControl/>
      <w:spacing w:before="100" w:beforeAutospacing="1" w:after="100" w:afterAutospacing="1"/>
      <w:jc w:val="left"/>
      <w:textAlignment w:val="center"/>
    </w:pPr>
    <w:rPr>
      <w:rFonts w:eastAsia="Arial Unicode MS"/>
      <w:b/>
      <w:bCs/>
      <w:kern w:val="0"/>
      <w:sz w:val="28"/>
      <w:szCs w:val="28"/>
      <w:u w:val="single"/>
      <w:lang w:eastAsia="en-US"/>
    </w:rPr>
  </w:style>
  <w:style w:type="paragraph" w:customStyle="1" w:styleId="xl35">
    <w:name w:val="xl35"/>
    <w:basedOn w:val="a"/>
    <w:qFormat/>
    <w:pPr>
      <w:widowControl/>
      <w:spacing w:before="100" w:beforeAutospacing="1" w:after="100" w:afterAutospacing="1"/>
      <w:jc w:val="center"/>
    </w:pPr>
    <w:rPr>
      <w:rFonts w:eastAsia="Arial Unicode MS"/>
      <w:kern w:val="0"/>
      <w:sz w:val="22"/>
      <w:szCs w:val="22"/>
      <w:lang w:eastAsia="en-US"/>
    </w:rPr>
  </w:style>
  <w:style w:type="paragraph" w:customStyle="1" w:styleId="xl36">
    <w:name w:val="xl36"/>
    <w:basedOn w:val="a"/>
    <w:qFormat/>
    <w:pPr>
      <w:widowControl/>
      <w:spacing w:before="100" w:beforeAutospacing="1" w:after="100" w:afterAutospacing="1"/>
      <w:jc w:val="left"/>
    </w:pPr>
    <w:rPr>
      <w:rFonts w:eastAsia="Arial Unicode MS"/>
      <w:kern w:val="0"/>
      <w:sz w:val="22"/>
      <w:szCs w:val="22"/>
      <w:lang w:eastAsia="en-US"/>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kern w:val="0"/>
      <w:sz w:val="22"/>
      <w:szCs w:val="22"/>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kern w:val="0"/>
      <w:sz w:val="22"/>
      <w:szCs w:val="22"/>
      <w:lang w:eastAsia="en-US"/>
    </w:rPr>
  </w:style>
  <w:style w:type="paragraph" w:customStyle="1" w:styleId="xl39">
    <w:name w:val="xl39"/>
    <w:basedOn w:val="a"/>
    <w:qFormat/>
    <w:pPr>
      <w:widowControl/>
      <w:spacing w:before="100" w:beforeAutospacing="1" w:after="100" w:afterAutospacing="1"/>
      <w:jc w:val="left"/>
    </w:pPr>
    <w:rPr>
      <w:rFonts w:eastAsia="Arial Unicode MS"/>
      <w:kern w:val="0"/>
      <w:sz w:val="22"/>
      <w:szCs w:val="22"/>
      <w:lang w:eastAsia="en-US"/>
    </w:rPr>
  </w:style>
  <w:style w:type="paragraph" w:customStyle="1" w:styleId="xl40">
    <w:name w:val="xl40"/>
    <w:basedOn w:val="a"/>
    <w:qFormat/>
    <w:pPr>
      <w:widowControl/>
      <w:spacing w:before="100" w:beforeAutospacing="1" w:after="100" w:afterAutospacing="1"/>
      <w:jc w:val="left"/>
    </w:pPr>
    <w:rPr>
      <w:rFonts w:eastAsia="Arial Unicode MS"/>
      <w:kern w:val="0"/>
      <w:sz w:val="24"/>
      <w:lang w:eastAsia="en-US"/>
    </w:rPr>
  </w:style>
  <w:style w:type="paragraph" w:customStyle="1" w:styleId="xl41">
    <w:name w:val="xl41"/>
    <w:basedOn w:val="a"/>
    <w:qFormat/>
    <w:pPr>
      <w:widowControl/>
      <w:spacing w:before="100" w:beforeAutospacing="1" w:after="100" w:afterAutospacing="1"/>
      <w:jc w:val="left"/>
      <w:textAlignment w:val="center"/>
    </w:pPr>
    <w:rPr>
      <w:rFonts w:ascii="华文楷体" w:eastAsia="华文楷体" w:hAnsi="华文楷体" w:cs="Arial Unicode MS" w:hint="eastAsia"/>
      <w:b/>
      <w:bCs/>
      <w:kern w:val="0"/>
      <w:sz w:val="28"/>
      <w:szCs w:val="28"/>
      <w:u w:val="single"/>
      <w:lang w:eastAsia="en-US"/>
    </w:rPr>
  </w:style>
  <w:style w:type="paragraph" w:customStyle="1" w:styleId="xl42">
    <w:name w:val="xl42"/>
    <w:basedOn w:val="a"/>
    <w:qFormat/>
    <w:pPr>
      <w:widowControl/>
      <w:spacing w:before="100" w:beforeAutospacing="1" w:after="100" w:afterAutospacing="1"/>
      <w:jc w:val="left"/>
    </w:pPr>
    <w:rPr>
      <w:rFonts w:ascii="华文楷体" w:eastAsia="华文楷体" w:hAnsi="华文楷体" w:cs="Arial Unicode MS" w:hint="eastAsia"/>
      <w:kern w:val="0"/>
      <w:sz w:val="22"/>
      <w:szCs w:val="22"/>
      <w:lang w:eastAsia="en-US"/>
    </w:rPr>
  </w:style>
  <w:style w:type="paragraph" w:customStyle="1" w:styleId="xl43">
    <w:name w:val="xl43"/>
    <w:basedOn w:val="a"/>
    <w:qFormat/>
    <w:pPr>
      <w:widowControl/>
      <w:spacing w:before="100" w:beforeAutospacing="1" w:after="100" w:afterAutospacing="1"/>
      <w:jc w:val="right"/>
    </w:pPr>
    <w:rPr>
      <w:rFonts w:ascii="华文楷体" w:eastAsia="华文楷体" w:hAnsi="华文楷体" w:cs="Arial Unicode MS" w:hint="eastAsia"/>
      <w:kern w:val="0"/>
      <w:sz w:val="22"/>
      <w:szCs w:val="22"/>
      <w:lang w:eastAsia="en-US"/>
    </w:rPr>
  </w:style>
  <w:style w:type="paragraph" w:customStyle="1" w:styleId="xl44">
    <w:name w:val="xl44"/>
    <w:basedOn w:val="a"/>
    <w:qFormat/>
    <w:pPr>
      <w:widowControl/>
      <w:spacing w:before="100" w:beforeAutospacing="1" w:after="100" w:afterAutospacing="1"/>
      <w:jc w:val="right"/>
    </w:pPr>
    <w:rPr>
      <w:rFonts w:ascii="华文楷体" w:eastAsia="华文楷体" w:hAnsi="华文楷体" w:cs="Arial Unicode MS" w:hint="eastAsia"/>
      <w:kern w:val="0"/>
      <w:sz w:val="22"/>
      <w:szCs w:val="22"/>
      <w:lang w:eastAsia="en-US"/>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楷体" w:eastAsia="华文楷体" w:hAnsi="华文楷体" w:cs="Arial Unicode MS" w:hint="eastAsia"/>
      <w:kern w:val="0"/>
      <w:sz w:val="22"/>
      <w:szCs w:val="22"/>
      <w:lang w:eastAsia="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Arial Unicode MS" w:hint="eastAsia"/>
      <w:kern w:val="0"/>
      <w:sz w:val="22"/>
      <w:szCs w:val="22"/>
      <w:lang w:eastAsia="en-US"/>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Arial Unicode MS" w:hint="eastAsia"/>
      <w:kern w:val="0"/>
      <w:sz w:val="22"/>
      <w:szCs w:val="22"/>
      <w:lang w:eastAsia="en-US"/>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楷体" w:eastAsia="华文楷体" w:hAnsi="华文楷体" w:cs="Arial Unicode MS" w:hint="eastAsia"/>
      <w:b/>
      <w:bCs/>
      <w:kern w:val="0"/>
      <w:sz w:val="22"/>
      <w:szCs w:val="22"/>
      <w:lang w:eastAsia="en-US"/>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楷体" w:eastAsia="华文楷体" w:hAnsi="华文楷体" w:cs="Arial Unicode MS" w:hint="eastAsia"/>
      <w:kern w:val="0"/>
      <w:sz w:val="22"/>
      <w:szCs w:val="22"/>
      <w:lang w:eastAsia="en-US"/>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楷体" w:eastAsia="华文楷体" w:hAnsi="华文楷体" w:cs="Arial Unicode MS" w:hint="eastAsia"/>
      <w:kern w:val="0"/>
      <w:sz w:val="22"/>
      <w:szCs w:val="22"/>
      <w:lang w:eastAsia="en-US"/>
    </w:rPr>
  </w:style>
  <w:style w:type="paragraph" w:customStyle="1" w:styleId="af9">
    <w:name w:val=".."/>
    <w:basedOn w:val="a"/>
    <w:next w:val="a"/>
    <w:qFormat/>
    <w:pPr>
      <w:widowControl/>
      <w:autoSpaceDE w:val="0"/>
      <w:autoSpaceDN w:val="0"/>
      <w:adjustRightInd w:val="0"/>
      <w:jc w:val="left"/>
    </w:pPr>
    <w:rPr>
      <w:rFonts w:ascii="楷体_GB2312" w:eastAsia="楷体_GB2312"/>
      <w:kern w:val="0"/>
      <w:sz w:val="24"/>
    </w:rPr>
  </w:style>
  <w:style w:type="paragraph" w:customStyle="1" w:styleId="afa">
    <w:name w:val="..."/>
    <w:basedOn w:val="a"/>
    <w:next w:val="a"/>
    <w:qFormat/>
    <w:pPr>
      <w:autoSpaceDE w:val="0"/>
      <w:autoSpaceDN w:val="0"/>
      <w:adjustRightInd w:val="0"/>
      <w:jc w:val="left"/>
    </w:pPr>
    <w:rPr>
      <w:rFonts w:ascii="宋体"/>
      <w:kern w:val="0"/>
      <w:sz w:val="24"/>
    </w:rPr>
  </w:style>
  <w:style w:type="paragraph" w:customStyle="1" w:styleId="ParaCharCharCharCharChar1CharCharCharCharCharCharCharCharCharCharChar">
    <w:name w:val="默认段落字体 Para Char Char Char Char Char1 Char Char Char Char Char Char Char Char Char Char Char"/>
    <w:basedOn w:val="a"/>
    <w:qFormat/>
    <w:pPr>
      <w:tabs>
        <w:tab w:val="left" w:pos="360"/>
      </w:tabs>
    </w:pPr>
    <w:rPr>
      <w:sz w:val="24"/>
    </w:rPr>
  </w:style>
  <w:style w:type="paragraph" w:customStyle="1" w:styleId="ParaCharCharCharCharChar1CharCharCharCharCharCharCharChar1CharCharChar">
    <w:name w:val="默认段落字体 Para Char Char Char Char Char1 Char Char Char Char Char Char Char Char1 Char Char Char"/>
    <w:basedOn w:val="a"/>
    <w:qFormat/>
    <w:pPr>
      <w:tabs>
        <w:tab w:val="left" w:pos="360"/>
      </w:tabs>
    </w:pPr>
    <w:rPr>
      <w:sz w:val="24"/>
    </w:rPr>
  </w:style>
  <w:style w:type="paragraph" w:customStyle="1" w:styleId="ParaCharCharCharCharCharCharCharCharCharChar0">
    <w:name w:val="默认段落字体 Para Char Char Char Char Char Char Char Char Char Char"/>
    <w:basedOn w:val="a"/>
    <w:qFormat/>
    <w:pPr>
      <w:tabs>
        <w:tab w:val="left" w:pos="360"/>
      </w:tabs>
    </w:pPr>
    <w:rPr>
      <w:sz w:val="24"/>
    </w:rPr>
  </w:style>
  <w:style w:type="paragraph" w:customStyle="1" w:styleId="ParaCharCharCharCharCharCharCharCharCharCharCharCharCharCharCharCharCharCharCharCharChar">
    <w:name w:val="默认段落字体 Para Char Char Char Char Char Char 字元 Char Char Char Char Char Char Char Char Char Char Char Char Char Char Char"/>
    <w:basedOn w:val="a"/>
    <w:qFormat/>
    <w:pPr>
      <w:tabs>
        <w:tab w:val="left" w:pos="840"/>
      </w:tabs>
      <w:ind w:left="840" w:hanging="360"/>
    </w:pPr>
    <w:rPr>
      <w:sz w:val="24"/>
    </w:rPr>
  </w:style>
  <w:style w:type="paragraph" w:customStyle="1" w:styleId="ParaCharCharCharCharCharCharCharCharCharCharCharCharCharCharCharCharCharCharCharCharCharCharCharCharCharChar">
    <w:name w:val="默认段落字体 Para Char Char Char Char Char Char Char Char Char Char Char Char Char Char Char Char Char Char Char Char Char Char Char Char Char Char"/>
    <w:basedOn w:val="a"/>
    <w:qFormat/>
    <w:pPr>
      <w:tabs>
        <w:tab w:val="left" w:pos="360"/>
      </w:tabs>
    </w:pPr>
    <w:rPr>
      <w:sz w:val="24"/>
    </w:rPr>
  </w:style>
  <w:style w:type="paragraph" w:customStyle="1" w:styleId="ParaCharCharCharCharCharChar1CharCharChar1CharCharChar1CharCharCharChar">
    <w:name w:val="默认段落字体 Para Char Char Char Char Char Char1 Char Char Char1 Char Char Char1 Char Char Char Char"/>
    <w:basedOn w:val="a"/>
    <w:qFormat/>
    <w:pPr>
      <w:tabs>
        <w:tab w:val="left" w:pos="360"/>
      </w:tabs>
    </w:pPr>
    <w:rPr>
      <w:sz w:val="24"/>
    </w:rPr>
  </w:style>
  <w:style w:type="paragraph" w:customStyle="1" w:styleId="ParaCharCharCharCharCharCharChar">
    <w:name w:val="默认段落字体 Para Char Char Char Char Char Char 字元 Char"/>
    <w:basedOn w:val="a"/>
    <w:qFormat/>
    <w:pPr>
      <w:tabs>
        <w:tab w:val="left" w:pos="840"/>
      </w:tabs>
      <w:ind w:left="840" w:hanging="360"/>
    </w:pPr>
    <w:rPr>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宋体"/>
      <w:kern w:val="0"/>
      <w:sz w:val="34"/>
      <w:szCs w:val="20"/>
    </w:rPr>
  </w:style>
  <w:style w:type="paragraph" w:customStyle="1" w:styleId="ParaCharCharCharCharChar1CharCharCharCharCharCharCharCharCharCharCharChar">
    <w:name w:val="默认段落字体 Para Char Char Char Char Char1 Char Char Char Char Char Char Char Char Char Char Char Char"/>
    <w:basedOn w:val="a"/>
    <w:qFormat/>
    <w:pPr>
      <w:tabs>
        <w:tab w:val="left" w:pos="360"/>
      </w:tabs>
    </w:pPr>
    <w:rPr>
      <w:sz w:val="24"/>
    </w:rPr>
  </w:style>
  <w:style w:type="paragraph" w:customStyle="1" w:styleId="ParaCharCharCharCharCharCharCharCharCharCharCharChar1CharCharCharChar1">
    <w:name w:val="默认段落字体 Para Char Char Char Char Char Char 字元 Char Char Char Char Char Char1 Char Char Char Char1"/>
    <w:basedOn w:val="a"/>
    <w:qFormat/>
    <w:pPr>
      <w:tabs>
        <w:tab w:val="left" w:pos="840"/>
      </w:tabs>
      <w:ind w:left="840" w:hanging="360"/>
    </w:pPr>
    <w:rPr>
      <w:sz w:val="24"/>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CharCharCharCharCharCharCharCharCharCharCharChar">
    <w:name w:val="默认段落字体 Para Char Char Char Char Char Char 字元 Char Char Char Char Char Char Char Char Char Char Char Char Char Char Char Char Char Char"/>
    <w:basedOn w:val="a"/>
    <w:qFormat/>
    <w:pPr>
      <w:tabs>
        <w:tab w:val="left" w:pos="840"/>
      </w:tabs>
      <w:ind w:left="840" w:hanging="360"/>
    </w:pPr>
    <w:rPr>
      <w:sz w:val="24"/>
    </w:rPr>
  </w:style>
  <w:style w:type="character" w:customStyle="1" w:styleId="txtcontent11">
    <w:name w:val="txtcontent11"/>
    <w:qFormat/>
    <w:rPr>
      <w:rFonts w:ascii="ˎ̥" w:hAnsi="ˎ̥" w:hint="default"/>
      <w:color w:val="000000"/>
      <w:sz w:val="21"/>
      <w:szCs w:val="21"/>
    </w:rPr>
  </w:style>
  <w:style w:type="paragraph" w:customStyle="1" w:styleId="CharCharCharCharCharCharCharCharCharCharCharCharChar">
    <w:name w:val="Char Char Char Char Char Char Char Char Char Char Char Char Char"/>
    <w:basedOn w:val="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pPr>
      <w:tabs>
        <w:tab w:val="left" w:pos="840"/>
      </w:tabs>
      <w:ind w:left="840" w:hanging="360"/>
    </w:pPr>
    <w:rPr>
      <w:sz w:val="24"/>
    </w:rPr>
  </w:style>
  <w:style w:type="paragraph" w:customStyle="1" w:styleId="080318">
    <w:name w:val="产品方案正文080318"/>
    <w:basedOn w:val="a"/>
    <w:qFormat/>
    <w:pPr>
      <w:autoSpaceDE w:val="0"/>
      <w:autoSpaceDN w:val="0"/>
      <w:adjustRightInd w:val="0"/>
      <w:snapToGrid w:val="0"/>
      <w:spacing w:line="360" w:lineRule="auto"/>
      <w:ind w:firstLineChars="200" w:firstLine="200"/>
    </w:pPr>
    <w:rPr>
      <w:rFonts w:ascii="宋体" w:cs="宋体"/>
      <w:szCs w:val="20"/>
      <w:lang w:val="zh-CN"/>
    </w:rPr>
  </w:style>
  <w:style w:type="paragraph" w:customStyle="1" w:styleId="afb">
    <w:name w:val="正文所"/>
    <w:basedOn w:val="a"/>
    <w:qFormat/>
    <w:pPr>
      <w:spacing w:line="360" w:lineRule="auto"/>
      <w:ind w:firstLineChars="200" w:firstLine="420"/>
    </w:pPr>
  </w:style>
  <w:style w:type="paragraph" w:customStyle="1" w:styleId="CharCharCharCharCharCharChar1">
    <w:name w:val="Char Char Char Char Char Char Char1"/>
    <w:basedOn w:val="a"/>
    <w:qFormat/>
    <w:pPr>
      <w:tabs>
        <w:tab w:val="left" w:pos="840"/>
      </w:tabs>
      <w:ind w:left="840" w:hanging="360"/>
    </w:pPr>
    <w:rPr>
      <w:szCs w:val="20"/>
    </w:rPr>
  </w:style>
  <w:style w:type="paragraph" w:customStyle="1" w:styleId="ParaChar">
    <w:name w:val="默认段落字体 Para Char"/>
    <w:basedOn w:val="a"/>
    <w:qFormat/>
  </w:style>
  <w:style w:type="paragraph" w:customStyle="1" w:styleId="CharCharCharCharCharChar1Char">
    <w:name w:val="Char Char Char Char Char Char1 Char"/>
    <w:basedOn w:val="a"/>
    <w:qFormat/>
    <w:pPr>
      <w:tabs>
        <w:tab w:val="left" w:pos="360"/>
      </w:tabs>
    </w:pPr>
    <w:rPr>
      <w:sz w:val="24"/>
    </w:rPr>
  </w:style>
  <w:style w:type="paragraph" w:customStyle="1" w:styleId="Char4">
    <w:name w:val="Char"/>
    <w:basedOn w:val="a"/>
    <w:qFormat/>
  </w:style>
  <w:style w:type="paragraph" w:customStyle="1" w:styleId="24">
    <w:name w:val="编号正文2"/>
    <w:basedOn w:val="a"/>
    <w:qFormat/>
    <w:pPr>
      <w:autoSpaceDE w:val="0"/>
      <w:autoSpaceDN w:val="0"/>
      <w:adjustRightInd w:val="0"/>
      <w:spacing w:after="120" w:line="300" w:lineRule="auto"/>
      <w:textAlignment w:val="baseline"/>
    </w:pPr>
    <w:rPr>
      <w:rFonts w:ascii="宋体"/>
      <w:kern w:val="0"/>
      <w:szCs w:val="20"/>
    </w:rPr>
  </w:style>
  <w:style w:type="paragraph" w:customStyle="1" w:styleId="12">
    <w:name w:val="列出段落1"/>
    <w:basedOn w:val="a"/>
    <w:link w:val="afc"/>
    <w:uiPriority w:val="34"/>
    <w:qFormat/>
    <w:pPr>
      <w:ind w:firstLineChars="200" w:firstLine="420"/>
    </w:pPr>
    <w:rPr>
      <w:rFonts w:ascii="Calibri" w:hAnsi="Calibri"/>
      <w:szCs w:val="22"/>
    </w:rPr>
  </w:style>
  <w:style w:type="character" w:customStyle="1" w:styleId="afc">
    <w:name w:val="列表段落 字符"/>
    <w:link w:val="12"/>
    <w:qFormat/>
    <w:rPr>
      <w:rFonts w:ascii="Calibri" w:eastAsia="宋体" w:hAnsi="Calibri"/>
      <w:kern w:val="2"/>
      <w:sz w:val="21"/>
      <w:szCs w:val="22"/>
      <w:lang w:val="en-US" w:eastAsia="zh-CN" w:bidi="ar-SA"/>
    </w:rPr>
  </w:style>
  <w:style w:type="paragraph" w:customStyle="1" w:styleId="CharChar2">
    <w:name w:val="Char Char2"/>
    <w:basedOn w:val="a"/>
    <w:qFormat/>
    <w:pPr>
      <w:tabs>
        <w:tab w:val="left" w:pos="360"/>
      </w:tabs>
      <w:spacing w:before="312" w:after="312" w:line="360" w:lineRule="auto"/>
    </w:pPr>
    <w:rPr>
      <w:sz w:val="24"/>
    </w:rPr>
  </w:style>
  <w:style w:type="character" w:customStyle="1" w:styleId="DeltaViewInsertion">
    <w:name w:val="DeltaView Insertion"/>
    <w:qFormat/>
    <w:rPr>
      <w:color w:val="0000FF"/>
      <w:spacing w:val="0"/>
      <w:u w:val="double"/>
    </w:rPr>
  </w:style>
  <w:style w:type="character" w:customStyle="1" w:styleId="Char">
    <w:name w:val="批注文字 Char"/>
    <w:link w:val="a5"/>
    <w:qFormat/>
    <w:rPr>
      <w:rFonts w:eastAsia="宋体"/>
      <w:kern w:val="2"/>
      <w:sz w:val="21"/>
      <w:szCs w:val="24"/>
      <w:lang w:val="en-US" w:eastAsia="zh-CN" w:bidi="ar-SA"/>
    </w:rPr>
  </w:style>
  <w:style w:type="character" w:customStyle="1" w:styleId="content1">
    <w:name w:val="content1"/>
    <w:qFormat/>
    <w:rPr>
      <w:rFonts w:ascii="Arial" w:hAnsi="Arial" w:cs="Arial" w:hint="default"/>
      <w:sz w:val="18"/>
      <w:szCs w:val="18"/>
    </w:rPr>
  </w:style>
  <w:style w:type="paragraph" w:customStyle="1" w:styleId="xl22">
    <w:name w:val="xl22"/>
    <w:basedOn w:val="a"/>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z-1">
    <w:name w:val="z-窗体顶端1"/>
    <w:basedOn w:val="a"/>
    <w:next w:val="a"/>
    <w:link w:val="z-"/>
    <w:uiPriority w:val="99"/>
    <w:unhideWhenUsed/>
    <w:qFormat/>
    <w:pPr>
      <w:widowControl/>
      <w:pBdr>
        <w:bottom w:val="single" w:sz="6" w:space="1" w:color="auto"/>
      </w:pBdr>
      <w:jc w:val="center"/>
    </w:pPr>
    <w:rPr>
      <w:rFonts w:ascii="Arial" w:hAnsi="Arial"/>
      <w:vanish/>
      <w:kern w:val="0"/>
      <w:sz w:val="16"/>
      <w:szCs w:val="16"/>
    </w:rPr>
  </w:style>
  <w:style w:type="character" w:customStyle="1" w:styleId="z-">
    <w:name w:val="z-窗体顶端 字符"/>
    <w:link w:val="z-1"/>
    <w:uiPriority w:val="99"/>
    <w:qFormat/>
    <w:rPr>
      <w:rFonts w:ascii="Arial" w:hAnsi="Arial" w:cs="Arial"/>
      <w:vanish/>
      <w:sz w:val="16"/>
      <w:szCs w:val="16"/>
    </w:rPr>
  </w:style>
  <w:style w:type="paragraph" w:customStyle="1" w:styleId="z-10">
    <w:name w:val="z-窗体底端1"/>
    <w:basedOn w:val="a"/>
    <w:next w:val="a"/>
    <w:link w:val="z-0"/>
    <w:uiPriority w:val="99"/>
    <w:unhideWhenUsed/>
    <w:qFormat/>
    <w:pPr>
      <w:widowControl/>
      <w:pBdr>
        <w:top w:val="single" w:sz="6" w:space="1" w:color="auto"/>
      </w:pBdr>
      <w:jc w:val="center"/>
    </w:pPr>
    <w:rPr>
      <w:rFonts w:ascii="Arial" w:hAnsi="Arial"/>
      <w:vanish/>
      <w:kern w:val="0"/>
      <w:sz w:val="16"/>
      <w:szCs w:val="16"/>
    </w:rPr>
  </w:style>
  <w:style w:type="character" w:customStyle="1" w:styleId="z-0">
    <w:name w:val="z-窗体底端 字符"/>
    <w:link w:val="z-10"/>
    <w:uiPriority w:val="99"/>
    <w:qFormat/>
    <w:rPr>
      <w:rFonts w:ascii="Arial" w:hAnsi="Arial" w:cs="Arial"/>
      <w:vanish/>
      <w:sz w:val="16"/>
      <w:szCs w:val="16"/>
    </w:rPr>
  </w:style>
  <w:style w:type="character" w:customStyle="1" w:styleId="Char3">
    <w:name w:val="页眉 Char"/>
    <w:link w:val="af0"/>
    <w:uiPriority w:val="99"/>
    <w:qFormat/>
    <w:rPr>
      <w:kern w:val="2"/>
      <w:sz w:val="18"/>
      <w:szCs w:val="18"/>
    </w:rPr>
  </w:style>
  <w:style w:type="character" w:customStyle="1" w:styleId="heigh1801">
    <w:name w:val="heigh1801"/>
    <w:basedOn w:val="a1"/>
    <w:qFormat/>
  </w:style>
  <w:style w:type="paragraph" w:customStyle="1" w:styleId="CharCharChar1">
    <w:name w:val="Char Char Char1"/>
    <w:basedOn w:val="a"/>
    <w:qFormat/>
    <w:rPr>
      <w:szCs w:val="20"/>
    </w:rPr>
  </w:style>
  <w:style w:type="character" w:customStyle="1" w:styleId="Char2">
    <w:name w:val="页脚 Char"/>
    <w:link w:val="af"/>
    <w:uiPriority w:val="99"/>
    <w:qFormat/>
    <w:rPr>
      <w:kern w:val="2"/>
      <w:sz w:val="18"/>
      <w:szCs w:val="18"/>
    </w:rPr>
  </w:style>
  <w:style w:type="paragraph" w:customStyle="1" w:styleId="Style21">
    <w:name w:val="_Style 21"/>
    <w:basedOn w:val="a"/>
    <w:qFormat/>
    <w:rPr>
      <w:szCs w:val="20"/>
    </w:rPr>
  </w:style>
  <w:style w:type="paragraph" w:customStyle="1" w:styleId="13">
    <w:name w:val="修订1"/>
    <w:hidden/>
    <w:uiPriority w:val="99"/>
    <w:semiHidden/>
    <w:qFormat/>
    <w:rPr>
      <w:kern w:val="2"/>
      <w:sz w:val="21"/>
      <w:szCs w:val="24"/>
    </w:rPr>
  </w:style>
  <w:style w:type="paragraph" w:customStyle="1" w:styleId="s">
    <w:name w:val="正文s"/>
    <w:qFormat/>
    <w:pPr>
      <w:spacing w:line="360" w:lineRule="auto"/>
      <w:ind w:firstLineChars="200" w:firstLine="560"/>
    </w:pPr>
    <w:rPr>
      <w:rFonts w:ascii="宋体" w:hAnsi="宋体"/>
      <w:sz w:val="28"/>
      <w:szCs w:val="18"/>
    </w:rPr>
  </w:style>
  <w:style w:type="character" w:customStyle="1" w:styleId="Char1">
    <w:name w:val="纯文本 Char"/>
    <w:basedOn w:val="a1"/>
    <w:link w:val="ac"/>
    <w:uiPriority w:val="99"/>
    <w:qFormat/>
    <w:locked/>
    <w:rPr>
      <w:rFonts w:ascii="宋体" w:hAnsi="Courier New" w:cs="Courier New"/>
      <w:kern w:val="2"/>
      <w:sz w:val="21"/>
      <w:szCs w:val="21"/>
    </w:rPr>
  </w:style>
  <w:style w:type="paragraph" w:customStyle="1" w:styleId="xl67">
    <w:name w:val="xl67"/>
    <w:basedOn w:val="a"/>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69">
    <w:name w:val="xl6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74">
    <w:name w:val="xl74"/>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5">
    <w:name w:val="xl75"/>
    <w:basedOn w:val="a"/>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76">
    <w:name w:val="xl76"/>
    <w:basedOn w:val="a"/>
    <w:qFormat/>
    <w:pPr>
      <w:widowControl/>
      <w:pBdr>
        <w:top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77">
    <w:name w:val="xl77"/>
    <w:basedOn w:val="a"/>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79">
    <w:name w:val="xl79"/>
    <w:basedOn w:val="a"/>
    <w:qFormat/>
    <w:pPr>
      <w:widowControl/>
      <w:pBdr>
        <w:top w:val="single" w:sz="8" w:space="0" w:color="auto"/>
        <w:bottom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0">
    <w:name w:val="xl80"/>
    <w:basedOn w:val="a"/>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1">
    <w:name w:val="xl81"/>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Cs w:val="21"/>
    </w:rPr>
  </w:style>
  <w:style w:type="paragraph" w:customStyle="1" w:styleId="xl82">
    <w:name w:val="xl82"/>
    <w:basedOn w:val="a"/>
    <w:qFormat/>
    <w:pPr>
      <w:widowControl/>
      <w:pBdr>
        <w:top w:val="single" w:sz="8" w:space="0" w:color="auto"/>
        <w:bottom w:val="single" w:sz="8" w:space="0" w:color="auto"/>
      </w:pBdr>
      <w:spacing w:before="100" w:beforeAutospacing="1" w:after="100" w:afterAutospacing="1"/>
      <w:jc w:val="center"/>
    </w:pPr>
    <w:rPr>
      <w:rFonts w:ascii="宋体" w:hAnsi="宋体" w:cs="宋体"/>
      <w:b/>
      <w:bCs/>
      <w:kern w:val="0"/>
      <w:szCs w:val="21"/>
    </w:rPr>
  </w:style>
  <w:style w:type="paragraph" w:customStyle="1" w:styleId="xl83">
    <w:name w:val="xl83"/>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character" w:customStyle="1" w:styleId="Char0">
    <w:name w:val="正文文本 Char"/>
    <w:link w:val="a9"/>
    <w:qFormat/>
    <w:rPr>
      <w:kern w:val="2"/>
      <w:sz w:val="21"/>
      <w:szCs w:val="24"/>
    </w:rPr>
  </w:style>
  <w:style w:type="character" w:customStyle="1" w:styleId="2Char">
    <w:name w:val="标题 2 Char"/>
    <w:basedOn w:val="a1"/>
    <w:link w:val="2"/>
    <w:qFormat/>
    <w:rPr>
      <w:rFonts w:ascii="Arial" w:eastAsia="黑体" w:hAnsi="Arial"/>
      <w:b/>
      <w:bCs/>
      <w:kern w:val="2"/>
      <w:sz w:val="32"/>
      <w:szCs w:val="32"/>
    </w:rPr>
  </w:style>
  <w:style w:type="character" w:customStyle="1" w:styleId="14">
    <w:name w:val="占位符文本1"/>
    <w:basedOn w:val="a1"/>
    <w:uiPriority w:val="99"/>
    <w:semiHidden/>
    <w:qFormat/>
    <w:rPr>
      <w:color w:val="808080"/>
    </w:rPr>
  </w:style>
  <w:style w:type="character" w:customStyle="1" w:styleId="HTMLChar">
    <w:name w:val="HTML 预设格式 Char"/>
    <w:basedOn w:val="a1"/>
    <w:link w:val="HTML"/>
    <w:uiPriority w:val="99"/>
    <w:semiHidden/>
    <w:qFormat/>
    <w:rPr>
      <w:rFonts w:ascii="宋体" w:hAnsi="宋体" w:cs="宋体"/>
      <w:sz w:val="24"/>
      <w:szCs w:val="24"/>
    </w:rPr>
  </w:style>
  <w:style w:type="paragraph" w:customStyle="1" w:styleId="15">
    <w:name w:val="列出段落1"/>
    <w:basedOn w:val="a"/>
    <w:uiPriority w:val="34"/>
    <w:qFormat/>
    <w:pPr>
      <w:ind w:firstLineChars="200" w:firstLine="420"/>
    </w:pPr>
  </w:style>
  <w:style w:type="paragraph" w:styleId="afd">
    <w:name w:val="Revision"/>
    <w:hidden/>
    <w:uiPriority w:val="99"/>
    <w:unhideWhenUsed/>
    <w:rsid w:val="008647F5"/>
    <w:rPr>
      <w:kern w:val="2"/>
      <w:sz w:val="21"/>
      <w:szCs w:val="24"/>
    </w:rPr>
  </w:style>
  <w:style w:type="paragraph" w:customStyle="1" w:styleId="xmsonormal">
    <w:name w:val="xmsonormal"/>
    <w:basedOn w:val="a"/>
    <w:rsid w:val="00FF509D"/>
    <w:pPr>
      <w:widowControl/>
      <w:spacing w:before="100" w:beforeAutospacing="1" w:after="100" w:afterAutospacing="1"/>
      <w:jc w:val="left"/>
    </w:pPr>
    <w:rPr>
      <w:rFonts w:ascii="宋体" w:hAnsi="宋体" w:cs="宋体"/>
      <w:kern w:val="0"/>
      <w:sz w:val="24"/>
    </w:rPr>
  </w:style>
  <w:style w:type="paragraph" w:customStyle="1" w:styleId="210">
    <w:name w:val="正文文本 21"/>
    <w:basedOn w:val="a"/>
    <w:uiPriority w:val="99"/>
    <w:rsid w:val="0034409C"/>
    <w:pPr>
      <w:spacing w:line="360" w:lineRule="auto"/>
    </w:pPr>
    <w:rPr>
      <w:sz w:val="24"/>
    </w:rPr>
  </w:style>
  <w:style w:type="paragraph" w:styleId="afe">
    <w:name w:val="List Paragraph"/>
    <w:basedOn w:val="a"/>
    <w:uiPriority w:val="99"/>
    <w:rsid w:val="00500A31"/>
    <w:pPr>
      <w:ind w:firstLineChars="200" w:firstLine="420"/>
    </w:pPr>
  </w:style>
  <w:style w:type="paragraph" w:customStyle="1" w:styleId="XBRLTitle1">
    <w:name w:val="XBRLTitle1"/>
    <w:basedOn w:val="1"/>
    <w:next w:val="2"/>
    <w:qFormat/>
    <w:rsid w:val="00863607"/>
    <w:pPr>
      <w:keepNext w:val="0"/>
      <w:keepLines w:val="0"/>
      <w:numPr>
        <w:numId w:val="4"/>
      </w:numPr>
      <w:spacing w:beforeLines="50" w:before="0" w:after="0" w:line="240" w:lineRule="auto"/>
      <w:jc w:val="left"/>
    </w:pPr>
    <w:rPr>
      <w:rFonts w:ascii="宋体" w:eastAsia="宋体" w:hAnsi="Cambria" w:cs="宋体"/>
      <w:sz w:val="21"/>
      <w:szCs w:val="32"/>
      <w:lang w:val="x-none" w:eastAsia="x-none"/>
    </w:rPr>
  </w:style>
  <w:style w:type="paragraph" w:customStyle="1" w:styleId="XBRLTitle2">
    <w:name w:val="XBRLTitle2"/>
    <w:basedOn w:val="aff"/>
    <w:next w:val="4"/>
    <w:qFormat/>
    <w:rsid w:val="00863607"/>
    <w:pPr>
      <w:numPr>
        <w:ilvl w:val="1"/>
        <w:numId w:val="4"/>
      </w:numPr>
      <w:spacing w:beforeLines="50" w:before="0" w:after="0" w:line="240" w:lineRule="auto"/>
      <w:ind w:left="1266" w:hanging="420"/>
      <w:jc w:val="left"/>
    </w:pPr>
    <w:rPr>
      <w:rFonts w:ascii="宋体" w:hAnsi="Cambria" w:cs="宋体"/>
      <w:kern w:val="24"/>
      <w:sz w:val="24"/>
      <w:lang w:val="x-none" w:eastAsia="x-none"/>
    </w:rPr>
  </w:style>
  <w:style w:type="paragraph" w:customStyle="1" w:styleId="XBRLTitle3">
    <w:name w:val="XBRLTitle3"/>
    <w:basedOn w:val="aff"/>
    <w:next w:val="4"/>
    <w:autoRedefine/>
    <w:qFormat/>
    <w:rsid w:val="00863607"/>
    <w:pPr>
      <w:numPr>
        <w:ilvl w:val="2"/>
        <w:numId w:val="4"/>
      </w:numPr>
      <w:spacing w:beforeLines="50" w:before="0" w:after="0" w:line="360" w:lineRule="auto"/>
      <w:ind w:left="0" w:firstLine="0"/>
      <w:jc w:val="left"/>
      <w:outlineLvl w:val="9"/>
    </w:pPr>
    <w:rPr>
      <w:rFonts w:ascii="宋体" w:hAnsi="Cambria" w:cs="宋体"/>
      <w:kern w:val="24"/>
      <w:sz w:val="24"/>
      <w:lang w:val="x-none" w:eastAsia="x-none"/>
    </w:rPr>
  </w:style>
  <w:style w:type="paragraph" w:styleId="aff">
    <w:name w:val="Subtitle"/>
    <w:basedOn w:val="a"/>
    <w:next w:val="a"/>
    <w:link w:val="Char5"/>
    <w:qFormat/>
    <w:rsid w:val="00863607"/>
    <w:pPr>
      <w:spacing w:before="240" w:after="60" w:line="312" w:lineRule="auto"/>
      <w:jc w:val="center"/>
      <w:outlineLvl w:val="1"/>
    </w:pPr>
    <w:rPr>
      <w:rFonts w:asciiTheme="majorHAnsi" w:hAnsiTheme="majorHAnsi" w:cstheme="majorBidi"/>
      <w:b/>
      <w:bCs/>
      <w:kern w:val="28"/>
      <w:sz w:val="32"/>
      <w:szCs w:val="32"/>
    </w:rPr>
  </w:style>
  <w:style w:type="character" w:customStyle="1" w:styleId="Char5">
    <w:name w:val="副标题 Char"/>
    <w:basedOn w:val="a1"/>
    <w:link w:val="aff"/>
    <w:rsid w:val="00863607"/>
    <w:rPr>
      <w:rFonts w:asciiTheme="majorHAnsi" w:hAnsiTheme="majorHAnsi" w:cstheme="majorBidi"/>
      <w:b/>
      <w:bCs/>
      <w:kern w:val="28"/>
      <w:sz w:val="32"/>
      <w:szCs w:val="32"/>
    </w:rPr>
  </w:style>
  <w:style w:type="character" w:customStyle="1" w:styleId="4Char">
    <w:name w:val="标题 4 Char"/>
    <w:basedOn w:val="a1"/>
    <w:link w:val="4"/>
    <w:semiHidden/>
    <w:rsid w:val="00863607"/>
    <w:rPr>
      <w:rFonts w:asciiTheme="majorHAnsi" w:eastAsiaTheme="majorEastAsia" w:hAnsiTheme="majorHAnsi" w:cstheme="majorBidi"/>
      <w:b/>
      <w:bCs/>
      <w:kern w:val="2"/>
      <w:sz w:val="28"/>
      <w:szCs w:val="28"/>
    </w:rPr>
  </w:style>
  <w:style w:type="character" w:customStyle="1" w:styleId="Char10">
    <w:name w:val="页眉 Char1"/>
    <w:locked/>
    <w:rsid w:val="008636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igwfmc.com" TargetMode="Externa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4EE38-5447-46A3-B954-25F2CF04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15698</Words>
  <Characters>89479</Characters>
  <Application>Microsoft Office Word</Application>
  <DocSecurity>0</DocSecurity>
  <Lines>745</Lines>
  <Paragraphs>209</Paragraphs>
  <ScaleCrop>false</ScaleCrop>
  <Company>Microsoft</Company>
  <LinksUpToDate>false</LinksUpToDate>
  <CharactersWithSpaces>104968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景顺长城指数开放式证券投资基金</dc:title>
  <dc:creator>miaokz</dc:creator>
  <cp:lastModifiedBy>Liu.Bu Ding(刘不丁)</cp:lastModifiedBy>
  <cp:revision>24</cp:revision>
  <cp:lastPrinted>2023-05-24T05:28:00Z</cp:lastPrinted>
  <dcterms:created xsi:type="dcterms:W3CDTF">2023-06-27T02:47:00Z</dcterms:created>
  <dcterms:modified xsi:type="dcterms:W3CDTF">2023-08-14T08:13:00Z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2052-3.5.1.5630</vt:lpwstr>
  </property>
</Properties>
</file>