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3D54A7"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南方人工智能主题混合型证券投资基金基金产品资料概要（更新）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3D54A7">
        <w:rPr>
          <w:rFonts w:ascii="仿宋" w:hAnsi="仿宋"/>
          <w:color w:val="000000" w:themeColor="text1"/>
          <w:sz w:val="24"/>
          <w:szCs w:val="24"/>
        </w:rPr>
        <w:t>2021年9月26日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3D54A7">
        <w:rPr>
          <w:rFonts w:ascii="仿宋" w:hAnsi="仿宋"/>
          <w:color w:val="000000" w:themeColor="text1"/>
          <w:sz w:val="24"/>
          <w:szCs w:val="24"/>
        </w:rPr>
        <w:t>2021年10月25日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3D54A7" w:rsidRDefault="003D54A7" w:rsidP="003D54A7">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3D54A7" w:rsidTr="003D54A7">
        <w:tc>
          <w:tcPr>
            <w:tcW w:w="2076" w:type="dxa"/>
          </w:tcPr>
          <w:p w:rsidR="003D54A7" w:rsidRDefault="003D54A7" w:rsidP="003D54A7">
            <w:pPr>
              <w:jc w:val="left"/>
            </w:pPr>
            <w:r>
              <w:rPr>
                <w:rFonts w:hint="eastAsia"/>
              </w:rPr>
              <w:t>基金简称</w:t>
            </w:r>
          </w:p>
        </w:tc>
        <w:tc>
          <w:tcPr>
            <w:tcW w:w="2076" w:type="dxa"/>
          </w:tcPr>
          <w:p w:rsidR="003D54A7" w:rsidRDefault="003D54A7" w:rsidP="003D54A7">
            <w:pPr>
              <w:jc w:val="left"/>
            </w:pPr>
            <w:r>
              <w:rPr>
                <w:rFonts w:hint="eastAsia"/>
              </w:rPr>
              <w:t>南方人工智能主题混合</w:t>
            </w:r>
          </w:p>
        </w:tc>
        <w:tc>
          <w:tcPr>
            <w:tcW w:w="2077" w:type="dxa"/>
          </w:tcPr>
          <w:p w:rsidR="003D54A7" w:rsidRDefault="003D54A7" w:rsidP="003D54A7">
            <w:pPr>
              <w:jc w:val="left"/>
            </w:pPr>
            <w:r>
              <w:rPr>
                <w:rFonts w:hint="eastAsia"/>
              </w:rPr>
              <w:t>基金代码</w:t>
            </w:r>
          </w:p>
        </w:tc>
        <w:tc>
          <w:tcPr>
            <w:tcW w:w="2077" w:type="dxa"/>
          </w:tcPr>
          <w:p w:rsidR="003D54A7" w:rsidRDefault="003D54A7" w:rsidP="003D54A7">
            <w:pPr>
              <w:jc w:val="left"/>
            </w:pPr>
            <w:r>
              <w:t>005729</w:t>
            </w:r>
          </w:p>
        </w:tc>
      </w:tr>
      <w:tr w:rsidR="003D54A7" w:rsidTr="003D54A7">
        <w:tc>
          <w:tcPr>
            <w:tcW w:w="2076" w:type="dxa"/>
          </w:tcPr>
          <w:p w:rsidR="003D54A7" w:rsidRDefault="003D54A7" w:rsidP="003D54A7">
            <w:pPr>
              <w:jc w:val="left"/>
            </w:pPr>
            <w:r>
              <w:rPr>
                <w:rFonts w:hint="eastAsia"/>
              </w:rPr>
              <w:t>基金管理人</w:t>
            </w:r>
          </w:p>
        </w:tc>
        <w:tc>
          <w:tcPr>
            <w:tcW w:w="2076" w:type="dxa"/>
          </w:tcPr>
          <w:p w:rsidR="003D54A7" w:rsidRDefault="003D54A7" w:rsidP="003D54A7">
            <w:pPr>
              <w:jc w:val="left"/>
            </w:pPr>
            <w:r>
              <w:rPr>
                <w:rFonts w:hint="eastAsia"/>
              </w:rPr>
              <w:t>南方基金管理股份有限公司</w:t>
            </w:r>
          </w:p>
        </w:tc>
        <w:tc>
          <w:tcPr>
            <w:tcW w:w="2077" w:type="dxa"/>
          </w:tcPr>
          <w:p w:rsidR="003D54A7" w:rsidRDefault="003D54A7" w:rsidP="003D54A7">
            <w:pPr>
              <w:jc w:val="left"/>
            </w:pPr>
            <w:r>
              <w:rPr>
                <w:rFonts w:hint="eastAsia"/>
              </w:rPr>
              <w:t>基金托管人</w:t>
            </w:r>
          </w:p>
        </w:tc>
        <w:tc>
          <w:tcPr>
            <w:tcW w:w="2077" w:type="dxa"/>
          </w:tcPr>
          <w:p w:rsidR="003D54A7" w:rsidRDefault="003D54A7" w:rsidP="003D54A7">
            <w:pPr>
              <w:jc w:val="left"/>
            </w:pPr>
            <w:r>
              <w:rPr>
                <w:rFonts w:hint="eastAsia"/>
              </w:rPr>
              <w:t>中国农业银行股份有限公司</w:t>
            </w:r>
          </w:p>
        </w:tc>
      </w:tr>
      <w:tr w:rsidR="003D54A7" w:rsidTr="00A60611">
        <w:tc>
          <w:tcPr>
            <w:tcW w:w="2076" w:type="dxa"/>
          </w:tcPr>
          <w:p w:rsidR="003D54A7" w:rsidRDefault="003D54A7" w:rsidP="003D54A7">
            <w:pPr>
              <w:jc w:val="left"/>
            </w:pPr>
            <w:r>
              <w:rPr>
                <w:rFonts w:hint="eastAsia"/>
              </w:rPr>
              <w:t>基金合同生效日</w:t>
            </w:r>
          </w:p>
        </w:tc>
        <w:tc>
          <w:tcPr>
            <w:tcW w:w="6230" w:type="dxa"/>
            <w:gridSpan w:val="3"/>
          </w:tcPr>
          <w:p w:rsidR="003D54A7" w:rsidRDefault="003D54A7" w:rsidP="003D54A7">
            <w:pPr>
              <w:jc w:val="left"/>
            </w:pPr>
            <w:r>
              <w:rPr>
                <w:rFonts w:hint="eastAsia"/>
              </w:rPr>
              <w:t>2018</w:t>
            </w:r>
            <w:r>
              <w:rPr>
                <w:rFonts w:hint="eastAsia"/>
              </w:rPr>
              <w:t>年</w:t>
            </w:r>
            <w:r>
              <w:rPr>
                <w:rFonts w:hint="eastAsia"/>
              </w:rPr>
              <w:t>10</w:t>
            </w:r>
            <w:r>
              <w:rPr>
                <w:rFonts w:hint="eastAsia"/>
              </w:rPr>
              <w:t>月</w:t>
            </w:r>
            <w:r>
              <w:rPr>
                <w:rFonts w:hint="eastAsia"/>
              </w:rPr>
              <w:t>12</w:t>
            </w:r>
            <w:r>
              <w:rPr>
                <w:rFonts w:hint="eastAsia"/>
              </w:rPr>
              <w:t>日</w:t>
            </w:r>
          </w:p>
        </w:tc>
      </w:tr>
      <w:tr w:rsidR="003D54A7" w:rsidTr="003D54A7">
        <w:tc>
          <w:tcPr>
            <w:tcW w:w="2076" w:type="dxa"/>
          </w:tcPr>
          <w:p w:rsidR="003D54A7" w:rsidRDefault="003D54A7" w:rsidP="003D54A7">
            <w:pPr>
              <w:jc w:val="left"/>
            </w:pPr>
            <w:r>
              <w:rPr>
                <w:rFonts w:hint="eastAsia"/>
              </w:rPr>
              <w:t>基金类型</w:t>
            </w:r>
          </w:p>
        </w:tc>
        <w:tc>
          <w:tcPr>
            <w:tcW w:w="2076" w:type="dxa"/>
          </w:tcPr>
          <w:p w:rsidR="003D54A7" w:rsidRDefault="003D54A7" w:rsidP="003D54A7">
            <w:pPr>
              <w:jc w:val="left"/>
            </w:pPr>
            <w:r>
              <w:rPr>
                <w:rFonts w:hint="eastAsia"/>
              </w:rPr>
              <w:t>混合型</w:t>
            </w:r>
          </w:p>
        </w:tc>
        <w:tc>
          <w:tcPr>
            <w:tcW w:w="2077" w:type="dxa"/>
          </w:tcPr>
          <w:p w:rsidR="003D54A7" w:rsidRDefault="003D54A7" w:rsidP="003D54A7">
            <w:pPr>
              <w:jc w:val="left"/>
            </w:pPr>
            <w:r>
              <w:rPr>
                <w:rFonts w:hint="eastAsia"/>
              </w:rPr>
              <w:t>交易币种</w:t>
            </w:r>
          </w:p>
        </w:tc>
        <w:tc>
          <w:tcPr>
            <w:tcW w:w="2077" w:type="dxa"/>
          </w:tcPr>
          <w:p w:rsidR="003D54A7" w:rsidRDefault="003D54A7" w:rsidP="003D54A7">
            <w:pPr>
              <w:jc w:val="left"/>
            </w:pPr>
            <w:r>
              <w:rPr>
                <w:rFonts w:hint="eastAsia"/>
              </w:rPr>
              <w:t>人民币</w:t>
            </w:r>
          </w:p>
        </w:tc>
      </w:tr>
      <w:tr w:rsidR="003D54A7" w:rsidTr="00124C0A">
        <w:tc>
          <w:tcPr>
            <w:tcW w:w="2076" w:type="dxa"/>
          </w:tcPr>
          <w:p w:rsidR="003D54A7" w:rsidRDefault="003D54A7" w:rsidP="003D54A7">
            <w:pPr>
              <w:jc w:val="left"/>
            </w:pPr>
            <w:r>
              <w:rPr>
                <w:rFonts w:hint="eastAsia"/>
              </w:rPr>
              <w:t>运作方式</w:t>
            </w:r>
          </w:p>
        </w:tc>
        <w:tc>
          <w:tcPr>
            <w:tcW w:w="6230" w:type="dxa"/>
            <w:gridSpan w:val="3"/>
          </w:tcPr>
          <w:p w:rsidR="003D54A7" w:rsidRDefault="003D54A7" w:rsidP="003D54A7">
            <w:pPr>
              <w:jc w:val="left"/>
            </w:pPr>
            <w:r>
              <w:rPr>
                <w:rFonts w:hint="eastAsia"/>
              </w:rPr>
              <w:t>普通开放式</w:t>
            </w:r>
          </w:p>
        </w:tc>
      </w:tr>
      <w:tr w:rsidR="003D54A7" w:rsidTr="00A56872">
        <w:tc>
          <w:tcPr>
            <w:tcW w:w="2076" w:type="dxa"/>
          </w:tcPr>
          <w:p w:rsidR="003D54A7" w:rsidRDefault="003D54A7" w:rsidP="003D54A7">
            <w:pPr>
              <w:jc w:val="left"/>
            </w:pPr>
            <w:r>
              <w:rPr>
                <w:rFonts w:hint="eastAsia"/>
              </w:rPr>
              <w:t>开放频率</w:t>
            </w:r>
          </w:p>
        </w:tc>
        <w:tc>
          <w:tcPr>
            <w:tcW w:w="6230" w:type="dxa"/>
            <w:gridSpan w:val="3"/>
          </w:tcPr>
          <w:p w:rsidR="003D54A7" w:rsidRDefault="003D54A7" w:rsidP="003D54A7">
            <w:pPr>
              <w:jc w:val="left"/>
            </w:pPr>
            <w:r>
              <w:rPr>
                <w:rFonts w:hint="eastAsia"/>
              </w:rPr>
              <w:t>每个开放日</w:t>
            </w:r>
          </w:p>
        </w:tc>
      </w:tr>
      <w:tr w:rsidR="003D54A7" w:rsidTr="003D54A7">
        <w:tc>
          <w:tcPr>
            <w:tcW w:w="2076" w:type="dxa"/>
            <w:vMerge w:val="restart"/>
          </w:tcPr>
          <w:p w:rsidR="003D54A7" w:rsidRDefault="003D54A7" w:rsidP="003D54A7">
            <w:pPr>
              <w:jc w:val="left"/>
            </w:pPr>
            <w:r>
              <w:rPr>
                <w:rFonts w:hint="eastAsia"/>
              </w:rPr>
              <w:t>基金经理</w:t>
            </w:r>
          </w:p>
        </w:tc>
        <w:tc>
          <w:tcPr>
            <w:tcW w:w="2076" w:type="dxa"/>
            <w:vMerge w:val="restart"/>
          </w:tcPr>
          <w:p w:rsidR="003D54A7" w:rsidRDefault="003D54A7" w:rsidP="003D54A7">
            <w:pPr>
              <w:jc w:val="left"/>
            </w:pPr>
            <w:r>
              <w:rPr>
                <w:rFonts w:hint="eastAsia"/>
              </w:rPr>
              <w:t>罗安安</w:t>
            </w:r>
          </w:p>
        </w:tc>
        <w:tc>
          <w:tcPr>
            <w:tcW w:w="2077" w:type="dxa"/>
          </w:tcPr>
          <w:p w:rsidR="003D54A7" w:rsidRDefault="003D54A7" w:rsidP="003D54A7">
            <w:pPr>
              <w:jc w:val="left"/>
            </w:pPr>
            <w:r>
              <w:rPr>
                <w:rFonts w:hint="eastAsia"/>
              </w:rPr>
              <w:t>开始担任本基金基金经理的日期</w:t>
            </w:r>
          </w:p>
        </w:tc>
        <w:tc>
          <w:tcPr>
            <w:tcW w:w="2077" w:type="dxa"/>
          </w:tcPr>
          <w:p w:rsidR="003D54A7" w:rsidRDefault="003D54A7" w:rsidP="003D54A7">
            <w:pPr>
              <w:jc w:val="left"/>
            </w:pPr>
            <w:r>
              <w:rPr>
                <w:rFonts w:hint="eastAsia"/>
              </w:rPr>
              <w:t>2018</w:t>
            </w:r>
            <w:r>
              <w:rPr>
                <w:rFonts w:hint="eastAsia"/>
              </w:rPr>
              <w:t>年</w:t>
            </w:r>
            <w:r>
              <w:rPr>
                <w:rFonts w:hint="eastAsia"/>
              </w:rPr>
              <w:t>10</w:t>
            </w:r>
            <w:r>
              <w:rPr>
                <w:rFonts w:hint="eastAsia"/>
              </w:rPr>
              <w:t>月</w:t>
            </w:r>
            <w:r>
              <w:rPr>
                <w:rFonts w:hint="eastAsia"/>
              </w:rPr>
              <w:t>12</w:t>
            </w:r>
            <w:r>
              <w:rPr>
                <w:rFonts w:hint="eastAsia"/>
              </w:rPr>
              <w:t>日</w:t>
            </w:r>
          </w:p>
        </w:tc>
      </w:tr>
      <w:tr w:rsidR="003D54A7" w:rsidTr="003D54A7">
        <w:tc>
          <w:tcPr>
            <w:tcW w:w="2076" w:type="dxa"/>
            <w:vMerge/>
          </w:tcPr>
          <w:p w:rsidR="003D54A7" w:rsidRDefault="003D54A7" w:rsidP="003D54A7">
            <w:pPr>
              <w:jc w:val="left"/>
            </w:pPr>
          </w:p>
        </w:tc>
        <w:tc>
          <w:tcPr>
            <w:tcW w:w="2076" w:type="dxa"/>
            <w:vMerge/>
          </w:tcPr>
          <w:p w:rsidR="003D54A7" w:rsidRDefault="003D54A7" w:rsidP="003D54A7">
            <w:pPr>
              <w:jc w:val="left"/>
            </w:pPr>
          </w:p>
        </w:tc>
        <w:tc>
          <w:tcPr>
            <w:tcW w:w="2077" w:type="dxa"/>
          </w:tcPr>
          <w:p w:rsidR="003D54A7" w:rsidRDefault="003D54A7" w:rsidP="003D54A7">
            <w:pPr>
              <w:jc w:val="left"/>
            </w:pPr>
            <w:r>
              <w:rPr>
                <w:rFonts w:hint="eastAsia"/>
              </w:rPr>
              <w:t>证券从业日期</w:t>
            </w:r>
          </w:p>
        </w:tc>
        <w:tc>
          <w:tcPr>
            <w:tcW w:w="2077" w:type="dxa"/>
          </w:tcPr>
          <w:p w:rsidR="003D54A7" w:rsidRDefault="003D54A7" w:rsidP="003D54A7">
            <w:pPr>
              <w:jc w:val="left"/>
            </w:pPr>
            <w:r>
              <w:rPr>
                <w:rFonts w:hint="eastAsia"/>
              </w:rPr>
              <w:t>2010</w:t>
            </w:r>
            <w:r>
              <w:rPr>
                <w:rFonts w:hint="eastAsia"/>
              </w:rPr>
              <w:t>年</w:t>
            </w:r>
            <w:r>
              <w:rPr>
                <w:rFonts w:hint="eastAsia"/>
              </w:rPr>
              <w:t>7</w:t>
            </w:r>
            <w:r>
              <w:rPr>
                <w:rFonts w:hint="eastAsia"/>
              </w:rPr>
              <w:t>月</w:t>
            </w:r>
            <w:r>
              <w:rPr>
                <w:rFonts w:hint="eastAsia"/>
              </w:rPr>
              <w:t>12</w:t>
            </w:r>
            <w:r>
              <w:rPr>
                <w:rFonts w:hint="eastAsia"/>
              </w:rPr>
              <w:t>日</w:t>
            </w:r>
          </w:p>
        </w:tc>
      </w:tr>
    </w:tbl>
    <w:p w:rsidR="003D54A7" w:rsidRDefault="003D54A7" w:rsidP="003D54A7">
      <w:pPr>
        <w:pStyle w:val="-1"/>
        <w:spacing w:before="156" w:after="156"/>
        <w:rPr>
          <w:rFonts w:hint="eastAsia"/>
        </w:rPr>
      </w:pPr>
      <w:r>
        <w:rPr>
          <w:rFonts w:hint="eastAsia"/>
        </w:rPr>
        <w:t>二、基金投资与净值表现</w:t>
      </w:r>
    </w:p>
    <w:p w:rsidR="003D54A7" w:rsidRDefault="003D54A7" w:rsidP="003D54A7">
      <w:pPr>
        <w:pStyle w:val="-2"/>
        <w:spacing w:before="156" w:after="156"/>
        <w:rPr>
          <w:rFonts w:hint="eastAsia"/>
        </w:rPr>
      </w:pPr>
      <w:r>
        <w:rPr>
          <w:rFonts w:hint="eastAsia"/>
        </w:rPr>
        <w:t>（一）</w:t>
      </w:r>
      <w:r>
        <w:rPr>
          <w:rFonts w:hint="eastAsia"/>
        </w:rPr>
        <w:t xml:space="preserve"> </w:t>
      </w:r>
      <w:r>
        <w:rPr>
          <w:rFonts w:hint="eastAsia"/>
        </w:rPr>
        <w:t>投资目标与投资策略</w:t>
      </w:r>
    </w:p>
    <w:p w:rsidR="003D54A7" w:rsidRDefault="003D54A7" w:rsidP="003D54A7">
      <w:pPr>
        <w:pStyle w:val="-"/>
        <w:ind w:firstLine="420"/>
        <w:rPr>
          <w:rFonts w:hint="eastAsia"/>
        </w:rPr>
      </w:pPr>
      <w:r>
        <w:rPr>
          <w:rFonts w:hint="eastAsia"/>
        </w:rPr>
        <w:t>详见《南方人工智能主题混合型证券投资基金招募说明书》第九部分“基金的投资”。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3D54A7" w:rsidTr="003D54A7">
        <w:tc>
          <w:tcPr>
            <w:tcW w:w="8505" w:type="nil"/>
          </w:tcPr>
          <w:p w:rsidR="003D54A7" w:rsidRDefault="003D54A7" w:rsidP="003D54A7">
            <w:pPr>
              <w:pStyle w:val="-"/>
              <w:shd w:val="clear" w:color="auto" w:fill="auto"/>
              <w:ind w:firstLineChars="0" w:firstLine="0"/>
              <w:jc w:val="left"/>
            </w:pPr>
            <w:r>
              <w:rPr>
                <w:rFonts w:hint="eastAsia"/>
              </w:rPr>
              <w:t>投资目标</w:t>
            </w:r>
          </w:p>
        </w:tc>
        <w:tc>
          <w:tcPr>
            <w:tcW w:w="8505" w:type="nil"/>
          </w:tcPr>
          <w:p w:rsidR="003D54A7" w:rsidRDefault="003D54A7" w:rsidP="003D54A7">
            <w:pPr>
              <w:pStyle w:val="-"/>
              <w:shd w:val="clear" w:color="auto" w:fill="auto"/>
              <w:ind w:firstLineChars="0" w:firstLine="0"/>
              <w:jc w:val="left"/>
            </w:pPr>
            <w:r>
              <w:rPr>
                <w:rFonts w:hint="eastAsia"/>
              </w:rPr>
              <w:t>本基金为混合型证券投资基金，股票投资部分主要投资于精选的人工智能主题股票，通过资产配置、精选个股和风险控制，力求为基金份额持有人获取超过业绩比较基准的收益。</w:t>
            </w:r>
          </w:p>
        </w:tc>
      </w:tr>
      <w:tr w:rsidR="003D54A7" w:rsidTr="003D54A7">
        <w:tc>
          <w:tcPr>
            <w:tcW w:w="8505" w:type="nil"/>
          </w:tcPr>
          <w:p w:rsidR="003D54A7" w:rsidRDefault="003D54A7" w:rsidP="003D54A7">
            <w:pPr>
              <w:pStyle w:val="-"/>
              <w:shd w:val="clear" w:color="auto" w:fill="auto"/>
              <w:ind w:firstLineChars="0" w:firstLine="0"/>
              <w:jc w:val="left"/>
            </w:pPr>
            <w:r>
              <w:rPr>
                <w:rFonts w:hint="eastAsia"/>
              </w:rPr>
              <w:t>投资范围</w:t>
            </w:r>
          </w:p>
        </w:tc>
        <w:tc>
          <w:tcPr>
            <w:tcW w:w="8505" w:type="nil"/>
          </w:tcPr>
          <w:p w:rsidR="003D54A7" w:rsidRDefault="003D54A7" w:rsidP="003D54A7">
            <w:pPr>
              <w:pStyle w:val="-"/>
              <w:shd w:val="clear" w:color="auto" w:fill="auto"/>
              <w:ind w:firstLineChars="0" w:firstLine="0"/>
              <w:jc w:val="left"/>
            </w:pPr>
            <w:r>
              <w:rPr>
                <w:rFonts w:hint="eastAsia"/>
              </w:rPr>
              <w:t>本基金的投资范围为具有良好流动性的金融工具，包括国内依法发行上市的股票（包括中小板、创业板及其他经中国证监会核准上市的股票以及存托凭证（下同））、沪港通允许买卖的规定范围内的香港联合交易所上市的股票及包括深港通允许买卖的规定范围内的香港联合交易所上市的股票（简称“港股通股票”）、债券（国债、金融债、企业债、公司债、次级债、可转换债券（含分离交易可转债）、地方政府债券、政府支持机构债券、政府支持债券、央行票据、短期融资券、超短期融资券、中期票据）、资产支持证券、债券回购、银行存款（包括协议存款、定期存款及其他银行存款）、货币市场工具、金融衍生品（包括权证、股指期货）以及法律法规或中国证监会允许基金投资的其他金融工具</w:t>
            </w:r>
            <w:r>
              <w:t>(</w:t>
            </w:r>
            <w:r>
              <w:t>但须符合中国证监会相关规定</w:t>
            </w:r>
            <w:r>
              <w:t>)</w:t>
            </w:r>
            <w:r>
              <w:t>。</w:t>
            </w:r>
          </w:p>
          <w:p w:rsidR="003D54A7" w:rsidRDefault="003D54A7" w:rsidP="003D54A7">
            <w:pPr>
              <w:pStyle w:val="-"/>
              <w:shd w:val="clear" w:color="auto" w:fill="auto"/>
              <w:ind w:firstLineChars="0" w:firstLine="0"/>
              <w:jc w:val="left"/>
            </w:pPr>
            <w:r>
              <w:rPr>
                <w:rFonts w:hint="eastAsia"/>
              </w:rPr>
              <w:t>如法律法规或监管机构以后允许基金投资其他品种，基金管理人在履行适当程序后，可以将其纳入投资范围。</w:t>
            </w:r>
          </w:p>
          <w:p w:rsidR="003D54A7" w:rsidRDefault="003D54A7" w:rsidP="003D54A7">
            <w:pPr>
              <w:pStyle w:val="-"/>
              <w:shd w:val="clear" w:color="auto" w:fill="auto"/>
              <w:ind w:firstLineChars="0" w:firstLine="0"/>
              <w:jc w:val="left"/>
            </w:pPr>
            <w:r>
              <w:rPr>
                <w:rFonts w:hint="eastAsia"/>
              </w:rPr>
              <w:lastRenderedPageBreak/>
              <w:t>基金的投资组合比例为：本基金股票（含存托凭证）投资占基金资产的比例范围为</w:t>
            </w:r>
            <w:r>
              <w:t>60%-95%</w:t>
            </w:r>
            <w:r>
              <w:t>（其中港股通股票最高投资比例不得超过股票资产的</w:t>
            </w:r>
            <w:r>
              <w:t>50%</w:t>
            </w:r>
            <w:r>
              <w:t>），其中投资于人工智能主题证券资产占非现金基金资产的比例不低于</w:t>
            </w:r>
            <w:r>
              <w:t>80%</w:t>
            </w:r>
            <w:r>
              <w:t>；每个交易日日终在扣除股指期货合约需缴纳的交易保证金后，本基金</w:t>
            </w:r>
            <w:r>
              <w:rPr>
                <w:rFonts w:hint="eastAsia"/>
              </w:rPr>
              <w:t>保留的现金或到期日在一年以内的政府债券的比例合计不低于基金资产净值的</w:t>
            </w:r>
            <w:r>
              <w:t>5%</w:t>
            </w:r>
            <w:r>
              <w:t>。</w:t>
            </w:r>
          </w:p>
        </w:tc>
      </w:tr>
      <w:tr w:rsidR="003D54A7" w:rsidTr="003D54A7">
        <w:tc>
          <w:tcPr>
            <w:tcW w:w="8505" w:type="nil"/>
          </w:tcPr>
          <w:p w:rsidR="003D54A7" w:rsidRDefault="003D54A7" w:rsidP="003D54A7">
            <w:pPr>
              <w:pStyle w:val="-"/>
              <w:shd w:val="clear" w:color="auto" w:fill="auto"/>
              <w:ind w:firstLineChars="0" w:firstLine="0"/>
              <w:jc w:val="left"/>
            </w:pPr>
            <w:r>
              <w:rPr>
                <w:rFonts w:hint="eastAsia"/>
              </w:rPr>
              <w:lastRenderedPageBreak/>
              <w:t>主要投资策略</w:t>
            </w:r>
          </w:p>
        </w:tc>
        <w:tc>
          <w:tcPr>
            <w:tcW w:w="8505" w:type="nil"/>
          </w:tcPr>
          <w:p w:rsidR="003D54A7" w:rsidRDefault="003D54A7" w:rsidP="003D54A7">
            <w:pPr>
              <w:pStyle w:val="-"/>
              <w:shd w:val="clear" w:color="auto" w:fill="auto"/>
              <w:ind w:firstLineChars="0" w:firstLine="0"/>
              <w:jc w:val="left"/>
            </w:pPr>
            <w:r>
              <w:rPr>
                <w:rFonts w:hint="eastAsia"/>
              </w:rPr>
              <w:t>本基金主要采用稳健的资产配置和积极的股票投资策略。在资产配置中，通过定量与定性相结合的方法分析对宏观经济中结构性、政策性、周期性以及突发性事件进行研判，挖掘未来经济的发展趋势及背后的驱动因素，预测可能对资本市场产生的重大影响，确定投资组合的投资范围和比例。在股票投资中，采用“自上而下”的行业配置策略和“自下而上”的个股选择策略，精选出具有持续竞争优势，且估值有吸引力的股票，精心科学构建股票投资组合，并辅以严格的投资组合风险控制，以获取超额收益。</w:t>
            </w:r>
          </w:p>
        </w:tc>
      </w:tr>
      <w:tr w:rsidR="003D54A7" w:rsidTr="003D54A7">
        <w:tc>
          <w:tcPr>
            <w:tcW w:w="8505" w:type="nil"/>
          </w:tcPr>
          <w:p w:rsidR="003D54A7" w:rsidRDefault="003D54A7" w:rsidP="003D54A7">
            <w:pPr>
              <w:pStyle w:val="-"/>
              <w:shd w:val="clear" w:color="auto" w:fill="auto"/>
              <w:ind w:firstLineChars="0" w:firstLine="0"/>
              <w:jc w:val="left"/>
            </w:pPr>
            <w:r>
              <w:rPr>
                <w:rFonts w:hint="eastAsia"/>
              </w:rPr>
              <w:t>业绩比较基准</w:t>
            </w:r>
          </w:p>
        </w:tc>
        <w:tc>
          <w:tcPr>
            <w:tcW w:w="8505" w:type="nil"/>
          </w:tcPr>
          <w:p w:rsidR="003D54A7" w:rsidRDefault="003D54A7" w:rsidP="003D54A7">
            <w:pPr>
              <w:pStyle w:val="-"/>
              <w:shd w:val="clear" w:color="auto" w:fill="auto"/>
              <w:ind w:firstLineChars="0" w:firstLine="0"/>
              <w:jc w:val="left"/>
            </w:pPr>
            <w:r>
              <w:rPr>
                <w:rFonts w:hint="eastAsia"/>
              </w:rPr>
              <w:t>中证人工智能主题指数收益率×</w:t>
            </w:r>
            <w:r>
              <w:t>60%</w:t>
            </w:r>
            <w:r>
              <w:t>＋中证港股通综合指数</w:t>
            </w:r>
            <w:r>
              <w:t>×10%+</w:t>
            </w:r>
            <w:r>
              <w:t>上证国债指数收益率</w:t>
            </w:r>
            <w:r>
              <w:t>×30%</w:t>
            </w:r>
          </w:p>
        </w:tc>
      </w:tr>
      <w:tr w:rsidR="003D54A7" w:rsidTr="003D54A7">
        <w:tc>
          <w:tcPr>
            <w:tcW w:w="8505" w:type="nil"/>
          </w:tcPr>
          <w:p w:rsidR="003D54A7" w:rsidRDefault="003D54A7" w:rsidP="003D54A7">
            <w:pPr>
              <w:pStyle w:val="-"/>
              <w:shd w:val="clear" w:color="auto" w:fill="auto"/>
              <w:ind w:firstLineChars="0" w:firstLine="0"/>
              <w:jc w:val="left"/>
            </w:pPr>
            <w:r>
              <w:rPr>
                <w:rFonts w:hint="eastAsia"/>
              </w:rPr>
              <w:t>风险收益特征</w:t>
            </w:r>
          </w:p>
        </w:tc>
        <w:tc>
          <w:tcPr>
            <w:tcW w:w="8505" w:type="nil"/>
          </w:tcPr>
          <w:p w:rsidR="003D54A7" w:rsidRDefault="003D54A7" w:rsidP="003D54A7">
            <w:pPr>
              <w:pStyle w:val="-"/>
              <w:shd w:val="clear" w:color="auto" w:fill="auto"/>
              <w:ind w:firstLineChars="0" w:firstLine="0"/>
              <w:jc w:val="left"/>
            </w:pPr>
            <w:r>
              <w:rPr>
                <w:rFonts w:hint="eastAsia"/>
              </w:rPr>
              <w:t>本基金为混合型基金，属于证券投资基金中较高预期风险、较高预期收益的品种，一般而言，其预期风险收益水平高于债券基金与货币市场型基金，低于股票型基金。本基金可投资港股通股票，除了需要承担与境内证券投资基金类似的市场波动风险等一般投资风险之外，本基金还面临汇率风险、香港市场风险等境外证券市场投资所面临的特别投资风险。</w:t>
            </w:r>
          </w:p>
        </w:tc>
      </w:tr>
    </w:tbl>
    <w:p w:rsidR="003D54A7" w:rsidRDefault="003D54A7" w:rsidP="003D54A7">
      <w:pPr>
        <w:pStyle w:val="-2"/>
        <w:spacing w:before="156" w:after="156"/>
      </w:pPr>
      <w:r>
        <w:rPr>
          <w:rFonts w:hint="eastAsia"/>
        </w:rPr>
        <w:t>（二）</w:t>
      </w:r>
      <w:r>
        <w:t xml:space="preserve"> </w:t>
      </w:r>
      <w:r>
        <w:t>投资组合资产配置图表</w:t>
      </w:r>
      <w:r>
        <w:t>/</w:t>
      </w:r>
      <w:r>
        <w:t>区域配置图表</w:t>
      </w:r>
    </w:p>
    <w:p w:rsidR="003D54A7" w:rsidRDefault="003D54A7" w:rsidP="003D54A7">
      <w:r>
        <w:rPr>
          <w:noProof/>
        </w:rPr>
        <w:drawing>
          <wp:inline distT="0" distB="0" distL="0" distR="0">
            <wp:extent cx="5274310" cy="2588260"/>
            <wp:effectExtent l="0" t="0" r="2540" b="254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588260"/>
                    </a:xfrm>
                    <a:prstGeom prst="rect">
                      <a:avLst/>
                    </a:prstGeom>
                  </pic:spPr>
                </pic:pic>
              </a:graphicData>
            </a:graphic>
          </wp:inline>
        </w:drawing>
      </w:r>
    </w:p>
    <w:p w:rsidR="003D54A7" w:rsidRDefault="003D54A7" w:rsidP="003D54A7">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3D54A7" w:rsidRDefault="003D54A7" w:rsidP="003D54A7">
      <w:r>
        <w:rPr>
          <w:noProof/>
        </w:rPr>
        <w:lastRenderedPageBreak/>
        <w:drawing>
          <wp:inline distT="0" distB="0" distL="0" distR="0">
            <wp:extent cx="5274310" cy="335851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358515"/>
                    </a:xfrm>
                    <a:prstGeom prst="rect">
                      <a:avLst/>
                    </a:prstGeom>
                  </pic:spPr>
                </pic:pic>
              </a:graphicData>
            </a:graphic>
          </wp:inline>
        </w:drawing>
      </w:r>
    </w:p>
    <w:p w:rsidR="003D54A7" w:rsidRDefault="003D54A7" w:rsidP="003D54A7">
      <w:pPr>
        <w:pStyle w:val="-1"/>
        <w:spacing w:before="156" w:after="156"/>
        <w:rPr>
          <w:rFonts w:hint="eastAsia"/>
        </w:rPr>
      </w:pPr>
      <w:r>
        <w:rPr>
          <w:rFonts w:hint="eastAsia"/>
        </w:rPr>
        <w:t>三、投资本基金涉及的费用</w:t>
      </w:r>
    </w:p>
    <w:p w:rsidR="003D54A7" w:rsidRDefault="003D54A7" w:rsidP="003D54A7">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3D54A7" w:rsidTr="003D54A7">
        <w:tc>
          <w:tcPr>
            <w:tcW w:w="2076" w:type="dxa"/>
          </w:tcPr>
          <w:p w:rsidR="003D54A7" w:rsidRDefault="003D54A7" w:rsidP="003D54A7">
            <w:pPr>
              <w:jc w:val="center"/>
            </w:pPr>
            <w:r>
              <w:rPr>
                <w:rFonts w:hint="eastAsia"/>
              </w:rPr>
              <w:t>费用类型</w:t>
            </w:r>
          </w:p>
        </w:tc>
        <w:tc>
          <w:tcPr>
            <w:tcW w:w="2076" w:type="dxa"/>
          </w:tcPr>
          <w:p w:rsidR="003D54A7" w:rsidRDefault="003D54A7" w:rsidP="003D54A7">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3D54A7" w:rsidRDefault="003D54A7" w:rsidP="003D54A7">
            <w:pPr>
              <w:jc w:val="center"/>
            </w:pPr>
            <w:r>
              <w:rPr>
                <w:rFonts w:hint="eastAsia"/>
              </w:rPr>
              <w:t>收费方式</w:t>
            </w:r>
            <w:r>
              <w:rPr>
                <w:rFonts w:hint="eastAsia"/>
              </w:rPr>
              <w:t>/</w:t>
            </w:r>
            <w:r>
              <w:rPr>
                <w:rFonts w:hint="eastAsia"/>
              </w:rPr>
              <w:t>费率</w:t>
            </w:r>
          </w:p>
        </w:tc>
        <w:tc>
          <w:tcPr>
            <w:tcW w:w="2077" w:type="dxa"/>
          </w:tcPr>
          <w:p w:rsidR="003D54A7" w:rsidRDefault="003D54A7" w:rsidP="003D54A7">
            <w:pPr>
              <w:jc w:val="center"/>
            </w:pPr>
            <w:r>
              <w:rPr>
                <w:rFonts w:hint="eastAsia"/>
              </w:rPr>
              <w:t>备注</w:t>
            </w:r>
          </w:p>
        </w:tc>
      </w:tr>
      <w:tr w:rsidR="003D54A7" w:rsidTr="003D54A7">
        <w:tc>
          <w:tcPr>
            <w:tcW w:w="2076" w:type="dxa"/>
            <w:vMerge w:val="restart"/>
          </w:tcPr>
          <w:p w:rsidR="003D54A7" w:rsidRDefault="003D54A7" w:rsidP="003D54A7">
            <w:pPr>
              <w:jc w:val="center"/>
            </w:pPr>
            <w:r>
              <w:rPr>
                <w:rFonts w:hint="eastAsia"/>
              </w:rPr>
              <w:t>认购费</w:t>
            </w:r>
          </w:p>
        </w:tc>
        <w:tc>
          <w:tcPr>
            <w:tcW w:w="2076" w:type="dxa"/>
          </w:tcPr>
          <w:p w:rsidR="003D54A7" w:rsidRDefault="003D54A7" w:rsidP="003D54A7">
            <w:pPr>
              <w:jc w:val="left"/>
            </w:pPr>
            <w:r>
              <w:rPr>
                <w:rFonts w:hint="eastAsia"/>
              </w:rPr>
              <w:t>M&lt; 100</w:t>
            </w:r>
            <w:r>
              <w:rPr>
                <w:rFonts w:hint="eastAsia"/>
              </w:rPr>
              <w:t>万元</w:t>
            </w:r>
          </w:p>
        </w:tc>
        <w:tc>
          <w:tcPr>
            <w:tcW w:w="2077" w:type="dxa"/>
          </w:tcPr>
          <w:p w:rsidR="003D54A7" w:rsidRDefault="003D54A7" w:rsidP="003D54A7">
            <w:pPr>
              <w:jc w:val="right"/>
            </w:pPr>
            <w:r>
              <w:t>1.2%</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100</w:t>
            </w:r>
            <w:r>
              <w:rPr>
                <w:rFonts w:hint="eastAsia"/>
              </w:rPr>
              <w:t>万元≤</w:t>
            </w:r>
            <w:r>
              <w:rPr>
                <w:rFonts w:hint="eastAsia"/>
              </w:rPr>
              <w:t>M&lt; 200</w:t>
            </w:r>
            <w:r>
              <w:rPr>
                <w:rFonts w:hint="eastAsia"/>
              </w:rPr>
              <w:t>万元</w:t>
            </w:r>
          </w:p>
        </w:tc>
        <w:tc>
          <w:tcPr>
            <w:tcW w:w="2077" w:type="dxa"/>
          </w:tcPr>
          <w:p w:rsidR="003D54A7" w:rsidRDefault="003D54A7" w:rsidP="003D54A7">
            <w:pPr>
              <w:jc w:val="right"/>
            </w:pPr>
            <w:r>
              <w:t>0.8%</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200</w:t>
            </w:r>
            <w:r>
              <w:rPr>
                <w:rFonts w:hint="eastAsia"/>
              </w:rPr>
              <w:t>万元≤</w:t>
            </w:r>
            <w:r>
              <w:rPr>
                <w:rFonts w:hint="eastAsia"/>
              </w:rPr>
              <w:t>M&lt; 500</w:t>
            </w:r>
            <w:r>
              <w:rPr>
                <w:rFonts w:hint="eastAsia"/>
              </w:rPr>
              <w:t>万元</w:t>
            </w:r>
          </w:p>
        </w:tc>
        <w:tc>
          <w:tcPr>
            <w:tcW w:w="2077" w:type="dxa"/>
          </w:tcPr>
          <w:p w:rsidR="003D54A7" w:rsidRDefault="003D54A7" w:rsidP="003D54A7">
            <w:pPr>
              <w:jc w:val="right"/>
            </w:pPr>
            <w:r>
              <w:t>0.3%</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500</w:t>
            </w:r>
            <w:r>
              <w:rPr>
                <w:rFonts w:hint="eastAsia"/>
              </w:rPr>
              <w:t>万元≤</w:t>
            </w:r>
            <w:r>
              <w:rPr>
                <w:rFonts w:hint="eastAsia"/>
              </w:rPr>
              <w:t xml:space="preserve">M </w:t>
            </w:r>
          </w:p>
        </w:tc>
        <w:tc>
          <w:tcPr>
            <w:tcW w:w="2077" w:type="dxa"/>
          </w:tcPr>
          <w:p w:rsidR="003D54A7" w:rsidRDefault="003D54A7" w:rsidP="003D54A7">
            <w:pPr>
              <w:jc w:val="left"/>
            </w:pPr>
            <w:r>
              <w:rPr>
                <w:rFonts w:hint="eastAsia"/>
              </w:rPr>
              <w:t>每笔</w:t>
            </w:r>
            <w:r>
              <w:rPr>
                <w:rFonts w:hint="eastAsia"/>
              </w:rPr>
              <w:t>1000</w:t>
            </w:r>
            <w:r>
              <w:rPr>
                <w:rFonts w:hint="eastAsia"/>
              </w:rPr>
              <w:t>元</w:t>
            </w:r>
          </w:p>
        </w:tc>
        <w:tc>
          <w:tcPr>
            <w:tcW w:w="2077" w:type="dxa"/>
          </w:tcPr>
          <w:p w:rsidR="003D54A7" w:rsidRDefault="003D54A7" w:rsidP="003D54A7">
            <w:pPr>
              <w:jc w:val="right"/>
            </w:pPr>
            <w:r>
              <w:t>-</w:t>
            </w:r>
          </w:p>
        </w:tc>
      </w:tr>
      <w:tr w:rsidR="003D54A7" w:rsidTr="003D54A7">
        <w:tc>
          <w:tcPr>
            <w:tcW w:w="2076" w:type="dxa"/>
            <w:vMerge w:val="restart"/>
          </w:tcPr>
          <w:p w:rsidR="003D54A7" w:rsidRDefault="003D54A7" w:rsidP="003D54A7">
            <w:pPr>
              <w:jc w:val="center"/>
            </w:pPr>
            <w:r>
              <w:rPr>
                <w:rFonts w:hint="eastAsia"/>
              </w:rPr>
              <w:t>申购费（前收费）</w:t>
            </w:r>
          </w:p>
        </w:tc>
        <w:tc>
          <w:tcPr>
            <w:tcW w:w="2076" w:type="dxa"/>
          </w:tcPr>
          <w:p w:rsidR="003D54A7" w:rsidRDefault="003D54A7" w:rsidP="003D54A7">
            <w:pPr>
              <w:jc w:val="left"/>
            </w:pPr>
            <w:r>
              <w:rPr>
                <w:rFonts w:hint="eastAsia"/>
              </w:rPr>
              <w:t>M&lt; 100</w:t>
            </w:r>
            <w:r>
              <w:rPr>
                <w:rFonts w:hint="eastAsia"/>
              </w:rPr>
              <w:t>万元</w:t>
            </w:r>
          </w:p>
        </w:tc>
        <w:tc>
          <w:tcPr>
            <w:tcW w:w="2077" w:type="dxa"/>
          </w:tcPr>
          <w:p w:rsidR="003D54A7" w:rsidRDefault="003D54A7" w:rsidP="003D54A7">
            <w:pPr>
              <w:jc w:val="right"/>
            </w:pPr>
            <w:r>
              <w:t>1.5%</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100</w:t>
            </w:r>
            <w:r>
              <w:rPr>
                <w:rFonts w:hint="eastAsia"/>
              </w:rPr>
              <w:t>万元≤</w:t>
            </w:r>
            <w:r>
              <w:rPr>
                <w:rFonts w:hint="eastAsia"/>
              </w:rPr>
              <w:t>M&lt; 200</w:t>
            </w:r>
            <w:r>
              <w:rPr>
                <w:rFonts w:hint="eastAsia"/>
              </w:rPr>
              <w:t>万元</w:t>
            </w:r>
          </w:p>
        </w:tc>
        <w:tc>
          <w:tcPr>
            <w:tcW w:w="2077" w:type="dxa"/>
          </w:tcPr>
          <w:p w:rsidR="003D54A7" w:rsidRDefault="003D54A7" w:rsidP="003D54A7">
            <w:pPr>
              <w:jc w:val="right"/>
            </w:pPr>
            <w:r>
              <w:t>1%</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200</w:t>
            </w:r>
            <w:r>
              <w:rPr>
                <w:rFonts w:hint="eastAsia"/>
              </w:rPr>
              <w:t>万元≤</w:t>
            </w:r>
            <w:r>
              <w:rPr>
                <w:rFonts w:hint="eastAsia"/>
              </w:rPr>
              <w:t>M&lt; 500</w:t>
            </w:r>
            <w:r>
              <w:rPr>
                <w:rFonts w:hint="eastAsia"/>
              </w:rPr>
              <w:t>万元</w:t>
            </w:r>
          </w:p>
        </w:tc>
        <w:tc>
          <w:tcPr>
            <w:tcW w:w="2077" w:type="dxa"/>
          </w:tcPr>
          <w:p w:rsidR="003D54A7" w:rsidRDefault="003D54A7" w:rsidP="003D54A7">
            <w:pPr>
              <w:jc w:val="right"/>
            </w:pPr>
            <w:r>
              <w:t>0.5%</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500</w:t>
            </w:r>
            <w:r>
              <w:rPr>
                <w:rFonts w:hint="eastAsia"/>
              </w:rPr>
              <w:t>万元≤</w:t>
            </w:r>
            <w:r>
              <w:rPr>
                <w:rFonts w:hint="eastAsia"/>
              </w:rPr>
              <w:t xml:space="preserve">M </w:t>
            </w:r>
          </w:p>
        </w:tc>
        <w:tc>
          <w:tcPr>
            <w:tcW w:w="2077" w:type="dxa"/>
          </w:tcPr>
          <w:p w:rsidR="003D54A7" w:rsidRDefault="003D54A7" w:rsidP="003D54A7">
            <w:pPr>
              <w:jc w:val="left"/>
            </w:pPr>
            <w:r>
              <w:rPr>
                <w:rFonts w:hint="eastAsia"/>
              </w:rPr>
              <w:t>每笔</w:t>
            </w:r>
            <w:r>
              <w:rPr>
                <w:rFonts w:hint="eastAsia"/>
              </w:rPr>
              <w:t>1000</w:t>
            </w:r>
            <w:r>
              <w:rPr>
                <w:rFonts w:hint="eastAsia"/>
              </w:rPr>
              <w:t>元</w:t>
            </w:r>
          </w:p>
        </w:tc>
        <w:tc>
          <w:tcPr>
            <w:tcW w:w="2077" w:type="dxa"/>
          </w:tcPr>
          <w:p w:rsidR="003D54A7" w:rsidRDefault="003D54A7" w:rsidP="003D54A7">
            <w:pPr>
              <w:jc w:val="right"/>
            </w:pPr>
            <w:r>
              <w:t>-</w:t>
            </w:r>
          </w:p>
        </w:tc>
      </w:tr>
      <w:tr w:rsidR="003D54A7" w:rsidTr="003D54A7">
        <w:tc>
          <w:tcPr>
            <w:tcW w:w="2076" w:type="dxa"/>
            <w:vMerge w:val="restart"/>
          </w:tcPr>
          <w:p w:rsidR="003D54A7" w:rsidRDefault="003D54A7" w:rsidP="003D54A7">
            <w:pPr>
              <w:jc w:val="center"/>
            </w:pPr>
            <w:r>
              <w:rPr>
                <w:rFonts w:hint="eastAsia"/>
              </w:rPr>
              <w:t>赎回费</w:t>
            </w:r>
          </w:p>
        </w:tc>
        <w:tc>
          <w:tcPr>
            <w:tcW w:w="2076" w:type="dxa"/>
          </w:tcPr>
          <w:p w:rsidR="003D54A7" w:rsidRDefault="003D54A7" w:rsidP="003D54A7">
            <w:pPr>
              <w:jc w:val="left"/>
            </w:pPr>
            <w:r>
              <w:rPr>
                <w:rFonts w:hint="eastAsia"/>
              </w:rPr>
              <w:t>N&lt; 7</w:t>
            </w:r>
            <w:r>
              <w:rPr>
                <w:rFonts w:hint="eastAsia"/>
              </w:rPr>
              <w:t>天</w:t>
            </w:r>
          </w:p>
        </w:tc>
        <w:tc>
          <w:tcPr>
            <w:tcW w:w="2077" w:type="dxa"/>
          </w:tcPr>
          <w:p w:rsidR="003D54A7" w:rsidRDefault="003D54A7" w:rsidP="003D54A7">
            <w:pPr>
              <w:jc w:val="right"/>
            </w:pPr>
            <w:r>
              <w:t>1.5%</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7</w:t>
            </w:r>
            <w:r>
              <w:rPr>
                <w:rFonts w:hint="eastAsia"/>
              </w:rPr>
              <w:t>天≤</w:t>
            </w:r>
            <w:r>
              <w:rPr>
                <w:rFonts w:hint="eastAsia"/>
              </w:rPr>
              <w:t xml:space="preserve"> N&lt; 30</w:t>
            </w:r>
            <w:r>
              <w:rPr>
                <w:rFonts w:hint="eastAsia"/>
              </w:rPr>
              <w:t>天</w:t>
            </w:r>
          </w:p>
        </w:tc>
        <w:tc>
          <w:tcPr>
            <w:tcW w:w="2077" w:type="dxa"/>
          </w:tcPr>
          <w:p w:rsidR="003D54A7" w:rsidRDefault="003D54A7" w:rsidP="003D54A7">
            <w:pPr>
              <w:jc w:val="right"/>
            </w:pPr>
            <w:r>
              <w:t>0.75%</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30</w:t>
            </w:r>
            <w:r>
              <w:rPr>
                <w:rFonts w:hint="eastAsia"/>
              </w:rPr>
              <w:t>天≤</w:t>
            </w:r>
            <w:r>
              <w:rPr>
                <w:rFonts w:hint="eastAsia"/>
              </w:rPr>
              <w:t xml:space="preserve"> N&lt; 180</w:t>
            </w:r>
            <w:r>
              <w:rPr>
                <w:rFonts w:hint="eastAsia"/>
              </w:rPr>
              <w:t>天</w:t>
            </w:r>
          </w:p>
        </w:tc>
        <w:tc>
          <w:tcPr>
            <w:tcW w:w="2077" w:type="dxa"/>
          </w:tcPr>
          <w:p w:rsidR="003D54A7" w:rsidRDefault="003D54A7" w:rsidP="003D54A7">
            <w:pPr>
              <w:jc w:val="right"/>
            </w:pPr>
            <w:r>
              <w:t>0.5%</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180</w:t>
            </w:r>
            <w:r>
              <w:rPr>
                <w:rFonts w:hint="eastAsia"/>
              </w:rPr>
              <w:t>天≤</w:t>
            </w:r>
            <w:r>
              <w:rPr>
                <w:rFonts w:hint="eastAsia"/>
              </w:rPr>
              <w:t xml:space="preserve"> N&lt; 365</w:t>
            </w:r>
            <w:r>
              <w:rPr>
                <w:rFonts w:hint="eastAsia"/>
              </w:rPr>
              <w:t>天</w:t>
            </w:r>
          </w:p>
        </w:tc>
        <w:tc>
          <w:tcPr>
            <w:tcW w:w="2077" w:type="dxa"/>
          </w:tcPr>
          <w:p w:rsidR="003D54A7" w:rsidRDefault="003D54A7" w:rsidP="003D54A7">
            <w:pPr>
              <w:jc w:val="right"/>
            </w:pPr>
            <w:r>
              <w:t>0.3%</w:t>
            </w:r>
          </w:p>
        </w:tc>
        <w:tc>
          <w:tcPr>
            <w:tcW w:w="2077" w:type="dxa"/>
          </w:tcPr>
          <w:p w:rsidR="003D54A7" w:rsidRDefault="003D54A7" w:rsidP="003D54A7">
            <w:pPr>
              <w:jc w:val="right"/>
            </w:pPr>
            <w:r>
              <w:t>-</w:t>
            </w:r>
          </w:p>
        </w:tc>
      </w:tr>
      <w:tr w:rsidR="003D54A7" w:rsidTr="003D54A7">
        <w:tc>
          <w:tcPr>
            <w:tcW w:w="2076" w:type="dxa"/>
            <w:vMerge/>
          </w:tcPr>
          <w:p w:rsidR="003D54A7" w:rsidRDefault="003D54A7" w:rsidP="003D54A7">
            <w:pPr>
              <w:jc w:val="left"/>
            </w:pPr>
          </w:p>
        </w:tc>
        <w:tc>
          <w:tcPr>
            <w:tcW w:w="2076" w:type="dxa"/>
          </w:tcPr>
          <w:p w:rsidR="003D54A7" w:rsidRDefault="003D54A7" w:rsidP="003D54A7">
            <w:pPr>
              <w:jc w:val="left"/>
            </w:pPr>
            <w:r>
              <w:rPr>
                <w:rFonts w:hint="eastAsia"/>
              </w:rPr>
              <w:t>1</w:t>
            </w:r>
            <w:r>
              <w:rPr>
                <w:rFonts w:hint="eastAsia"/>
              </w:rPr>
              <w:t>年≤</w:t>
            </w:r>
            <w:r>
              <w:rPr>
                <w:rFonts w:hint="eastAsia"/>
              </w:rPr>
              <w:t xml:space="preserve"> N </w:t>
            </w:r>
          </w:p>
        </w:tc>
        <w:tc>
          <w:tcPr>
            <w:tcW w:w="2077" w:type="dxa"/>
          </w:tcPr>
          <w:p w:rsidR="003D54A7" w:rsidRDefault="003D54A7" w:rsidP="003D54A7">
            <w:pPr>
              <w:jc w:val="right"/>
            </w:pPr>
            <w:r>
              <w:t>0%</w:t>
            </w:r>
          </w:p>
        </w:tc>
        <w:tc>
          <w:tcPr>
            <w:tcW w:w="2077" w:type="dxa"/>
          </w:tcPr>
          <w:p w:rsidR="003D54A7" w:rsidRDefault="003D54A7" w:rsidP="003D54A7">
            <w:pPr>
              <w:jc w:val="right"/>
            </w:pPr>
            <w:r>
              <w:t>-</w:t>
            </w:r>
          </w:p>
        </w:tc>
      </w:tr>
    </w:tbl>
    <w:p w:rsidR="003D54A7" w:rsidRDefault="003D54A7" w:rsidP="003D54A7">
      <w:pPr>
        <w:pStyle w:val="-7"/>
        <w:ind w:firstLine="420"/>
        <w:rPr>
          <w:rFonts w:hint="eastAsia"/>
        </w:rPr>
      </w:pPr>
      <w:r>
        <w:rPr>
          <w:rFonts w:hint="eastAsia"/>
        </w:rPr>
        <w:t>注：投资人重复申购，须按每次申购所对应的费率档次分别计费。</w:t>
      </w:r>
    </w:p>
    <w:p w:rsidR="003D54A7" w:rsidRDefault="003D54A7" w:rsidP="003D54A7">
      <w:pPr>
        <w:pStyle w:val="-"/>
        <w:ind w:firstLine="420"/>
        <w:rPr>
          <w:rFonts w:hint="eastAsia"/>
        </w:rPr>
      </w:pPr>
      <w:r>
        <w:rPr>
          <w:rFonts w:hint="eastAsia"/>
        </w:rPr>
        <w:t>申购费用由投资人承担，不列入基金财产，主要用于本基金的市场推广、销售、登记等各项费用。</w:t>
      </w:r>
    </w:p>
    <w:p w:rsidR="003D54A7" w:rsidRDefault="003D54A7" w:rsidP="003D54A7">
      <w:pPr>
        <w:pStyle w:val="-"/>
        <w:ind w:firstLine="420"/>
        <w:rPr>
          <w:rFonts w:hint="eastAsia"/>
        </w:rPr>
      </w:pPr>
      <w:r>
        <w:rPr>
          <w:rFonts w:hint="eastAsia"/>
        </w:rPr>
        <w:lastRenderedPageBreak/>
        <w:t>赎回费用由赎回基金份额的基金份额持有人承担，在基金份额持有人赎回基金份额时收取。</w:t>
      </w:r>
    </w:p>
    <w:p w:rsidR="003D54A7" w:rsidRDefault="003D54A7" w:rsidP="003D54A7">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3D54A7" w:rsidTr="003D54A7">
        <w:tc>
          <w:tcPr>
            <w:tcW w:w="2768" w:type="dxa"/>
          </w:tcPr>
          <w:p w:rsidR="003D54A7" w:rsidRDefault="003D54A7" w:rsidP="003D54A7">
            <w:pPr>
              <w:jc w:val="left"/>
            </w:pPr>
            <w:r>
              <w:rPr>
                <w:rFonts w:hint="eastAsia"/>
              </w:rPr>
              <w:t>费用类别</w:t>
            </w:r>
          </w:p>
        </w:tc>
        <w:tc>
          <w:tcPr>
            <w:tcW w:w="2769" w:type="dxa"/>
          </w:tcPr>
          <w:p w:rsidR="003D54A7" w:rsidRDefault="003D54A7" w:rsidP="003D54A7">
            <w:pPr>
              <w:jc w:val="left"/>
            </w:pPr>
            <w:r>
              <w:rPr>
                <w:rFonts w:hint="eastAsia"/>
              </w:rPr>
              <w:t>收费方式</w:t>
            </w:r>
          </w:p>
        </w:tc>
        <w:tc>
          <w:tcPr>
            <w:tcW w:w="2769" w:type="dxa"/>
          </w:tcPr>
          <w:p w:rsidR="003D54A7" w:rsidRDefault="003D54A7" w:rsidP="003D54A7">
            <w:pPr>
              <w:jc w:val="left"/>
            </w:pPr>
            <w:r>
              <w:rPr>
                <w:rFonts w:hint="eastAsia"/>
              </w:rPr>
              <w:t>年费率</w:t>
            </w:r>
          </w:p>
        </w:tc>
      </w:tr>
      <w:tr w:rsidR="003D54A7" w:rsidTr="003D54A7">
        <w:tc>
          <w:tcPr>
            <w:tcW w:w="2768" w:type="dxa"/>
          </w:tcPr>
          <w:p w:rsidR="003D54A7" w:rsidRDefault="003D54A7" w:rsidP="003D54A7">
            <w:pPr>
              <w:jc w:val="left"/>
            </w:pPr>
            <w:r>
              <w:rPr>
                <w:rFonts w:hint="eastAsia"/>
              </w:rPr>
              <w:t>管理费</w:t>
            </w:r>
          </w:p>
        </w:tc>
        <w:tc>
          <w:tcPr>
            <w:tcW w:w="2769" w:type="dxa"/>
          </w:tcPr>
          <w:p w:rsidR="003D54A7" w:rsidRDefault="003D54A7" w:rsidP="003D54A7">
            <w:pPr>
              <w:jc w:val="right"/>
            </w:pPr>
            <w:r>
              <w:t>-</w:t>
            </w:r>
          </w:p>
        </w:tc>
        <w:tc>
          <w:tcPr>
            <w:tcW w:w="2769" w:type="dxa"/>
          </w:tcPr>
          <w:p w:rsidR="003D54A7" w:rsidRDefault="003D54A7" w:rsidP="003D54A7">
            <w:pPr>
              <w:jc w:val="right"/>
            </w:pPr>
            <w:r>
              <w:t>1.50%</w:t>
            </w:r>
          </w:p>
        </w:tc>
      </w:tr>
      <w:tr w:rsidR="003D54A7" w:rsidTr="003D54A7">
        <w:tc>
          <w:tcPr>
            <w:tcW w:w="2768" w:type="dxa"/>
          </w:tcPr>
          <w:p w:rsidR="003D54A7" w:rsidRDefault="003D54A7" w:rsidP="003D54A7">
            <w:pPr>
              <w:jc w:val="left"/>
            </w:pPr>
            <w:r>
              <w:rPr>
                <w:rFonts w:hint="eastAsia"/>
              </w:rPr>
              <w:t>托管费</w:t>
            </w:r>
          </w:p>
        </w:tc>
        <w:tc>
          <w:tcPr>
            <w:tcW w:w="2769" w:type="dxa"/>
          </w:tcPr>
          <w:p w:rsidR="003D54A7" w:rsidRDefault="003D54A7" w:rsidP="003D54A7">
            <w:pPr>
              <w:jc w:val="right"/>
            </w:pPr>
            <w:r>
              <w:t>-</w:t>
            </w:r>
          </w:p>
        </w:tc>
        <w:tc>
          <w:tcPr>
            <w:tcW w:w="2769" w:type="dxa"/>
          </w:tcPr>
          <w:p w:rsidR="003D54A7" w:rsidRDefault="003D54A7" w:rsidP="003D54A7">
            <w:pPr>
              <w:jc w:val="right"/>
            </w:pPr>
            <w:r>
              <w:t>0.25%</w:t>
            </w:r>
          </w:p>
        </w:tc>
      </w:tr>
      <w:tr w:rsidR="003D54A7" w:rsidTr="003D54A7">
        <w:tc>
          <w:tcPr>
            <w:tcW w:w="2768" w:type="dxa"/>
          </w:tcPr>
          <w:p w:rsidR="003D54A7" w:rsidRDefault="003D54A7" w:rsidP="003D54A7">
            <w:pPr>
              <w:jc w:val="left"/>
            </w:pPr>
            <w:r>
              <w:rPr>
                <w:rFonts w:hint="eastAsia"/>
              </w:rPr>
              <w:t>销售服务费</w:t>
            </w:r>
          </w:p>
        </w:tc>
        <w:tc>
          <w:tcPr>
            <w:tcW w:w="2769" w:type="dxa"/>
          </w:tcPr>
          <w:p w:rsidR="003D54A7" w:rsidRDefault="003D54A7" w:rsidP="003D54A7">
            <w:pPr>
              <w:jc w:val="right"/>
            </w:pPr>
            <w:r>
              <w:t>-</w:t>
            </w:r>
          </w:p>
        </w:tc>
        <w:tc>
          <w:tcPr>
            <w:tcW w:w="2769" w:type="dxa"/>
          </w:tcPr>
          <w:p w:rsidR="003D54A7" w:rsidRDefault="003D54A7" w:rsidP="003D54A7">
            <w:pPr>
              <w:jc w:val="right"/>
            </w:pPr>
            <w:r>
              <w:t>-</w:t>
            </w:r>
          </w:p>
        </w:tc>
      </w:tr>
      <w:tr w:rsidR="003D54A7" w:rsidTr="001D51B3">
        <w:tc>
          <w:tcPr>
            <w:tcW w:w="2768" w:type="dxa"/>
          </w:tcPr>
          <w:p w:rsidR="003D54A7" w:rsidRDefault="003D54A7" w:rsidP="003D54A7">
            <w:pPr>
              <w:jc w:val="left"/>
            </w:pPr>
            <w:r>
              <w:rPr>
                <w:rFonts w:hint="eastAsia"/>
              </w:rPr>
              <w:t>其他费用</w:t>
            </w:r>
          </w:p>
        </w:tc>
        <w:tc>
          <w:tcPr>
            <w:tcW w:w="5538" w:type="dxa"/>
            <w:gridSpan w:val="2"/>
          </w:tcPr>
          <w:p w:rsidR="003D54A7" w:rsidRDefault="003D54A7" w:rsidP="003D54A7">
            <w:pPr>
              <w:jc w:val="left"/>
            </w:pPr>
            <w:r>
              <w:rPr>
                <w:rFonts w:hint="eastAsia"/>
              </w:rPr>
              <w:t>《基金合同》生效后与基金相关的信息披露费用；《基金合同》生效后与基金相关的会计师费、律师费、审计费、诉讼费和仲裁费；基金份额持有人大会费用；基金的证券</w:t>
            </w:r>
            <w:r>
              <w:rPr>
                <w:rFonts w:hint="eastAsia"/>
              </w:rPr>
              <w:t>/</w:t>
            </w:r>
            <w:r>
              <w:rPr>
                <w:rFonts w:hint="eastAsia"/>
              </w:rPr>
              <w:t>期货交易费用；基金的银行汇划费用；基金相关账户的开户及维护费用；因投资港股通股票而产生的各项合理费用；按照国家有关规定和《基金合同》约定，可以在基金财产中列支的其他费用。</w:t>
            </w:r>
          </w:p>
        </w:tc>
      </w:tr>
    </w:tbl>
    <w:p w:rsidR="003D54A7" w:rsidRDefault="003D54A7" w:rsidP="003D54A7">
      <w:pPr>
        <w:pStyle w:val="-7"/>
        <w:ind w:firstLine="420"/>
        <w:rPr>
          <w:rFonts w:hint="eastAsia"/>
        </w:rPr>
      </w:pPr>
      <w:r>
        <w:rPr>
          <w:rFonts w:hint="eastAsia"/>
        </w:rPr>
        <w:t>注：本基金交易证券、基金等产生的费用和税负，按实际发生额从基金资产扣除。</w:t>
      </w:r>
    </w:p>
    <w:p w:rsidR="003D54A7" w:rsidRDefault="003D54A7" w:rsidP="003D54A7">
      <w:pPr>
        <w:pStyle w:val="-"/>
        <w:ind w:firstLine="420"/>
        <w:rPr>
          <w:rFonts w:hint="eastAsia"/>
        </w:rPr>
      </w:pPr>
      <w:r>
        <w:rPr>
          <w:rFonts w:hint="eastAsia"/>
        </w:rPr>
        <w:t>本基金终止清算时所发生费用，按实际支出额从基金财产总值中扣除。</w:t>
      </w:r>
    </w:p>
    <w:p w:rsidR="003D54A7" w:rsidRDefault="003D54A7" w:rsidP="003D54A7">
      <w:pPr>
        <w:pStyle w:val="-1"/>
        <w:spacing w:before="156" w:after="156"/>
        <w:rPr>
          <w:rFonts w:hint="eastAsia"/>
        </w:rPr>
      </w:pPr>
      <w:r>
        <w:rPr>
          <w:rFonts w:hint="eastAsia"/>
        </w:rPr>
        <w:t>四、风险揭示与重要提示</w:t>
      </w:r>
    </w:p>
    <w:p w:rsidR="003D54A7" w:rsidRDefault="003D54A7" w:rsidP="003D54A7">
      <w:pPr>
        <w:pStyle w:val="-2"/>
        <w:spacing w:before="156" w:after="156"/>
        <w:rPr>
          <w:rFonts w:hint="eastAsia"/>
        </w:rPr>
      </w:pPr>
      <w:r>
        <w:rPr>
          <w:rFonts w:hint="eastAsia"/>
        </w:rPr>
        <w:t>（一）</w:t>
      </w:r>
      <w:r>
        <w:rPr>
          <w:rFonts w:hint="eastAsia"/>
        </w:rPr>
        <w:t xml:space="preserve"> </w:t>
      </w:r>
      <w:r>
        <w:rPr>
          <w:rFonts w:hint="eastAsia"/>
        </w:rPr>
        <w:t>风险揭示</w:t>
      </w:r>
    </w:p>
    <w:p w:rsidR="003D54A7" w:rsidRDefault="003D54A7" w:rsidP="003D54A7">
      <w:pPr>
        <w:pStyle w:val="-"/>
        <w:ind w:firstLine="420"/>
        <w:rPr>
          <w:rFonts w:hint="eastAsia"/>
        </w:rPr>
      </w:pPr>
      <w:r>
        <w:rPr>
          <w:rFonts w:hint="eastAsia"/>
        </w:rPr>
        <w:t>本基金不提供任何保证。投资者可能损失投资本金。</w:t>
      </w:r>
    </w:p>
    <w:p w:rsidR="003D54A7" w:rsidRDefault="003D54A7" w:rsidP="003D54A7">
      <w:pPr>
        <w:pStyle w:val="-"/>
        <w:ind w:firstLine="420"/>
        <w:rPr>
          <w:rFonts w:hint="eastAsia"/>
        </w:rPr>
      </w:pPr>
      <w:r>
        <w:rPr>
          <w:rFonts w:hint="eastAsia"/>
        </w:rPr>
        <w:t>投资有风险，投资者购买基金时应认真阅读本基金的《招募说明书》等销售文件。</w:t>
      </w:r>
    </w:p>
    <w:p w:rsidR="003D54A7" w:rsidRDefault="003D54A7" w:rsidP="003D54A7">
      <w:pPr>
        <w:pStyle w:val="-"/>
        <w:ind w:firstLine="420"/>
        <w:rPr>
          <w:rFonts w:hint="eastAsia"/>
        </w:rPr>
      </w:pPr>
      <w:r>
        <w:rPr>
          <w:rFonts w:hint="eastAsia"/>
        </w:rPr>
        <w:t>1</w:t>
      </w:r>
      <w:r>
        <w:rPr>
          <w:rFonts w:hint="eastAsia"/>
        </w:rPr>
        <w:t>、本基金的特有风险</w:t>
      </w:r>
    </w:p>
    <w:p w:rsidR="003D54A7" w:rsidRDefault="003D54A7" w:rsidP="003D54A7">
      <w:pPr>
        <w:pStyle w:val="-"/>
        <w:ind w:firstLine="420"/>
        <w:rPr>
          <w:rFonts w:hint="eastAsia"/>
        </w:rPr>
      </w:pPr>
      <w:r>
        <w:rPr>
          <w:rFonts w:hint="eastAsia"/>
        </w:rPr>
        <w:t>（</w:t>
      </w:r>
      <w:r>
        <w:rPr>
          <w:rFonts w:hint="eastAsia"/>
        </w:rPr>
        <w:t>1</w:t>
      </w:r>
      <w:r>
        <w:rPr>
          <w:rFonts w:hint="eastAsia"/>
        </w:rPr>
        <w:t>）本基金投资股指期货的风险。</w:t>
      </w:r>
    </w:p>
    <w:p w:rsidR="003D54A7" w:rsidRDefault="003D54A7" w:rsidP="003D54A7">
      <w:pPr>
        <w:pStyle w:val="-"/>
        <w:ind w:firstLine="420"/>
        <w:rPr>
          <w:rFonts w:hint="eastAsia"/>
        </w:rPr>
      </w:pPr>
      <w:r>
        <w:rPr>
          <w:rFonts w:hint="eastAsia"/>
        </w:rPr>
        <w:t>本基金可投资于股指期货，股指期货作为一种金融衍生品，主要存在以下风险：</w:t>
      </w:r>
    </w:p>
    <w:p w:rsidR="003D54A7" w:rsidRDefault="003D54A7" w:rsidP="003D54A7">
      <w:pPr>
        <w:pStyle w:val="-"/>
        <w:ind w:firstLine="420"/>
        <w:rPr>
          <w:rFonts w:hint="eastAsia"/>
        </w:rPr>
      </w:pPr>
      <w:r>
        <w:rPr>
          <w:rFonts w:hint="eastAsia"/>
        </w:rPr>
        <w:t>1</w:t>
      </w:r>
      <w:r>
        <w:rPr>
          <w:rFonts w:hint="eastAsia"/>
        </w:rPr>
        <w:t>）市场风险：是指由于股指期货价格变动而给投资者带来的风险。</w:t>
      </w:r>
    </w:p>
    <w:p w:rsidR="003D54A7" w:rsidRDefault="003D54A7" w:rsidP="003D54A7">
      <w:pPr>
        <w:pStyle w:val="-"/>
        <w:ind w:firstLine="420"/>
        <w:rPr>
          <w:rFonts w:hint="eastAsia"/>
        </w:rPr>
      </w:pPr>
      <w:r>
        <w:rPr>
          <w:rFonts w:hint="eastAsia"/>
        </w:rPr>
        <w:t>2</w:t>
      </w:r>
      <w:r>
        <w:rPr>
          <w:rFonts w:hint="eastAsia"/>
        </w:rPr>
        <w:t>）流动性风险：是指由于股指期货合约无法及时变现所带来的风险。</w:t>
      </w:r>
    </w:p>
    <w:p w:rsidR="003D54A7" w:rsidRDefault="003D54A7" w:rsidP="003D54A7">
      <w:pPr>
        <w:pStyle w:val="-"/>
        <w:ind w:firstLine="420"/>
        <w:rPr>
          <w:rFonts w:hint="eastAsia"/>
        </w:rPr>
      </w:pPr>
      <w:r>
        <w:rPr>
          <w:rFonts w:hint="eastAsia"/>
        </w:rPr>
        <w:t>3</w:t>
      </w:r>
      <w:r>
        <w:rPr>
          <w:rFonts w:hint="eastAsia"/>
        </w:rPr>
        <w:t>）基差风险：是指股指期货合约价格和标的指数价格之间的价格差的波动所造成的风险。</w:t>
      </w:r>
    </w:p>
    <w:p w:rsidR="003D54A7" w:rsidRDefault="003D54A7" w:rsidP="003D54A7">
      <w:pPr>
        <w:pStyle w:val="-"/>
        <w:ind w:firstLine="420"/>
        <w:rPr>
          <w:rFonts w:hint="eastAsia"/>
        </w:rPr>
      </w:pPr>
      <w:r>
        <w:rPr>
          <w:rFonts w:hint="eastAsia"/>
        </w:rPr>
        <w:t>4</w:t>
      </w:r>
      <w:r>
        <w:rPr>
          <w:rFonts w:hint="eastAsia"/>
        </w:rPr>
        <w:t>）保证金风险：是指由于无法及时筹措资金满足建立或者维持股指期货合约头寸所要求的保证金而带来的风险。</w:t>
      </w:r>
    </w:p>
    <w:p w:rsidR="003D54A7" w:rsidRDefault="003D54A7" w:rsidP="003D54A7">
      <w:pPr>
        <w:pStyle w:val="-"/>
        <w:ind w:firstLine="420"/>
        <w:rPr>
          <w:rFonts w:hint="eastAsia"/>
        </w:rPr>
      </w:pPr>
      <w:r>
        <w:rPr>
          <w:rFonts w:hint="eastAsia"/>
        </w:rPr>
        <w:t>5</w:t>
      </w:r>
      <w:r>
        <w:rPr>
          <w:rFonts w:hint="eastAsia"/>
        </w:rPr>
        <w:t>）杠杆风险：因股指期货采用保证金交易而存在杠杆，基金财产可能因此产生更大的收益波动。</w:t>
      </w:r>
    </w:p>
    <w:p w:rsidR="003D54A7" w:rsidRDefault="003D54A7" w:rsidP="003D54A7">
      <w:pPr>
        <w:pStyle w:val="-"/>
        <w:ind w:firstLine="420"/>
        <w:rPr>
          <w:rFonts w:hint="eastAsia"/>
        </w:rPr>
      </w:pPr>
      <w:r>
        <w:rPr>
          <w:rFonts w:hint="eastAsia"/>
        </w:rPr>
        <w:t>6</w:t>
      </w:r>
      <w:r>
        <w:rPr>
          <w:rFonts w:hint="eastAsia"/>
        </w:rPr>
        <w:t>）信用风险：是指期货经纪公司违约而产生损失的风险。</w:t>
      </w:r>
    </w:p>
    <w:p w:rsidR="003D54A7" w:rsidRDefault="003D54A7" w:rsidP="003D54A7">
      <w:pPr>
        <w:pStyle w:val="-"/>
        <w:ind w:firstLine="420"/>
        <w:rPr>
          <w:rFonts w:hint="eastAsia"/>
        </w:rPr>
      </w:pPr>
      <w:r>
        <w:rPr>
          <w:rFonts w:hint="eastAsia"/>
        </w:rPr>
        <w:t>7</w:t>
      </w:r>
      <w:r>
        <w:rPr>
          <w:rFonts w:hint="eastAsia"/>
        </w:rPr>
        <w:t>）操作风险：是指由于内部流程的不完善，业务人员出现差错或者疏漏，或者系统出现故障等原因造成损失的风险。</w:t>
      </w:r>
    </w:p>
    <w:p w:rsidR="003D54A7" w:rsidRDefault="003D54A7" w:rsidP="003D54A7">
      <w:pPr>
        <w:pStyle w:val="-"/>
        <w:ind w:firstLine="420"/>
        <w:rPr>
          <w:rFonts w:hint="eastAsia"/>
        </w:rPr>
      </w:pPr>
      <w:r>
        <w:rPr>
          <w:rFonts w:hint="eastAsia"/>
        </w:rPr>
        <w:t>（</w:t>
      </w:r>
      <w:r>
        <w:rPr>
          <w:rFonts w:hint="eastAsia"/>
        </w:rPr>
        <w:t>2</w:t>
      </w:r>
      <w:r>
        <w:rPr>
          <w:rFonts w:hint="eastAsia"/>
        </w:rPr>
        <w:t>）本基金投资资产支持证券的风险。</w:t>
      </w:r>
    </w:p>
    <w:p w:rsidR="003D54A7" w:rsidRDefault="003D54A7" w:rsidP="003D54A7">
      <w:pPr>
        <w:pStyle w:val="-"/>
        <w:ind w:firstLine="420"/>
        <w:rPr>
          <w:rFonts w:hint="eastAsia"/>
        </w:rPr>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3D54A7" w:rsidRDefault="003D54A7" w:rsidP="003D54A7">
      <w:pPr>
        <w:pStyle w:val="-"/>
        <w:ind w:firstLine="420"/>
        <w:rPr>
          <w:rFonts w:hint="eastAsia"/>
        </w:rPr>
      </w:pPr>
      <w:r>
        <w:rPr>
          <w:rFonts w:hint="eastAsia"/>
        </w:rPr>
        <w:t>（</w:t>
      </w:r>
      <w:r>
        <w:rPr>
          <w:rFonts w:hint="eastAsia"/>
        </w:rPr>
        <w:t>3</w:t>
      </w:r>
      <w:r>
        <w:rPr>
          <w:rFonts w:hint="eastAsia"/>
        </w:rPr>
        <w:t>）投资港股通股票的风险</w:t>
      </w:r>
    </w:p>
    <w:p w:rsidR="003D54A7" w:rsidRDefault="003D54A7" w:rsidP="003D54A7">
      <w:pPr>
        <w:pStyle w:val="-"/>
        <w:ind w:firstLine="420"/>
        <w:rPr>
          <w:rFonts w:hint="eastAsia"/>
        </w:rPr>
      </w:pPr>
      <w:r>
        <w:rPr>
          <w:rFonts w:hint="eastAsia"/>
        </w:rPr>
        <w:lastRenderedPageBreak/>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3D54A7" w:rsidRDefault="003D54A7" w:rsidP="003D54A7">
      <w:pPr>
        <w:pStyle w:val="-"/>
        <w:ind w:firstLine="420"/>
        <w:rPr>
          <w:rFonts w:hint="eastAsia"/>
        </w:rPr>
      </w:pPr>
      <w:r>
        <w:rPr>
          <w:rFonts w:hint="eastAsia"/>
        </w:rPr>
        <w:t>1</w:t>
      </w:r>
      <w:r>
        <w:rPr>
          <w:rFonts w:hint="eastAsia"/>
        </w:rPr>
        <w:t>）汇率风险</w:t>
      </w:r>
    </w:p>
    <w:p w:rsidR="003D54A7" w:rsidRDefault="003D54A7" w:rsidP="003D54A7">
      <w:pPr>
        <w:pStyle w:val="-"/>
        <w:ind w:firstLine="420"/>
        <w:rPr>
          <w:rFonts w:hint="eastAsia"/>
        </w:rPr>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rsidR="003D54A7" w:rsidRDefault="003D54A7" w:rsidP="003D54A7">
      <w:pPr>
        <w:pStyle w:val="-"/>
        <w:ind w:firstLine="420"/>
        <w:rPr>
          <w:rFonts w:hint="eastAsia"/>
        </w:rPr>
      </w:pPr>
      <w:r>
        <w:rPr>
          <w:rFonts w:hint="eastAsia"/>
        </w:rPr>
        <w:t>2</w:t>
      </w:r>
      <w:r>
        <w:rPr>
          <w:rFonts w:hint="eastAsia"/>
        </w:rPr>
        <w:t>）香港市场风险</w:t>
      </w:r>
    </w:p>
    <w:p w:rsidR="003D54A7" w:rsidRDefault="003D54A7" w:rsidP="003D54A7">
      <w:pPr>
        <w:pStyle w:val="-"/>
        <w:ind w:firstLine="420"/>
        <w:rPr>
          <w:rFonts w:hint="eastAsia"/>
        </w:rPr>
      </w:pPr>
      <w:r>
        <w:rPr>
          <w:rFonts w:hint="eastAsia"/>
        </w:rPr>
        <w:t>与内地</w:t>
      </w:r>
      <w:r>
        <w:rPr>
          <w:rFonts w:hint="eastAsia"/>
        </w:rPr>
        <w:t xml:space="preserve"> A </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 xml:space="preserve">A </w:t>
      </w:r>
      <w:r>
        <w:rPr>
          <w:rFonts w:hint="eastAsia"/>
        </w:rPr>
        <w:t>股更为剧烈的股价波动。</w:t>
      </w:r>
    </w:p>
    <w:p w:rsidR="003D54A7" w:rsidRDefault="003D54A7" w:rsidP="003D54A7">
      <w:pPr>
        <w:pStyle w:val="-"/>
        <w:ind w:firstLine="420"/>
        <w:rPr>
          <w:rFonts w:hint="eastAsia"/>
        </w:rPr>
      </w:pPr>
      <w:r>
        <w:rPr>
          <w:rFonts w:hint="eastAsia"/>
        </w:rPr>
        <w:t>3</w:t>
      </w:r>
      <w:r>
        <w:rPr>
          <w:rFonts w:hint="eastAsia"/>
        </w:rPr>
        <w:t>）香港交易市场制度或规则不同带来的风险</w:t>
      </w:r>
    </w:p>
    <w:p w:rsidR="003D54A7" w:rsidRDefault="003D54A7" w:rsidP="003D54A7">
      <w:pPr>
        <w:pStyle w:val="-"/>
        <w:ind w:firstLine="420"/>
        <w:rPr>
          <w:rFonts w:hint="eastAsia"/>
        </w:rPr>
      </w:pPr>
      <w:r>
        <w:rPr>
          <w:rFonts w:hint="eastAsia"/>
        </w:rPr>
        <w:t>香港市场交易规则有别于内地</w:t>
      </w:r>
      <w:r>
        <w:rPr>
          <w:rFonts w:hint="eastAsia"/>
        </w:rPr>
        <w:t xml:space="preserve"> A </w:t>
      </w:r>
      <w:r>
        <w:rPr>
          <w:rFonts w:hint="eastAsia"/>
        </w:rPr>
        <w:t>股市场规则，在“内地与香港股票市场交易互联互通机制”下参与香港股票投资还将面临包括但不限于如下特殊风险：</w:t>
      </w:r>
    </w:p>
    <w:p w:rsidR="003D54A7" w:rsidRDefault="003D54A7" w:rsidP="003D54A7">
      <w:pPr>
        <w:pStyle w:val="-"/>
        <w:ind w:firstLine="420"/>
        <w:rPr>
          <w:rFonts w:hint="eastAsia"/>
        </w:rPr>
      </w:pPr>
      <w:r>
        <w:rPr>
          <w:rFonts w:hint="eastAsia"/>
        </w:rPr>
        <w:t>1</w:t>
      </w:r>
      <w:r>
        <w:rPr>
          <w:rFonts w:hint="eastAsia"/>
        </w:rPr>
        <w:t>港股市场实行</w:t>
      </w:r>
      <w:r>
        <w:rPr>
          <w:rFonts w:hint="eastAsia"/>
        </w:rPr>
        <w:t xml:space="preserve"> T+0 </w:t>
      </w:r>
      <w:r>
        <w:rPr>
          <w:rFonts w:hint="eastAsia"/>
        </w:rPr>
        <w:t>回转交易机制（即当日买入的股票，在交收前可以于当日卖出），同时对个股不设涨跌幅限制，因此每日涨跌幅空间相对较大；</w:t>
      </w:r>
    </w:p>
    <w:p w:rsidR="003D54A7" w:rsidRDefault="003D54A7" w:rsidP="003D54A7">
      <w:pPr>
        <w:pStyle w:val="-"/>
        <w:ind w:firstLine="420"/>
        <w:rPr>
          <w:rFonts w:hint="eastAsia"/>
        </w:rPr>
      </w:pPr>
      <w:r>
        <w:rPr>
          <w:rFonts w:hint="eastAsia"/>
        </w:rPr>
        <w:t>2</w:t>
      </w:r>
      <w:r>
        <w:rPr>
          <w:rFonts w:hint="eastAsia"/>
        </w:rPr>
        <w:t>只有内地与香港均为交易日且能够满足结算安排的交易日才为港股通交易日；</w:t>
      </w:r>
    </w:p>
    <w:p w:rsidR="003D54A7" w:rsidRDefault="003D54A7" w:rsidP="003D54A7">
      <w:pPr>
        <w:pStyle w:val="-"/>
        <w:ind w:firstLine="420"/>
        <w:rPr>
          <w:rFonts w:hint="eastAsia"/>
        </w:rPr>
      </w:pPr>
      <w:r>
        <w:rPr>
          <w:rFonts w:hint="eastAsia"/>
        </w:rPr>
        <w:t>3</w:t>
      </w:r>
      <w:r>
        <w:rPr>
          <w:rFonts w:hint="eastAsia"/>
        </w:rPr>
        <w:t>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3D54A7" w:rsidRDefault="003D54A7" w:rsidP="003D54A7">
      <w:pPr>
        <w:pStyle w:val="-"/>
        <w:ind w:firstLine="420"/>
        <w:rPr>
          <w:rFonts w:hint="eastAsia"/>
        </w:rPr>
      </w:pPr>
      <w:r>
        <w:rPr>
          <w:rFonts w:hint="eastAsia"/>
        </w:rPr>
        <w:t>4</w:t>
      </w:r>
      <w:r>
        <w:rPr>
          <w:rFonts w:hint="eastAsia"/>
        </w:rPr>
        <w:t>交收制度带来的基金流动性风险</w:t>
      </w:r>
    </w:p>
    <w:p w:rsidR="003D54A7" w:rsidRDefault="003D54A7" w:rsidP="003D54A7">
      <w:pPr>
        <w:pStyle w:val="-"/>
        <w:ind w:firstLine="420"/>
        <w:rPr>
          <w:rFonts w:hint="eastAsia"/>
        </w:rPr>
      </w:pPr>
      <w:r>
        <w:rPr>
          <w:rFonts w:hint="eastAsia"/>
        </w:rPr>
        <w:t>由于香港市场实行</w:t>
      </w:r>
      <w:r>
        <w:rPr>
          <w:rFonts w:hint="eastAsia"/>
        </w:rPr>
        <w:t xml:space="preserve"> T+2 </w:t>
      </w:r>
      <w:r>
        <w:rPr>
          <w:rFonts w:hint="eastAsia"/>
        </w:rPr>
        <w:t>日（</w:t>
      </w:r>
      <w:r>
        <w:rPr>
          <w:rFonts w:hint="eastAsia"/>
        </w:rPr>
        <w:t xml:space="preserve">T </w:t>
      </w:r>
      <w:r>
        <w:rPr>
          <w:rFonts w:hint="eastAsia"/>
        </w:rPr>
        <w:t>日买卖股票，资金和股票在</w:t>
      </w:r>
      <w:r>
        <w:rPr>
          <w:rFonts w:hint="eastAsia"/>
        </w:rPr>
        <w:t xml:space="preserve"> T+2 </w:t>
      </w:r>
      <w:r>
        <w:rPr>
          <w:rFonts w:hint="eastAsia"/>
        </w:rPr>
        <w:t>日才进行交收）的交收安排，本基金在</w:t>
      </w:r>
      <w:r>
        <w:rPr>
          <w:rFonts w:hint="eastAsia"/>
        </w:rPr>
        <w:t xml:space="preserve"> T </w:t>
      </w:r>
      <w:r>
        <w:rPr>
          <w:rFonts w:hint="eastAsia"/>
        </w:rPr>
        <w:t>日（港股通交易日）卖出股票，</w:t>
      </w:r>
      <w:r>
        <w:rPr>
          <w:rFonts w:hint="eastAsia"/>
        </w:rPr>
        <w:t xml:space="preserve">T+2 </w:t>
      </w:r>
      <w:r>
        <w:rPr>
          <w:rFonts w:hint="eastAsia"/>
        </w:rPr>
        <w:t>日（港股通交易日，即为卖出当日之后第二个港股通交易日）才能在香港市场完成清算交收，卖出的资金在</w:t>
      </w:r>
      <w:r>
        <w:rPr>
          <w:rFonts w:hint="eastAsia"/>
        </w:rPr>
        <w:t xml:space="preserve"> T+3 </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rsidR="003D54A7" w:rsidRDefault="003D54A7" w:rsidP="003D54A7">
      <w:pPr>
        <w:pStyle w:val="-"/>
        <w:ind w:firstLine="420"/>
        <w:rPr>
          <w:rFonts w:hint="eastAsia"/>
        </w:rPr>
      </w:pPr>
      <w:r>
        <w:rPr>
          <w:rFonts w:hint="eastAsia"/>
        </w:rPr>
        <w:t>5</w:t>
      </w:r>
      <w:r>
        <w:rPr>
          <w:rFonts w:hint="eastAsia"/>
        </w:rPr>
        <w:t>香港联合交易所停牌、退市等制度性差异带来的风险</w:t>
      </w:r>
    </w:p>
    <w:p w:rsidR="003D54A7" w:rsidRDefault="003D54A7" w:rsidP="003D54A7">
      <w:pPr>
        <w:pStyle w:val="-"/>
        <w:ind w:firstLine="420"/>
        <w:rPr>
          <w:rFonts w:hint="eastAsia"/>
        </w:rPr>
      </w:pPr>
      <w:r>
        <w:rPr>
          <w:rFonts w:hint="eastAsia"/>
        </w:rPr>
        <w:t>香港联合交易所规定，在交易所认为所要求的停牌合理而且必要时，上市公司方可采取停牌措施。此外，不同于内地</w:t>
      </w:r>
      <w:r>
        <w:rPr>
          <w:rFonts w:hint="eastAsia"/>
        </w:rPr>
        <w:t xml:space="preserve"> A </w:t>
      </w:r>
      <w:r>
        <w:rPr>
          <w:rFonts w:hint="eastAsia"/>
        </w:rPr>
        <w:t>股市场的停牌制度，香港联合交易所对停牌的具体时长并没有量化规定，只是确定了“尽量缩短停牌时间”的原则；同时与</w:t>
      </w:r>
      <w:r>
        <w:rPr>
          <w:rFonts w:hint="eastAsia"/>
        </w:rPr>
        <w:t xml:space="preserve"> A </w:t>
      </w:r>
      <w:r>
        <w:rPr>
          <w:rFonts w:hint="eastAsia"/>
        </w:rPr>
        <w:t>股市场对存在退市可能的上市公司根据其财务状况在证券简称前加入相应标记（例如，</w:t>
      </w:r>
      <w:r>
        <w:rPr>
          <w:rFonts w:hint="eastAsia"/>
        </w:rPr>
        <w:t xml:space="preserve">ST </w:t>
      </w:r>
      <w:r>
        <w:rPr>
          <w:rFonts w:hint="eastAsia"/>
        </w:rPr>
        <w:t>及</w:t>
      </w:r>
      <w:r>
        <w:rPr>
          <w:rFonts w:hint="eastAsia"/>
        </w:rPr>
        <w:t xml:space="preserve">*ST </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 xml:space="preserve"> A </w:t>
      </w:r>
      <w:r>
        <w:rPr>
          <w:rFonts w:hint="eastAsia"/>
        </w:rPr>
        <w:t>股市场相对复杂。</w:t>
      </w:r>
    </w:p>
    <w:p w:rsidR="003D54A7" w:rsidRDefault="003D54A7" w:rsidP="003D54A7">
      <w:pPr>
        <w:pStyle w:val="-"/>
        <w:ind w:firstLine="420"/>
        <w:rPr>
          <w:rFonts w:hint="eastAsia"/>
        </w:rPr>
      </w:pPr>
      <w:r>
        <w:rPr>
          <w:rFonts w:hint="eastAsia"/>
        </w:rPr>
        <w:lastRenderedPageBreak/>
        <w:t>因该等制度性差异，本基金可能存在因所持个股遭遇非预期性的停牌甚至退市而给基金带来损失的风险。</w:t>
      </w:r>
    </w:p>
    <w:p w:rsidR="003D54A7" w:rsidRDefault="003D54A7" w:rsidP="003D54A7">
      <w:pPr>
        <w:pStyle w:val="-"/>
        <w:ind w:firstLine="420"/>
        <w:rPr>
          <w:rFonts w:hint="eastAsia"/>
        </w:rPr>
      </w:pPr>
      <w:r>
        <w:rPr>
          <w:rFonts w:hint="eastAsia"/>
        </w:rPr>
        <w:t>4</w:t>
      </w:r>
      <w:r>
        <w:rPr>
          <w:rFonts w:hint="eastAsia"/>
        </w:rPr>
        <w:t>）港股通制度限制或调整带来的风险</w:t>
      </w:r>
    </w:p>
    <w:p w:rsidR="003D54A7" w:rsidRDefault="003D54A7" w:rsidP="003D54A7">
      <w:pPr>
        <w:pStyle w:val="-"/>
        <w:ind w:firstLine="420"/>
        <w:rPr>
          <w:rFonts w:hint="eastAsia"/>
        </w:rPr>
      </w:pPr>
      <w:r>
        <w:rPr>
          <w:rFonts w:hint="eastAsia"/>
        </w:rPr>
        <w:t>1</w:t>
      </w:r>
      <w:r>
        <w:rPr>
          <w:rFonts w:hint="eastAsia"/>
        </w:rPr>
        <w:t>港股通额度限制</w:t>
      </w:r>
    </w:p>
    <w:p w:rsidR="003D54A7" w:rsidRDefault="003D54A7" w:rsidP="003D54A7">
      <w:pPr>
        <w:pStyle w:val="-"/>
        <w:ind w:firstLine="420"/>
        <w:rPr>
          <w:rFonts w:hint="eastAsia"/>
        </w:rPr>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3D54A7" w:rsidRDefault="003D54A7" w:rsidP="003D54A7">
      <w:pPr>
        <w:pStyle w:val="-"/>
        <w:ind w:firstLine="420"/>
        <w:rPr>
          <w:rFonts w:hint="eastAsia"/>
        </w:rPr>
      </w:pPr>
      <w:r>
        <w:rPr>
          <w:rFonts w:hint="eastAsia"/>
        </w:rPr>
        <w:t>2</w:t>
      </w:r>
      <w:r>
        <w:rPr>
          <w:rFonts w:hint="eastAsia"/>
        </w:rPr>
        <w:t>港股通可投资标的范围调整带来的风险</w:t>
      </w:r>
    </w:p>
    <w:p w:rsidR="003D54A7" w:rsidRDefault="003D54A7" w:rsidP="003D54A7">
      <w:pPr>
        <w:pStyle w:val="-"/>
        <w:ind w:firstLine="420"/>
        <w:rPr>
          <w:rFonts w:hint="eastAsia"/>
        </w:rPr>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3D54A7" w:rsidRDefault="003D54A7" w:rsidP="003D54A7">
      <w:pPr>
        <w:pStyle w:val="-"/>
        <w:ind w:firstLine="420"/>
        <w:rPr>
          <w:rFonts w:hint="eastAsia"/>
        </w:rPr>
      </w:pPr>
      <w:r>
        <w:rPr>
          <w:rFonts w:hint="eastAsia"/>
        </w:rPr>
        <w:t>3</w:t>
      </w:r>
      <w:r>
        <w:rPr>
          <w:rFonts w:hint="eastAsia"/>
        </w:rPr>
        <w:t>港股通交易日设定的风险</w:t>
      </w:r>
    </w:p>
    <w:p w:rsidR="003D54A7" w:rsidRDefault="003D54A7" w:rsidP="003D54A7">
      <w:pPr>
        <w:pStyle w:val="-"/>
        <w:ind w:firstLine="420"/>
        <w:rPr>
          <w:rFonts w:hint="eastAsia"/>
        </w:rPr>
      </w:pPr>
      <w:r>
        <w:rPr>
          <w:rFonts w:hint="eastAsia"/>
        </w:rPr>
        <w:t>根据现行的港股通规则，只有内地与香港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3D54A7" w:rsidRDefault="003D54A7" w:rsidP="003D54A7">
      <w:pPr>
        <w:pStyle w:val="-"/>
        <w:ind w:firstLine="420"/>
        <w:rPr>
          <w:rFonts w:hint="eastAsia"/>
        </w:rPr>
      </w:pPr>
      <w:r>
        <w:rPr>
          <w:rFonts w:hint="eastAsia"/>
        </w:rPr>
        <w:t>4</w:t>
      </w:r>
      <w:r>
        <w:rPr>
          <w:rFonts w:hint="eastAsia"/>
        </w:rPr>
        <w:t>港股通下对公司行为的处理规则带来的风险</w:t>
      </w:r>
    </w:p>
    <w:p w:rsidR="003D54A7" w:rsidRDefault="003D54A7" w:rsidP="003D54A7">
      <w:pPr>
        <w:pStyle w:val="-"/>
        <w:ind w:firstLine="420"/>
        <w:rPr>
          <w:rFonts w:hint="eastAsia"/>
        </w:rPr>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rsidR="003D54A7" w:rsidRDefault="003D54A7" w:rsidP="003D54A7">
      <w:pPr>
        <w:pStyle w:val="-"/>
        <w:ind w:firstLine="420"/>
        <w:rPr>
          <w:rFonts w:hint="eastAsia"/>
        </w:rPr>
      </w:pPr>
      <w:r>
        <w:rPr>
          <w:rFonts w:hint="eastAsia"/>
        </w:rPr>
        <w:t>（</w:t>
      </w:r>
      <w:r>
        <w:rPr>
          <w:rFonts w:hint="eastAsia"/>
        </w:rPr>
        <w:t>4</w:t>
      </w:r>
      <w:r>
        <w:rPr>
          <w:rFonts w:hint="eastAsia"/>
        </w:rPr>
        <w:t>）本基金可根据投资策略需要或不同配置地市场环境的变化，选择将部分基金资产投资于港股通股票或选择不将基金资产投资于港股通股票，基金资产并非必然投资港股通股票。</w:t>
      </w:r>
    </w:p>
    <w:p w:rsidR="003D54A7" w:rsidRDefault="003D54A7" w:rsidP="003D54A7">
      <w:pPr>
        <w:pStyle w:val="-"/>
        <w:ind w:firstLine="420"/>
        <w:rPr>
          <w:rFonts w:hint="eastAsia"/>
        </w:rPr>
      </w:pPr>
      <w:r>
        <w:rPr>
          <w:rFonts w:hint="eastAsia"/>
        </w:rPr>
        <w:t>（</w:t>
      </w:r>
      <w:r>
        <w:rPr>
          <w:rFonts w:hint="eastAsia"/>
        </w:rPr>
        <w:t>5</w:t>
      </w:r>
      <w:r>
        <w:rPr>
          <w:rFonts w:hint="eastAsia"/>
        </w:rPr>
        <w:t>）流动性风险评估</w:t>
      </w:r>
    </w:p>
    <w:p w:rsidR="003D54A7" w:rsidRDefault="003D54A7" w:rsidP="003D54A7">
      <w:pPr>
        <w:pStyle w:val="-"/>
        <w:ind w:firstLine="420"/>
        <w:rPr>
          <w:rFonts w:hint="eastAsia"/>
        </w:rPr>
      </w:pPr>
      <w:r>
        <w:rPr>
          <w:rFonts w:hint="eastAsia"/>
        </w:rPr>
        <w:t>1</w:t>
      </w:r>
      <w:r>
        <w:rPr>
          <w:rFonts w:hint="eastAsia"/>
        </w:rPr>
        <w:t>）本基金的申购、赎回安排</w:t>
      </w:r>
    </w:p>
    <w:p w:rsidR="003D54A7" w:rsidRDefault="003D54A7" w:rsidP="003D54A7">
      <w:pPr>
        <w:pStyle w:val="-"/>
        <w:ind w:firstLine="420"/>
        <w:rPr>
          <w:rFonts w:hint="eastAsia"/>
        </w:rPr>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Pr>
          <w:rFonts w:hint="eastAsia"/>
        </w:rPr>
        <w:t>3</w:t>
      </w:r>
      <w:r>
        <w:rPr>
          <w:rFonts w:hint="eastAsia"/>
        </w:rPr>
        <w:t>个月开始办理申购和赎回业务，具体业务办理时间在申购赎回开始公告中规定。</w:t>
      </w:r>
    </w:p>
    <w:p w:rsidR="003D54A7" w:rsidRDefault="003D54A7" w:rsidP="003D54A7">
      <w:pPr>
        <w:pStyle w:val="-"/>
        <w:ind w:firstLine="420"/>
        <w:rPr>
          <w:rFonts w:hint="eastAsia"/>
        </w:rPr>
      </w:pPr>
      <w:r>
        <w:rPr>
          <w:rFonts w:hint="eastAsia"/>
        </w:rPr>
        <w:t>2</w:t>
      </w:r>
      <w:r>
        <w:rPr>
          <w:rFonts w:hint="eastAsia"/>
        </w:rPr>
        <w:t>）投资市场、行业及资产的流动性风险评估</w:t>
      </w:r>
    </w:p>
    <w:p w:rsidR="003D54A7" w:rsidRDefault="003D54A7" w:rsidP="003D54A7">
      <w:pPr>
        <w:pStyle w:val="-"/>
        <w:ind w:firstLine="420"/>
        <w:rPr>
          <w:rFonts w:hint="eastAsia"/>
        </w:rPr>
      </w:pPr>
      <w:r>
        <w:rPr>
          <w:rFonts w:hint="eastAsia"/>
        </w:rPr>
        <w:t>本基金为混合型证券投资基金，股票投资部分主要投资于精选的人工智能主题股票，投资标的均在证监会及相关法律法规规定的合法范围之内，且一般具备良好的市场流动性和可投资性。实际投资过程中，主要采用稳健的资产配置和积极的股票投资策略，通过资产配置、精选个股和风险控制，力求为基金份额持有人获取超过业绩比较基准的收益。根据《公开募集开放式证券投资基金流动性风险管理规定》的相关要求，本基金会审慎评估所</w:t>
      </w:r>
      <w:r>
        <w:rPr>
          <w:rFonts w:hint="eastAsia"/>
        </w:rPr>
        <w:lastRenderedPageBreak/>
        <w:t>投资资产的流动性，并针对性制定流动性风险管理措施，因此本基金流动性风险也可以得到有效控制。</w:t>
      </w:r>
    </w:p>
    <w:p w:rsidR="003D54A7" w:rsidRDefault="003D54A7" w:rsidP="003D54A7">
      <w:pPr>
        <w:pStyle w:val="-"/>
        <w:ind w:firstLine="420"/>
        <w:rPr>
          <w:rFonts w:hint="eastAsia"/>
        </w:rPr>
      </w:pPr>
      <w:r>
        <w:rPr>
          <w:rFonts w:hint="eastAsia"/>
        </w:rPr>
        <w:t>3</w:t>
      </w:r>
      <w:r>
        <w:rPr>
          <w:rFonts w:hint="eastAsia"/>
        </w:rPr>
        <w:t>）巨额赎回情形下的流动性风险管理措施</w:t>
      </w:r>
    </w:p>
    <w:p w:rsidR="003D54A7" w:rsidRDefault="003D54A7" w:rsidP="003D54A7">
      <w:pPr>
        <w:pStyle w:val="-"/>
        <w:ind w:firstLine="420"/>
        <w:rPr>
          <w:rFonts w:hint="eastAsia"/>
        </w:rPr>
      </w:pPr>
      <w:r>
        <w:rPr>
          <w:rFonts w:hint="eastAsia"/>
        </w:rPr>
        <w:t>当单个开放日基金的净赎回申请超过基金总份额的百分之十时，本基金将可能无法及时赎回持有的全部基金份额，即认为是发生了巨额赎回。当基金发生巨额赎回，在单个基金份额持有人超过基金总份额</w:t>
      </w:r>
      <w:r>
        <w:rPr>
          <w:rFonts w:hint="eastAsia"/>
        </w:rPr>
        <w:t>20%</w:t>
      </w:r>
      <w:r>
        <w:rPr>
          <w:rFonts w:hint="eastAsia"/>
        </w:rPr>
        <w:t>以上的赎回申请情形下：对于其超过基金总份额</w:t>
      </w:r>
      <w:r>
        <w:rPr>
          <w:rFonts w:hint="eastAsia"/>
        </w:rPr>
        <w:t>20%</w:t>
      </w:r>
      <w:r>
        <w:rPr>
          <w:rFonts w:hint="eastAsia"/>
        </w:rPr>
        <w:t>以上的赎回申请，基金管理人可以实施延期办理，延期的赎回申请与下一开放日赎回申请一并处理，无优先权并以下一开放日的基金份额净值为基础计算赎回金额，以此类推，直到全部赎回为止。对于其占基金总份额</w:t>
      </w:r>
      <w:r>
        <w:rPr>
          <w:rFonts w:hint="eastAsia"/>
        </w:rPr>
        <w:t>20%</w:t>
      </w:r>
      <w:r>
        <w:rPr>
          <w:rFonts w:hint="eastAsia"/>
        </w:rPr>
        <w:t>以内的赎回申请，当基金管理人认为有能力支付时，将按正常赎回程序执行；当基金管理人认为支付有困难或认为因支付而进行的财产变现可能会对基金资产净值造成较大波动时，基金管理人在当日接受赎回比例不低于上一开放日基金总份额的</w:t>
      </w:r>
      <w:r>
        <w:rPr>
          <w:rFonts w:hint="eastAsia"/>
        </w:rPr>
        <w:t>10%</w:t>
      </w:r>
      <w:r>
        <w:rPr>
          <w:rFonts w:hint="eastAsia"/>
        </w:rPr>
        <w:t>的前提下，可以对其余赎回申请进行确认并延期支付赎回款项。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如投资人在提交赎回申请时未作明确选择，投资人未能赎回部分作自动延期赎回处理。</w:t>
      </w:r>
    </w:p>
    <w:p w:rsidR="003D54A7" w:rsidRDefault="003D54A7" w:rsidP="003D54A7">
      <w:pPr>
        <w:pStyle w:val="-"/>
        <w:ind w:firstLine="420"/>
        <w:rPr>
          <w:rFonts w:hint="eastAsia"/>
        </w:rPr>
      </w:pPr>
      <w:r>
        <w:rPr>
          <w:rFonts w:hint="eastAsia"/>
        </w:rPr>
        <w:t>4</w:t>
      </w:r>
      <w:r>
        <w:rPr>
          <w:rFonts w:hint="eastAsia"/>
        </w:rPr>
        <w:t>）实施备用的流动性风险管理工具的情形、程序及对投资者的潜在影响</w:t>
      </w:r>
    </w:p>
    <w:p w:rsidR="003D54A7" w:rsidRDefault="003D54A7" w:rsidP="003D54A7">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3D54A7" w:rsidRDefault="003D54A7" w:rsidP="003D54A7">
      <w:pPr>
        <w:pStyle w:val="-"/>
        <w:ind w:firstLine="420"/>
        <w:rPr>
          <w:rFonts w:hint="eastAsia"/>
        </w:rPr>
      </w:pPr>
      <w:r>
        <w:rPr>
          <w:rFonts w:hint="eastAsia"/>
        </w:rPr>
        <w:t>（</w:t>
      </w:r>
      <w:r>
        <w:rPr>
          <w:rFonts w:hint="eastAsia"/>
        </w:rPr>
        <w:t>6</w:t>
      </w:r>
      <w:r>
        <w:rPr>
          <w:rFonts w:hint="eastAsia"/>
        </w:rPr>
        <w:t>）投资于存托凭证的风险</w:t>
      </w:r>
    </w:p>
    <w:p w:rsidR="003D54A7" w:rsidRDefault="003D54A7" w:rsidP="003D54A7">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3D54A7" w:rsidRDefault="003D54A7" w:rsidP="003D54A7">
      <w:pPr>
        <w:pStyle w:val="-"/>
        <w:ind w:firstLine="420"/>
        <w:rPr>
          <w:rFonts w:hint="eastAsia"/>
        </w:rPr>
      </w:pPr>
      <w:r>
        <w:rPr>
          <w:rFonts w:hint="eastAsia"/>
        </w:rPr>
        <w:t>2</w:t>
      </w:r>
      <w:r>
        <w:rPr>
          <w:rFonts w:hint="eastAsia"/>
        </w:rPr>
        <w:t>、本基金法律文件风险收益特征表述与销售机构基金风险评价可能不一致的风险</w:t>
      </w:r>
    </w:p>
    <w:p w:rsidR="003D54A7" w:rsidRDefault="003D54A7" w:rsidP="003D54A7">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3D54A7" w:rsidRDefault="003D54A7" w:rsidP="003D54A7">
      <w:pPr>
        <w:pStyle w:val="-"/>
        <w:ind w:firstLine="420"/>
        <w:rPr>
          <w:rFonts w:hint="eastAsia"/>
        </w:rPr>
      </w:pPr>
      <w:r>
        <w:rPr>
          <w:rFonts w:hint="eastAsia"/>
        </w:rPr>
        <w:t>3</w:t>
      </w:r>
      <w:r>
        <w:rPr>
          <w:rFonts w:hint="eastAsia"/>
        </w:rPr>
        <w:t>、实施备用的流动性风险管理工具的情形、程序及对投资者的潜在影响</w:t>
      </w:r>
    </w:p>
    <w:p w:rsidR="003D54A7" w:rsidRDefault="003D54A7" w:rsidP="003D54A7">
      <w:pPr>
        <w:pStyle w:val="-"/>
        <w:ind w:firstLine="420"/>
        <w:rPr>
          <w:rFonts w:hint="eastAsia"/>
        </w:rPr>
      </w:pPr>
      <w:r>
        <w:rPr>
          <w:rFonts w:hint="eastAsia"/>
        </w:rPr>
        <w:lastRenderedPageBreak/>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rsidR="003D54A7" w:rsidRDefault="003D54A7" w:rsidP="003D54A7">
      <w:pPr>
        <w:pStyle w:val="-"/>
        <w:ind w:firstLine="420"/>
        <w:rPr>
          <w:rFonts w:hint="eastAsia"/>
        </w:rPr>
      </w:pPr>
      <w:r>
        <w:rPr>
          <w:rFonts w:hint="eastAsia"/>
        </w:rPr>
        <w:t>4</w:t>
      </w:r>
      <w:r>
        <w:rPr>
          <w:rFonts w:hint="eastAsia"/>
        </w:rPr>
        <w:t>、本基金面临的主要风险还存在</w:t>
      </w:r>
      <w:r>
        <w:rPr>
          <w:rFonts w:hint="eastAsia"/>
        </w:rPr>
        <w:t>:</w:t>
      </w:r>
      <w:r>
        <w:rPr>
          <w:rFonts w:hint="eastAsia"/>
        </w:rPr>
        <w:t>市场风险、流动性风险、管理风险、运作风险、不可抗力风险。</w:t>
      </w:r>
    </w:p>
    <w:p w:rsidR="003D54A7" w:rsidRDefault="003D54A7" w:rsidP="003D54A7">
      <w:pPr>
        <w:pStyle w:val="-2"/>
        <w:spacing w:before="156" w:after="156"/>
      </w:pPr>
      <w:r>
        <w:rPr>
          <w:rFonts w:hint="eastAsia"/>
        </w:rPr>
        <w:t>（二）</w:t>
      </w:r>
      <w:r>
        <w:t xml:space="preserve"> </w:t>
      </w:r>
      <w:r>
        <w:t>重要提示</w:t>
      </w:r>
    </w:p>
    <w:p w:rsidR="003D54A7" w:rsidRDefault="003D54A7" w:rsidP="003D54A7">
      <w:pPr>
        <w:pStyle w:val="-"/>
        <w:ind w:firstLine="420"/>
        <w:rPr>
          <w:rFonts w:hint="eastAsia"/>
        </w:rPr>
      </w:pPr>
      <w:r>
        <w:rPr>
          <w:rFonts w:hint="eastAsia"/>
        </w:rPr>
        <w:t>南方人工智能主题混合型证券投资基金（以下简称“本基金”）经中国证监会</w:t>
      </w:r>
      <w:r>
        <w:rPr>
          <w:rFonts w:hint="eastAsia"/>
        </w:rPr>
        <w:t>2018</w:t>
      </w:r>
      <w:r>
        <w:rPr>
          <w:rFonts w:hint="eastAsia"/>
        </w:rPr>
        <w:t>年</w:t>
      </w:r>
      <w:r>
        <w:rPr>
          <w:rFonts w:hint="eastAsia"/>
        </w:rPr>
        <w:t>1</w:t>
      </w:r>
      <w:r>
        <w:rPr>
          <w:rFonts w:hint="eastAsia"/>
        </w:rPr>
        <w:t>月</w:t>
      </w:r>
      <w:r>
        <w:rPr>
          <w:rFonts w:hint="eastAsia"/>
        </w:rPr>
        <w:t>26</w:t>
      </w:r>
      <w:r>
        <w:rPr>
          <w:rFonts w:hint="eastAsia"/>
        </w:rPr>
        <w:t>日证监许可［</w:t>
      </w:r>
      <w:r>
        <w:rPr>
          <w:rFonts w:hint="eastAsia"/>
        </w:rPr>
        <w:t>2018</w:t>
      </w:r>
      <w:r>
        <w:rPr>
          <w:rFonts w:hint="eastAsia"/>
        </w:rPr>
        <w:t>］</w:t>
      </w:r>
      <w:r>
        <w:rPr>
          <w:rFonts w:hint="eastAsia"/>
        </w:rPr>
        <w:t>207</w:t>
      </w:r>
      <w:r>
        <w:rPr>
          <w:rFonts w:hint="eastAsia"/>
        </w:rPr>
        <w:t>号文注册募集。中国证监会对本基金募集的注册，并不表明其对本基金的价值和收益作出实质性判断或保证，也不表明投资于本基金没有风险。</w:t>
      </w:r>
    </w:p>
    <w:p w:rsidR="003D54A7" w:rsidRDefault="003D54A7" w:rsidP="003D54A7">
      <w:pPr>
        <w:pStyle w:val="-"/>
        <w:ind w:firstLine="420"/>
        <w:rPr>
          <w:rFonts w:hint="eastAsia"/>
        </w:rPr>
      </w:pPr>
      <w:r>
        <w:rPr>
          <w:rFonts w:hint="eastAsia"/>
        </w:rPr>
        <w:t>基金管理人依照恪尽职守、诚实信用、谨慎勤勉的原则管理和运用基金财产，但不保证基金一定盈利，也不保证最低收益。</w:t>
      </w:r>
    </w:p>
    <w:p w:rsidR="003D54A7" w:rsidRDefault="003D54A7" w:rsidP="003D54A7">
      <w:pPr>
        <w:pStyle w:val="-"/>
        <w:ind w:firstLine="420"/>
        <w:rPr>
          <w:rFonts w:hint="eastAsia"/>
        </w:rPr>
      </w:pPr>
      <w:r>
        <w:rPr>
          <w:rFonts w:hint="eastAsia"/>
        </w:rPr>
        <w:t>基金投资者自依基金合同取得基金份额，即成为基金份额持有人和基金合同的当事人。</w:t>
      </w:r>
    </w:p>
    <w:p w:rsidR="003D54A7" w:rsidRDefault="003D54A7" w:rsidP="003D54A7">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3D54A7" w:rsidRDefault="003D54A7" w:rsidP="003D54A7">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D54A7" w:rsidRDefault="003D54A7" w:rsidP="003D54A7">
      <w:pPr>
        <w:pStyle w:val="-1"/>
        <w:spacing w:before="156" w:after="156"/>
        <w:rPr>
          <w:rFonts w:hint="eastAsia"/>
        </w:rPr>
      </w:pPr>
      <w:r>
        <w:rPr>
          <w:rFonts w:hint="eastAsia"/>
        </w:rPr>
        <w:t>五、其他资料查询方式</w:t>
      </w:r>
    </w:p>
    <w:p w:rsidR="003D54A7" w:rsidRDefault="003D54A7" w:rsidP="003D54A7">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3D54A7" w:rsidRDefault="003D54A7" w:rsidP="003D54A7">
      <w:pPr>
        <w:pStyle w:val="-"/>
        <w:ind w:firstLine="420"/>
        <w:rPr>
          <w:rFonts w:hint="eastAsia"/>
        </w:rPr>
      </w:pPr>
      <w:r>
        <w:rPr>
          <w:rFonts w:hint="eastAsia"/>
        </w:rPr>
        <w:t>●《南方人工智能主题混合型证券投资基金基金合同》、</w:t>
      </w:r>
    </w:p>
    <w:p w:rsidR="003D54A7" w:rsidRDefault="003D54A7" w:rsidP="003D54A7">
      <w:pPr>
        <w:pStyle w:val="-"/>
        <w:ind w:firstLine="420"/>
        <w:rPr>
          <w:rFonts w:hint="eastAsia"/>
        </w:rPr>
      </w:pPr>
      <w:r>
        <w:rPr>
          <w:rFonts w:hint="eastAsia"/>
        </w:rPr>
        <w:t>《南方人工智能主题混合型证券投资基金托管协议》、</w:t>
      </w:r>
    </w:p>
    <w:p w:rsidR="003D54A7" w:rsidRDefault="003D54A7" w:rsidP="003D54A7">
      <w:pPr>
        <w:pStyle w:val="-"/>
        <w:ind w:firstLine="420"/>
        <w:rPr>
          <w:rFonts w:hint="eastAsia"/>
        </w:rPr>
      </w:pPr>
      <w:r>
        <w:rPr>
          <w:rFonts w:hint="eastAsia"/>
        </w:rPr>
        <w:t>《南方人工智能主题混合型证券投资基金招募说明书》</w:t>
      </w:r>
    </w:p>
    <w:p w:rsidR="003D54A7" w:rsidRDefault="003D54A7" w:rsidP="003D54A7">
      <w:pPr>
        <w:pStyle w:val="-"/>
        <w:ind w:firstLine="420"/>
        <w:rPr>
          <w:rFonts w:hint="eastAsia"/>
        </w:rPr>
      </w:pPr>
      <w:r>
        <w:rPr>
          <w:rFonts w:hint="eastAsia"/>
        </w:rPr>
        <w:t>●定期报告、包括基金季度报告、中期报告和年度报告</w:t>
      </w:r>
    </w:p>
    <w:p w:rsidR="003D54A7" w:rsidRDefault="003D54A7" w:rsidP="003D54A7">
      <w:pPr>
        <w:pStyle w:val="-"/>
        <w:ind w:firstLine="420"/>
        <w:rPr>
          <w:rFonts w:hint="eastAsia"/>
        </w:rPr>
      </w:pPr>
      <w:r>
        <w:rPr>
          <w:rFonts w:hint="eastAsia"/>
        </w:rPr>
        <w:t>●基金份额净值</w:t>
      </w:r>
    </w:p>
    <w:p w:rsidR="003D54A7" w:rsidRDefault="003D54A7" w:rsidP="003D54A7">
      <w:pPr>
        <w:pStyle w:val="-"/>
        <w:ind w:firstLine="420"/>
        <w:rPr>
          <w:rFonts w:hint="eastAsia"/>
        </w:rPr>
      </w:pPr>
      <w:r>
        <w:rPr>
          <w:rFonts w:hint="eastAsia"/>
        </w:rPr>
        <w:t>●基金销售机构及联系方式</w:t>
      </w:r>
    </w:p>
    <w:p w:rsidR="003D54A7" w:rsidRDefault="003D54A7" w:rsidP="003D54A7">
      <w:pPr>
        <w:pStyle w:val="-"/>
        <w:ind w:firstLine="420"/>
        <w:rPr>
          <w:rFonts w:hint="eastAsia"/>
        </w:rPr>
      </w:pPr>
      <w:r>
        <w:rPr>
          <w:rFonts w:hint="eastAsia"/>
        </w:rPr>
        <w:t>●其他重要资料</w:t>
      </w:r>
    </w:p>
    <w:p w:rsidR="003D54A7" w:rsidRDefault="003D54A7" w:rsidP="003D54A7">
      <w:pPr>
        <w:pStyle w:val="-1"/>
        <w:spacing w:before="156" w:after="156"/>
        <w:rPr>
          <w:rFonts w:hint="eastAsia"/>
        </w:rPr>
      </w:pPr>
      <w:r>
        <w:rPr>
          <w:rFonts w:hint="eastAsia"/>
        </w:rPr>
        <w:t>六、其他情况说明</w:t>
      </w:r>
    </w:p>
    <w:p w:rsidR="003D54A7" w:rsidRDefault="003D54A7" w:rsidP="003D54A7">
      <w:pPr>
        <w:pStyle w:val="-"/>
        <w:ind w:firstLine="420"/>
        <w:rPr>
          <w:rFonts w:hint="eastAsia"/>
        </w:rPr>
      </w:pPr>
      <w:bookmarkStart w:id="0" w:name="_GoBack"/>
      <w:bookmarkEnd w:id="0"/>
      <w:r>
        <w:rPr>
          <w:rFonts w:hint="eastAsia"/>
        </w:rPr>
        <w:t>暂无。</w:t>
      </w:r>
    </w:p>
    <w:p w:rsidR="00E67375" w:rsidRPr="00ED7F31" w:rsidRDefault="003D54A7" w:rsidP="003D54A7">
      <w:pPr>
        <w:pStyle w:val="-"/>
        <w:ind w:firstLine="420"/>
      </w:pPr>
      <w:r w:rsidRPr="00A84177">
        <w:t xml:space="preserve"> </w:t>
      </w:r>
    </w:p>
    <w:sectPr w:rsidR="00E67375" w:rsidRPr="00ED7F31" w:rsidSect="00F03A8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88" w:rsidRDefault="00964788" w:rsidP="00C06F04">
      <w:r>
        <w:separator/>
      </w:r>
    </w:p>
  </w:endnote>
  <w:endnote w:type="continuationSeparator" w:id="0">
    <w:p w:rsidR="00964788" w:rsidRDefault="00964788"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A7" w:rsidRDefault="003D54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3D54A7" w:rsidRPr="003D54A7">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A7" w:rsidRDefault="003D54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88" w:rsidRDefault="00964788" w:rsidP="00C06F04">
      <w:r>
        <w:separator/>
      </w:r>
    </w:p>
  </w:footnote>
  <w:footnote w:type="continuationSeparator" w:id="0">
    <w:p w:rsidR="00964788" w:rsidRDefault="00964788"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A7" w:rsidRDefault="003D54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3D54A7" w:rsidP="00CE07B7">
    <w:pPr>
      <w:pStyle w:val="a6"/>
      <w:jc w:val="right"/>
    </w:pPr>
    <w:r>
      <w:rPr>
        <w:rFonts w:hint="eastAsia"/>
      </w:rPr>
      <w:t>南方人工智能主题混合型证券投资基金基金产品资料概要（更新）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A7" w:rsidRDefault="003D54A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3D54A7"/>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7A95-5BFE-41AF-AEB3-24A49DBD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1225</Words>
  <Characters>6983</Characters>
  <Application>Microsoft Office Word</Application>
  <DocSecurity>0</DocSecurity>
  <Lines>58</Lines>
  <Paragraphs>16</Paragraphs>
  <ScaleCrop>false</ScaleCrop>
  <Company>MC SYSTEM</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2021-10-14T05:55:00Z</dcterms:created>
  <dcterms:modified xsi:type="dcterms:W3CDTF">2021-10-14T05:55:00Z</dcterms:modified>
</cp:coreProperties>
</file>