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15A4" w:rsidRPr="001C46F3" w:rsidRDefault="00396970" w:rsidP="00EA5DE4">
      <w:pPr>
        <w:spacing w:line="420" w:lineRule="exact"/>
        <w:jc w:val="center"/>
        <w:rPr>
          <w:rFonts w:ascii="宋体" w:hAnsi="方正黑体简体" w:cs="方正黑体简体"/>
          <w:b/>
          <w:bCs/>
          <w:iCs/>
          <w:sz w:val="31"/>
          <w:szCs w:val="36"/>
        </w:rPr>
      </w:pPr>
      <w:r>
        <w:rPr>
          <w:rFonts w:ascii="宋体" w:hAnsi="方正黑体简体" w:cs="方正黑体简体" w:hint="eastAsia"/>
          <w:b/>
          <w:bCs/>
          <w:iCs/>
          <w:sz w:val="31"/>
          <w:szCs w:val="36"/>
        </w:rPr>
        <w:t>南方安泰混合型证券投资基金（</w:t>
      </w:r>
      <w:r>
        <w:rPr>
          <w:rFonts w:ascii="宋体" w:hAnsi="方正黑体简体" w:cs="方正黑体简体"/>
          <w:b/>
          <w:bCs/>
          <w:iCs/>
          <w:sz w:val="31"/>
          <w:szCs w:val="36"/>
        </w:rPr>
        <w:t>A类份额）基金产品资料概要（更新）</w:t>
      </w:r>
    </w:p>
    <w:p w:rsidR="00544E9D" w:rsidRDefault="00544E9D" w:rsidP="008B15A4">
      <w:pPr>
        <w:spacing w:line="420" w:lineRule="exact"/>
        <w:jc w:val="center"/>
        <w:rPr>
          <w:rFonts w:ascii="方正黑体简体" w:eastAsia="方正黑体简体" w:hAnsi="方正黑体简体" w:cs="方正黑体简体"/>
          <w:bCs/>
          <w:iCs/>
          <w:sz w:val="36"/>
          <w:szCs w:val="36"/>
        </w:rPr>
      </w:pPr>
    </w:p>
    <w:p w:rsidR="009B4E06" w:rsidRPr="009B4E06" w:rsidRDefault="009B4E06" w:rsidP="009B4E06">
      <w:pPr>
        <w:pStyle w:val="-"/>
        <w:spacing w:before="62"/>
        <w:ind w:firstLine="480"/>
        <w:jc w:val="right"/>
        <w:rPr>
          <w:rFonts w:ascii="仿宋" w:hAnsi="仿宋"/>
          <w:color w:val="000000" w:themeColor="text1"/>
          <w:sz w:val="24"/>
          <w:szCs w:val="24"/>
        </w:rPr>
      </w:pPr>
      <w:r w:rsidRPr="009B4E06">
        <w:rPr>
          <w:rFonts w:ascii="仿宋" w:hAnsi="仿宋" w:hint="eastAsia"/>
          <w:color w:val="000000" w:themeColor="text1"/>
          <w:sz w:val="24"/>
          <w:szCs w:val="24"/>
        </w:rPr>
        <w:t>编制日期：</w:t>
      </w:r>
      <w:r w:rsidR="00396970">
        <w:rPr>
          <w:rFonts w:ascii="仿宋" w:hAnsi="仿宋"/>
          <w:color w:val="000000" w:themeColor="text1"/>
          <w:sz w:val="24"/>
          <w:szCs w:val="24"/>
        </w:rPr>
        <w:t>2021年9月19日</w:t>
      </w:r>
    </w:p>
    <w:p w:rsidR="009B4E06" w:rsidRPr="009B4E06" w:rsidRDefault="009B4E06" w:rsidP="009B4E06">
      <w:pPr>
        <w:pStyle w:val="-"/>
        <w:spacing w:before="62"/>
        <w:ind w:firstLine="480"/>
        <w:jc w:val="center"/>
        <w:rPr>
          <w:rFonts w:ascii="仿宋" w:hAnsi="仿宋"/>
          <w:color w:val="000000" w:themeColor="text1"/>
          <w:sz w:val="24"/>
          <w:szCs w:val="24"/>
        </w:rPr>
      </w:pPr>
      <w:r w:rsidRPr="009B4E06">
        <w:rPr>
          <w:rFonts w:ascii="仿宋" w:hAnsi="仿宋"/>
          <w:color w:val="000000" w:themeColor="text1"/>
          <w:sz w:val="24"/>
          <w:szCs w:val="24"/>
        </w:rPr>
        <w:t>送出日期：</w:t>
      </w:r>
      <w:r w:rsidR="00396970">
        <w:rPr>
          <w:rFonts w:ascii="仿宋" w:hAnsi="仿宋"/>
          <w:color w:val="000000" w:themeColor="text1"/>
          <w:sz w:val="24"/>
          <w:szCs w:val="24"/>
        </w:rPr>
        <w:t>2021年10月18日</w:t>
      </w:r>
    </w:p>
    <w:p w:rsidR="008B15A4" w:rsidRPr="009B4E06" w:rsidRDefault="008B15A4" w:rsidP="00EA5DE4">
      <w:pPr>
        <w:tabs>
          <w:tab w:val="left" w:pos="7770"/>
        </w:tabs>
        <w:spacing w:line="500" w:lineRule="exact"/>
        <w:jc w:val="center"/>
        <w:rPr>
          <w:rFonts w:ascii="宋体" w:hAnsi="方正黑体简体" w:cs="方正黑体简体"/>
          <w:b/>
          <w:bCs/>
          <w:iCs/>
          <w:color w:val="000000" w:themeColor="text1"/>
          <w:sz w:val="31"/>
          <w:szCs w:val="30"/>
        </w:rPr>
      </w:pPr>
      <w:r w:rsidRPr="009B4E06">
        <w:rPr>
          <w:rFonts w:ascii="宋体" w:hAnsi="方正黑体简体" w:cs="方正黑体简体" w:hint="eastAsia"/>
          <w:b/>
          <w:bCs/>
          <w:iCs/>
          <w:color w:val="000000" w:themeColor="text1"/>
          <w:sz w:val="31"/>
          <w:szCs w:val="30"/>
        </w:rPr>
        <w:t>本概要提供本基金的重要信息，是招募说明书的一部分。</w:t>
      </w:r>
    </w:p>
    <w:p w:rsidR="008B15A4" w:rsidRPr="009B4E06" w:rsidRDefault="008B15A4" w:rsidP="00EA5DE4">
      <w:pPr>
        <w:jc w:val="center"/>
        <w:rPr>
          <w:rFonts w:ascii="宋体"/>
          <w:b/>
          <w:color w:val="000000" w:themeColor="text1"/>
          <w:sz w:val="31"/>
          <w:szCs w:val="30"/>
        </w:rPr>
      </w:pPr>
      <w:r w:rsidRPr="009B4E06">
        <w:rPr>
          <w:rFonts w:ascii="宋体" w:hint="eastAsia"/>
          <w:b/>
          <w:color w:val="000000" w:themeColor="text1"/>
          <w:sz w:val="31"/>
          <w:szCs w:val="30"/>
        </w:rPr>
        <w:t>作出投资决定前，请阅读完整的招募说明书等销售文件。</w:t>
      </w:r>
    </w:p>
    <w:p w:rsidR="00396970" w:rsidRDefault="00396970" w:rsidP="00396970">
      <w:pPr>
        <w:pStyle w:val="-1"/>
        <w:spacing w:before="156" w:after="156"/>
        <w:rPr>
          <w:rFonts w:hint="eastAsia"/>
        </w:rPr>
      </w:pPr>
      <w:r>
        <w:rPr>
          <w:rFonts w:hint="eastAsia"/>
        </w:rPr>
        <w:t>一、产品概况</w:t>
      </w:r>
    </w:p>
    <w:tbl>
      <w:tblPr>
        <w:tblStyle w:val="-noheader"/>
        <w:tblW w:w="0" w:type="auto"/>
        <w:tblLayout w:type="fixed"/>
        <w:tblLook w:val="04A0" w:firstRow="1" w:lastRow="0" w:firstColumn="1" w:lastColumn="0" w:noHBand="0" w:noVBand="1"/>
      </w:tblPr>
      <w:tblGrid>
        <w:gridCol w:w="2076"/>
        <w:gridCol w:w="2076"/>
        <w:gridCol w:w="2077"/>
        <w:gridCol w:w="2077"/>
      </w:tblGrid>
      <w:tr w:rsidR="00396970" w:rsidTr="00396970">
        <w:tc>
          <w:tcPr>
            <w:tcW w:w="2076" w:type="dxa"/>
          </w:tcPr>
          <w:p w:rsidR="00396970" w:rsidRDefault="00396970" w:rsidP="00396970">
            <w:pPr>
              <w:jc w:val="left"/>
            </w:pPr>
            <w:r>
              <w:rPr>
                <w:rFonts w:hint="eastAsia"/>
              </w:rPr>
              <w:t>基金简称</w:t>
            </w:r>
          </w:p>
        </w:tc>
        <w:tc>
          <w:tcPr>
            <w:tcW w:w="2076" w:type="dxa"/>
          </w:tcPr>
          <w:p w:rsidR="00396970" w:rsidRDefault="00396970" w:rsidP="00396970">
            <w:pPr>
              <w:jc w:val="left"/>
            </w:pPr>
            <w:r>
              <w:rPr>
                <w:rFonts w:hint="eastAsia"/>
              </w:rPr>
              <w:t>南方安泰混合</w:t>
            </w:r>
            <w:r>
              <w:rPr>
                <w:rFonts w:hint="eastAsia"/>
              </w:rPr>
              <w:t>A</w:t>
            </w:r>
          </w:p>
        </w:tc>
        <w:tc>
          <w:tcPr>
            <w:tcW w:w="2077" w:type="dxa"/>
          </w:tcPr>
          <w:p w:rsidR="00396970" w:rsidRDefault="00396970" w:rsidP="00396970">
            <w:pPr>
              <w:jc w:val="left"/>
            </w:pPr>
            <w:r>
              <w:rPr>
                <w:rFonts w:hint="eastAsia"/>
              </w:rPr>
              <w:t>基金代码</w:t>
            </w:r>
          </w:p>
        </w:tc>
        <w:tc>
          <w:tcPr>
            <w:tcW w:w="2077" w:type="dxa"/>
          </w:tcPr>
          <w:p w:rsidR="00396970" w:rsidRDefault="00396970" w:rsidP="00396970">
            <w:pPr>
              <w:jc w:val="left"/>
            </w:pPr>
            <w:r>
              <w:t>003161</w:t>
            </w:r>
          </w:p>
        </w:tc>
      </w:tr>
      <w:tr w:rsidR="00396970" w:rsidTr="00396970">
        <w:tc>
          <w:tcPr>
            <w:tcW w:w="2076" w:type="dxa"/>
          </w:tcPr>
          <w:p w:rsidR="00396970" w:rsidRDefault="00396970" w:rsidP="00396970">
            <w:pPr>
              <w:jc w:val="left"/>
            </w:pPr>
            <w:r>
              <w:rPr>
                <w:rFonts w:hint="eastAsia"/>
              </w:rPr>
              <w:t>基金管理人</w:t>
            </w:r>
          </w:p>
        </w:tc>
        <w:tc>
          <w:tcPr>
            <w:tcW w:w="2076" w:type="dxa"/>
          </w:tcPr>
          <w:p w:rsidR="00396970" w:rsidRDefault="00396970" w:rsidP="00396970">
            <w:pPr>
              <w:jc w:val="left"/>
            </w:pPr>
            <w:r>
              <w:rPr>
                <w:rFonts w:hint="eastAsia"/>
              </w:rPr>
              <w:t>南方基金管理股份有限公司</w:t>
            </w:r>
          </w:p>
        </w:tc>
        <w:tc>
          <w:tcPr>
            <w:tcW w:w="2077" w:type="dxa"/>
          </w:tcPr>
          <w:p w:rsidR="00396970" w:rsidRDefault="00396970" w:rsidP="00396970">
            <w:pPr>
              <w:jc w:val="left"/>
            </w:pPr>
            <w:r>
              <w:rPr>
                <w:rFonts w:hint="eastAsia"/>
              </w:rPr>
              <w:t>基金托管人</w:t>
            </w:r>
          </w:p>
        </w:tc>
        <w:tc>
          <w:tcPr>
            <w:tcW w:w="2077" w:type="dxa"/>
          </w:tcPr>
          <w:p w:rsidR="00396970" w:rsidRDefault="00396970" w:rsidP="00396970">
            <w:pPr>
              <w:jc w:val="left"/>
            </w:pPr>
            <w:r>
              <w:rPr>
                <w:rFonts w:hint="eastAsia"/>
              </w:rPr>
              <w:t>中国建设银行股份有限公司</w:t>
            </w:r>
          </w:p>
        </w:tc>
      </w:tr>
      <w:tr w:rsidR="00396970" w:rsidTr="00FD05D3">
        <w:tc>
          <w:tcPr>
            <w:tcW w:w="2076" w:type="dxa"/>
          </w:tcPr>
          <w:p w:rsidR="00396970" w:rsidRDefault="00396970" w:rsidP="00396970">
            <w:pPr>
              <w:jc w:val="left"/>
            </w:pPr>
            <w:r>
              <w:rPr>
                <w:rFonts w:hint="eastAsia"/>
              </w:rPr>
              <w:t>基金合同生效日</w:t>
            </w:r>
          </w:p>
        </w:tc>
        <w:tc>
          <w:tcPr>
            <w:tcW w:w="6230" w:type="dxa"/>
            <w:gridSpan w:val="3"/>
          </w:tcPr>
          <w:p w:rsidR="00396970" w:rsidRDefault="00396970" w:rsidP="00396970">
            <w:pPr>
              <w:jc w:val="left"/>
            </w:pPr>
            <w:r>
              <w:rPr>
                <w:rFonts w:hint="eastAsia"/>
              </w:rPr>
              <w:t>2016</w:t>
            </w:r>
            <w:r>
              <w:rPr>
                <w:rFonts w:hint="eastAsia"/>
              </w:rPr>
              <w:t>年</w:t>
            </w:r>
            <w:r>
              <w:rPr>
                <w:rFonts w:hint="eastAsia"/>
              </w:rPr>
              <w:t>9</w:t>
            </w:r>
            <w:r>
              <w:rPr>
                <w:rFonts w:hint="eastAsia"/>
              </w:rPr>
              <w:t>月</w:t>
            </w:r>
            <w:r>
              <w:rPr>
                <w:rFonts w:hint="eastAsia"/>
              </w:rPr>
              <w:t>22</w:t>
            </w:r>
            <w:r>
              <w:rPr>
                <w:rFonts w:hint="eastAsia"/>
              </w:rPr>
              <w:t>日</w:t>
            </w:r>
          </w:p>
        </w:tc>
      </w:tr>
      <w:tr w:rsidR="00396970" w:rsidTr="00396970">
        <w:tc>
          <w:tcPr>
            <w:tcW w:w="2076" w:type="dxa"/>
          </w:tcPr>
          <w:p w:rsidR="00396970" w:rsidRDefault="00396970" w:rsidP="00396970">
            <w:pPr>
              <w:jc w:val="left"/>
            </w:pPr>
            <w:r>
              <w:rPr>
                <w:rFonts w:hint="eastAsia"/>
              </w:rPr>
              <w:t>基金类型</w:t>
            </w:r>
          </w:p>
        </w:tc>
        <w:tc>
          <w:tcPr>
            <w:tcW w:w="2076" w:type="dxa"/>
          </w:tcPr>
          <w:p w:rsidR="00396970" w:rsidRDefault="00396970" w:rsidP="00396970">
            <w:pPr>
              <w:jc w:val="left"/>
            </w:pPr>
            <w:r>
              <w:rPr>
                <w:rFonts w:hint="eastAsia"/>
              </w:rPr>
              <w:t>混合型</w:t>
            </w:r>
          </w:p>
        </w:tc>
        <w:tc>
          <w:tcPr>
            <w:tcW w:w="2077" w:type="dxa"/>
          </w:tcPr>
          <w:p w:rsidR="00396970" w:rsidRDefault="00396970" w:rsidP="00396970">
            <w:pPr>
              <w:jc w:val="left"/>
            </w:pPr>
            <w:r>
              <w:rPr>
                <w:rFonts w:hint="eastAsia"/>
              </w:rPr>
              <w:t>交易币种</w:t>
            </w:r>
          </w:p>
        </w:tc>
        <w:tc>
          <w:tcPr>
            <w:tcW w:w="2077" w:type="dxa"/>
          </w:tcPr>
          <w:p w:rsidR="00396970" w:rsidRDefault="00396970" w:rsidP="00396970">
            <w:pPr>
              <w:jc w:val="left"/>
            </w:pPr>
            <w:r>
              <w:rPr>
                <w:rFonts w:hint="eastAsia"/>
              </w:rPr>
              <w:t>人民币</w:t>
            </w:r>
          </w:p>
        </w:tc>
      </w:tr>
      <w:tr w:rsidR="00396970" w:rsidTr="00AE4636">
        <w:tc>
          <w:tcPr>
            <w:tcW w:w="2076" w:type="dxa"/>
          </w:tcPr>
          <w:p w:rsidR="00396970" w:rsidRDefault="00396970" w:rsidP="00396970">
            <w:pPr>
              <w:jc w:val="left"/>
            </w:pPr>
            <w:r>
              <w:rPr>
                <w:rFonts w:hint="eastAsia"/>
              </w:rPr>
              <w:t>运作方式</w:t>
            </w:r>
          </w:p>
        </w:tc>
        <w:tc>
          <w:tcPr>
            <w:tcW w:w="6230" w:type="dxa"/>
            <w:gridSpan w:val="3"/>
          </w:tcPr>
          <w:p w:rsidR="00396970" w:rsidRDefault="00396970" w:rsidP="00396970">
            <w:pPr>
              <w:jc w:val="left"/>
            </w:pPr>
            <w:r>
              <w:rPr>
                <w:rFonts w:hint="eastAsia"/>
              </w:rPr>
              <w:t>普通开放式</w:t>
            </w:r>
          </w:p>
        </w:tc>
      </w:tr>
      <w:tr w:rsidR="00396970" w:rsidTr="00465AF2">
        <w:tc>
          <w:tcPr>
            <w:tcW w:w="2076" w:type="dxa"/>
          </w:tcPr>
          <w:p w:rsidR="00396970" w:rsidRDefault="00396970" w:rsidP="00396970">
            <w:pPr>
              <w:jc w:val="left"/>
            </w:pPr>
            <w:r>
              <w:rPr>
                <w:rFonts w:hint="eastAsia"/>
              </w:rPr>
              <w:t>开放频率</w:t>
            </w:r>
          </w:p>
        </w:tc>
        <w:tc>
          <w:tcPr>
            <w:tcW w:w="6230" w:type="dxa"/>
            <w:gridSpan w:val="3"/>
          </w:tcPr>
          <w:p w:rsidR="00396970" w:rsidRDefault="00396970" w:rsidP="00396970">
            <w:pPr>
              <w:jc w:val="left"/>
            </w:pPr>
            <w:r>
              <w:rPr>
                <w:rFonts w:hint="eastAsia"/>
              </w:rPr>
              <w:t>每个开放日</w:t>
            </w:r>
          </w:p>
        </w:tc>
      </w:tr>
      <w:tr w:rsidR="00396970" w:rsidTr="00396970">
        <w:tc>
          <w:tcPr>
            <w:tcW w:w="2076" w:type="dxa"/>
            <w:vMerge w:val="restart"/>
          </w:tcPr>
          <w:p w:rsidR="00396970" w:rsidRDefault="00396970" w:rsidP="00396970">
            <w:pPr>
              <w:jc w:val="left"/>
            </w:pPr>
            <w:r>
              <w:rPr>
                <w:rFonts w:hint="eastAsia"/>
              </w:rPr>
              <w:t>基金经理</w:t>
            </w:r>
          </w:p>
        </w:tc>
        <w:tc>
          <w:tcPr>
            <w:tcW w:w="2076" w:type="dxa"/>
            <w:vMerge w:val="restart"/>
          </w:tcPr>
          <w:p w:rsidR="00396970" w:rsidRDefault="00396970" w:rsidP="00396970">
            <w:pPr>
              <w:jc w:val="left"/>
            </w:pPr>
            <w:r>
              <w:rPr>
                <w:rFonts w:hint="eastAsia"/>
              </w:rPr>
              <w:t>杨旭</w:t>
            </w:r>
          </w:p>
        </w:tc>
        <w:tc>
          <w:tcPr>
            <w:tcW w:w="2077" w:type="dxa"/>
          </w:tcPr>
          <w:p w:rsidR="00396970" w:rsidRDefault="00396970" w:rsidP="00396970">
            <w:pPr>
              <w:jc w:val="left"/>
            </w:pPr>
            <w:r>
              <w:rPr>
                <w:rFonts w:hint="eastAsia"/>
              </w:rPr>
              <w:t>开始担任本基金基金经理的日期</w:t>
            </w:r>
          </w:p>
        </w:tc>
        <w:tc>
          <w:tcPr>
            <w:tcW w:w="2077" w:type="dxa"/>
          </w:tcPr>
          <w:p w:rsidR="00396970" w:rsidRDefault="00396970" w:rsidP="00396970">
            <w:pPr>
              <w:jc w:val="left"/>
            </w:pPr>
            <w:r>
              <w:rPr>
                <w:rFonts w:hint="eastAsia"/>
              </w:rPr>
              <w:t>2020</w:t>
            </w:r>
            <w:r>
              <w:rPr>
                <w:rFonts w:hint="eastAsia"/>
              </w:rPr>
              <w:t>年</w:t>
            </w:r>
            <w:r>
              <w:rPr>
                <w:rFonts w:hint="eastAsia"/>
              </w:rPr>
              <w:t>9</w:t>
            </w:r>
            <w:r>
              <w:rPr>
                <w:rFonts w:hint="eastAsia"/>
              </w:rPr>
              <w:t>月</w:t>
            </w:r>
            <w:r>
              <w:rPr>
                <w:rFonts w:hint="eastAsia"/>
              </w:rPr>
              <w:t>25</w:t>
            </w:r>
            <w:r>
              <w:rPr>
                <w:rFonts w:hint="eastAsia"/>
              </w:rPr>
              <w:t>日</w:t>
            </w:r>
          </w:p>
        </w:tc>
      </w:tr>
      <w:tr w:rsidR="00396970" w:rsidTr="00396970">
        <w:tc>
          <w:tcPr>
            <w:tcW w:w="2076" w:type="dxa"/>
            <w:vMerge/>
          </w:tcPr>
          <w:p w:rsidR="00396970" w:rsidRDefault="00396970" w:rsidP="00396970">
            <w:pPr>
              <w:jc w:val="left"/>
            </w:pPr>
          </w:p>
        </w:tc>
        <w:tc>
          <w:tcPr>
            <w:tcW w:w="2076" w:type="dxa"/>
            <w:vMerge/>
          </w:tcPr>
          <w:p w:rsidR="00396970" w:rsidRDefault="00396970" w:rsidP="00396970">
            <w:pPr>
              <w:jc w:val="left"/>
            </w:pPr>
          </w:p>
        </w:tc>
        <w:tc>
          <w:tcPr>
            <w:tcW w:w="2077" w:type="dxa"/>
          </w:tcPr>
          <w:p w:rsidR="00396970" w:rsidRDefault="00396970" w:rsidP="00396970">
            <w:pPr>
              <w:jc w:val="left"/>
            </w:pPr>
            <w:r>
              <w:rPr>
                <w:rFonts w:hint="eastAsia"/>
              </w:rPr>
              <w:t>证券从业日期</w:t>
            </w:r>
          </w:p>
        </w:tc>
        <w:tc>
          <w:tcPr>
            <w:tcW w:w="2077" w:type="dxa"/>
          </w:tcPr>
          <w:p w:rsidR="00396970" w:rsidRDefault="00396970" w:rsidP="00396970">
            <w:pPr>
              <w:jc w:val="left"/>
            </w:pPr>
            <w:r>
              <w:rPr>
                <w:rFonts w:hint="eastAsia"/>
              </w:rPr>
              <w:t>2009</w:t>
            </w:r>
            <w:r>
              <w:rPr>
                <w:rFonts w:hint="eastAsia"/>
              </w:rPr>
              <w:t>年</w:t>
            </w:r>
            <w:r>
              <w:rPr>
                <w:rFonts w:hint="eastAsia"/>
              </w:rPr>
              <w:t>5</w:t>
            </w:r>
            <w:r>
              <w:rPr>
                <w:rFonts w:hint="eastAsia"/>
              </w:rPr>
              <w:t>月</w:t>
            </w:r>
            <w:r>
              <w:rPr>
                <w:rFonts w:hint="eastAsia"/>
              </w:rPr>
              <w:t>7</w:t>
            </w:r>
            <w:r>
              <w:rPr>
                <w:rFonts w:hint="eastAsia"/>
              </w:rPr>
              <w:t>日</w:t>
            </w:r>
          </w:p>
        </w:tc>
      </w:tr>
      <w:tr w:rsidR="00396970" w:rsidTr="00396970">
        <w:tc>
          <w:tcPr>
            <w:tcW w:w="2076" w:type="dxa"/>
            <w:vMerge w:val="restart"/>
          </w:tcPr>
          <w:p w:rsidR="00396970" w:rsidRDefault="00396970" w:rsidP="00396970">
            <w:pPr>
              <w:jc w:val="left"/>
            </w:pPr>
            <w:r>
              <w:rPr>
                <w:rFonts w:hint="eastAsia"/>
              </w:rPr>
              <w:t>基金经理</w:t>
            </w:r>
          </w:p>
        </w:tc>
        <w:tc>
          <w:tcPr>
            <w:tcW w:w="2076" w:type="dxa"/>
            <w:vMerge w:val="restart"/>
          </w:tcPr>
          <w:p w:rsidR="00396970" w:rsidRDefault="00396970" w:rsidP="00396970">
            <w:pPr>
              <w:jc w:val="left"/>
            </w:pPr>
            <w:r>
              <w:rPr>
                <w:rFonts w:hint="eastAsia"/>
              </w:rPr>
              <w:t>孙鲁闽</w:t>
            </w:r>
          </w:p>
        </w:tc>
        <w:tc>
          <w:tcPr>
            <w:tcW w:w="2077" w:type="dxa"/>
          </w:tcPr>
          <w:p w:rsidR="00396970" w:rsidRDefault="00396970" w:rsidP="00396970">
            <w:pPr>
              <w:jc w:val="left"/>
            </w:pPr>
            <w:r>
              <w:rPr>
                <w:rFonts w:hint="eastAsia"/>
              </w:rPr>
              <w:t>开始担任本基金基金经理的日期</w:t>
            </w:r>
          </w:p>
        </w:tc>
        <w:tc>
          <w:tcPr>
            <w:tcW w:w="2077" w:type="dxa"/>
          </w:tcPr>
          <w:p w:rsidR="00396970" w:rsidRDefault="00396970" w:rsidP="00396970">
            <w:pPr>
              <w:jc w:val="left"/>
            </w:pPr>
            <w:r>
              <w:rPr>
                <w:rFonts w:hint="eastAsia"/>
              </w:rPr>
              <w:t>2016</w:t>
            </w:r>
            <w:r>
              <w:rPr>
                <w:rFonts w:hint="eastAsia"/>
              </w:rPr>
              <w:t>年</w:t>
            </w:r>
            <w:r>
              <w:rPr>
                <w:rFonts w:hint="eastAsia"/>
              </w:rPr>
              <w:t>9</w:t>
            </w:r>
            <w:r>
              <w:rPr>
                <w:rFonts w:hint="eastAsia"/>
              </w:rPr>
              <w:t>月</w:t>
            </w:r>
            <w:r>
              <w:rPr>
                <w:rFonts w:hint="eastAsia"/>
              </w:rPr>
              <w:t>22</w:t>
            </w:r>
            <w:r>
              <w:rPr>
                <w:rFonts w:hint="eastAsia"/>
              </w:rPr>
              <w:t>日</w:t>
            </w:r>
          </w:p>
        </w:tc>
      </w:tr>
      <w:tr w:rsidR="00396970" w:rsidTr="00396970">
        <w:tc>
          <w:tcPr>
            <w:tcW w:w="2076" w:type="dxa"/>
            <w:vMerge/>
          </w:tcPr>
          <w:p w:rsidR="00396970" w:rsidRDefault="00396970" w:rsidP="00396970">
            <w:pPr>
              <w:jc w:val="left"/>
            </w:pPr>
          </w:p>
        </w:tc>
        <w:tc>
          <w:tcPr>
            <w:tcW w:w="2076" w:type="dxa"/>
            <w:vMerge/>
          </w:tcPr>
          <w:p w:rsidR="00396970" w:rsidRDefault="00396970" w:rsidP="00396970">
            <w:pPr>
              <w:jc w:val="left"/>
            </w:pPr>
          </w:p>
        </w:tc>
        <w:tc>
          <w:tcPr>
            <w:tcW w:w="2077" w:type="dxa"/>
          </w:tcPr>
          <w:p w:rsidR="00396970" w:rsidRDefault="00396970" w:rsidP="00396970">
            <w:pPr>
              <w:jc w:val="left"/>
            </w:pPr>
            <w:r>
              <w:rPr>
                <w:rFonts w:hint="eastAsia"/>
              </w:rPr>
              <w:t>证券从业日期</w:t>
            </w:r>
          </w:p>
        </w:tc>
        <w:tc>
          <w:tcPr>
            <w:tcW w:w="2077" w:type="dxa"/>
          </w:tcPr>
          <w:p w:rsidR="00396970" w:rsidRDefault="00396970" w:rsidP="00396970">
            <w:pPr>
              <w:jc w:val="left"/>
            </w:pPr>
            <w:r>
              <w:rPr>
                <w:rFonts w:hint="eastAsia"/>
              </w:rPr>
              <w:t>2003</w:t>
            </w:r>
            <w:r>
              <w:rPr>
                <w:rFonts w:hint="eastAsia"/>
              </w:rPr>
              <w:t>年</w:t>
            </w:r>
            <w:r>
              <w:rPr>
                <w:rFonts w:hint="eastAsia"/>
              </w:rPr>
              <w:t>4</w:t>
            </w:r>
            <w:r>
              <w:rPr>
                <w:rFonts w:hint="eastAsia"/>
              </w:rPr>
              <w:t>月</w:t>
            </w:r>
            <w:r>
              <w:rPr>
                <w:rFonts w:hint="eastAsia"/>
              </w:rPr>
              <w:t>1</w:t>
            </w:r>
            <w:r>
              <w:rPr>
                <w:rFonts w:hint="eastAsia"/>
              </w:rPr>
              <w:t>日</w:t>
            </w:r>
          </w:p>
        </w:tc>
      </w:tr>
    </w:tbl>
    <w:p w:rsidR="00396970" w:rsidRDefault="00396970" w:rsidP="00396970">
      <w:pPr>
        <w:pStyle w:val="-1"/>
        <w:spacing w:before="156" w:after="156"/>
        <w:rPr>
          <w:rFonts w:hint="eastAsia"/>
        </w:rPr>
      </w:pPr>
      <w:r>
        <w:rPr>
          <w:rFonts w:hint="eastAsia"/>
        </w:rPr>
        <w:t>二、基金投资与净值表现</w:t>
      </w:r>
    </w:p>
    <w:p w:rsidR="00396970" w:rsidRDefault="00396970" w:rsidP="00396970">
      <w:pPr>
        <w:pStyle w:val="-2"/>
        <w:spacing w:before="156" w:after="156"/>
        <w:rPr>
          <w:rFonts w:hint="eastAsia"/>
        </w:rPr>
      </w:pPr>
      <w:r>
        <w:rPr>
          <w:rFonts w:hint="eastAsia"/>
        </w:rPr>
        <w:t>（一）</w:t>
      </w:r>
      <w:r>
        <w:rPr>
          <w:rFonts w:hint="eastAsia"/>
        </w:rPr>
        <w:t xml:space="preserve"> </w:t>
      </w:r>
      <w:r>
        <w:rPr>
          <w:rFonts w:hint="eastAsia"/>
        </w:rPr>
        <w:t>投资目标与投资策略</w:t>
      </w:r>
    </w:p>
    <w:p w:rsidR="00396970" w:rsidRDefault="00396970" w:rsidP="00396970">
      <w:pPr>
        <w:pStyle w:val="-"/>
        <w:ind w:firstLine="420"/>
        <w:rPr>
          <w:rFonts w:hint="eastAsia"/>
        </w:rPr>
      </w:pPr>
      <w:r>
        <w:rPr>
          <w:rFonts w:hint="eastAsia"/>
        </w:rPr>
        <w:t>详见《南方安泰混合型证券投资基金招募说明书》第九部分“基金的投资”。</w:t>
      </w:r>
    </w:p>
    <w:tbl>
      <w:tblPr>
        <w:tblStyle w:val="-noheader"/>
        <w:tblW w:w="8505" w:type="dxa"/>
        <w:tblLayout w:type="fixed"/>
        <w:tblLook w:val="04A0" w:firstRow="1" w:lastRow="0" w:firstColumn="1" w:lastColumn="0" w:noHBand="0" w:noVBand="1"/>
      </w:tblPr>
      <w:tblGrid>
        <w:gridCol w:w="1701"/>
        <w:gridCol w:w="6804"/>
      </w:tblGrid>
      <w:tr w:rsidR="00396970" w:rsidTr="00396970">
        <w:tc>
          <w:tcPr>
            <w:tcW w:w="8505" w:type="nil"/>
          </w:tcPr>
          <w:p w:rsidR="00396970" w:rsidRDefault="00396970" w:rsidP="00396970">
            <w:pPr>
              <w:pStyle w:val="-"/>
              <w:shd w:val="clear" w:color="auto" w:fill="auto"/>
              <w:ind w:firstLineChars="0" w:firstLine="0"/>
              <w:jc w:val="left"/>
            </w:pPr>
            <w:r>
              <w:rPr>
                <w:rFonts w:hint="eastAsia"/>
              </w:rPr>
              <w:t>投资目标</w:t>
            </w:r>
          </w:p>
        </w:tc>
        <w:tc>
          <w:tcPr>
            <w:tcW w:w="8505" w:type="nil"/>
          </w:tcPr>
          <w:p w:rsidR="00396970" w:rsidRDefault="00396970" w:rsidP="00396970">
            <w:pPr>
              <w:pStyle w:val="-"/>
              <w:shd w:val="clear" w:color="auto" w:fill="auto"/>
              <w:ind w:firstLineChars="0" w:firstLine="0"/>
              <w:jc w:val="left"/>
            </w:pPr>
            <w:r>
              <w:rPr>
                <w:rFonts w:hint="eastAsia"/>
              </w:rPr>
              <w:t>本基金主要投资于债券等固定收益类金融工具，辅助投资于精选的股票，通过灵活的资产配置与严谨的风险管理，力求实现基金资产持续稳定增值，为投资者提供稳健的养老理财工具。</w:t>
            </w:r>
          </w:p>
        </w:tc>
      </w:tr>
      <w:tr w:rsidR="00396970" w:rsidTr="00396970">
        <w:tc>
          <w:tcPr>
            <w:tcW w:w="8505" w:type="nil"/>
          </w:tcPr>
          <w:p w:rsidR="00396970" w:rsidRDefault="00396970" w:rsidP="00396970">
            <w:pPr>
              <w:pStyle w:val="-"/>
              <w:shd w:val="clear" w:color="auto" w:fill="auto"/>
              <w:ind w:firstLineChars="0" w:firstLine="0"/>
              <w:jc w:val="left"/>
            </w:pPr>
            <w:r>
              <w:rPr>
                <w:rFonts w:hint="eastAsia"/>
              </w:rPr>
              <w:t>投资范围</w:t>
            </w:r>
          </w:p>
        </w:tc>
        <w:tc>
          <w:tcPr>
            <w:tcW w:w="8505" w:type="nil"/>
          </w:tcPr>
          <w:p w:rsidR="00396970" w:rsidRDefault="00396970" w:rsidP="00396970">
            <w:pPr>
              <w:pStyle w:val="-"/>
              <w:shd w:val="clear" w:color="auto" w:fill="auto"/>
              <w:ind w:firstLineChars="0" w:firstLine="0"/>
              <w:jc w:val="left"/>
            </w:pPr>
            <w:r>
              <w:rPr>
                <w:rFonts w:hint="eastAsia"/>
              </w:rPr>
              <w:t>本基金的投资对象包括国内依法发行上市的股票（包括中小板、创业板及其他经中国证监会核准上市的股票以及存托凭证（下同））、股指期货、权证、债券等固定收益类金融工具（包括国债、央行票据、金融债、企业债、公司债、次级债、地方政府债券、政府支持机构债券、政府支持债券、中期票据、可转换债券（含分离交易可转债）、短期融资券、超短期融资券、中小企业私募债、资产支持证券、债券回购、银行存款、货币市场工具等）及法律法规或中国证监会允许基金投资的其他金融工具（但须符合中国证监会的相关规定）。</w:t>
            </w:r>
          </w:p>
          <w:p w:rsidR="00396970" w:rsidRDefault="00396970" w:rsidP="00396970">
            <w:pPr>
              <w:pStyle w:val="-"/>
              <w:shd w:val="clear" w:color="auto" w:fill="auto"/>
              <w:ind w:firstLineChars="0" w:firstLine="0"/>
              <w:jc w:val="left"/>
            </w:pPr>
            <w:r>
              <w:rPr>
                <w:rFonts w:hint="eastAsia"/>
              </w:rPr>
              <w:t>本基金股票（含存托凭证）投资占基金资产的比例为</w:t>
            </w:r>
            <w:r>
              <w:t>0-30%</w:t>
            </w:r>
            <w:r>
              <w:t>；债券等固定收益类金融工具投资占基金资产的比例不低于</w:t>
            </w:r>
            <w:r>
              <w:t>70%</w:t>
            </w:r>
            <w:r>
              <w:t>，其中，现金及到期日在一年以内的政府债券不低于基金资产净值的</w:t>
            </w:r>
            <w:r>
              <w:t>5%</w:t>
            </w:r>
            <w:r>
              <w:t>。</w:t>
            </w:r>
          </w:p>
          <w:p w:rsidR="00396970" w:rsidRDefault="00396970" w:rsidP="00396970">
            <w:pPr>
              <w:pStyle w:val="-"/>
              <w:shd w:val="clear" w:color="auto" w:fill="auto"/>
              <w:ind w:firstLineChars="0" w:firstLine="0"/>
              <w:jc w:val="left"/>
            </w:pPr>
            <w:r>
              <w:rPr>
                <w:rFonts w:hint="eastAsia"/>
              </w:rPr>
              <w:lastRenderedPageBreak/>
              <w:t>如法律法规或监管机构以后允许基金投资其他品种，基金管理人在履行适当程序后，可以将其纳入投资范围，有关投资比例限制等遵循届时有效的规定执行。</w:t>
            </w:r>
            <w:r>
              <w:t xml:space="preserve"> </w:t>
            </w:r>
            <w:r>
              <w:t>本基金管理人自基金合同生效之日起</w:t>
            </w:r>
            <w:r>
              <w:t>6</w:t>
            </w:r>
            <w:r>
              <w:t>个月内使基金的投资组合比例符合上述相关规定。</w:t>
            </w:r>
          </w:p>
        </w:tc>
      </w:tr>
      <w:tr w:rsidR="00396970" w:rsidTr="00396970">
        <w:tc>
          <w:tcPr>
            <w:tcW w:w="8505" w:type="nil"/>
          </w:tcPr>
          <w:p w:rsidR="00396970" w:rsidRDefault="00396970" w:rsidP="00396970">
            <w:pPr>
              <w:pStyle w:val="-"/>
              <w:shd w:val="clear" w:color="auto" w:fill="auto"/>
              <w:ind w:firstLineChars="0" w:firstLine="0"/>
              <w:jc w:val="left"/>
            </w:pPr>
            <w:r>
              <w:rPr>
                <w:rFonts w:hint="eastAsia"/>
              </w:rPr>
              <w:lastRenderedPageBreak/>
              <w:t>主要投资策略</w:t>
            </w:r>
          </w:p>
        </w:tc>
        <w:tc>
          <w:tcPr>
            <w:tcW w:w="8505" w:type="nil"/>
          </w:tcPr>
          <w:p w:rsidR="00396970" w:rsidRDefault="00396970" w:rsidP="00396970">
            <w:pPr>
              <w:pStyle w:val="-"/>
              <w:shd w:val="clear" w:color="auto" w:fill="auto"/>
              <w:ind w:firstLineChars="0" w:firstLine="0"/>
              <w:jc w:val="left"/>
            </w:pPr>
            <w:r>
              <w:rPr>
                <w:rFonts w:hint="eastAsia"/>
              </w:rPr>
              <w:t>本基金在资产配置方面采用优化的恒定比例投资组合保险策略（优化</w:t>
            </w:r>
            <w:r>
              <w:t>CPPI</w:t>
            </w:r>
            <w:r>
              <w:t>）。</w:t>
            </w:r>
            <w:r>
              <w:t>CPPI</w:t>
            </w:r>
            <w:r>
              <w:t>策略是国际通行的一种投资组合保险策略，优化的</w:t>
            </w:r>
            <w:r>
              <w:t>CPPI</w:t>
            </w:r>
            <w:r>
              <w:t>策略是对</w:t>
            </w:r>
            <w:r>
              <w:t>CPPI</w:t>
            </w:r>
            <w:r>
              <w:t>策略的一种优化，它主要是通过金融工程技术和数量分析等工具，根据市场的波动来动态调整风险资产与稳健资产在投资组合中的比重，以确保投资组合在一段时间以后的价值不低于事先设定的某一目标价值，以达到增强组合收益的效果。该策略的具体实施主要有以下步骤：第一步，确定基金价值底线。根据投资组合期末最低目标价值和合理的折现率设定当前应持有的稳健资产的数量，即投资组合的价值底线</w:t>
            </w:r>
            <w:r>
              <w:t>,</w:t>
            </w:r>
            <w:r>
              <w:t>计算投资组合现时净值超过价值底线的数额</w:t>
            </w:r>
            <w:r>
              <w:t>;</w:t>
            </w:r>
            <w:r>
              <w:t>第二步，确定风险资产。将相当于净值超过价值底线的数额特定倍数的资金投资于风险资产（如股票等），以实现最低目标价值的增值。第三步，调整风险乘数及资产配置比例。本基金将根据市场波动的特点以及预期的风险与收益的匹配关系，定期计算风险乘数上限并对实际风险乘数进行监控，一旦实际风险乘数超过当期风险乘数上限，则重复前两个步骤的操作，对风险乘数进而整体资产配置比例进行动态调整。</w:t>
            </w:r>
          </w:p>
        </w:tc>
      </w:tr>
      <w:tr w:rsidR="00396970" w:rsidTr="00396970">
        <w:tc>
          <w:tcPr>
            <w:tcW w:w="8505" w:type="nil"/>
          </w:tcPr>
          <w:p w:rsidR="00396970" w:rsidRDefault="00396970" w:rsidP="00396970">
            <w:pPr>
              <w:pStyle w:val="-"/>
              <w:shd w:val="clear" w:color="auto" w:fill="auto"/>
              <w:ind w:firstLineChars="0" w:firstLine="0"/>
              <w:jc w:val="left"/>
            </w:pPr>
            <w:r>
              <w:rPr>
                <w:rFonts w:hint="eastAsia"/>
              </w:rPr>
              <w:t>业绩比较基准</w:t>
            </w:r>
          </w:p>
        </w:tc>
        <w:tc>
          <w:tcPr>
            <w:tcW w:w="8505" w:type="nil"/>
          </w:tcPr>
          <w:p w:rsidR="00396970" w:rsidRDefault="00396970" w:rsidP="00396970">
            <w:pPr>
              <w:pStyle w:val="-"/>
              <w:shd w:val="clear" w:color="auto" w:fill="auto"/>
              <w:ind w:firstLineChars="0" w:firstLine="0"/>
              <w:jc w:val="left"/>
            </w:pPr>
            <w:r>
              <w:rPr>
                <w:rFonts w:hint="eastAsia"/>
              </w:rPr>
              <w:t>沪深</w:t>
            </w:r>
            <w:r>
              <w:t>300</w:t>
            </w:r>
            <w:r>
              <w:t>指数收益率</w:t>
            </w:r>
            <w:r>
              <w:t>×15%</w:t>
            </w:r>
            <w:r>
              <w:t>＋上证国债指数收益率</w:t>
            </w:r>
            <w:r>
              <w:t>×85%</w:t>
            </w:r>
          </w:p>
        </w:tc>
      </w:tr>
      <w:tr w:rsidR="00396970" w:rsidTr="00396970">
        <w:tc>
          <w:tcPr>
            <w:tcW w:w="8505" w:type="nil"/>
          </w:tcPr>
          <w:p w:rsidR="00396970" w:rsidRDefault="00396970" w:rsidP="00396970">
            <w:pPr>
              <w:pStyle w:val="-"/>
              <w:shd w:val="clear" w:color="auto" w:fill="auto"/>
              <w:ind w:firstLineChars="0" w:firstLine="0"/>
              <w:jc w:val="left"/>
            </w:pPr>
            <w:r>
              <w:rPr>
                <w:rFonts w:hint="eastAsia"/>
              </w:rPr>
              <w:t>风险收益特征</w:t>
            </w:r>
          </w:p>
        </w:tc>
        <w:tc>
          <w:tcPr>
            <w:tcW w:w="8505" w:type="nil"/>
          </w:tcPr>
          <w:p w:rsidR="00396970" w:rsidRDefault="00396970" w:rsidP="00396970">
            <w:pPr>
              <w:pStyle w:val="-"/>
              <w:shd w:val="clear" w:color="auto" w:fill="auto"/>
              <w:ind w:firstLineChars="0" w:firstLine="0"/>
              <w:jc w:val="left"/>
            </w:pPr>
            <w:r>
              <w:rPr>
                <w:rFonts w:hint="eastAsia"/>
              </w:rPr>
              <w:t>本基金为债券投资为主的混合型基金，属于中低风险、中低收益预期的基金品种，其风险收益预期高于货币市场基金和债券型基金，低于股票型基金。本基金为债券投资为主的混合型基金，属于中低风险、中低收益预期的基金品种，其风险收益预期高于货币市场基金和债券型基金，低于股票型基金。前款有关风险收益特征的表述是基于投资范围、投资比例、证券市场普遍规律等做出的概述性描述，代表了一般市场情况下本基金的长期风险收益特征。销售机构</w:t>
            </w:r>
            <w:r>
              <w:t>(</w:t>
            </w:r>
            <w:r>
              <w:t>包括基金管理人直销机构和其他销售机构</w:t>
            </w:r>
            <w:r>
              <w:t>)</w:t>
            </w:r>
            <w:r>
              <w:t>根据相关法律法规对本基金进行风险评价，不同销售机构采用的评价方法</w:t>
            </w:r>
            <w:r>
              <w:rPr>
                <w:rFonts w:hint="eastAsia"/>
              </w:rPr>
              <w:t>也不同，因此销售机构的风险等级评价与基金法律文件中风险收益特征的表述可能存在不同。本基金的风险等级可能有相应变化，具体风险评级结果应以销售机构的评级结果为准。</w:t>
            </w:r>
          </w:p>
        </w:tc>
      </w:tr>
    </w:tbl>
    <w:p w:rsidR="00396970" w:rsidRDefault="00396970" w:rsidP="00396970">
      <w:pPr>
        <w:pStyle w:val="-2"/>
        <w:spacing w:before="156" w:after="156"/>
      </w:pPr>
      <w:r>
        <w:rPr>
          <w:rFonts w:hint="eastAsia"/>
        </w:rPr>
        <w:t>（二）</w:t>
      </w:r>
      <w:r>
        <w:t xml:space="preserve"> </w:t>
      </w:r>
      <w:r>
        <w:t>投资组合资产配置图表</w:t>
      </w:r>
      <w:r>
        <w:t>/</w:t>
      </w:r>
      <w:r>
        <w:t>区域配置图表</w:t>
      </w:r>
    </w:p>
    <w:p w:rsidR="00396970" w:rsidRDefault="00396970" w:rsidP="00396970">
      <w:r>
        <w:rPr>
          <w:noProof/>
        </w:rPr>
        <w:lastRenderedPageBreak/>
        <w:drawing>
          <wp:inline distT="0" distB="0" distL="0" distR="0">
            <wp:extent cx="5274310" cy="2588260"/>
            <wp:effectExtent l="0" t="0" r="2540" b="2540"/>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5274310" cy="2588260"/>
                    </a:xfrm>
                    <a:prstGeom prst="rect">
                      <a:avLst/>
                    </a:prstGeom>
                  </pic:spPr>
                </pic:pic>
              </a:graphicData>
            </a:graphic>
          </wp:inline>
        </w:drawing>
      </w:r>
    </w:p>
    <w:p w:rsidR="00396970" w:rsidRDefault="00396970" w:rsidP="00396970">
      <w:pPr>
        <w:pStyle w:val="-2"/>
        <w:spacing w:before="156" w:after="156"/>
        <w:rPr>
          <w:rFonts w:hint="eastAsia"/>
        </w:rPr>
      </w:pPr>
      <w:r>
        <w:rPr>
          <w:rFonts w:hint="eastAsia"/>
        </w:rPr>
        <w:t>（三）</w:t>
      </w:r>
      <w:r>
        <w:rPr>
          <w:rFonts w:hint="eastAsia"/>
        </w:rPr>
        <w:t xml:space="preserve"> </w:t>
      </w:r>
      <w:r>
        <w:rPr>
          <w:rFonts w:hint="eastAsia"/>
        </w:rPr>
        <w:t>自基金合同生效以来基金每年的净值增长率及与同期业绩比较基准的比较图</w:t>
      </w:r>
    </w:p>
    <w:p w:rsidR="00396970" w:rsidRDefault="00396970" w:rsidP="00396970">
      <w:r>
        <w:rPr>
          <w:noProof/>
        </w:rPr>
        <w:drawing>
          <wp:inline distT="0" distB="0" distL="0" distR="0">
            <wp:extent cx="5274310" cy="3395980"/>
            <wp:effectExtent l="0" t="0" r="2540" b="0"/>
            <wp:docPr id="2" name="图片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8">
                      <a:extLst>
                        <a:ext uri="{28A0092B-C50C-407E-A947-70E740481C1C}">
                          <a14:useLocalDpi xmlns:a14="http://schemas.microsoft.com/office/drawing/2010/main" val="0"/>
                        </a:ext>
                      </a:extLst>
                    </a:blip>
                    <a:stretch>
                      <a:fillRect/>
                    </a:stretch>
                  </pic:blipFill>
                  <pic:spPr>
                    <a:xfrm>
                      <a:off x="0" y="0"/>
                      <a:ext cx="5274310" cy="3395980"/>
                    </a:xfrm>
                    <a:prstGeom prst="rect">
                      <a:avLst/>
                    </a:prstGeom>
                  </pic:spPr>
                </pic:pic>
              </a:graphicData>
            </a:graphic>
          </wp:inline>
        </w:drawing>
      </w:r>
    </w:p>
    <w:p w:rsidR="00396970" w:rsidRDefault="00396970" w:rsidP="00396970">
      <w:pPr>
        <w:pStyle w:val="-1"/>
        <w:spacing w:before="156" w:after="156"/>
        <w:rPr>
          <w:rFonts w:hint="eastAsia"/>
        </w:rPr>
      </w:pPr>
      <w:r>
        <w:rPr>
          <w:rFonts w:hint="eastAsia"/>
        </w:rPr>
        <w:t>三、投资本基金涉及的费用</w:t>
      </w:r>
    </w:p>
    <w:p w:rsidR="00396970" w:rsidRDefault="00396970" w:rsidP="00396970">
      <w:pPr>
        <w:pStyle w:val="-2"/>
        <w:spacing w:before="156" w:after="156"/>
        <w:rPr>
          <w:rFonts w:hint="eastAsia"/>
        </w:rPr>
      </w:pPr>
      <w:r>
        <w:rPr>
          <w:rFonts w:hint="eastAsia"/>
        </w:rPr>
        <w:t>（一）</w:t>
      </w:r>
      <w:r>
        <w:rPr>
          <w:rFonts w:hint="eastAsia"/>
        </w:rPr>
        <w:t xml:space="preserve"> </w:t>
      </w:r>
      <w:r>
        <w:rPr>
          <w:rFonts w:hint="eastAsia"/>
        </w:rPr>
        <w:t>基金销售相关费用</w:t>
      </w:r>
    </w:p>
    <w:tbl>
      <w:tblPr>
        <w:tblStyle w:val="-noheader"/>
        <w:tblW w:w="0" w:type="auto"/>
        <w:tblLayout w:type="fixed"/>
        <w:tblLook w:val="04A0" w:firstRow="1" w:lastRow="0" w:firstColumn="1" w:lastColumn="0" w:noHBand="0" w:noVBand="1"/>
      </w:tblPr>
      <w:tblGrid>
        <w:gridCol w:w="2076"/>
        <w:gridCol w:w="2076"/>
        <w:gridCol w:w="2077"/>
        <w:gridCol w:w="2077"/>
      </w:tblGrid>
      <w:tr w:rsidR="00396970" w:rsidTr="00396970">
        <w:tc>
          <w:tcPr>
            <w:tcW w:w="2076" w:type="dxa"/>
          </w:tcPr>
          <w:p w:rsidR="00396970" w:rsidRDefault="00396970" w:rsidP="00396970">
            <w:pPr>
              <w:jc w:val="center"/>
            </w:pPr>
            <w:r>
              <w:rPr>
                <w:rFonts w:hint="eastAsia"/>
              </w:rPr>
              <w:t>费用类型</w:t>
            </w:r>
          </w:p>
        </w:tc>
        <w:tc>
          <w:tcPr>
            <w:tcW w:w="2076" w:type="dxa"/>
          </w:tcPr>
          <w:p w:rsidR="00396970" w:rsidRDefault="00396970" w:rsidP="00396970">
            <w:pPr>
              <w:jc w:val="center"/>
            </w:pPr>
            <w:r>
              <w:rPr>
                <w:rFonts w:hint="eastAsia"/>
              </w:rPr>
              <w:t>份额（</w:t>
            </w:r>
            <w:r>
              <w:rPr>
                <w:rFonts w:hint="eastAsia"/>
              </w:rPr>
              <w:t>S</w:t>
            </w:r>
            <w:r>
              <w:rPr>
                <w:rFonts w:hint="eastAsia"/>
              </w:rPr>
              <w:t>）或金额（</w:t>
            </w:r>
            <w:r>
              <w:rPr>
                <w:rFonts w:hint="eastAsia"/>
              </w:rPr>
              <w:t>M</w:t>
            </w:r>
            <w:r>
              <w:rPr>
                <w:rFonts w:hint="eastAsia"/>
              </w:rPr>
              <w:t>）</w:t>
            </w:r>
            <w:r>
              <w:rPr>
                <w:rFonts w:hint="eastAsia"/>
              </w:rPr>
              <w:t>/</w:t>
            </w:r>
            <w:r>
              <w:rPr>
                <w:rFonts w:hint="eastAsia"/>
              </w:rPr>
              <w:t>持有期限（</w:t>
            </w:r>
            <w:r>
              <w:rPr>
                <w:rFonts w:hint="eastAsia"/>
              </w:rPr>
              <w:t>N</w:t>
            </w:r>
            <w:r>
              <w:rPr>
                <w:rFonts w:hint="eastAsia"/>
              </w:rPr>
              <w:t>）</w:t>
            </w:r>
          </w:p>
        </w:tc>
        <w:tc>
          <w:tcPr>
            <w:tcW w:w="2077" w:type="dxa"/>
          </w:tcPr>
          <w:p w:rsidR="00396970" w:rsidRDefault="00396970" w:rsidP="00396970">
            <w:pPr>
              <w:jc w:val="center"/>
            </w:pPr>
            <w:r>
              <w:rPr>
                <w:rFonts w:hint="eastAsia"/>
              </w:rPr>
              <w:t>收费方式</w:t>
            </w:r>
            <w:r>
              <w:rPr>
                <w:rFonts w:hint="eastAsia"/>
              </w:rPr>
              <w:t>/</w:t>
            </w:r>
            <w:r>
              <w:rPr>
                <w:rFonts w:hint="eastAsia"/>
              </w:rPr>
              <w:t>费率</w:t>
            </w:r>
          </w:p>
        </w:tc>
        <w:tc>
          <w:tcPr>
            <w:tcW w:w="2077" w:type="dxa"/>
          </w:tcPr>
          <w:p w:rsidR="00396970" w:rsidRDefault="00396970" w:rsidP="00396970">
            <w:pPr>
              <w:jc w:val="center"/>
            </w:pPr>
            <w:r>
              <w:rPr>
                <w:rFonts w:hint="eastAsia"/>
              </w:rPr>
              <w:t>备注</w:t>
            </w:r>
          </w:p>
        </w:tc>
      </w:tr>
      <w:tr w:rsidR="00396970" w:rsidTr="00396970">
        <w:tc>
          <w:tcPr>
            <w:tcW w:w="2076" w:type="dxa"/>
            <w:vMerge w:val="restart"/>
          </w:tcPr>
          <w:p w:rsidR="00396970" w:rsidRDefault="00396970" w:rsidP="00396970">
            <w:pPr>
              <w:jc w:val="center"/>
            </w:pPr>
            <w:r>
              <w:rPr>
                <w:rFonts w:hint="eastAsia"/>
              </w:rPr>
              <w:t>认购费</w:t>
            </w:r>
          </w:p>
        </w:tc>
        <w:tc>
          <w:tcPr>
            <w:tcW w:w="2076" w:type="dxa"/>
          </w:tcPr>
          <w:p w:rsidR="00396970" w:rsidRDefault="00396970" w:rsidP="00396970">
            <w:pPr>
              <w:jc w:val="left"/>
            </w:pPr>
            <w:r>
              <w:rPr>
                <w:rFonts w:hint="eastAsia"/>
              </w:rPr>
              <w:t>M&lt; 100</w:t>
            </w:r>
            <w:r>
              <w:rPr>
                <w:rFonts w:hint="eastAsia"/>
              </w:rPr>
              <w:t>万元</w:t>
            </w:r>
          </w:p>
        </w:tc>
        <w:tc>
          <w:tcPr>
            <w:tcW w:w="2077" w:type="dxa"/>
          </w:tcPr>
          <w:p w:rsidR="00396970" w:rsidRDefault="00396970" w:rsidP="00396970">
            <w:pPr>
              <w:jc w:val="right"/>
            </w:pPr>
            <w:r>
              <w:t>1%</w:t>
            </w:r>
          </w:p>
        </w:tc>
        <w:tc>
          <w:tcPr>
            <w:tcW w:w="2077" w:type="dxa"/>
          </w:tcPr>
          <w:p w:rsidR="00396970" w:rsidRDefault="00396970" w:rsidP="00396970">
            <w:pPr>
              <w:jc w:val="right"/>
            </w:pPr>
            <w:r>
              <w:t>-</w:t>
            </w:r>
          </w:p>
        </w:tc>
      </w:tr>
      <w:tr w:rsidR="00396970" w:rsidTr="00396970">
        <w:tc>
          <w:tcPr>
            <w:tcW w:w="2076" w:type="dxa"/>
            <w:vMerge/>
          </w:tcPr>
          <w:p w:rsidR="00396970" w:rsidRDefault="00396970" w:rsidP="00396970">
            <w:pPr>
              <w:jc w:val="left"/>
            </w:pPr>
          </w:p>
        </w:tc>
        <w:tc>
          <w:tcPr>
            <w:tcW w:w="2076" w:type="dxa"/>
          </w:tcPr>
          <w:p w:rsidR="00396970" w:rsidRDefault="00396970" w:rsidP="00396970">
            <w:pPr>
              <w:jc w:val="left"/>
            </w:pPr>
            <w:r>
              <w:rPr>
                <w:rFonts w:hint="eastAsia"/>
              </w:rPr>
              <w:t>100</w:t>
            </w:r>
            <w:r>
              <w:rPr>
                <w:rFonts w:hint="eastAsia"/>
              </w:rPr>
              <w:t>万元≤</w:t>
            </w:r>
            <w:r>
              <w:rPr>
                <w:rFonts w:hint="eastAsia"/>
              </w:rPr>
              <w:t>M&lt; 500</w:t>
            </w:r>
            <w:r>
              <w:rPr>
                <w:rFonts w:hint="eastAsia"/>
              </w:rPr>
              <w:t>万元</w:t>
            </w:r>
          </w:p>
        </w:tc>
        <w:tc>
          <w:tcPr>
            <w:tcW w:w="2077" w:type="dxa"/>
          </w:tcPr>
          <w:p w:rsidR="00396970" w:rsidRDefault="00396970" w:rsidP="00396970">
            <w:pPr>
              <w:jc w:val="right"/>
            </w:pPr>
            <w:r>
              <w:t>0.6%</w:t>
            </w:r>
          </w:p>
        </w:tc>
        <w:tc>
          <w:tcPr>
            <w:tcW w:w="2077" w:type="dxa"/>
          </w:tcPr>
          <w:p w:rsidR="00396970" w:rsidRDefault="00396970" w:rsidP="00396970">
            <w:pPr>
              <w:jc w:val="right"/>
            </w:pPr>
            <w:r>
              <w:t>-</w:t>
            </w:r>
          </w:p>
        </w:tc>
      </w:tr>
      <w:tr w:rsidR="00396970" w:rsidTr="00396970">
        <w:tc>
          <w:tcPr>
            <w:tcW w:w="2076" w:type="dxa"/>
            <w:vMerge/>
          </w:tcPr>
          <w:p w:rsidR="00396970" w:rsidRDefault="00396970" w:rsidP="00396970">
            <w:pPr>
              <w:jc w:val="left"/>
            </w:pPr>
          </w:p>
        </w:tc>
        <w:tc>
          <w:tcPr>
            <w:tcW w:w="2076" w:type="dxa"/>
          </w:tcPr>
          <w:p w:rsidR="00396970" w:rsidRDefault="00396970" w:rsidP="00396970">
            <w:pPr>
              <w:jc w:val="left"/>
            </w:pPr>
            <w:r>
              <w:rPr>
                <w:rFonts w:hint="eastAsia"/>
              </w:rPr>
              <w:t>500</w:t>
            </w:r>
            <w:r>
              <w:rPr>
                <w:rFonts w:hint="eastAsia"/>
              </w:rPr>
              <w:t>万元≤</w:t>
            </w:r>
            <w:r>
              <w:rPr>
                <w:rFonts w:hint="eastAsia"/>
              </w:rPr>
              <w:t>M&lt; 1000</w:t>
            </w:r>
            <w:r>
              <w:rPr>
                <w:rFonts w:hint="eastAsia"/>
              </w:rPr>
              <w:lastRenderedPageBreak/>
              <w:t>万元</w:t>
            </w:r>
          </w:p>
        </w:tc>
        <w:tc>
          <w:tcPr>
            <w:tcW w:w="2077" w:type="dxa"/>
          </w:tcPr>
          <w:p w:rsidR="00396970" w:rsidRDefault="00396970" w:rsidP="00396970">
            <w:pPr>
              <w:jc w:val="right"/>
            </w:pPr>
            <w:r>
              <w:lastRenderedPageBreak/>
              <w:t>0.2%</w:t>
            </w:r>
          </w:p>
        </w:tc>
        <w:tc>
          <w:tcPr>
            <w:tcW w:w="2077" w:type="dxa"/>
          </w:tcPr>
          <w:p w:rsidR="00396970" w:rsidRDefault="00396970" w:rsidP="00396970">
            <w:pPr>
              <w:jc w:val="right"/>
            </w:pPr>
            <w:r>
              <w:t>-</w:t>
            </w:r>
          </w:p>
        </w:tc>
      </w:tr>
      <w:tr w:rsidR="00396970" w:rsidTr="00396970">
        <w:tc>
          <w:tcPr>
            <w:tcW w:w="2076" w:type="dxa"/>
            <w:vMerge/>
          </w:tcPr>
          <w:p w:rsidR="00396970" w:rsidRDefault="00396970" w:rsidP="00396970">
            <w:pPr>
              <w:jc w:val="left"/>
            </w:pPr>
          </w:p>
        </w:tc>
        <w:tc>
          <w:tcPr>
            <w:tcW w:w="2076" w:type="dxa"/>
          </w:tcPr>
          <w:p w:rsidR="00396970" w:rsidRDefault="00396970" w:rsidP="00396970">
            <w:pPr>
              <w:jc w:val="left"/>
            </w:pPr>
            <w:r>
              <w:rPr>
                <w:rFonts w:hint="eastAsia"/>
              </w:rPr>
              <w:t>1000</w:t>
            </w:r>
            <w:r>
              <w:rPr>
                <w:rFonts w:hint="eastAsia"/>
              </w:rPr>
              <w:t>万元≤</w:t>
            </w:r>
            <w:r>
              <w:rPr>
                <w:rFonts w:hint="eastAsia"/>
              </w:rPr>
              <w:t xml:space="preserve">M </w:t>
            </w:r>
          </w:p>
        </w:tc>
        <w:tc>
          <w:tcPr>
            <w:tcW w:w="2077" w:type="dxa"/>
          </w:tcPr>
          <w:p w:rsidR="00396970" w:rsidRDefault="00396970" w:rsidP="00396970">
            <w:pPr>
              <w:jc w:val="left"/>
            </w:pPr>
            <w:r>
              <w:rPr>
                <w:rFonts w:hint="eastAsia"/>
              </w:rPr>
              <w:t>每笔</w:t>
            </w:r>
            <w:r>
              <w:rPr>
                <w:rFonts w:hint="eastAsia"/>
              </w:rPr>
              <w:t>1000</w:t>
            </w:r>
            <w:r>
              <w:rPr>
                <w:rFonts w:hint="eastAsia"/>
              </w:rPr>
              <w:t>元</w:t>
            </w:r>
          </w:p>
        </w:tc>
        <w:tc>
          <w:tcPr>
            <w:tcW w:w="2077" w:type="dxa"/>
          </w:tcPr>
          <w:p w:rsidR="00396970" w:rsidRDefault="00396970" w:rsidP="00396970">
            <w:pPr>
              <w:jc w:val="right"/>
            </w:pPr>
            <w:r>
              <w:t>-</w:t>
            </w:r>
          </w:p>
        </w:tc>
      </w:tr>
      <w:tr w:rsidR="00396970" w:rsidTr="00396970">
        <w:tc>
          <w:tcPr>
            <w:tcW w:w="2076" w:type="dxa"/>
            <w:vMerge w:val="restart"/>
          </w:tcPr>
          <w:p w:rsidR="00396970" w:rsidRDefault="00396970" w:rsidP="00396970">
            <w:pPr>
              <w:jc w:val="center"/>
            </w:pPr>
            <w:r>
              <w:rPr>
                <w:rFonts w:hint="eastAsia"/>
              </w:rPr>
              <w:t>申购费（前收费）</w:t>
            </w:r>
          </w:p>
        </w:tc>
        <w:tc>
          <w:tcPr>
            <w:tcW w:w="2076" w:type="dxa"/>
          </w:tcPr>
          <w:p w:rsidR="00396970" w:rsidRDefault="00396970" w:rsidP="00396970">
            <w:pPr>
              <w:jc w:val="left"/>
            </w:pPr>
            <w:r>
              <w:rPr>
                <w:rFonts w:hint="eastAsia"/>
              </w:rPr>
              <w:t>M&lt; 100</w:t>
            </w:r>
            <w:r>
              <w:rPr>
                <w:rFonts w:hint="eastAsia"/>
              </w:rPr>
              <w:t>万元</w:t>
            </w:r>
          </w:p>
        </w:tc>
        <w:tc>
          <w:tcPr>
            <w:tcW w:w="2077" w:type="dxa"/>
          </w:tcPr>
          <w:p w:rsidR="00396970" w:rsidRDefault="00396970" w:rsidP="00396970">
            <w:pPr>
              <w:jc w:val="right"/>
            </w:pPr>
            <w:r>
              <w:t>1.2%</w:t>
            </w:r>
          </w:p>
        </w:tc>
        <w:tc>
          <w:tcPr>
            <w:tcW w:w="2077" w:type="dxa"/>
          </w:tcPr>
          <w:p w:rsidR="00396970" w:rsidRDefault="00396970" w:rsidP="00396970">
            <w:pPr>
              <w:jc w:val="right"/>
            </w:pPr>
            <w:r>
              <w:t>-</w:t>
            </w:r>
          </w:p>
        </w:tc>
      </w:tr>
      <w:tr w:rsidR="00396970" w:rsidTr="00396970">
        <w:tc>
          <w:tcPr>
            <w:tcW w:w="2076" w:type="dxa"/>
            <w:vMerge/>
          </w:tcPr>
          <w:p w:rsidR="00396970" w:rsidRDefault="00396970" w:rsidP="00396970">
            <w:pPr>
              <w:jc w:val="left"/>
            </w:pPr>
          </w:p>
        </w:tc>
        <w:tc>
          <w:tcPr>
            <w:tcW w:w="2076" w:type="dxa"/>
          </w:tcPr>
          <w:p w:rsidR="00396970" w:rsidRDefault="00396970" w:rsidP="00396970">
            <w:pPr>
              <w:jc w:val="left"/>
            </w:pPr>
            <w:r>
              <w:rPr>
                <w:rFonts w:hint="eastAsia"/>
              </w:rPr>
              <w:t>100</w:t>
            </w:r>
            <w:r>
              <w:rPr>
                <w:rFonts w:hint="eastAsia"/>
              </w:rPr>
              <w:t>万元≤</w:t>
            </w:r>
            <w:r>
              <w:rPr>
                <w:rFonts w:hint="eastAsia"/>
              </w:rPr>
              <w:t>M&lt; 500</w:t>
            </w:r>
            <w:r>
              <w:rPr>
                <w:rFonts w:hint="eastAsia"/>
              </w:rPr>
              <w:t>万元</w:t>
            </w:r>
          </w:p>
        </w:tc>
        <w:tc>
          <w:tcPr>
            <w:tcW w:w="2077" w:type="dxa"/>
          </w:tcPr>
          <w:p w:rsidR="00396970" w:rsidRDefault="00396970" w:rsidP="00396970">
            <w:pPr>
              <w:jc w:val="right"/>
            </w:pPr>
            <w:r>
              <w:t>0.8%</w:t>
            </w:r>
          </w:p>
        </w:tc>
        <w:tc>
          <w:tcPr>
            <w:tcW w:w="2077" w:type="dxa"/>
          </w:tcPr>
          <w:p w:rsidR="00396970" w:rsidRDefault="00396970" w:rsidP="00396970">
            <w:pPr>
              <w:jc w:val="right"/>
            </w:pPr>
            <w:r>
              <w:t>-</w:t>
            </w:r>
          </w:p>
        </w:tc>
      </w:tr>
      <w:tr w:rsidR="00396970" w:rsidTr="00396970">
        <w:tc>
          <w:tcPr>
            <w:tcW w:w="2076" w:type="dxa"/>
            <w:vMerge/>
          </w:tcPr>
          <w:p w:rsidR="00396970" w:rsidRDefault="00396970" w:rsidP="00396970">
            <w:pPr>
              <w:jc w:val="left"/>
            </w:pPr>
          </w:p>
        </w:tc>
        <w:tc>
          <w:tcPr>
            <w:tcW w:w="2076" w:type="dxa"/>
          </w:tcPr>
          <w:p w:rsidR="00396970" w:rsidRDefault="00396970" w:rsidP="00396970">
            <w:pPr>
              <w:jc w:val="left"/>
            </w:pPr>
            <w:r>
              <w:rPr>
                <w:rFonts w:hint="eastAsia"/>
              </w:rPr>
              <w:t>500</w:t>
            </w:r>
            <w:r>
              <w:rPr>
                <w:rFonts w:hint="eastAsia"/>
              </w:rPr>
              <w:t>万元≤</w:t>
            </w:r>
            <w:r>
              <w:rPr>
                <w:rFonts w:hint="eastAsia"/>
              </w:rPr>
              <w:t>M&lt; 1000</w:t>
            </w:r>
            <w:r>
              <w:rPr>
                <w:rFonts w:hint="eastAsia"/>
              </w:rPr>
              <w:t>万元</w:t>
            </w:r>
          </w:p>
        </w:tc>
        <w:tc>
          <w:tcPr>
            <w:tcW w:w="2077" w:type="dxa"/>
          </w:tcPr>
          <w:p w:rsidR="00396970" w:rsidRDefault="00396970" w:rsidP="00396970">
            <w:pPr>
              <w:jc w:val="right"/>
            </w:pPr>
            <w:r>
              <w:t>0.4%</w:t>
            </w:r>
          </w:p>
        </w:tc>
        <w:tc>
          <w:tcPr>
            <w:tcW w:w="2077" w:type="dxa"/>
          </w:tcPr>
          <w:p w:rsidR="00396970" w:rsidRDefault="00396970" w:rsidP="00396970">
            <w:pPr>
              <w:jc w:val="right"/>
            </w:pPr>
            <w:r>
              <w:t>-</w:t>
            </w:r>
          </w:p>
        </w:tc>
      </w:tr>
      <w:tr w:rsidR="00396970" w:rsidTr="00396970">
        <w:tc>
          <w:tcPr>
            <w:tcW w:w="2076" w:type="dxa"/>
            <w:vMerge/>
          </w:tcPr>
          <w:p w:rsidR="00396970" w:rsidRDefault="00396970" w:rsidP="00396970">
            <w:pPr>
              <w:jc w:val="left"/>
            </w:pPr>
          </w:p>
        </w:tc>
        <w:tc>
          <w:tcPr>
            <w:tcW w:w="2076" w:type="dxa"/>
          </w:tcPr>
          <w:p w:rsidR="00396970" w:rsidRDefault="00396970" w:rsidP="00396970">
            <w:pPr>
              <w:jc w:val="left"/>
            </w:pPr>
            <w:r>
              <w:rPr>
                <w:rFonts w:hint="eastAsia"/>
              </w:rPr>
              <w:t>1000</w:t>
            </w:r>
            <w:r>
              <w:rPr>
                <w:rFonts w:hint="eastAsia"/>
              </w:rPr>
              <w:t>万元≤</w:t>
            </w:r>
            <w:r>
              <w:rPr>
                <w:rFonts w:hint="eastAsia"/>
              </w:rPr>
              <w:t xml:space="preserve">M </w:t>
            </w:r>
          </w:p>
        </w:tc>
        <w:tc>
          <w:tcPr>
            <w:tcW w:w="2077" w:type="dxa"/>
          </w:tcPr>
          <w:p w:rsidR="00396970" w:rsidRDefault="00396970" w:rsidP="00396970">
            <w:pPr>
              <w:jc w:val="left"/>
            </w:pPr>
            <w:r>
              <w:rPr>
                <w:rFonts w:hint="eastAsia"/>
              </w:rPr>
              <w:t>每笔</w:t>
            </w:r>
            <w:r>
              <w:rPr>
                <w:rFonts w:hint="eastAsia"/>
              </w:rPr>
              <w:t>1000</w:t>
            </w:r>
            <w:r>
              <w:rPr>
                <w:rFonts w:hint="eastAsia"/>
              </w:rPr>
              <w:t>元</w:t>
            </w:r>
          </w:p>
        </w:tc>
        <w:tc>
          <w:tcPr>
            <w:tcW w:w="2077" w:type="dxa"/>
          </w:tcPr>
          <w:p w:rsidR="00396970" w:rsidRDefault="00396970" w:rsidP="00396970">
            <w:pPr>
              <w:jc w:val="right"/>
            </w:pPr>
            <w:r>
              <w:t>-</w:t>
            </w:r>
          </w:p>
        </w:tc>
      </w:tr>
      <w:tr w:rsidR="00396970" w:rsidTr="00396970">
        <w:tc>
          <w:tcPr>
            <w:tcW w:w="2076" w:type="dxa"/>
            <w:vMerge w:val="restart"/>
          </w:tcPr>
          <w:p w:rsidR="00396970" w:rsidRDefault="00396970" w:rsidP="00396970">
            <w:pPr>
              <w:jc w:val="center"/>
            </w:pPr>
            <w:r>
              <w:rPr>
                <w:rFonts w:hint="eastAsia"/>
              </w:rPr>
              <w:t>赎回费</w:t>
            </w:r>
          </w:p>
        </w:tc>
        <w:tc>
          <w:tcPr>
            <w:tcW w:w="2076" w:type="dxa"/>
          </w:tcPr>
          <w:p w:rsidR="00396970" w:rsidRDefault="00396970" w:rsidP="00396970">
            <w:pPr>
              <w:jc w:val="left"/>
            </w:pPr>
            <w:r>
              <w:rPr>
                <w:rFonts w:hint="eastAsia"/>
              </w:rPr>
              <w:t>N&lt; 7</w:t>
            </w:r>
            <w:r>
              <w:rPr>
                <w:rFonts w:hint="eastAsia"/>
              </w:rPr>
              <w:t>天</w:t>
            </w:r>
          </w:p>
        </w:tc>
        <w:tc>
          <w:tcPr>
            <w:tcW w:w="2077" w:type="dxa"/>
          </w:tcPr>
          <w:p w:rsidR="00396970" w:rsidRDefault="00396970" w:rsidP="00396970">
            <w:pPr>
              <w:jc w:val="right"/>
            </w:pPr>
            <w:r>
              <w:t>1.5%</w:t>
            </w:r>
          </w:p>
        </w:tc>
        <w:tc>
          <w:tcPr>
            <w:tcW w:w="2077" w:type="dxa"/>
          </w:tcPr>
          <w:p w:rsidR="00396970" w:rsidRDefault="00396970" w:rsidP="00396970">
            <w:pPr>
              <w:jc w:val="right"/>
            </w:pPr>
            <w:r>
              <w:t>-</w:t>
            </w:r>
          </w:p>
        </w:tc>
      </w:tr>
      <w:tr w:rsidR="00396970" w:rsidTr="00396970">
        <w:tc>
          <w:tcPr>
            <w:tcW w:w="2076" w:type="dxa"/>
            <w:vMerge/>
          </w:tcPr>
          <w:p w:rsidR="00396970" w:rsidRDefault="00396970" w:rsidP="00396970">
            <w:pPr>
              <w:jc w:val="left"/>
            </w:pPr>
          </w:p>
        </w:tc>
        <w:tc>
          <w:tcPr>
            <w:tcW w:w="2076" w:type="dxa"/>
          </w:tcPr>
          <w:p w:rsidR="00396970" w:rsidRDefault="00396970" w:rsidP="00396970">
            <w:pPr>
              <w:jc w:val="left"/>
            </w:pPr>
            <w:r>
              <w:rPr>
                <w:rFonts w:hint="eastAsia"/>
              </w:rPr>
              <w:t>7</w:t>
            </w:r>
            <w:r>
              <w:rPr>
                <w:rFonts w:hint="eastAsia"/>
              </w:rPr>
              <w:t>天≤</w:t>
            </w:r>
            <w:r>
              <w:rPr>
                <w:rFonts w:hint="eastAsia"/>
              </w:rPr>
              <w:t xml:space="preserve"> N&lt; 30</w:t>
            </w:r>
            <w:r>
              <w:rPr>
                <w:rFonts w:hint="eastAsia"/>
              </w:rPr>
              <w:t>天</w:t>
            </w:r>
          </w:p>
        </w:tc>
        <w:tc>
          <w:tcPr>
            <w:tcW w:w="2077" w:type="dxa"/>
          </w:tcPr>
          <w:p w:rsidR="00396970" w:rsidRDefault="00396970" w:rsidP="00396970">
            <w:pPr>
              <w:jc w:val="right"/>
            </w:pPr>
            <w:r>
              <w:t>0.75%</w:t>
            </w:r>
          </w:p>
        </w:tc>
        <w:tc>
          <w:tcPr>
            <w:tcW w:w="2077" w:type="dxa"/>
          </w:tcPr>
          <w:p w:rsidR="00396970" w:rsidRDefault="00396970" w:rsidP="00396970">
            <w:pPr>
              <w:jc w:val="right"/>
            </w:pPr>
            <w:r>
              <w:t>-</w:t>
            </w:r>
          </w:p>
        </w:tc>
      </w:tr>
      <w:tr w:rsidR="00396970" w:rsidTr="00396970">
        <w:tc>
          <w:tcPr>
            <w:tcW w:w="2076" w:type="dxa"/>
            <w:vMerge/>
          </w:tcPr>
          <w:p w:rsidR="00396970" w:rsidRDefault="00396970" w:rsidP="00396970">
            <w:pPr>
              <w:jc w:val="left"/>
            </w:pPr>
          </w:p>
        </w:tc>
        <w:tc>
          <w:tcPr>
            <w:tcW w:w="2076" w:type="dxa"/>
          </w:tcPr>
          <w:p w:rsidR="00396970" w:rsidRDefault="00396970" w:rsidP="00396970">
            <w:pPr>
              <w:jc w:val="left"/>
            </w:pPr>
            <w:r>
              <w:rPr>
                <w:rFonts w:hint="eastAsia"/>
              </w:rPr>
              <w:t>30</w:t>
            </w:r>
            <w:r>
              <w:rPr>
                <w:rFonts w:hint="eastAsia"/>
              </w:rPr>
              <w:t>天≤</w:t>
            </w:r>
            <w:r>
              <w:rPr>
                <w:rFonts w:hint="eastAsia"/>
              </w:rPr>
              <w:t xml:space="preserve"> N&lt; 180</w:t>
            </w:r>
            <w:r>
              <w:rPr>
                <w:rFonts w:hint="eastAsia"/>
              </w:rPr>
              <w:t>天</w:t>
            </w:r>
          </w:p>
        </w:tc>
        <w:tc>
          <w:tcPr>
            <w:tcW w:w="2077" w:type="dxa"/>
          </w:tcPr>
          <w:p w:rsidR="00396970" w:rsidRDefault="00396970" w:rsidP="00396970">
            <w:pPr>
              <w:jc w:val="right"/>
            </w:pPr>
            <w:r>
              <w:t>0.5%</w:t>
            </w:r>
          </w:p>
        </w:tc>
        <w:tc>
          <w:tcPr>
            <w:tcW w:w="2077" w:type="dxa"/>
          </w:tcPr>
          <w:p w:rsidR="00396970" w:rsidRDefault="00396970" w:rsidP="00396970">
            <w:pPr>
              <w:jc w:val="right"/>
            </w:pPr>
            <w:r>
              <w:t>-</w:t>
            </w:r>
          </w:p>
        </w:tc>
      </w:tr>
      <w:tr w:rsidR="00396970" w:rsidTr="00396970">
        <w:tc>
          <w:tcPr>
            <w:tcW w:w="2076" w:type="dxa"/>
            <w:vMerge/>
          </w:tcPr>
          <w:p w:rsidR="00396970" w:rsidRDefault="00396970" w:rsidP="00396970">
            <w:pPr>
              <w:jc w:val="left"/>
            </w:pPr>
          </w:p>
        </w:tc>
        <w:tc>
          <w:tcPr>
            <w:tcW w:w="2076" w:type="dxa"/>
          </w:tcPr>
          <w:p w:rsidR="00396970" w:rsidRDefault="00396970" w:rsidP="00396970">
            <w:pPr>
              <w:jc w:val="left"/>
            </w:pPr>
            <w:r>
              <w:rPr>
                <w:rFonts w:hint="eastAsia"/>
              </w:rPr>
              <w:t>180</w:t>
            </w:r>
            <w:r>
              <w:rPr>
                <w:rFonts w:hint="eastAsia"/>
              </w:rPr>
              <w:t>天≤</w:t>
            </w:r>
            <w:r>
              <w:rPr>
                <w:rFonts w:hint="eastAsia"/>
              </w:rPr>
              <w:t xml:space="preserve"> N&lt; 365</w:t>
            </w:r>
            <w:r>
              <w:rPr>
                <w:rFonts w:hint="eastAsia"/>
              </w:rPr>
              <w:t>天</w:t>
            </w:r>
          </w:p>
        </w:tc>
        <w:tc>
          <w:tcPr>
            <w:tcW w:w="2077" w:type="dxa"/>
          </w:tcPr>
          <w:p w:rsidR="00396970" w:rsidRDefault="00396970" w:rsidP="00396970">
            <w:pPr>
              <w:jc w:val="right"/>
            </w:pPr>
            <w:r>
              <w:t>0.3%</w:t>
            </w:r>
          </w:p>
        </w:tc>
        <w:tc>
          <w:tcPr>
            <w:tcW w:w="2077" w:type="dxa"/>
          </w:tcPr>
          <w:p w:rsidR="00396970" w:rsidRDefault="00396970" w:rsidP="00396970">
            <w:pPr>
              <w:jc w:val="right"/>
            </w:pPr>
            <w:r>
              <w:t>-</w:t>
            </w:r>
          </w:p>
        </w:tc>
      </w:tr>
      <w:tr w:rsidR="00396970" w:rsidTr="00396970">
        <w:tc>
          <w:tcPr>
            <w:tcW w:w="2076" w:type="dxa"/>
            <w:vMerge/>
          </w:tcPr>
          <w:p w:rsidR="00396970" w:rsidRDefault="00396970" w:rsidP="00396970">
            <w:pPr>
              <w:jc w:val="left"/>
            </w:pPr>
          </w:p>
        </w:tc>
        <w:tc>
          <w:tcPr>
            <w:tcW w:w="2076" w:type="dxa"/>
          </w:tcPr>
          <w:p w:rsidR="00396970" w:rsidRDefault="00396970" w:rsidP="00396970">
            <w:pPr>
              <w:jc w:val="left"/>
            </w:pPr>
            <w:r>
              <w:rPr>
                <w:rFonts w:hint="eastAsia"/>
              </w:rPr>
              <w:t>1</w:t>
            </w:r>
            <w:r>
              <w:rPr>
                <w:rFonts w:hint="eastAsia"/>
              </w:rPr>
              <w:t>年≤</w:t>
            </w:r>
            <w:r>
              <w:rPr>
                <w:rFonts w:hint="eastAsia"/>
              </w:rPr>
              <w:t xml:space="preserve"> N </w:t>
            </w:r>
          </w:p>
        </w:tc>
        <w:tc>
          <w:tcPr>
            <w:tcW w:w="2077" w:type="dxa"/>
          </w:tcPr>
          <w:p w:rsidR="00396970" w:rsidRDefault="00396970" w:rsidP="00396970">
            <w:pPr>
              <w:jc w:val="right"/>
            </w:pPr>
            <w:r>
              <w:t>0%</w:t>
            </w:r>
          </w:p>
        </w:tc>
        <w:tc>
          <w:tcPr>
            <w:tcW w:w="2077" w:type="dxa"/>
          </w:tcPr>
          <w:p w:rsidR="00396970" w:rsidRDefault="00396970" w:rsidP="00396970">
            <w:pPr>
              <w:jc w:val="right"/>
            </w:pPr>
            <w:r>
              <w:t>-</w:t>
            </w:r>
          </w:p>
        </w:tc>
      </w:tr>
    </w:tbl>
    <w:p w:rsidR="00396970" w:rsidRDefault="00396970" w:rsidP="00396970">
      <w:pPr>
        <w:pStyle w:val="-7"/>
        <w:ind w:firstLine="420"/>
        <w:rPr>
          <w:rFonts w:hint="eastAsia"/>
        </w:rPr>
      </w:pPr>
      <w:r>
        <w:rPr>
          <w:rFonts w:hint="eastAsia"/>
        </w:rPr>
        <w:t>注：投资人重复申购，须按每次申购所对应的费率档次分别计费。</w:t>
      </w:r>
    </w:p>
    <w:p w:rsidR="00396970" w:rsidRDefault="00396970" w:rsidP="00396970">
      <w:pPr>
        <w:pStyle w:val="-"/>
        <w:ind w:firstLine="420"/>
        <w:rPr>
          <w:rFonts w:hint="eastAsia"/>
        </w:rPr>
      </w:pPr>
      <w:r>
        <w:rPr>
          <w:rFonts w:hint="eastAsia"/>
        </w:rPr>
        <w:t>基金申购费用由投资人承担，不列入基金财产，主要用于基金的市场推广、销售、登记等各项费用。</w:t>
      </w:r>
    </w:p>
    <w:p w:rsidR="00396970" w:rsidRDefault="00396970" w:rsidP="00396970">
      <w:pPr>
        <w:pStyle w:val="-"/>
        <w:ind w:firstLine="420"/>
        <w:rPr>
          <w:rFonts w:hint="eastAsia"/>
        </w:rPr>
      </w:pPr>
      <w:r>
        <w:rPr>
          <w:rFonts w:hint="eastAsia"/>
        </w:rPr>
        <w:t>赎回费用由赎回基金份额的基金份额持有人承担，在基金份额持有人赎回基金份额时收取。</w:t>
      </w:r>
    </w:p>
    <w:p w:rsidR="00396970" w:rsidRDefault="00396970" w:rsidP="00396970">
      <w:pPr>
        <w:pStyle w:val="-2"/>
        <w:spacing w:before="156" w:after="156"/>
      </w:pPr>
      <w:r>
        <w:rPr>
          <w:rFonts w:hint="eastAsia"/>
        </w:rPr>
        <w:t>（二）</w:t>
      </w:r>
      <w:r>
        <w:t xml:space="preserve"> </w:t>
      </w:r>
      <w:r>
        <w:t>基金运作相关费用</w:t>
      </w:r>
    </w:p>
    <w:tbl>
      <w:tblPr>
        <w:tblStyle w:val="-noheader"/>
        <w:tblW w:w="0" w:type="auto"/>
        <w:tblLayout w:type="fixed"/>
        <w:tblLook w:val="04A0" w:firstRow="1" w:lastRow="0" w:firstColumn="1" w:lastColumn="0" w:noHBand="0" w:noVBand="1"/>
      </w:tblPr>
      <w:tblGrid>
        <w:gridCol w:w="2768"/>
        <w:gridCol w:w="2769"/>
        <w:gridCol w:w="2769"/>
      </w:tblGrid>
      <w:tr w:rsidR="00396970" w:rsidTr="00396970">
        <w:tc>
          <w:tcPr>
            <w:tcW w:w="2768" w:type="dxa"/>
          </w:tcPr>
          <w:p w:rsidR="00396970" w:rsidRDefault="00396970" w:rsidP="00396970">
            <w:pPr>
              <w:jc w:val="left"/>
            </w:pPr>
            <w:r>
              <w:rPr>
                <w:rFonts w:hint="eastAsia"/>
              </w:rPr>
              <w:t>费用类别</w:t>
            </w:r>
          </w:p>
        </w:tc>
        <w:tc>
          <w:tcPr>
            <w:tcW w:w="2769" w:type="dxa"/>
          </w:tcPr>
          <w:p w:rsidR="00396970" w:rsidRDefault="00396970" w:rsidP="00396970">
            <w:pPr>
              <w:jc w:val="left"/>
            </w:pPr>
            <w:r>
              <w:rPr>
                <w:rFonts w:hint="eastAsia"/>
              </w:rPr>
              <w:t>收费方式</w:t>
            </w:r>
          </w:p>
        </w:tc>
        <w:tc>
          <w:tcPr>
            <w:tcW w:w="2769" w:type="dxa"/>
          </w:tcPr>
          <w:p w:rsidR="00396970" w:rsidRDefault="00396970" w:rsidP="00396970">
            <w:pPr>
              <w:jc w:val="left"/>
            </w:pPr>
            <w:r>
              <w:rPr>
                <w:rFonts w:hint="eastAsia"/>
              </w:rPr>
              <w:t>年费率</w:t>
            </w:r>
          </w:p>
        </w:tc>
      </w:tr>
      <w:tr w:rsidR="00396970" w:rsidTr="00396970">
        <w:tc>
          <w:tcPr>
            <w:tcW w:w="2768" w:type="dxa"/>
          </w:tcPr>
          <w:p w:rsidR="00396970" w:rsidRDefault="00396970" w:rsidP="00396970">
            <w:pPr>
              <w:jc w:val="left"/>
            </w:pPr>
            <w:r>
              <w:rPr>
                <w:rFonts w:hint="eastAsia"/>
              </w:rPr>
              <w:t>管理费</w:t>
            </w:r>
          </w:p>
        </w:tc>
        <w:tc>
          <w:tcPr>
            <w:tcW w:w="2769" w:type="dxa"/>
          </w:tcPr>
          <w:p w:rsidR="00396970" w:rsidRDefault="00396970" w:rsidP="00396970">
            <w:pPr>
              <w:jc w:val="right"/>
            </w:pPr>
            <w:r>
              <w:t>-</w:t>
            </w:r>
          </w:p>
        </w:tc>
        <w:tc>
          <w:tcPr>
            <w:tcW w:w="2769" w:type="dxa"/>
          </w:tcPr>
          <w:p w:rsidR="00396970" w:rsidRDefault="00396970" w:rsidP="00396970">
            <w:pPr>
              <w:jc w:val="right"/>
            </w:pPr>
            <w:r>
              <w:t>1.00%</w:t>
            </w:r>
          </w:p>
        </w:tc>
      </w:tr>
      <w:tr w:rsidR="00396970" w:rsidTr="00396970">
        <w:tc>
          <w:tcPr>
            <w:tcW w:w="2768" w:type="dxa"/>
          </w:tcPr>
          <w:p w:rsidR="00396970" w:rsidRDefault="00396970" w:rsidP="00396970">
            <w:pPr>
              <w:jc w:val="left"/>
            </w:pPr>
            <w:r>
              <w:rPr>
                <w:rFonts w:hint="eastAsia"/>
              </w:rPr>
              <w:t>托管费</w:t>
            </w:r>
          </w:p>
        </w:tc>
        <w:tc>
          <w:tcPr>
            <w:tcW w:w="2769" w:type="dxa"/>
          </w:tcPr>
          <w:p w:rsidR="00396970" w:rsidRDefault="00396970" w:rsidP="00396970">
            <w:pPr>
              <w:jc w:val="right"/>
            </w:pPr>
            <w:r>
              <w:t>-</w:t>
            </w:r>
          </w:p>
        </w:tc>
        <w:tc>
          <w:tcPr>
            <w:tcW w:w="2769" w:type="dxa"/>
          </w:tcPr>
          <w:p w:rsidR="00396970" w:rsidRDefault="00396970" w:rsidP="00396970">
            <w:pPr>
              <w:jc w:val="right"/>
            </w:pPr>
            <w:r>
              <w:t>0.20%</w:t>
            </w:r>
          </w:p>
        </w:tc>
      </w:tr>
      <w:tr w:rsidR="00396970" w:rsidTr="00396970">
        <w:tc>
          <w:tcPr>
            <w:tcW w:w="2768" w:type="dxa"/>
          </w:tcPr>
          <w:p w:rsidR="00396970" w:rsidRDefault="00396970" w:rsidP="00396970">
            <w:pPr>
              <w:jc w:val="left"/>
            </w:pPr>
            <w:r>
              <w:rPr>
                <w:rFonts w:hint="eastAsia"/>
              </w:rPr>
              <w:t>销售服务费</w:t>
            </w:r>
          </w:p>
        </w:tc>
        <w:tc>
          <w:tcPr>
            <w:tcW w:w="2769" w:type="dxa"/>
          </w:tcPr>
          <w:p w:rsidR="00396970" w:rsidRDefault="00396970" w:rsidP="00396970">
            <w:pPr>
              <w:jc w:val="right"/>
            </w:pPr>
            <w:r>
              <w:t>-</w:t>
            </w:r>
          </w:p>
        </w:tc>
        <w:tc>
          <w:tcPr>
            <w:tcW w:w="2769" w:type="dxa"/>
          </w:tcPr>
          <w:p w:rsidR="00396970" w:rsidRDefault="00396970" w:rsidP="00396970">
            <w:pPr>
              <w:jc w:val="right"/>
            </w:pPr>
            <w:r>
              <w:t>-</w:t>
            </w:r>
          </w:p>
        </w:tc>
      </w:tr>
      <w:tr w:rsidR="00396970" w:rsidTr="007270B1">
        <w:tc>
          <w:tcPr>
            <w:tcW w:w="2768" w:type="dxa"/>
          </w:tcPr>
          <w:p w:rsidR="00396970" w:rsidRDefault="00396970" w:rsidP="00396970">
            <w:pPr>
              <w:jc w:val="left"/>
            </w:pPr>
            <w:r>
              <w:rPr>
                <w:rFonts w:hint="eastAsia"/>
              </w:rPr>
              <w:t>其他费用</w:t>
            </w:r>
          </w:p>
        </w:tc>
        <w:tc>
          <w:tcPr>
            <w:tcW w:w="5538" w:type="dxa"/>
            <w:gridSpan w:val="2"/>
          </w:tcPr>
          <w:p w:rsidR="00396970" w:rsidRDefault="00396970" w:rsidP="00396970">
            <w:pPr>
              <w:jc w:val="left"/>
            </w:pPr>
            <w:r>
              <w:rPr>
                <w:rFonts w:hint="eastAsia"/>
              </w:rPr>
              <w:t>《基金合同》生效后与基金相关的信息披露费用；《基金合同》生效后与基金相关的会计师费、律师费、审计费、诉讼费和仲裁费；基金份额持有人大会费用；基金的证券、期货交易费用；基金的银行汇划费用；基金相关账户的开户及维护费用；按照国家有关规定和《基金合同》约定，可以在基金财产中列支的其他费用。</w:t>
            </w:r>
          </w:p>
        </w:tc>
      </w:tr>
    </w:tbl>
    <w:p w:rsidR="00396970" w:rsidRDefault="00396970" w:rsidP="00396970">
      <w:pPr>
        <w:pStyle w:val="-7"/>
        <w:ind w:firstLine="420"/>
        <w:rPr>
          <w:rFonts w:hint="eastAsia"/>
        </w:rPr>
      </w:pPr>
      <w:r>
        <w:rPr>
          <w:rFonts w:hint="eastAsia"/>
        </w:rPr>
        <w:t>注：本基金交易证券、基金等产生的费用和税负，按实际发生额从基金资产扣除。</w:t>
      </w:r>
    </w:p>
    <w:p w:rsidR="00396970" w:rsidRDefault="00396970" w:rsidP="00396970">
      <w:pPr>
        <w:pStyle w:val="-1"/>
        <w:spacing w:before="156" w:after="156"/>
        <w:rPr>
          <w:rFonts w:hint="eastAsia"/>
        </w:rPr>
      </w:pPr>
      <w:r>
        <w:rPr>
          <w:rFonts w:hint="eastAsia"/>
        </w:rPr>
        <w:t>四、风险揭示与重要提示</w:t>
      </w:r>
    </w:p>
    <w:p w:rsidR="00396970" w:rsidRDefault="00396970" w:rsidP="00396970">
      <w:pPr>
        <w:pStyle w:val="-2"/>
        <w:spacing w:before="156" w:after="156"/>
        <w:rPr>
          <w:rFonts w:hint="eastAsia"/>
        </w:rPr>
      </w:pPr>
      <w:r>
        <w:rPr>
          <w:rFonts w:hint="eastAsia"/>
        </w:rPr>
        <w:t>（一）</w:t>
      </w:r>
      <w:r>
        <w:rPr>
          <w:rFonts w:hint="eastAsia"/>
        </w:rPr>
        <w:t xml:space="preserve"> </w:t>
      </w:r>
      <w:r>
        <w:rPr>
          <w:rFonts w:hint="eastAsia"/>
        </w:rPr>
        <w:t>风险揭示</w:t>
      </w:r>
    </w:p>
    <w:p w:rsidR="00396970" w:rsidRDefault="00396970" w:rsidP="00396970">
      <w:pPr>
        <w:pStyle w:val="-"/>
        <w:ind w:firstLine="420"/>
        <w:rPr>
          <w:rFonts w:hint="eastAsia"/>
        </w:rPr>
      </w:pPr>
      <w:r>
        <w:rPr>
          <w:rFonts w:hint="eastAsia"/>
        </w:rPr>
        <w:t>本基金不提供任何保证。投资者可能损失本金。</w:t>
      </w:r>
    </w:p>
    <w:p w:rsidR="00396970" w:rsidRDefault="00396970" w:rsidP="00396970">
      <w:pPr>
        <w:pStyle w:val="-"/>
        <w:ind w:firstLine="420"/>
        <w:rPr>
          <w:rFonts w:hint="eastAsia"/>
        </w:rPr>
      </w:pPr>
      <w:r>
        <w:rPr>
          <w:rFonts w:hint="eastAsia"/>
        </w:rPr>
        <w:t>投资有风险，投资者购买基金时应认真阅读本基金的《招募说明书》等销售文件。</w:t>
      </w:r>
    </w:p>
    <w:p w:rsidR="00396970" w:rsidRDefault="00396970" w:rsidP="00396970">
      <w:pPr>
        <w:pStyle w:val="-"/>
        <w:ind w:firstLine="420"/>
        <w:rPr>
          <w:rFonts w:hint="eastAsia"/>
        </w:rPr>
      </w:pPr>
      <w:r>
        <w:rPr>
          <w:rFonts w:hint="eastAsia"/>
        </w:rPr>
        <w:t>本基金面临的主要风险有市场风险、管理风险、流动性风险、本基金特有风险及其他风险等。</w:t>
      </w:r>
    </w:p>
    <w:p w:rsidR="00396970" w:rsidRDefault="00396970" w:rsidP="00396970">
      <w:pPr>
        <w:pStyle w:val="-"/>
        <w:ind w:firstLine="420"/>
        <w:rPr>
          <w:rFonts w:hint="eastAsia"/>
        </w:rPr>
      </w:pPr>
      <w:r>
        <w:rPr>
          <w:rFonts w:hint="eastAsia"/>
        </w:rPr>
        <w:t>本基金特有的风险包括：</w:t>
      </w:r>
    </w:p>
    <w:p w:rsidR="00396970" w:rsidRDefault="00396970" w:rsidP="00396970">
      <w:pPr>
        <w:pStyle w:val="-"/>
        <w:ind w:firstLine="420"/>
        <w:rPr>
          <w:rFonts w:hint="eastAsia"/>
        </w:rPr>
      </w:pPr>
      <w:r>
        <w:rPr>
          <w:rFonts w:hint="eastAsia"/>
        </w:rPr>
        <w:t>1</w:t>
      </w:r>
      <w:r>
        <w:rPr>
          <w:rFonts w:hint="eastAsia"/>
        </w:rPr>
        <w:t>、本基金采用优化的恒定比例投资组合保险策略（优化</w:t>
      </w:r>
      <w:r>
        <w:rPr>
          <w:rFonts w:hint="eastAsia"/>
        </w:rPr>
        <w:t>CPPI</w:t>
      </w:r>
      <w:r>
        <w:rPr>
          <w:rFonts w:hint="eastAsia"/>
        </w:rPr>
        <w:t>），但其中的一个重要假定是投资组合中股票与债券的仓位比例能够根据市场环境的变化作出适时的、连续的调整，而在现实投资过程中可能由于流动性或市场急速下跌这两方面的原因影响到该策略的实施，由此产生的风险为投资组合保险机制的风险。</w:t>
      </w:r>
    </w:p>
    <w:p w:rsidR="00396970" w:rsidRDefault="00396970" w:rsidP="00396970">
      <w:pPr>
        <w:pStyle w:val="-"/>
        <w:ind w:firstLine="420"/>
        <w:rPr>
          <w:rFonts w:hint="eastAsia"/>
        </w:rPr>
      </w:pPr>
      <w:r>
        <w:lastRenderedPageBreak/>
        <w:t>2</w:t>
      </w:r>
      <w:r>
        <w:rPr>
          <w:rFonts w:hint="eastAsia"/>
        </w:rPr>
        <w:t>、本基金投资中小企业私募债券，中小企业私募债是根据相关法律法规由非上市中小企业采用非公开方式发行的债券。</w:t>
      </w:r>
    </w:p>
    <w:p w:rsidR="00396970" w:rsidRDefault="00396970" w:rsidP="00396970">
      <w:pPr>
        <w:pStyle w:val="-"/>
        <w:ind w:firstLine="420"/>
        <w:rPr>
          <w:rFonts w:hint="eastAsia"/>
        </w:rPr>
      </w:pPr>
      <w:r>
        <w:rPr>
          <w:rFonts w:hint="eastAsia"/>
        </w:rPr>
        <w:t>由于不能公开交易，一般情况下，交易不活跃，潜在较大流动性风险。外部评级机构一般不对这类债券进行外部评级，可能也会降低市场对该类债券的认可度，从而影响该类债券的市场流动性。同时由于债券发行主体的资产规模较小、经营的波动性较大，且各类材料不公开发布，也大大提高了分析并跟踪发债主体信用基本面的难度。</w:t>
      </w:r>
    </w:p>
    <w:p w:rsidR="00396970" w:rsidRDefault="00396970" w:rsidP="00396970">
      <w:pPr>
        <w:pStyle w:val="-"/>
        <w:ind w:firstLine="420"/>
        <w:rPr>
          <w:rFonts w:hint="eastAsia"/>
        </w:rPr>
      </w:pPr>
      <w:r>
        <w:rPr>
          <w:rFonts w:hint="eastAsia"/>
        </w:rPr>
        <w:t>当发债主体信用质量恶化时，受市场流动性所限，本基金可能无法卖出所持有的中小企业私募债，由此可能给基金净值带来更大的负面影响和损失。</w:t>
      </w:r>
    </w:p>
    <w:p w:rsidR="00396970" w:rsidRDefault="00396970" w:rsidP="00396970">
      <w:pPr>
        <w:pStyle w:val="-"/>
        <w:ind w:firstLine="420"/>
        <w:rPr>
          <w:rFonts w:hint="eastAsia"/>
        </w:rPr>
      </w:pPr>
      <w:r>
        <w:rPr>
          <w:rFonts w:hint="eastAsia"/>
        </w:rPr>
        <w:t>3</w:t>
      </w:r>
      <w:r>
        <w:rPr>
          <w:rFonts w:hint="eastAsia"/>
        </w:rPr>
        <w:t>、本基金投资股指期货的风险。</w:t>
      </w:r>
    </w:p>
    <w:p w:rsidR="00396970" w:rsidRDefault="00396970" w:rsidP="00396970">
      <w:pPr>
        <w:pStyle w:val="-"/>
        <w:ind w:firstLine="420"/>
        <w:rPr>
          <w:rFonts w:hint="eastAsia"/>
        </w:rPr>
      </w:pPr>
      <w:r>
        <w:rPr>
          <w:rFonts w:hint="eastAsia"/>
        </w:rPr>
        <w:t>本基金可投资于股指期货，股指期货作为一种金融衍生品，主要存在以下风险：</w:t>
      </w:r>
    </w:p>
    <w:p w:rsidR="00396970" w:rsidRDefault="00396970" w:rsidP="00396970">
      <w:pPr>
        <w:pStyle w:val="-"/>
        <w:ind w:firstLine="420"/>
        <w:rPr>
          <w:rFonts w:hint="eastAsia"/>
        </w:rPr>
      </w:pPr>
      <w:r>
        <w:rPr>
          <w:rFonts w:hint="eastAsia"/>
        </w:rPr>
        <w:t>（</w:t>
      </w:r>
      <w:r>
        <w:rPr>
          <w:rFonts w:hint="eastAsia"/>
        </w:rPr>
        <w:t>1</w:t>
      </w:r>
      <w:r>
        <w:rPr>
          <w:rFonts w:hint="eastAsia"/>
        </w:rPr>
        <w:t>）市场风险：是指由于股指期货价格变动而给投资者带来的风险。</w:t>
      </w:r>
    </w:p>
    <w:p w:rsidR="00396970" w:rsidRDefault="00396970" w:rsidP="00396970">
      <w:pPr>
        <w:pStyle w:val="-"/>
        <w:ind w:firstLine="420"/>
        <w:rPr>
          <w:rFonts w:hint="eastAsia"/>
        </w:rPr>
      </w:pPr>
      <w:r>
        <w:rPr>
          <w:rFonts w:hint="eastAsia"/>
        </w:rPr>
        <w:t>（</w:t>
      </w:r>
      <w:r>
        <w:rPr>
          <w:rFonts w:hint="eastAsia"/>
        </w:rPr>
        <w:t>2</w:t>
      </w:r>
      <w:r>
        <w:rPr>
          <w:rFonts w:hint="eastAsia"/>
        </w:rPr>
        <w:t>）流动性风险：是指由于股指期货合约无法及时变现所带来的风险。</w:t>
      </w:r>
    </w:p>
    <w:p w:rsidR="00396970" w:rsidRDefault="00396970" w:rsidP="00396970">
      <w:pPr>
        <w:pStyle w:val="-"/>
        <w:ind w:firstLine="420"/>
        <w:rPr>
          <w:rFonts w:hint="eastAsia"/>
        </w:rPr>
      </w:pPr>
      <w:r>
        <w:rPr>
          <w:rFonts w:hint="eastAsia"/>
        </w:rPr>
        <w:t>（</w:t>
      </w:r>
      <w:r>
        <w:rPr>
          <w:rFonts w:hint="eastAsia"/>
        </w:rPr>
        <w:t>3</w:t>
      </w:r>
      <w:r>
        <w:rPr>
          <w:rFonts w:hint="eastAsia"/>
        </w:rPr>
        <w:t>）基差风险：是指股指期货合约价格和标的指数价格之间的价格差的波动所造成的风险。</w:t>
      </w:r>
    </w:p>
    <w:p w:rsidR="00396970" w:rsidRDefault="00396970" w:rsidP="00396970">
      <w:pPr>
        <w:pStyle w:val="-"/>
        <w:ind w:firstLine="420"/>
        <w:rPr>
          <w:rFonts w:hint="eastAsia"/>
        </w:rPr>
      </w:pPr>
      <w:r>
        <w:rPr>
          <w:rFonts w:hint="eastAsia"/>
        </w:rPr>
        <w:t>（</w:t>
      </w:r>
      <w:r>
        <w:rPr>
          <w:rFonts w:hint="eastAsia"/>
        </w:rPr>
        <w:t>4</w:t>
      </w:r>
      <w:r>
        <w:rPr>
          <w:rFonts w:hint="eastAsia"/>
        </w:rPr>
        <w:t>）保证金风险：是指由于无法及时筹措资金满足建立或者维持股指期货合约头寸所要求的保证金而带来的风险。</w:t>
      </w:r>
    </w:p>
    <w:p w:rsidR="00396970" w:rsidRDefault="00396970" w:rsidP="00396970">
      <w:pPr>
        <w:pStyle w:val="-"/>
        <w:ind w:firstLine="420"/>
        <w:rPr>
          <w:rFonts w:hint="eastAsia"/>
        </w:rPr>
      </w:pPr>
      <w:r>
        <w:rPr>
          <w:rFonts w:hint="eastAsia"/>
        </w:rPr>
        <w:t>（</w:t>
      </w:r>
      <w:r>
        <w:rPr>
          <w:rFonts w:hint="eastAsia"/>
        </w:rPr>
        <w:t>5</w:t>
      </w:r>
      <w:r>
        <w:rPr>
          <w:rFonts w:hint="eastAsia"/>
        </w:rPr>
        <w:t>）杠杆风险：因股指期货采用保证金交易而存在杠杆，基金财产可能因此产生更大的收益波动。</w:t>
      </w:r>
    </w:p>
    <w:p w:rsidR="00396970" w:rsidRDefault="00396970" w:rsidP="00396970">
      <w:pPr>
        <w:pStyle w:val="-"/>
        <w:ind w:firstLine="420"/>
        <w:rPr>
          <w:rFonts w:hint="eastAsia"/>
        </w:rPr>
      </w:pPr>
      <w:r>
        <w:rPr>
          <w:rFonts w:hint="eastAsia"/>
        </w:rPr>
        <w:t>（</w:t>
      </w:r>
      <w:r>
        <w:rPr>
          <w:rFonts w:hint="eastAsia"/>
        </w:rPr>
        <w:t>6</w:t>
      </w:r>
      <w:r>
        <w:rPr>
          <w:rFonts w:hint="eastAsia"/>
        </w:rPr>
        <w:t>）信用风险：是指期货经纪公司违约而产生损失的风险。</w:t>
      </w:r>
    </w:p>
    <w:p w:rsidR="00396970" w:rsidRDefault="00396970" w:rsidP="00396970">
      <w:pPr>
        <w:pStyle w:val="-"/>
        <w:ind w:firstLine="420"/>
        <w:rPr>
          <w:rFonts w:hint="eastAsia"/>
        </w:rPr>
      </w:pPr>
      <w:r>
        <w:rPr>
          <w:rFonts w:hint="eastAsia"/>
        </w:rPr>
        <w:t>（</w:t>
      </w:r>
      <w:r>
        <w:rPr>
          <w:rFonts w:hint="eastAsia"/>
        </w:rPr>
        <w:t>7</w:t>
      </w:r>
      <w:r>
        <w:rPr>
          <w:rFonts w:hint="eastAsia"/>
        </w:rPr>
        <w:t>）操作风险：是指由于内部流程的不完善，业务人员出现差错或者疏漏，或者系统出现故障等原因造成损失的风险。</w:t>
      </w:r>
    </w:p>
    <w:p w:rsidR="00396970" w:rsidRDefault="00396970" w:rsidP="00396970">
      <w:pPr>
        <w:pStyle w:val="-"/>
        <w:ind w:firstLine="420"/>
        <w:rPr>
          <w:rFonts w:hint="eastAsia"/>
        </w:rPr>
      </w:pPr>
      <w:r>
        <w:rPr>
          <w:rFonts w:hint="eastAsia"/>
        </w:rPr>
        <w:t>4</w:t>
      </w:r>
      <w:r>
        <w:rPr>
          <w:rFonts w:hint="eastAsia"/>
        </w:rPr>
        <w:t>、本基金投资资产支持证券的风险。</w:t>
      </w:r>
    </w:p>
    <w:p w:rsidR="00396970" w:rsidRDefault="00396970" w:rsidP="00396970">
      <w:pPr>
        <w:pStyle w:val="-"/>
        <w:ind w:firstLine="420"/>
        <w:rPr>
          <w:rFonts w:hint="eastAsia"/>
        </w:rPr>
      </w:pPr>
      <w:r>
        <w:rPr>
          <w:rFonts w:hint="eastAsia"/>
        </w:rPr>
        <w:t>本基金可投资于资产支持证券，因此可能面临资产支持证券的信用风险、利率风险、流动性风险、提前偿付风险、法律风险和操作风险。本基金管理人将通过内部信用评级、投资授信控制等方法对资产支持证券投资进行有效的风险评估和控制。同时，本基金管理人将对资产支持证券进行全程合规监控，通过事前控制、事中监督和事后报告检查等方式，确保资产支持证券投资的合法合规。</w:t>
      </w:r>
    </w:p>
    <w:p w:rsidR="00396970" w:rsidRDefault="00396970" w:rsidP="00396970">
      <w:pPr>
        <w:pStyle w:val="-"/>
        <w:ind w:firstLine="420"/>
        <w:rPr>
          <w:rFonts w:hint="eastAsia"/>
        </w:rPr>
      </w:pPr>
      <w:r>
        <w:rPr>
          <w:rFonts w:hint="eastAsia"/>
        </w:rPr>
        <w:t>5</w:t>
      </w:r>
      <w:r>
        <w:rPr>
          <w:rFonts w:hint="eastAsia"/>
        </w:rPr>
        <w:t>、基金合同终止的风险</w:t>
      </w:r>
    </w:p>
    <w:p w:rsidR="00396970" w:rsidRDefault="00396970" w:rsidP="00396970">
      <w:pPr>
        <w:pStyle w:val="-"/>
        <w:ind w:firstLine="420"/>
        <w:rPr>
          <w:rFonts w:hint="eastAsia"/>
        </w:rPr>
      </w:pPr>
      <w:r>
        <w:rPr>
          <w:rFonts w:hint="eastAsia"/>
        </w:rPr>
        <w:t>《基金合同》生效后，连续</w:t>
      </w:r>
      <w:r>
        <w:rPr>
          <w:rFonts w:hint="eastAsia"/>
        </w:rPr>
        <w:t>20</w:t>
      </w:r>
      <w:r>
        <w:rPr>
          <w:rFonts w:hint="eastAsia"/>
        </w:rPr>
        <w:t>个工作日出现基金份额持有人数量不满</w:t>
      </w:r>
      <w:r>
        <w:rPr>
          <w:rFonts w:hint="eastAsia"/>
        </w:rPr>
        <w:t>200</w:t>
      </w:r>
      <w:r>
        <w:rPr>
          <w:rFonts w:hint="eastAsia"/>
        </w:rPr>
        <w:t>人或者基金资产净值低于人民币</w:t>
      </w:r>
      <w:r>
        <w:rPr>
          <w:rFonts w:hint="eastAsia"/>
        </w:rPr>
        <w:t>5000</w:t>
      </w:r>
      <w:r>
        <w:rPr>
          <w:rFonts w:hint="eastAsia"/>
        </w:rPr>
        <w:t>万元的，基金管理人应当在定期报告中予以披露；连续</w:t>
      </w:r>
      <w:r>
        <w:rPr>
          <w:rFonts w:hint="eastAsia"/>
        </w:rPr>
        <w:t>50</w:t>
      </w:r>
      <w:r>
        <w:rPr>
          <w:rFonts w:hint="eastAsia"/>
        </w:rPr>
        <w:t>个工作日出现前述情形的，基金合同应当终止，无需召开基金份额持有人大会。</w:t>
      </w:r>
    </w:p>
    <w:p w:rsidR="00396970" w:rsidRDefault="00396970" w:rsidP="00396970">
      <w:pPr>
        <w:pStyle w:val="-"/>
        <w:ind w:firstLine="420"/>
        <w:rPr>
          <w:rFonts w:hint="eastAsia"/>
        </w:rPr>
      </w:pPr>
      <w:r>
        <w:rPr>
          <w:rFonts w:hint="eastAsia"/>
        </w:rPr>
        <w:t>6</w:t>
      </w:r>
      <w:r>
        <w:rPr>
          <w:rFonts w:hint="eastAsia"/>
        </w:rPr>
        <w:t>、投资于存托凭证的风险</w:t>
      </w:r>
    </w:p>
    <w:p w:rsidR="00396970" w:rsidRDefault="00396970" w:rsidP="00396970">
      <w:pPr>
        <w:pStyle w:val="-"/>
        <w:ind w:firstLine="420"/>
        <w:rPr>
          <w:rFonts w:hint="eastAsia"/>
        </w:rPr>
      </w:pPr>
      <w:r>
        <w:rPr>
          <w:rFonts w:hint="eastAsia"/>
        </w:rPr>
        <w:t>本基金的投资范围包括国内依法发行上市的存托凭证（“中国存托凭证”），除与其他仅投资于沪深市场股票的基金所面临的共同风险外，本基金还将面临中国存托凭证价格大幅波动甚至出现较大亏损的风险，以及与中国存托凭证发行机制相关的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rsidR="00396970" w:rsidRDefault="00396970" w:rsidP="00396970">
      <w:pPr>
        <w:pStyle w:val="-"/>
        <w:ind w:firstLine="420"/>
      </w:pPr>
    </w:p>
    <w:p w:rsidR="00396970" w:rsidRDefault="00396970" w:rsidP="00396970">
      <w:pPr>
        <w:pStyle w:val="-"/>
        <w:ind w:firstLine="420"/>
        <w:rPr>
          <w:rFonts w:hint="eastAsia"/>
        </w:rPr>
      </w:pPr>
      <w:r>
        <w:rPr>
          <w:rFonts w:hint="eastAsia"/>
        </w:rPr>
        <w:t>本基金法律文件风险收益特征表述与销售机构基金风险评价可能不一致的风险：</w:t>
      </w:r>
    </w:p>
    <w:p w:rsidR="00396970" w:rsidRDefault="00396970" w:rsidP="00396970">
      <w:pPr>
        <w:pStyle w:val="-"/>
        <w:ind w:firstLine="420"/>
        <w:rPr>
          <w:rFonts w:hint="eastAsia"/>
        </w:rPr>
      </w:pPr>
      <w:r>
        <w:rPr>
          <w:rFonts w:hint="eastAsia"/>
        </w:rPr>
        <w:lastRenderedPageBreak/>
        <w:t>本基金法律文件投资章节有关风险收益特征的表述是基于投资范围、投资比例、证券市场普遍规律等做出的概述性描述，代表了一般市场情况下本基金的长期风险收益特征。销售机构</w:t>
      </w:r>
      <w:r>
        <w:rPr>
          <w:rFonts w:hint="eastAsia"/>
        </w:rPr>
        <w:t>(</w:t>
      </w:r>
      <w:r>
        <w:rPr>
          <w:rFonts w:hint="eastAsia"/>
        </w:rPr>
        <w:t>包括基金管理人直销机构和其他销售机构</w:t>
      </w:r>
      <w:r>
        <w:rPr>
          <w:rFonts w:hint="eastAsia"/>
        </w:rPr>
        <w:t>)</w:t>
      </w:r>
      <w:r>
        <w:rPr>
          <w:rFonts w:hint="eastAsia"/>
        </w:rPr>
        <w:t>根据相关法律法规对本基金进行风险评价，不同的销售机构采用的评价方法也不同，因此销售机构的风险等级评价与基金法律文件中风险收益特征的表述可能存在不同，投资人在购买本基金时需按照销售机构的要求完成风险承受能力与产品风险之间的匹配检验。</w:t>
      </w:r>
    </w:p>
    <w:p w:rsidR="00396970" w:rsidRDefault="00396970" w:rsidP="00396970">
      <w:pPr>
        <w:pStyle w:val="-"/>
        <w:ind w:firstLine="420"/>
      </w:pPr>
    </w:p>
    <w:p w:rsidR="00396970" w:rsidRDefault="00396970" w:rsidP="00396970">
      <w:pPr>
        <w:pStyle w:val="-"/>
        <w:ind w:firstLine="420"/>
        <w:rPr>
          <w:rFonts w:hint="eastAsia"/>
        </w:rPr>
      </w:pPr>
      <w:r>
        <w:rPr>
          <w:rFonts w:hint="eastAsia"/>
        </w:rPr>
        <w:t>实施备用的流动性风险管理工具的情形、程序及对投资者的潜在影响：</w:t>
      </w:r>
    </w:p>
    <w:p w:rsidR="00396970" w:rsidRDefault="00396970" w:rsidP="00396970">
      <w:pPr>
        <w:pStyle w:val="-"/>
        <w:ind w:firstLine="420"/>
        <w:rPr>
          <w:rFonts w:hint="eastAsia"/>
        </w:rPr>
      </w:pPr>
      <w:r>
        <w:rPr>
          <w:rFonts w:hint="eastAsia"/>
        </w:rPr>
        <w:t>本基金在面临大规模赎回的情况下有可能因为无法变现造成流动性风险。如果出现流动性风险，基金管理人经与基金托管人协商，在确保投资者得到公平对待的前提下，可实施备用的流动性风险管理工具，作为特定情形下基金管理人流动性风险管理的辅助措施，包括但不限于延期办理巨额赎回申请、暂停接受赎回申请、延缓支付赎回款项、收取短期赎回费、暂停基金估值以及中国证监会认定的其他措施。同时基金管理人应时刻防范可能产生的流动性风险，对流动性风险进行日常监控，保护持有人的利益。当实施备用的流动性风险管理工具时，有可能无法按基金合同约定的时限支付赎回款项。</w:t>
      </w:r>
    </w:p>
    <w:p w:rsidR="00396970" w:rsidRDefault="00396970" w:rsidP="00396970">
      <w:pPr>
        <w:pStyle w:val="-2"/>
        <w:spacing w:before="156" w:after="156"/>
      </w:pPr>
      <w:r>
        <w:rPr>
          <w:rFonts w:hint="eastAsia"/>
        </w:rPr>
        <w:t>（二）</w:t>
      </w:r>
      <w:r>
        <w:t xml:space="preserve"> </w:t>
      </w:r>
      <w:r>
        <w:t>重要提示</w:t>
      </w:r>
    </w:p>
    <w:p w:rsidR="00396970" w:rsidRDefault="00396970" w:rsidP="00396970">
      <w:pPr>
        <w:pStyle w:val="-"/>
        <w:ind w:firstLine="420"/>
        <w:rPr>
          <w:rFonts w:hint="eastAsia"/>
        </w:rPr>
      </w:pPr>
      <w:r>
        <w:rPr>
          <w:rFonts w:hint="eastAsia"/>
        </w:rPr>
        <w:t>南方安泰混合型证券投资基金（以下简称“本基金”）</w:t>
      </w:r>
      <w:r>
        <w:rPr>
          <w:rFonts w:hint="eastAsia"/>
        </w:rPr>
        <w:t xml:space="preserve"> </w:t>
      </w:r>
      <w:r>
        <w:rPr>
          <w:rFonts w:hint="eastAsia"/>
        </w:rPr>
        <w:t>经中国证监会</w:t>
      </w:r>
      <w:r>
        <w:rPr>
          <w:rFonts w:hint="eastAsia"/>
        </w:rPr>
        <w:t>2016</w:t>
      </w:r>
      <w:r>
        <w:rPr>
          <w:rFonts w:hint="eastAsia"/>
        </w:rPr>
        <w:t>年</w:t>
      </w:r>
      <w:r>
        <w:rPr>
          <w:rFonts w:hint="eastAsia"/>
        </w:rPr>
        <w:t>7</w:t>
      </w:r>
      <w:r>
        <w:rPr>
          <w:rFonts w:hint="eastAsia"/>
        </w:rPr>
        <w:t>月</w:t>
      </w:r>
      <w:r>
        <w:rPr>
          <w:rFonts w:hint="eastAsia"/>
        </w:rPr>
        <w:t>27</w:t>
      </w:r>
      <w:r>
        <w:rPr>
          <w:rFonts w:hint="eastAsia"/>
        </w:rPr>
        <w:t>日证监许可</w:t>
      </w:r>
      <w:r>
        <w:rPr>
          <w:rFonts w:hint="eastAsia"/>
        </w:rPr>
        <w:t>[2016]1706</w:t>
      </w:r>
      <w:r>
        <w:rPr>
          <w:rFonts w:hint="eastAsia"/>
        </w:rPr>
        <w:t>号文注册募集。中国证监会对本基金募集的注册，并不表明其对本基金的价值和收益作出实质性判断或保证，也不表明投资于本基金没有风险。</w:t>
      </w:r>
    </w:p>
    <w:p w:rsidR="00396970" w:rsidRDefault="00396970" w:rsidP="00396970">
      <w:pPr>
        <w:pStyle w:val="-"/>
        <w:ind w:firstLine="420"/>
        <w:rPr>
          <w:rFonts w:hint="eastAsia"/>
        </w:rPr>
      </w:pPr>
      <w:r>
        <w:rPr>
          <w:rFonts w:hint="eastAsia"/>
        </w:rPr>
        <w:t>基金管理人依照恪尽职守、诚实信用、谨慎勤勉的原则管理和运用基金财产，但不保证基金一定盈利，也不保证最低收益。</w:t>
      </w:r>
    </w:p>
    <w:p w:rsidR="00396970" w:rsidRDefault="00396970" w:rsidP="00396970">
      <w:pPr>
        <w:pStyle w:val="-"/>
        <w:ind w:firstLine="420"/>
        <w:rPr>
          <w:rFonts w:hint="eastAsia"/>
        </w:rPr>
      </w:pPr>
      <w:r>
        <w:rPr>
          <w:rFonts w:hint="eastAsia"/>
        </w:rPr>
        <w:t>基金投资者自依基金合同取得基金份额，即成为基金份额持有人和基金合同的当事人。</w:t>
      </w:r>
    </w:p>
    <w:p w:rsidR="00396970" w:rsidRDefault="00396970" w:rsidP="00396970">
      <w:pPr>
        <w:pStyle w:val="-"/>
        <w:ind w:firstLine="420"/>
        <w:rPr>
          <w:rFonts w:hint="eastAsia"/>
        </w:rPr>
      </w:pPr>
      <w:r>
        <w:rPr>
          <w:rFonts w:hint="eastAsia"/>
        </w:rPr>
        <w:t>与本基金</w:t>
      </w:r>
      <w:r>
        <w:rPr>
          <w:rFonts w:hint="eastAsia"/>
        </w:rPr>
        <w:t>/</w:t>
      </w:r>
      <w:r>
        <w:rPr>
          <w:rFonts w:hint="eastAsia"/>
        </w:rPr>
        <w:t>基金合同相关的争议解决方式为仲裁。因本基金产生的或与基金合同有关的一切争议，如经友好协商未能解决的，任何一方均有权将争议提交中国国际经济贸易仲裁委员会仲裁，仲裁地点为北京市。</w:t>
      </w:r>
    </w:p>
    <w:p w:rsidR="00396970" w:rsidRDefault="00396970" w:rsidP="00396970">
      <w:pPr>
        <w:pStyle w:val="-"/>
        <w:ind w:firstLine="420"/>
        <w:rPr>
          <w:rFonts w:hint="eastAsia"/>
        </w:rPr>
      </w:pPr>
      <w:r>
        <w:rPr>
          <w:rFonts w:hint="eastAsia"/>
        </w:rPr>
        <w:t>基金产品资料概要信息发生重大变更的，基金管理人将在三个工作日内更新，其他信息发生变更的，基金管理人每年更新一次。因此，本文件内容相比基金的实际情况可能存在一定的滞后，如需及时、准确获取基金的相关信息，敬请同时关注基金管理人发布的相关临时公告等。</w:t>
      </w:r>
    </w:p>
    <w:p w:rsidR="00396970" w:rsidRDefault="00396970" w:rsidP="00396970">
      <w:pPr>
        <w:pStyle w:val="-1"/>
        <w:spacing w:before="156" w:after="156"/>
        <w:rPr>
          <w:rFonts w:hint="eastAsia"/>
        </w:rPr>
      </w:pPr>
      <w:r>
        <w:rPr>
          <w:rFonts w:hint="eastAsia"/>
        </w:rPr>
        <w:t>五、其他资料查询方式</w:t>
      </w:r>
    </w:p>
    <w:p w:rsidR="00396970" w:rsidRDefault="00396970" w:rsidP="00396970">
      <w:pPr>
        <w:pStyle w:val="-"/>
        <w:ind w:firstLine="420"/>
        <w:rPr>
          <w:rFonts w:hint="eastAsia"/>
        </w:rPr>
      </w:pPr>
      <w:r>
        <w:rPr>
          <w:rFonts w:hint="eastAsia"/>
        </w:rPr>
        <w:t>以下资料详见基金管理人网站</w:t>
      </w:r>
      <w:r>
        <w:rPr>
          <w:rFonts w:hint="eastAsia"/>
        </w:rPr>
        <w:t>[www.nffund.com][</w:t>
      </w:r>
      <w:r>
        <w:rPr>
          <w:rFonts w:hint="eastAsia"/>
        </w:rPr>
        <w:t>客服电话：</w:t>
      </w:r>
      <w:r>
        <w:rPr>
          <w:rFonts w:hint="eastAsia"/>
        </w:rPr>
        <w:t>400-889-8899]</w:t>
      </w:r>
    </w:p>
    <w:p w:rsidR="00396970" w:rsidRDefault="00396970" w:rsidP="00396970">
      <w:pPr>
        <w:pStyle w:val="-"/>
        <w:ind w:firstLine="420"/>
        <w:rPr>
          <w:rFonts w:hint="eastAsia"/>
        </w:rPr>
      </w:pPr>
      <w:r>
        <w:rPr>
          <w:rFonts w:hint="eastAsia"/>
        </w:rPr>
        <w:t>●《南方安泰混合型证券投资基金基金合同》、</w:t>
      </w:r>
    </w:p>
    <w:p w:rsidR="00396970" w:rsidRDefault="00396970" w:rsidP="00396970">
      <w:pPr>
        <w:pStyle w:val="-"/>
        <w:ind w:firstLine="420"/>
        <w:rPr>
          <w:rFonts w:hint="eastAsia"/>
        </w:rPr>
      </w:pPr>
      <w:r>
        <w:rPr>
          <w:rFonts w:hint="eastAsia"/>
        </w:rPr>
        <w:t>《南方安泰混合型证券投资基金托管协议》、</w:t>
      </w:r>
    </w:p>
    <w:p w:rsidR="00396970" w:rsidRDefault="00396970" w:rsidP="00396970">
      <w:pPr>
        <w:pStyle w:val="-"/>
        <w:ind w:firstLine="420"/>
        <w:rPr>
          <w:rFonts w:hint="eastAsia"/>
        </w:rPr>
      </w:pPr>
      <w:r>
        <w:rPr>
          <w:rFonts w:hint="eastAsia"/>
        </w:rPr>
        <w:t>《南方安泰混合型证券投资基金招募说明书》</w:t>
      </w:r>
    </w:p>
    <w:p w:rsidR="00396970" w:rsidRDefault="00396970" w:rsidP="00396970">
      <w:pPr>
        <w:pStyle w:val="-"/>
        <w:ind w:firstLine="420"/>
        <w:rPr>
          <w:rFonts w:hint="eastAsia"/>
        </w:rPr>
      </w:pPr>
      <w:r>
        <w:rPr>
          <w:rFonts w:hint="eastAsia"/>
        </w:rPr>
        <w:t>●定期报告、包括基金季度报告、中期报告和年度报告</w:t>
      </w:r>
    </w:p>
    <w:p w:rsidR="00396970" w:rsidRDefault="00396970" w:rsidP="00396970">
      <w:pPr>
        <w:pStyle w:val="-"/>
        <w:ind w:firstLine="420"/>
        <w:rPr>
          <w:rFonts w:hint="eastAsia"/>
        </w:rPr>
      </w:pPr>
      <w:r>
        <w:rPr>
          <w:rFonts w:hint="eastAsia"/>
        </w:rPr>
        <w:t>●基金份额净值</w:t>
      </w:r>
    </w:p>
    <w:p w:rsidR="00396970" w:rsidRDefault="00396970" w:rsidP="00396970">
      <w:pPr>
        <w:pStyle w:val="-"/>
        <w:ind w:firstLine="420"/>
        <w:rPr>
          <w:rFonts w:hint="eastAsia"/>
        </w:rPr>
      </w:pPr>
      <w:r>
        <w:rPr>
          <w:rFonts w:hint="eastAsia"/>
        </w:rPr>
        <w:t>●基金销售机构及联系方式</w:t>
      </w:r>
    </w:p>
    <w:p w:rsidR="00396970" w:rsidRDefault="00396970" w:rsidP="00396970">
      <w:pPr>
        <w:pStyle w:val="-"/>
        <w:ind w:firstLine="420"/>
        <w:rPr>
          <w:rFonts w:hint="eastAsia"/>
        </w:rPr>
      </w:pPr>
      <w:r>
        <w:rPr>
          <w:rFonts w:hint="eastAsia"/>
        </w:rPr>
        <w:t>●其他重要资料</w:t>
      </w:r>
    </w:p>
    <w:p w:rsidR="00396970" w:rsidRDefault="00396970" w:rsidP="00396970">
      <w:pPr>
        <w:pStyle w:val="-1"/>
        <w:spacing w:before="156" w:after="156"/>
        <w:rPr>
          <w:rFonts w:hint="eastAsia"/>
        </w:rPr>
      </w:pPr>
      <w:r>
        <w:rPr>
          <w:rFonts w:hint="eastAsia"/>
        </w:rPr>
        <w:t>六、其他情况说明</w:t>
      </w:r>
    </w:p>
    <w:p w:rsidR="00396970" w:rsidRDefault="00396970" w:rsidP="00396970">
      <w:pPr>
        <w:pStyle w:val="-"/>
        <w:ind w:firstLine="420"/>
        <w:rPr>
          <w:rFonts w:hint="eastAsia"/>
        </w:rPr>
      </w:pPr>
      <w:bookmarkStart w:id="0" w:name="_GoBack"/>
      <w:bookmarkEnd w:id="0"/>
      <w:r>
        <w:rPr>
          <w:rFonts w:hint="eastAsia"/>
        </w:rPr>
        <w:t>暂无。</w:t>
      </w:r>
    </w:p>
    <w:p w:rsidR="00E67375" w:rsidRPr="00ED7F31" w:rsidRDefault="00396970" w:rsidP="00396970">
      <w:pPr>
        <w:pStyle w:val="-"/>
        <w:ind w:firstLine="420"/>
      </w:pPr>
      <w:r w:rsidRPr="00A84177">
        <w:lastRenderedPageBreak/>
        <w:t xml:space="preserve"> </w:t>
      </w:r>
    </w:p>
    <w:sectPr w:rsidR="00E67375" w:rsidRPr="00ED7F31" w:rsidSect="00F03A80">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4788" w:rsidRDefault="00964788" w:rsidP="00C06F04">
      <w:r>
        <w:separator/>
      </w:r>
    </w:p>
  </w:endnote>
  <w:endnote w:type="continuationSeparator" w:id="0">
    <w:p w:rsidR="00964788" w:rsidRDefault="00964788" w:rsidP="00C06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黑体简体">
    <w:altName w:val="微软雅黑"/>
    <w:charset w:val="86"/>
    <w:family w:val="auto"/>
    <w:pitch w:val="default"/>
    <w:sig w:usb0="00000000"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6970" w:rsidRDefault="00396970">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97D" w:rsidRDefault="00FA097D">
    <w:pPr>
      <w:pStyle w:val="a7"/>
      <w:jc w:val="right"/>
    </w:pPr>
    <w:r>
      <w:fldChar w:fldCharType="begin"/>
    </w:r>
    <w:r>
      <w:instrText xml:space="preserve"> PAGE   \* MERGEFORMAT </w:instrText>
    </w:r>
    <w:r>
      <w:fldChar w:fldCharType="separate"/>
    </w:r>
    <w:r w:rsidR="00396970" w:rsidRPr="00396970">
      <w:rPr>
        <w:noProof/>
        <w:lang w:val="zh-CN"/>
      </w:rP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6970" w:rsidRDefault="0039697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4788" w:rsidRDefault="00964788" w:rsidP="00C06F04">
      <w:r>
        <w:separator/>
      </w:r>
    </w:p>
  </w:footnote>
  <w:footnote w:type="continuationSeparator" w:id="0">
    <w:p w:rsidR="00964788" w:rsidRDefault="00964788" w:rsidP="00C06F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6970" w:rsidRDefault="00396970">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07B7" w:rsidRDefault="00396970" w:rsidP="00CE07B7">
    <w:pPr>
      <w:pStyle w:val="a6"/>
      <w:jc w:val="right"/>
    </w:pPr>
    <w:r>
      <w:rPr>
        <w:rFonts w:hint="eastAsia"/>
      </w:rPr>
      <w:t>南方安泰混合型证券投资基金（</w:t>
    </w:r>
    <w:r>
      <w:rPr>
        <w:rFonts w:hint="eastAsia"/>
      </w:rPr>
      <w:t>A</w:t>
    </w:r>
    <w:r>
      <w:rPr>
        <w:rFonts w:hint="eastAsia"/>
      </w:rPr>
      <w:t>类份额）基金产品资料概要（更新）</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6970" w:rsidRDefault="00396970">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AD4"/>
    <w:rsid w:val="0001145D"/>
    <w:rsid w:val="0001706E"/>
    <w:rsid w:val="00045B9C"/>
    <w:rsid w:val="000629C7"/>
    <w:rsid w:val="00073A17"/>
    <w:rsid w:val="00100924"/>
    <w:rsid w:val="001064E3"/>
    <w:rsid w:val="001750FE"/>
    <w:rsid w:val="00175E81"/>
    <w:rsid w:val="00181325"/>
    <w:rsid w:val="00187B2C"/>
    <w:rsid w:val="0019575F"/>
    <w:rsid w:val="001B4F59"/>
    <w:rsid w:val="001C46F3"/>
    <w:rsid w:val="002073CE"/>
    <w:rsid w:val="00225A93"/>
    <w:rsid w:val="0023093B"/>
    <w:rsid w:val="00230942"/>
    <w:rsid w:val="002956D4"/>
    <w:rsid w:val="00296BEC"/>
    <w:rsid w:val="00362863"/>
    <w:rsid w:val="0038669A"/>
    <w:rsid w:val="00396970"/>
    <w:rsid w:val="003A2389"/>
    <w:rsid w:val="003A31A8"/>
    <w:rsid w:val="003D279E"/>
    <w:rsid w:val="00412878"/>
    <w:rsid w:val="00427E43"/>
    <w:rsid w:val="00440E3F"/>
    <w:rsid w:val="00465118"/>
    <w:rsid w:val="00484A2E"/>
    <w:rsid w:val="004B1A87"/>
    <w:rsid w:val="004C06E8"/>
    <w:rsid w:val="004C7B13"/>
    <w:rsid w:val="00543191"/>
    <w:rsid w:val="00544E9D"/>
    <w:rsid w:val="00575E4D"/>
    <w:rsid w:val="005C29BB"/>
    <w:rsid w:val="006014C5"/>
    <w:rsid w:val="00614557"/>
    <w:rsid w:val="006175A8"/>
    <w:rsid w:val="00624C8B"/>
    <w:rsid w:val="006255DD"/>
    <w:rsid w:val="00665FED"/>
    <w:rsid w:val="00666D53"/>
    <w:rsid w:val="006B012F"/>
    <w:rsid w:val="006C778B"/>
    <w:rsid w:val="006F182B"/>
    <w:rsid w:val="006F63DB"/>
    <w:rsid w:val="0071135D"/>
    <w:rsid w:val="007379A3"/>
    <w:rsid w:val="007475A0"/>
    <w:rsid w:val="007745B9"/>
    <w:rsid w:val="007B5088"/>
    <w:rsid w:val="007C71B7"/>
    <w:rsid w:val="00800FA0"/>
    <w:rsid w:val="008630EB"/>
    <w:rsid w:val="008730C5"/>
    <w:rsid w:val="008A7263"/>
    <w:rsid w:val="008B15A4"/>
    <w:rsid w:val="008C33E1"/>
    <w:rsid w:val="008C4B46"/>
    <w:rsid w:val="00945B9D"/>
    <w:rsid w:val="00964788"/>
    <w:rsid w:val="0097681E"/>
    <w:rsid w:val="009A69BD"/>
    <w:rsid w:val="009B4E06"/>
    <w:rsid w:val="009C63D0"/>
    <w:rsid w:val="00A150DC"/>
    <w:rsid w:val="00A216D6"/>
    <w:rsid w:val="00A26343"/>
    <w:rsid w:val="00A84177"/>
    <w:rsid w:val="00AD7920"/>
    <w:rsid w:val="00B12045"/>
    <w:rsid w:val="00B3351A"/>
    <w:rsid w:val="00B5016C"/>
    <w:rsid w:val="00B652A8"/>
    <w:rsid w:val="00BA533C"/>
    <w:rsid w:val="00BB4D04"/>
    <w:rsid w:val="00BC2145"/>
    <w:rsid w:val="00BC22E5"/>
    <w:rsid w:val="00BC6F00"/>
    <w:rsid w:val="00C04636"/>
    <w:rsid w:val="00C06F04"/>
    <w:rsid w:val="00C17603"/>
    <w:rsid w:val="00C359DD"/>
    <w:rsid w:val="00C64CE6"/>
    <w:rsid w:val="00C9694E"/>
    <w:rsid w:val="00C975C3"/>
    <w:rsid w:val="00CC4E42"/>
    <w:rsid w:val="00CE07B7"/>
    <w:rsid w:val="00CE4F75"/>
    <w:rsid w:val="00CE5671"/>
    <w:rsid w:val="00D051CB"/>
    <w:rsid w:val="00D15F45"/>
    <w:rsid w:val="00D928F8"/>
    <w:rsid w:val="00D92B0B"/>
    <w:rsid w:val="00D95BCA"/>
    <w:rsid w:val="00DC7415"/>
    <w:rsid w:val="00DD0E43"/>
    <w:rsid w:val="00E04FA5"/>
    <w:rsid w:val="00E063EF"/>
    <w:rsid w:val="00E15747"/>
    <w:rsid w:val="00E43A74"/>
    <w:rsid w:val="00E46AD4"/>
    <w:rsid w:val="00E67375"/>
    <w:rsid w:val="00EA5DE4"/>
    <w:rsid w:val="00ED7F31"/>
    <w:rsid w:val="00F03A80"/>
    <w:rsid w:val="00F27944"/>
    <w:rsid w:val="00F45ADF"/>
    <w:rsid w:val="00F56A67"/>
    <w:rsid w:val="00F719C8"/>
    <w:rsid w:val="00F73C89"/>
    <w:rsid w:val="00F76D55"/>
    <w:rsid w:val="00FA097D"/>
    <w:rsid w:val="00FA1F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C7817F74-6EDA-4306-B734-0A952831C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Char"/>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Char"/>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rsid w:val="00A216D6"/>
    <w:pPr>
      <w:shd w:val="clear" w:color="auto" w:fill="FFFFFF"/>
      <w:snapToGrid w:val="0"/>
      <w:spacing w:before="0" w:beforeAutospacing="0" w:after="0" w:afterAutospacing="0" w:line="311" w:lineRule="exact"/>
      <w:ind w:firstLineChars="200" w:firstLine="200"/>
      <w:jc w:val="both"/>
    </w:pPr>
    <w:rPr>
      <w:rFonts w:eastAsia="仿宋"/>
      <w:color w:val="222222"/>
      <w:sz w:val="21"/>
      <w:szCs w:val="21"/>
    </w:rPr>
  </w:style>
  <w:style w:type="character" w:customStyle="1" w:styleId="2Char">
    <w:name w:val="标题 2 Char"/>
    <w:link w:val="2"/>
    <w:uiPriority w:val="9"/>
    <w:rsid w:val="00E063EF"/>
    <w:rPr>
      <w:rFonts w:ascii="宋体" w:hAnsi="宋体" w:cs="宋体"/>
      <w:b/>
      <w:bCs/>
      <w:sz w:val="18"/>
      <w:szCs w:val="18"/>
    </w:rPr>
  </w:style>
  <w:style w:type="character" w:customStyle="1" w:styleId="Char">
    <w:name w:val="普通(网站) Char"/>
    <w:link w:val="a3"/>
    <w:uiPriority w:val="99"/>
    <w:rsid w:val="00800FA0"/>
    <w:rPr>
      <w:rFonts w:ascii="宋体" w:hAnsi="宋体" w:cs="宋体"/>
      <w:sz w:val="24"/>
      <w:szCs w:val="24"/>
    </w:rPr>
  </w:style>
  <w:style w:type="character" w:customStyle="1" w:styleId="-Char">
    <w:name w:val="模板-正文 Char"/>
    <w:link w:val="-"/>
    <w:rsid w:val="00A216D6"/>
    <w:rPr>
      <w:rFonts w:ascii="宋体" w:eastAsia="仿宋" w:hAnsi="宋体"/>
      <w:color w:val="222222"/>
      <w:sz w:val="21"/>
      <w:szCs w:val="21"/>
      <w:shd w:val="clear" w:color="auto" w:fill="FFFFFF"/>
      <w:lang w:val="x-none" w:eastAsia="x-none"/>
    </w:rPr>
  </w:style>
  <w:style w:type="character" w:customStyle="1" w:styleId="docorderno">
    <w:name w:val="doc_order_no"/>
    <w:rsid w:val="00E063EF"/>
  </w:style>
  <w:style w:type="paragraph" w:customStyle="1" w:styleId="-2">
    <w:name w:val="模板-标题 2"/>
    <w:basedOn w:val="2"/>
    <w:link w:val="-2Char"/>
    <w:qFormat/>
    <w:rsid w:val="00C17603"/>
    <w:pPr>
      <w:shd w:val="clear" w:color="auto" w:fill="FFFFFF"/>
      <w:spacing w:beforeLines="50" w:before="50" w:beforeAutospacing="0" w:afterLines="50" w:after="50" w:afterAutospacing="0" w:line="290" w:lineRule="exact"/>
    </w:pPr>
    <w:rPr>
      <w:rFonts w:eastAsia="仿宋"/>
      <w:color w:val="222222"/>
      <w:sz w:val="21"/>
    </w:rPr>
  </w:style>
  <w:style w:type="paragraph" w:styleId="20">
    <w:name w:val="toc 2"/>
    <w:basedOn w:val="a"/>
    <w:next w:val="a"/>
    <w:autoRedefine/>
    <w:uiPriority w:val="39"/>
    <w:rsid w:val="00E063EF"/>
    <w:pPr>
      <w:ind w:leftChars="200" w:left="420"/>
    </w:pPr>
  </w:style>
  <w:style w:type="character" w:customStyle="1" w:styleId="-2Char">
    <w:name w:val="模板-标题 2 Char"/>
    <w:link w:val="-2"/>
    <w:rsid w:val="00C17603"/>
    <w:rPr>
      <w:rFonts w:ascii="宋体" w:eastAsia="仿宋" w:hAnsi="宋体"/>
      <w:b/>
      <w:bCs/>
      <w:color w:val="222222"/>
      <w:sz w:val="21"/>
      <w:szCs w:val="18"/>
      <w:shd w:val="clear" w:color="auto" w:fill="FFFFFF"/>
      <w:lang w:val="x-none" w:eastAsia="x-none"/>
    </w:rPr>
  </w:style>
  <w:style w:type="character" w:styleId="a4">
    <w:name w:val="Hyperlink"/>
    <w:uiPriority w:val="99"/>
    <w:unhideWhenUsed/>
    <w:rsid w:val="00E063EF"/>
    <w:rPr>
      <w:color w:val="0000FF"/>
      <w:u w:val="single"/>
    </w:rPr>
  </w:style>
  <w:style w:type="character" w:customStyle="1" w:styleId="1Char">
    <w:name w:val="标题 1 Char"/>
    <w:link w:val="1"/>
    <w:uiPriority w:val="9"/>
    <w:rsid w:val="00E063EF"/>
    <w:rPr>
      <w:b/>
      <w:bCs/>
      <w:kern w:val="44"/>
      <w:sz w:val="44"/>
      <w:szCs w:val="44"/>
    </w:rPr>
  </w:style>
  <w:style w:type="paragraph" w:customStyle="1" w:styleId="-1">
    <w:name w:val="模板-标题 1"/>
    <w:basedOn w:val="1"/>
    <w:link w:val="-1Char"/>
    <w:qFormat/>
    <w:rsid w:val="00C17603"/>
    <w:pPr>
      <w:keepNext w:val="0"/>
      <w:keepLines w:val="0"/>
      <w:widowControl/>
      <w:shd w:val="clear" w:color="auto" w:fill="FFFFFF"/>
      <w:spacing w:beforeLines="50" w:before="50" w:afterLines="50" w:after="50" w:line="290" w:lineRule="exact"/>
      <w:jc w:val="left"/>
    </w:pPr>
    <w:rPr>
      <w:rFonts w:ascii="宋体" w:eastAsia="仿宋" w:hAnsi="宋体"/>
      <w:color w:val="222222"/>
      <w:kern w:val="36"/>
      <w:sz w:val="24"/>
      <w:szCs w:val="24"/>
    </w:rPr>
  </w:style>
  <w:style w:type="paragraph" w:styleId="10">
    <w:name w:val="toc 1"/>
    <w:basedOn w:val="a"/>
    <w:next w:val="a"/>
    <w:autoRedefine/>
    <w:uiPriority w:val="39"/>
    <w:rsid w:val="00E063EF"/>
  </w:style>
  <w:style w:type="character" w:customStyle="1" w:styleId="-1Char">
    <w:name w:val="模板-标题 1 Char"/>
    <w:link w:val="-1"/>
    <w:rsid w:val="00C17603"/>
    <w:rPr>
      <w:rFonts w:ascii="宋体" w:eastAsia="仿宋" w:hAnsi="宋体"/>
      <w:b/>
      <w:bCs/>
      <w:color w:val="222222"/>
      <w:kern w:val="36"/>
      <w:sz w:val="24"/>
      <w:szCs w:val="24"/>
      <w:shd w:val="clear" w:color="auto" w:fill="FFFFFF"/>
      <w:lang w:val="x-none" w:eastAsia="x-none"/>
    </w:rPr>
  </w:style>
  <w:style w:type="paragraph" w:customStyle="1" w:styleId="-3">
    <w:name w:val="模板-标题 3"/>
    <w:basedOn w:val="a"/>
    <w:link w:val="-3Char"/>
    <w:qFormat/>
    <w:rsid w:val="00C17603"/>
    <w:pPr>
      <w:spacing w:beforeLines="50" w:before="50" w:afterLines="50" w:after="50" w:line="290" w:lineRule="atLeast"/>
    </w:pPr>
    <w:rPr>
      <w:rFonts w:eastAsia="仿宋"/>
      <w:b/>
      <w:color w:val="222222"/>
      <w:szCs w:val="18"/>
      <w:lang w:val="x-none" w:eastAsia="x-none"/>
    </w:rPr>
  </w:style>
  <w:style w:type="table" w:styleId="a5">
    <w:name w:val="Table Grid"/>
    <w:basedOn w:val="a1"/>
    <w:rsid w:val="00E67375"/>
    <w:pPr>
      <w:spacing w:line="312" w:lineRule="exact"/>
      <w:jc w:val="center"/>
      <w:textAlignment w:val="center"/>
    </w:pPr>
    <w:rPr>
      <w:rFonts w:eastAsia="仿宋"/>
      <w:color w:val="000000" w:themeColor="text1"/>
      <w:sz w:val="21"/>
    </w:rPr>
    <w:tblPr>
      <w:jc w:val="center"/>
      <w:tblBorders>
        <w:top w:val="single" w:sz="4" w:space="0" w:color="auto"/>
        <w:bottom w:val="single" w:sz="4" w:space="0" w:color="auto"/>
        <w:insideH w:val="dashed" w:sz="4" w:space="0" w:color="auto"/>
      </w:tblBorders>
    </w:tblPr>
    <w:trPr>
      <w:jc w:val="center"/>
    </w:trPr>
    <w:tcPr>
      <w:vAlign w:val="center"/>
    </w:tcPr>
  </w:style>
  <w:style w:type="character" w:customStyle="1" w:styleId="-3Char">
    <w:name w:val="模板-标题 3 Char"/>
    <w:link w:val="-3"/>
    <w:rsid w:val="00C17603"/>
    <w:rPr>
      <w:rFonts w:eastAsia="仿宋"/>
      <w:b/>
      <w:color w:val="222222"/>
      <w:kern w:val="2"/>
      <w:sz w:val="21"/>
      <w:szCs w:val="18"/>
      <w:lang w:val="x-none" w:eastAsia="x-none"/>
    </w:rPr>
  </w:style>
  <w:style w:type="table" w:customStyle="1" w:styleId="-0">
    <w:name w:val="模板-表格"/>
    <w:basedOn w:val="a1"/>
    <w:rsid w:val="00E67375"/>
    <w:pPr>
      <w:spacing w:line="312" w:lineRule="exact"/>
      <w:textAlignment w:val="center"/>
    </w:pPr>
    <w:rPr>
      <w:rFonts w:eastAsia="仿宋"/>
      <w:color w:val="000000" w:themeColor="text1"/>
      <w:sz w:val="21"/>
    </w:rPr>
    <w:tblPr>
      <w:jc w:val="center"/>
      <w:tblBorders>
        <w:top w:val="single" w:sz="4" w:space="0" w:color="auto"/>
        <w:bottom w:val="single" w:sz="4" w:space="0" w:color="auto"/>
        <w:insideH w:val="dashed" w:sz="4" w:space="0" w:color="auto"/>
      </w:tblBorders>
    </w:tblPr>
    <w:trPr>
      <w:jc w:val="center"/>
    </w:trPr>
    <w:tcPr>
      <w:vAlign w:val="center"/>
    </w:tcPr>
    <w:tblStylePr w:type="firstRow">
      <w:tblPr/>
      <w:tcPr>
        <w:shd w:val="clear" w:color="auto" w:fill="BFBFBF"/>
      </w:tcPr>
    </w:tblStylePr>
  </w:style>
  <w:style w:type="paragraph" w:styleId="a6">
    <w:name w:val="header"/>
    <w:basedOn w:val="a"/>
    <w:link w:val="Char0"/>
    <w:uiPriority w:val="99"/>
    <w:rsid w:val="00C06F04"/>
    <w:pPr>
      <w:pBdr>
        <w:bottom w:val="single" w:sz="6" w:space="1" w:color="auto"/>
      </w:pBdr>
      <w:tabs>
        <w:tab w:val="center" w:pos="4153"/>
        <w:tab w:val="right" w:pos="8306"/>
      </w:tabs>
      <w:snapToGrid w:val="0"/>
      <w:jc w:val="center"/>
    </w:pPr>
    <w:rPr>
      <w:sz w:val="18"/>
      <w:szCs w:val="18"/>
      <w:lang w:val="x-none" w:eastAsia="x-none"/>
    </w:rPr>
  </w:style>
  <w:style w:type="character" w:customStyle="1" w:styleId="Char0">
    <w:name w:val="页眉 Char"/>
    <w:link w:val="a6"/>
    <w:uiPriority w:val="99"/>
    <w:rsid w:val="00C06F04"/>
    <w:rPr>
      <w:kern w:val="2"/>
      <w:sz w:val="18"/>
      <w:szCs w:val="18"/>
    </w:rPr>
  </w:style>
  <w:style w:type="paragraph" w:styleId="a7">
    <w:name w:val="footer"/>
    <w:basedOn w:val="a"/>
    <w:link w:val="Char1"/>
    <w:uiPriority w:val="99"/>
    <w:rsid w:val="00C06F04"/>
    <w:pPr>
      <w:tabs>
        <w:tab w:val="center" w:pos="4153"/>
        <w:tab w:val="right" w:pos="8306"/>
      </w:tabs>
      <w:snapToGrid w:val="0"/>
      <w:jc w:val="left"/>
    </w:pPr>
    <w:rPr>
      <w:sz w:val="18"/>
      <w:szCs w:val="18"/>
      <w:lang w:val="x-none" w:eastAsia="x-none"/>
    </w:rPr>
  </w:style>
  <w:style w:type="character" w:customStyle="1" w:styleId="Char1">
    <w:name w:val="页脚 Char"/>
    <w:link w:val="a7"/>
    <w:uiPriority w:val="99"/>
    <w:rsid w:val="00C06F04"/>
    <w:rPr>
      <w:kern w:val="2"/>
      <w:sz w:val="18"/>
      <w:szCs w:val="18"/>
    </w:rPr>
  </w:style>
  <w:style w:type="paragraph" w:styleId="a8">
    <w:name w:val="Document Map"/>
    <w:basedOn w:val="a"/>
    <w:link w:val="Char2"/>
    <w:rsid w:val="00624C8B"/>
    <w:rPr>
      <w:rFonts w:ascii="宋体"/>
      <w:sz w:val="18"/>
      <w:szCs w:val="18"/>
      <w:lang w:val="x-none" w:eastAsia="x-none"/>
    </w:rPr>
  </w:style>
  <w:style w:type="character" w:customStyle="1" w:styleId="Char2">
    <w:name w:val="文档结构图 Char"/>
    <w:link w:val="a8"/>
    <w:rsid w:val="00624C8B"/>
    <w:rPr>
      <w:rFonts w:ascii="宋体"/>
      <w:kern w:val="2"/>
      <w:sz w:val="18"/>
      <w:szCs w:val="18"/>
    </w:rPr>
  </w:style>
  <w:style w:type="paragraph" w:styleId="a9">
    <w:name w:val="Title"/>
    <w:basedOn w:val="a"/>
    <w:next w:val="a"/>
    <w:link w:val="Char3"/>
    <w:qFormat/>
    <w:rsid w:val="00D92B0B"/>
    <w:pPr>
      <w:spacing w:before="240" w:after="60"/>
      <w:jc w:val="center"/>
      <w:outlineLvl w:val="0"/>
    </w:pPr>
    <w:rPr>
      <w:rFonts w:ascii="Cambria" w:hAnsi="Cambria"/>
      <w:b/>
      <w:bCs/>
      <w:sz w:val="32"/>
      <w:szCs w:val="32"/>
      <w:lang w:val="x-none" w:eastAsia="x-none"/>
    </w:rPr>
  </w:style>
  <w:style w:type="character" w:customStyle="1" w:styleId="Char3">
    <w:name w:val="标题 Char"/>
    <w:link w:val="a9"/>
    <w:rsid w:val="00D92B0B"/>
    <w:rPr>
      <w:rFonts w:ascii="Cambria" w:hAnsi="Cambria" w:cs="Times New Roman"/>
      <w:b/>
      <w:bCs/>
      <w:kern w:val="2"/>
      <w:sz w:val="32"/>
      <w:szCs w:val="32"/>
    </w:rPr>
  </w:style>
  <w:style w:type="paragraph" w:customStyle="1" w:styleId="-4">
    <w:name w:val="模板-标题"/>
    <w:basedOn w:val="a9"/>
    <w:qFormat/>
    <w:rsid w:val="0038669A"/>
    <w:pPr>
      <w:spacing w:before="0" w:afterLines="100" w:after="100" w:line="290" w:lineRule="exact"/>
      <w:outlineLvl w:val="9"/>
    </w:pPr>
    <w:rPr>
      <w:rFonts w:eastAsia="仿宋"/>
      <w:color w:val="000000" w:themeColor="text1"/>
      <w:sz w:val="24"/>
    </w:rPr>
  </w:style>
  <w:style w:type="paragraph" w:customStyle="1" w:styleId="-40">
    <w:name w:val="模板-标题 4"/>
    <w:basedOn w:val="a"/>
    <w:qFormat/>
    <w:rsid w:val="00C17603"/>
    <w:pPr>
      <w:spacing w:line="290" w:lineRule="exact"/>
    </w:pPr>
    <w:rPr>
      <w:rFonts w:eastAsia="仿宋"/>
      <w:b/>
      <w:color w:val="000000" w:themeColor="text1"/>
    </w:rPr>
  </w:style>
  <w:style w:type="paragraph" w:customStyle="1" w:styleId="-5">
    <w:name w:val="模板-标题 5"/>
    <w:basedOn w:val="-40"/>
    <w:qFormat/>
    <w:rsid w:val="00DD0E43"/>
  </w:style>
  <w:style w:type="paragraph" w:customStyle="1" w:styleId="-6">
    <w:name w:val="模板-标题 6"/>
    <w:basedOn w:val="-5"/>
    <w:qFormat/>
    <w:rsid w:val="007C71B7"/>
  </w:style>
  <w:style w:type="table" w:customStyle="1" w:styleId="-noheader">
    <w:name w:val="模板-表格_noheader"/>
    <w:basedOn w:val="a1"/>
    <w:rsid w:val="00E67375"/>
    <w:pPr>
      <w:spacing w:line="312" w:lineRule="exact"/>
      <w:jc w:val="center"/>
      <w:textAlignment w:val="center"/>
    </w:pPr>
    <w:rPr>
      <w:rFonts w:eastAsia="仿宋"/>
      <w:color w:val="000000" w:themeColor="text1"/>
      <w:sz w:val="21"/>
    </w:rPr>
    <w:tblPr>
      <w:jc w:val="center"/>
      <w:tblBorders>
        <w:top w:val="single" w:sz="4" w:space="0" w:color="auto"/>
        <w:bottom w:val="single" w:sz="4" w:space="0" w:color="auto"/>
        <w:insideH w:val="dashed" w:sz="4" w:space="0" w:color="auto"/>
      </w:tblBorders>
    </w:tblPr>
    <w:trPr>
      <w:jc w:val="center"/>
    </w:trPr>
    <w:tcPr>
      <w:vAlign w:val="center"/>
    </w:tcPr>
  </w:style>
  <w:style w:type="paragraph" w:customStyle="1" w:styleId="-7">
    <w:name w:val="模板-正文无缩进"/>
    <w:basedOn w:val="-"/>
    <w:link w:val="-8"/>
    <w:rsid w:val="00A216D6"/>
    <w:pPr>
      <w:spacing w:line="312" w:lineRule="exact"/>
    </w:pPr>
  </w:style>
  <w:style w:type="character" w:customStyle="1" w:styleId="-8">
    <w:name w:val="模板-正文无缩进 字符"/>
    <w:basedOn w:val="-Char"/>
    <w:link w:val="-7"/>
    <w:rsid w:val="00A216D6"/>
    <w:rPr>
      <w:rFonts w:ascii="宋体" w:eastAsia="仿宋" w:hAnsi="宋体"/>
      <w:color w:val="222222"/>
      <w:sz w:val="21"/>
      <w:szCs w:val="21"/>
      <w:shd w:val="clear" w:color="auto" w:fill="FFFFFF"/>
      <w:lang w:val="x-none" w:eastAsia="x-none"/>
    </w:rPr>
  </w:style>
  <w:style w:type="paragraph" w:customStyle="1" w:styleId="-9">
    <w:name w:val="模板-正文下划线"/>
    <w:basedOn w:val="-"/>
    <w:link w:val="-a"/>
    <w:qFormat/>
    <w:rsid w:val="008A7263"/>
    <w:pPr>
      <w:spacing w:line="312" w:lineRule="exact"/>
    </w:pPr>
    <w:rPr>
      <w:u w:val="single"/>
    </w:rPr>
  </w:style>
  <w:style w:type="character" w:customStyle="1" w:styleId="-a">
    <w:name w:val="模板-正文下划线 字符"/>
    <w:basedOn w:val="-Char"/>
    <w:link w:val="-9"/>
    <w:rsid w:val="008A7263"/>
    <w:rPr>
      <w:rFonts w:ascii="宋体" w:eastAsia="仿宋" w:hAnsi="宋体"/>
      <w:color w:val="222222"/>
      <w:sz w:val="21"/>
      <w:szCs w:val="21"/>
      <w:u w:val="single"/>
      <w:shd w:val="clear" w:color="auto" w:fill="FFFFFF"/>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9897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E63AB8-A1F3-4677-A164-A1CE50C28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791</Words>
  <Characters>4509</Characters>
  <Application>Microsoft Office Word</Application>
  <DocSecurity>0</DocSecurity>
  <Lines>37</Lines>
  <Paragraphs>10</Paragraphs>
  <ScaleCrop>false</ScaleCrop>
  <Company>MC SYSTEM</Company>
  <LinksUpToDate>false</LinksUpToDate>
  <CharactersWithSpaces>5290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 SYSTEM</dc:creator>
  <cp:keywords/>
  <cp:lastModifiedBy>nfuser</cp:lastModifiedBy>
  <cp:revision>2</cp:revision>
  <dcterms:created xsi:type="dcterms:W3CDTF">2021-09-24T07:09:00Z</dcterms:created>
  <dcterms:modified xsi:type="dcterms:W3CDTF">2021-09-24T07:09:00Z</dcterms:modified>
</cp:coreProperties>
</file>