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AC3CCE"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南方中证</w:t>
      </w:r>
      <w:r>
        <w:rPr>
          <w:rFonts w:ascii="宋体" w:hAnsi="方正黑体简体" w:cs="方正黑体简体"/>
          <w:b/>
          <w:bCs/>
          <w:iCs/>
          <w:sz w:val="31"/>
          <w:szCs w:val="36"/>
        </w:rPr>
        <w:t>500交易型开放式指数证券投资基金联接基金(LOF)（C类份额）基金产品资料概要（更新）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AC3CCE">
        <w:rPr>
          <w:rFonts w:ascii="仿宋" w:hAnsi="仿宋"/>
          <w:color w:val="000000" w:themeColor="text1"/>
          <w:sz w:val="24"/>
          <w:szCs w:val="24"/>
        </w:rPr>
        <w:t>2021年9月19日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AC3CCE">
        <w:rPr>
          <w:rFonts w:ascii="仿宋" w:hAnsi="仿宋"/>
          <w:color w:val="000000" w:themeColor="text1"/>
          <w:sz w:val="24"/>
          <w:szCs w:val="24"/>
        </w:rPr>
        <w:t>2021年10月18日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AC3CCE" w:rsidRDefault="00AC3CCE" w:rsidP="00AC3CCE">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AC3CCE" w:rsidTr="00AC3CCE">
        <w:tc>
          <w:tcPr>
            <w:tcW w:w="2076" w:type="dxa"/>
            <w:vMerge w:val="restart"/>
          </w:tcPr>
          <w:p w:rsidR="00AC3CCE" w:rsidRDefault="00AC3CCE" w:rsidP="00AC3CCE">
            <w:pPr>
              <w:jc w:val="left"/>
            </w:pPr>
            <w:r>
              <w:rPr>
                <w:rFonts w:hint="eastAsia"/>
              </w:rPr>
              <w:t>基金简称</w:t>
            </w:r>
          </w:p>
        </w:tc>
        <w:tc>
          <w:tcPr>
            <w:tcW w:w="2076" w:type="dxa"/>
            <w:vMerge w:val="restart"/>
          </w:tcPr>
          <w:p w:rsidR="00AC3CCE" w:rsidRDefault="00AC3CCE" w:rsidP="00AC3CCE">
            <w:pPr>
              <w:jc w:val="left"/>
            </w:pPr>
            <w:r>
              <w:rPr>
                <w:rFonts w:hint="eastAsia"/>
              </w:rPr>
              <w:t>南方中证</w:t>
            </w:r>
            <w:r>
              <w:rPr>
                <w:rFonts w:hint="eastAsia"/>
              </w:rPr>
              <w:t>500ETF</w:t>
            </w:r>
            <w:r>
              <w:rPr>
                <w:rFonts w:hint="eastAsia"/>
              </w:rPr>
              <w:t>联接</w:t>
            </w:r>
            <w:r>
              <w:rPr>
                <w:rFonts w:hint="eastAsia"/>
              </w:rPr>
              <w:t>(LOF)C</w:t>
            </w:r>
          </w:p>
        </w:tc>
        <w:tc>
          <w:tcPr>
            <w:tcW w:w="2077" w:type="dxa"/>
          </w:tcPr>
          <w:p w:rsidR="00AC3CCE" w:rsidRDefault="00AC3CCE" w:rsidP="00AC3CCE">
            <w:pPr>
              <w:jc w:val="left"/>
            </w:pPr>
            <w:r>
              <w:rPr>
                <w:rFonts w:hint="eastAsia"/>
              </w:rPr>
              <w:t>基金代码</w:t>
            </w:r>
          </w:p>
        </w:tc>
        <w:tc>
          <w:tcPr>
            <w:tcW w:w="2077" w:type="dxa"/>
          </w:tcPr>
          <w:p w:rsidR="00AC3CCE" w:rsidRDefault="00AC3CCE" w:rsidP="00AC3CCE">
            <w:pPr>
              <w:jc w:val="left"/>
            </w:pPr>
            <w:r>
              <w:t>004348</w:t>
            </w:r>
          </w:p>
        </w:tc>
      </w:tr>
      <w:tr w:rsidR="00AC3CCE" w:rsidTr="00AC3CCE">
        <w:tc>
          <w:tcPr>
            <w:tcW w:w="2076" w:type="dxa"/>
            <w:vMerge/>
          </w:tcPr>
          <w:p w:rsidR="00AC3CCE" w:rsidRDefault="00AC3CCE" w:rsidP="00AC3CCE">
            <w:pPr>
              <w:jc w:val="left"/>
            </w:pPr>
          </w:p>
        </w:tc>
        <w:tc>
          <w:tcPr>
            <w:tcW w:w="2076" w:type="dxa"/>
            <w:vMerge/>
          </w:tcPr>
          <w:p w:rsidR="00AC3CCE" w:rsidRDefault="00AC3CCE" w:rsidP="00AC3CCE">
            <w:pPr>
              <w:jc w:val="left"/>
            </w:pPr>
          </w:p>
        </w:tc>
        <w:tc>
          <w:tcPr>
            <w:tcW w:w="2077" w:type="dxa"/>
          </w:tcPr>
          <w:p w:rsidR="00AC3CCE" w:rsidRDefault="00AC3CCE" w:rsidP="00AC3CCE">
            <w:pPr>
              <w:jc w:val="left"/>
            </w:pPr>
            <w:r>
              <w:rPr>
                <w:rFonts w:hint="eastAsia"/>
              </w:rPr>
              <w:t>基金前端交易代码</w:t>
            </w:r>
          </w:p>
        </w:tc>
        <w:tc>
          <w:tcPr>
            <w:tcW w:w="2077" w:type="dxa"/>
          </w:tcPr>
          <w:p w:rsidR="00AC3CCE" w:rsidRDefault="00AC3CCE" w:rsidP="00AC3CCE">
            <w:pPr>
              <w:jc w:val="left"/>
            </w:pPr>
            <w:r>
              <w:t>160119</w:t>
            </w:r>
          </w:p>
        </w:tc>
      </w:tr>
      <w:tr w:rsidR="00AC3CCE" w:rsidTr="00AC3CCE">
        <w:tc>
          <w:tcPr>
            <w:tcW w:w="2076" w:type="dxa"/>
            <w:vMerge/>
          </w:tcPr>
          <w:p w:rsidR="00AC3CCE" w:rsidRDefault="00AC3CCE" w:rsidP="00AC3CCE">
            <w:pPr>
              <w:jc w:val="left"/>
            </w:pPr>
          </w:p>
        </w:tc>
        <w:tc>
          <w:tcPr>
            <w:tcW w:w="2076" w:type="dxa"/>
            <w:vMerge/>
          </w:tcPr>
          <w:p w:rsidR="00AC3CCE" w:rsidRDefault="00AC3CCE" w:rsidP="00AC3CCE">
            <w:pPr>
              <w:jc w:val="left"/>
            </w:pPr>
          </w:p>
        </w:tc>
        <w:tc>
          <w:tcPr>
            <w:tcW w:w="2077" w:type="dxa"/>
          </w:tcPr>
          <w:p w:rsidR="00AC3CCE" w:rsidRDefault="00AC3CCE" w:rsidP="00AC3CCE">
            <w:pPr>
              <w:jc w:val="left"/>
            </w:pPr>
            <w:r>
              <w:rPr>
                <w:rFonts w:hint="eastAsia"/>
              </w:rPr>
              <w:t>基金后端交易代码</w:t>
            </w:r>
          </w:p>
        </w:tc>
        <w:tc>
          <w:tcPr>
            <w:tcW w:w="2077" w:type="dxa"/>
          </w:tcPr>
          <w:p w:rsidR="00AC3CCE" w:rsidRDefault="00AC3CCE" w:rsidP="00AC3CCE">
            <w:pPr>
              <w:jc w:val="left"/>
            </w:pPr>
            <w:r>
              <w:t>160120</w:t>
            </w:r>
          </w:p>
        </w:tc>
      </w:tr>
      <w:tr w:rsidR="00AC3CCE" w:rsidTr="00AC3CCE">
        <w:tc>
          <w:tcPr>
            <w:tcW w:w="2076" w:type="dxa"/>
          </w:tcPr>
          <w:p w:rsidR="00AC3CCE" w:rsidRDefault="00AC3CCE" w:rsidP="00AC3CCE">
            <w:pPr>
              <w:jc w:val="left"/>
            </w:pPr>
            <w:r>
              <w:rPr>
                <w:rFonts w:hint="eastAsia"/>
              </w:rPr>
              <w:t>基金管理人</w:t>
            </w:r>
          </w:p>
        </w:tc>
        <w:tc>
          <w:tcPr>
            <w:tcW w:w="2076" w:type="dxa"/>
          </w:tcPr>
          <w:p w:rsidR="00AC3CCE" w:rsidRDefault="00AC3CCE" w:rsidP="00AC3CCE">
            <w:pPr>
              <w:jc w:val="left"/>
            </w:pPr>
            <w:r>
              <w:rPr>
                <w:rFonts w:hint="eastAsia"/>
              </w:rPr>
              <w:t>南方基金管理股份有限公司</w:t>
            </w:r>
          </w:p>
        </w:tc>
        <w:tc>
          <w:tcPr>
            <w:tcW w:w="2077" w:type="dxa"/>
          </w:tcPr>
          <w:p w:rsidR="00AC3CCE" w:rsidRDefault="00AC3CCE" w:rsidP="00AC3CCE">
            <w:pPr>
              <w:jc w:val="left"/>
            </w:pPr>
            <w:r>
              <w:rPr>
                <w:rFonts w:hint="eastAsia"/>
              </w:rPr>
              <w:t>基金托管人</w:t>
            </w:r>
          </w:p>
        </w:tc>
        <w:tc>
          <w:tcPr>
            <w:tcW w:w="2077" w:type="dxa"/>
          </w:tcPr>
          <w:p w:rsidR="00AC3CCE" w:rsidRDefault="00AC3CCE" w:rsidP="00AC3CCE">
            <w:pPr>
              <w:jc w:val="left"/>
            </w:pPr>
            <w:r>
              <w:rPr>
                <w:rFonts w:hint="eastAsia"/>
              </w:rPr>
              <w:t>中国农业银行股份有限公司</w:t>
            </w:r>
          </w:p>
        </w:tc>
      </w:tr>
      <w:tr w:rsidR="00AC3CCE" w:rsidTr="00AC3CCE">
        <w:tc>
          <w:tcPr>
            <w:tcW w:w="2076" w:type="dxa"/>
            <w:vMerge w:val="restart"/>
          </w:tcPr>
          <w:p w:rsidR="00AC3CCE" w:rsidRDefault="00AC3CCE" w:rsidP="00AC3CCE">
            <w:pPr>
              <w:jc w:val="left"/>
            </w:pPr>
            <w:r>
              <w:rPr>
                <w:rFonts w:hint="eastAsia"/>
              </w:rPr>
              <w:t>基金合同生效日</w:t>
            </w:r>
          </w:p>
        </w:tc>
        <w:tc>
          <w:tcPr>
            <w:tcW w:w="2076" w:type="dxa"/>
            <w:vMerge w:val="restart"/>
          </w:tcPr>
          <w:p w:rsidR="00AC3CCE" w:rsidRDefault="00AC3CCE" w:rsidP="00AC3CCE">
            <w:pPr>
              <w:jc w:val="left"/>
            </w:pPr>
            <w:r>
              <w:rPr>
                <w:rFonts w:hint="eastAsia"/>
              </w:rPr>
              <w:t>2017</w:t>
            </w:r>
            <w:r>
              <w:rPr>
                <w:rFonts w:hint="eastAsia"/>
              </w:rPr>
              <w:t>年</w:t>
            </w:r>
            <w:r>
              <w:rPr>
                <w:rFonts w:hint="eastAsia"/>
              </w:rPr>
              <w:t>2</w:t>
            </w:r>
            <w:r>
              <w:rPr>
                <w:rFonts w:hint="eastAsia"/>
              </w:rPr>
              <w:t>月</w:t>
            </w:r>
            <w:r>
              <w:rPr>
                <w:rFonts w:hint="eastAsia"/>
              </w:rPr>
              <w:t>23</w:t>
            </w:r>
            <w:r>
              <w:rPr>
                <w:rFonts w:hint="eastAsia"/>
              </w:rPr>
              <w:t>日</w:t>
            </w:r>
          </w:p>
        </w:tc>
        <w:tc>
          <w:tcPr>
            <w:tcW w:w="2077" w:type="dxa"/>
          </w:tcPr>
          <w:p w:rsidR="00AC3CCE" w:rsidRDefault="00AC3CCE" w:rsidP="00AC3CCE">
            <w:pPr>
              <w:jc w:val="left"/>
            </w:pPr>
            <w:r>
              <w:rPr>
                <w:rFonts w:hint="eastAsia"/>
              </w:rPr>
              <w:t>上市交易所</w:t>
            </w:r>
          </w:p>
        </w:tc>
        <w:tc>
          <w:tcPr>
            <w:tcW w:w="2077" w:type="dxa"/>
          </w:tcPr>
          <w:p w:rsidR="00AC3CCE" w:rsidRDefault="00AC3CCE" w:rsidP="00AC3CCE">
            <w:pPr>
              <w:jc w:val="right"/>
            </w:pPr>
            <w:r>
              <w:t>-</w:t>
            </w:r>
          </w:p>
        </w:tc>
      </w:tr>
      <w:tr w:rsidR="00AC3CCE" w:rsidTr="00AC3CCE">
        <w:tc>
          <w:tcPr>
            <w:tcW w:w="2076" w:type="dxa"/>
            <w:vMerge/>
          </w:tcPr>
          <w:p w:rsidR="00AC3CCE" w:rsidRDefault="00AC3CCE" w:rsidP="00AC3CCE">
            <w:pPr>
              <w:jc w:val="left"/>
            </w:pPr>
          </w:p>
        </w:tc>
        <w:tc>
          <w:tcPr>
            <w:tcW w:w="2076" w:type="dxa"/>
            <w:vMerge/>
          </w:tcPr>
          <w:p w:rsidR="00AC3CCE" w:rsidRDefault="00AC3CCE" w:rsidP="00AC3CCE">
            <w:pPr>
              <w:jc w:val="left"/>
            </w:pPr>
          </w:p>
        </w:tc>
        <w:tc>
          <w:tcPr>
            <w:tcW w:w="2077" w:type="dxa"/>
          </w:tcPr>
          <w:p w:rsidR="00AC3CCE" w:rsidRDefault="00AC3CCE" w:rsidP="00AC3CCE">
            <w:pPr>
              <w:jc w:val="left"/>
            </w:pPr>
            <w:r>
              <w:rPr>
                <w:rFonts w:hint="eastAsia"/>
              </w:rPr>
              <w:t>上市日期</w:t>
            </w:r>
          </w:p>
        </w:tc>
        <w:tc>
          <w:tcPr>
            <w:tcW w:w="2077" w:type="dxa"/>
          </w:tcPr>
          <w:p w:rsidR="00AC3CCE" w:rsidRDefault="00AC3CCE" w:rsidP="00AC3CCE">
            <w:pPr>
              <w:jc w:val="right"/>
            </w:pPr>
            <w:r>
              <w:t>-</w:t>
            </w:r>
          </w:p>
        </w:tc>
      </w:tr>
      <w:tr w:rsidR="00AC3CCE" w:rsidTr="00AC3CCE">
        <w:tc>
          <w:tcPr>
            <w:tcW w:w="2076" w:type="dxa"/>
          </w:tcPr>
          <w:p w:rsidR="00AC3CCE" w:rsidRDefault="00AC3CCE" w:rsidP="00AC3CCE">
            <w:pPr>
              <w:jc w:val="left"/>
            </w:pPr>
            <w:r>
              <w:rPr>
                <w:rFonts w:hint="eastAsia"/>
              </w:rPr>
              <w:t>基金类型</w:t>
            </w:r>
          </w:p>
        </w:tc>
        <w:tc>
          <w:tcPr>
            <w:tcW w:w="2076" w:type="dxa"/>
          </w:tcPr>
          <w:p w:rsidR="00AC3CCE" w:rsidRDefault="00AC3CCE" w:rsidP="00AC3CCE">
            <w:pPr>
              <w:jc w:val="left"/>
            </w:pPr>
            <w:r>
              <w:rPr>
                <w:rFonts w:hint="eastAsia"/>
              </w:rPr>
              <w:t>股票型</w:t>
            </w:r>
          </w:p>
        </w:tc>
        <w:tc>
          <w:tcPr>
            <w:tcW w:w="2077" w:type="dxa"/>
          </w:tcPr>
          <w:p w:rsidR="00AC3CCE" w:rsidRDefault="00AC3CCE" w:rsidP="00AC3CCE">
            <w:pPr>
              <w:jc w:val="left"/>
            </w:pPr>
            <w:r>
              <w:rPr>
                <w:rFonts w:hint="eastAsia"/>
              </w:rPr>
              <w:t>交易币种</w:t>
            </w:r>
          </w:p>
        </w:tc>
        <w:tc>
          <w:tcPr>
            <w:tcW w:w="2077" w:type="dxa"/>
          </w:tcPr>
          <w:p w:rsidR="00AC3CCE" w:rsidRDefault="00AC3CCE" w:rsidP="00AC3CCE">
            <w:pPr>
              <w:jc w:val="left"/>
            </w:pPr>
            <w:r>
              <w:rPr>
                <w:rFonts w:hint="eastAsia"/>
              </w:rPr>
              <w:t>人民币</w:t>
            </w:r>
          </w:p>
        </w:tc>
      </w:tr>
      <w:tr w:rsidR="00AC3CCE" w:rsidTr="009C7E36">
        <w:tc>
          <w:tcPr>
            <w:tcW w:w="2076" w:type="dxa"/>
          </w:tcPr>
          <w:p w:rsidR="00AC3CCE" w:rsidRDefault="00AC3CCE" w:rsidP="00AC3CCE">
            <w:pPr>
              <w:jc w:val="left"/>
            </w:pPr>
            <w:r>
              <w:rPr>
                <w:rFonts w:hint="eastAsia"/>
              </w:rPr>
              <w:t>运作方式</w:t>
            </w:r>
          </w:p>
        </w:tc>
        <w:tc>
          <w:tcPr>
            <w:tcW w:w="6230" w:type="dxa"/>
            <w:gridSpan w:val="3"/>
          </w:tcPr>
          <w:p w:rsidR="00AC3CCE" w:rsidRDefault="00AC3CCE" w:rsidP="00AC3CCE">
            <w:pPr>
              <w:jc w:val="left"/>
            </w:pPr>
            <w:r>
              <w:rPr>
                <w:rFonts w:hint="eastAsia"/>
              </w:rPr>
              <w:t>普通开放式</w:t>
            </w:r>
          </w:p>
        </w:tc>
      </w:tr>
      <w:tr w:rsidR="00AC3CCE" w:rsidTr="001F54F5">
        <w:tc>
          <w:tcPr>
            <w:tcW w:w="2076" w:type="dxa"/>
          </w:tcPr>
          <w:p w:rsidR="00AC3CCE" w:rsidRDefault="00AC3CCE" w:rsidP="00AC3CCE">
            <w:pPr>
              <w:jc w:val="left"/>
            </w:pPr>
            <w:r>
              <w:rPr>
                <w:rFonts w:hint="eastAsia"/>
              </w:rPr>
              <w:t>开放频率</w:t>
            </w:r>
          </w:p>
        </w:tc>
        <w:tc>
          <w:tcPr>
            <w:tcW w:w="6230" w:type="dxa"/>
            <w:gridSpan w:val="3"/>
          </w:tcPr>
          <w:p w:rsidR="00AC3CCE" w:rsidRDefault="00AC3CCE" w:rsidP="00AC3CCE">
            <w:pPr>
              <w:jc w:val="left"/>
            </w:pPr>
            <w:r>
              <w:rPr>
                <w:rFonts w:hint="eastAsia"/>
              </w:rPr>
              <w:t>每个开放日</w:t>
            </w:r>
          </w:p>
        </w:tc>
      </w:tr>
      <w:tr w:rsidR="00AC3CCE" w:rsidTr="00AC3CCE">
        <w:tc>
          <w:tcPr>
            <w:tcW w:w="2076" w:type="dxa"/>
            <w:vMerge w:val="restart"/>
          </w:tcPr>
          <w:p w:rsidR="00AC3CCE" w:rsidRDefault="00AC3CCE" w:rsidP="00AC3CCE">
            <w:pPr>
              <w:jc w:val="left"/>
            </w:pPr>
            <w:r>
              <w:rPr>
                <w:rFonts w:hint="eastAsia"/>
              </w:rPr>
              <w:t>基金经理</w:t>
            </w:r>
          </w:p>
        </w:tc>
        <w:tc>
          <w:tcPr>
            <w:tcW w:w="2076" w:type="dxa"/>
            <w:vMerge w:val="restart"/>
          </w:tcPr>
          <w:p w:rsidR="00AC3CCE" w:rsidRDefault="00AC3CCE" w:rsidP="00AC3CCE">
            <w:pPr>
              <w:jc w:val="left"/>
            </w:pPr>
            <w:r>
              <w:rPr>
                <w:rFonts w:hint="eastAsia"/>
              </w:rPr>
              <w:t>罗文杰</w:t>
            </w:r>
          </w:p>
        </w:tc>
        <w:tc>
          <w:tcPr>
            <w:tcW w:w="2077" w:type="dxa"/>
          </w:tcPr>
          <w:p w:rsidR="00AC3CCE" w:rsidRDefault="00AC3CCE" w:rsidP="00AC3CCE">
            <w:pPr>
              <w:jc w:val="left"/>
            </w:pPr>
            <w:r>
              <w:rPr>
                <w:rFonts w:hint="eastAsia"/>
              </w:rPr>
              <w:t>开始担任本基金基金经理的日期</w:t>
            </w:r>
          </w:p>
        </w:tc>
        <w:tc>
          <w:tcPr>
            <w:tcW w:w="2077" w:type="dxa"/>
          </w:tcPr>
          <w:p w:rsidR="00AC3CCE" w:rsidRDefault="00AC3CCE" w:rsidP="00AC3CCE">
            <w:pPr>
              <w:jc w:val="left"/>
            </w:pPr>
            <w:r>
              <w:rPr>
                <w:rFonts w:hint="eastAsia"/>
              </w:rPr>
              <w:t>2013</w:t>
            </w:r>
            <w:r>
              <w:rPr>
                <w:rFonts w:hint="eastAsia"/>
              </w:rPr>
              <w:t>年</w:t>
            </w:r>
            <w:r>
              <w:rPr>
                <w:rFonts w:hint="eastAsia"/>
              </w:rPr>
              <w:t>4</w:t>
            </w:r>
            <w:r>
              <w:rPr>
                <w:rFonts w:hint="eastAsia"/>
              </w:rPr>
              <w:t>月</w:t>
            </w:r>
            <w:r>
              <w:rPr>
                <w:rFonts w:hint="eastAsia"/>
              </w:rPr>
              <w:t>22</w:t>
            </w:r>
            <w:r>
              <w:rPr>
                <w:rFonts w:hint="eastAsia"/>
              </w:rPr>
              <w:t>日</w:t>
            </w:r>
          </w:p>
        </w:tc>
      </w:tr>
      <w:tr w:rsidR="00AC3CCE" w:rsidTr="00AC3CCE">
        <w:tc>
          <w:tcPr>
            <w:tcW w:w="2076" w:type="dxa"/>
            <w:vMerge/>
          </w:tcPr>
          <w:p w:rsidR="00AC3CCE" w:rsidRDefault="00AC3CCE" w:rsidP="00AC3CCE">
            <w:pPr>
              <w:jc w:val="left"/>
            </w:pPr>
          </w:p>
        </w:tc>
        <w:tc>
          <w:tcPr>
            <w:tcW w:w="2076" w:type="dxa"/>
            <w:vMerge/>
          </w:tcPr>
          <w:p w:rsidR="00AC3CCE" w:rsidRDefault="00AC3CCE" w:rsidP="00AC3CCE">
            <w:pPr>
              <w:jc w:val="left"/>
            </w:pPr>
          </w:p>
        </w:tc>
        <w:tc>
          <w:tcPr>
            <w:tcW w:w="2077" w:type="dxa"/>
          </w:tcPr>
          <w:p w:rsidR="00AC3CCE" w:rsidRDefault="00AC3CCE" w:rsidP="00AC3CCE">
            <w:pPr>
              <w:jc w:val="left"/>
            </w:pPr>
            <w:r>
              <w:rPr>
                <w:rFonts w:hint="eastAsia"/>
              </w:rPr>
              <w:t>证券从业日期</w:t>
            </w:r>
          </w:p>
        </w:tc>
        <w:tc>
          <w:tcPr>
            <w:tcW w:w="2077" w:type="dxa"/>
          </w:tcPr>
          <w:p w:rsidR="00AC3CCE" w:rsidRDefault="00AC3CCE" w:rsidP="00AC3CCE">
            <w:pPr>
              <w:jc w:val="left"/>
            </w:pPr>
            <w:r>
              <w:rPr>
                <w:rFonts w:hint="eastAsia"/>
              </w:rPr>
              <w:t>2005</w:t>
            </w:r>
            <w:r>
              <w:rPr>
                <w:rFonts w:hint="eastAsia"/>
              </w:rPr>
              <w:t>年</w:t>
            </w:r>
            <w:r>
              <w:rPr>
                <w:rFonts w:hint="eastAsia"/>
              </w:rPr>
              <w:t>5</w:t>
            </w:r>
            <w:r>
              <w:rPr>
                <w:rFonts w:hint="eastAsia"/>
              </w:rPr>
              <w:t>月</w:t>
            </w:r>
            <w:r>
              <w:rPr>
                <w:rFonts w:hint="eastAsia"/>
              </w:rPr>
              <w:t>1</w:t>
            </w:r>
            <w:r>
              <w:rPr>
                <w:rFonts w:hint="eastAsia"/>
              </w:rPr>
              <w:t>日</w:t>
            </w:r>
          </w:p>
        </w:tc>
      </w:tr>
      <w:tr w:rsidR="00AC3CCE" w:rsidTr="00690D40">
        <w:tc>
          <w:tcPr>
            <w:tcW w:w="2076" w:type="dxa"/>
          </w:tcPr>
          <w:p w:rsidR="00AC3CCE" w:rsidRDefault="00AC3CCE" w:rsidP="00AC3CCE">
            <w:pPr>
              <w:jc w:val="left"/>
            </w:pPr>
            <w:r>
              <w:rPr>
                <w:rFonts w:hint="eastAsia"/>
              </w:rPr>
              <w:t>其他</w:t>
            </w:r>
          </w:p>
        </w:tc>
        <w:tc>
          <w:tcPr>
            <w:tcW w:w="6230" w:type="dxa"/>
            <w:gridSpan w:val="3"/>
          </w:tcPr>
          <w:p w:rsidR="00AC3CCE" w:rsidRDefault="00AC3CCE" w:rsidP="00AC3CCE">
            <w:pPr>
              <w:jc w:val="left"/>
              <w:rPr>
                <w:rFonts w:hint="eastAsia"/>
              </w:rPr>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万元的，基金管理人应当在定期报告中予以披露；连续</w:t>
            </w:r>
            <w:r>
              <w:rPr>
                <w:rFonts w:hint="eastAsia"/>
              </w:rPr>
              <w:t>50</w:t>
            </w:r>
            <w:r>
              <w:rPr>
                <w:rFonts w:hint="eastAsia"/>
              </w:rPr>
              <w:t>个工作日出现前述情形的，基金管理人可以终止基金合同，无需召开基金份额持有人大会。</w:t>
            </w:r>
          </w:p>
          <w:p w:rsidR="00AC3CCE" w:rsidRDefault="00AC3CCE" w:rsidP="00AC3CCE">
            <w:pPr>
              <w:jc w:val="left"/>
            </w:pPr>
            <w:r>
              <w:rPr>
                <w:rFonts w:hint="eastAsia"/>
              </w:rPr>
              <w:t>法律法规或中国证监会另有规定时，从其规定。</w:t>
            </w:r>
          </w:p>
        </w:tc>
      </w:tr>
    </w:tbl>
    <w:p w:rsidR="00AC3CCE" w:rsidRDefault="00AC3CCE" w:rsidP="00AC3CCE">
      <w:pPr>
        <w:pStyle w:val="-1"/>
        <w:spacing w:before="156" w:after="156"/>
        <w:rPr>
          <w:rFonts w:hint="eastAsia"/>
        </w:rPr>
      </w:pPr>
      <w:r>
        <w:rPr>
          <w:rFonts w:hint="eastAsia"/>
        </w:rPr>
        <w:t>二、基金投资与净值表现</w:t>
      </w:r>
    </w:p>
    <w:p w:rsidR="00AC3CCE" w:rsidRDefault="00AC3CCE" w:rsidP="00AC3CCE">
      <w:pPr>
        <w:pStyle w:val="-2"/>
        <w:spacing w:before="156" w:after="156"/>
        <w:rPr>
          <w:rFonts w:hint="eastAsia"/>
        </w:rPr>
      </w:pPr>
      <w:r>
        <w:rPr>
          <w:rFonts w:hint="eastAsia"/>
        </w:rPr>
        <w:t>（一）</w:t>
      </w:r>
      <w:r>
        <w:rPr>
          <w:rFonts w:hint="eastAsia"/>
        </w:rPr>
        <w:t xml:space="preserve"> </w:t>
      </w:r>
      <w:r>
        <w:rPr>
          <w:rFonts w:hint="eastAsia"/>
        </w:rPr>
        <w:t>投资目标与投资策略</w:t>
      </w:r>
    </w:p>
    <w:p w:rsidR="00AC3CCE" w:rsidRDefault="00AC3CCE" w:rsidP="00AC3CCE">
      <w:pPr>
        <w:pStyle w:val="-"/>
        <w:ind w:firstLine="420"/>
        <w:rPr>
          <w:rFonts w:hint="eastAsia"/>
        </w:rPr>
      </w:pPr>
      <w:r>
        <w:rPr>
          <w:rFonts w:hint="eastAsia"/>
        </w:rPr>
        <w:t>详见《南方中证</w:t>
      </w:r>
      <w:r>
        <w:rPr>
          <w:rFonts w:hint="eastAsia"/>
        </w:rPr>
        <w:t>500</w:t>
      </w:r>
      <w:r>
        <w:rPr>
          <w:rFonts w:hint="eastAsia"/>
        </w:rPr>
        <w:t>交易型开放式指数证券投资基金联接基金</w:t>
      </w:r>
      <w:r>
        <w:rPr>
          <w:rFonts w:hint="eastAsia"/>
        </w:rPr>
        <w:t>(LOF)</w:t>
      </w:r>
      <w:r>
        <w:rPr>
          <w:rFonts w:hint="eastAsia"/>
        </w:rPr>
        <w:t>招募说明书》第十部分“基金的投资”。</w:t>
      </w:r>
    </w:p>
    <w:tbl>
      <w:tblPr>
        <w:tblStyle w:val="-noheader"/>
        <w:tblW w:w="8505" w:type="dxa"/>
        <w:tblLayout w:type="fixed"/>
        <w:tblLook w:val="04A0" w:firstRow="1" w:lastRow="0" w:firstColumn="1" w:lastColumn="0" w:noHBand="0" w:noVBand="1"/>
      </w:tblPr>
      <w:tblGrid>
        <w:gridCol w:w="1701"/>
        <w:gridCol w:w="6804"/>
      </w:tblGrid>
      <w:tr w:rsidR="00AC3CCE" w:rsidTr="00AC3CCE">
        <w:tc>
          <w:tcPr>
            <w:tcW w:w="8505" w:type="nil"/>
          </w:tcPr>
          <w:p w:rsidR="00AC3CCE" w:rsidRDefault="00AC3CCE" w:rsidP="00AC3CCE">
            <w:pPr>
              <w:pStyle w:val="-"/>
              <w:shd w:val="clear" w:color="auto" w:fill="auto"/>
              <w:ind w:firstLineChars="0" w:firstLine="0"/>
              <w:jc w:val="left"/>
            </w:pPr>
            <w:r>
              <w:rPr>
                <w:rFonts w:hint="eastAsia"/>
              </w:rPr>
              <w:t>投资目标</w:t>
            </w:r>
          </w:p>
        </w:tc>
        <w:tc>
          <w:tcPr>
            <w:tcW w:w="8505" w:type="nil"/>
          </w:tcPr>
          <w:p w:rsidR="00AC3CCE" w:rsidRDefault="00AC3CCE" w:rsidP="00AC3CCE">
            <w:pPr>
              <w:pStyle w:val="-"/>
              <w:shd w:val="clear" w:color="auto" w:fill="auto"/>
              <w:ind w:firstLineChars="0" w:firstLine="0"/>
              <w:jc w:val="left"/>
            </w:pPr>
            <w:r>
              <w:rPr>
                <w:rFonts w:hint="eastAsia"/>
              </w:rPr>
              <w:t>本基金通过投资于目标</w:t>
            </w:r>
            <w:r>
              <w:t>ETF</w:t>
            </w:r>
            <w:r>
              <w:t>，紧密跟踪业绩比较基准，追求跟踪偏离度和跟踪误差最小化。</w:t>
            </w:r>
          </w:p>
        </w:tc>
      </w:tr>
      <w:tr w:rsidR="00AC3CCE" w:rsidTr="00AC3CCE">
        <w:tc>
          <w:tcPr>
            <w:tcW w:w="8505" w:type="nil"/>
          </w:tcPr>
          <w:p w:rsidR="00AC3CCE" w:rsidRDefault="00AC3CCE" w:rsidP="00AC3CCE">
            <w:pPr>
              <w:pStyle w:val="-"/>
              <w:shd w:val="clear" w:color="auto" w:fill="auto"/>
              <w:ind w:firstLineChars="0" w:firstLine="0"/>
              <w:jc w:val="left"/>
            </w:pPr>
            <w:r>
              <w:rPr>
                <w:rFonts w:hint="eastAsia"/>
              </w:rPr>
              <w:t>投资范围</w:t>
            </w:r>
          </w:p>
        </w:tc>
        <w:tc>
          <w:tcPr>
            <w:tcW w:w="8505" w:type="nil"/>
          </w:tcPr>
          <w:p w:rsidR="00AC3CCE" w:rsidRDefault="00AC3CCE" w:rsidP="00AC3CCE">
            <w:pPr>
              <w:pStyle w:val="-"/>
              <w:shd w:val="clear" w:color="auto" w:fill="auto"/>
              <w:ind w:firstLineChars="0" w:firstLine="0"/>
              <w:jc w:val="left"/>
            </w:pPr>
            <w:r>
              <w:rPr>
                <w:rFonts w:hint="eastAsia"/>
              </w:rPr>
              <w:t>本基金的标的指数为中证</w:t>
            </w:r>
            <w:r>
              <w:t>500</w:t>
            </w:r>
            <w:r>
              <w:t>指数。</w:t>
            </w:r>
          </w:p>
          <w:p w:rsidR="00AC3CCE" w:rsidRDefault="00AC3CCE" w:rsidP="00AC3CCE">
            <w:pPr>
              <w:pStyle w:val="-"/>
              <w:shd w:val="clear" w:color="auto" w:fill="auto"/>
              <w:ind w:firstLineChars="0" w:firstLine="0"/>
              <w:jc w:val="left"/>
            </w:pPr>
            <w:r>
              <w:rPr>
                <w:rFonts w:hint="eastAsia"/>
              </w:rPr>
              <w:t>本基金主要投资于中证</w:t>
            </w:r>
            <w:r>
              <w:t>500ETF</w:t>
            </w:r>
            <w:r>
              <w:t>、标的指数成份股、备选成份股。为更好地实现投资目标，本基金可少量投资于新股（一级市场初次发行或增发）、债券、及中国证监会允许基金投资的其它金融工具。其中投资于中证</w:t>
            </w:r>
            <w:r>
              <w:t>500ETF</w:t>
            </w:r>
            <w:r>
              <w:t>的比例不少于基金资产净值的</w:t>
            </w:r>
            <w:r>
              <w:t>90%</w:t>
            </w:r>
            <w:r>
              <w:t>（已申购但尚未确认的目标</w:t>
            </w:r>
            <w:r>
              <w:t>ETF</w:t>
            </w:r>
            <w:r>
              <w:t>份额可计入在内），现金或者到期日在一年以内的政府债券不低</w:t>
            </w:r>
            <w:r>
              <w:lastRenderedPageBreak/>
              <w:t>于基金资产净值的</w:t>
            </w:r>
            <w:r>
              <w:t>5%</w:t>
            </w:r>
            <w:r>
              <w:t>，其中现金不包括结算备付金、存出保证金、应收申购款等。本基金可投资存托凭证。</w:t>
            </w:r>
          </w:p>
          <w:p w:rsidR="00AC3CCE" w:rsidRDefault="00AC3CCE" w:rsidP="00AC3CCE">
            <w:pPr>
              <w:pStyle w:val="-"/>
              <w:shd w:val="clear" w:color="auto" w:fill="auto"/>
              <w:ind w:firstLineChars="0" w:firstLine="0"/>
              <w:jc w:val="left"/>
            </w:pPr>
            <w:r>
              <w:rPr>
                <w:rFonts w:hint="eastAsia"/>
              </w:rPr>
              <w:t>基金管理人根据相关规定可参与转融通证券出借业务。</w:t>
            </w:r>
          </w:p>
          <w:p w:rsidR="00AC3CCE" w:rsidRDefault="00AC3CCE" w:rsidP="00AC3CCE">
            <w:pPr>
              <w:pStyle w:val="-"/>
              <w:shd w:val="clear" w:color="auto" w:fill="auto"/>
              <w:ind w:firstLineChars="0" w:firstLine="0"/>
              <w:jc w:val="left"/>
            </w:pPr>
            <w:r>
              <w:rPr>
                <w:rFonts w:hint="eastAsia"/>
              </w:rPr>
              <w:t>如基金投资需要，本基金在履行适当程序后，可以投资衍生工具等其他投资品种，无需召开持有人大会审议。基金管理人将根据相关法律法规规定，对相关调整予以公告并及时更新基金法律文件。</w:t>
            </w:r>
          </w:p>
          <w:p w:rsidR="00AC3CCE" w:rsidRDefault="00AC3CCE" w:rsidP="00AC3CCE">
            <w:pPr>
              <w:pStyle w:val="-"/>
              <w:shd w:val="clear" w:color="auto" w:fill="auto"/>
              <w:ind w:firstLineChars="0" w:firstLine="0"/>
              <w:jc w:val="left"/>
            </w:pPr>
            <w:r>
              <w:rPr>
                <w:rFonts w:hint="eastAsia"/>
              </w:rPr>
              <w:t>如法律法规或监管机构以后允许基金投资其他品种，基金管理人在履行适当程序后，可以将其纳入投资范围。</w:t>
            </w:r>
          </w:p>
        </w:tc>
      </w:tr>
      <w:tr w:rsidR="00AC3CCE" w:rsidTr="00AC3CCE">
        <w:tc>
          <w:tcPr>
            <w:tcW w:w="8505" w:type="nil"/>
          </w:tcPr>
          <w:p w:rsidR="00AC3CCE" w:rsidRDefault="00AC3CCE" w:rsidP="00AC3CCE">
            <w:pPr>
              <w:pStyle w:val="-"/>
              <w:shd w:val="clear" w:color="auto" w:fill="auto"/>
              <w:ind w:firstLineChars="0" w:firstLine="0"/>
              <w:jc w:val="left"/>
            </w:pPr>
            <w:r>
              <w:rPr>
                <w:rFonts w:hint="eastAsia"/>
              </w:rPr>
              <w:lastRenderedPageBreak/>
              <w:t>主要投资策略</w:t>
            </w:r>
          </w:p>
        </w:tc>
        <w:tc>
          <w:tcPr>
            <w:tcW w:w="8505" w:type="nil"/>
          </w:tcPr>
          <w:p w:rsidR="00AC3CCE" w:rsidRDefault="00AC3CCE" w:rsidP="00AC3CCE">
            <w:pPr>
              <w:pStyle w:val="-"/>
              <w:shd w:val="clear" w:color="auto" w:fill="auto"/>
              <w:ind w:firstLineChars="0" w:firstLine="0"/>
              <w:jc w:val="left"/>
            </w:pPr>
            <w:r>
              <w:rPr>
                <w:rFonts w:hint="eastAsia"/>
              </w:rPr>
              <w:t>本基金为完全被动式指数基金，以中证</w:t>
            </w:r>
            <w:r>
              <w:t>500ETF</w:t>
            </w:r>
            <w:r>
              <w:t>作为其主要投资标的。为实现投资目标，本基金将以不低于基金资产净值</w:t>
            </w:r>
            <w:r>
              <w:t>90%</w:t>
            </w:r>
            <w:r>
              <w:t>的资产投资于目标</w:t>
            </w:r>
            <w:r>
              <w:t>ETF</w:t>
            </w:r>
            <w:r>
              <w:t>。其余资产可投资于标的指数成份股、备选成份股、新股、债券及中国证监会允许基金投资的其他金融工具，其目的是为了使本基金在应付申购赎回的前提下，更好地跟踪标的指数。在正常市场情况下，本基金力争净值增长率与业绩比较基准之间的日均跟踪偏离度不超过</w:t>
            </w:r>
            <w:r>
              <w:t>0.3%</w:t>
            </w:r>
            <w:r>
              <w:t>，年跟踪误差不超过</w:t>
            </w:r>
            <w:r>
              <w:t>4%</w:t>
            </w:r>
            <w:r>
              <w:t>。</w:t>
            </w:r>
          </w:p>
        </w:tc>
      </w:tr>
      <w:tr w:rsidR="00AC3CCE" w:rsidTr="00AC3CCE">
        <w:tc>
          <w:tcPr>
            <w:tcW w:w="8505" w:type="nil"/>
          </w:tcPr>
          <w:p w:rsidR="00AC3CCE" w:rsidRDefault="00AC3CCE" w:rsidP="00AC3CCE">
            <w:pPr>
              <w:pStyle w:val="-"/>
              <w:shd w:val="clear" w:color="auto" w:fill="auto"/>
              <w:ind w:firstLineChars="0" w:firstLine="0"/>
              <w:jc w:val="left"/>
            </w:pPr>
            <w:r>
              <w:rPr>
                <w:rFonts w:hint="eastAsia"/>
              </w:rPr>
              <w:t>业绩比较基准</w:t>
            </w:r>
          </w:p>
        </w:tc>
        <w:tc>
          <w:tcPr>
            <w:tcW w:w="8505" w:type="nil"/>
          </w:tcPr>
          <w:p w:rsidR="00AC3CCE" w:rsidRDefault="00AC3CCE" w:rsidP="00AC3CCE">
            <w:pPr>
              <w:pStyle w:val="-"/>
              <w:shd w:val="clear" w:color="auto" w:fill="auto"/>
              <w:ind w:firstLineChars="0" w:firstLine="0"/>
              <w:jc w:val="left"/>
            </w:pPr>
            <w:r>
              <w:rPr>
                <w:rFonts w:hint="eastAsia"/>
              </w:rPr>
              <w:t>本基金的标的指数为中证</w:t>
            </w:r>
            <w:r>
              <w:t>500</w:t>
            </w:r>
            <w:r>
              <w:t>指数。</w:t>
            </w:r>
          </w:p>
          <w:p w:rsidR="00AC3CCE" w:rsidRDefault="00AC3CCE" w:rsidP="00AC3CCE">
            <w:pPr>
              <w:pStyle w:val="-"/>
              <w:shd w:val="clear" w:color="auto" w:fill="auto"/>
              <w:ind w:firstLineChars="0" w:firstLine="0"/>
              <w:jc w:val="left"/>
            </w:pPr>
            <w:r>
              <w:rPr>
                <w:rFonts w:hint="eastAsia"/>
              </w:rPr>
              <w:t>本基金业绩比较基准：中证</w:t>
            </w:r>
            <w:r>
              <w:t>500</w:t>
            </w:r>
            <w:r>
              <w:t>指数收益率</w:t>
            </w:r>
            <w:r>
              <w:t>×95%</w:t>
            </w:r>
            <w:r>
              <w:t>＋银行活期存款利率（税后）</w:t>
            </w:r>
            <w:r>
              <w:t>×5%</w:t>
            </w:r>
            <w:r>
              <w:t>。</w:t>
            </w:r>
          </w:p>
        </w:tc>
      </w:tr>
      <w:tr w:rsidR="00AC3CCE" w:rsidTr="00AC3CCE">
        <w:tc>
          <w:tcPr>
            <w:tcW w:w="8505" w:type="nil"/>
          </w:tcPr>
          <w:p w:rsidR="00AC3CCE" w:rsidRDefault="00AC3CCE" w:rsidP="00AC3CCE">
            <w:pPr>
              <w:pStyle w:val="-"/>
              <w:shd w:val="clear" w:color="auto" w:fill="auto"/>
              <w:ind w:firstLineChars="0" w:firstLine="0"/>
              <w:jc w:val="left"/>
            </w:pPr>
            <w:r>
              <w:rPr>
                <w:rFonts w:hint="eastAsia"/>
              </w:rPr>
              <w:t>风险收益特征</w:t>
            </w:r>
          </w:p>
        </w:tc>
        <w:tc>
          <w:tcPr>
            <w:tcW w:w="8505" w:type="nil"/>
          </w:tcPr>
          <w:p w:rsidR="00AC3CCE" w:rsidRDefault="00AC3CCE" w:rsidP="00AC3CCE">
            <w:pPr>
              <w:pStyle w:val="-"/>
              <w:shd w:val="clear" w:color="auto" w:fill="auto"/>
              <w:ind w:firstLineChars="0" w:firstLine="0"/>
              <w:jc w:val="left"/>
            </w:pPr>
            <w:r>
              <w:rPr>
                <w:rFonts w:hint="eastAsia"/>
              </w:rPr>
              <w:t>本基金属股票基金，风险与收益高于混合基金、债券基金与货币市场基金。本基金为指数型基金，具有与标的指数、以及标的指数所代表的股票市场相似的风险收益特征。</w:t>
            </w:r>
          </w:p>
        </w:tc>
      </w:tr>
    </w:tbl>
    <w:p w:rsidR="00AC3CCE" w:rsidRDefault="00AC3CCE" w:rsidP="00AC3CCE">
      <w:pPr>
        <w:pStyle w:val="-2"/>
        <w:spacing w:before="156" w:after="156"/>
      </w:pPr>
      <w:r>
        <w:rPr>
          <w:rFonts w:hint="eastAsia"/>
        </w:rPr>
        <w:t>（二）</w:t>
      </w:r>
      <w:r>
        <w:t xml:space="preserve"> </w:t>
      </w:r>
      <w:r>
        <w:t>投资组合资产配置图表</w:t>
      </w:r>
      <w:r>
        <w:t>/</w:t>
      </w:r>
      <w:r>
        <w:t>区域配置图表</w:t>
      </w:r>
    </w:p>
    <w:p w:rsidR="00AC3CCE" w:rsidRDefault="00AC3CCE" w:rsidP="00AC3CCE">
      <w:r>
        <w:rPr>
          <w:noProof/>
        </w:rPr>
        <w:drawing>
          <wp:inline distT="0" distB="0" distL="0" distR="0">
            <wp:extent cx="5274310" cy="2588260"/>
            <wp:effectExtent l="0" t="0" r="2540" b="254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588260"/>
                    </a:xfrm>
                    <a:prstGeom prst="rect">
                      <a:avLst/>
                    </a:prstGeom>
                  </pic:spPr>
                </pic:pic>
              </a:graphicData>
            </a:graphic>
          </wp:inline>
        </w:drawing>
      </w:r>
    </w:p>
    <w:p w:rsidR="00AC3CCE" w:rsidRDefault="00AC3CCE" w:rsidP="00AC3CCE">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AC3CCE" w:rsidRDefault="00AC3CCE" w:rsidP="00AC3CCE">
      <w:r>
        <w:rPr>
          <w:noProof/>
        </w:rPr>
        <w:lastRenderedPageBreak/>
        <w:drawing>
          <wp:inline distT="0" distB="0" distL="0" distR="0">
            <wp:extent cx="5274310" cy="298005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2980055"/>
                    </a:xfrm>
                    <a:prstGeom prst="rect">
                      <a:avLst/>
                    </a:prstGeom>
                  </pic:spPr>
                </pic:pic>
              </a:graphicData>
            </a:graphic>
          </wp:inline>
        </w:drawing>
      </w:r>
    </w:p>
    <w:p w:rsidR="00AC3CCE" w:rsidRDefault="00AC3CCE" w:rsidP="00AC3CCE">
      <w:pPr>
        <w:pStyle w:val="-1"/>
        <w:spacing w:before="156" w:after="156"/>
        <w:rPr>
          <w:rFonts w:hint="eastAsia"/>
        </w:rPr>
      </w:pPr>
      <w:r>
        <w:rPr>
          <w:rFonts w:hint="eastAsia"/>
        </w:rPr>
        <w:t>三、投资本基金涉及的费用</w:t>
      </w:r>
    </w:p>
    <w:p w:rsidR="00AC3CCE" w:rsidRDefault="00AC3CCE" w:rsidP="00AC3CCE">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AC3CCE" w:rsidTr="00AC3CCE">
        <w:tc>
          <w:tcPr>
            <w:tcW w:w="2076" w:type="dxa"/>
          </w:tcPr>
          <w:p w:rsidR="00AC3CCE" w:rsidRDefault="00AC3CCE" w:rsidP="00AC3CCE">
            <w:pPr>
              <w:jc w:val="center"/>
            </w:pPr>
            <w:r>
              <w:rPr>
                <w:rFonts w:hint="eastAsia"/>
              </w:rPr>
              <w:t>费用类型</w:t>
            </w:r>
          </w:p>
        </w:tc>
        <w:tc>
          <w:tcPr>
            <w:tcW w:w="2076" w:type="dxa"/>
          </w:tcPr>
          <w:p w:rsidR="00AC3CCE" w:rsidRDefault="00AC3CCE" w:rsidP="00AC3CCE">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AC3CCE" w:rsidRDefault="00AC3CCE" w:rsidP="00AC3CCE">
            <w:pPr>
              <w:jc w:val="center"/>
            </w:pPr>
            <w:r>
              <w:rPr>
                <w:rFonts w:hint="eastAsia"/>
              </w:rPr>
              <w:t>收费方式</w:t>
            </w:r>
            <w:r>
              <w:rPr>
                <w:rFonts w:hint="eastAsia"/>
              </w:rPr>
              <w:t>/</w:t>
            </w:r>
            <w:r>
              <w:rPr>
                <w:rFonts w:hint="eastAsia"/>
              </w:rPr>
              <w:t>费率</w:t>
            </w:r>
          </w:p>
        </w:tc>
        <w:tc>
          <w:tcPr>
            <w:tcW w:w="2077" w:type="dxa"/>
          </w:tcPr>
          <w:p w:rsidR="00AC3CCE" w:rsidRDefault="00AC3CCE" w:rsidP="00AC3CCE">
            <w:pPr>
              <w:jc w:val="center"/>
            </w:pPr>
            <w:r>
              <w:rPr>
                <w:rFonts w:hint="eastAsia"/>
              </w:rPr>
              <w:t>备注</w:t>
            </w:r>
          </w:p>
        </w:tc>
      </w:tr>
      <w:tr w:rsidR="00AC3CCE" w:rsidTr="00AC3CCE">
        <w:tc>
          <w:tcPr>
            <w:tcW w:w="2076" w:type="dxa"/>
            <w:vMerge w:val="restart"/>
          </w:tcPr>
          <w:p w:rsidR="00AC3CCE" w:rsidRDefault="00AC3CCE" w:rsidP="00AC3CCE">
            <w:pPr>
              <w:jc w:val="center"/>
            </w:pPr>
            <w:r>
              <w:rPr>
                <w:rFonts w:hint="eastAsia"/>
              </w:rPr>
              <w:t>赎回费</w:t>
            </w:r>
          </w:p>
        </w:tc>
        <w:tc>
          <w:tcPr>
            <w:tcW w:w="2076" w:type="dxa"/>
          </w:tcPr>
          <w:p w:rsidR="00AC3CCE" w:rsidRDefault="00AC3CCE" w:rsidP="00AC3CCE">
            <w:pPr>
              <w:jc w:val="left"/>
            </w:pPr>
            <w:r>
              <w:rPr>
                <w:rFonts w:hint="eastAsia"/>
              </w:rPr>
              <w:t>N&lt; 7</w:t>
            </w:r>
            <w:r>
              <w:rPr>
                <w:rFonts w:hint="eastAsia"/>
              </w:rPr>
              <w:t>天</w:t>
            </w:r>
          </w:p>
        </w:tc>
        <w:tc>
          <w:tcPr>
            <w:tcW w:w="2077" w:type="dxa"/>
          </w:tcPr>
          <w:p w:rsidR="00AC3CCE" w:rsidRDefault="00AC3CCE" w:rsidP="00AC3CCE">
            <w:pPr>
              <w:jc w:val="right"/>
            </w:pPr>
            <w:r>
              <w:t>1.5%</w:t>
            </w:r>
          </w:p>
        </w:tc>
        <w:tc>
          <w:tcPr>
            <w:tcW w:w="2077" w:type="dxa"/>
          </w:tcPr>
          <w:p w:rsidR="00AC3CCE" w:rsidRDefault="00AC3CCE" w:rsidP="00AC3CCE">
            <w:pPr>
              <w:jc w:val="right"/>
            </w:pPr>
            <w:r>
              <w:t>-</w:t>
            </w:r>
          </w:p>
        </w:tc>
      </w:tr>
      <w:tr w:rsidR="00AC3CCE" w:rsidTr="00AC3CCE">
        <w:tc>
          <w:tcPr>
            <w:tcW w:w="2076" w:type="dxa"/>
            <w:vMerge/>
          </w:tcPr>
          <w:p w:rsidR="00AC3CCE" w:rsidRDefault="00AC3CCE" w:rsidP="00AC3CCE">
            <w:pPr>
              <w:jc w:val="left"/>
            </w:pPr>
          </w:p>
        </w:tc>
        <w:tc>
          <w:tcPr>
            <w:tcW w:w="2076" w:type="dxa"/>
          </w:tcPr>
          <w:p w:rsidR="00AC3CCE" w:rsidRDefault="00AC3CCE" w:rsidP="00AC3CCE">
            <w:pPr>
              <w:jc w:val="left"/>
            </w:pPr>
            <w:r>
              <w:rPr>
                <w:rFonts w:hint="eastAsia"/>
              </w:rPr>
              <w:t>7</w:t>
            </w:r>
            <w:r>
              <w:rPr>
                <w:rFonts w:hint="eastAsia"/>
              </w:rPr>
              <w:t>天≤</w:t>
            </w:r>
            <w:r>
              <w:rPr>
                <w:rFonts w:hint="eastAsia"/>
              </w:rPr>
              <w:t xml:space="preserve"> N</w:t>
            </w:r>
          </w:p>
        </w:tc>
        <w:tc>
          <w:tcPr>
            <w:tcW w:w="2077" w:type="dxa"/>
          </w:tcPr>
          <w:p w:rsidR="00AC3CCE" w:rsidRDefault="00AC3CCE" w:rsidP="00AC3CCE">
            <w:pPr>
              <w:jc w:val="right"/>
            </w:pPr>
            <w:r>
              <w:t>0%</w:t>
            </w:r>
          </w:p>
        </w:tc>
        <w:tc>
          <w:tcPr>
            <w:tcW w:w="2077" w:type="dxa"/>
          </w:tcPr>
          <w:p w:rsidR="00AC3CCE" w:rsidRDefault="00AC3CCE" w:rsidP="00AC3CCE">
            <w:pPr>
              <w:jc w:val="right"/>
            </w:pPr>
            <w:r>
              <w:t>-</w:t>
            </w:r>
          </w:p>
        </w:tc>
      </w:tr>
    </w:tbl>
    <w:p w:rsidR="00AC3CCE" w:rsidRDefault="00AC3CCE" w:rsidP="00AC3CCE">
      <w:pPr>
        <w:pStyle w:val="-2"/>
        <w:spacing w:before="156" w:after="156"/>
        <w:rPr>
          <w:rFonts w:hint="eastAsia"/>
        </w:rPr>
      </w:pPr>
      <w:r>
        <w:rPr>
          <w:rFonts w:hint="eastAsia"/>
        </w:rPr>
        <w:t>（二）</w:t>
      </w:r>
      <w:r>
        <w:rPr>
          <w:rFonts w:hint="eastAsia"/>
        </w:rPr>
        <w:t xml:space="preserve"> </w:t>
      </w:r>
      <w:r>
        <w:rPr>
          <w:rFonts w:hint="eastAsia"/>
        </w:rP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AC3CCE" w:rsidTr="00AC3CCE">
        <w:tc>
          <w:tcPr>
            <w:tcW w:w="2768" w:type="dxa"/>
          </w:tcPr>
          <w:p w:rsidR="00AC3CCE" w:rsidRDefault="00AC3CCE" w:rsidP="00AC3CCE">
            <w:pPr>
              <w:jc w:val="left"/>
            </w:pPr>
            <w:r>
              <w:rPr>
                <w:rFonts w:hint="eastAsia"/>
              </w:rPr>
              <w:t>费用类别</w:t>
            </w:r>
          </w:p>
        </w:tc>
        <w:tc>
          <w:tcPr>
            <w:tcW w:w="2769" w:type="dxa"/>
          </w:tcPr>
          <w:p w:rsidR="00AC3CCE" w:rsidRDefault="00AC3CCE" w:rsidP="00AC3CCE">
            <w:pPr>
              <w:jc w:val="left"/>
            </w:pPr>
            <w:r>
              <w:rPr>
                <w:rFonts w:hint="eastAsia"/>
              </w:rPr>
              <w:t>收费方式</w:t>
            </w:r>
          </w:p>
        </w:tc>
        <w:tc>
          <w:tcPr>
            <w:tcW w:w="2769" w:type="dxa"/>
          </w:tcPr>
          <w:p w:rsidR="00AC3CCE" w:rsidRDefault="00AC3CCE" w:rsidP="00AC3CCE">
            <w:pPr>
              <w:jc w:val="left"/>
            </w:pPr>
            <w:r>
              <w:rPr>
                <w:rFonts w:hint="eastAsia"/>
              </w:rPr>
              <w:t>年费率</w:t>
            </w:r>
          </w:p>
        </w:tc>
      </w:tr>
      <w:tr w:rsidR="00AC3CCE" w:rsidTr="00AC3CCE">
        <w:tc>
          <w:tcPr>
            <w:tcW w:w="2768" w:type="dxa"/>
          </w:tcPr>
          <w:p w:rsidR="00AC3CCE" w:rsidRDefault="00AC3CCE" w:rsidP="00AC3CCE">
            <w:pPr>
              <w:jc w:val="left"/>
            </w:pPr>
            <w:r>
              <w:rPr>
                <w:rFonts w:hint="eastAsia"/>
              </w:rPr>
              <w:t>管理费</w:t>
            </w:r>
          </w:p>
        </w:tc>
        <w:tc>
          <w:tcPr>
            <w:tcW w:w="2769" w:type="dxa"/>
          </w:tcPr>
          <w:p w:rsidR="00AC3CCE" w:rsidRDefault="00AC3CCE" w:rsidP="00AC3CCE">
            <w:pPr>
              <w:jc w:val="right"/>
            </w:pPr>
            <w:r>
              <w:t>-</w:t>
            </w:r>
          </w:p>
        </w:tc>
        <w:tc>
          <w:tcPr>
            <w:tcW w:w="2769" w:type="dxa"/>
          </w:tcPr>
          <w:p w:rsidR="00AC3CCE" w:rsidRDefault="00AC3CCE" w:rsidP="00AC3CCE">
            <w:pPr>
              <w:jc w:val="right"/>
            </w:pPr>
            <w:r>
              <w:t>0.50%</w:t>
            </w:r>
          </w:p>
        </w:tc>
      </w:tr>
      <w:tr w:rsidR="00AC3CCE" w:rsidTr="00AC3CCE">
        <w:tc>
          <w:tcPr>
            <w:tcW w:w="2768" w:type="dxa"/>
          </w:tcPr>
          <w:p w:rsidR="00AC3CCE" w:rsidRDefault="00AC3CCE" w:rsidP="00AC3CCE">
            <w:pPr>
              <w:jc w:val="left"/>
            </w:pPr>
            <w:r>
              <w:rPr>
                <w:rFonts w:hint="eastAsia"/>
              </w:rPr>
              <w:t>托管费</w:t>
            </w:r>
          </w:p>
        </w:tc>
        <w:tc>
          <w:tcPr>
            <w:tcW w:w="2769" w:type="dxa"/>
          </w:tcPr>
          <w:p w:rsidR="00AC3CCE" w:rsidRDefault="00AC3CCE" w:rsidP="00AC3CCE">
            <w:pPr>
              <w:jc w:val="right"/>
            </w:pPr>
            <w:r>
              <w:t>-</w:t>
            </w:r>
          </w:p>
        </w:tc>
        <w:tc>
          <w:tcPr>
            <w:tcW w:w="2769" w:type="dxa"/>
          </w:tcPr>
          <w:p w:rsidR="00AC3CCE" w:rsidRDefault="00AC3CCE" w:rsidP="00AC3CCE">
            <w:pPr>
              <w:jc w:val="right"/>
            </w:pPr>
            <w:r>
              <w:t>0.10%</w:t>
            </w:r>
          </w:p>
        </w:tc>
      </w:tr>
      <w:tr w:rsidR="00AC3CCE" w:rsidTr="00AC3CCE">
        <w:tc>
          <w:tcPr>
            <w:tcW w:w="2768" w:type="dxa"/>
          </w:tcPr>
          <w:p w:rsidR="00AC3CCE" w:rsidRDefault="00AC3CCE" w:rsidP="00AC3CCE">
            <w:pPr>
              <w:jc w:val="left"/>
            </w:pPr>
            <w:r>
              <w:rPr>
                <w:rFonts w:hint="eastAsia"/>
              </w:rPr>
              <w:t>销售服务费</w:t>
            </w:r>
          </w:p>
        </w:tc>
        <w:tc>
          <w:tcPr>
            <w:tcW w:w="2769" w:type="dxa"/>
          </w:tcPr>
          <w:p w:rsidR="00AC3CCE" w:rsidRDefault="00AC3CCE" w:rsidP="00AC3CCE">
            <w:pPr>
              <w:jc w:val="right"/>
            </w:pPr>
            <w:r>
              <w:t>-</w:t>
            </w:r>
          </w:p>
        </w:tc>
        <w:tc>
          <w:tcPr>
            <w:tcW w:w="2769" w:type="dxa"/>
          </w:tcPr>
          <w:p w:rsidR="00AC3CCE" w:rsidRDefault="00AC3CCE" w:rsidP="00AC3CCE">
            <w:pPr>
              <w:jc w:val="right"/>
            </w:pPr>
            <w:r>
              <w:t>0.40%</w:t>
            </w:r>
          </w:p>
        </w:tc>
      </w:tr>
      <w:tr w:rsidR="00AC3CCE" w:rsidTr="001C14D3">
        <w:tc>
          <w:tcPr>
            <w:tcW w:w="2768" w:type="dxa"/>
          </w:tcPr>
          <w:p w:rsidR="00AC3CCE" w:rsidRDefault="00AC3CCE" w:rsidP="00AC3CCE">
            <w:pPr>
              <w:jc w:val="left"/>
            </w:pPr>
            <w:r>
              <w:rPr>
                <w:rFonts w:hint="eastAsia"/>
              </w:rPr>
              <w:t>其他费用</w:t>
            </w:r>
          </w:p>
        </w:tc>
        <w:tc>
          <w:tcPr>
            <w:tcW w:w="5538" w:type="dxa"/>
            <w:gridSpan w:val="2"/>
          </w:tcPr>
          <w:p w:rsidR="00AC3CCE" w:rsidRDefault="00AC3CCE" w:rsidP="00AC3CCE">
            <w:pPr>
              <w:jc w:val="left"/>
            </w:pPr>
            <w:r>
              <w:rPr>
                <w:rFonts w:hint="eastAsia"/>
              </w:rPr>
              <w:t>C</w:t>
            </w:r>
            <w:r>
              <w:rPr>
                <w:rFonts w:hint="eastAsia"/>
              </w:rPr>
              <w:t>类基金份额的销售服务费；基金合同生效后的信息披露费用；基金上市费及年费；基金份额持有人大会费用；基金合同生效后与基金有关的会计师费和律师费；基金的证券交易费用；基金的指数使用费；基金财产拨划支付的银行费用；因参与融资融券和转融通证券出借业务而产生的各项合理费用；按照国家有关规定和基金合同可以在基金财产中列支的其他费用。</w:t>
            </w:r>
          </w:p>
        </w:tc>
      </w:tr>
    </w:tbl>
    <w:p w:rsidR="00AC3CCE" w:rsidRDefault="00AC3CCE" w:rsidP="00AC3CCE">
      <w:pPr>
        <w:pStyle w:val="-7"/>
        <w:ind w:firstLine="420"/>
        <w:rPr>
          <w:rFonts w:hint="eastAsia"/>
        </w:rPr>
      </w:pPr>
      <w:r>
        <w:rPr>
          <w:rFonts w:hint="eastAsia"/>
        </w:rPr>
        <w:t>注：本基金交易证券、基金等产生的费用和税负，按实际发生额从基金资产扣除。</w:t>
      </w:r>
    </w:p>
    <w:p w:rsidR="00AC3CCE" w:rsidRDefault="00AC3CCE" w:rsidP="00AC3CCE">
      <w:pPr>
        <w:pStyle w:val="-"/>
        <w:ind w:firstLine="420"/>
        <w:rPr>
          <w:rFonts w:hint="eastAsia"/>
        </w:rPr>
      </w:pPr>
      <w:r>
        <w:rPr>
          <w:rFonts w:hint="eastAsia"/>
        </w:rPr>
        <w:t>本基金管理费、托管费的计费基础为扣除基金资产中目标</w:t>
      </w:r>
      <w:r>
        <w:rPr>
          <w:rFonts w:hint="eastAsia"/>
        </w:rPr>
        <w:t xml:space="preserve"> ETF </w:t>
      </w:r>
      <w:r>
        <w:rPr>
          <w:rFonts w:hint="eastAsia"/>
        </w:rPr>
        <w:t>份额所对应资产净值后剩余部分，销售服务费的计费基础为前一日</w:t>
      </w:r>
      <w:r>
        <w:rPr>
          <w:rFonts w:hint="eastAsia"/>
        </w:rPr>
        <w:t>C</w:t>
      </w:r>
      <w:r>
        <w:rPr>
          <w:rFonts w:hint="eastAsia"/>
        </w:rPr>
        <w:t>类基金资产净值。</w:t>
      </w:r>
    </w:p>
    <w:p w:rsidR="00AC3CCE" w:rsidRDefault="00AC3CCE" w:rsidP="00AC3CCE">
      <w:pPr>
        <w:pStyle w:val="-"/>
        <w:ind w:firstLine="420"/>
        <w:rPr>
          <w:rFonts w:hint="eastAsia"/>
        </w:rPr>
      </w:pPr>
      <w:r>
        <w:rPr>
          <w:rFonts w:hint="eastAsia"/>
        </w:rPr>
        <w:t>本基金终止清算时所发生费用，按实际支出额从基金财产总值中扣除。</w:t>
      </w:r>
    </w:p>
    <w:p w:rsidR="00AC3CCE" w:rsidRDefault="00AC3CCE" w:rsidP="00AC3CCE">
      <w:pPr>
        <w:pStyle w:val="-1"/>
        <w:spacing w:before="156" w:after="156"/>
        <w:rPr>
          <w:rFonts w:hint="eastAsia"/>
        </w:rPr>
      </w:pPr>
      <w:r>
        <w:rPr>
          <w:rFonts w:hint="eastAsia"/>
        </w:rPr>
        <w:t>四、风险揭示与重要提示</w:t>
      </w:r>
    </w:p>
    <w:p w:rsidR="00AC3CCE" w:rsidRDefault="00AC3CCE" w:rsidP="00AC3CCE">
      <w:pPr>
        <w:pStyle w:val="-2"/>
        <w:spacing w:before="156" w:after="156"/>
        <w:rPr>
          <w:rFonts w:hint="eastAsia"/>
        </w:rPr>
      </w:pPr>
      <w:r>
        <w:rPr>
          <w:rFonts w:hint="eastAsia"/>
        </w:rPr>
        <w:t>（一）</w:t>
      </w:r>
      <w:r>
        <w:rPr>
          <w:rFonts w:hint="eastAsia"/>
        </w:rPr>
        <w:t xml:space="preserve"> </w:t>
      </w:r>
      <w:r>
        <w:rPr>
          <w:rFonts w:hint="eastAsia"/>
        </w:rPr>
        <w:t>风险揭示</w:t>
      </w:r>
    </w:p>
    <w:p w:rsidR="00AC3CCE" w:rsidRDefault="00AC3CCE" w:rsidP="00AC3CCE">
      <w:pPr>
        <w:pStyle w:val="-"/>
        <w:ind w:firstLine="420"/>
        <w:rPr>
          <w:rFonts w:hint="eastAsia"/>
        </w:rPr>
      </w:pPr>
      <w:r>
        <w:rPr>
          <w:rFonts w:hint="eastAsia"/>
        </w:rPr>
        <w:lastRenderedPageBreak/>
        <w:t>本基金不提供任何保证。投资者可能损失本金。</w:t>
      </w:r>
    </w:p>
    <w:p w:rsidR="00AC3CCE" w:rsidRDefault="00AC3CCE" w:rsidP="00AC3CCE">
      <w:pPr>
        <w:pStyle w:val="-"/>
        <w:ind w:firstLine="420"/>
        <w:rPr>
          <w:rFonts w:hint="eastAsia"/>
        </w:rPr>
      </w:pPr>
      <w:r>
        <w:rPr>
          <w:rFonts w:hint="eastAsia"/>
        </w:rPr>
        <w:t>投资有风险，投资者购买基金时应认真阅读本基金的《招募说明书》等销售文件。</w:t>
      </w:r>
    </w:p>
    <w:p w:rsidR="00AC3CCE" w:rsidRDefault="00AC3CCE" w:rsidP="00AC3CCE">
      <w:pPr>
        <w:pStyle w:val="-"/>
        <w:ind w:firstLine="420"/>
        <w:rPr>
          <w:rFonts w:hint="eastAsia"/>
        </w:rPr>
      </w:pPr>
      <w:r>
        <w:rPr>
          <w:rFonts w:hint="eastAsia"/>
        </w:rPr>
        <w:t>1</w:t>
      </w:r>
      <w:r>
        <w:rPr>
          <w:rFonts w:hint="eastAsia"/>
        </w:rPr>
        <w:t>、本基金特有风险</w:t>
      </w:r>
    </w:p>
    <w:p w:rsidR="00AC3CCE" w:rsidRDefault="00AC3CCE" w:rsidP="00AC3CCE">
      <w:pPr>
        <w:pStyle w:val="-"/>
        <w:ind w:firstLine="420"/>
        <w:rPr>
          <w:rFonts w:hint="eastAsia"/>
        </w:rPr>
      </w:pPr>
      <w:r>
        <w:rPr>
          <w:rFonts w:hint="eastAsia"/>
        </w:rPr>
        <w:t>（</w:t>
      </w:r>
      <w:r>
        <w:rPr>
          <w:rFonts w:hint="eastAsia"/>
        </w:rPr>
        <w:t>1</w:t>
      </w:r>
      <w:r>
        <w:rPr>
          <w:rFonts w:hint="eastAsia"/>
        </w:rPr>
        <w:t>）标的指数回报与股票市场平均回报偏离的风险</w:t>
      </w:r>
    </w:p>
    <w:p w:rsidR="00AC3CCE" w:rsidRDefault="00AC3CCE" w:rsidP="00AC3CCE">
      <w:pPr>
        <w:pStyle w:val="-"/>
        <w:ind w:firstLine="420"/>
        <w:rPr>
          <w:rFonts w:hint="eastAsia"/>
        </w:rPr>
      </w:pPr>
      <w:r>
        <w:rPr>
          <w:rFonts w:hint="eastAsia"/>
        </w:rPr>
        <w:t>标的指数并不能完全代表整个股票市场。标的指数成份股的平均回报率与整个股票市场的平均回报率可能存在偏离。</w:t>
      </w:r>
    </w:p>
    <w:p w:rsidR="00AC3CCE" w:rsidRDefault="00AC3CCE" w:rsidP="00AC3CCE">
      <w:pPr>
        <w:pStyle w:val="-"/>
        <w:ind w:firstLine="420"/>
        <w:rPr>
          <w:rFonts w:hint="eastAsia"/>
        </w:rPr>
      </w:pPr>
      <w:r>
        <w:rPr>
          <w:rFonts w:hint="eastAsia"/>
        </w:rPr>
        <w:t>（</w:t>
      </w:r>
      <w:r>
        <w:rPr>
          <w:rFonts w:hint="eastAsia"/>
        </w:rPr>
        <w:t>2</w:t>
      </w:r>
      <w:r>
        <w:rPr>
          <w:rFonts w:hint="eastAsia"/>
        </w:rPr>
        <w:t>）标的指数波动的风险</w:t>
      </w:r>
    </w:p>
    <w:p w:rsidR="00AC3CCE" w:rsidRDefault="00AC3CCE" w:rsidP="00AC3CCE">
      <w:pPr>
        <w:pStyle w:val="-"/>
        <w:ind w:firstLine="420"/>
        <w:rPr>
          <w:rFonts w:hint="eastAsia"/>
        </w:rPr>
      </w:pPr>
      <w:r>
        <w:rPr>
          <w:rFonts w:hint="eastAsia"/>
        </w:rPr>
        <w:t>标的指数成份股的价格可能受到政治因素、经济因素、上市公司经营状况、投资者心理和交易制度等各种因素的影响而波动，导致指数波动，从而使基金收益水平发生变化，产生风险。</w:t>
      </w:r>
    </w:p>
    <w:p w:rsidR="00AC3CCE" w:rsidRDefault="00AC3CCE" w:rsidP="00AC3CCE">
      <w:pPr>
        <w:pStyle w:val="-"/>
        <w:ind w:firstLine="420"/>
        <w:rPr>
          <w:rFonts w:hint="eastAsia"/>
        </w:rPr>
      </w:pPr>
      <w:r>
        <w:rPr>
          <w:rFonts w:hint="eastAsia"/>
        </w:rPr>
        <w:t>（</w:t>
      </w:r>
      <w:r>
        <w:rPr>
          <w:rFonts w:hint="eastAsia"/>
        </w:rPr>
        <w:t>3</w:t>
      </w:r>
      <w:r>
        <w:rPr>
          <w:rFonts w:hint="eastAsia"/>
        </w:rPr>
        <w:t>）基金投资组合回报与标的指数回报偏离的风险及跟踪误差控制未达约定目标的风险</w:t>
      </w:r>
    </w:p>
    <w:p w:rsidR="00AC3CCE" w:rsidRDefault="00AC3CCE" w:rsidP="00AC3CCE">
      <w:pPr>
        <w:pStyle w:val="-"/>
        <w:ind w:firstLine="420"/>
        <w:rPr>
          <w:rFonts w:hint="eastAsia"/>
        </w:rPr>
      </w:pPr>
      <w:r>
        <w:rPr>
          <w:rFonts w:hint="eastAsia"/>
        </w:rPr>
        <w:t>由于基金投资过程中的证券交易成本、基金管理费和托管费的存在以及其它因素，使基金投资组合与标的指数产生跟踪偏离度与跟踪误差。</w:t>
      </w:r>
    </w:p>
    <w:p w:rsidR="00AC3CCE" w:rsidRDefault="00AC3CCE" w:rsidP="00AC3CCE">
      <w:pPr>
        <w:pStyle w:val="-"/>
        <w:ind w:firstLine="420"/>
        <w:rPr>
          <w:rFonts w:hint="eastAsia"/>
        </w:rPr>
      </w:pPr>
      <w:r>
        <w:rPr>
          <w:rFonts w:hint="eastAsia"/>
        </w:rPr>
        <w:t>（</w:t>
      </w:r>
      <w:r>
        <w:rPr>
          <w:rFonts w:hint="eastAsia"/>
        </w:rPr>
        <w:t>4</w:t>
      </w:r>
      <w:r>
        <w:rPr>
          <w:rFonts w:hint="eastAsia"/>
        </w:rPr>
        <w:t>）投资于目标</w:t>
      </w:r>
      <w:r>
        <w:rPr>
          <w:rFonts w:hint="eastAsia"/>
        </w:rPr>
        <w:t>ETF</w:t>
      </w:r>
      <w:r>
        <w:rPr>
          <w:rFonts w:hint="eastAsia"/>
        </w:rPr>
        <w:t>基金带来的风险</w:t>
      </w:r>
    </w:p>
    <w:p w:rsidR="00AC3CCE" w:rsidRDefault="00AC3CCE" w:rsidP="00AC3CCE">
      <w:pPr>
        <w:pStyle w:val="-"/>
        <w:ind w:firstLine="420"/>
        <w:rPr>
          <w:rFonts w:hint="eastAsia"/>
        </w:rPr>
      </w:pPr>
      <w:r>
        <w:rPr>
          <w:rFonts w:hint="eastAsia"/>
        </w:rPr>
        <w:t>由于主要投资于中证</w:t>
      </w:r>
      <w:r>
        <w:rPr>
          <w:rFonts w:hint="eastAsia"/>
        </w:rPr>
        <w:t>500ETF</w:t>
      </w:r>
      <w:r>
        <w:rPr>
          <w:rFonts w:hint="eastAsia"/>
        </w:rPr>
        <w:t>，所以本基金会面临诸如中证</w:t>
      </w:r>
      <w:r>
        <w:rPr>
          <w:rFonts w:hint="eastAsia"/>
        </w:rPr>
        <w:t>500ETF</w:t>
      </w:r>
      <w:r>
        <w:rPr>
          <w:rFonts w:hint="eastAsia"/>
        </w:rPr>
        <w:t>的管理风险与操作风险、中证</w:t>
      </w:r>
      <w:r>
        <w:rPr>
          <w:rFonts w:hint="eastAsia"/>
        </w:rPr>
        <w:t>500ETF</w:t>
      </w:r>
      <w:r>
        <w:rPr>
          <w:rFonts w:hint="eastAsia"/>
        </w:rPr>
        <w:t>基金份额二级市场交易价格折溢价的风险、中证</w:t>
      </w:r>
      <w:r>
        <w:rPr>
          <w:rFonts w:hint="eastAsia"/>
        </w:rPr>
        <w:t>500ETF</w:t>
      </w:r>
      <w:r>
        <w:rPr>
          <w:rFonts w:hint="eastAsia"/>
        </w:rPr>
        <w:t>的技术风险等风险。</w:t>
      </w:r>
    </w:p>
    <w:p w:rsidR="00AC3CCE" w:rsidRDefault="00AC3CCE" w:rsidP="00AC3CCE">
      <w:pPr>
        <w:pStyle w:val="-"/>
        <w:ind w:firstLine="420"/>
        <w:rPr>
          <w:rFonts w:hint="eastAsia"/>
        </w:rPr>
      </w:pPr>
      <w:r>
        <w:rPr>
          <w:rFonts w:hint="eastAsia"/>
        </w:rPr>
        <w:t>（</w:t>
      </w:r>
      <w:r>
        <w:rPr>
          <w:rFonts w:hint="eastAsia"/>
        </w:rPr>
        <w:t>5</w:t>
      </w:r>
      <w:r>
        <w:rPr>
          <w:rFonts w:hint="eastAsia"/>
        </w:rPr>
        <w:t>）本基金参与转融通证券出借业务的风险</w:t>
      </w:r>
    </w:p>
    <w:p w:rsidR="00AC3CCE" w:rsidRDefault="00AC3CCE" w:rsidP="00AC3CCE">
      <w:pPr>
        <w:pStyle w:val="-"/>
        <w:ind w:firstLine="420"/>
        <w:rPr>
          <w:rFonts w:hint="eastAsia"/>
        </w:rPr>
      </w:pPr>
      <w:r>
        <w:rPr>
          <w:rFonts w:hint="eastAsia"/>
        </w:rPr>
        <w:t>本基金可根据法律法规和基金合同的约定参与转融通证券出借业务，可能存在转融通业务特有风险，包括但不限于以下风险：</w:t>
      </w:r>
    </w:p>
    <w:p w:rsidR="00AC3CCE" w:rsidRDefault="00AC3CCE" w:rsidP="00AC3CCE">
      <w:pPr>
        <w:pStyle w:val="-"/>
        <w:ind w:firstLine="420"/>
        <w:rPr>
          <w:rFonts w:hint="eastAsia"/>
        </w:rPr>
      </w:pPr>
      <w:r>
        <w:rPr>
          <w:rFonts w:hint="eastAsia"/>
        </w:rPr>
        <w:t>a.</w:t>
      </w:r>
      <w:r>
        <w:rPr>
          <w:rFonts w:hint="eastAsia"/>
        </w:rPr>
        <w:t>流动性风险</w:t>
      </w:r>
    </w:p>
    <w:p w:rsidR="00AC3CCE" w:rsidRDefault="00AC3CCE" w:rsidP="00AC3CCE">
      <w:pPr>
        <w:pStyle w:val="-"/>
        <w:ind w:firstLine="420"/>
        <w:rPr>
          <w:rFonts w:hint="eastAsia"/>
        </w:rPr>
      </w:pPr>
      <w:r>
        <w:rPr>
          <w:rFonts w:hint="eastAsia"/>
        </w:rPr>
        <w:t>面对大额赎回时，可能因证券出借原因发生无法及时变现、支付赎回款项的风险；</w:t>
      </w:r>
    </w:p>
    <w:p w:rsidR="00AC3CCE" w:rsidRDefault="00AC3CCE" w:rsidP="00AC3CCE">
      <w:pPr>
        <w:pStyle w:val="-"/>
        <w:ind w:firstLine="420"/>
        <w:rPr>
          <w:rFonts w:hint="eastAsia"/>
        </w:rPr>
      </w:pPr>
      <w:r>
        <w:rPr>
          <w:rFonts w:hint="eastAsia"/>
        </w:rPr>
        <w:t>b.</w:t>
      </w:r>
      <w:r>
        <w:rPr>
          <w:rFonts w:hint="eastAsia"/>
        </w:rPr>
        <w:t>信用风险</w:t>
      </w:r>
    </w:p>
    <w:p w:rsidR="00AC3CCE" w:rsidRDefault="00AC3CCE" w:rsidP="00AC3CCE">
      <w:pPr>
        <w:pStyle w:val="-"/>
        <w:ind w:firstLine="420"/>
        <w:rPr>
          <w:rFonts w:hint="eastAsia"/>
        </w:rPr>
      </w:pPr>
      <w:r>
        <w:rPr>
          <w:rFonts w:hint="eastAsia"/>
        </w:rPr>
        <w:t>证券出借对手方可能无法及时归还证券、无法支付相应权益补偿及借券费用的风险；</w:t>
      </w:r>
    </w:p>
    <w:p w:rsidR="00AC3CCE" w:rsidRDefault="00AC3CCE" w:rsidP="00AC3CCE">
      <w:pPr>
        <w:pStyle w:val="-"/>
        <w:ind w:firstLine="420"/>
        <w:rPr>
          <w:rFonts w:hint="eastAsia"/>
        </w:rPr>
      </w:pPr>
      <w:r>
        <w:rPr>
          <w:rFonts w:hint="eastAsia"/>
        </w:rPr>
        <w:t>c.</w:t>
      </w:r>
      <w:r>
        <w:rPr>
          <w:rFonts w:hint="eastAsia"/>
        </w:rPr>
        <w:t>市场风险</w:t>
      </w:r>
    </w:p>
    <w:p w:rsidR="00AC3CCE" w:rsidRDefault="00AC3CCE" w:rsidP="00AC3CCE">
      <w:pPr>
        <w:pStyle w:val="-"/>
        <w:ind w:firstLine="420"/>
        <w:rPr>
          <w:rFonts w:hint="eastAsia"/>
        </w:rPr>
      </w:pPr>
      <w:r>
        <w:rPr>
          <w:rFonts w:hint="eastAsia"/>
        </w:rPr>
        <w:t>证券出借后可能面临出借期间无法及时处置证券的风险。</w:t>
      </w:r>
    </w:p>
    <w:p w:rsidR="00AC3CCE" w:rsidRDefault="00AC3CCE" w:rsidP="00AC3CCE">
      <w:pPr>
        <w:pStyle w:val="-"/>
        <w:ind w:firstLine="420"/>
        <w:rPr>
          <w:rFonts w:hint="eastAsia"/>
        </w:rPr>
      </w:pPr>
      <w:r>
        <w:rPr>
          <w:rFonts w:hint="eastAsia"/>
        </w:rPr>
        <w:t>d.</w:t>
      </w:r>
      <w:r>
        <w:rPr>
          <w:rFonts w:hint="eastAsia"/>
        </w:rPr>
        <w:t>操作风险</w:t>
      </w:r>
    </w:p>
    <w:p w:rsidR="00AC3CCE" w:rsidRDefault="00AC3CCE" w:rsidP="00AC3CCE">
      <w:pPr>
        <w:pStyle w:val="-"/>
        <w:ind w:firstLine="420"/>
        <w:rPr>
          <w:rFonts w:hint="eastAsia"/>
        </w:rPr>
      </w:pPr>
      <w:r>
        <w:rPr>
          <w:rFonts w:hint="eastAsia"/>
        </w:rPr>
        <w:t>由于不完善或有问题的内部操作流程、人员违规或失误、系统故障或外部事件所导致的直接或间接损失的风险。</w:t>
      </w:r>
    </w:p>
    <w:p w:rsidR="00AC3CCE" w:rsidRDefault="00AC3CCE" w:rsidP="00AC3CCE">
      <w:pPr>
        <w:pStyle w:val="-"/>
        <w:ind w:firstLine="420"/>
        <w:rPr>
          <w:rFonts w:hint="eastAsia"/>
        </w:rPr>
      </w:pPr>
      <w:r>
        <w:rPr>
          <w:rFonts w:hint="eastAsia"/>
        </w:rPr>
        <w:t>根据转融通证券出借业务的特点，本公司配备了风控、合规、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南方基金转融通证券出借业务风险管理办法》、《南方基金转融通证券出借交易操作指引》、《南方基金转融通证券出借业务投资管理制度》等风险管理制度，完善了开展转融通出借业务的相关安排，保障转融通出借业务的顺利开展。</w:t>
      </w:r>
    </w:p>
    <w:p w:rsidR="00AC3CCE" w:rsidRDefault="00AC3CCE" w:rsidP="00AC3CCE">
      <w:pPr>
        <w:pStyle w:val="-"/>
        <w:ind w:firstLine="420"/>
        <w:rPr>
          <w:rFonts w:hint="eastAsia"/>
        </w:rPr>
      </w:pPr>
      <w:r>
        <w:rPr>
          <w:rFonts w:hint="eastAsia"/>
        </w:rPr>
        <w:t>除上述风险外，本公司参与转融通证券出借业务还应关注外部监管机构或公司要求关注的其他风险。</w:t>
      </w:r>
    </w:p>
    <w:p w:rsidR="00AC3CCE" w:rsidRDefault="00AC3CCE" w:rsidP="00AC3CCE">
      <w:pPr>
        <w:pStyle w:val="-"/>
        <w:ind w:firstLine="420"/>
      </w:pPr>
      <w:r>
        <w:rPr>
          <w:rFonts w:hint="eastAsia"/>
        </w:rPr>
        <w:t>（</w:t>
      </w:r>
      <w:r>
        <w:rPr>
          <w:rFonts w:hint="eastAsia"/>
        </w:rPr>
        <w:t>6</w:t>
      </w:r>
      <w:r>
        <w:rPr>
          <w:rFonts w:hint="eastAsia"/>
        </w:rPr>
        <w:t>）基金合同终止的风险</w:t>
      </w:r>
    </w:p>
    <w:p w:rsidR="00AC3CCE" w:rsidRDefault="00AC3CCE" w:rsidP="00AC3CCE">
      <w:pPr>
        <w:pStyle w:val="-"/>
        <w:ind w:firstLine="420"/>
        <w:rPr>
          <w:rFonts w:hint="eastAsia"/>
        </w:rPr>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万元的，基金管理人应当在定期报告中予以披露；连续</w:t>
      </w:r>
      <w:r>
        <w:rPr>
          <w:rFonts w:hint="eastAsia"/>
        </w:rPr>
        <w:t>50</w:t>
      </w:r>
      <w:r>
        <w:rPr>
          <w:rFonts w:hint="eastAsia"/>
        </w:rPr>
        <w:t>个工作日出现前述情形的，基金管理人可以终止基金合同，无需召开基金份额持有人大会。</w:t>
      </w:r>
    </w:p>
    <w:p w:rsidR="00AC3CCE" w:rsidRDefault="00AC3CCE" w:rsidP="00AC3CCE">
      <w:pPr>
        <w:pStyle w:val="-"/>
        <w:ind w:firstLine="420"/>
        <w:rPr>
          <w:rFonts w:hint="eastAsia"/>
        </w:rPr>
      </w:pPr>
      <w:r>
        <w:rPr>
          <w:rFonts w:hint="eastAsia"/>
        </w:rPr>
        <w:t>（</w:t>
      </w:r>
      <w:r>
        <w:rPr>
          <w:rFonts w:hint="eastAsia"/>
        </w:rPr>
        <w:t>7</w:t>
      </w:r>
      <w:r>
        <w:rPr>
          <w:rFonts w:hint="eastAsia"/>
        </w:rPr>
        <w:t>）投资于存托凭证的风险</w:t>
      </w:r>
    </w:p>
    <w:p w:rsidR="00AC3CCE" w:rsidRDefault="00AC3CCE" w:rsidP="00AC3CCE">
      <w:pPr>
        <w:pStyle w:val="-"/>
        <w:ind w:firstLine="420"/>
        <w:rPr>
          <w:rFonts w:hint="eastAsia"/>
        </w:rPr>
      </w:pPr>
      <w:r>
        <w:rPr>
          <w:rFonts w:hint="eastAsia"/>
        </w:rPr>
        <w:lastRenderedPageBreak/>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AC3CCE" w:rsidRDefault="00AC3CCE" w:rsidP="00AC3CCE">
      <w:pPr>
        <w:pStyle w:val="-"/>
        <w:ind w:firstLine="420"/>
        <w:rPr>
          <w:rFonts w:hint="eastAsia"/>
        </w:rPr>
      </w:pPr>
      <w:r>
        <w:rPr>
          <w:rFonts w:hint="eastAsia"/>
        </w:rPr>
        <w:t>（</w:t>
      </w:r>
      <w:r>
        <w:rPr>
          <w:rFonts w:hint="eastAsia"/>
        </w:rPr>
        <w:t>8</w:t>
      </w:r>
      <w:r>
        <w:rPr>
          <w:rFonts w:hint="eastAsia"/>
        </w:rPr>
        <w:t>）指数编制机构停止服务的风险</w:t>
      </w:r>
    </w:p>
    <w:p w:rsidR="00AC3CCE" w:rsidRDefault="00AC3CCE" w:rsidP="00AC3CCE">
      <w:pPr>
        <w:pStyle w:val="-"/>
        <w:ind w:firstLine="420"/>
        <w:rPr>
          <w:rFonts w:hint="eastAsia"/>
        </w:rPr>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个月内召集基金份额持有人大会进行表决。投资人将面临更换基金标的指数、转换运作方式，与其他基金合并、或者终止基金合同等风险。</w:t>
      </w:r>
    </w:p>
    <w:p w:rsidR="00AC3CCE" w:rsidRDefault="00AC3CCE" w:rsidP="00AC3CCE">
      <w:pPr>
        <w:pStyle w:val="-"/>
        <w:ind w:firstLine="420"/>
        <w:rPr>
          <w:rFonts w:hint="eastAsia"/>
        </w:rPr>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AC3CCE" w:rsidRDefault="00AC3CCE" w:rsidP="00AC3CCE">
      <w:pPr>
        <w:pStyle w:val="-"/>
        <w:ind w:firstLine="420"/>
        <w:rPr>
          <w:rFonts w:hint="eastAsia"/>
        </w:rPr>
      </w:pPr>
      <w:r>
        <w:rPr>
          <w:rFonts w:hint="eastAsia"/>
        </w:rPr>
        <w:t>（</w:t>
      </w:r>
      <w:r>
        <w:rPr>
          <w:rFonts w:hint="eastAsia"/>
        </w:rPr>
        <w:t>9</w:t>
      </w:r>
      <w:r>
        <w:rPr>
          <w:rFonts w:hint="eastAsia"/>
        </w:rPr>
        <w:t>）成份股停牌、摘牌的风险</w:t>
      </w:r>
    </w:p>
    <w:p w:rsidR="00AC3CCE" w:rsidRDefault="00AC3CCE" w:rsidP="00AC3CCE">
      <w:pPr>
        <w:pStyle w:val="-"/>
        <w:ind w:firstLine="420"/>
        <w:rPr>
          <w:rFonts w:hint="eastAsia"/>
        </w:rPr>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AC3CCE" w:rsidRDefault="00AC3CCE" w:rsidP="00AC3CCE">
      <w:pPr>
        <w:pStyle w:val="-"/>
        <w:ind w:firstLine="420"/>
        <w:rPr>
          <w:rFonts w:hint="eastAsia"/>
        </w:rPr>
      </w:pPr>
      <w:r>
        <w:rPr>
          <w:rFonts w:hint="eastAsia"/>
        </w:rPr>
        <w:t>本基金运作过程中，当标的指数成份股发生明显负面事件面临退市，且指数编制机构暂未作出调整的，基金管理人应当按照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AC3CCE" w:rsidRDefault="00AC3CCE" w:rsidP="00AC3CCE">
      <w:pPr>
        <w:pStyle w:val="-"/>
        <w:ind w:firstLine="420"/>
        <w:rPr>
          <w:rFonts w:hint="eastAsia"/>
        </w:rPr>
      </w:pPr>
      <w:r>
        <w:rPr>
          <w:rFonts w:hint="eastAsia"/>
        </w:rPr>
        <w:t>2</w:t>
      </w:r>
      <w:r>
        <w:rPr>
          <w:rFonts w:hint="eastAsia"/>
        </w:rPr>
        <w:t>、本基金可投资于股指期货，股指期货作为一种金融衍生品，主要存在以下风险：</w:t>
      </w:r>
    </w:p>
    <w:p w:rsidR="00AC3CCE" w:rsidRDefault="00AC3CCE" w:rsidP="00AC3CCE">
      <w:pPr>
        <w:pStyle w:val="-"/>
        <w:ind w:firstLine="420"/>
        <w:rPr>
          <w:rFonts w:hint="eastAsia"/>
        </w:rPr>
      </w:pPr>
      <w:r>
        <w:rPr>
          <w:rFonts w:hint="eastAsia"/>
        </w:rPr>
        <w:t>（</w:t>
      </w:r>
      <w:r>
        <w:rPr>
          <w:rFonts w:hint="eastAsia"/>
        </w:rPr>
        <w:t>1</w:t>
      </w:r>
      <w:r>
        <w:rPr>
          <w:rFonts w:hint="eastAsia"/>
        </w:rPr>
        <w:t>）市场风险：是指由于股指期货价格变动而给投资者带来的风险。</w:t>
      </w:r>
    </w:p>
    <w:p w:rsidR="00AC3CCE" w:rsidRDefault="00AC3CCE" w:rsidP="00AC3CCE">
      <w:pPr>
        <w:pStyle w:val="-"/>
        <w:ind w:firstLine="420"/>
        <w:rPr>
          <w:rFonts w:hint="eastAsia"/>
        </w:rPr>
      </w:pPr>
      <w:r>
        <w:rPr>
          <w:rFonts w:hint="eastAsia"/>
        </w:rPr>
        <w:t>（</w:t>
      </w:r>
      <w:r>
        <w:rPr>
          <w:rFonts w:hint="eastAsia"/>
        </w:rPr>
        <w:t>2</w:t>
      </w:r>
      <w:r>
        <w:rPr>
          <w:rFonts w:hint="eastAsia"/>
        </w:rPr>
        <w:t>）流动性风险：是指由于股指期货合约无法及时变现所带来的风险。</w:t>
      </w:r>
    </w:p>
    <w:p w:rsidR="00AC3CCE" w:rsidRDefault="00AC3CCE" w:rsidP="00AC3CCE">
      <w:pPr>
        <w:pStyle w:val="-"/>
        <w:ind w:firstLine="420"/>
        <w:rPr>
          <w:rFonts w:hint="eastAsia"/>
        </w:rPr>
      </w:pPr>
      <w:r>
        <w:rPr>
          <w:rFonts w:hint="eastAsia"/>
        </w:rPr>
        <w:t>（</w:t>
      </w:r>
      <w:r>
        <w:rPr>
          <w:rFonts w:hint="eastAsia"/>
        </w:rPr>
        <w:t>3</w:t>
      </w:r>
      <w:r>
        <w:rPr>
          <w:rFonts w:hint="eastAsia"/>
        </w:rPr>
        <w:t>）基差风险：是指股指期货合约价格和指数价格之间的价格差的波动所造成的风险。</w:t>
      </w:r>
    </w:p>
    <w:p w:rsidR="00AC3CCE" w:rsidRDefault="00AC3CCE" w:rsidP="00AC3CCE">
      <w:pPr>
        <w:pStyle w:val="-"/>
        <w:ind w:firstLine="420"/>
        <w:rPr>
          <w:rFonts w:hint="eastAsia"/>
        </w:rPr>
      </w:pPr>
      <w:r>
        <w:rPr>
          <w:rFonts w:hint="eastAsia"/>
        </w:rPr>
        <w:t>（</w:t>
      </w:r>
      <w:r>
        <w:rPr>
          <w:rFonts w:hint="eastAsia"/>
        </w:rPr>
        <w:t>4</w:t>
      </w:r>
      <w:r>
        <w:rPr>
          <w:rFonts w:hint="eastAsia"/>
        </w:rPr>
        <w:t>）保证金风险：是指由于无法及时筹措资金满足建立或者维持股指期货合约头寸所要求的保证金而带来的风险。</w:t>
      </w:r>
    </w:p>
    <w:p w:rsidR="00AC3CCE" w:rsidRDefault="00AC3CCE" w:rsidP="00AC3CCE">
      <w:pPr>
        <w:pStyle w:val="-"/>
        <w:ind w:firstLine="420"/>
        <w:rPr>
          <w:rFonts w:hint="eastAsia"/>
        </w:rPr>
      </w:pPr>
      <w:r>
        <w:rPr>
          <w:rFonts w:hint="eastAsia"/>
        </w:rPr>
        <w:t>（</w:t>
      </w:r>
      <w:r>
        <w:rPr>
          <w:rFonts w:hint="eastAsia"/>
        </w:rPr>
        <w:t>5</w:t>
      </w:r>
      <w:r>
        <w:rPr>
          <w:rFonts w:hint="eastAsia"/>
        </w:rPr>
        <w:t>）信用风险：是指期货经纪公司违约而产生损失的风险。</w:t>
      </w:r>
    </w:p>
    <w:p w:rsidR="00AC3CCE" w:rsidRDefault="00AC3CCE" w:rsidP="00AC3CCE">
      <w:pPr>
        <w:pStyle w:val="-"/>
        <w:ind w:firstLine="420"/>
        <w:rPr>
          <w:rFonts w:hint="eastAsia"/>
        </w:rPr>
      </w:pPr>
      <w:r>
        <w:rPr>
          <w:rFonts w:hint="eastAsia"/>
        </w:rPr>
        <w:t>（</w:t>
      </w:r>
      <w:r>
        <w:rPr>
          <w:rFonts w:hint="eastAsia"/>
        </w:rPr>
        <w:t>6</w:t>
      </w:r>
      <w:r>
        <w:rPr>
          <w:rFonts w:hint="eastAsia"/>
        </w:rPr>
        <w:t>）操作风险：是指由于内部流程的不完善，业务人员出现差错或者疏漏，或者系统出现故障等原因造成损失的风险。</w:t>
      </w:r>
    </w:p>
    <w:p w:rsidR="00AC3CCE" w:rsidRDefault="00AC3CCE" w:rsidP="00AC3CCE">
      <w:pPr>
        <w:pStyle w:val="-"/>
        <w:ind w:firstLine="420"/>
        <w:rPr>
          <w:rFonts w:hint="eastAsia"/>
        </w:rPr>
      </w:pPr>
      <w:r>
        <w:rPr>
          <w:rFonts w:hint="eastAsia"/>
        </w:rPr>
        <w:t>3</w:t>
      </w:r>
      <w:r>
        <w:rPr>
          <w:rFonts w:hint="eastAsia"/>
        </w:rPr>
        <w:t>、市场风险</w:t>
      </w:r>
    </w:p>
    <w:p w:rsidR="00AC3CCE" w:rsidRDefault="00AC3CCE" w:rsidP="00AC3CCE">
      <w:pPr>
        <w:pStyle w:val="-"/>
        <w:ind w:firstLine="420"/>
        <w:rPr>
          <w:rFonts w:hint="eastAsia"/>
        </w:rPr>
      </w:pPr>
      <w:r>
        <w:rPr>
          <w:rFonts w:hint="eastAsia"/>
        </w:rPr>
        <w:t>证券市场价格受到经济因素、政治因素、投资心理和交易制度等各种因素的影响，导致基金收益水平变化，产生风险，主要包括：（</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p>
    <w:p w:rsidR="00AC3CCE" w:rsidRDefault="00AC3CCE" w:rsidP="00AC3CCE">
      <w:pPr>
        <w:pStyle w:val="-"/>
        <w:ind w:firstLine="420"/>
        <w:rPr>
          <w:rFonts w:hint="eastAsia"/>
        </w:rPr>
      </w:pPr>
      <w:r>
        <w:rPr>
          <w:rFonts w:hint="eastAsia"/>
        </w:rPr>
        <w:t>4</w:t>
      </w:r>
      <w:r>
        <w:rPr>
          <w:rFonts w:hint="eastAsia"/>
        </w:rPr>
        <w:t>、管理风险</w:t>
      </w:r>
    </w:p>
    <w:p w:rsidR="00AC3CCE" w:rsidRDefault="00AC3CCE" w:rsidP="00AC3CCE">
      <w:pPr>
        <w:pStyle w:val="-"/>
        <w:ind w:firstLine="420"/>
        <w:rPr>
          <w:rFonts w:hint="eastAsia"/>
        </w:rPr>
      </w:pPr>
      <w:r>
        <w:rPr>
          <w:rFonts w:hint="eastAsia"/>
        </w:rPr>
        <w:lastRenderedPageBreak/>
        <w:t>（</w:t>
      </w:r>
      <w:r>
        <w:rPr>
          <w:rFonts w:hint="eastAsia"/>
        </w:rPr>
        <w:t>1</w:t>
      </w:r>
      <w:r>
        <w:rPr>
          <w:rFonts w:hint="eastAsia"/>
        </w:rPr>
        <w:t>）</w:t>
      </w:r>
      <w:r>
        <w:rPr>
          <w:rFonts w:hint="eastAsia"/>
        </w:rPr>
        <w:t xml:space="preserve"> </w:t>
      </w:r>
      <w:r>
        <w:rPr>
          <w:rFonts w:hint="eastAsia"/>
        </w:rPr>
        <w:t>在基金管理运作过程中，基金管理人的知识、经验、判断、决策、技能等，会影响其对信息的占有以及对经济形势、证券价格走势的判断，从而影响基金收益水平；</w:t>
      </w:r>
    </w:p>
    <w:p w:rsidR="00AC3CCE" w:rsidRDefault="00AC3CCE" w:rsidP="00AC3CCE">
      <w:pPr>
        <w:pStyle w:val="-"/>
        <w:ind w:firstLine="420"/>
        <w:rPr>
          <w:rFonts w:hint="eastAsia"/>
        </w:rPr>
      </w:pPr>
      <w:r>
        <w:rPr>
          <w:rFonts w:hint="eastAsia"/>
        </w:rPr>
        <w:t>（</w:t>
      </w:r>
      <w:r>
        <w:rPr>
          <w:rFonts w:hint="eastAsia"/>
        </w:rPr>
        <w:t>2</w:t>
      </w:r>
      <w:r>
        <w:rPr>
          <w:rFonts w:hint="eastAsia"/>
        </w:rPr>
        <w:t>）基金管理人和基金托管人的管理手段和管理技术等因素的变化也会影响基金收益水平。</w:t>
      </w:r>
    </w:p>
    <w:p w:rsidR="00AC3CCE" w:rsidRDefault="00AC3CCE" w:rsidP="00AC3CCE">
      <w:pPr>
        <w:pStyle w:val="-"/>
        <w:ind w:firstLine="420"/>
        <w:rPr>
          <w:rFonts w:hint="eastAsia"/>
        </w:rPr>
      </w:pPr>
      <w:r>
        <w:rPr>
          <w:rFonts w:hint="eastAsia"/>
        </w:rPr>
        <w:t>5</w:t>
      </w:r>
      <w:r>
        <w:rPr>
          <w:rFonts w:hint="eastAsia"/>
        </w:rPr>
        <w:t>、流动性风险</w:t>
      </w:r>
    </w:p>
    <w:p w:rsidR="00AC3CCE" w:rsidRDefault="00AC3CCE" w:rsidP="00AC3CCE">
      <w:pPr>
        <w:pStyle w:val="-"/>
        <w:ind w:firstLine="420"/>
        <w:rPr>
          <w:rFonts w:hint="eastAsia"/>
        </w:rPr>
      </w:pPr>
      <w:r>
        <w:rPr>
          <w:rFonts w:hint="eastAsia"/>
        </w:rPr>
        <w:t>本基金属于开放式基金，在基金的所有开放日，基金管理人都有义务接受投资者的申购和赎回。由于国内股票市场波动性较大，在市场下跌时经常出现交易量急剧减少的情况，如果在这时出现较大数额的基金赎回申请，则使基金资产变现困难，基金面临流动性风险。</w:t>
      </w:r>
    </w:p>
    <w:p w:rsidR="00AC3CCE" w:rsidRDefault="00AC3CCE" w:rsidP="00AC3CCE">
      <w:pPr>
        <w:pStyle w:val="-"/>
        <w:ind w:firstLine="420"/>
        <w:rPr>
          <w:rFonts w:hint="eastAsia"/>
        </w:rPr>
      </w:pPr>
      <w:r>
        <w:rPr>
          <w:rFonts w:hint="eastAsia"/>
        </w:rPr>
        <w:t>（</w:t>
      </w:r>
      <w:r>
        <w:rPr>
          <w:rFonts w:hint="eastAsia"/>
        </w:rPr>
        <w:t>1</w:t>
      </w:r>
      <w:r>
        <w:rPr>
          <w:rFonts w:hint="eastAsia"/>
        </w:rPr>
        <w:t>）本基金的申购、赎回安排</w:t>
      </w:r>
    </w:p>
    <w:p w:rsidR="00AC3CCE" w:rsidRDefault="00AC3CCE" w:rsidP="00AC3CCE">
      <w:pPr>
        <w:pStyle w:val="-"/>
        <w:ind w:firstLine="420"/>
        <w:rPr>
          <w:rFonts w:hint="eastAsia"/>
        </w:rPr>
      </w:pPr>
      <w:r>
        <w:rPr>
          <w:rFonts w:hint="eastAsia"/>
        </w:rPr>
        <w:t>（</w:t>
      </w:r>
      <w:r>
        <w:rPr>
          <w:rFonts w:hint="eastAsia"/>
        </w:rPr>
        <w:t>2</w:t>
      </w:r>
      <w:r>
        <w:rPr>
          <w:rFonts w:hint="eastAsia"/>
        </w:rPr>
        <w:t>）投资市场、行业及资产的流动性风险评估</w:t>
      </w:r>
    </w:p>
    <w:p w:rsidR="00AC3CCE" w:rsidRDefault="00AC3CCE" w:rsidP="00AC3CCE">
      <w:pPr>
        <w:pStyle w:val="-"/>
        <w:ind w:firstLine="420"/>
        <w:rPr>
          <w:rFonts w:hint="eastAsia"/>
        </w:rPr>
      </w:pPr>
      <w:r>
        <w:rPr>
          <w:rFonts w:hint="eastAsia"/>
        </w:rPr>
        <w:t>（</w:t>
      </w:r>
      <w:r>
        <w:rPr>
          <w:rFonts w:hint="eastAsia"/>
        </w:rPr>
        <w:t>3</w:t>
      </w:r>
      <w:r>
        <w:rPr>
          <w:rFonts w:hint="eastAsia"/>
        </w:rPr>
        <w:t>）巨额赎回情形下的流动性风险管理措施</w:t>
      </w:r>
    </w:p>
    <w:p w:rsidR="00AC3CCE" w:rsidRDefault="00AC3CCE" w:rsidP="00AC3CCE">
      <w:pPr>
        <w:pStyle w:val="-"/>
        <w:ind w:firstLine="420"/>
        <w:rPr>
          <w:rFonts w:hint="eastAsia"/>
        </w:rPr>
      </w:pPr>
      <w:r>
        <w:rPr>
          <w:rFonts w:hint="eastAsia"/>
        </w:rPr>
        <w:t>（</w:t>
      </w:r>
      <w:r>
        <w:rPr>
          <w:rFonts w:hint="eastAsia"/>
        </w:rPr>
        <w:t>4</w:t>
      </w:r>
      <w:r>
        <w:rPr>
          <w:rFonts w:hint="eastAsia"/>
        </w:rPr>
        <w:t>）实施备用的流动性风险管理工具的情形、程序及对投资者的潜在影响</w:t>
      </w:r>
    </w:p>
    <w:p w:rsidR="00AC3CCE" w:rsidRDefault="00AC3CCE" w:rsidP="00AC3CCE">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AC3CCE" w:rsidRDefault="00AC3CCE" w:rsidP="00AC3CCE">
      <w:pPr>
        <w:pStyle w:val="-"/>
        <w:ind w:firstLine="420"/>
        <w:rPr>
          <w:rFonts w:hint="eastAsia"/>
        </w:rPr>
      </w:pPr>
      <w:r>
        <w:rPr>
          <w:rFonts w:hint="eastAsia"/>
        </w:rPr>
        <w:t>6</w:t>
      </w:r>
      <w:r>
        <w:rPr>
          <w:rFonts w:hint="eastAsia"/>
        </w:rPr>
        <w:t>、基金交易价格与基金份额净值发生偏离的风险</w:t>
      </w:r>
    </w:p>
    <w:p w:rsidR="00AC3CCE" w:rsidRDefault="00AC3CCE" w:rsidP="00AC3CCE">
      <w:pPr>
        <w:pStyle w:val="-"/>
        <w:ind w:firstLine="420"/>
        <w:rPr>
          <w:rFonts w:hint="eastAsia"/>
        </w:rPr>
      </w:pPr>
      <w:r>
        <w:rPr>
          <w:rFonts w:hint="eastAsia"/>
        </w:rPr>
        <w:t>本基金在证券交易所的交易价格可能不同于基金份额净值</w:t>
      </w:r>
      <w:r>
        <w:rPr>
          <w:rFonts w:hint="eastAsia"/>
        </w:rPr>
        <w:t>,</w:t>
      </w:r>
      <w:r>
        <w:rPr>
          <w:rFonts w:hint="eastAsia"/>
        </w:rPr>
        <w:t>从而产生折价或者溢价的情况</w:t>
      </w:r>
      <w:r>
        <w:rPr>
          <w:rFonts w:hint="eastAsia"/>
        </w:rPr>
        <w:t>,</w:t>
      </w:r>
      <w:r>
        <w:rPr>
          <w:rFonts w:hint="eastAsia"/>
        </w:rPr>
        <w:t>虽然基金份额净值反映基金投资组合的资产状况</w:t>
      </w:r>
      <w:r>
        <w:rPr>
          <w:rFonts w:hint="eastAsia"/>
        </w:rPr>
        <w:t>,</w:t>
      </w:r>
      <w:r>
        <w:rPr>
          <w:rFonts w:hint="eastAsia"/>
        </w:rPr>
        <w:t>但是交易价格受到很多因素的影响</w:t>
      </w:r>
      <w:r>
        <w:rPr>
          <w:rFonts w:hint="eastAsia"/>
        </w:rPr>
        <w:t>,</w:t>
      </w:r>
      <w:r>
        <w:rPr>
          <w:rFonts w:hint="eastAsia"/>
        </w:rPr>
        <w:t>比如中国的经济情况、投资人对于中国股市的信心以及本基金的供需情况等。</w:t>
      </w:r>
    </w:p>
    <w:p w:rsidR="00AC3CCE" w:rsidRDefault="00AC3CCE" w:rsidP="00AC3CCE">
      <w:pPr>
        <w:pStyle w:val="-"/>
        <w:ind w:firstLine="420"/>
        <w:rPr>
          <w:rFonts w:hint="eastAsia"/>
        </w:rPr>
      </w:pPr>
      <w:r>
        <w:rPr>
          <w:rFonts w:hint="eastAsia"/>
        </w:rPr>
        <w:t>7</w:t>
      </w:r>
      <w:r>
        <w:rPr>
          <w:rFonts w:hint="eastAsia"/>
        </w:rPr>
        <w:t>、本基金法律文件风险收益特征表述与销售机构基金风险评价可能不一致的风险</w:t>
      </w:r>
    </w:p>
    <w:p w:rsidR="00AC3CCE" w:rsidRDefault="00AC3CCE" w:rsidP="00AC3CCE">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包括基金管理人直销机构和代销机构</w:t>
      </w:r>
      <w:r>
        <w:rPr>
          <w:rFonts w:hint="eastAsia"/>
        </w:rPr>
        <w:t>)</w:t>
      </w:r>
      <w:r>
        <w:rPr>
          <w:rFonts w:hint="eastAsia"/>
        </w:rPr>
        <w:t>根据相关法律法规对本基金进行风险评价，不同的销售机构采用的评价方法也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AC3CCE" w:rsidRDefault="00AC3CCE" w:rsidP="00AC3CCE">
      <w:pPr>
        <w:pStyle w:val="-"/>
        <w:ind w:firstLine="420"/>
        <w:rPr>
          <w:rFonts w:hint="eastAsia"/>
        </w:rPr>
      </w:pPr>
      <w:r>
        <w:rPr>
          <w:rFonts w:hint="eastAsia"/>
        </w:rPr>
        <w:t>8</w:t>
      </w:r>
      <w:r>
        <w:rPr>
          <w:rFonts w:hint="eastAsia"/>
        </w:rPr>
        <w:t>、其他风险</w:t>
      </w:r>
    </w:p>
    <w:p w:rsidR="00AC3CCE" w:rsidRDefault="00AC3CCE" w:rsidP="00AC3CCE">
      <w:pPr>
        <w:pStyle w:val="-2"/>
        <w:spacing w:before="156" w:after="156"/>
      </w:pPr>
      <w:r>
        <w:rPr>
          <w:rFonts w:hint="eastAsia"/>
        </w:rPr>
        <w:t>（二）</w:t>
      </w:r>
      <w:r>
        <w:t xml:space="preserve"> </w:t>
      </w:r>
      <w:r>
        <w:t>重要提示</w:t>
      </w:r>
    </w:p>
    <w:p w:rsidR="00AC3CCE" w:rsidRDefault="00AC3CCE" w:rsidP="00AC3CCE">
      <w:pPr>
        <w:pStyle w:val="-"/>
        <w:ind w:firstLine="420"/>
        <w:rPr>
          <w:rFonts w:hint="eastAsia"/>
        </w:rPr>
      </w:pPr>
      <w:r>
        <w:rPr>
          <w:rFonts w:hint="eastAsia"/>
        </w:rPr>
        <w:t>南方中证</w:t>
      </w:r>
      <w:r>
        <w:rPr>
          <w:rFonts w:hint="eastAsia"/>
        </w:rPr>
        <w:t>500</w:t>
      </w:r>
      <w:r>
        <w:rPr>
          <w:rFonts w:hint="eastAsia"/>
        </w:rPr>
        <w:t>交易型开放式指数证券投资基金联接基金</w:t>
      </w:r>
      <w:r>
        <w:rPr>
          <w:rFonts w:hint="eastAsia"/>
        </w:rPr>
        <w:t>(LOF)</w:t>
      </w:r>
      <w:r>
        <w:rPr>
          <w:rFonts w:hint="eastAsia"/>
        </w:rPr>
        <w:t>（以下简称“本基金”）经中国证监会</w:t>
      </w:r>
      <w:r>
        <w:rPr>
          <w:rFonts w:hint="eastAsia"/>
        </w:rPr>
        <w:t>2009</w:t>
      </w:r>
      <w:r>
        <w:rPr>
          <w:rFonts w:hint="eastAsia"/>
        </w:rPr>
        <w:t>年</w:t>
      </w:r>
      <w:r>
        <w:rPr>
          <w:rFonts w:hint="eastAsia"/>
        </w:rPr>
        <w:t>8</w:t>
      </w:r>
      <w:r>
        <w:rPr>
          <w:rFonts w:hint="eastAsia"/>
        </w:rPr>
        <w:t>月</w:t>
      </w:r>
      <w:r>
        <w:rPr>
          <w:rFonts w:hint="eastAsia"/>
        </w:rPr>
        <w:t>7</w:t>
      </w:r>
      <w:r>
        <w:rPr>
          <w:rFonts w:hint="eastAsia"/>
        </w:rPr>
        <w:t>日证监许可</w:t>
      </w:r>
      <w:r>
        <w:rPr>
          <w:rFonts w:hint="eastAsia"/>
        </w:rPr>
        <w:t>[2009]755</w:t>
      </w:r>
      <w:r>
        <w:rPr>
          <w:rFonts w:hint="eastAsia"/>
        </w:rPr>
        <w:t>号文核准募集。根据《南方中证</w:t>
      </w:r>
      <w:r>
        <w:rPr>
          <w:rFonts w:hint="eastAsia"/>
        </w:rPr>
        <w:t>500</w:t>
      </w:r>
      <w:r>
        <w:rPr>
          <w:rFonts w:hint="eastAsia"/>
        </w:rPr>
        <w:t>指数证券投资基金（</w:t>
      </w:r>
      <w:r>
        <w:rPr>
          <w:rFonts w:hint="eastAsia"/>
        </w:rPr>
        <w:t>LOF</w:t>
      </w:r>
      <w:r>
        <w:rPr>
          <w:rFonts w:hint="eastAsia"/>
        </w:rPr>
        <w:t>）基金合同》的有关约定，基金管理人经与基金托管人协商一致，将本基金变更为中证</w:t>
      </w:r>
      <w:r>
        <w:rPr>
          <w:rFonts w:hint="eastAsia"/>
        </w:rPr>
        <w:t>500</w:t>
      </w:r>
      <w:r>
        <w:rPr>
          <w:rFonts w:hint="eastAsia"/>
        </w:rPr>
        <w:t>交易型开放式指数证券投资基金的联接基金，本基金的名称相应变更为“南方中证</w:t>
      </w:r>
      <w:r>
        <w:rPr>
          <w:rFonts w:hint="eastAsia"/>
        </w:rPr>
        <w:t>500</w:t>
      </w:r>
      <w:r>
        <w:rPr>
          <w:rFonts w:hint="eastAsia"/>
        </w:rPr>
        <w:t>交易型开放式指数证券投资基金联接基金（</w:t>
      </w:r>
      <w:r>
        <w:rPr>
          <w:rFonts w:hint="eastAsia"/>
        </w:rPr>
        <w:t>LOF</w:t>
      </w:r>
      <w:r>
        <w:rPr>
          <w:rFonts w:hint="eastAsia"/>
        </w:rPr>
        <w:t>）”。中国证监会对本基金募集的核准，并不表明其对本基金的价值和收益作出实质性判断或保证，也不表明投资于本基金没有风险。</w:t>
      </w:r>
    </w:p>
    <w:p w:rsidR="00AC3CCE" w:rsidRDefault="00AC3CCE" w:rsidP="00AC3CCE">
      <w:pPr>
        <w:pStyle w:val="-"/>
        <w:ind w:firstLine="420"/>
        <w:rPr>
          <w:rFonts w:hint="eastAsia"/>
        </w:rPr>
      </w:pPr>
      <w:r>
        <w:rPr>
          <w:rFonts w:hint="eastAsia"/>
        </w:rPr>
        <w:t>基金管理人依照恪尽职守、诚实信用、谨慎勤勉的原则管理和运用基金财产</w:t>
      </w:r>
      <w:r>
        <w:rPr>
          <w:rFonts w:hint="eastAsia"/>
        </w:rPr>
        <w:t>,</w:t>
      </w:r>
      <w:r>
        <w:rPr>
          <w:rFonts w:hint="eastAsia"/>
        </w:rPr>
        <w:t>但不保证基金一定盈利，也不保证最低收益。</w:t>
      </w:r>
    </w:p>
    <w:p w:rsidR="00AC3CCE" w:rsidRDefault="00AC3CCE" w:rsidP="00AC3CCE">
      <w:pPr>
        <w:pStyle w:val="-"/>
        <w:ind w:firstLine="420"/>
        <w:rPr>
          <w:rFonts w:hint="eastAsia"/>
        </w:rPr>
      </w:pPr>
      <w:r>
        <w:rPr>
          <w:rFonts w:hint="eastAsia"/>
        </w:rPr>
        <w:t>基金投资者自依基金合同取得基金份额，即成为基金份额持有人和基金合同的当事人。</w:t>
      </w:r>
    </w:p>
    <w:p w:rsidR="00AC3CCE" w:rsidRDefault="00AC3CCE" w:rsidP="00AC3CCE">
      <w:pPr>
        <w:pStyle w:val="-"/>
        <w:ind w:firstLine="420"/>
        <w:rPr>
          <w:rFonts w:hint="eastAsia"/>
        </w:rPr>
      </w:pPr>
      <w:r>
        <w:rPr>
          <w:rFonts w:hint="eastAsia"/>
        </w:rPr>
        <w:lastRenderedPageBreak/>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AC3CCE" w:rsidRDefault="00AC3CCE" w:rsidP="00AC3CCE">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AC3CCE" w:rsidRDefault="00AC3CCE" w:rsidP="00AC3CCE">
      <w:pPr>
        <w:pStyle w:val="-1"/>
        <w:spacing w:before="156" w:after="156"/>
        <w:rPr>
          <w:rFonts w:hint="eastAsia"/>
        </w:rPr>
      </w:pPr>
      <w:r>
        <w:rPr>
          <w:rFonts w:hint="eastAsia"/>
        </w:rPr>
        <w:t>五、其他资料查询方式</w:t>
      </w:r>
    </w:p>
    <w:p w:rsidR="00AC3CCE" w:rsidRDefault="00AC3CCE" w:rsidP="00AC3CCE">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AC3CCE" w:rsidRDefault="00AC3CCE" w:rsidP="00AC3CCE">
      <w:pPr>
        <w:pStyle w:val="-"/>
        <w:ind w:firstLine="420"/>
        <w:rPr>
          <w:rFonts w:hint="eastAsia"/>
        </w:rPr>
      </w:pPr>
      <w:r>
        <w:rPr>
          <w:rFonts w:hint="eastAsia"/>
        </w:rPr>
        <w:t>●《南方中证</w:t>
      </w:r>
      <w:r>
        <w:rPr>
          <w:rFonts w:hint="eastAsia"/>
        </w:rPr>
        <w:t>500</w:t>
      </w:r>
      <w:r>
        <w:rPr>
          <w:rFonts w:hint="eastAsia"/>
        </w:rPr>
        <w:t>交易型开放式指数证券投资基金联接基金</w:t>
      </w:r>
      <w:r>
        <w:rPr>
          <w:rFonts w:hint="eastAsia"/>
        </w:rPr>
        <w:t>(LOF)</w:t>
      </w:r>
      <w:r>
        <w:rPr>
          <w:rFonts w:hint="eastAsia"/>
        </w:rPr>
        <w:t>基金合同》、</w:t>
      </w:r>
    </w:p>
    <w:p w:rsidR="00AC3CCE" w:rsidRDefault="00AC3CCE" w:rsidP="00AC3CCE">
      <w:pPr>
        <w:pStyle w:val="-"/>
        <w:ind w:firstLine="420"/>
        <w:rPr>
          <w:rFonts w:hint="eastAsia"/>
        </w:rPr>
      </w:pPr>
      <w:r>
        <w:rPr>
          <w:rFonts w:hint="eastAsia"/>
        </w:rPr>
        <w:t>《南方中证</w:t>
      </w:r>
      <w:r>
        <w:rPr>
          <w:rFonts w:hint="eastAsia"/>
        </w:rPr>
        <w:t>500</w:t>
      </w:r>
      <w:r>
        <w:rPr>
          <w:rFonts w:hint="eastAsia"/>
        </w:rPr>
        <w:t>交易型开放式指数证券投资基金联接基金</w:t>
      </w:r>
      <w:r>
        <w:rPr>
          <w:rFonts w:hint="eastAsia"/>
        </w:rPr>
        <w:t>(LOF)</w:t>
      </w:r>
      <w:r>
        <w:rPr>
          <w:rFonts w:hint="eastAsia"/>
        </w:rPr>
        <w:t>托管协议》、</w:t>
      </w:r>
    </w:p>
    <w:p w:rsidR="00AC3CCE" w:rsidRDefault="00AC3CCE" w:rsidP="00AC3CCE">
      <w:pPr>
        <w:pStyle w:val="-"/>
        <w:ind w:firstLine="420"/>
        <w:rPr>
          <w:rFonts w:hint="eastAsia"/>
        </w:rPr>
      </w:pPr>
      <w:r>
        <w:rPr>
          <w:rFonts w:hint="eastAsia"/>
        </w:rPr>
        <w:t>《南方中证</w:t>
      </w:r>
      <w:r>
        <w:rPr>
          <w:rFonts w:hint="eastAsia"/>
        </w:rPr>
        <w:t>500</w:t>
      </w:r>
      <w:r>
        <w:rPr>
          <w:rFonts w:hint="eastAsia"/>
        </w:rPr>
        <w:t>交易型开放式指数证券投资基金联接基金</w:t>
      </w:r>
      <w:r>
        <w:rPr>
          <w:rFonts w:hint="eastAsia"/>
        </w:rPr>
        <w:t>(LOF)</w:t>
      </w:r>
      <w:r>
        <w:rPr>
          <w:rFonts w:hint="eastAsia"/>
        </w:rPr>
        <w:t>招募说明书》</w:t>
      </w:r>
    </w:p>
    <w:p w:rsidR="00AC3CCE" w:rsidRDefault="00AC3CCE" w:rsidP="00AC3CCE">
      <w:pPr>
        <w:pStyle w:val="-"/>
        <w:ind w:firstLine="420"/>
        <w:rPr>
          <w:rFonts w:hint="eastAsia"/>
        </w:rPr>
      </w:pPr>
      <w:r>
        <w:rPr>
          <w:rFonts w:hint="eastAsia"/>
        </w:rPr>
        <w:t>●定期报告、包括基金季度报告、中期报告和年度报告</w:t>
      </w:r>
    </w:p>
    <w:p w:rsidR="00AC3CCE" w:rsidRDefault="00AC3CCE" w:rsidP="00AC3CCE">
      <w:pPr>
        <w:pStyle w:val="-"/>
        <w:ind w:firstLine="420"/>
        <w:rPr>
          <w:rFonts w:hint="eastAsia"/>
        </w:rPr>
      </w:pPr>
      <w:r>
        <w:rPr>
          <w:rFonts w:hint="eastAsia"/>
        </w:rPr>
        <w:t>●基金份额净值</w:t>
      </w:r>
    </w:p>
    <w:p w:rsidR="00AC3CCE" w:rsidRDefault="00AC3CCE" w:rsidP="00AC3CCE">
      <w:pPr>
        <w:pStyle w:val="-"/>
        <w:ind w:firstLine="420"/>
        <w:rPr>
          <w:rFonts w:hint="eastAsia"/>
        </w:rPr>
      </w:pPr>
      <w:r>
        <w:rPr>
          <w:rFonts w:hint="eastAsia"/>
        </w:rPr>
        <w:t>●基金销售机构及联系方式</w:t>
      </w:r>
    </w:p>
    <w:p w:rsidR="00AC3CCE" w:rsidRDefault="00AC3CCE" w:rsidP="00AC3CCE">
      <w:pPr>
        <w:pStyle w:val="-"/>
        <w:ind w:firstLine="420"/>
        <w:rPr>
          <w:rFonts w:hint="eastAsia"/>
        </w:rPr>
      </w:pPr>
      <w:r>
        <w:rPr>
          <w:rFonts w:hint="eastAsia"/>
        </w:rPr>
        <w:t>●其他重要资料</w:t>
      </w:r>
    </w:p>
    <w:p w:rsidR="00AC3CCE" w:rsidRDefault="00AC3CCE" w:rsidP="00AC3CCE">
      <w:pPr>
        <w:pStyle w:val="-1"/>
        <w:spacing w:before="156" w:after="156"/>
        <w:rPr>
          <w:rFonts w:hint="eastAsia"/>
        </w:rPr>
      </w:pPr>
      <w:r>
        <w:rPr>
          <w:rFonts w:hint="eastAsia"/>
        </w:rPr>
        <w:t>六、其他情况说明</w:t>
      </w:r>
    </w:p>
    <w:p w:rsidR="00AC3CCE" w:rsidRDefault="00AC3CCE" w:rsidP="00AC3CCE">
      <w:pPr>
        <w:pStyle w:val="-"/>
        <w:ind w:firstLine="420"/>
        <w:rPr>
          <w:rFonts w:hint="eastAsia"/>
        </w:rPr>
      </w:pPr>
      <w:bookmarkStart w:id="0" w:name="_GoBack"/>
      <w:bookmarkEnd w:id="0"/>
      <w:r>
        <w:rPr>
          <w:rFonts w:hint="eastAsia"/>
        </w:rPr>
        <w:t>暂无。</w:t>
      </w:r>
    </w:p>
    <w:p w:rsidR="00E67375" w:rsidRPr="00ED7F31" w:rsidRDefault="00AC3CCE" w:rsidP="00AC3CCE">
      <w:pPr>
        <w:pStyle w:val="-"/>
        <w:ind w:firstLine="420"/>
      </w:pPr>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CCE" w:rsidRDefault="00AC3CC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AC3CCE" w:rsidRPr="00AC3CCE">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CCE" w:rsidRDefault="00AC3C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CCE" w:rsidRDefault="00AC3CC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AC3CCE" w:rsidP="00CE07B7">
    <w:pPr>
      <w:pStyle w:val="a6"/>
      <w:jc w:val="right"/>
    </w:pPr>
    <w:r>
      <w:rPr>
        <w:rFonts w:hint="eastAsia"/>
      </w:rPr>
      <w:t>南方中证</w:t>
    </w:r>
    <w:r>
      <w:rPr>
        <w:rFonts w:hint="eastAsia"/>
      </w:rPr>
      <w:t>500</w:t>
    </w:r>
    <w:r>
      <w:rPr>
        <w:rFonts w:hint="eastAsia"/>
      </w:rPr>
      <w:t>交易型开放式指数证券投资基金联接基金</w:t>
    </w:r>
    <w:r>
      <w:rPr>
        <w:rFonts w:hint="eastAsia"/>
      </w:rPr>
      <w:t>(LOF)</w:t>
    </w:r>
    <w:r>
      <w:rPr>
        <w:rFonts w:hint="eastAsia"/>
      </w:rPr>
      <w:t>（</w:t>
    </w:r>
    <w:r>
      <w:rPr>
        <w:rFonts w:hint="eastAsia"/>
      </w:rPr>
      <w:t>C</w:t>
    </w:r>
    <w:r>
      <w:rPr>
        <w:rFonts w:hint="eastAsia"/>
      </w:rPr>
      <w:t>类份额）基金产品资料概要（更新）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CCE" w:rsidRDefault="00AC3CC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C3CCE"/>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82254-C282-40F2-82DE-F2163E72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955</Words>
  <Characters>5447</Characters>
  <Application>Microsoft Office Word</Application>
  <DocSecurity>0</DocSecurity>
  <Lines>45</Lines>
  <Paragraphs>12</Paragraphs>
  <ScaleCrop>false</ScaleCrop>
  <Company>MC SYSTEM</Company>
  <LinksUpToDate>false</LinksUpToDate>
  <CharactersWithSpaces>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2021-09-29T08:25:00Z</dcterms:created>
  <dcterms:modified xsi:type="dcterms:W3CDTF">2021-09-29T08:25:00Z</dcterms:modified>
</cp:coreProperties>
</file>