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0484F" w14:textId="77777777" w:rsidR="002E3EC6" w:rsidRPr="004F5BE4" w:rsidRDefault="002E3EC6" w:rsidP="00F05D2A">
      <w:pPr>
        <w:spacing w:line="360" w:lineRule="auto"/>
        <w:jc w:val="center"/>
        <w:rPr>
          <w:rFonts w:eastAsia="黑体"/>
          <w:sz w:val="44"/>
        </w:rPr>
      </w:pPr>
    </w:p>
    <w:p w14:paraId="003309D8" w14:textId="77777777" w:rsidR="002E3EC6" w:rsidRPr="004F5BE4" w:rsidRDefault="002E3EC6" w:rsidP="00F05D2A">
      <w:pPr>
        <w:spacing w:line="360" w:lineRule="auto"/>
        <w:jc w:val="center"/>
        <w:rPr>
          <w:rFonts w:eastAsia="黑体"/>
          <w:sz w:val="44"/>
        </w:rPr>
      </w:pPr>
    </w:p>
    <w:p w14:paraId="410D62C9" w14:textId="77777777" w:rsidR="002E3EC6" w:rsidRPr="004F5BE4" w:rsidRDefault="002E3EC6" w:rsidP="00F05D2A">
      <w:pPr>
        <w:spacing w:line="360" w:lineRule="auto"/>
        <w:jc w:val="center"/>
        <w:rPr>
          <w:rFonts w:eastAsia="黑体"/>
          <w:sz w:val="44"/>
        </w:rPr>
      </w:pPr>
    </w:p>
    <w:p w14:paraId="39937F28" w14:textId="77777777" w:rsidR="002E3EC6" w:rsidRPr="004F5BE4" w:rsidRDefault="002E3EC6" w:rsidP="00F05D2A">
      <w:pPr>
        <w:spacing w:line="360" w:lineRule="auto"/>
        <w:jc w:val="center"/>
        <w:rPr>
          <w:rFonts w:eastAsia="黑体"/>
          <w:sz w:val="44"/>
        </w:rPr>
      </w:pPr>
    </w:p>
    <w:p w14:paraId="7C845F33" w14:textId="29071E19" w:rsidR="00477BD0" w:rsidRDefault="00C02FED" w:rsidP="00F05D2A">
      <w:pPr>
        <w:spacing w:line="360" w:lineRule="auto"/>
        <w:jc w:val="center"/>
        <w:rPr>
          <w:rFonts w:eastAsia="黑体"/>
          <w:sz w:val="44"/>
        </w:rPr>
      </w:pPr>
      <w:bookmarkStart w:id="0" w:name="_Toc411503261"/>
      <w:r>
        <w:rPr>
          <w:rFonts w:eastAsia="黑体" w:hint="eastAsia"/>
          <w:sz w:val="44"/>
        </w:rPr>
        <w:t>南方行业领先混合型证券投资基金</w:t>
      </w:r>
    </w:p>
    <w:p w14:paraId="14146589" w14:textId="45F2E626" w:rsidR="002E3EC6" w:rsidRPr="004F5BE4" w:rsidRDefault="002E3EC6" w:rsidP="00F05D2A">
      <w:pPr>
        <w:spacing w:line="360" w:lineRule="auto"/>
        <w:jc w:val="center"/>
        <w:rPr>
          <w:spacing w:val="-28"/>
        </w:rPr>
      </w:pPr>
      <w:r w:rsidRPr="004F5BE4">
        <w:rPr>
          <w:rFonts w:eastAsia="黑体" w:hint="eastAsia"/>
          <w:sz w:val="44"/>
        </w:rPr>
        <w:t>招募说明书</w:t>
      </w:r>
      <w:bookmarkEnd w:id="0"/>
    </w:p>
    <w:p w14:paraId="6D87FF93" w14:textId="77777777" w:rsidR="002E3EC6" w:rsidRPr="007F0DD1" w:rsidRDefault="002E3EC6" w:rsidP="00F05D2A">
      <w:pPr>
        <w:snapToGrid w:val="0"/>
        <w:spacing w:line="360" w:lineRule="auto"/>
      </w:pPr>
    </w:p>
    <w:p w14:paraId="15649D32" w14:textId="77777777" w:rsidR="002E3EC6" w:rsidRPr="004F5BE4" w:rsidRDefault="002E3EC6" w:rsidP="00F05D2A">
      <w:pPr>
        <w:snapToGrid w:val="0"/>
        <w:spacing w:line="360" w:lineRule="auto"/>
      </w:pPr>
    </w:p>
    <w:p w14:paraId="4FEF4521" w14:textId="77777777" w:rsidR="002E3EC6" w:rsidRPr="004F5BE4" w:rsidRDefault="002E3EC6" w:rsidP="00F05D2A">
      <w:pPr>
        <w:snapToGrid w:val="0"/>
        <w:spacing w:line="360" w:lineRule="auto"/>
      </w:pPr>
    </w:p>
    <w:p w14:paraId="293BE525" w14:textId="77777777" w:rsidR="002E3EC6" w:rsidRPr="004F5BE4" w:rsidRDefault="002E3EC6" w:rsidP="00F05D2A">
      <w:pPr>
        <w:snapToGrid w:val="0"/>
        <w:spacing w:line="360" w:lineRule="auto"/>
      </w:pPr>
    </w:p>
    <w:p w14:paraId="79D29454" w14:textId="77777777" w:rsidR="002E3EC6" w:rsidRPr="004F5BE4" w:rsidRDefault="002E3EC6" w:rsidP="00F05D2A">
      <w:pPr>
        <w:snapToGrid w:val="0"/>
        <w:spacing w:line="360" w:lineRule="auto"/>
      </w:pPr>
    </w:p>
    <w:p w14:paraId="1E915D31" w14:textId="77777777" w:rsidR="002E3EC6" w:rsidRPr="004F5BE4" w:rsidRDefault="002E3EC6" w:rsidP="00F05D2A">
      <w:pPr>
        <w:snapToGrid w:val="0"/>
        <w:spacing w:line="360" w:lineRule="auto"/>
      </w:pPr>
    </w:p>
    <w:p w14:paraId="49B0F23F" w14:textId="77777777" w:rsidR="002E3EC6" w:rsidRPr="00893DDE" w:rsidRDefault="002E3EC6" w:rsidP="00F05D2A">
      <w:pPr>
        <w:snapToGrid w:val="0"/>
        <w:spacing w:line="360" w:lineRule="auto"/>
      </w:pPr>
    </w:p>
    <w:p w14:paraId="244A45BD" w14:textId="77777777" w:rsidR="002E3EC6" w:rsidRPr="005B5325" w:rsidRDefault="002E3EC6" w:rsidP="004F5BE4">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506217E2"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基金管理人：</w:t>
      </w:r>
      <w:r w:rsidR="002A3484">
        <w:rPr>
          <w:rFonts w:ascii="宋体" w:hAnsi="宋体" w:cs="Arial" w:hint="eastAsia"/>
          <w:sz w:val="30"/>
          <w:szCs w:val="30"/>
        </w:rPr>
        <w:t>南方基金管理股份</w:t>
      </w:r>
      <w:r w:rsidRPr="004F5BE4">
        <w:rPr>
          <w:rFonts w:ascii="宋体" w:hAnsi="宋体" w:cs="Arial" w:hint="eastAsia"/>
          <w:sz w:val="30"/>
          <w:szCs w:val="30"/>
        </w:rPr>
        <w:t>有限公司</w:t>
      </w:r>
    </w:p>
    <w:p w14:paraId="5E3B2A18"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基金托管人：</w:t>
      </w:r>
      <w:r w:rsidR="00163725">
        <w:rPr>
          <w:rFonts w:ascii="宋体" w:hAnsi="宋体" w:cs="Arial" w:hint="eastAsia"/>
          <w:sz w:val="30"/>
          <w:szCs w:val="30"/>
        </w:rPr>
        <w:t>交通银行股份有限公司</w:t>
      </w:r>
    </w:p>
    <w:p w14:paraId="1ECAB143" w14:textId="77777777" w:rsidR="002E3EC6" w:rsidRPr="004F5BE4" w:rsidRDefault="002E3EC6" w:rsidP="00F05D2A">
      <w:pPr>
        <w:pStyle w:val="34"/>
        <w:snapToGrid w:val="0"/>
        <w:spacing w:line="360" w:lineRule="auto"/>
        <w:ind w:firstLine="0"/>
        <w:rPr>
          <w:rFonts w:ascii="Times New Roman" w:hint="default"/>
          <w:sz w:val="21"/>
        </w:rPr>
      </w:pPr>
    </w:p>
    <w:p w14:paraId="60FF294F" w14:textId="77777777" w:rsidR="002E3EC6" w:rsidRPr="004F5BE4" w:rsidRDefault="002E3EC6" w:rsidP="00F05D2A">
      <w:pPr>
        <w:snapToGrid w:val="0"/>
        <w:spacing w:line="360" w:lineRule="auto"/>
        <w:jc w:val="center"/>
        <w:rPr>
          <w:sz w:val="30"/>
        </w:rPr>
      </w:pPr>
      <w:r w:rsidRPr="004F5BE4">
        <w:rPr>
          <w:sz w:val="30"/>
        </w:rPr>
        <w:br w:type="page"/>
      </w:r>
    </w:p>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14:paraId="37E0B0F6" w14:textId="77777777" w:rsidR="00FB7F63" w:rsidRPr="004F5BE4" w:rsidRDefault="00FB7F63" w:rsidP="00F05D2A">
          <w:pPr>
            <w:pStyle w:val="TOC"/>
            <w:spacing w:before="156" w:after="156" w:line="360" w:lineRule="auto"/>
            <w:jc w:val="center"/>
            <w:rPr>
              <w:b w:val="0"/>
              <w:color w:val="auto"/>
            </w:rPr>
          </w:pPr>
          <w:r w:rsidRPr="004F5BE4">
            <w:rPr>
              <w:b w:val="0"/>
              <w:color w:val="auto"/>
              <w:lang w:val="zh-CN"/>
            </w:rPr>
            <w:t>目录</w:t>
          </w:r>
        </w:p>
        <w:p w14:paraId="590CAF76" w14:textId="60231E16" w:rsidR="002A3923" w:rsidRDefault="00957BEB" w:rsidP="000B741F">
          <w:pPr>
            <w:pStyle w:val="23"/>
            <w:tabs>
              <w:tab w:val="clear" w:pos="1680"/>
            </w:tabs>
            <w:rPr>
              <w:rFonts w:asciiTheme="minorHAnsi" w:eastAsiaTheme="minorEastAsia" w:hAnsiTheme="minorHAnsi" w:cstheme="minorBidi"/>
              <w:noProof/>
              <w:szCs w:val="22"/>
            </w:rPr>
          </w:pPr>
          <w:r w:rsidRPr="004F5BE4">
            <w:fldChar w:fldCharType="begin"/>
          </w:r>
          <w:r w:rsidR="00FB7F63" w:rsidRPr="004F5BE4">
            <w:instrText xml:space="preserve"> TOC \o "1-3" \h \z \u </w:instrText>
          </w:r>
          <w:r w:rsidRPr="004F5BE4">
            <w:fldChar w:fldCharType="separate"/>
          </w:r>
          <w:hyperlink w:anchor="_Toc47384188" w:history="1">
            <w:r w:rsidR="002A3923" w:rsidRPr="00425E2F">
              <w:rPr>
                <w:rStyle w:val="a5"/>
                <w:rFonts w:hint="eastAsia"/>
                <w:noProof/>
              </w:rPr>
              <w:t>第一部分</w:t>
            </w:r>
            <w:r w:rsidR="002A3923">
              <w:rPr>
                <w:rFonts w:asciiTheme="minorHAnsi" w:eastAsiaTheme="minorEastAsia" w:hAnsiTheme="minorHAnsi" w:cstheme="minorBidi"/>
                <w:noProof/>
                <w:szCs w:val="22"/>
              </w:rPr>
              <w:tab/>
            </w:r>
            <w:r w:rsidR="002A3923" w:rsidRPr="00425E2F">
              <w:rPr>
                <w:rStyle w:val="a5"/>
                <w:rFonts w:hint="eastAsia"/>
                <w:noProof/>
              </w:rPr>
              <w:t>绪言</w:t>
            </w:r>
            <w:r w:rsidR="000B741F" w:rsidRPr="000B741F">
              <w:rPr>
                <w:rStyle w:val="a5"/>
                <w:noProof/>
              </w:rPr>
              <w:tab/>
            </w:r>
            <w:r w:rsidR="002A3923">
              <w:rPr>
                <w:noProof/>
                <w:webHidden/>
              </w:rPr>
              <w:fldChar w:fldCharType="begin"/>
            </w:r>
            <w:r w:rsidR="002A3923">
              <w:rPr>
                <w:noProof/>
                <w:webHidden/>
              </w:rPr>
              <w:instrText xml:space="preserve"> PAGEREF _Toc47384188 \h </w:instrText>
            </w:r>
            <w:r w:rsidR="002A3923">
              <w:rPr>
                <w:noProof/>
                <w:webHidden/>
              </w:rPr>
            </w:r>
            <w:r w:rsidR="002A3923">
              <w:rPr>
                <w:noProof/>
                <w:webHidden/>
              </w:rPr>
              <w:fldChar w:fldCharType="separate"/>
            </w:r>
            <w:r w:rsidR="00AD1CF9">
              <w:rPr>
                <w:noProof/>
                <w:webHidden/>
              </w:rPr>
              <w:t>4</w:t>
            </w:r>
            <w:r w:rsidR="002A3923">
              <w:rPr>
                <w:noProof/>
                <w:webHidden/>
              </w:rPr>
              <w:fldChar w:fldCharType="end"/>
            </w:r>
          </w:hyperlink>
        </w:p>
        <w:p w14:paraId="56B43721" w14:textId="309ABF91" w:rsidR="002A3923" w:rsidRDefault="00002F83" w:rsidP="000B741F">
          <w:pPr>
            <w:pStyle w:val="23"/>
            <w:tabs>
              <w:tab w:val="clear" w:pos="1680"/>
            </w:tabs>
            <w:rPr>
              <w:rFonts w:asciiTheme="minorHAnsi" w:eastAsiaTheme="minorEastAsia" w:hAnsiTheme="minorHAnsi" w:cstheme="minorBidi"/>
              <w:noProof/>
              <w:szCs w:val="22"/>
            </w:rPr>
          </w:pPr>
          <w:hyperlink w:anchor="_Toc47384189" w:history="1">
            <w:r w:rsidR="002A3923" w:rsidRPr="00425E2F">
              <w:rPr>
                <w:rStyle w:val="a5"/>
                <w:rFonts w:hint="eastAsia"/>
                <w:noProof/>
              </w:rPr>
              <w:t>第二部分</w:t>
            </w:r>
            <w:r w:rsidR="002A3923">
              <w:rPr>
                <w:rFonts w:asciiTheme="minorHAnsi" w:eastAsiaTheme="minorEastAsia" w:hAnsiTheme="minorHAnsi" w:cstheme="minorBidi"/>
                <w:noProof/>
                <w:szCs w:val="22"/>
              </w:rPr>
              <w:tab/>
            </w:r>
            <w:r w:rsidR="002A3923" w:rsidRPr="00425E2F">
              <w:rPr>
                <w:rStyle w:val="a5"/>
                <w:rFonts w:hint="eastAsia"/>
                <w:noProof/>
              </w:rPr>
              <w:t>释义</w:t>
            </w:r>
            <w:r w:rsidR="000B741F" w:rsidRPr="000B741F">
              <w:rPr>
                <w:rStyle w:val="a5"/>
                <w:noProof/>
              </w:rPr>
              <w:tab/>
            </w:r>
            <w:r w:rsidR="002A3923">
              <w:rPr>
                <w:noProof/>
                <w:webHidden/>
              </w:rPr>
              <w:fldChar w:fldCharType="begin"/>
            </w:r>
            <w:r w:rsidR="002A3923">
              <w:rPr>
                <w:noProof/>
                <w:webHidden/>
              </w:rPr>
              <w:instrText xml:space="preserve"> PAGEREF _Toc47384189 \h </w:instrText>
            </w:r>
            <w:r w:rsidR="002A3923">
              <w:rPr>
                <w:noProof/>
                <w:webHidden/>
              </w:rPr>
            </w:r>
            <w:r w:rsidR="002A3923">
              <w:rPr>
                <w:noProof/>
                <w:webHidden/>
              </w:rPr>
              <w:fldChar w:fldCharType="separate"/>
            </w:r>
            <w:r w:rsidR="00AD1CF9">
              <w:rPr>
                <w:noProof/>
                <w:webHidden/>
              </w:rPr>
              <w:t>5</w:t>
            </w:r>
            <w:r w:rsidR="002A3923">
              <w:rPr>
                <w:noProof/>
                <w:webHidden/>
              </w:rPr>
              <w:fldChar w:fldCharType="end"/>
            </w:r>
          </w:hyperlink>
        </w:p>
        <w:p w14:paraId="5AB3D117" w14:textId="26075FA8" w:rsidR="002A3923" w:rsidRDefault="00002F83">
          <w:pPr>
            <w:pStyle w:val="23"/>
            <w:rPr>
              <w:rFonts w:asciiTheme="minorHAnsi" w:eastAsiaTheme="minorEastAsia" w:hAnsiTheme="minorHAnsi" w:cstheme="minorBidi"/>
              <w:noProof/>
              <w:szCs w:val="22"/>
            </w:rPr>
          </w:pPr>
          <w:hyperlink w:anchor="_Toc47384190" w:history="1">
            <w:r w:rsidR="002A3923" w:rsidRPr="00425E2F">
              <w:rPr>
                <w:rStyle w:val="a5"/>
                <w:rFonts w:hint="eastAsia"/>
                <w:noProof/>
              </w:rPr>
              <w:t>第三部分</w:t>
            </w:r>
            <w:r w:rsidR="002A3923">
              <w:rPr>
                <w:rFonts w:asciiTheme="minorHAnsi" w:eastAsiaTheme="minorEastAsia" w:hAnsiTheme="minorHAnsi" w:cstheme="minorBidi"/>
                <w:noProof/>
                <w:szCs w:val="22"/>
              </w:rPr>
              <w:tab/>
            </w:r>
            <w:r w:rsidR="002A3923" w:rsidRPr="00425E2F">
              <w:rPr>
                <w:rStyle w:val="a5"/>
                <w:rFonts w:hint="eastAsia"/>
                <w:noProof/>
              </w:rPr>
              <w:t>基金管理人</w:t>
            </w:r>
            <w:r w:rsidR="002A3923">
              <w:rPr>
                <w:noProof/>
                <w:webHidden/>
              </w:rPr>
              <w:tab/>
            </w:r>
            <w:r w:rsidR="002A3923">
              <w:rPr>
                <w:noProof/>
                <w:webHidden/>
              </w:rPr>
              <w:fldChar w:fldCharType="begin"/>
            </w:r>
            <w:r w:rsidR="002A3923">
              <w:rPr>
                <w:noProof/>
                <w:webHidden/>
              </w:rPr>
              <w:instrText xml:space="preserve"> PAGEREF _Toc47384190 \h </w:instrText>
            </w:r>
            <w:r w:rsidR="002A3923">
              <w:rPr>
                <w:noProof/>
                <w:webHidden/>
              </w:rPr>
            </w:r>
            <w:r w:rsidR="002A3923">
              <w:rPr>
                <w:noProof/>
                <w:webHidden/>
              </w:rPr>
              <w:fldChar w:fldCharType="separate"/>
            </w:r>
            <w:r w:rsidR="00AD1CF9">
              <w:rPr>
                <w:noProof/>
                <w:webHidden/>
              </w:rPr>
              <w:t>10</w:t>
            </w:r>
            <w:r w:rsidR="002A3923">
              <w:rPr>
                <w:noProof/>
                <w:webHidden/>
              </w:rPr>
              <w:fldChar w:fldCharType="end"/>
            </w:r>
          </w:hyperlink>
        </w:p>
        <w:p w14:paraId="3F6952F8" w14:textId="5EB1F3EA" w:rsidR="002A3923" w:rsidRDefault="00002F83">
          <w:pPr>
            <w:pStyle w:val="23"/>
            <w:rPr>
              <w:rFonts w:asciiTheme="minorHAnsi" w:eastAsiaTheme="minorEastAsia" w:hAnsiTheme="minorHAnsi" w:cstheme="minorBidi"/>
              <w:noProof/>
              <w:szCs w:val="22"/>
            </w:rPr>
          </w:pPr>
          <w:hyperlink w:anchor="_Toc47384191" w:history="1">
            <w:r w:rsidR="002A3923" w:rsidRPr="00425E2F">
              <w:rPr>
                <w:rStyle w:val="a5"/>
                <w:rFonts w:hint="eastAsia"/>
                <w:noProof/>
              </w:rPr>
              <w:t>第四部分</w:t>
            </w:r>
            <w:r w:rsidR="002A3923">
              <w:rPr>
                <w:rFonts w:asciiTheme="minorHAnsi" w:eastAsiaTheme="minorEastAsia" w:hAnsiTheme="minorHAnsi" w:cstheme="minorBidi"/>
                <w:noProof/>
                <w:szCs w:val="22"/>
              </w:rPr>
              <w:tab/>
            </w:r>
            <w:r w:rsidR="002A3923" w:rsidRPr="00425E2F">
              <w:rPr>
                <w:rStyle w:val="a5"/>
                <w:rFonts w:hint="eastAsia"/>
                <w:noProof/>
              </w:rPr>
              <w:t>基金托管人</w:t>
            </w:r>
            <w:r w:rsidR="002A3923">
              <w:rPr>
                <w:noProof/>
                <w:webHidden/>
              </w:rPr>
              <w:tab/>
            </w:r>
            <w:r w:rsidR="002A3923">
              <w:rPr>
                <w:noProof/>
                <w:webHidden/>
              </w:rPr>
              <w:fldChar w:fldCharType="begin"/>
            </w:r>
            <w:r w:rsidR="002A3923">
              <w:rPr>
                <w:noProof/>
                <w:webHidden/>
              </w:rPr>
              <w:instrText xml:space="preserve"> PAGEREF _Toc47384191 \h </w:instrText>
            </w:r>
            <w:r w:rsidR="002A3923">
              <w:rPr>
                <w:noProof/>
                <w:webHidden/>
              </w:rPr>
            </w:r>
            <w:r w:rsidR="002A3923">
              <w:rPr>
                <w:noProof/>
                <w:webHidden/>
              </w:rPr>
              <w:fldChar w:fldCharType="separate"/>
            </w:r>
            <w:r w:rsidR="00AD1CF9">
              <w:rPr>
                <w:noProof/>
                <w:webHidden/>
              </w:rPr>
              <w:t>18</w:t>
            </w:r>
            <w:r w:rsidR="002A3923">
              <w:rPr>
                <w:noProof/>
                <w:webHidden/>
              </w:rPr>
              <w:fldChar w:fldCharType="end"/>
            </w:r>
          </w:hyperlink>
        </w:p>
        <w:p w14:paraId="46A0D859" w14:textId="6D025748" w:rsidR="002A3923" w:rsidRDefault="00002F83">
          <w:pPr>
            <w:pStyle w:val="23"/>
            <w:rPr>
              <w:rFonts w:asciiTheme="minorHAnsi" w:eastAsiaTheme="minorEastAsia" w:hAnsiTheme="minorHAnsi" w:cstheme="minorBidi"/>
              <w:noProof/>
              <w:szCs w:val="22"/>
            </w:rPr>
          </w:pPr>
          <w:hyperlink w:anchor="_Toc47384192" w:history="1">
            <w:r w:rsidR="002A3923" w:rsidRPr="00425E2F">
              <w:rPr>
                <w:rStyle w:val="a5"/>
                <w:rFonts w:hint="eastAsia"/>
                <w:noProof/>
              </w:rPr>
              <w:t>第五部分</w:t>
            </w:r>
            <w:r w:rsidR="002A3923">
              <w:rPr>
                <w:rFonts w:asciiTheme="minorHAnsi" w:eastAsiaTheme="minorEastAsia" w:hAnsiTheme="minorHAnsi" w:cstheme="minorBidi"/>
                <w:noProof/>
                <w:szCs w:val="22"/>
              </w:rPr>
              <w:tab/>
            </w:r>
            <w:r w:rsidR="002A3923" w:rsidRPr="00425E2F">
              <w:rPr>
                <w:rStyle w:val="a5"/>
                <w:rFonts w:hint="eastAsia"/>
                <w:noProof/>
              </w:rPr>
              <w:t>相关服务机构</w:t>
            </w:r>
            <w:r w:rsidR="002A3923">
              <w:rPr>
                <w:noProof/>
                <w:webHidden/>
              </w:rPr>
              <w:tab/>
            </w:r>
            <w:r w:rsidR="002A3923">
              <w:rPr>
                <w:noProof/>
                <w:webHidden/>
              </w:rPr>
              <w:fldChar w:fldCharType="begin"/>
            </w:r>
            <w:r w:rsidR="002A3923">
              <w:rPr>
                <w:noProof/>
                <w:webHidden/>
              </w:rPr>
              <w:instrText xml:space="preserve"> PAGEREF _Toc47384192 \h </w:instrText>
            </w:r>
            <w:r w:rsidR="002A3923">
              <w:rPr>
                <w:noProof/>
                <w:webHidden/>
              </w:rPr>
            </w:r>
            <w:r w:rsidR="002A3923">
              <w:rPr>
                <w:noProof/>
                <w:webHidden/>
              </w:rPr>
              <w:fldChar w:fldCharType="separate"/>
            </w:r>
            <w:r w:rsidR="00AD1CF9">
              <w:rPr>
                <w:noProof/>
                <w:webHidden/>
              </w:rPr>
              <w:t>21</w:t>
            </w:r>
            <w:r w:rsidR="002A3923">
              <w:rPr>
                <w:noProof/>
                <w:webHidden/>
              </w:rPr>
              <w:fldChar w:fldCharType="end"/>
            </w:r>
          </w:hyperlink>
        </w:p>
        <w:p w14:paraId="2398A986" w14:textId="1CB4EAF5" w:rsidR="002A3923" w:rsidRDefault="00002F83">
          <w:pPr>
            <w:pStyle w:val="23"/>
            <w:rPr>
              <w:rFonts w:asciiTheme="minorHAnsi" w:eastAsiaTheme="minorEastAsia" w:hAnsiTheme="minorHAnsi" w:cstheme="minorBidi"/>
              <w:noProof/>
              <w:szCs w:val="22"/>
            </w:rPr>
          </w:pPr>
          <w:hyperlink w:anchor="_Toc47384193" w:history="1">
            <w:r w:rsidR="002A3923" w:rsidRPr="00425E2F">
              <w:rPr>
                <w:rStyle w:val="a5"/>
                <w:rFonts w:hint="eastAsia"/>
                <w:noProof/>
              </w:rPr>
              <w:t>第六部分</w:t>
            </w:r>
            <w:r w:rsidR="002A3923">
              <w:rPr>
                <w:rFonts w:asciiTheme="minorHAnsi" w:eastAsiaTheme="minorEastAsia" w:hAnsiTheme="minorHAnsi" w:cstheme="minorBidi"/>
                <w:noProof/>
                <w:szCs w:val="22"/>
              </w:rPr>
              <w:tab/>
            </w:r>
            <w:r w:rsidR="002A3923" w:rsidRPr="00425E2F">
              <w:rPr>
                <w:rStyle w:val="a5"/>
                <w:rFonts w:hint="eastAsia"/>
                <w:noProof/>
              </w:rPr>
              <w:t>基</w:t>
            </w:r>
            <w:r w:rsidR="002A3923" w:rsidRPr="00425E2F">
              <w:rPr>
                <w:rStyle w:val="a5"/>
                <w:rFonts w:hint="eastAsia"/>
                <w:noProof/>
              </w:rPr>
              <w:t>金</w:t>
            </w:r>
            <w:r w:rsidR="002A3923" w:rsidRPr="00425E2F">
              <w:rPr>
                <w:rStyle w:val="a5"/>
                <w:rFonts w:hint="eastAsia"/>
                <w:noProof/>
              </w:rPr>
              <w:t>的募集</w:t>
            </w:r>
            <w:r w:rsidR="002A3923">
              <w:rPr>
                <w:noProof/>
                <w:webHidden/>
              </w:rPr>
              <w:tab/>
            </w:r>
            <w:r w:rsidR="002A3923">
              <w:rPr>
                <w:noProof/>
                <w:webHidden/>
              </w:rPr>
              <w:fldChar w:fldCharType="begin"/>
            </w:r>
            <w:r w:rsidR="002A3923">
              <w:rPr>
                <w:noProof/>
                <w:webHidden/>
              </w:rPr>
              <w:instrText xml:space="preserve"> PAGEREF _Toc47384193 \h </w:instrText>
            </w:r>
            <w:r w:rsidR="002A3923">
              <w:rPr>
                <w:noProof/>
                <w:webHidden/>
              </w:rPr>
            </w:r>
            <w:r w:rsidR="002A3923">
              <w:rPr>
                <w:noProof/>
                <w:webHidden/>
              </w:rPr>
              <w:fldChar w:fldCharType="separate"/>
            </w:r>
            <w:r w:rsidR="00AD1CF9">
              <w:rPr>
                <w:noProof/>
                <w:webHidden/>
              </w:rPr>
              <w:t>22</w:t>
            </w:r>
            <w:r w:rsidR="002A3923">
              <w:rPr>
                <w:noProof/>
                <w:webHidden/>
              </w:rPr>
              <w:fldChar w:fldCharType="end"/>
            </w:r>
          </w:hyperlink>
        </w:p>
        <w:p w14:paraId="32AC2F54" w14:textId="3BBB0CFF" w:rsidR="002A3923" w:rsidRDefault="00002F83">
          <w:pPr>
            <w:pStyle w:val="23"/>
            <w:rPr>
              <w:rFonts w:asciiTheme="minorHAnsi" w:eastAsiaTheme="minorEastAsia" w:hAnsiTheme="minorHAnsi" w:cstheme="minorBidi"/>
              <w:noProof/>
              <w:szCs w:val="22"/>
            </w:rPr>
          </w:pPr>
          <w:hyperlink w:anchor="_Toc47384194" w:history="1">
            <w:r w:rsidR="002A3923" w:rsidRPr="00425E2F">
              <w:rPr>
                <w:rStyle w:val="a5"/>
                <w:rFonts w:hint="eastAsia"/>
                <w:noProof/>
              </w:rPr>
              <w:t>第七部分</w:t>
            </w:r>
            <w:r w:rsidR="002A3923">
              <w:rPr>
                <w:rFonts w:asciiTheme="minorHAnsi" w:eastAsiaTheme="minorEastAsia" w:hAnsiTheme="minorHAnsi" w:cstheme="minorBidi"/>
                <w:noProof/>
                <w:szCs w:val="22"/>
              </w:rPr>
              <w:tab/>
            </w:r>
            <w:r w:rsidR="002A3923" w:rsidRPr="00425E2F">
              <w:rPr>
                <w:rStyle w:val="a5"/>
                <w:rFonts w:hint="eastAsia"/>
                <w:noProof/>
              </w:rPr>
              <w:t>基金合同的生效</w:t>
            </w:r>
            <w:r w:rsidR="002A3923">
              <w:rPr>
                <w:noProof/>
                <w:webHidden/>
              </w:rPr>
              <w:tab/>
            </w:r>
            <w:r w:rsidR="002A3923">
              <w:rPr>
                <w:noProof/>
                <w:webHidden/>
              </w:rPr>
              <w:fldChar w:fldCharType="begin"/>
            </w:r>
            <w:r w:rsidR="002A3923">
              <w:rPr>
                <w:noProof/>
                <w:webHidden/>
              </w:rPr>
              <w:instrText xml:space="preserve"> PAGEREF _Toc47384194 \h </w:instrText>
            </w:r>
            <w:r w:rsidR="002A3923">
              <w:rPr>
                <w:noProof/>
                <w:webHidden/>
              </w:rPr>
            </w:r>
            <w:r w:rsidR="002A3923">
              <w:rPr>
                <w:noProof/>
                <w:webHidden/>
              </w:rPr>
              <w:fldChar w:fldCharType="separate"/>
            </w:r>
            <w:r w:rsidR="00AD1CF9">
              <w:rPr>
                <w:noProof/>
                <w:webHidden/>
              </w:rPr>
              <w:t>24</w:t>
            </w:r>
            <w:r w:rsidR="002A3923">
              <w:rPr>
                <w:noProof/>
                <w:webHidden/>
              </w:rPr>
              <w:fldChar w:fldCharType="end"/>
            </w:r>
          </w:hyperlink>
        </w:p>
        <w:p w14:paraId="12A08575" w14:textId="0A102446" w:rsidR="002A3923" w:rsidRDefault="00002F83">
          <w:pPr>
            <w:pStyle w:val="23"/>
            <w:rPr>
              <w:rFonts w:asciiTheme="minorHAnsi" w:eastAsiaTheme="minorEastAsia" w:hAnsiTheme="minorHAnsi" w:cstheme="minorBidi"/>
              <w:noProof/>
              <w:szCs w:val="22"/>
            </w:rPr>
          </w:pPr>
          <w:hyperlink w:anchor="_Toc47384195" w:history="1">
            <w:r w:rsidR="002A3923" w:rsidRPr="00425E2F">
              <w:rPr>
                <w:rStyle w:val="a5"/>
                <w:rFonts w:hint="eastAsia"/>
                <w:noProof/>
              </w:rPr>
              <w:t>第八部分</w:t>
            </w:r>
            <w:r w:rsidR="002A3923">
              <w:rPr>
                <w:rFonts w:asciiTheme="minorHAnsi" w:eastAsiaTheme="minorEastAsia" w:hAnsiTheme="minorHAnsi" w:cstheme="minorBidi"/>
                <w:noProof/>
                <w:szCs w:val="22"/>
              </w:rPr>
              <w:tab/>
            </w:r>
            <w:r w:rsidR="002A3923" w:rsidRPr="00425E2F">
              <w:rPr>
                <w:rStyle w:val="a5"/>
                <w:rFonts w:hint="eastAsia"/>
                <w:noProof/>
              </w:rPr>
              <w:t>基金份额的申购和</w:t>
            </w:r>
            <w:r w:rsidR="002A3923" w:rsidRPr="00425E2F">
              <w:rPr>
                <w:rStyle w:val="a5"/>
                <w:rFonts w:hint="eastAsia"/>
                <w:noProof/>
              </w:rPr>
              <w:t>赎</w:t>
            </w:r>
            <w:r w:rsidR="002A3923" w:rsidRPr="00425E2F">
              <w:rPr>
                <w:rStyle w:val="a5"/>
                <w:rFonts w:hint="eastAsia"/>
                <w:noProof/>
              </w:rPr>
              <w:t>回</w:t>
            </w:r>
            <w:r w:rsidR="002A3923">
              <w:rPr>
                <w:noProof/>
                <w:webHidden/>
              </w:rPr>
              <w:tab/>
            </w:r>
            <w:r w:rsidR="002A3923">
              <w:rPr>
                <w:noProof/>
                <w:webHidden/>
              </w:rPr>
              <w:fldChar w:fldCharType="begin"/>
            </w:r>
            <w:r w:rsidR="002A3923">
              <w:rPr>
                <w:noProof/>
                <w:webHidden/>
              </w:rPr>
              <w:instrText xml:space="preserve"> PAGEREF _Toc47384195 \h </w:instrText>
            </w:r>
            <w:r w:rsidR="002A3923">
              <w:rPr>
                <w:noProof/>
                <w:webHidden/>
              </w:rPr>
            </w:r>
            <w:r w:rsidR="002A3923">
              <w:rPr>
                <w:noProof/>
                <w:webHidden/>
              </w:rPr>
              <w:fldChar w:fldCharType="separate"/>
            </w:r>
            <w:r w:rsidR="00AD1CF9">
              <w:rPr>
                <w:noProof/>
                <w:webHidden/>
              </w:rPr>
              <w:t>25</w:t>
            </w:r>
            <w:r w:rsidR="002A3923">
              <w:rPr>
                <w:noProof/>
                <w:webHidden/>
              </w:rPr>
              <w:fldChar w:fldCharType="end"/>
            </w:r>
          </w:hyperlink>
        </w:p>
        <w:p w14:paraId="332C881C" w14:textId="71EF765B" w:rsidR="002A3923" w:rsidRDefault="00002F83">
          <w:pPr>
            <w:pStyle w:val="23"/>
            <w:rPr>
              <w:rFonts w:asciiTheme="minorHAnsi" w:eastAsiaTheme="minorEastAsia" w:hAnsiTheme="minorHAnsi" w:cstheme="minorBidi"/>
              <w:noProof/>
              <w:szCs w:val="22"/>
            </w:rPr>
          </w:pPr>
          <w:hyperlink w:anchor="_Toc47384196" w:history="1">
            <w:r w:rsidR="002A3923" w:rsidRPr="00425E2F">
              <w:rPr>
                <w:rStyle w:val="a5"/>
                <w:rFonts w:hint="eastAsia"/>
                <w:noProof/>
              </w:rPr>
              <w:t>第九部分</w:t>
            </w:r>
            <w:r w:rsidR="002A3923">
              <w:rPr>
                <w:rFonts w:asciiTheme="minorHAnsi" w:eastAsiaTheme="minorEastAsia" w:hAnsiTheme="minorHAnsi" w:cstheme="minorBidi"/>
                <w:noProof/>
                <w:szCs w:val="22"/>
              </w:rPr>
              <w:tab/>
            </w:r>
            <w:r w:rsidR="002A3923" w:rsidRPr="00425E2F">
              <w:rPr>
                <w:rStyle w:val="a5"/>
                <w:rFonts w:hint="eastAsia"/>
                <w:noProof/>
              </w:rPr>
              <w:t>基金的投资</w:t>
            </w:r>
            <w:r w:rsidR="002A3923">
              <w:rPr>
                <w:noProof/>
                <w:webHidden/>
              </w:rPr>
              <w:tab/>
            </w:r>
            <w:r w:rsidR="002A3923">
              <w:rPr>
                <w:noProof/>
                <w:webHidden/>
              </w:rPr>
              <w:fldChar w:fldCharType="begin"/>
            </w:r>
            <w:r w:rsidR="002A3923">
              <w:rPr>
                <w:noProof/>
                <w:webHidden/>
              </w:rPr>
              <w:instrText xml:space="preserve"> PAGEREF _Toc47384196 \h </w:instrText>
            </w:r>
            <w:r w:rsidR="002A3923">
              <w:rPr>
                <w:noProof/>
                <w:webHidden/>
              </w:rPr>
            </w:r>
            <w:r w:rsidR="002A3923">
              <w:rPr>
                <w:noProof/>
                <w:webHidden/>
              </w:rPr>
              <w:fldChar w:fldCharType="separate"/>
            </w:r>
            <w:r w:rsidR="00AD1CF9">
              <w:rPr>
                <w:noProof/>
                <w:webHidden/>
              </w:rPr>
              <w:t>34</w:t>
            </w:r>
            <w:r w:rsidR="002A3923">
              <w:rPr>
                <w:noProof/>
                <w:webHidden/>
              </w:rPr>
              <w:fldChar w:fldCharType="end"/>
            </w:r>
          </w:hyperlink>
        </w:p>
        <w:p w14:paraId="4E6E7343" w14:textId="1B6D7325" w:rsidR="002A3923" w:rsidRDefault="00002F83">
          <w:pPr>
            <w:pStyle w:val="23"/>
            <w:rPr>
              <w:rFonts w:asciiTheme="minorHAnsi" w:eastAsiaTheme="minorEastAsia" w:hAnsiTheme="minorHAnsi" w:cstheme="minorBidi"/>
              <w:noProof/>
              <w:szCs w:val="22"/>
            </w:rPr>
          </w:pPr>
          <w:hyperlink w:anchor="_Toc47384197" w:history="1">
            <w:r w:rsidR="002A3923" w:rsidRPr="00425E2F">
              <w:rPr>
                <w:rStyle w:val="a5"/>
                <w:rFonts w:hint="eastAsia"/>
                <w:noProof/>
              </w:rPr>
              <w:t>第十部分</w:t>
            </w:r>
            <w:r w:rsidR="002A3923">
              <w:rPr>
                <w:rFonts w:asciiTheme="minorHAnsi" w:eastAsiaTheme="minorEastAsia" w:hAnsiTheme="minorHAnsi" w:cstheme="minorBidi"/>
                <w:noProof/>
                <w:szCs w:val="22"/>
              </w:rPr>
              <w:tab/>
            </w:r>
            <w:r w:rsidR="002A3923" w:rsidRPr="00425E2F">
              <w:rPr>
                <w:rStyle w:val="a5"/>
                <w:rFonts w:hint="eastAsia"/>
                <w:noProof/>
              </w:rPr>
              <w:t>基金的财产</w:t>
            </w:r>
            <w:r w:rsidR="002A3923">
              <w:rPr>
                <w:noProof/>
                <w:webHidden/>
              </w:rPr>
              <w:tab/>
            </w:r>
            <w:r w:rsidR="002A3923">
              <w:rPr>
                <w:noProof/>
                <w:webHidden/>
              </w:rPr>
              <w:fldChar w:fldCharType="begin"/>
            </w:r>
            <w:r w:rsidR="002A3923">
              <w:rPr>
                <w:noProof/>
                <w:webHidden/>
              </w:rPr>
              <w:instrText xml:space="preserve"> PAGEREF _Toc47384197 \h </w:instrText>
            </w:r>
            <w:r w:rsidR="002A3923">
              <w:rPr>
                <w:noProof/>
                <w:webHidden/>
              </w:rPr>
            </w:r>
            <w:r w:rsidR="002A3923">
              <w:rPr>
                <w:noProof/>
                <w:webHidden/>
              </w:rPr>
              <w:fldChar w:fldCharType="separate"/>
            </w:r>
            <w:r w:rsidR="00AD1CF9">
              <w:rPr>
                <w:noProof/>
                <w:webHidden/>
              </w:rPr>
              <w:t>41</w:t>
            </w:r>
            <w:r w:rsidR="002A3923">
              <w:rPr>
                <w:noProof/>
                <w:webHidden/>
              </w:rPr>
              <w:fldChar w:fldCharType="end"/>
            </w:r>
          </w:hyperlink>
        </w:p>
        <w:p w14:paraId="7E48AA0D" w14:textId="4F97A0FF" w:rsidR="002A3923" w:rsidRDefault="00002F83">
          <w:pPr>
            <w:pStyle w:val="23"/>
            <w:rPr>
              <w:rFonts w:asciiTheme="minorHAnsi" w:eastAsiaTheme="minorEastAsia" w:hAnsiTheme="minorHAnsi" w:cstheme="minorBidi"/>
              <w:noProof/>
              <w:szCs w:val="22"/>
            </w:rPr>
          </w:pPr>
          <w:hyperlink w:anchor="_Toc47384198" w:history="1">
            <w:r w:rsidR="002A3923" w:rsidRPr="00425E2F">
              <w:rPr>
                <w:rStyle w:val="a5"/>
                <w:rFonts w:hint="eastAsia"/>
                <w:noProof/>
              </w:rPr>
              <w:t>第十一部分</w:t>
            </w:r>
            <w:r w:rsidR="002A3923">
              <w:rPr>
                <w:rFonts w:asciiTheme="minorHAnsi" w:eastAsiaTheme="minorEastAsia" w:hAnsiTheme="minorHAnsi" w:cstheme="minorBidi"/>
                <w:noProof/>
                <w:szCs w:val="22"/>
              </w:rPr>
              <w:tab/>
            </w:r>
            <w:r w:rsidR="002A3923" w:rsidRPr="00425E2F">
              <w:rPr>
                <w:rStyle w:val="a5"/>
                <w:rFonts w:hint="eastAsia"/>
                <w:noProof/>
              </w:rPr>
              <w:t>基金资产估值</w:t>
            </w:r>
            <w:r w:rsidR="002A3923">
              <w:rPr>
                <w:noProof/>
                <w:webHidden/>
              </w:rPr>
              <w:tab/>
            </w:r>
            <w:r w:rsidR="002A3923">
              <w:rPr>
                <w:noProof/>
                <w:webHidden/>
              </w:rPr>
              <w:fldChar w:fldCharType="begin"/>
            </w:r>
            <w:r w:rsidR="002A3923">
              <w:rPr>
                <w:noProof/>
                <w:webHidden/>
              </w:rPr>
              <w:instrText xml:space="preserve"> PAGEREF _Toc47384198 \h </w:instrText>
            </w:r>
            <w:r w:rsidR="002A3923">
              <w:rPr>
                <w:noProof/>
                <w:webHidden/>
              </w:rPr>
            </w:r>
            <w:r w:rsidR="002A3923">
              <w:rPr>
                <w:noProof/>
                <w:webHidden/>
              </w:rPr>
              <w:fldChar w:fldCharType="separate"/>
            </w:r>
            <w:r w:rsidR="00AD1CF9">
              <w:rPr>
                <w:noProof/>
                <w:webHidden/>
              </w:rPr>
              <w:t>42</w:t>
            </w:r>
            <w:r w:rsidR="002A3923">
              <w:rPr>
                <w:noProof/>
                <w:webHidden/>
              </w:rPr>
              <w:fldChar w:fldCharType="end"/>
            </w:r>
          </w:hyperlink>
        </w:p>
        <w:p w14:paraId="44B0B753" w14:textId="6E7D1F93" w:rsidR="002A3923" w:rsidRDefault="00002F83">
          <w:pPr>
            <w:pStyle w:val="23"/>
            <w:rPr>
              <w:rFonts w:asciiTheme="minorHAnsi" w:eastAsiaTheme="minorEastAsia" w:hAnsiTheme="minorHAnsi" w:cstheme="minorBidi"/>
              <w:noProof/>
              <w:szCs w:val="22"/>
            </w:rPr>
          </w:pPr>
          <w:hyperlink w:anchor="_Toc47384199" w:history="1">
            <w:r w:rsidR="002A3923" w:rsidRPr="00425E2F">
              <w:rPr>
                <w:rStyle w:val="a5"/>
                <w:rFonts w:hint="eastAsia"/>
                <w:noProof/>
              </w:rPr>
              <w:t>第十二部分</w:t>
            </w:r>
            <w:r w:rsidR="002A3923">
              <w:rPr>
                <w:rFonts w:asciiTheme="minorHAnsi" w:eastAsiaTheme="minorEastAsia" w:hAnsiTheme="minorHAnsi" w:cstheme="minorBidi"/>
                <w:noProof/>
                <w:szCs w:val="22"/>
              </w:rPr>
              <w:tab/>
            </w:r>
            <w:r w:rsidR="002A3923" w:rsidRPr="00425E2F">
              <w:rPr>
                <w:rStyle w:val="a5"/>
                <w:rFonts w:hint="eastAsia"/>
                <w:noProof/>
              </w:rPr>
              <w:t>基金的收益与分配</w:t>
            </w:r>
            <w:r w:rsidR="002A3923">
              <w:rPr>
                <w:noProof/>
                <w:webHidden/>
              </w:rPr>
              <w:tab/>
            </w:r>
            <w:r w:rsidR="002A3923">
              <w:rPr>
                <w:noProof/>
                <w:webHidden/>
              </w:rPr>
              <w:fldChar w:fldCharType="begin"/>
            </w:r>
            <w:r w:rsidR="002A3923">
              <w:rPr>
                <w:noProof/>
                <w:webHidden/>
              </w:rPr>
              <w:instrText xml:space="preserve"> PAGEREF _Toc47384199 \h </w:instrText>
            </w:r>
            <w:r w:rsidR="002A3923">
              <w:rPr>
                <w:noProof/>
                <w:webHidden/>
              </w:rPr>
            </w:r>
            <w:r w:rsidR="002A3923">
              <w:rPr>
                <w:noProof/>
                <w:webHidden/>
              </w:rPr>
              <w:fldChar w:fldCharType="separate"/>
            </w:r>
            <w:r w:rsidR="00AD1CF9">
              <w:rPr>
                <w:noProof/>
                <w:webHidden/>
              </w:rPr>
              <w:t>48</w:t>
            </w:r>
            <w:r w:rsidR="002A3923">
              <w:rPr>
                <w:noProof/>
                <w:webHidden/>
              </w:rPr>
              <w:fldChar w:fldCharType="end"/>
            </w:r>
          </w:hyperlink>
        </w:p>
        <w:p w14:paraId="4A75B5B5" w14:textId="635E1701" w:rsidR="002A3923" w:rsidRDefault="00002F83">
          <w:pPr>
            <w:pStyle w:val="23"/>
            <w:rPr>
              <w:rFonts w:asciiTheme="minorHAnsi" w:eastAsiaTheme="minorEastAsia" w:hAnsiTheme="minorHAnsi" w:cstheme="minorBidi"/>
              <w:noProof/>
              <w:szCs w:val="22"/>
            </w:rPr>
          </w:pPr>
          <w:hyperlink w:anchor="_Toc47384200" w:history="1">
            <w:r w:rsidR="002A3923" w:rsidRPr="00425E2F">
              <w:rPr>
                <w:rStyle w:val="a5"/>
                <w:rFonts w:hint="eastAsia"/>
                <w:noProof/>
              </w:rPr>
              <w:t>第十三部分</w:t>
            </w:r>
            <w:r w:rsidR="002A3923">
              <w:rPr>
                <w:rFonts w:asciiTheme="minorHAnsi" w:eastAsiaTheme="minorEastAsia" w:hAnsiTheme="minorHAnsi" w:cstheme="minorBidi"/>
                <w:noProof/>
                <w:szCs w:val="22"/>
              </w:rPr>
              <w:tab/>
            </w:r>
            <w:r w:rsidR="002A3923" w:rsidRPr="00425E2F">
              <w:rPr>
                <w:rStyle w:val="a5"/>
                <w:rFonts w:hint="eastAsia"/>
                <w:noProof/>
              </w:rPr>
              <w:t>基金的费用与税收</w:t>
            </w:r>
            <w:r w:rsidR="002A3923">
              <w:rPr>
                <w:noProof/>
                <w:webHidden/>
              </w:rPr>
              <w:tab/>
            </w:r>
            <w:r w:rsidR="002A3923">
              <w:rPr>
                <w:noProof/>
                <w:webHidden/>
              </w:rPr>
              <w:fldChar w:fldCharType="begin"/>
            </w:r>
            <w:r w:rsidR="002A3923">
              <w:rPr>
                <w:noProof/>
                <w:webHidden/>
              </w:rPr>
              <w:instrText xml:space="preserve"> PAGEREF _Toc47384200 \h </w:instrText>
            </w:r>
            <w:r w:rsidR="002A3923">
              <w:rPr>
                <w:noProof/>
                <w:webHidden/>
              </w:rPr>
            </w:r>
            <w:r w:rsidR="002A3923">
              <w:rPr>
                <w:noProof/>
                <w:webHidden/>
              </w:rPr>
              <w:fldChar w:fldCharType="separate"/>
            </w:r>
            <w:r w:rsidR="00AD1CF9">
              <w:rPr>
                <w:noProof/>
                <w:webHidden/>
              </w:rPr>
              <w:t>50</w:t>
            </w:r>
            <w:r w:rsidR="002A3923">
              <w:rPr>
                <w:noProof/>
                <w:webHidden/>
              </w:rPr>
              <w:fldChar w:fldCharType="end"/>
            </w:r>
          </w:hyperlink>
        </w:p>
        <w:p w14:paraId="20C8B054" w14:textId="4FE89147" w:rsidR="002A3923" w:rsidRDefault="00002F83">
          <w:pPr>
            <w:pStyle w:val="23"/>
            <w:rPr>
              <w:rFonts w:asciiTheme="minorHAnsi" w:eastAsiaTheme="minorEastAsia" w:hAnsiTheme="minorHAnsi" w:cstheme="minorBidi"/>
              <w:noProof/>
              <w:szCs w:val="22"/>
            </w:rPr>
          </w:pPr>
          <w:hyperlink w:anchor="_Toc47384201" w:history="1">
            <w:r w:rsidR="002A3923" w:rsidRPr="00425E2F">
              <w:rPr>
                <w:rStyle w:val="a5"/>
                <w:rFonts w:hint="eastAsia"/>
                <w:noProof/>
              </w:rPr>
              <w:t>第十四部分</w:t>
            </w:r>
            <w:r w:rsidR="002A3923">
              <w:rPr>
                <w:rFonts w:asciiTheme="minorHAnsi" w:eastAsiaTheme="minorEastAsia" w:hAnsiTheme="minorHAnsi" w:cstheme="minorBidi"/>
                <w:noProof/>
                <w:szCs w:val="22"/>
              </w:rPr>
              <w:tab/>
            </w:r>
            <w:r w:rsidR="002A3923" w:rsidRPr="00425E2F">
              <w:rPr>
                <w:rStyle w:val="a5"/>
                <w:rFonts w:hint="eastAsia"/>
                <w:noProof/>
              </w:rPr>
              <w:t>基金的会计与审计</w:t>
            </w:r>
            <w:r w:rsidR="002A3923">
              <w:rPr>
                <w:noProof/>
                <w:webHidden/>
              </w:rPr>
              <w:tab/>
            </w:r>
            <w:r w:rsidR="002A3923">
              <w:rPr>
                <w:noProof/>
                <w:webHidden/>
              </w:rPr>
              <w:fldChar w:fldCharType="begin"/>
            </w:r>
            <w:r w:rsidR="002A3923">
              <w:rPr>
                <w:noProof/>
                <w:webHidden/>
              </w:rPr>
              <w:instrText xml:space="preserve"> PAGEREF _Toc47384201 \h </w:instrText>
            </w:r>
            <w:r w:rsidR="002A3923">
              <w:rPr>
                <w:noProof/>
                <w:webHidden/>
              </w:rPr>
            </w:r>
            <w:r w:rsidR="002A3923">
              <w:rPr>
                <w:noProof/>
                <w:webHidden/>
              </w:rPr>
              <w:fldChar w:fldCharType="separate"/>
            </w:r>
            <w:r w:rsidR="00AD1CF9">
              <w:rPr>
                <w:noProof/>
                <w:webHidden/>
              </w:rPr>
              <w:t>53</w:t>
            </w:r>
            <w:r w:rsidR="002A3923">
              <w:rPr>
                <w:noProof/>
                <w:webHidden/>
              </w:rPr>
              <w:fldChar w:fldCharType="end"/>
            </w:r>
          </w:hyperlink>
        </w:p>
        <w:p w14:paraId="4E215C9C" w14:textId="073041D6" w:rsidR="002A3923" w:rsidRDefault="00002F83">
          <w:pPr>
            <w:pStyle w:val="23"/>
            <w:rPr>
              <w:rFonts w:asciiTheme="minorHAnsi" w:eastAsiaTheme="minorEastAsia" w:hAnsiTheme="minorHAnsi" w:cstheme="minorBidi"/>
              <w:noProof/>
              <w:szCs w:val="22"/>
            </w:rPr>
          </w:pPr>
          <w:hyperlink w:anchor="_Toc47384202" w:history="1">
            <w:r w:rsidR="002A3923" w:rsidRPr="00425E2F">
              <w:rPr>
                <w:rStyle w:val="a5"/>
                <w:rFonts w:hint="eastAsia"/>
                <w:noProof/>
              </w:rPr>
              <w:t>第十五部分</w:t>
            </w:r>
            <w:r w:rsidR="002A3923">
              <w:rPr>
                <w:rFonts w:asciiTheme="minorHAnsi" w:eastAsiaTheme="minorEastAsia" w:hAnsiTheme="minorHAnsi" w:cstheme="minorBidi"/>
                <w:noProof/>
                <w:szCs w:val="22"/>
              </w:rPr>
              <w:tab/>
            </w:r>
            <w:r w:rsidR="002A3923" w:rsidRPr="00425E2F">
              <w:rPr>
                <w:rStyle w:val="a5"/>
                <w:rFonts w:hint="eastAsia"/>
                <w:noProof/>
              </w:rPr>
              <w:t>基金的信息披露</w:t>
            </w:r>
            <w:r w:rsidR="002A3923">
              <w:rPr>
                <w:noProof/>
                <w:webHidden/>
              </w:rPr>
              <w:tab/>
            </w:r>
            <w:r w:rsidR="002A3923">
              <w:rPr>
                <w:noProof/>
                <w:webHidden/>
              </w:rPr>
              <w:fldChar w:fldCharType="begin"/>
            </w:r>
            <w:r w:rsidR="002A3923">
              <w:rPr>
                <w:noProof/>
                <w:webHidden/>
              </w:rPr>
              <w:instrText xml:space="preserve"> PAGEREF _Toc47384202 \h </w:instrText>
            </w:r>
            <w:r w:rsidR="002A3923">
              <w:rPr>
                <w:noProof/>
                <w:webHidden/>
              </w:rPr>
            </w:r>
            <w:r w:rsidR="002A3923">
              <w:rPr>
                <w:noProof/>
                <w:webHidden/>
              </w:rPr>
              <w:fldChar w:fldCharType="separate"/>
            </w:r>
            <w:r w:rsidR="00AD1CF9">
              <w:rPr>
                <w:noProof/>
                <w:webHidden/>
              </w:rPr>
              <w:t>54</w:t>
            </w:r>
            <w:r w:rsidR="002A3923">
              <w:rPr>
                <w:noProof/>
                <w:webHidden/>
              </w:rPr>
              <w:fldChar w:fldCharType="end"/>
            </w:r>
          </w:hyperlink>
        </w:p>
        <w:p w14:paraId="70EA9B32" w14:textId="3CA3D6A0" w:rsidR="002A3923" w:rsidRDefault="00002F83">
          <w:pPr>
            <w:pStyle w:val="23"/>
            <w:rPr>
              <w:rFonts w:asciiTheme="minorHAnsi" w:eastAsiaTheme="minorEastAsia" w:hAnsiTheme="minorHAnsi" w:cstheme="minorBidi"/>
              <w:noProof/>
              <w:szCs w:val="22"/>
            </w:rPr>
          </w:pPr>
          <w:hyperlink w:anchor="_Toc47384203" w:history="1">
            <w:r w:rsidR="002A3923" w:rsidRPr="00425E2F">
              <w:rPr>
                <w:rStyle w:val="a5"/>
                <w:rFonts w:hint="eastAsia"/>
                <w:noProof/>
              </w:rPr>
              <w:t>第十六部分</w:t>
            </w:r>
            <w:r w:rsidR="002A3923">
              <w:rPr>
                <w:rFonts w:asciiTheme="minorHAnsi" w:eastAsiaTheme="minorEastAsia" w:hAnsiTheme="minorHAnsi" w:cstheme="minorBidi"/>
                <w:noProof/>
                <w:szCs w:val="22"/>
              </w:rPr>
              <w:tab/>
            </w:r>
            <w:r w:rsidR="002A3923" w:rsidRPr="00425E2F">
              <w:rPr>
                <w:rStyle w:val="a5"/>
                <w:rFonts w:hint="eastAsia"/>
                <w:noProof/>
              </w:rPr>
              <w:t>侧袋机制</w:t>
            </w:r>
            <w:r w:rsidR="002A3923">
              <w:rPr>
                <w:noProof/>
                <w:webHidden/>
              </w:rPr>
              <w:tab/>
            </w:r>
            <w:r w:rsidR="002A3923">
              <w:rPr>
                <w:noProof/>
                <w:webHidden/>
              </w:rPr>
              <w:fldChar w:fldCharType="begin"/>
            </w:r>
            <w:r w:rsidR="002A3923">
              <w:rPr>
                <w:noProof/>
                <w:webHidden/>
              </w:rPr>
              <w:instrText xml:space="preserve"> PAGEREF _Toc47384203 \h </w:instrText>
            </w:r>
            <w:r w:rsidR="002A3923">
              <w:rPr>
                <w:noProof/>
                <w:webHidden/>
              </w:rPr>
            </w:r>
            <w:r w:rsidR="002A3923">
              <w:rPr>
                <w:noProof/>
                <w:webHidden/>
              </w:rPr>
              <w:fldChar w:fldCharType="separate"/>
            </w:r>
            <w:r w:rsidR="00AD1CF9">
              <w:rPr>
                <w:noProof/>
                <w:webHidden/>
              </w:rPr>
              <w:t>61</w:t>
            </w:r>
            <w:r w:rsidR="002A3923">
              <w:rPr>
                <w:noProof/>
                <w:webHidden/>
              </w:rPr>
              <w:fldChar w:fldCharType="end"/>
            </w:r>
          </w:hyperlink>
        </w:p>
        <w:p w14:paraId="7350B4C9" w14:textId="690688BC" w:rsidR="002A3923" w:rsidRDefault="00002F83">
          <w:pPr>
            <w:pStyle w:val="23"/>
            <w:rPr>
              <w:rFonts w:asciiTheme="minorHAnsi" w:eastAsiaTheme="minorEastAsia" w:hAnsiTheme="minorHAnsi" w:cstheme="minorBidi"/>
              <w:noProof/>
              <w:szCs w:val="22"/>
            </w:rPr>
          </w:pPr>
          <w:hyperlink w:anchor="_Toc47384204" w:history="1">
            <w:r w:rsidR="002A3923" w:rsidRPr="00425E2F">
              <w:rPr>
                <w:rStyle w:val="a5"/>
                <w:rFonts w:hint="eastAsia"/>
                <w:noProof/>
              </w:rPr>
              <w:t>第十七部分</w:t>
            </w:r>
            <w:r w:rsidR="002A3923">
              <w:rPr>
                <w:rFonts w:asciiTheme="minorHAnsi" w:eastAsiaTheme="minorEastAsia" w:hAnsiTheme="minorHAnsi" w:cstheme="minorBidi"/>
                <w:noProof/>
                <w:szCs w:val="22"/>
              </w:rPr>
              <w:tab/>
            </w:r>
            <w:r w:rsidR="002A3923" w:rsidRPr="00425E2F">
              <w:rPr>
                <w:rStyle w:val="a5"/>
                <w:rFonts w:hint="eastAsia"/>
                <w:noProof/>
              </w:rPr>
              <w:t>风险揭示</w:t>
            </w:r>
            <w:r w:rsidR="002A3923">
              <w:rPr>
                <w:noProof/>
                <w:webHidden/>
              </w:rPr>
              <w:tab/>
            </w:r>
            <w:r w:rsidR="002A3923">
              <w:rPr>
                <w:noProof/>
                <w:webHidden/>
              </w:rPr>
              <w:fldChar w:fldCharType="begin"/>
            </w:r>
            <w:r w:rsidR="002A3923">
              <w:rPr>
                <w:noProof/>
                <w:webHidden/>
              </w:rPr>
              <w:instrText xml:space="preserve"> PAGEREF _Toc47384204 \h </w:instrText>
            </w:r>
            <w:r w:rsidR="002A3923">
              <w:rPr>
                <w:noProof/>
                <w:webHidden/>
              </w:rPr>
            </w:r>
            <w:r w:rsidR="002A3923">
              <w:rPr>
                <w:noProof/>
                <w:webHidden/>
              </w:rPr>
              <w:fldChar w:fldCharType="separate"/>
            </w:r>
            <w:r w:rsidR="00AD1CF9">
              <w:rPr>
                <w:noProof/>
                <w:webHidden/>
              </w:rPr>
              <w:t>64</w:t>
            </w:r>
            <w:r w:rsidR="002A3923">
              <w:rPr>
                <w:noProof/>
                <w:webHidden/>
              </w:rPr>
              <w:fldChar w:fldCharType="end"/>
            </w:r>
          </w:hyperlink>
        </w:p>
        <w:p w14:paraId="7A348B50" w14:textId="0C3FE572" w:rsidR="002A3923" w:rsidRDefault="00002F83">
          <w:pPr>
            <w:pStyle w:val="23"/>
            <w:rPr>
              <w:rFonts w:asciiTheme="minorHAnsi" w:eastAsiaTheme="minorEastAsia" w:hAnsiTheme="minorHAnsi" w:cstheme="minorBidi"/>
              <w:noProof/>
              <w:szCs w:val="22"/>
            </w:rPr>
          </w:pPr>
          <w:hyperlink w:anchor="_Toc47384205" w:history="1">
            <w:r w:rsidR="002A3923" w:rsidRPr="00425E2F">
              <w:rPr>
                <w:rStyle w:val="a5"/>
                <w:rFonts w:hint="eastAsia"/>
                <w:noProof/>
              </w:rPr>
              <w:t>第十八部分</w:t>
            </w:r>
            <w:r w:rsidR="002A3923">
              <w:rPr>
                <w:rFonts w:asciiTheme="minorHAnsi" w:eastAsiaTheme="minorEastAsia" w:hAnsiTheme="minorHAnsi" w:cstheme="minorBidi"/>
                <w:noProof/>
                <w:szCs w:val="22"/>
              </w:rPr>
              <w:tab/>
            </w:r>
            <w:r w:rsidR="002A3923" w:rsidRPr="00425E2F">
              <w:rPr>
                <w:rStyle w:val="a5"/>
                <w:rFonts w:hint="eastAsia"/>
                <w:noProof/>
              </w:rPr>
              <w:t>基金合同的变更、终止和基金财产的清算</w:t>
            </w:r>
            <w:r w:rsidR="002A3923">
              <w:rPr>
                <w:noProof/>
                <w:webHidden/>
              </w:rPr>
              <w:tab/>
            </w:r>
            <w:r w:rsidR="002A3923">
              <w:rPr>
                <w:noProof/>
                <w:webHidden/>
              </w:rPr>
              <w:fldChar w:fldCharType="begin"/>
            </w:r>
            <w:r w:rsidR="002A3923">
              <w:rPr>
                <w:noProof/>
                <w:webHidden/>
              </w:rPr>
              <w:instrText xml:space="preserve"> PAGEREF _Toc47384205 \h </w:instrText>
            </w:r>
            <w:r w:rsidR="002A3923">
              <w:rPr>
                <w:noProof/>
                <w:webHidden/>
              </w:rPr>
            </w:r>
            <w:r w:rsidR="002A3923">
              <w:rPr>
                <w:noProof/>
                <w:webHidden/>
              </w:rPr>
              <w:fldChar w:fldCharType="separate"/>
            </w:r>
            <w:r w:rsidR="00AD1CF9">
              <w:rPr>
                <w:noProof/>
                <w:webHidden/>
              </w:rPr>
              <w:t>72</w:t>
            </w:r>
            <w:r w:rsidR="002A3923">
              <w:rPr>
                <w:noProof/>
                <w:webHidden/>
              </w:rPr>
              <w:fldChar w:fldCharType="end"/>
            </w:r>
          </w:hyperlink>
        </w:p>
        <w:p w14:paraId="4CD1657C" w14:textId="7071903B" w:rsidR="002A3923" w:rsidRDefault="00002F83">
          <w:pPr>
            <w:pStyle w:val="23"/>
            <w:rPr>
              <w:rFonts w:asciiTheme="minorHAnsi" w:eastAsiaTheme="minorEastAsia" w:hAnsiTheme="minorHAnsi" w:cstheme="minorBidi"/>
              <w:noProof/>
              <w:szCs w:val="22"/>
            </w:rPr>
          </w:pPr>
          <w:hyperlink w:anchor="_Toc47384206" w:history="1">
            <w:r w:rsidR="002A3923" w:rsidRPr="00425E2F">
              <w:rPr>
                <w:rStyle w:val="a5"/>
                <w:rFonts w:hint="eastAsia"/>
                <w:noProof/>
              </w:rPr>
              <w:t>第十九部分</w:t>
            </w:r>
            <w:r w:rsidR="002A3923">
              <w:rPr>
                <w:rFonts w:asciiTheme="minorHAnsi" w:eastAsiaTheme="minorEastAsia" w:hAnsiTheme="minorHAnsi" w:cstheme="minorBidi"/>
                <w:noProof/>
                <w:szCs w:val="22"/>
              </w:rPr>
              <w:tab/>
            </w:r>
            <w:r w:rsidR="002A3923" w:rsidRPr="00425E2F">
              <w:rPr>
                <w:rStyle w:val="a5"/>
                <w:rFonts w:hint="eastAsia"/>
                <w:noProof/>
              </w:rPr>
              <w:t>基金合同的内容摘要</w:t>
            </w:r>
            <w:r w:rsidR="002A3923">
              <w:rPr>
                <w:noProof/>
                <w:webHidden/>
              </w:rPr>
              <w:tab/>
            </w:r>
            <w:r w:rsidR="002A3923">
              <w:rPr>
                <w:noProof/>
                <w:webHidden/>
              </w:rPr>
              <w:fldChar w:fldCharType="begin"/>
            </w:r>
            <w:r w:rsidR="002A3923">
              <w:rPr>
                <w:noProof/>
                <w:webHidden/>
              </w:rPr>
              <w:instrText xml:space="preserve"> PAGEREF _Toc47384206 \h </w:instrText>
            </w:r>
            <w:r w:rsidR="002A3923">
              <w:rPr>
                <w:noProof/>
                <w:webHidden/>
              </w:rPr>
            </w:r>
            <w:r w:rsidR="002A3923">
              <w:rPr>
                <w:noProof/>
                <w:webHidden/>
              </w:rPr>
              <w:fldChar w:fldCharType="separate"/>
            </w:r>
            <w:r w:rsidR="00AD1CF9">
              <w:rPr>
                <w:noProof/>
                <w:webHidden/>
              </w:rPr>
              <w:t>74</w:t>
            </w:r>
            <w:r w:rsidR="002A3923">
              <w:rPr>
                <w:noProof/>
                <w:webHidden/>
              </w:rPr>
              <w:fldChar w:fldCharType="end"/>
            </w:r>
          </w:hyperlink>
        </w:p>
        <w:p w14:paraId="182F35C5" w14:textId="0E270E44" w:rsidR="002A3923" w:rsidRDefault="00002F83">
          <w:pPr>
            <w:pStyle w:val="23"/>
            <w:rPr>
              <w:rFonts w:asciiTheme="minorHAnsi" w:eastAsiaTheme="minorEastAsia" w:hAnsiTheme="minorHAnsi" w:cstheme="minorBidi"/>
              <w:noProof/>
              <w:szCs w:val="22"/>
            </w:rPr>
          </w:pPr>
          <w:hyperlink w:anchor="_Toc47384207" w:history="1">
            <w:r w:rsidR="002A3923" w:rsidRPr="00425E2F">
              <w:rPr>
                <w:rStyle w:val="a5"/>
                <w:rFonts w:hint="eastAsia"/>
                <w:noProof/>
              </w:rPr>
              <w:t>第二十部分</w:t>
            </w:r>
            <w:r w:rsidR="002A3923">
              <w:rPr>
                <w:rFonts w:asciiTheme="minorHAnsi" w:eastAsiaTheme="minorEastAsia" w:hAnsiTheme="minorHAnsi" w:cstheme="minorBidi"/>
                <w:noProof/>
                <w:szCs w:val="22"/>
              </w:rPr>
              <w:tab/>
            </w:r>
            <w:r w:rsidR="002A3923" w:rsidRPr="00425E2F">
              <w:rPr>
                <w:rStyle w:val="a5"/>
                <w:rFonts w:hint="eastAsia"/>
                <w:noProof/>
              </w:rPr>
              <w:t>基金托管协议的内容摘要</w:t>
            </w:r>
            <w:bookmarkStart w:id="1" w:name="_GoBack"/>
            <w:bookmarkEnd w:id="1"/>
            <w:r w:rsidR="002A3923">
              <w:rPr>
                <w:noProof/>
                <w:webHidden/>
              </w:rPr>
              <w:tab/>
            </w:r>
            <w:r w:rsidR="002A3923">
              <w:rPr>
                <w:noProof/>
                <w:webHidden/>
              </w:rPr>
              <w:fldChar w:fldCharType="begin"/>
            </w:r>
            <w:r w:rsidR="002A3923">
              <w:rPr>
                <w:noProof/>
                <w:webHidden/>
              </w:rPr>
              <w:instrText xml:space="preserve"> PAGEREF _Toc47384207 \h </w:instrText>
            </w:r>
            <w:r w:rsidR="002A3923">
              <w:rPr>
                <w:noProof/>
                <w:webHidden/>
              </w:rPr>
            </w:r>
            <w:r w:rsidR="002A3923">
              <w:rPr>
                <w:noProof/>
                <w:webHidden/>
              </w:rPr>
              <w:fldChar w:fldCharType="separate"/>
            </w:r>
            <w:r w:rsidR="00AD1CF9">
              <w:rPr>
                <w:noProof/>
                <w:webHidden/>
              </w:rPr>
              <w:t>96</w:t>
            </w:r>
            <w:r w:rsidR="002A3923">
              <w:rPr>
                <w:noProof/>
                <w:webHidden/>
              </w:rPr>
              <w:fldChar w:fldCharType="end"/>
            </w:r>
          </w:hyperlink>
        </w:p>
        <w:p w14:paraId="662E735F" w14:textId="32245E57" w:rsidR="002A3923" w:rsidRDefault="00002F83">
          <w:pPr>
            <w:pStyle w:val="23"/>
            <w:rPr>
              <w:rFonts w:asciiTheme="minorHAnsi" w:eastAsiaTheme="minorEastAsia" w:hAnsiTheme="minorHAnsi" w:cstheme="minorBidi"/>
              <w:noProof/>
              <w:szCs w:val="22"/>
            </w:rPr>
          </w:pPr>
          <w:hyperlink w:anchor="_Toc47384208" w:history="1">
            <w:r w:rsidR="002A3923" w:rsidRPr="00425E2F">
              <w:rPr>
                <w:rStyle w:val="a5"/>
                <w:rFonts w:hint="eastAsia"/>
                <w:noProof/>
              </w:rPr>
              <w:t>第二十一部分</w:t>
            </w:r>
            <w:r w:rsidR="002A3923">
              <w:rPr>
                <w:rFonts w:asciiTheme="minorHAnsi" w:eastAsiaTheme="minorEastAsia" w:hAnsiTheme="minorHAnsi" w:cstheme="minorBidi"/>
                <w:noProof/>
                <w:szCs w:val="22"/>
              </w:rPr>
              <w:tab/>
            </w:r>
            <w:r w:rsidR="002A3923" w:rsidRPr="00425E2F">
              <w:rPr>
                <w:rStyle w:val="a5"/>
                <w:rFonts w:hint="eastAsia"/>
                <w:noProof/>
              </w:rPr>
              <w:t>基金份额持有</w:t>
            </w:r>
            <w:r w:rsidR="002A3923" w:rsidRPr="00425E2F">
              <w:rPr>
                <w:rStyle w:val="a5"/>
                <w:rFonts w:hint="eastAsia"/>
                <w:noProof/>
              </w:rPr>
              <w:t>人</w:t>
            </w:r>
            <w:r w:rsidR="002A3923" w:rsidRPr="00425E2F">
              <w:rPr>
                <w:rStyle w:val="a5"/>
                <w:rFonts w:hint="eastAsia"/>
                <w:noProof/>
              </w:rPr>
              <w:t>服务</w:t>
            </w:r>
            <w:r w:rsidR="002A3923">
              <w:rPr>
                <w:noProof/>
                <w:webHidden/>
              </w:rPr>
              <w:tab/>
            </w:r>
            <w:r w:rsidR="002A3923">
              <w:rPr>
                <w:noProof/>
                <w:webHidden/>
              </w:rPr>
              <w:fldChar w:fldCharType="begin"/>
            </w:r>
            <w:r w:rsidR="002A3923">
              <w:rPr>
                <w:noProof/>
                <w:webHidden/>
              </w:rPr>
              <w:instrText xml:space="preserve"> PAGEREF _Toc47384208 \h </w:instrText>
            </w:r>
            <w:r w:rsidR="002A3923">
              <w:rPr>
                <w:noProof/>
                <w:webHidden/>
              </w:rPr>
            </w:r>
            <w:r w:rsidR="002A3923">
              <w:rPr>
                <w:noProof/>
                <w:webHidden/>
              </w:rPr>
              <w:fldChar w:fldCharType="separate"/>
            </w:r>
            <w:r w:rsidR="00AD1CF9">
              <w:rPr>
                <w:noProof/>
                <w:webHidden/>
              </w:rPr>
              <w:t>109</w:t>
            </w:r>
            <w:r w:rsidR="002A3923">
              <w:rPr>
                <w:noProof/>
                <w:webHidden/>
              </w:rPr>
              <w:fldChar w:fldCharType="end"/>
            </w:r>
          </w:hyperlink>
        </w:p>
        <w:p w14:paraId="1F0CF52E" w14:textId="4F1A5F0E" w:rsidR="002A3923" w:rsidRDefault="00002F83">
          <w:pPr>
            <w:pStyle w:val="23"/>
            <w:rPr>
              <w:rFonts w:asciiTheme="minorHAnsi" w:eastAsiaTheme="minorEastAsia" w:hAnsiTheme="minorHAnsi" w:cstheme="minorBidi"/>
              <w:noProof/>
              <w:szCs w:val="22"/>
            </w:rPr>
          </w:pPr>
          <w:hyperlink w:anchor="_Toc47384209" w:history="1">
            <w:r w:rsidR="002A3923" w:rsidRPr="00425E2F">
              <w:rPr>
                <w:rStyle w:val="a5"/>
                <w:rFonts w:hint="eastAsia"/>
                <w:noProof/>
              </w:rPr>
              <w:t>第二十二部分</w:t>
            </w:r>
            <w:r w:rsidR="002A3923">
              <w:rPr>
                <w:rFonts w:asciiTheme="minorHAnsi" w:eastAsiaTheme="minorEastAsia" w:hAnsiTheme="minorHAnsi" w:cstheme="minorBidi"/>
                <w:noProof/>
                <w:szCs w:val="22"/>
              </w:rPr>
              <w:tab/>
            </w:r>
            <w:r w:rsidR="002A3923" w:rsidRPr="00425E2F">
              <w:rPr>
                <w:rStyle w:val="a5"/>
                <w:rFonts w:hint="eastAsia"/>
                <w:noProof/>
              </w:rPr>
              <w:t>其他应披露事项</w:t>
            </w:r>
            <w:r w:rsidR="002A3923">
              <w:rPr>
                <w:noProof/>
                <w:webHidden/>
              </w:rPr>
              <w:tab/>
            </w:r>
            <w:r w:rsidR="002A3923">
              <w:rPr>
                <w:noProof/>
                <w:webHidden/>
              </w:rPr>
              <w:fldChar w:fldCharType="begin"/>
            </w:r>
            <w:r w:rsidR="002A3923">
              <w:rPr>
                <w:noProof/>
                <w:webHidden/>
              </w:rPr>
              <w:instrText xml:space="preserve"> PAGEREF _Toc47384209 \h </w:instrText>
            </w:r>
            <w:r w:rsidR="002A3923">
              <w:rPr>
                <w:noProof/>
                <w:webHidden/>
              </w:rPr>
            </w:r>
            <w:r w:rsidR="002A3923">
              <w:rPr>
                <w:noProof/>
                <w:webHidden/>
              </w:rPr>
              <w:fldChar w:fldCharType="separate"/>
            </w:r>
            <w:r w:rsidR="00AD1CF9">
              <w:rPr>
                <w:noProof/>
                <w:webHidden/>
              </w:rPr>
              <w:t>111</w:t>
            </w:r>
            <w:r w:rsidR="002A3923">
              <w:rPr>
                <w:noProof/>
                <w:webHidden/>
              </w:rPr>
              <w:fldChar w:fldCharType="end"/>
            </w:r>
          </w:hyperlink>
        </w:p>
        <w:p w14:paraId="4F26AE3E" w14:textId="21F73444" w:rsidR="002A3923" w:rsidRDefault="00002F83">
          <w:pPr>
            <w:pStyle w:val="23"/>
            <w:rPr>
              <w:rFonts w:asciiTheme="minorHAnsi" w:eastAsiaTheme="minorEastAsia" w:hAnsiTheme="minorHAnsi" w:cstheme="minorBidi"/>
              <w:noProof/>
              <w:szCs w:val="22"/>
            </w:rPr>
          </w:pPr>
          <w:hyperlink w:anchor="_Toc47384210" w:history="1">
            <w:r w:rsidR="002A3923" w:rsidRPr="00425E2F">
              <w:rPr>
                <w:rStyle w:val="a5"/>
                <w:rFonts w:hint="eastAsia"/>
                <w:noProof/>
              </w:rPr>
              <w:t>第二十三部分</w:t>
            </w:r>
            <w:r w:rsidR="002A3923">
              <w:rPr>
                <w:rFonts w:asciiTheme="minorHAnsi" w:eastAsiaTheme="minorEastAsia" w:hAnsiTheme="minorHAnsi" w:cstheme="minorBidi"/>
                <w:noProof/>
                <w:szCs w:val="22"/>
              </w:rPr>
              <w:tab/>
            </w:r>
            <w:r w:rsidR="002A3923" w:rsidRPr="00425E2F">
              <w:rPr>
                <w:rStyle w:val="a5"/>
                <w:rFonts w:hint="eastAsia"/>
                <w:noProof/>
              </w:rPr>
              <w:t>招募说明书存放及其查阅方式</w:t>
            </w:r>
            <w:r w:rsidR="002A3923">
              <w:rPr>
                <w:noProof/>
                <w:webHidden/>
              </w:rPr>
              <w:tab/>
            </w:r>
            <w:r w:rsidR="002A3923">
              <w:rPr>
                <w:noProof/>
                <w:webHidden/>
              </w:rPr>
              <w:fldChar w:fldCharType="begin"/>
            </w:r>
            <w:r w:rsidR="002A3923">
              <w:rPr>
                <w:noProof/>
                <w:webHidden/>
              </w:rPr>
              <w:instrText xml:space="preserve"> PAGEREF _Toc47384210 \h </w:instrText>
            </w:r>
            <w:r w:rsidR="002A3923">
              <w:rPr>
                <w:noProof/>
                <w:webHidden/>
              </w:rPr>
            </w:r>
            <w:r w:rsidR="002A3923">
              <w:rPr>
                <w:noProof/>
                <w:webHidden/>
              </w:rPr>
              <w:fldChar w:fldCharType="separate"/>
            </w:r>
            <w:r w:rsidR="00AD1CF9">
              <w:rPr>
                <w:noProof/>
                <w:webHidden/>
              </w:rPr>
              <w:t>112</w:t>
            </w:r>
            <w:r w:rsidR="002A3923">
              <w:rPr>
                <w:noProof/>
                <w:webHidden/>
              </w:rPr>
              <w:fldChar w:fldCharType="end"/>
            </w:r>
          </w:hyperlink>
        </w:p>
        <w:p w14:paraId="19F753C5" w14:textId="18859684" w:rsidR="002A3923" w:rsidRDefault="00002F83">
          <w:pPr>
            <w:pStyle w:val="23"/>
            <w:rPr>
              <w:rFonts w:asciiTheme="minorHAnsi" w:eastAsiaTheme="minorEastAsia" w:hAnsiTheme="minorHAnsi" w:cstheme="minorBidi"/>
              <w:noProof/>
              <w:szCs w:val="22"/>
            </w:rPr>
          </w:pPr>
          <w:hyperlink w:anchor="_Toc47384211" w:history="1">
            <w:r w:rsidR="002A3923" w:rsidRPr="00425E2F">
              <w:rPr>
                <w:rStyle w:val="a5"/>
                <w:rFonts w:hint="eastAsia"/>
                <w:noProof/>
              </w:rPr>
              <w:t>第二十四部分</w:t>
            </w:r>
            <w:r w:rsidR="002A3923">
              <w:rPr>
                <w:rFonts w:asciiTheme="minorHAnsi" w:eastAsiaTheme="minorEastAsia" w:hAnsiTheme="minorHAnsi" w:cstheme="minorBidi"/>
                <w:noProof/>
                <w:szCs w:val="22"/>
              </w:rPr>
              <w:tab/>
            </w:r>
            <w:r w:rsidR="002A3923" w:rsidRPr="00425E2F">
              <w:rPr>
                <w:rStyle w:val="a5"/>
                <w:rFonts w:hint="eastAsia"/>
                <w:noProof/>
              </w:rPr>
              <w:t>备查文件</w:t>
            </w:r>
            <w:r w:rsidR="002A3923">
              <w:rPr>
                <w:noProof/>
                <w:webHidden/>
              </w:rPr>
              <w:tab/>
            </w:r>
            <w:r w:rsidR="002A3923">
              <w:rPr>
                <w:noProof/>
                <w:webHidden/>
              </w:rPr>
              <w:fldChar w:fldCharType="begin"/>
            </w:r>
            <w:r w:rsidR="002A3923">
              <w:rPr>
                <w:noProof/>
                <w:webHidden/>
              </w:rPr>
              <w:instrText xml:space="preserve"> PAGEREF _Toc47384211 \h </w:instrText>
            </w:r>
            <w:r w:rsidR="002A3923">
              <w:rPr>
                <w:noProof/>
                <w:webHidden/>
              </w:rPr>
            </w:r>
            <w:r w:rsidR="002A3923">
              <w:rPr>
                <w:noProof/>
                <w:webHidden/>
              </w:rPr>
              <w:fldChar w:fldCharType="separate"/>
            </w:r>
            <w:r w:rsidR="00AD1CF9">
              <w:rPr>
                <w:noProof/>
                <w:webHidden/>
              </w:rPr>
              <w:t>113</w:t>
            </w:r>
            <w:r w:rsidR="002A3923">
              <w:rPr>
                <w:noProof/>
                <w:webHidden/>
              </w:rPr>
              <w:fldChar w:fldCharType="end"/>
            </w:r>
          </w:hyperlink>
        </w:p>
        <w:p w14:paraId="23F146A1" w14:textId="77777777" w:rsidR="00FB7F63" w:rsidRPr="004F5BE4" w:rsidRDefault="00957BEB" w:rsidP="00F05D2A">
          <w:pPr>
            <w:spacing w:line="360" w:lineRule="auto"/>
          </w:pPr>
          <w:r w:rsidRPr="004F5BE4">
            <w:fldChar w:fldCharType="end"/>
          </w:r>
        </w:p>
      </w:sdtContent>
    </w:sdt>
    <w:p w14:paraId="7A2F5BBC" w14:textId="77777777" w:rsidR="00FB7F63" w:rsidRPr="004F5BE4" w:rsidRDefault="00FB7F63" w:rsidP="00F05D2A">
      <w:pPr>
        <w:widowControl/>
        <w:spacing w:line="360" w:lineRule="auto"/>
        <w:jc w:val="left"/>
        <w:rPr>
          <w:sz w:val="30"/>
        </w:rPr>
      </w:pPr>
      <w:r w:rsidRPr="004F5BE4">
        <w:rPr>
          <w:sz w:val="30"/>
        </w:rPr>
        <w:br w:type="page"/>
      </w:r>
    </w:p>
    <w:p w14:paraId="05DF45EB" w14:textId="77777777" w:rsidR="002E3EC6" w:rsidRPr="004F5BE4" w:rsidRDefault="002E3EC6" w:rsidP="00F05D2A">
      <w:pPr>
        <w:snapToGrid w:val="0"/>
        <w:spacing w:line="360" w:lineRule="auto"/>
        <w:jc w:val="center"/>
        <w:rPr>
          <w:sz w:val="30"/>
        </w:rPr>
      </w:pPr>
    </w:p>
    <w:p w14:paraId="6189FD58" w14:textId="77777777" w:rsidR="002E3EC6" w:rsidRPr="004F5BE4" w:rsidRDefault="002E3EC6" w:rsidP="00F05D2A">
      <w:pPr>
        <w:snapToGrid w:val="0"/>
        <w:spacing w:line="360" w:lineRule="auto"/>
        <w:jc w:val="center"/>
        <w:rPr>
          <w:rFonts w:ascii="宋体" w:hAnsi="宋体"/>
          <w:bCs/>
          <w:szCs w:val="21"/>
        </w:rPr>
      </w:pPr>
      <w:r w:rsidRPr="004F5BE4">
        <w:rPr>
          <w:rFonts w:ascii="宋体" w:hAnsi="宋体" w:hint="eastAsia"/>
          <w:bCs/>
          <w:szCs w:val="21"/>
        </w:rPr>
        <w:t>重要提示</w:t>
      </w:r>
    </w:p>
    <w:p w14:paraId="05C902EC" w14:textId="77777777" w:rsidR="002E3EC6" w:rsidRPr="0034255D" w:rsidRDefault="002E3EC6" w:rsidP="00F05D2A">
      <w:pPr>
        <w:snapToGrid w:val="0"/>
        <w:spacing w:line="360" w:lineRule="auto"/>
        <w:rPr>
          <w:rFonts w:asciiTheme="minorEastAsia" w:eastAsiaTheme="minorEastAsia" w:hAnsiTheme="minorEastAsia"/>
          <w:szCs w:val="21"/>
        </w:rPr>
      </w:pPr>
    </w:p>
    <w:p w14:paraId="0B81C512" w14:textId="38032EA7" w:rsidR="002E3EC6" w:rsidRPr="004F5BE4"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本基金经中国证监会</w:t>
      </w:r>
      <w:r w:rsidR="00FF6847" w:rsidRPr="007F5FF9">
        <w:rPr>
          <w:rFonts w:hAnsi="宋体" w:hint="eastAsia"/>
          <w:bCs/>
          <w:szCs w:val="21"/>
        </w:rPr>
        <w:t>20</w:t>
      </w:r>
      <w:r w:rsidR="00FF6847">
        <w:rPr>
          <w:rFonts w:hAnsi="宋体"/>
          <w:bCs/>
          <w:szCs w:val="21"/>
        </w:rPr>
        <w:t>21</w:t>
      </w:r>
      <w:r w:rsidR="00FF6847" w:rsidRPr="007F5FF9">
        <w:rPr>
          <w:rFonts w:hAnsi="宋体" w:hint="eastAsia"/>
          <w:bCs/>
          <w:szCs w:val="21"/>
        </w:rPr>
        <w:t>年</w:t>
      </w:r>
      <w:r w:rsidR="008A46AA">
        <w:rPr>
          <w:rFonts w:hAnsi="宋体"/>
          <w:bCs/>
          <w:szCs w:val="21"/>
        </w:rPr>
        <w:t>4</w:t>
      </w:r>
      <w:r w:rsidR="007F5FF9" w:rsidRPr="007F5FF9">
        <w:rPr>
          <w:rFonts w:hAnsi="宋体" w:hint="eastAsia"/>
          <w:bCs/>
          <w:szCs w:val="21"/>
        </w:rPr>
        <w:t>月</w:t>
      </w:r>
      <w:r w:rsidR="008A46AA">
        <w:rPr>
          <w:rFonts w:hAnsi="宋体"/>
          <w:bCs/>
          <w:szCs w:val="21"/>
        </w:rPr>
        <w:t>16</w:t>
      </w:r>
      <w:r w:rsidR="007F5FF9" w:rsidRPr="007F5FF9">
        <w:rPr>
          <w:rFonts w:hAnsi="宋体" w:hint="eastAsia"/>
          <w:bCs/>
          <w:szCs w:val="21"/>
        </w:rPr>
        <w:t>日证监许可</w:t>
      </w:r>
      <w:r w:rsidR="007F5FF9" w:rsidRPr="007F5FF9">
        <w:rPr>
          <w:rFonts w:hAnsi="宋体" w:hint="eastAsia"/>
          <w:bCs/>
          <w:szCs w:val="21"/>
        </w:rPr>
        <w:t>[</w:t>
      </w:r>
      <w:r w:rsidR="001B6FEB" w:rsidRPr="007F5FF9">
        <w:rPr>
          <w:rFonts w:hAnsi="宋体" w:hint="eastAsia"/>
          <w:bCs/>
          <w:szCs w:val="21"/>
        </w:rPr>
        <w:t>20</w:t>
      </w:r>
      <w:r w:rsidR="001B6FEB">
        <w:rPr>
          <w:rFonts w:hAnsi="宋体"/>
          <w:bCs/>
          <w:szCs w:val="21"/>
        </w:rPr>
        <w:t>21</w:t>
      </w:r>
      <w:r w:rsidR="007F5FF9" w:rsidRPr="007F5FF9">
        <w:rPr>
          <w:rFonts w:hAnsi="宋体" w:hint="eastAsia"/>
          <w:bCs/>
          <w:szCs w:val="21"/>
        </w:rPr>
        <w:t>]</w:t>
      </w:r>
      <w:r w:rsidR="008A46AA">
        <w:rPr>
          <w:rFonts w:hAnsi="宋体"/>
          <w:bCs/>
          <w:szCs w:val="21"/>
        </w:rPr>
        <w:t>1328</w:t>
      </w:r>
      <w:r w:rsidR="007F5FF9" w:rsidRPr="007F5FF9">
        <w:rPr>
          <w:rFonts w:hAnsi="宋体" w:hint="eastAsia"/>
          <w:bCs/>
          <w:szCs w:val="21"/>
        </w:rPr>
        <w:t>号</w:t>
      </w:r>
      <w:r w:rsidRPr="004F5BE4">
        <w:rPr>
          <w:rFonts w:ascii="宋体" w:hAnsi="宋体" w:hint="eastAsia"/>
          <w:bCs/>
          <w:szCs w:val="21"/>
        </w:rPr>
        <w:t>文注册募集。</w:t>
      </w:r>
    </w:p>
    <w:p w14:paraId="59581799" w14:textId="1872B218" w:rsidR="009A1E51" w:rsidRPr="009A1E51"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0A800D3E" w14:textId="2704EAF7" w:rsidR="008371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通过港股通机制参与香港股票市场交易，可根据投资策略需要或不同配置地市场环境的变化，选择将部分基金资产投资于港股或选择不将基金资产投资于港股，基金资产并非必然投资港股。</w:t>
      </w:r>
      <w:r w:rsidR="00D21E06" w:rsidRPr="00D21E06">
        <w:rPr>
          <w:rFonts w:ascii="宋体" w:hAnsi="宋体" w:hint="eastAsia"/>
          <w:bCs/>
          <w:szCs w:val="21"/>
        </w:rPr>
        <w:t>本基金的特定风险详见招募说明书“风险揭示”章节等。</w:t>
      </w:r>
    </w:p>
    <w:p w14:paraId="6D88B307" w14:textId="261D19F0" w:rsidR="00FB39B0" w:rsidRDefault="00FB39B0" w:rsidP="0074040E">
      <w:pPr>
        <w:numPr>
          <w:ilvl w:val="12"/>
          <w:numId w:val="0"/>
        </w:numPr>
        <w:adjustRightInd w:val="0"/>
        <w:snapToGrid w:val="0"/>
        <w:spacing w:line="360" w:lineRule="auto"/>
        <w:ind w:firstLineChars="196" w:firstLine="412"/>
        <w:rPr>
          <w:rFonts w:ascii="宋体" w:hAnsi="宋体"/>
          <w:bCs/>
          <w:szCs w:val="21"/>
        </w:rPr>
      </w:pPr>
      <w:r w:rsidRPr="00FB39B0">
        <w:rPr>
          <w:rFonts w:ascii="宋体" w:hAnsi="宋体" w:hint="eastAsia"/>
          <w:bCs/>
          <w:szCs w:val="21"/>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4578D94A" w14:textId="05CC1111" w:rsidR="009A1E51" w:rsidRPr="009A1E51" w:rsidRDefault="009A1E51" w:rsidP="0074040E">
      <w:pPr>
        <w:numPr>
          <w:ilvl w:val="12"/>
          <w:numId w:val="0"/>
        </w:numPr>
        <w:adjustRightInd w:val="0"/>
        <w:snapToGrid w:val="0"/>
        <w:spacing w:line="360" w:lineRule="auto"/>
        <w:ind w:firstLineChars="196" w:firstLine="412"/>
        <w:rPr>
          <w:rFonts w:ascii="宋体" w:hAnsi="宋体"/>
          <w:bCs/>
          <w:szCs w:val="21"/>
        </w:rPr>
      </w:pPr>
      <w:r w:rsidRPr="000F015F">
        <w:rPr>
          <w:rFonts w:ascii="宋体" w:hAnsi="宋体" w:hint="eastAsia"/>
          <w:bCs/>
          <w:szCs w:val="21"/>
        </w:rPr>
        <w:t>本基金投资范围包括中国存托凭证,存在中国存托凭证价格大幅波动甚至出现较大亏损的风险、与中国存托凭证发行机制相关的风险等。</w:t>
      </w:r>
    </w:p>
    <w:p w14:paraId="3048F387" w14:textId="77777777" w:rsidR="00C668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本基金可投资于资产支持证券，因此可能面临资产支持证券的信用风险、利率风险、流动性风险、提前偿付风险、法律风险和操作风险。</w:t>
      </w:r>
    </w:p>
    <w:p w14:paraId="6F0713B9" w14:textId="77777777" w:rsidR="002E3EC6" w:rsidRPr="004F5BE4" w:rsidRDefault="00793BFC" w:rsidP="004F5BE4">
      <w:pPr>
        <w:adjustRightInd w:val="0"/>
        <w:snapToGrid w:val="0"/>
        <w:spacing w:line="360" w:lineRule="auto"/>
        <w:ind w:firstLineChars="200" w:firstLine="420"/>
        <w:rPr>
          <w:rFonts w:ascii="宋体" w:hAnsi="宋体"/>
          <w:bCs/>
          <w:szCs w:val="21"/>
        </w:rPr>
      </w:pPr>
      <w:r w:rsidRPr="00793BFC">
        <w:rPr>
          <w:rFonts w:ascii="宋体" w:hAnsi="宋体" w:hint="eastAsia"/>
          <w:bCs/>
          <w:szCs w:val="21"/>
        </w:rPr>
        <w:t>本基金为混合型基金，一般而言，其长期平均风险和预期收益率低于股票型基金，高于债券型基金、货币市场基金。</w:t>
      </w:r>
      <w:r w:rsidR="00C668CE" w:rsidRPr="009B3B9B">
        <w:rPr>
          <w:rFonts w:ascii="宋体" w:hAnsi="宋体"/>
          <w:bCs/>
          <w:szCs w:val="21"/>
        </w:rPr>
        <w:t>投</w:t>
      </w:r>
      <w:r w:rsidR="00C668CE" w:rsidRPr="008E0CF3">
        <w:rPr>
          <w:rFonts w:ascii="宋体" w:hAnsi="宋体"/>
          <w:bCs/>
          <w:szCs w:val="21"/>
        </w:rPr>
        <w:t>资</w:t>
      </w:r>
      <w:r w:rsidR="00C668CE" w:rsidRPr="008E0CF3">
        <w:rPr>
          <w:rFonts w:ascii="宋体" w:hAnsi="宋体" w:hint="eastAsia"/>
          <w:bCs/>
          <w:szCs w:val="21"/>
        </w:rPr>
        <w:t>人</w:t>
      </w:r>
      <w:r w:rsidR="00C668CE" w:rsidRPr="008E0CF3">
        <w:rPr>
          <w:rFonts w:ascii="宋体" w:hAnsi="宋体"/>
          <w:bCs/>
          <w:szCs w:val="21"/>
        </w:rPr>
        <w:t>购买本基金并不等于将</w:t>
      </w:r>
      <w:r w:rsidR="00C668CE" w:rsidRPr="00E44310">
        <w:rPr>
          <w:rFonts w:ascii="宋体" w:hAnsi="宋体"/>
          <w:szCs w:val="21"/>
        </w:rPr>
        <w:t>资金作为存款存放在银行或存款类金融机构。</w:t>
      </w:r>
      <w:r w:rsidR="002E3EC6" w:rsidRPr="004F5BE4">
        <w:rPr>
          <w:rFonts w:ascii="宋体" w:hAnsi="宋体" w:hint="eastAsia"/>
          <w:bCs/>
          <w:szCs w:val="21"/>
        </w:rPr>
        <w:t>投资有风险，投资人认购（或申购）基金时应认真阅读本基金的《招募说明书》</w:t>
      </w:r>
      <w:r w:rsidR="00E11EA6">
        <w:rPr>
          <w:rFonts w:ascii="宋体" w:hAnsi="宋体" w:hint="eastAsia"/>
          <w:bCs/>
          <w:szCs w:val="21"/>
        </w:rPr>
        <w:t>、</w:t>
      </w:r>
      <w:r w:rsidR="002E3EC6" w:rsidRPr="004F5BE4">
        <w:rPr>
          <w:rFonts w:ascii="宋体" w:hAnsi="宋体" w:hint="eastAsia"/>
          <w:bCs/>
          <w:szCs w:val="21"/>
        </w:rPr>
        <w:t>《基金合同》</w:t>
      </w:r>
      <w:r w:rsidR="00E11EA6">
        <w:rPr>
          <w:rFonts w:ascii="宋体" w:hAnsi="宋体" w:hint="eastAsia"/>
          <w:bCs/>
          <w:szCs w:val="21"/>
        </w:rPr>
        <w:t>、</w:t>
      </w:r>
      <w:r w:rsidR="00E11EA6" w:rsidRPr="00E11EA6">
        <w:rPr>
          <w:rFonts w:ascii="宋体" w:hAnsi="宋体"/>
          <w:bCs/>
          <w:szCs w:val="21"/>
        </w:rPr>
        <w:t>基金产品资料概要</w:t>
      </w:r>
      <w:r w:rsidR="002E3EC6" w:rsidRPr="004F5BE4">
        <w:rPr>
          <w:rFonts w:ascii="宋体" w:hAnsi="宋体" w:hint="eastAsia"/>
          <w:bCs/>
          <w:szCs w:val="21"/>
        </w:rPr>
        <w:t>等信息披露文件，自主判断基金的投资价值，自主做出投资决策，全面认识本基金的风险收益特征和产品特性，并充分考虑自身的风险承受能力，理</w:t>
      </w:r>
      <w:r w:rsidR="002E3EC6" w:rsidRPr="004F5BE4">
        <w:rPr>
          <w:rFonts w:ascii="宋体" w:hAnsi="宋体" w:hint="eastAsia"/>
          <w:bCs/>
          <w:szCs w:val="21"/>
        </w:rPr>
        <w:lastRenderedPageBreak/>
        <w:t xml:space="preserve">性判断市场，谨慎做出投资决策。 </w:t>
      </w:r>
    </w:p>
    <w:p w14:paraId="7D8C8907" w14:textId="4A62CEE7" w:rsidR="00B17311" w:rsidRDefault="002E3EC6" w:rsidP="00F05D2A">
      <w:pPr>
        <w:widowControl/>
        <w:snapToGrid w:val="0"/>
        <w:spacing w:line="360" w:lineRule="auto"/>
        <w:jc w:val="left"/>
        <w:rPr>
          <w:rFonts w:asciiTheme="minorEastAsia" w:eastAsiaTheme="minorEastAsia" w:hAnsiTheme="minorEastAsia"/>
          <w:szCs w:val="21"/>
        </w:rPr>
      </w:pPr>
      <w:r w:rsidRPr="004F5BE4">
        <w:rPr>
          <w:rFonts w:ascii="宋体" w:hAnsi="宋体" w:hint="eastAsia"/>
          <w:bCs/>
          <w:szCs w:val="21"/>
        </w:rPr>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r w:rsidRPr="004F5BE4">
        <w:rPr>
          <w:rFonts w:asciiTheme="minorEastAsia" w:eastAsiaTheme="minorEastAsia" w:hAnsiTheme="minorEastAsia" w:hint="eastAsia"/>
          <w:szCs w:val="21"/>
        </w:rPr>
        <w:t>。</w:t>
      </w:r>
    </w:p>
    <w:p w14:paraId="4BA8400B" w14:textId="2836ED0D" w:rsidR="008041B8" w:rsidRDefault="008041B8" w:rsidP="00F05D2A">
      <w:pPr>
        <w:widowControl/>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8041B8">
        <w:rPr>
          <w:rFonts w:asciiTheme="minorEastAsia" w:eastAsiaTheme="minorEastAsia" w:hAnsiTheme="minorEastAsia" w:hint="eastAsia"/>
          <w:szCs w:val="21"/>
        </w:rPr>
        <w:t>本基金不收取认购费、申购费，但将收取销售服务费。销售服务费具体约定详见基金合同和本招募说明书。</w:t>
      </w:r>
    </w:p>
    <w:p w14:paraId="1371D63E" w14:textId="77777777" w:rsidR="002E3EC6" w:rsidRPr="004F5BE4" w:rsidRDefault="00402088" w:rsidP="00F05D2A">
      <w:pPr>
        <w:widowControl/>
        <w:snapToGrid w:val="0"/>
        <w:spacing w:line="360" w:lineRule="auto"/>
        <w:jc w:val="left"/>
        <w:rPr>
          <w:rFonts w:ascii="宋体" w:hAnsi="宋体"/>
        </w:rPr>
      </w:pPr>
      <w:r>
        <w:rPr>
          <w:rFonts w:ascii="宋体" w:hAnsi="宋体" w:hint="eastAsia"/>
        </w:rPr>
        <w:tab/>
      </w:r>
      <w:r w:rsidR="002E3EC6" w:rsidRPr="004F5BE4">
        <w:rPr>
          <w:rFonts w:ascii="宋体" w:hAnsi="宋体"/>
        </w:rPr>
        <w:br w:type="page"/>
      </w:r>
    </w:p>
    <w:p w14:paraId="1134D661" w14:textId="77777777" w:rsidR="002E3EC6" w:rsidRPr="004F5BE4" w:rsidRDefault="002E3EC6" w:rsidP="00F05D2A">
      <w:pPr>
        <w:snapToGrid w:val="0"/>
        <w:spacing w:line="360" w:lineRule="auto"/>
        <w:rPr>
          <w:rFonts w:ascii="宋体" w:hAnsi="宋体"/>
        </w:rPr>
      </w:pPr>
    </w:p>
    <w:p w14:paraId="3310F026" w14:textId="77777777" w:rsidR="002E3EC6" w:rsidRPr="004F5BE4" w:rsidRDefault="002E3EC6" w:rsidP="00F05D2A">
      <w:pPr>
        <w:pStyle w:val="21"/>
        <w:numPr>
          <w:ilvl w:val="0"/>
          <w:numId w:val="24"/>
        </w:numPr>
        <w:snapToGrid w:val="0"/>
        <w:spacing w:before="0" w:after="0" w:line="360" w:lineRule="auto"/>
        <w:jc w:val="left"/>
        <w:rPr>
          <w:b w:val="0"/>
        </w:rPr>
      </w:pPr>
      <w:bookmarkStart w:id="2" w:name="_Toc215629791"/>
      <w:bookmarkStart w:id="3" w:name="_Toc350789211"/>
      <w:bookmarkStart w:id="4" w:name="_Toc360793493"/>
      <w:bookmarkStart w:id="5" w:name="_Toc360793845"/>
      <w:bookmarkStart w:id="6" w:name="_Toc360794095"/>
      <w:bookmarkStart w:id="7" w:name="_Toc360794403"/>
      <w:bookmarkStart w:id="8" w:name="_Toc360794511"/>
      <w:bookmarkStart w:id="9" w:name="_Toc362455178"/>
      <w:bookmarkStart w:id="10" w:name="_Toc411503262"/>
      <w:bookmarkStart w:id="11" w:name="_Toc47384188"/>
      <w:bookmarkStart w:id="12" w:name="_Toc73936074"/>
      <w:bookmarkStart w:id="13" w:name="_Toc79132642"/>
      <w:bookmarkStart w:id="14" w:name="_Toc80103054"/>
      <w:bookmarkStart w:id="15" w:name="_Toc454720091"/>
      <w:bookmarkStart w:id="16" w:name="_Toc4917378"/>
      <w:bookmarkStart w:id="17" w:name="_Toc10604981"/>
      <w:r w:rsidRPr="004F5BE4">
        <w:rPr>
          <w:rFonts w:hint="eastAsia"/>
          <w:b w:val="0"/>
        </w:rPr>
        <w:t>绪言</w:t>
      </w:r>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bookmarkEnd w:id="17"/>
    <w:p w14:paraId="2BD9C264" w14:textId="77777777" w:rsidR="00C555E8" w:rsidRPr="004F5BE4" w:rsidRDefault="00C555E8" w:rsidP="004F5BE4">
      <w:pPr>
        <w:adjustRightInd w:val="0"/>
        <w:snapToGrid w:val="0"/>
        <w:spacing w:line="360" w:lineRule="auto"/>
        <w:ind w:firstLineChars="200" w:firstLine="420"/>
      </w:pPr>
    </w:p>
    <w:p w14:paraId="5C032EF9" w14:textId="376882F4" w:rsidR="002E3EC6" w:rsidRPr="00827270" w:rsidRDefault="00827270" w:rsidP="004F5BE4">
      <w:pPr>
        <w:adjustRightInd w:val="0"/>
        <w:snapToGrid w:val="0"/>
        <w:spacing w:line="360" w:lineRule="auto"/>
        <w:ind w:firstLineChars="200" w:firstLine="420"/>
        <w:rPr>
          <w:rFonts w:ascii="宋体" w:hAnsi="宋体"/>
          <w:szCs w:val="21"/>
        </w:rPr>
      </w:pPr>
      <w:r w:rsidRPr="004F5BE4">
        <w:rPr>
          <w:rFonts w:hint="eastAsia"/>
        </w:rPr>
        <w:t>本招募说明书</w:t>
      </w:r>
      <w:r w:rsidRPr="004F5BE4">
        <w:rPr>
          <w:rFonts w:ascii="宋体" w:hAnsi="宋体" w:hint="eastAsia"/>
          <w:szCs w:val="21"/>
        </w:rPr>
        <w:t>依据</w:t>
      </w:r>
      <w:r w:rsidRPr="001833F7">
        <w:rPr>
          <w:rFonts w:ascii="宋体" w:hAnsi="宋体" w:hint="eastAsia"/>
          <w:szCs w:val="21"/>
        </w:rPr>
        <w:t>《中华人民共和国证券法》（以下简称“《证券法》”）、</w:t>
      </w:r>
      <w:r w:rsidRPr="004F5BE4">
        <w:rPr>
          <w:rFonts w:ascii="宋体" w:hAnsi="宋体" w:hint="eastAsia"/>
          <w:szCs w:val="21"/>
        </w:rPr>
        <w:t>《中华人民共和国证券投资基金法》（以下简称“《基金法》”）、《公开募集证券投资基金运作管理办法》（以下简称“《运作办法》”）、</w:t>
      </w:r>
      <w:r w:rsidRPr="00375C2A">
        <w:rPr>
          <w:rFonts w:ascii="宋体" w:hAnsi="宋体" w:hint="eastAsia"/>
          <w:color w:val="0D0D0D" w:themeColor="text1" w:themeTint="F2"/>
          <w:szCs w:val="21"/>
        </w:rPr>
        <w:t>《</w:t>
      </w:r>
      <w:r w:rsidRPr="00375C2A">
        <w:rPr>
          <w:rFonts w:ascii="宋体" w:hAnsiTheme="minorHAnsi" w:cs="宋体" w:hint="eastAsia"/>
          <w:color w:val="0D0D0D" w:themeColor="text1" w:themeTint="F2"/>
          <w:kern w:val="0"/>
          <w:sz w:val="22"/>
          <w:szCs w:val="22"/>
          <w:lang w:val="zh-CN"/>
        </w:rPr>
        <w:t>公开募集证券投资基金销售机构监督管理办法</w:t>
      </w:r>
      <w:r w:rsidRPr="00375C2A">
        <w:rPr>
          <w:rFonts w:ascii="宋体" w:hAnsi="宋体" w:hint="eastAsia"/>
          <w:color w:val="0D0D0D" w:themeColor="text1" w:themeTint="F2"/>
          <w:szCs w:val="21"/>
        </w:rPr>
        <w:t>》（以下简</w:t>
      </w:r>
      <w:r w:rsidRPr="004F5BE4">
        <w:rPr>
          <w:rFonts w:ascii="宋体" w:hAnsi="宋体" w:hint="eastAsia"/>
          <w:szCs w:val="21"/>
        </w:rPr>
        <w:t>称“《销售办法》”）、</w:t>
      </w:r>
      <w:r>
        <w:rPr>
          <w:rFonts w:ascii="宋体" w:hAnsi="宋体" w:hint="eastAsia"/>
          <w:szCs w:val="21"/>
        </w:rPr>
        <w:t>《公开募集证券投资基金信息披露管理办法》</w:t>
      </w:r>
      <w:r w:rsidRPr="004F5BE4">
        <w:rPr>
          <w:rFonts w:ascii="宋体" w:hAnsi="宋体" w:hint="eastAsia"/>
          <w:szCs w:val="21"/>
        </w:rPr>
        <w:t>（以下简称“《信息披露办法》”）</w:t>
      </w:r>
      <w:r>
        <w:rPr>
          <w:rFonts w:hint="eastAsia"/>
          <w:bCs/>
          <w:szCs w:val="21"/>
        </w:rPr>
        <w:t>、</w:t>
      </w:r>
      <w:r w:rsidRPr="00BD5874">
        <w:rPr>
          <w:bCs/>
          <w:szCs w:val="21"/>
        </w:rPr>
        <w:t>《公开募集开放式证券投资基金流动性风险管理规定》</w:t>
      </w:r>
      <w:r w:rsidRPr="002048DD">
        <w:rPr>
          <w:rFonts w:hint="eastAsia"/>
          <w:bCs/>
          <w:szCs w:val="21"/>
        </w:rPr>
        <w:t>（以下简称“《流动性风险管理规定》”）</w:t>
      </w:r>
      <w:r w:rsidRPr="004F5BE4">
        <w:rPr>
          <w:rFonts w:ascii="宋体" w:hAnsi="宋体" w:hint="eastAsia"/>
          <w:szCs w:val="21"/>
        </w:rPr>
        <w:t>以及《</w:t>
      </w:r>
      <w:r w:rsidR="00C02FED">
        <w:rPr>
          <w:rFonts w:ascii="宋体" w:hAnsi="宋体" w:hint="eastAsia"/>
          <w:szCs w:val="21"/>
        </w:rPr>
        <w:t>南方行业领先混合型证券投资基金</w:t>
      </w:r>
      <w:r w:rsidRPr="004F5BE4">
        <w:rPr>
          <w:rFonts w:ascii="宋体" w:hAnsi="宋体" w:hint="eastAsia"/>
          <w:szCs w:val="21"/>
        </w:rPr>
        <w:t>基金合同》编写。</w:t>
      </w:r>
    </w:p>
    <w:p w14:paraId="012DEC9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9DA0012" w14:textId="77777777" w:rsidR="002E3EC6" w:rsidRPr="004F5BE4" w:rsidRDefault="002E3EC6" w:rsidP="00F05D2A">
      <w:pPr>
        <w:snapToGrid w:val="0"/>
        <w:spacing w:line="360" w:lineRule="auto"/>
        <w:ind w:firstLine="539"/>
        <w:rPr>
          <w:szCs w:val="23"/>
        </w:rPr>
      </w:pPr>
      <w:r w:rsidRPr="004F5BE4">
        <w:rPr>
          <w:rFonts w:ascii="宋体" w:hAnsi="宋体" w:hint="eastAsia"/>
          <w:szCs w:val="21"/>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4F5BE4">
        <w:rPr>
          <w:rFonts w:hint="eastAsia"/>
          <w:szCs w:val="23"/>
        </w:rPr>
        <w:t>。</w:t>
      </w:r>
    </w:p>
    <w:p w14:paraId="1B419A9E" w14:textId="77777777" w:rsidR="002E3EC6" w:rsidRPr="004F5BE4" w:rsidRDefault="005315F0" w:rsidP="004F5BE4">
      <w:pPr>
        <w:snapToGrid w:val="0"/>
        <w:spacing w:line="360" w:lineRule="auto"/>
        <w:ind w:firstLineChars="200" w:firstLine="420"/>
        <w:rPr>
          <w:szCs w:val="23"/>
        </w:rPr>
      </w:pPr>
      <w:r w:rsidRPr="005315F0">
        <w:rPr>
          <w:rFonts w:hint="eastAsia"/>
          <w:szCs w:val="23"/>
        </w:rPr>
        <w:t>本基金按照中国法律法规成立并运作，若基金合同、招募说明书的内容与届时有效的法律法规的强制性规定不一致，应当以届时有效的法律法规的规定为准。</w:t>
      </w:r>
    </w:p>
    <w:p w14:paraId="3ED569CD" w14:textId="77777777" w:rsidR="002E3EC6" w:rsidRPr="004F5BE4" w:rsidRDefault="002E3EC6" w:rsidP="004F5BE4">
      <w:pPr>
        <w:snapToGrid w:val="0"/>
        <w:spacing w:line="360" w:lineRule="auto"/>
        <w:ind w:firstLineChars="200" w:firstLine="420"/>
        <w:rPr>
          <w:szCs w:val="23"/>
        </w:rPr>
      </w:pPr>
    </w:p>
    <w:p w14:paraId="1C48C57A" w14:textId="77777777" w:rsidR="002E3EC6" w:rsidRPr="004F5BE4" w:rsidRDefault="002E3EC6" w:rsidP="004F5BE4">
      <w:pPr>
        <w:snapToGrid w:val="0"/>
        <w:spacing w:line="360" w:lineRule="auto"/>
        <w:ind w:firstLineChars="200" w:firstLine="420"/>
        <w:rPr>
          <w:szCs w:val="23"/>
        </w:rPr>
      </w:pPr>
    </w:p>
    <w:p w14:paraId="2ECC914B" w14:textId="77777777" w:rsidR="002E3EC6" w:rsidRPr="004F5BE4" w:rsidRDefault="002E3EC6" w:rsidP="004F5BE4">
      <w:pPr>
        <w:snapToGrid w:val="0"/>
        <w:spacing w:line="360" w:lineRule="auto"/>
        <w:ind w:firstLineChars="200" w:firstLine="420"/>
        <w:rPr>
          <w:szCs w:val="23"/>
        </w:rPr>
      </w:pPr>
      <w:r w:rsidRPr="004F5BE4">
        <w:rPr>
          <w:szCs w:val="23"/>
        </w:rPr>
        <w:br w:type="page"/>
      </w:r>
    </w:p>
    <w:p w14:paraId="78EEB805" w14:textId="77777777" w:rsidR="002E3EC6" w:rsidRPr="004F5BE4" w:rsidRDefault="002E3EC6" w:rsidP="00F05D2A">
      <w:pPr>
        <w:pStyle w:val="21"/>
        <w:numPr>
          <w:ilvl w:val="0"/>
          <w:numId w:val="24"/>
        </w:numPr>
        <w:snapToGrid w:val="0"/>
        <w:spacing w:before="0" w:after="0" w:line="360" w:lineRule="auto"/>
        <w:jc w:val="left"/>
        <w:rPr>
          <w:b w:val="0"/>
        </w:rPr>
      </w:pPr>
      <w:bookmarkStart w:id="18" w:name="_Toc327902623"/>
      <w:bookmarkStart w:id="19" w:name="_Toc332013110"/>
      <w:bookmarkStart w:id="20" w:name="_Toc335899833"/>
      <w:bookmarkStart w:id="21" w:name="_Toc336606227"/>
      <w:bookmarkStart w:id="22" w:name="_Toc369510008"/>
      <w:bookmarkStart w:id="23" w:name="_Toc411503263"/>
      <w:bookmarkStart w:id="24" w:name="_Toc47384189"/>
      <w:r w:rsidRPr="004F5BE4">
        <w:rPr>
          <w:rFonts w:hint="eastAsia"/>
          <w:b w:val="0"/>
        </w:rPr>
        <w:lastRenderedPageBreak/>
        <w:t>释义</w:t>
      </w:r>
      <w:bookmarkEnd w:id="18"/>
      <w:bookmarkEnd w:id="19"/>
      <w:bookmarkEnd w:id="20"/>
      <w:bookmarkEnd w:id="21"/>
      <w:bookmarkEnd w:id="22"/>
      <w:bookmarkEnd w:id="23"/>
      <w:bookmarkEnd w:id="24"/>
    </w:p>
    <w:p w14:paraId="7916867B" w14:textId="77777777" w:rsidR="002E3EC6" w:rsidRDefault="002E3EC6" w:rsidP="004F5BE4">
      <w:pPr>
        <w:snapToGrid w:val="0"/>
        <w:spacing w:line="360" w:lineRule="auto"/>
        <w:ind w:firstLineChars="200" w:firstLine="420"/>
        <w:rPr>
          <w:rFonts w:ascii="宋体"/>
          <w:szCs w:val="21"/>
        </w:rPr>
      </w:pPr>
    </w:p>
    <w:p w14:paraId="5D2D1CEF" w14:textId="25FBA59B"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在本</w:t>
      </w:r>
      <w:r>
        <w:rPr>
          <w:rFonts w:ascii="宋体" w:hint="eastAsia"/>
          <w:bCs/>
          <w:szCs w:val="21"/>
        </w:rPr>
        <w:t>招募</w:t>
      </w:r>
      <w:r>
        <w:rPr>
          <w:rFonts w:ascii="宋体"/>
          <w:bCs/>
          <w:szCs w:val="21"/>
        </w:rPr>
        <w:t>说明</w:t>
      </w:r>
      <w:r>
        <w:rPr>
          <w:rFonts w:ascii="宋体" w:hint="eastAsia"/>
          <w:bCs/>
          <w:szCs w:val="21"/>
        </w:rPr>
        <w:t>书</w:t>
      </w:r>
      <w:r w:rsidRPr="001833F7">
        <w:rPr>
          <w:rFonts w:ascii="宋体"/>
          <w:bCs/>
          <w:szCs w:val="21"/>
        </w:rPr>
        <w:t>中，除非文意另有所指，下列词语或简称具有如下含义：</w:t>
      </w:r>
    </w:p>
    <w:p w14:paraId="26BBDAA3" w14:textId="3F74ACA6"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1、基金或本基金：指</w:t>
      </w:r>
      <w:r w:rsidR="00C02FED">
        <w:rPr>
          <w:rFonts w:ascii="宋体" w:hint="eastAsia"/>
          <w:bCs/>
          <w:szCs w:val="21"/>
        </w:rPr>
        <w:t>南方行业领先混合型证券投资基金</w:t>
      </w:r>
    </w:p>
    <w:p w14:paraId="0FBF6294"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2、基金管理人：指</w:t>
      </w:r>
      <w:r w:rsidRPr="001833F7">
        <w:rPr>
          <w:rFonts w:ascii="宋体" w:hint="eastAsia"/>
          <w:bCs/>
          <w:szCs w:val="21"/>
        </w:rPr>
        <w:t>南方基金管理股份有限公司</w:t>
      </w:r>
      <w:r w:rsidRPr="001833F7">
        <w:rPr>
          <w:rFonts w:ascii="宋体"/>
          <w:bCs/>
          <w:szCs w:val="21"/>
        </w:rPr>
        <w:t xml:space="preserve">          </w:t>
      </w:r>
    </w:p>
    <w:p w14:paraId="3C35868E"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3、基金托管人：指</w:t>
      </w:r>
      <w:r w:rsidRPr="001833F7">
        <w:rPr>
          <w:rFonts w:ascii="宋体" w:hint="eastAsia"/>
          <w:bCs/>
          <w:szCs w:val="21"/>
        </w:rPr>
        <w:t>交通银行股份有限公司</w:t>
      </w:r>
      <w:r w:rsidRPr="001833F7">
        <w:rPr>
          <w:rFonts w:ascii="宋体"/>
          <w:bCs/>
          <w:szCs w:val="21"/>
        </w:rPr>
        <w:t xml:space="preserve">          </w:t>
      </w:r>
    </w:p>
    <w:p w14:paraId="6C77D7AA" w14:textId="7A102641"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4、基金合同：指《</w:t>
      </w:r>
      <w:r w:rsidR="00C02FED">
        <w:rPr>
          <w:rFonts w:ascii="宋体" w:hint="eastAsia"/>
          <w:bCs/>
          <w:szCs w:val="21"/>
        </w:rPr>
        <w:t>南方行业领先混合型证券投资基金</w:t>
      </w:r>
      <w:r w:rsidR="003031D7">
        <w:rPr>
          <w:rFonts w:ascii="宋体"/>
          <w:bCs/>
          <w:szCs w:val="21"/>
        </w:rPr>
        <w:t>基金合同》及对</w:t>
      </w:r>
      <w:r w:rsidRPr="001833F7">
        <w:rPr>
          <w:rFonts w:ascii="宋体"/>
          <w:bCs/>
          <w:szCs w:val="21"/>
        </w:rPr>
        <w:t>基金合同的任何有效修订和补充</w:t>
      </w:r>
    </w:p>
    <w:p w14:paraId="4C998C0B" w14:textId="5898968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5、托管协议：指基金管理人与基金托管人就本基金签订之《</w:t>
      </w:r>
      <w:r w:rsidR="00C02FED">
        <w:rPr>
          <w:rFonts w:ascii="宋体" w:hint="eastAsia"/>
          <w:bCs/>
          <w:szCs w:val="21"/>
        </w:rPr>
        <w:t>南方行业领先混合型证券投资基金</w:t>
      </w:r>
      <w:r w:rsidRPr="001833F7">
        <w:rPr>
          <w:rFonts w:ascii="宋体"/>
          <w:bCs/>
          <w:szCs w:val="21"/>
        </w:rPr>
        <w:t>托管协议》及对该托管协议的任何有效修订和补充</w:t>
      </w:r>
    </w:p>
    <w:p w14:paraId="399E626E" w14:textId="70D3B040"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6、招募说明书</w:t>
      </w:r>
      <w:r w:rsidR="001C36DF">
        <w:rPr>
          <w:rFonts w:ascii="宋体" w:hint="eastAsia"/>
          <w:bCs/>
          <w:szCs w:val="21"/>
        </w:rPr>
        <w:t>或本</w:t>
      </w:r>
      <w:r w:rsidR="001C36DF">
        <w:rPr>
          <w:rFonts w:ascii="宋体"/>
          <w:bCs/>
          <w:szCs w:val="21"/>
        </w:rPr>
        <w:t>招募说明书</w:t>
      </w:r>
      <w:r w:rsidRPr="001833F7">
        <w:rPr>
          <w:rFonts w:ascii="宋体"/>
          <w:bCs/>
          <w:szCs w:val="21"/>
        </w:rPr>
        <w:t>：指《</w:t>
      </w:r>
      <w:r w:rsidR="00C02FED">
        <w:rPr>
          <w:rFonts w:ascii="宋体" w:hint="eastAsia"/>
          <w:bCs/>
          <w:szCs w:val="21"/>
        </w:rPr>
        <w:t>南方行业领先混合型证券投资基金</w:t>
      </w:r>
      <w:r w:rsidRPr="001833F7">
        <w:rPr>
          <w:rFonts w:ascii="宋体"/>
          <w:bCs/>
          <w:szCs w:val="21"/>
        </w:rPr>
        <w:t>招募说明书》及其更新</w:t>
      </w:r>
    </w:p>
    <w:p w14:paraId="0C32E709" w14:textId="041D8715"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7、基金产品资料概要：指《</w:t>
      </w:r>
      <w:r w:rsidR="00C02FED">
        <w:rPr>
          <w:rFonts w:ascii="宋体"/>
          <w:bCs/>
          <w:szCs w:val="21"/>
        </w:rPr>
        <w:t>南方行业领先混合型证券投资基金</w:t>
      </w:r>
      <w:r w:rsidRPr="001833F7">
        <w:rPr>
          <w:rFonts w:ascii="宋体"/>
          <w:bCs/>
          <w:szCs w:val="21"/>
        </w:rPr>
        <w:t>基金产品资料概要》及其更新</w:t>
      </w:r>
    </w:p>
    <w:p w14:paraId="17D60C47" w14:textId="7BD3DF9B"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8、基金份额发售公告：指《</w:t>
      </w:r>
      <w:r w:rsidR="00C02FED">
        <w:rPr>
          <w:rFonts w:ascii="宋体" w:hint="eastAsia"/>
          <w:bCs/>
          <w:szCs w:val="21"/>
        </w:rPr>
        <w:t>南方行业领先混合型证券投资基金</w:t>
      </w:r>
      <w:r w:rsidRPr="001833F7">
        <w:rPr>
          <w:rFonts w:ascii="宋体"/>
          <w:bCs/>
          <w:szCs w:val="21"/>
        </w:rPr>
        <w:t>基金份额发售公告》</w:t>
      </w:r>
    </w:p>
    <w:p w14:paraId="09A1C8A0"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9、法律法规：指中国现行有效并公布实施的法律、行政法规、规范性文件、司法解释、行政规章以及其他对基金合同当事人有约束力的决定、决议、通知等</w:t>
      </w:r>
    </w:p>
    <w:p w14:paraId="1E9A6AE2"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250321E4"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11、《基金法》：指</w:t>
      </w:r>
      <w:smartTag w:uri="urn:schemas-microsoft-com:office:smarttags" w:element="chsdate">
        <w:smartTagPr>
          <w:attr w:name="Year" w:val="2003"/>
          <w:attr w:name="Month" w:val="10"/>
          <w:attr w:name="Day" w:val="28"/>
          <w:attr w:name="IsLunarDate" w:val="False"/>
          <w:attr w:name="IsROCDate" w:val="False"/>
        </w:smartTagPr>
        <w:r w:rsidRPr="001833F7">
          <w:rPr>
            <w:rFonts w:ascii="宋体"/>
            <w:bCs/>
            <w:szCs w:val="21"/>
          </w:rPr>
          <w:t>2003年10月28日</w:t>
        </w:r>
      </w:smartTag>
      <w:r w:rsidRPr="001833F7">
        <w:rPr>
          <w:rFonts w:ascii="宋体"/>
          <w:bCs/>
          <w:szCs w:val="21"/>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Pr="001833F7">
          <w:rPr>
            <w:rFonts w:ascii="宋体"/>
            <w:bCs/>
            <w:szCs w:val="21"/>
          </w:rPr>
          <w:t>2012年12月28日</w:t>
        </w:r>
      </w:smartTag>
      <w:r w:rsidRPr="001833F7">
        <w:rPr>
          <w:rFonts w:ascii="宋体"/>
          <w:bCs/>
          <w:szCs w:val="21"/>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1833F7">
          <w:rPr>
            <w:rFonts w:ascii="宋体"/>
            <w:bCs/>
            <w:szCs w:val="21"/>
          </w:rPr>
          <w:t>2013年6月1日</w:t>
        </w:r>
      </w:smartTag>
      <w:r w:rsidRPr="001833F7">
        <w:rPr>
          <w:rFonts w:ascii="宋体"/>
          <w:bCs/>
          <w:szCs w:val="21"/>
        </w:rPr>
        <w:t>起实施，并经</w:t>
      </w:r>
      <w:smartTag w:uri="urn:schemas-microsoft-com:office:smarttags" w:element="chsdate">
        <w:smartTagPr>
          <w:attr w:name="Year" w:val="2015"/>
          <w:attr w:name="Month" w:val="4"/>
          <w:attr w:name="Day" w:val="24"/>
          <w:attr w:name="IsLunarDate" w:val="False"/>
          <w:attr w:name="IsROCDate" w:val="False"/>
        </w:smartTagPr>
        <w:r w:rsidRPr="001833F7">
          <w:rPr>
            <w:rFonts w:ascii="宋体"/>
            <w:bCs/>
            <w:szCs w:val="21"/>
          </w:rPr>
          <w:t>2015年4月24日</w:t>
        </w:r>
      </w:smartTag>
      <w:r w:rsidRPr="001833F7">
        <w:rPr>
          <w:rFonts w:ascii="宋体"/>
          <w:bCs/>
          <w:szCs w:val="21"/>
        </w:rPr>
        <w:t>第十二届全国人民代表大会常务委员会第十四次会议《全国人民代表大会常务委员会关于修改&lt;中华人民共和国港口法&gt;等七部法律的决定》修</w:t>
      </w:r>
      <w:r w:rsidRPr="001833F7">
        <w:rPr>
          <w:rFonts w:ascii="宋体" w:hint="eastAsia"/>
          <w:bCs/>
          <w:szCs w:val="21"/>
        </w:rPr>
        <w:t>正</w:t>
      </w:r>
      <w:r w:rsidRPr="001833F7">
        <w:rPr>
          <w:rFonts w:ascii="宋体"/>
          <w:bCs/>
          <w:szCs w:val="21"/>
        </w:rPr>
        <w:t>的《中华人民共和国证券投资基金法》及颁布机关对其不时做出的修订</w:t>
      </w:r>
    </w:p>
    <w:p w14:paraId="0437EDBD" w14:textId="7E659406"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12、</w:t>
      </w:r>
      <w:r w:rsidR="00D1037E" w:rsidRPr="00D1037E">
        <w:rPr>
          <w:rFonts w:ascii="宋体" w:hint="eastAsia"/>
          <w:bCs/>
          <w:szCs w:val="21"/>
        </w:rPr>
        <w:t>《销售办法》：指中国证监会2020年8月28日颁布、同年10月1日实施的《公开募集证券投资基金销售机构监督管理办法》及颁布机关对其不时做出的修订</w:t>
      </w:r>
    </w:p>
    <w:p w14:paraId="70A83131"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lastRenderedPageBreak/>
        <w:t>13、《信息披露办法》：指中国证监会2019年7月26日颁布、同年9月1日实施的</w:t>
      </w:r>
      <w:r w:rsidRPr="001833F7">
        <w:rPr>
          <w:rFonts w:ascii="宋体" w:hint="eastAsia"/>
          <w:bCs/>
          <w:szCs w:val="21"/>
        </w:rPr>
        <w:t>，并经2020年3月20日中国证监会《关于修改部分证券期货规章的决定》修正的</w:t>
      </w:r>
      <w:r w:rsidRPr="001833F7">
        <w:rPr>
          <w:rFonts w:ascii="宋体"/>
          <w:bCs/>
          <w:szCs w:val="21"/>
        </w:rPr>
        <w:t>《公开募集证券投资基金信息披露管理办法》及颁布机关对其不时做出的修订</w:t>
      </w:r>
    </w:p>
    <w:p w14:paraId="7F741437"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14、《运作办法》：指中国证监会</w:t>
      </w:r>
      <w:smartTag w:uri="urn:schemas-microsoft-com:office:smarttags" w:element="chsdate">
        <w:smartTagPr>
          <w:attr w:name="Year" w:val="2014"/>
          <w:attr w:name="Month" w:val="7"/>
          <w:attr w:name="Day" w:val="7"/>
          <w:attr w:name="IsLunarDate" w:val="False"/>
          <w:attr w:name="IsROCDate" w:val="False"/>
        </w:smartTagPr>
        <w:r w:rsidRPr="001833F7">
          <w:rPr>
            <w:rFonts w:ascii="宋体"/>
            <w:bCs/>
            <w:szCs w:val="21"/>
          </w:rPr>
          <w:t>20</w:t>
        </w:r>
        <w:r w:rsidRPr="001833F7">
          <w:rPr>
            <w:rFonts w:ascii="宋体" w:hint="eastAsia"/>
            <w:bCs/>
            <w:szCs w:val="21"/>
          </w:rPr>
          <w:t>14</w:t>
        </w:r>
        <w:r w:rsidRPr="001833F7">
          <w:rPr>
            <w:rFonts w:ascii="宋体"/>
            <w:bCs/>
            <w:szCs w:val="21"/>
          </w:rPr>
          <w:t>年</w:t>
        </w:r>
        <w:r w:rsidRPr="001833F7">
          <w:rPr>
            <w:rFonts w:ascii="宋体" w:hint="eastAsia"/>
            <w:bCs/>
            <w:szCs w:val="21"/>
          </w:rPr>
          <w:t>7</w:t>
        </w:r>
        <w:r w:rsidRPr="001833F7">
          <w:rPr>
            <w:rFonts w:ascii="宋体"/>
            <w:bCs/>
            <w:szCs w:val="21"/>
          </w:rPr>
          <w:t>月</w:t>
        </w:r>
        <w:r w:rsidRPr="001833F7">
          <w:rPr>
            <w:rFonts w:ascii="宋体" w:hint="eastAsia"/>
            <w:bCs/>
            <w:szCs w:val="21"/>
          </w:rPr>
          <w:t>7</w:t>
        </w:r>
        <w:r w:rsidRPr="001833F7">
          <w:rPr>
            <w:rFonts w:ascii="宋体"/>
            <w:bCs/>
            <w:szCs w:val="21"/>
          </w:rPr>
          <w:t>日</w:t>
        </w:r>
      </w:smartTag>
      <w:r w:rsidRPr="001833F7">
        <w:rPr>
          <w:rFonts w:ascii="宋体"/>
          <w:bCs/>
          <w:szCs w:val="21"/>
        </w:rPr>
        <w:t>颁布、同年</w:t>
      </w:r>
      <w:r w:rsidRPr="001833F7">
        <w:rPr>
          <w:rFonts w:ascii="宋体" w:hint="eastAsia"/>
          <w:bCs/>
          <w:szCs w:val="21"/>
        </w:rPr>
        <w:t>8</w:t>
      </w:r>
      <w:r w:rsidRPr="001833F7">
        <w:rPr>
          <w:rFonts w:ascii="宋体"/>
          <w:bCs/>
          <w:szCs w:val="21"/>
        </w:rPr>
        <w:t>月</w:t>
      </w:r>
      <w:r w:rsidRPr="001833F7">
        <w:rPr>
          <w:rFonts w:ascii="宋体" w:hint="eastAsia"/>
          <w:bCs/>
          <w:szCs w:val="21"/>
        </w:rPr>
        <w:t>8</w:t>
      </w:r>
      <w:r w:rsidRPr="001833F7">
        <w:rPr>
          <w:rFonts w:ascii="宋体"/>
          <w:bCs/>
          <w:szCs w:val="21"/>
        </w:rPr>
        <w:t>日实施的《</w:t>
      </w:r>
      <w:r w:rsidRPr="001833F7">
        <w:rPr>
          <w:rFonts w:ascii="宋体" w:hint="eastAsia"/>
          <w:bCs/>
          <w:szCs w:val="21"/>
        </w:rPr>
        <w:t>公开募集</w:t>
      </w:r>
      <w:r w:rsidRPr="001833F7">
        <w:rPr>
          <w:rFonts w:ascii="宋体"/>
          <w:bCs/>
          <w:szCs w:val="21"/>
        </w:rPr>
        <w:t>证券投资基金运作管理办法》及颁布机关对其不时做出的修订</w:t>
      </w:r>
    </w:p>
    <w:p w14:paraId="23388615"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15、《流动性</w:t>
      </w:r>
      <w:r w:rsidRPr="001833F7">
        <w:rPr>
          <w:rFonts w:ascii="宋体" w:hint="eastAsia"/>
          <w:bCs/>
          <w:szCs w:val="21"/>
        </w:rPr>
        <w:t>风险管理</w:t>
      </w:r>
      <w:r w:rsidRPr="001833F7">
        <w:rPr>
          <w:rFonts w:ascii="宋体"/>
          <w:bCs/>
          <w:szCs w:val="21"/>
        </w:rPr>
        <w:t>规定》：指中国证监会</w:t>
      </w:r>
      <w:smartTag w:uri="urn:schemas-microsoft-com:office:smarttags" w:element="chsdate">
        <w:smartTagPr>
          <w:attr w:name="Year" w:val="2017"/>
          <w:attr w:name="Month" w:val="8"/>
          <w:attr w:name="Day" w:val="31"/>
          <w:attr w:name="IsLunarDate" w:val="False"/>
          <w:attr w:name="IsROCDate" w:val="False"/>
        </w:smartTagPr>
        <w:r w:rsidRPr="001833F7">
          <w:rPr>
            <w:rFonts w:ascii="宋体"/>
            <w:bCs/>
            <w:szCs w:val="21"/>
          </w:rPr>
          <w:t>2017年8月31日</w:t>
        </w:r>
      </w:smartTag>
      <w:r w:rsidRPr="001833F7">
        <w:rPr>
          <w:rFonts w:ascii="宋体"/>
          <w:bCs/>
          <w:szCs w:val="21"/>
        </w:rPr>
        <w:t>颁布、同年10月1日实施的《公开募集开放式证券投资基金流动性风险管理规定》及颁布机关对其不时做出的修订</w:t>
      </w:r>
    </w:p>
    <w:p w14:paraId="4A7C9019"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16、中国证监会：指中国证券监督管理委员会</w:t>
      </w:r>
    </w:p>
    <w:p w14:paraId="27B0D8F7"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17、银行业监督管理机构：指中国人民银行和/或中国银行</w:t>
      </w:r>
      <w:r w:rsidRPr="001833F7">
        <w:rPr>
          <w:rFonts w:ascii="宋体" w:hint="eastAsia"/>
          <w:bCs/>
          <w:szCs w:val="21"/>
        </w:rPr>
        <w:t>保险</w:t>
      </w:r>
      <w:r w:rsidRPr="001833F7">
        <w:rPr>
          <w:rFonts w:ascii="宋体"/>
          <w:bCs/>
          <w:szCs w:val="21"/>
        </w:rPr>
        <w:t>监督管理委员会</w:t>
      </w:r>
    </w:p>
    <w:p w14:paraId="468032F4"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18、基金合同当事人：指受基金合同约束，根据基金合同享有权利并承担义务的法律主体，包括基金管理人、基金托管人和基金份额持有人</w:t>
      </w:r>
    </w:p>
    <w:p w14:paraId="3F2F8F76"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19、个人投资者：指依据有关法律法规规定可投资于证券投资基金的自然人</w:t>
      </w:r>
    </w:p>
    <w:p w14:paraId="1E9F6D06"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20、机构投资者：指依法可以投资证券投资基金的、在中华人民共和国境内合法登记并存续或经有关政府部门批准设立并存续的企业法人、事业法人、社会团体或其他组织</w:t>
      </w:r>
    </w:p>
    <w:p w14:paraId="652639C6" w14:textId="45E93AB5"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2</w:t>
      </w:r>
      <w:r w:rsidRPr="001833F7">
        <w:rPr>
          <w:rFonts w:ascii="宋体"/>
          <w:bCs/>
          <w:szCs w:val="21"/>
        </w:rPr>
        <w:t>1</w:t>
      </w:r>
      <w:r w:rsidRPr="001833F7">
        <w:rPr>
          <w:rFonts w:ascii="宋体" w:hint="eastAsia"/>
          <w:bCs/>
          <w:szCs w:val="21"/>
        </w:rPr>
        <w:t>、</w:t>
      </w:r>
      <w:r w:rsidR="00FF6847" w:rsidRPr="00FF6847">
        <w:rPr>
          <w:rFonts w:asci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17E6369" w14:textId="0FA74953" w:rsidR="00827270" w:rsidRPr="001833F7" w:rsidRDefault="00827270" w:rsidP="00827270">
      <w:pPr>
        <w:snapToGrid w:val="0"/>
        <w:spacing w:line="360" w:lineRule="auto"/>
        <w:ind w:firstLineChars="200" w:firstLine="420"/>
        <w:rPr>
          <w:rFonts w:ascii="宋体"/>
          <w:bCs/>
          <w:szCs w:val="21"/>
        </w:rPr>
      </w:pPr>
      <w:r w:rsidRPr="001833F7">
        <w:rPr>
          <w:rFonts w:ascii="宋体" w:hint="eastAsia"/>
          <w:bCs/>
          <w:szCs w:val="21"/>
        </w:rPr>
        <w:t>2</w:t>
      </w:r>
      <w:r>
        <w:rPr>
          <w:rFonts w:ascii="宋体"/>
          <w:bCs/>
          <w:szCs w:val="21"/>
        </w:rPr>
        <w:t>2</w:t>
      </w:r>
      <w:r w:rsidRPr="001833F7">
        <w:rPr>
          <w:rFonts w:ascii="宋体" w:hint="eastAsia"/>
          <w:bCs/>
          <w:szCs w:val="21"/>
        </w:rPr>
        <w:t>、</w:t>
      </w:r>
      <w:r w:rsidRPr="001833F7">
        <w:rPr>
          <w:rFonts w:ascii="宋体"/>
          <w:bCs/>
          <w:szCs w:val="21"/>
        </w:rPr>
        <w:t>投资人</w:t>
      </w:r>
      <w:r w:rsidRPr="001833F7">
        <w:rPr>
          <w:rFonts w:ascii="宋体" w:hint="eastAsia"/>
          <w:bCs/>
          <w:szCs w:val="21"/>
        </w:rPr>
        <w:t>、投资者</w:t>
      </w:r>
      <w:r w:rsidRPr="001833F7">
        <w:rPr>
          <w:rFonts w:ascii="宋体"/>
          <w:bCs/>
          <w:szCs w:val="21"/>
        </w:rPr>
        <w:t>：指个人投资者、机构投资者</w:t>
      </w:r>
      <w:r w:rsidRPr="001833F7">
        <w:rPr>
          <w:rFonts w:ascii="宋体" w:hint="eastAsia"/>
          <w:bCs/>
          <w:szCs w:val="21"/>
        </w:rPr>
        <w:t>、</w:t>
      </w:r>
      <w:r w:rsidRPr="001833F7">
        <w:rPr>
          <w:rFonts w:ascii="宋体"/>
          <w:bCs/>
          <w:szCs w:val="21"/>
        </w:rPr>
        <w:t>合格境外投资者以及法律法规或中国证监会允许购买证券投资基金的其他投资人的合称</w:t>
      </w:r>
    </w:p>
    <w:p w14:paraId="78B886D6" w14:textId="7111F605" w:rsidR="00827270" w:rsidRPr="001833F7" w:rsidRDefault="00827270" w:rsidP="00827270">
      <w:pPr>
        <w:snapToGrid w:val="0"/>
        <w:spacing w:line="360" w:lineRule="auto"/>
        <w:ind w:firstLineChars="200" w:firstLine="420"/>
        <w:rPr>
          <w:rFonts w:ascii="宋体"/>
          <w:bCs/>
          <w:szCs w:val="21"/>
        </w:rPr>
      </w:pPr>
      <w:r w:rsidRPr="001833F7">
        <w:rPr>
          <w:rFonts w:ascii="宋体" w:hint="eastAsia"/>
          <w:bCs/>
          <w:szCs w:val="21"/>
        </w:rPr>
        <w:t>2</w:t>
      </w:r>
      <w:r>
        <w:rPr>
          <w:rFonts w:ascii="宋体"/>
          <w:bCs/>
          <w:szCs w:val="21"/>
        </w:rPr>
        <w:t>3</w:t>
      </w:r>
      <w:r w:rsidRPr="001833F7">
        <w:rPr>
          <w:rFonts w:ascii="宋体" w:hint="eastAsia"/>
          <w:bCs/>
          <w:szCs w:val="21"/>
        </w:rPr>
        <w:t>、</w:t>
      </w:r>
      <w:r w:rsidRPr="001833F7">
        <w:rPr>
          <w:rFonts w:ascii="宋体"/>
          <w:bCs/>
          <w:szCs w:val="21"/>
        </w:rPr>
        <w:t>基金份额持有人：指依基金合同和招募说明书合法取得基金份额的投资人</w:t>
      </w:r>
    </w:p>
    <w:p w14:paraId="5A19BBD2" w14:textId="0AAF5550" w:rsidR="00827270" w:rsidRPr="001833F7" w:rsidRDefault="00827270" w:rsidP="00827270">
      <w:pPr>
        <w:snapToGrid w:val="0"/>
        <w:spacing w:line="360" w:lineRule="auto"/>
        <w:ind w:firstLineChars="200" w:firstLine="420"/>
        <w:rPr>
          <w:rFonts w:ascii="宋体"/>
          <w:bCs/>
          <w:szCs w:val="21"/>
        </w:rPr>
      </w:pPr>
      <w:r w:rsidRPr="001833F7">
        <w:rPr>
          <w:rFonts w:ascii="宋体"/>
          <w:bCs/>
          <w:szCs w:val="21"/>
        </w:rPr>
        <w:t>2</w:t>
      </w:r>
      <w:r>
        <w:rPr>
          <w:rFonts w:ascii="宋体"/>
          <w:bCs/>
          <w:szCs w:val="21"/>
        </w:rPr>
        <w:t>4</w:t>
      </w:r>
      <w:r w:rsidRPr="001833F7">
        <w:rPr>
          <w:rFonts w:ascii="宋体"/>
          <w:bCs/>
          <w:szCs w:val="21"/>
        </w:rPr>
        <w:t>、基金销售业务：指基金管理人或销售机构宣传推介基金，发售基金份额，办理基金份额的申购、赎回、转换、转托管及</w:t>
      </w:r>
      <w:r w:rsidRPr="001833F7">
        <w:rPr>
          <w:rFonts w:ascii="宋体" w:hint="eastAsia"/>
          <w:bCs/>
          <w:szCs w:val="21"/>
        </w:rPr>
        <w:t>定投</w:t>
      </w:r>
      <w:r w:rsidRPr="001833F7">
        <w:rPr>
          <w:rFonts w:ascii="宋体"/>
          <w:bCs/>
          <w:szCs w:val="21"/>
        </w:rPr>
        <w:t>等业务</w:t>
      </w:r>
    </w:p>
    <w:p w14:paraId="0311EE86" w14:textId="03688CD2"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2</w:t>
      </w:r>
      <w:r w:rsidR="00FF6847">
        <w:rPr>
          <w:rFonts w:ascii="宋体"/>
          <w:bCs/>
          <w:szCs w:val="21"/>
        </w:rPr>
        <w:t>5</w:t>
      </w:r>
      <w:r w:rsidRPr="001833F7">
        <w:rPr>
          <w:rFonts w:ascii="宋体"/>
          <w:bCs/>
          <w:szCs w:val="21"/>
        </w:rPr>
        <w:t>、销售机构：指</w:t>
      </w:r>
      <w:r w:rsidRPr="001833F7">
        <w:rPr>
          <w:rFonts w:ascii="宋体" w:hint="eastAsia"/>
          <w:bCs/>
          <w:szCs w:val="21"/>
        </w:rPr>
        <w:t>南方基金管理股份有限公司</w:t>
      </w:r>
      <w:r w:rsidRPr="001833F7">
        <w:rPr>
          <w:rFonts w:ascii="宋体"/>
          <w:bCs/>
          <w:szCs w:val="21"/>
        </w:rPr>
        <w:t>以及符合《销售办法》和中国证监会规定的其他条件，取得基金</w:t>
      </w:r>
      <w:r w:rsidRPr="001833F7">
        <w:rPr>
          <w:rFonts w:ascii="宋体" w:hint="eastAsia"/>
          <w:bCs/>
          <w:szCs w:val="21"/>
        </w:rPr>
        <w:t>销售</w:t>
      </w:r>
      <w:r w:rsidRPr="001833F7">
        <w:rPr>
          <w:rFonts w:ascii="宋体"/>
          <w:bCs/>
          <w:szCs w:val="21"/>
        </w:rPr>
        <w:t>业务资格并与基金管理人签订了基金销售服务协议，办理基金销售业务的机构</w:t>
      </w:r>
    </w:p>
    <w:p w14:paraId="61F83EC1" w14:textId="5CEF14F3"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2</w:t>
      </w:r>
      <w:r w:rsidR="00FF6847">
        <w:rPr>
          <w:rFonts w:ascii="宋体"/>
          <w:bCs/>
          <w:szCs w:val="21"/>
        </w:rPr>
        <w:t>6</w:t>
      </w:r>
      <w:r w:rsidRPr="001833F7">
        <w:rPr>
          <w:rFonts w:ascii="宋体" w:hint="eastAsia"/>
          <w:bCs/>
          <w:szCs w:val="21"/>
        </w:rPr>
        <w:t>、</w:t>
      </w:r>
      <w:r w:rsidRPr="001833F7">
        <w:rPr>
          <w:rFonts w:asci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1833F7">
        <w:rPr>
          <w:rFonts w:ascii="宋体" w:hint="eastAsia"/>
          <w:bCs/>
          <w:szCs w:val="21"/>
        </w:rPr>
        <w:t>和办理非交易过户</w:t>
      </w:r>
      <w:r w:rsidRPr="001833F7">
        <w:rPr>
          <w:rFonts w:ascii="宋体"/>
          <w:bCs/>
          <w:szCs w:val="21"/>
        </w:rPr>
        <w:t>等</w:t>
      </w:r>
    </w:p>
    <w:p w14:paraId="0B8C552D" w14:textId="5B03A51D"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2</w:t>
      </w:r>
      <w:r>
        <w:rPr>
          <w:rFonts w:ascii="宋体"/>
          <w:bCs/>
          <w:szCs w:val="21"/>
        </w:rPr>
        <w:t>7</w:t>
      </w:r>
      <w:r w:rsidR="001833F7" w:rsidRPr="001833F7">
        <w:rPr>
          <w:rFonts w:ascii="宋体"/>
          <w:bCs/>
          <w:szCs w:val="21"/>
        </w:rPr>
        <w:t>、登记机构：指办理登记业务的机构。基金的登记机构为</w:t>
      </w:r>
      <w:r w:rsidR="001833F7" w:rsidRPr="001833F7">
        <w:rPr>
          <w:rFonts w:ascii="宋体" w:hint="eastAsia"/>
          <w:bCs/>
          <w:szCs w:val="21"/>
        </w:rPr>
        <w:t>南方基金管理股份有限公司</w:t>
      </w:r>
      <w:r w:rsidR="001833F7" w:rsidRPr="001833F7">
        <w:rPr>
          <w:rFonts w:ascii="宋体"/>
          <w:bCs/>
          <w:szCs w:val="21"/>
        </w:rPr>
        <w:t>或接受</w:t>
      </w:r>
      <w:r w:rsidR="001833F7" w:rsidRPr="001833F7">
        <w:rPr>
          <w:rFonts w:ascii="宋体" w:hint="eastAsia"/>
          <w:bCs/>
          <w:szCs w:val="21"/>
        </w:rPr>
        <w:t>南方基金管理股份有限公司</w:t>
      </w:r>
      <w:r w:rsidR="001833F7" w:rsidRPr="001833F7">
        <w:rPr>
          <w:rFonts w:ascii="宋体"/>
          <w:bCs/>
          <w:szCs w:val="21"/>
        </w:rPr>
        <w:t>委托代为办理登记业务的机构</w:t>
      </w:r>
      <w:r w:rsidR="001833F7" w:rsidRPr="001833F7">
        <w:rPr>
          <w:rFonts w:ascii="宋体" w:hint="eastAsia"/>
          <w:bCs/>
          <w:szCs w:val="21"/>
        </w:rPr>
        <w:t>，本基金的登记机构为南方基金管理股份有限公司</w:t>
      </w:r>
    </w:p>
    <w:p w14:paraId="21AC4869" w14:textId="35E22686"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2</w:t>
      </w:r>
      <w:r w:rsidR="00FF6847">
        <w:rPr>
          <w:rFonts w:ascii="宋体"/>
          <w:bCs/>
          <w:szCs w:val="21"/>
        </w:rPr>
        <w:t>8</w:t>
      </w:r>
      <w:r w:rsidRPr="001833F7">
        <w:rPr>
          <w:rFonts w:ascii="宋体"/>
          <w:bCs/>
          <w:szCs w:val="21"/>
        </w:rPr>
        <w:t>、基金账户：指登记机构为投资人开立的、记录其持有的、基金管理人所管理的基金份额余额及其变动情况的账户</w:t>
      </w:r>
    </w:p>
    <w:p w14:paraId="6962AC4C" w14:textId="3FECA61E" w:rsidR="001833F7" w:rsidRPr="001833F7" w:rsidRDefault="00FF6847" w:rsidP="001833F7">
      <w:pPr>
        <w:snapToGrid w:val="0"/>
        <w:spacing w:line="360" w:lineRule="auto"/>
        <w:ind w:firstLineChars="200" w:firstLine="420"/>
        <w:rPr>
          <w:rFonts w:ascii="宋体"/>
          <w:bCs/>
          <w:szCs w:val="21"/>
        </w:rPr>
      </w:pPr>
      <w:r>
        <w:rPr>
          <w:rFonts w:ascii="宋体"/>
          <w:bCs/>
          <w:szCs w:val="21"/>
        </w:rPr>
        <w:lastRenderedPageBreak/>
        <w:t>29</w:t>
      </w:r>
      <w:r w:rsidR="001833F7" w:rsidRPr="001833F7">
        <w:rPr>
          <w:rFonts w:ascii="宋体"/>
          <w:bCs/>
          <w:szCs w:val="21"/>
        </w:rPr>
        <w:t>、基金交易账户：指销售机构为投资人开立的、记录投资人通过该销售机构办理认购、申购、赎回等业务而引起的基金份额变动及结余情况的账户</w:t>
      </w:r>
    </w:p>
    <w:p w14:paraId="0978DCBE" w14:textId="74AD92A7"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3</w:t>
      </w:r>
      <w:r>
        <w:rPr>
          <w:rFonts w:ascii="宋体"/>
          <w:bCs/>
          <w:szCs w:val="21"/>
        </w:rPr>
        <w:t>0</w:t>
      </w:r>
      <w:r w:rsidR="001833F7" w:rsidRPr="001833F7">
        <w:rPr>
          <w:rFonts w:ascii="宋体"/>
          <w:bCs/>
          <w:szCs w:val="21"/>
        </w:rPr>
        <w:t>、基金合同生效日：指基金募集达到法律法规规定及基金合同规定的条件，基金管理人向中国证监会办理基金备案手续完毕，并获得中国证监会书面确认的日期</w:t>
      </w:r>
    </w:p>
    <w:p w14:paraId="7CB92589" w14:textId="4C9225B8"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3</w:t>
      </w:r>
      <w:r>
        <w:rPr>
          <w:rFonts w:ascii="宋体"/>
          <w:bCs/>
          <w:szCs w:val="21"/>
        </w:rPr>
        <w:t>1</w:t>
      </w:r>
      <w:r w:rsidR="001833F7" w:rsidRPr="001833F7">
        <w:rPr>
          <w:rFonts w:ascii="宋体" w:hint="eastAsia"/>
          <w:bCs/>
          <w:szCs w:val="21"/>
        </w:rPr>
        <w:t>、</w:t>
      </w:r>
      <w:r w:rsidR="001833F7" w:rsidRPr="001833F7">
        <w:rPr>
          <w:rFonts w:ascii="宋体"/>
          <w:bCs/>
          <w:szCs w:val="21"/>
        </w:rPr>
        <w:t>基金合同终止日：指基金合同规定的基金合同终止事由出现后，基金财产清算完毕，清算结果报中国证监会备案并予以公告的日期</w:t>
      </w:r>
    </w:p>
    <w:p w14:paraId="65E1E1AB" w14:textId="1A7AD6E4"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3</w:t>
      </w:r>
      <w:r>
        <w:rPr>
          <w:rFonts w:ascii="宋体"/>
          <w:bCs/>
          <w:szCs w:val="21"/>
        </w:rPr>
        <w:t>2</w:t>
      </w:r>
      <w:r w:rsidR="001833F7" w:rsidRPr="001833F7">
        <w:rPr>
          <w:rFonts w:ascii="宋体" w:hint="eastAsia"/>
          <w:bCs/>
          <w:szCs w:val="21"/>
        </w:rPr>
        <w:t>、</w:t>
      </w:r>
      <w:r w:rsidR="001833F7" w:rsidRPr="001833F7">
        <w:rPr>
          <w:rFonts w:ascii="宋体"/>
          <w:bCs/>
          <w:szCs w:val="21"/>
        </w:rPr>
        <w:t>基金募集期：指自基金份额发售之日起至发售结束之日止的期间，最长不得超过</w:t>
      </w:r>
      <w:r w:rsidR="001833F7" w:rsidRPr="001833F7">
        <w:rPr>
          <w:rFonts w:ascii="宋体" w:hint="eastAsia"/>
          <w:bCs/>
          <w:szCs w:val="21"/>
        </w:rPr>
        <w:t>3</w:t>
      </w:r>
      <w:r w:rsidR="001833F7" w:rsidRPr="001833F7">
        <w:rPr>
          <w:rFonts w:ascii="宋体"/>
          <w:bCs/>
          <w:szCs w:val="21"/>
        </w:rPr>
        <w:t>个月</w:t>
      </w:r>
    </w:p>
    <w:p w14:paraId="259B425A" w14:textId="17FB660D"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3</w:t>
      </w:r>
      <w:r>
        <w:rPr>
          <w:rFonts w:ascii="宋体"/>
          <w:bCs/>
          <w:szCs w:val="21"/>
        </w:rPr>
        <w:t>3</w:t>
      </w:r>
      <w:r w:rsidR="001833F7" w:rsidRPr="001833F7">
        <w:rPr>
          <w:rFonts w:ascii="宋体" w:hint="eastAsia"/>
          <w:bCs/>
          <w:szCs w:val="21"/>
        </w:rPr>
        <w:t>、</w:t>
      </w:r>
      <w:r w:rsidR="001833F7" w:rsidRPr="001833F7">
        <w:rPr>
          <w:rFonts w:ascii="宋体"/>
          <w:bCs/>
          <w:szCs w:val="21"/>
        </w:rPr>
        <w:t>存续期：指基金合同生效至终止之间的不定期期限</w:t>
      </w:r>
    </w:p>
    <w:p w14:paraId="504D3961" w14:textId="2286AC68"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3</w:t>
      </w:r>
      <w:r>
        <w:rPr>
          <w:rFonts w:ascii="宋体"/>
          <w:bCs/>
          <w:szCs w:val="21"/>
        </w:rPr>
        <w:t>4</w:t>
      </w:r>
      <w:r w:rsidR="001833F7" w:rsidRPr="001833F7">
        <w:rPr>
          <w:rFonts w:ascii="宋体"/>
          <w:bCs/>
          <w:szCs w:val="21"/>
        </w:rPr>
        <w:t>、工作日：指上海证券交易所、深圳证券交易所的正常交易日</w:t>
      </w:r>
    </w:p>
    <w:p w14:paraId="3D9F3167" w14:textId="2390E7A7"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3</w:t>
      </w:r>
      <w:r>
        <w:rPr>
          <w:rFonts w:ascii="宋体"/>
          <w:bCs/>
          <w:szCs w:val="21"/>
        </w:rPr>
        <w:t>5</w:t>
      </w:r>
      <w:r w:rsidR="001833F7" w:rsidRPr="001833F7">
        <w:rPr>
          <w:rFonts w:ascii="宋体"/>
          <w:bCs/>
          <w:szCs w:val="21"/>
        </w:rPr>
        <w:t>、T日：指销售机构在规定时间受理投资人申购、赎回或其他业务申请的开放日</w:t>
      </w:r>
    </w:p>
    <w:p w14:paraId="1F371D3A" w14:textId="0913AB4B"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3</w:t>
      </w:r>
      <w:r w:rsidR="00FF6847">
        <w:rPr>
          <w:rFonts w:ascii="宋体"/>
          <w:bCs/>
          <w:szCs w:val="21"/>
        </w:rPr>
        <w:t>6</w:t>
      </w:r>
      <w:r w:rsidRPr="001833F7">
        <w:rPr>
          <w:rFonts w:ascii="宋体"/>
          <w:bCs/>
          <w:szCs w:val="21"/>
        </w:rPr>
        <w:t>、T+n日：指自T日起第n个工作日(不包含T日)</w:t>
      </w:r>
      <w:r w:rsidRPr="001833F7">
        <w:rPr>
          <w:rFonts w:ascii="宋体" w:hint="eastAsia"/>
          <w:bCs/>
          <w:szCs w:val="21"/>
        </w:rPr>
        <w:t xml:space="preserve"> ，n为自然数</w:t>
      </w:r>
    </w:p>
    <w:p w14:paraId="206907A0" w14:textId="529F0382"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3</w:t>
      </w:r>
      <w:r>
        <w:rPr>
          <w:rFonts w:ascii="宋体"/>
          <w:bCs/>
          <w:szCs w:val="21"/>
        </w:rPr>
        <w:t>7</w:t>
      </w:r>
      <w:r w:rsidR="001833F7" w:rsidRPr="001833F7">
        <w:rPr>
          <w:rFonts w:ascii="宋体"/>
          <w:bCs/>
          <w:szCs w:val="21"/>
        </w:rPr>
        <w:t>、开放日：指为投资人办理基金份额申购、赎回或其他业务的工作日</w:t>
      </w:r>
    </w:p>
    <w:p w14:paraId="78563886" w14:textId="395672F6"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3</w:t>
      </w:r>
      <w:r>
        <w:rPr>
          <w:rFonts w:ascii="宋体"/>
          <w:bCs/>
          <w:szCs w:val="21"/>
        </w:rPr>
        <w:t>8</w:t>
      </w:r>
      <w:r w:rsidR="001833F7" w:rsidRPr="001833F7">
        <w:rPr>
          <w:rFonts w:ascii="宋体"/>
          <w:bCs/>
          <w:szCs w:val="21"/>
        </w:rPr>
        <w:t>、开放时间：指开放日基金接受申购、赎回或其他交易的时间段</w:t>
      </w:r>
    </w:p>
    <w:p w14:paraId="1EC35DC0" w14:textId="44850DF3" w:rsidR="001833F7" w:rsidRPr="001833F7" w:rsidRDefault="00FF6847" w:rsidP="001833F7">
      <w:pPr>
        <w:snapToGrid w:val="0"/>
        <w:spacing w:line="360" w:lineRule="auto"/>
        <w:ind w:firstLineChars="200" w:firstLine="420"/>
        <w:rPr>
          <w:rFonts w:ascii="宋体"/>
          <w:bCs/>
          <w:szCs w:val="21"/>
        </w:rPr>
      </w:pPr>
      <w:r>
        <w:rPr>
          <w:rFonts w:ascii="宋体"/>
          <w:bCs/>
          <w:szCs w:val="21"/>
        </w:rPr>
        <w:t>39</w:t>
      </w:r>
      <w:r w:rsidR="001833F7" w:rsidRPr="001833F7">
        <w:rPr>
          <w:rFonts w:ascii="宋体"/>
          <w:bCs/>
          <w:szCs w:val="21"/>
        </w:rPr>
        <w:t>、《业务规则》：指《</w:t>
      </w:r>
      <w:r w:rsidR="001833F7" w:rsidRPr="001833F7">
        <w:rPr>
          <w:rFonts w:ascii="宋体" w:hint="eastAsia"/>
          <w:bCs/>
          <w:szCs w:val="21"/>
        </w:rPr>
        <w:t>南方</w:t>
      </w:r>
      <w:r w:rsidR="001833F7" w:rsidRPr="001833F7">
        <w:rPr>
          <w:rFonts w:ascii="宋体"/>
          <w:bCs/>
          <w:szCs w:val="21"/>
        </w:rPr>
        <w:t>基金管理</w:t>
      </w:r>
      <w:r w:rsidR="001833F7" w:rsidRPr="001833F7">
        <w:rPr>
          <w:rFonts w:ascii="宋体" w:hint="eastAsia"/>
          <w:bCs/>
          <w:szCs w:val="21"/>
        </w:rPr>
        <w:t>股份</w:t>
      </w:r>
      <w:r w:rsidR="001833F7" w:rsidRPr="001833F7">
        <w:rPr>
          <w:rFonts w:ascii="宋体"/>
          <w:bCs/>
          <w:szCs w:val="21"/>
        </w:rPr>
        <w:t>有限</w:t>
      </w:r>
      <w:r w:rsidR="001833F7" w:rsidRPr="001833F7">
        <w:rPr>
          <w:rFonts w:ascii="宋体" w:hint="eastAsia"/>
          <w:bCs/>
          <w:szCs w:val="21"/>
        </w:rPr>
        <w:t>公司</w:t>
      </w:r>
      <w:r w:rsidR="001833F7" w:rsidRPr="001833F7">
        <w:rPr>
          <w:rFonts w:ascii="宋体"/>
          <w:bCs/>
          <w:szCs w:val="21"/>
        </w:rPr>
        <w:t>开放式基金业务规则》，是规范基金管理人所管理的开放式证券投资基金登记方面的业务规则，由基金管理人和投资人共同遵守</w:t>
      </w:r>
    </w:p>
    <w:p w14:paraId="47F045F9" w14:textId="3F75012A"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4</w:t>
      </w:r>
      <w:r>
        <w:rPr>
          <w:rFonts w:ascii="宋体"/>
          <w:bCs/>
          <w:szCs w:val="21"/>
        </w:rPr>
        <w:t>0</w:t>
      </w:r>
      <w:r w:rsidR="001833F7" w:rsidRPr="001833F7">
        <w:rPr>
          <w:rFonts w:ascii="宋体"/>
          <w:bCs/>
          <w:szCs w:val="21"/>
        </w:rPr>
        <w:t>、认购：指在基金募集期内，投资人根据基金合同和招募说明书的规定申请购买基金份额的行为</w:t>
      </w:r>
    </w:p>
    <w:p w14:paraId="67B93646" w14:textId="39CAC586"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4</w:t>
      </w:r>
      <w:r>
        <w:rPr>
          <w:rFonts w:ascii="宋体"/>
          <w:bCs/>
          <w:szCs w:val="21"/>
        </w:rPr>
        <w:t>1</w:t>
      </w:r>
      <w:r w:rsidR="001833F7" w:rsidRPr="001833F7">
        <w:rPr>
          <w:rFonts w:ascii="宋体" w:hint="eastAsia"/>
          <w:bCs/>
          <w:szCs w:val="21"/>
        </w:rPr>
        <w:t>、</w:t>
      </w:r>
      <w:r w:rsidR="001833F7" w:rsidRPr="001833F7">
        <w:rPr>
          <w:rFonts w:ascii="宋体"/>
          <w:bCs/>
          <w:szCs w:val="21"/>
        </w:rPr>
        <w:t>申购：指基金合同生效后，投资人根据基金合同和招募说明书的规定申请购买基金份额的行为</w:t>
      </w:r>
    </w:p>
    <w:p w14:paraId="47640CF2" w14:textId="695B741D"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4</w:t>
      </w:r>
      <w:r>
        <w:rPr>
          <w:rFonts w:ascii="宋体"/>
          <w:bCs/>
          <w:szCs w:val="21"/>
        </w:rPr>
        <w:t>2</w:t>
      </w:r>
      <w:r w:rsidR="001833F7" w:rsidRPr="001833F7">
        <w:rPr>
          <w:rFonts w:ascii="宋体" w:hint="eastAsia"/>
          <w:bCs/>
          <w:szCs w:val="21"/>
        </w:rPr>
        <w:t>、</w:t>
      </w:r>
      <w:r w:rsidR="001833F7" w:rsidRPr="001833F7">
        <w:rPr>
          <w:rFonts w:ascii="宋体"/>
          <w:bCs/>
          <w:szCs w:val="21"/>
        </w:rPr>
        <w:t>赎回：指基金合同生效后，基金份额持有人按基金合同</w:t>
      </w:r>
      <w:r w:rsidR="001833F7" w:rsidRPr="001833F7">
        <w:rPr>
          <w:rFonts w:ascii="宋体" w:hint="eastAsia"/>
          <w:bCs/>
          <w:szCs w:val="21"/>
        </w:rPr>
        <w:t>和</w:t>
      </w:r>
      <w:r w:rsidR="001833F7" w:rsidRPr="001833F7">
        <w:rPr>
          <w:rFonts w:ascii="宋体"/>
          <w:bCs/>
          <w:szCs w:val="21"/>
        </w:rPr>
        <w:t>招募说明书规定的条件要求将基金份额兑换为现金的行为</w:t>
      </w:r>
    </w:p>
    <w:p w14:paraId="645180DF" w14:textId="4ADEA884"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4</w:t>
      </w:r>
      <w:r>
        <w:rPr>
          <w:rFonts w:ascii="宋体"/>
          <w:bCs/>
          <w:szCs w:val="21"/>
        </w:rPr>
        <w:t>3</w:t>
      </w:r>
      <w:r w:rsidR="001833F7" w:rsidRPr="001833F7">
        <w:rPr>
          <w:rFonts w:ascii="宋体" w:hint="eastAsia"/>
          <w:bCs/>
          <w:szCs w:val="21"/>
        </w:rPr>
        <w:t>、</w:t>
      </w:r>
      <w:r w:rsidR="003031D7">
        <w:rPr>
          <w:rFonts w:ascii="宋体"/>
          <w:bCs/>
          <w:szCs w:val="21"/>
        </w:rPr>
        <w:t>基金转换：指基金份额持有人按照</w:t>
      </w:r>
      <w:r w:rsidR="001833F7" w:rsidRPr="001833F7">
        <w:rPr>
          <w:rFonts w:ascii="宋体"/>
          <w:bCs/>
          <w:szCs w:val="21"/>
        </w:rPr>
        <w:t>基金合同和基金管理人届时有效公告规定的条件，申请将其持有基金管理人管理的、某一基金的基金份额转换为基金管理人管理的其他基金基金份额的行为</w:t>
      </w:r>
    </w:p>
    <w:p w14:paraId="25C9C680" w14:textId="5AF3ACCA" w:rsidR="001833F7" w:rsidRPr="001833F7" w:rsidRDefault="001833F7" w:rsidP="001833F7">
      <w:pPr>
        <w:snapToGrid w:val="0"/>
        <w:spacing w:line="360" w:lineRule="auto"/>
        <w:ind w:firstLineChars="200" w:firstLine="420"/>
        <w:rPr>
          <w:rFonts w:ascii="宋体"/>
          <w:bCs/>
          <w:szCs w:val="21"/>
        </w:rPr>
      </w:pPr>
      <w:r w:rsidRPr="001833F7">
        <w:rPr>
          <w:rFonts w:ascii="宋体"/>
          <w:bCs/>
          <w:szCs w:val="21"/>
        </w:rPr>
        <w:t>4</w:t>
      </w:r>
      <w:r w:rsidR="00FF6847">
        <w:rPr>
          <w:rFonts w:ascii="宋体"/>
          <w:bCs/>
          <w:szCs w:val="21"/>
        </w:rPr>
        <w:t>4</w:t>
      </w:r>
      <w:r w:rsidRPr="001833F7">
        <w:rPr>
          <w:rFonts w:ascii="宋体"/>
          <w:bCs/>
          <w:szCs w:val="21"/>
        </w:rPr>
        <w:t>、转托管：指基金份额持有人在本基金的不同销售机构之间实施的变更所持基金份额销售机构的操作</w:t>
      </w:r>
    </w:p>
    <w:p w14:paraId="48D0EE06" w14:textId="51389D3F"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4</w:t>
      </w:r>
      <w:r>
        <w:rPr>
          <w:rFonts w:ascii="宋体"/>
          <w:bCs/>
          <w:szCs w:val="21"/>
        </w:rPr>
        <w:t>5</w:t>
      </w:r>
      <w:r w:rsidR="001833F7" w:rsidRPr="001833F7">
        <w:rPr>
          <w:rFonts w:ascii="宋体"/>
          <w:bCs/>
          <w:szCs w:val="21"/>
        </w:rPr>
        <w:t>、</w:t>
      </w:r>
      <w:r w:rsidR="001833F7" w:rsidRPr="001833F7">
        <w:rPr>
          <w:rFonts w:ascii="宋体" w:hint="eastAsia"/>
          <w:bCs/>
          <w:szCs w:val="21"/>
        </w:rPr>
        <w:t>定投</w:t>
      </w:r>
      <w:r w:rsidR="001833F7" w:rsidRPr="001833F7">
        <w:rPr>
          <w:rFonts w:ascii="宋体"/>
          <w:bCs/>
          <w:szCs w:val="21"/>
        </w:rPr>
        <w:t>计划：指投资人通过有关销售机构提出申请，约定每期</w:t>
      </w:r>
      <w:r w:rsidR="001833F7" w:rsidRPr="001833F7">
        <w:rPr>
          <w:rFonts w:ascii="宋体" w:hint="eastAsia"/>
          <w:bCs/>
          <w:szCs w:val="21"/>
        </w:rPr>
        <w:t>申购</w:t>
      </w:r>
      <w:r w:rsidR="001833F7" w:rsidRPr="001833F7">
        <w:rPr>
          <w:rFonts w:ascii="宋体"/>
          <w:bCs/>
          <w:szCs w:val="21"/>
        </w:rPr>
        <w:t>日、扣款金额及扣款方式，由销售机构于每期约定扣款日在投资人指定银行账户内自动完成扣款及</w:t>
      </w:r>
      <w:r w:rsidR="001833F7" w:rsidRPr="001833F7">
        <w:rPr>
          <w:rFonts w:ascii="宋体" w:hint="eastAsia"/>
          <w:bCs/>
          <w:szCs w:val="21"/>
        </w:rPr>
        <w:t>受理</w:t>
      </w:r>
      <w:r w:rsidR="001833F7" w:rsidRPr="001833F7">
        <w:rPr>
          <w:rFonts w:ascii="宋体"/>
          <w:bCs/>
          <w:szCs w:val="21"/>
        </w:rPr>
        <w:t>基金申购申请的一种投资方式</w:t>
      </w:r>
    </w:p>
    <w:p w14:paraId="124827A3" w14:textId="03F547E4"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4</w:t>
      </w:r>
      <w:r>
        <w:rPr>
          <w:rFonts w:ascii="宋体"/>
          <w:bCs/>
          <w:szCs w:val="21"/>
        </w:rPr>
        <w:t>6</w:t>
      </w:r>
      <w:r w:rsidR="001833F7" w:rsidRPr="001833F7">
        <w:rPr>
          <w:rFonts w:ascii="宋体"/>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、巨额赎回：指本基金单个开放日，基金净赎回申请(赎回申请份额总数加上基金转换中转出申请份额总数后扣除申购申请份额总数及基金转换中转入申请份额总数后的余额)超过上一开放日基金总份额的10</w:t>
      </w:r>
      <w:r w:rsidR="001833F7" w:rsidRPr="001833F7">
        <w:rPr>
          <w:rFonts w:ascii="宋体" w:hint="eastAsia"/>
          <w:bCs/>
          <w:szCs w:val="21"/>
        </w:rPr>
        <w:t>%</w:t>
      </w:r>
    </w:p>
    <w:p w14:paraId="75254851" w14:textId="73D3ACAC"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4</w:t>
      </w:r>
      <w:r>
        <w:rPr>
          <w:rFonts w:ascii="宋体"/>
          <w:bCs/>
          <w:szCs w:val="21"/>
        </w:rPr>
        <w:t>7</w:t>
      </w:r>
      <w:r w:rsidR="001833F7" w:rsidRPr="001833F7">
        <w:rPr>
          <w:rFonts w:ascii="宋体"/>
          <w:bCs/>
          <w:szCs w:val="21"/>
        </w:rPr>
        <w:t>、元：指人民币元</w:t>
      </w:r>
    </w:p>
    <w:p w14:paraId="32543CCB" w14:textId="1A944131"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lastRenderedPageBreak/>
        <w:t>4</w:t>
      </w:r>
      <w:r>
        <w:rPr>
          <w:rFonts w:ascii="宋体"/>
          <w:bCs/>
          <w:szCs w:val="21"/>
        </w:rPr>
        <w:t>8</w:t>
      </w:r>
      <w:r w:rsidR="001833F7" w:rsidRPr="001833F7">
        <w:rPr>
          <w:rFonts w:ascii="宋体"/>
          <w:bCs/>
          <w:szCs w:val="21"/>
        </w:rPr>
        <w:t>、基金利润：指基金利息收入、投资收益、公允价值变动收益和其他收入扣除相关费用后的余额</w:t>
      </w:r>
    </w:p>
    <w:p w14:paraId="64AD0AD7" w14:textId="4495AE45" w:rsidR="001833F7" w:rsidRPr="001833F7" w:rsidRDefault="00FF6847" w:rsidP="001833F7">
      <w:pPr>
        <w:snapToGrid w:val="0"/>
        <w:spacing w:line="360" w:lineRule="auto"/>
        <w:ind w:firstLineChars="200" w:firstLine="420"/>
        <w:rPr>
          <w:rFonts w:ascii="宋体"/>
          <w:bCs/>
          <w:szCs w:val="21"/>
        </w:rPr>
      </w:pPr>
      <w:r>
        <w:rPr>
          <w:rFonts w:ascii="宋体"/>
          <w:bCs/>
          <w:szCs w:val="21"/>
        </w:rPr>
        <w:t>49</w:t>
      </w:r>
      <w:r w:rsidR="001833F7" w:rsidRPr="001833F7">
        <w:rPr>
          <w:rFonts w:ascii="宋体"/>
          <w:bCs/>
          <w:szCs w:val="21"/>
        </w:rPr>
        <w:t>、基金资产总值：指基金拥有的各类有价证券、银行存款本息、基金应收申购款及其他资产的价值总和</w:t>
      </w:r>
    </w:p>
    <w:p w14:paraId="5D85C4CD" w14:textId="3D4B731F" w:rsidR="001833F7" w:rsidRPr="001833F7" w:rsidRDefault="00FF6847" w:rsidP="001833F7">
      <w:pPr>
        <w:snapToGrid w:val="0"/>
        <w:spacing w:line="360" w:lineRule="auto"/>
        <w:ind w:firstLineChars="200" w:firstLine="420"/>
        <w:rPr>
          <w:rFonts w:ascii="宋体"/>
          <w:bCs/>
          <w:szCs w:val="21"/>
        </w:rPr>
      </w:pPr>
      <w:r w:rsidRPr="001833F7">
        <w:rPr>
          <w:rFonts w:ascii="宋体"/>
          <w:bCs/>
          <w:szCs w:val="21"/>
        </w:rPr>
        <w:t>5</w:t>
      </w:r>
      <w:r>
        <w:rPr>
          <w:rFonts w:ascii="宋体"/>
          <w:bCs/>
          <w:szCs w:val="21"/>
        </w:rPr>
        <w:t>0</w:t>
      </w:r>
      <w:r w:rsidR="001833F7" w:rsidRPr="001833F7">
        <w:rPr>
          <w:rFonts w:ascii="宋体"/>
          <w:bCs/>
          <w:szCs w:val="21"/>
        </w:rPr>
        <w:t>、基金资产净值：指基金资产总值减去基金负债后的价值</w:t>
      </w:r>
    </w:p>
    <w:p w14:paraId="6FDBDF7C" w14:textId="26EF0D36"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5</w:t>
      </w:r>
      <w:r>
        <w:rPr>
          <w:rFonts w:ascii="宋体"/>
          <w:bCs/>
          <w:szCs w:val="21"/>
        </w:rPr>
        <w:t>1</w:t>
      </w:r>
      <w:r w:rsidR="001833F7" w:rsidRPr="001833F7">
        <w:rPr>
          <w:rFonts w:ascii="宋体" w:hint="eastAsia"/>
          <w:bCs/>
          <w:szCs w:val="21"/>
        </w:rPr>
        <w:t>、</w:t>
      </w:r>
      <w:r w:rsidR="001833F7" w:rsidRPr="001833F7">
        <w:rPr>
          <w:rFonts w:ascii="宋体"/>
          <w:bCs/>
          <w:szCs w:val="21"/>
        </w:rPr>
        <w:t>基金份额净值：指计算日基金资产净值除以计算日基金份额总数</w:t>
      </w:r>
    </w:p>
    <w:p w14:paraId="61199147" w14:textId="4AB3CB40"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5</w:t>
      </w:r>
      <w:r>
        <w:rPr>
          <w:rFonts w:ascii="宋体"/>
          <w:bCs/>
          <w:szCs w:val="21"/>
        </w:rPr>
        <w:t>2</w:t>
      </w:r>
      <w:r w:rsidR="001833F7" w:rsidRPr="001833F7">
        <w:rPr>
          <w:rFonts w:ascii="宋体" w:hint="eastAsia"/>
          <w:bCs/>
          <w:szCs w:val="21"/>
        </w:rPr>
        <w:t>、</w:t>
      </w:r>
      <w:r w:rsidR="001833F7" w:rsidRPr="001833F7">
        <w:rPr>
          <w:rFonts w:ascii="宋体"/>
          <w:bCs/>
          <w:szCs w:val="21"/>
        </w:rPr>
        <w:t>基金资产估值：指计算评估基金资产和负债的价值，以确定基金资产净值和基金份额净值的过程</w:t>
      </w:r>
    </w:p>
    <w:p w14:paraId="1E26A890" w14:textId="208AEE15" w:rsidR="00827270" w:rsidRPr="001833F7" w:rsidRDefault="00827270" w:rsidP="00827270">
      <w:pPr>
        <w:snapToGrid w:val="0"/>
        <w:spacing w:line="360" w:lineRule="auto"/>
        <w:ind w:firstLineChars="200" w:firstLine="420"/>
        <w:rPr>
          <w:rFonts w:ascii="宋体"/>
          <w:bCs/>
          <w:szCs w:val="21"/>
        </w:rPr>
      </w:pPr>
      <w:r w:rsidRPr="001833F7">
        <w:rPr>
          <w:rFonts w:ascii="宋体" w:hint="eastAsia"/>
          <w:bCs/>
          <w:szCs w:val="21"/>
        </w:rPr>
        <w:t>5</w:t>
      </w:r>
      <w:r>
        <w:rPr>
          <w:rFonts w:ascii="宋体"/>
          <w:bCs/>
          <w:szCs w:val="21"/>
        </w:rPr>
        <w:t>3</w:t>
      </w:r>
      <w:r w:rsidRPr="001833F7">
        <w:rPr>
          <w:rFonts w:ascii="宋体" w:hint="eastAsia"/>
          <w:bCs/>
          <w:szCs w:val="21"/>
        </w:rPr>
        <w:t>、</w:t>
      </w:r>
      <w:r w:rsidRPr="001833F7">
        <w:rPr>
          <w:rFonts w:ascii="宋体"/>
          <w:bCs/>
          <w:szCs w:val="21"/>
        </w:rPr>
        <w:t>规定媒介：</w:t>
      </w:r>
      <w:r w:rsidRPr="001833F7">
        <w:rPr>
          <w:rFonts w:ascii="宋体" w:hint="eastAsia"/>
          <w:bCs/>
          <w:szCs w:val="21"/>
        </w:rPr>
        <w:t>指</w:t>
      </w:r>
      <w:r>
        <w:rPr>
          <w:rFonts w:ascii="宋体" w:hint="eastAsia"/>
          <w:bCs/>
          <w:szCs w:val="21"/>
        </w:rPr>
        <w:t>符合</w:t>
      </w:r>
      <w:r w:rsidRPr="001833F7">
        <w:rPr>
          <w:rFonts w:ascii="宋体" w:hint="eastAsia"/>
          <w:bCs/>
          <w:szCs w:val="21"/>
        </w:rPr>
        <w:t>中国证监会规定条件的用以进行信息披露的全国性报刊及《信息披露办法》规定的互联网网站（包括基金管理人网站、基金托管人网站、中国证监会</w:t>
      </w:r>
      <w:r>
        <w:rPr>
          <w:rFonts w:ascii="宋体" w:hint="eastAsia"/>
          <w:bCs/>
          <w:szCs w:val="21"/>
        </w:rPr>
        <w:t>基金</w:t>
      </w:r>
      <w:r w:rsidRPr="001833F7">
        <w:rPr>
          <w:rFonts w:ascii="宋体" w:hint="eastAsia"/>
          <w:bCs/>
          <w:szCs w:val="21"/>
        </w:rPr>
        <w:t>电子披露网站）等媒介</w:t>
      </w:r>
    </w:p>
    <w:p w14:paraId="40859F09" w14:textId="7B188D60" w:rsidR="001833F7" w:rsidRPr="001833F7" w:rsidRDefault="00FF6847" w:rsidP="001833F7">
      <w:pPr>
        <w:snapToGrid w:val="0"/>
        <w:spacing w:line="360" w:lineRule="auto"/>
        <w:ind w:firstLineChars="200" w:firstLine="420"/>
        <w:rPr>
          <w:rFonts w:ascii="宋体"/>
          <w:bCs/>
          <w:szCs w:val="21"/>
        </w:rPr>
      </w:pPr>
      <w:r w:rsidRPr="001833F7">
        <w:rPr>
          <w:rFonts w:ascii="宋体" w:hint="eastAsia"/>
          <w:bCs/>
          <w:szCs w:val="21"/>
        </w:rPr>
        <w:t>5</w:t>
      </w:r>
      <w:r>
        <w:rPr>
          <w:rFonts w:ascii="宋体"/>
          <w:bCs/>
          <w:szCs w:val="21"/>
        </w:rPr>
        <w:t>4</w:t>
      </w:r>
      <w:r w:rsidR="001833F7" w:rsidRPr="001833F7">
        <w:rPr>
          <w:rFonts w:ascii="宋体" w:hint="eastAsia"/>
          <w:bCs/>
          <w:szCs w:val="21"/>
        </w:rPr>
        <w:t>、销售服务费：指从基金财产中计提的，用于本基金市场推广、销售以及基金份额持有人服务的费用</w:t>
      </w:r>
    </w:p>
    <w:p w14:paraId="097848B3" w14:textId="7EA08D73"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5</w:t>
      </w:r>
      <w:r w:rsidR="00FF6847">
        <w:rPr>
          <w:rFonts w:ascii="宋体"/>
          <w:bCs/>
          <w:szCs w:val="21"/>
        </w:rPr>
        <w:t>5</w:t>
      </w:r>
      <w:r w:rsidRPr="001833F7">
        <w:rPr>
          <w:rFonts w:asci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6899E04" w14:textId="705F840A"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5</w:t>
      </w:r>
      <w:r w:rsidR="00FF6847">
        <w:rPr>
          <w:rFonts w:ascii="宋体"/>
          <w:bCs/>
          <w:szCs w:val="21"/>
        </w:rPr>
        <w:t>6</w:t>
      </w:r>
      <w:r w:rsidRPr="001833F7">
        <w:rPr>
          <w:rFonts w:asci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87FF8FD" w14:textId="1B5958DD" w:rsidR="001833F7" w:rsidRPr="001833F7" w:rsidRDefault="00FF6847" w:rsidP="001833F7">
      <w:pPr>
        <w:snapToGrid w:val="0"/>
        <w:spacing w:line="360" w:lineRule="auto"/>
        <w:ind w:firstLineChars="200" w:firstLine="420"/>
        <w:rPr>
          <w:rFonts w:ascii="宋体"/>
          <w:bCs/>
          <w:szCs w:val="21"/>
        </w:rPr>
      </w:pPr>
      <w:r>
        <w:rPr>
          <w:rFonts w:ascii="宋体"/>
          <w:bCs/>
          <w:szCs w:val="21"/>
        </w:rPr>
        <w:t>57</w:t>
      </w:r>
      <w:r w:rsidR="001833F7" w:rsidRPr="001833F7">
        <w:rPr>
          <w:rFonts w:ascii="宋体"/>
          <w:bCs/>
          <w:szCs w:val="21"/>
        </w:rPr>
        <w:t>、</w:t>
      </w:r>
      <w:r w:rsidR="001833F7" w:rsidRPr="001833F7">
        <w:rPr>
          <w:rFonts w:ascii="宋体" w:hint="eastAsia"/>
          <w:bCs/>
          <w:szCs w:val="21"/>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54203BA9" w14:textId="4DB2D90C" w:rsidR="00827270" w:rsidRPr="001833F7" w:rsidRDefault="00827270" w:rsidP="00827270">
      <w:pPr>
        <w:snapToGrid w:val="0"/>
        <w:spacing w:line="360" w:lineRule="auto"/>
        <w:ind w:firstLineChars="200" w:firstLine="420"/>
        <w:rPr>
          <w:rFonts w:ascii="宋体"/>
          <w:bCs/>
          <w:szCs w:val="21"/>
        </w:rPr>
      </w:pPr>
      <w:r>
        <w:rPr>
          <w:rFonts w:ascii="宋体"/>
          <w:bCs/>
          <w:szCs w:val="21"/>
        </w:rPr>
        <w:t>58</w:t>
      </w:r>
      <w:r w:rsidRPr="001833F7">
        <w:rPr>
          <w:rFonts w:ascii="宋体"/>
          <w:bCs/>
          <w:szCs w:val="21"/>
        </w:rPr>
        <w:t>、</w:t>
      </w:r>
      <w:r w:rsidRPr="001833F7">
        <w:rPr>
          <w:rFonts w:ascii="宋体" w:hint="eastAsia"/>
          <w:bCs/>
          <w:szCs w:val="21"/>
        </w:rPr>
        <w:t>港股通：指内地投资者委托内地证券公司，经由境内证券交易所</w:t>
      </w:r>
      <w:r>
        <w:rPr>
          <w:rFonts w:ascii="宋体" w:hint="eastAsia"/>
          <w:bCs/>
          <w:szCs w:val="21"/>
        </w:rPr>
        <w:t>在香港</w:t>
      </w:r>
      <w:r w:rsidRPr="001833F7">
        <w:rPr>
          <w:rFonts w:ascii="宋体" w:hint="eastAsia"/>
          <w:bCs/>
          <w:szCs w:val="21"/>
        </w:rPr>
        <w:t>设立的证券交易服务公司，向香港联合交易所进行申报，买卖规定范围内的香港联合交易所上市的股票。沪港通下的港股通和深港通下的港股通统称港股通</w:t>
      </w:r>
    </w:p>
    <w:p w14:paraId="4D512EB2" w14:textId="613D7521" w:rsidR="00A4665B" w:rsidRPr="00A4665B" w:rsidRDefault="00FF6847" w:rsidP="00A4665B">
      <w:pPr>
        <w:snapToGrid w:val="0"/>
        <w:spacing w:line="360" w:lineRule="auto"/>
        <w:ind w:firstLineChars="200" w:firstLine="420"/>
        <w:rPr>
          <w:rFonts w:ascii="宋体"/>
          <w:bCs/>
          <w:szCs w:val="21"/>
        </w:rPr>
      </w:pPr>
      <w:r>
        <w:rPr>
          <w:rFonts w:ascii="宋体"/>
          <w:bCs/>
          <w:szCs w:val="21"/>
        </w:rPr>
        <w:t>59</w:t>
      </w:r>
      <w:r w:rsidR="001833F7" w:rsidRPr="001833F7">
        <w:rPr>
          <w:rFonts w:ascii="宋体"/>
          <w:bCs/>
          <w:szCs w:val="21"/>
        </w:rPr>
        <w:t>、</w:t>
      </w:r>
      <w:r w:rsidR="00A4665B" w:rsidRPr="00A4665B">
        <w:rPr>
          <w:rFonts w:ascii="宋体" w:hint="eastAsia"/>
          <w:bCs/>
          <w:szCs w:val="21"/>
        </w:rPr>
        <w:t>侧袋机制</w:t>
      </w:r>
      <w:r w:rsidR="000B28F5" w:rsidRPr="00A4665B">
        <w:rPr>
          <w:rFonts w:ascii="宋体" w:hint="eastAsia"/>
          <w:bCs/>
          <w:szCs w:val="21"/>
        </w:rPr>
        <w:t>：</w:t>
      </w:r>
      <w:r w:rsidR="00A4665B" w:rsidRPr="00A4665B">
        <w:rPr>
          <w:rFonts w:ascii="宋体" w:hint="eastAsia"/>
          <w:bCs/>
          <w:szCs w:val="21"/>
        </w:rPr>
        <w:t>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E794E7C" w14:textId="0DC34FAE" w:rsidR="00A4665B" w:rsidRPr="00A4665B" w:rsidRDefault="00FF6847" w:rsidP="00A4665B">
      <w:pPr>
        <w:snapToGrid w:val="0"/>
        <w:spacing w:line="360" w:lineRule="auto"/>
        <w:ind w:firstLineChars="200" w:firstLine="420"/>
        <w:rPr>
          <w:rFonts w:ascii="宋体"/>
          <w:bCs/>
          <w:szCs w:val="21"/>
        </w:rPr>
      </w:pPr>
      <w:r w:rsidRPr="00A4665B">
        <w:rPr>
          <w:rFonts w:ascii="宋体" w:hint="eastAsia"/>
          <w:bCs/>
          <w:szCs w:val="21"/>
        </w:rPr>
        <w:t>6</w:t>
      </w:r>
      <w:r>
        <w:rPr>
          <w:rFonts w:ascii="宋体"/>
          <w:bCs/>
          <w:szCs w:val="21"/>
        </w:rPr>
        <w:t>0</w:t>
      </w:r>
      <w:r w:rsidR="00A4665B" w:rsidRPr="00A4665B">
        <w:rPr>
          <w:rFonts w:ascii="宋体"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1F07F82" w14:textId="18D46DC7" w:rsidR="001833F7" w:rsidRPr="001833F7" w:rsidRDefault="00FF6847" w:rsidP="00A4665B">
      <w:pPr>
        <w:snapToGrid w:val="0"/>
        <w:spacing w:line="360" w:lineRule="auto"/>
        <w:ind w:firstLineChars="200" w:firstLine="420"/>
        <w:rPr>
          <w:rFonts w:ascii="宋体"/>
          <w:bCs/>
          <w:szCs w:val="21"/>
        </w:rPr>
      </w:pPr>
      <w:r w:rsidRPr="00A4665B">
        <w:rPr>
          <w:rFonts w:ascii="宋体" w:hint="eastAsia"/>
          <w:bCs/>
          <w:szCs w:val="21"/>
        </w:rPr>
        <w:lastRenderedPageBreak/>
        <w:t>6</w:t>
      </w:r>
      <w:r>
        <w:rPr>
          <w:rFonts w:ascii="宋体"/>
          <w:bCs/>
          <w:szCs w:val="21"/>
        </w:rPr>
        <w:t>1</w:t>
      </w:r>
      <w:r w:rsidR="00A4665B" w:rsidRPr="00A4665B">
        <w:rPr>
          <w:rFonts w:ascii="宋体" w:hint="eastAsia"/>
          <w:bCs/>
          <w:szCs w:val="21"/>
        </w:rPr>
        <w:t>、</w:t>
      </w:r>
      <w:r w:rsidR="003031D7">
        <w:rPr>
          <w:rFonts w:ascii="宋体"/>
          <w:bCs/>
          <w:szCs w:val="21"/>
        </w:rPr>
        <w:t>不可抗力：指</w:t>
      </w:r>
      <w:r w:rsidR="001833F7" w:rsidRPr="001833F7">
        <w:rPr>
          <w:rFonts w:ascii="宋体" w:hint="eastAsia"/>
          <w:bCs/>
          <w:szCs w:val="21"/>
        </w:rPr>
        <w:t>基金</w:t>
      </w:r>
      <w:r w:rsidR="001833F7" w:rsidRPr="001833F7">
        <w:rPr>
          <w:rFonts w:ascii="宋体"/>
          <w:bCs/>
          <w:szCs w:val="21"/>
        </w:rPr>
        <w:t>合同当事人不能预见、不能避免且不能克服的客观事件</w:t>
      </w:r>
    </w:p>
    <w:p w14:paraId="325897D6" w14:textId="77777777" w:rsidR="001833F7" w:rsidRPr="00D1037E" w:rsidRDefault="001833F7" w:rsidP="001833F7">
      <w:pPr>
        <w:snapToGrid w:val="0"/>
        <w:spacing w:line="360" w:lineRule="auto"/>
        <w:ind w:firstLineChars="200" w:firstLine="420"/>
        <w:rPr>
          <w:rFonts w:ascii="宋体"/>
          <w:bCs/>
          <w:szCs w:val="21"/>
        </w:rPr>
      </w:pPr>
    </w:p>
    <w:p w14:paraId="0BC5BF18" w14:textId="77777777" w:rsidR="001833F7" w:rsidRPr="001833F7" w:rsidRDefault="001833F7" w:rsidP="001833F7">
      <w:pPr>
        <w:snapToGrid w:val="0"/>
        <w:spacing w:line="360" w:lineRule="auto"/>
        <w:ind w:firstLineChars="200" w:firstLine="420"/>
        <w:rPr>
          <w:rFonts w:ascii="宋体"/>
          <w:bCs/>
          <w:szCs w:val="21"/>
        </w:rPr>
      </w:pPr>
      <w:r w:rsidRPr="001833F7">
        <w:rPr>
          <w:rFonts w:ascii="宋体" w:hint="eastAsia"/>
          <w:bCs/>
          <w:szCs w:val="21"/>
        </w:rPr>
        <w:t>以上释义中涉及法律法规、业务规则的内容，法律法规、业务规则修订后，如适用本基金，相关内容以修订后法律法规、业务规则为准。</w:t>
      </w:r>
    </w:p>
    <w:p w14:paraId="69CD92E8" w14:textId="77777777" w:rsidR="00E429D1" w:rsidRPr="001833F7" w:rsidRDefault="00E429D1" w:rsidP="004F5BE4">
      <w:pPr>
        <w:snapToGrid w:val="0"/>
        <w:spacing w:line="360" w:lineRule="auto"/>
        <w:ind w:firstLineChars="200" w:firstLine="420"/>
        <w:rPr>
          <w:rFonts w:ascii="宋体"/>
          <w:szCs w:val="21"/>
        </w:rPr>
      </w:pPr>
    </w:p>
    <w:p w14:paraId="0E89AFB1" w14:textId="77777777" w:rsidR="00A503E7" w:rsidRDefault="00A503E7">
      <w:pPr>
        <w:widowControl/>
        <w:jc w:val="left"/>
        <w:rPr>
          <w:bCs/>
          <w:szCs w:val="21"/>
        </w:rPr>
      </w:pPr>
      <w:bookmarkStart w:id="25" w:name="_Toc274597435"/>
      <w:r>
        <w:rPr>
          <w:bCs/>
          <w:szCs w:val="21"/>
        </w:rPr>
        <w:br w:type="page"/>
      </w:r>
    </w:p>
    <w:p w14:paraId="5325D1DF"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6" w:name="_Toc276542602"/>
      <w:bookmarkStart w:id="27" w:name="_Toc289439334"/>
      <w:bookmarkStart w:id="28" w:name="_Toc297312904"/>
      <w:bookmarkStart w:id="29" w:name="_Toc353955232"/>
      <w:bookmarkStart w:id="30" w:name="_Toc364930790"/>
      <w:bookmarkStart w:id="31" w:name="_Toc382897918"/>
      <w:bookmarkStart w:id="32" w:name="_Toc411503264"/>
      <w:bookmarkStart w:id="33" w:name="_Toc47384190"/>
      <w:r w:rsidRPr="004F5BE4">
        <w:rPr>
          <w:rFonts w:hint="eastAsia"/>
          <w:b w:val="0"/>
        </w:rPr>
        <w:lastRenderedPageBreak/>
        <w:t>基金管理人</w:t>
      </w:r>
      <w:bookmarkEnd w:id="25"/>
      <w:bookmarkEnd w:id="26"/>
      <w:bookmarkEnd w:id="27"/>
      <w:bookmarkEnd w:id="28"/>
      <w:bookmarkEnd w:id="29"/>
      <w:bookmarkEnd w:id="30"/>
      <w:bookmarkEnd w:id="31"/>
      <w:bookmarkEnd w:id="32"/>
      <w:bookmarkEnd w:id="33"/>
    </w:p>
    <w:p w14:paraId="6CF1372B" w14:textId="77777777" w:rsidR="00C555E8" w:rsidRPr="004F5BE4" w:rsidRDefault="00C555E8" w:rsidP="00F05D2A">
      <w:pPr>
        <w:adjustRightInd w:val="0"/>
        <w:snapToGrid w:val="0"/>
        <w:spacing w:line="360" w:lineRule="auto"/>
        <w:ind w:firstLine="420"/>
        <w:rPr>
          <w:bCs/>
        </w:rPr>
      </w:pPr>
    </w:p>
    <w:p w14:paraId="7CDE60AE" w14:textId="77777777" w:rsidR="002E3EC6" w:rsidRPr="004F5BE4" w:rsidRDefault="002E3EC6" w:rsidP="00F05D2A">
      <w:pPr>
        <w:adjustRightInd w:val="0"/>
        <w:snapToGrid w:val="0"/>
        <w:spacing w:line="360" w:lineRule="auto"/>
        <w:ind w:firstLine="420"/>
        <w:rPr>
          <w:bCs/>
        </w:rPr>
      </w:pPr>
      <w:r w:rsidRPr="004F5BE4">
        <w:rPr>
          <w:rFonts w:hint="eastAsia"/>
          <w:bCs/>
        </w:rPr>
        <w:t>一、基金</w:t>
      </w:r>
      <w:r w:rsidRPr="004F5BE4">
        <w:rPr>
          <w:rFonts w:ascii="宋体" w:hAnsi="宋体" w:hint="eastAsia"/>
          <w:bCs/>
          <w:szCs w:val="21"/>
        </w:rPr>
        <w:t>管理</w:t>
      </w:r>
      <w:r w:rsidRPr="004F5BE4">
        <w:rPr>
          <w:rFonts w:hint="eastAsia"/>
          <w:bCs/>
        </w:rPr>
        <w:t>人概况</w:t>
      </w:r>
    </w:p>
    <w:p w14:paraId="7A300159"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名称：</w:t>
      </w:r>
      <w:r w:rsidR="002A3484">
        <w:rPr>
          <w:rFonts w:ascii="宋体" w:hAnsi="宋体" w:hint="eastAsia"/>
        </w:rPr>
        <w:t>南方基金管理股份</w:t>
      </w:r>
      <w:r w:rsidRPr="00322506">
        <w:rPr>
          <w:rFonts w:ascii="宋体" w:hAnsi="宋体" w:hint="eastAsia"/>
        </w:rPr>
        <w:t>有限公司</w:t>
      </w:r>
    </w:p>
    <w:p w14:paraId="1EB0A334"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住所及办公地址：</w:t>
      </w:r>
      <w:r w:rsidR="004D4605" w:rsidRPr="002B7E41">
        <w:rPr>
          <w:rFonts w:ascii="宋体" w:hAnsi="宋体" w:hint="eastAsia"/>
          <w:szCs w:val="21"/>
        </w:rPr>
        <w:t>深圳市福田区莲花街道益田路5999号基金大厦32-42楼</w:t>
      </w:r>
    </w:p>
    <w:p w14:paraId="7971BCB5"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成立时间：1998年3月6日</w:t>
      </w:r>
    </w:p>
    <w:p w14:paraId="1B615C26" w14:textId="2EFBFD01"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法定代表人：</w:t>
      </w:r>
      <w:r w:rsidR="001B6FEB" w:rsidRPr="001B6FEB">
        <w:rPr>
          <w:rFonts w:ascii="宋体" w:hAnsi="宋体" w:hint="eastAsia"/>
        </w:rPr>
        <w:t>杨小松（代为履行法定代表人职责）</w:t>
      </w:r>
    </w:p>
    <w:p w14:paraId="0118E2F8" w14:textId="77777777" w:rsidR="00322506" w:rsidRPr="00322506" w:rsidRDefault="00747307" w:rsidP="00322506">
      <w:pPr>
        <w:adjustRightInd w:val="0"/>
        <w:snapToGrid w:val="0"/>
        <w:spacing w:line="360" w:lineRule="auto"/>
        <w:ind w:firstLine="420"/>
        <w:rPr>
          <w:rFonts w:ascii="宋体" w:hAnsi="宋体"/>
        </w:rPr>
      </w:pPr>
      <w:r>
        <w:rPr>
          <w:rFonts w:ascii="宋体" w:hAnsi="宋体" w:hint="eastAsia"/>
        </w:rPr>
        <w:t>注册资本：3.6172亿元</w:t>
      </w:r>
      <w:r w:rsidR="00322506" w:rsidRPr="00322506">
        <w:rPr>
          <w:rFonts w:ascii="宋体" w:hAnsi="宋体" w:hint="eastAsia"/>
        </w:rPr>
        <w:t>人民币</w:t>
      </w:r>
    </w:p>
    <w:p w14:paraId="32C7EA4F"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电话：（0755）82763888</w:t>
      </w:r>
    </w:p>
    <w:p w14:paraId="3A74A49A"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传真：（0755）82763889</w:t>
      </w:r>
    </w:p>
    <w:p w14:paraId="27DB8D5D"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联系人：常克川</w:t>
      </w:r>
    </w:p>
    <w:p w14:paraId="2CCAE9AD" w14:textId="77777777" w:rsidR="00BE54A5" w:rsidRPr="002F4927" w:rsidRDefault="00BE54A5" w:rsidP="00BE54A5">
      <w:pPr>
        <w:adjustRightInd w:val="0"/>
        <w:snapToGrid w:val="0"/>
        <w:spacing w:line="360" w:lineRule="auto"/>
        <w:ind w:firstLineChars="200" w:firstLine="420"/>
        <w:rPr>
          <w:rFonts w:ascii="宋体" w:hAnsi="宋体"/>
        </w:rPr>
      </w:pPr>
      <w:r w:rsidRPr="002F4927">
        <w:rPr>
          <w:rFonts w:ascii="宋体" w:hAnsi="宋体"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w:t>
      </w:r>
      <w:r w:rsidR="009F0B3A">
        <w:rPr>
          <w:rFonts w:ascii="宋体" w:hAnsi="宋体"/>
        </w:rPr>
        <w:t>1.5</w:t>
      </w:r>
      <w:r w:rsidRPr="002F4927">
        <w:rPr>
          <w:rFonts w:ascii="宋体" w:hAnsi="宋体" w:hint="eastAsia"/>
        </w:rPr>
        <w:t>亿元人民币。2014年公司进行增资扩股，注册资本金达3亿元人民币。</w:t>
      </w:r>
    </w:p>
    <w:p w14:paraId="7F7350DC" w14:textId="77777777" w:rsidR="00747307" w:rsidRDefault="00BE54A5" w:rsidP="00BE54A5">
      <w:pPr>
        <w:adjustRightInd w:val="0"/>
        <w:snapToGrid w:val="0"/>
        <w:spacing w:line="360" w:lineRule="auto"/>
        <w:ind w:firstLineChars="200" w:firstLine="420"/>
        <w:rPr>
          <w:rFonts w:ascii="MS Gothic" w:eastAsia="MS Gothic" w:hAnsi="MS Gothic" w:cs="MS Gothic"/>
        </w:rPr>
      </w:pPr>
      <w:r w:rsidRPr="002F4927">
        <w:rPr>
          <w:rFonts w:ascii="宋体" w:hAnsi="宋体" w:hint="eastAsia"/>
        </w:rPr>
        <w:t>2018年1月，公司整体变更设立为南方基金管理股份有限公司,</w:t>
      </w:r>
      <w:r w:rsidR="00747307">
        <w:rPr>
          <w:rFonts w:ascii="宋体" w:hAnsi="宋体" w:hint="eastAsia"/>
        </w:rPr>
        <w:t>注册资本金3亿元人民币。</w:t>
      </w:r>
    </w:p>
    <w:p w14:paraId="05F1FEE9" w14:textId="77777777" w:rsidR="00BE54A5" w:rsidRDefault="00747307" w:rsidP="00BE54A5">
      <w:pPr>
        <w:adjustRightInd w:val="0"/>
        <w:snapToGrid w:val="0"/>
        <w:spacing w:line="360" w:lineRule="auto"/>
        <w:ind w:firstLineChars="200" w:firstLine="420"/>
        <w:rPr>
          <w:rFonts w:ascii="宋体" w:hAnsi="宋体"/>
        </w:rPr>
      </w:pPr>
      <w:r>
        <w:rPr>
          <w:rFonts w:ascii="宋体" w:hAnsi="宋体"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14:paraId="2FCCF535" w14:textId="77777777" w:rsidR="002E3EC6" w:rsidRPr="004F5BE4" w:rsidRDefault="002E3EC6" w:rsidP="004F5BE4">
      <w:pPr>
        <w:adjustRightInd w:val="0"/>
        <w:snapToGrid w:val="0"/>
        <w:spacing w:line="360" w:lineRule="auto"/>
        <w:ind w:firstLineChars="200" w:firstLine="420"/>
        <w:rPr>
          <w:rFonts w:ascii="宋体" w:hAnsi="宋体"/>
        </w:rPr>
      </w:pPr>
    </w:p>
    <w:p w14:paraId="64E7AD72"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二、主要人员情况</w:t>
      </w:r>
    </w:p>
    <w:p w14:paraId="26F5DB49"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1</w:t>
      </w:r>
      <w:r w:rsidRPr="00322506">
        <w:rPr>
          <w:rFonts w:ascii="宋体" w:hAnsi="宋体" w:hint="eastAsia"/>
          <w:bCs/>
          <w:szCs w:val="21"/>
        </w:rPr>
        <w:t>、董事会成员</w:t>
      </w:r>
    </w:p>
    <w:p w14:paraId="013DD200"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w:t>
      </w:r>
    </w:p>
    <w:p w14:paraId="3BADED98"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w:t>
      </w:r>
      <w:r w:rsidRPr="00002F83">
        <w:rPr>
          <w:rFonts w:ascii="宋体" w:hAnsi="宋体" w:hint="eastAsia"/>
          <w:bCs/>
          <w:szCs w:val="21"/>
        </w:rPr>
        <w:lastRenderedPageBreak/>
        <w:t>证券投资部副总经理、综合事务部总经理、人力资源部总经理、党委组织部部长。现任华泰证券股份有限公司执行委员会委员、董事会秘书，南方基金管理股份有限公司董事。</w:t>
      </w:r>
    </w:p>
    <w:p w14:paraId="1A80ACC9"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55715B88"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14:paraId="78D1594D"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14:paraId="125BEA91"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6B427F6F"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711FBF74"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14:paraId="6A00C856"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w:t>
      </w:r>
      <w:r w:rsidRPr="00002F83">
        <w:rPr>
          <w:rFonts w:ascii="宋体" w:hAnsi="宋体" w:hint="eastAsia"/>
          <w:bCs/>
          <w:szCs w:val="21"/>
        </w:rPr>
        <w:lastRenderedPageBreak/>
        <w:t>家委员会主任，南方基金管理股份有限公司独立董事。</w:t>
      </w:r>
    </w:p>
    <w:p w14:paraId="3B128D8B"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14:paraId="51CCE277"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14:paraId="3C18C852" w14:textId="77777777" w:rsidR="00002F83" w:rsidRPr="00002F83" w:rsidRDefault="00002F83" w:rsidP="00002F83">
      <w:pPr>
        <w:adjustRightInd w:val="0"/>
        <w:snapToGrid w:val="0"/>
        <w:spacing w:line="360" w:lineRule="auto"/>
        <w:ind w:firstLine="420"/>
        <w:rPr>
          <w:rFonts w:ascii="宋体" w:hAnsi="宋体" w:hint="eastAsia"/>
          <w:bCs/>
          <w:szCs w:val="21"/>
        </w:rPr>
      </w:pPr>
      <w:r w:rsidRPr="00002F83">
        <w:rPr>
          <w:rFonts w:ascii="宋体" w:hAnsi="宋体" w:hint="eastAsia"/>
          <w:bCs/>
          <w:szCs w:val="21"/>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14:paraId="7251554A" w14:textId="059FFAE4" w:rsidR="008F5D58" w:rsidRPr="00322506" w:rsidRDefault="00002F83" w:rsidP="008F5D58">
      <w:pPr>
        <w:adjustRightInd w:val="0"/>
        <w:snapToGrid w:val="0"/>
        <w:spacing w:line="360" w:lineRule="auto"/>
        <w:ind w:firstLine="420"/>
        <w:rPr>
          <w:rFonts w:ascii="宋体" w:hAnsi="宋体"/>
          <w:bCs/>
          <w:szCs w:val="21"/>
        </w:rPr>
      </w:pPr>
      <w:r w:rsidRPr="00002F83">
        <w:rPr>
          <w:rFonts w:ascii="宋体" w:hAnsi="宋体" w:hint="eastAsia"/>
          <w:bCs/>
          <w:szCs w:val="21"/>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14:paraId="3541F564"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2</w:t>
      </w:r>
      <w:r w:rsidRPr="00322506">
        <w:rPr>
          <w:rFonts w:ascii="宋体" w:hAnsi="宋体" w:hint="eastAsia"/>
          <w:bCs/>
          <w:szCs w:val="21"/>
        </w:rPr>
        <w:t>、监事会成员</w:t>
      </w:r>
    </w:p>
    <w:p w14:paraId="58121176"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14:paraId="4834BD59"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陈莉女士，法学硕士，中国籍。曾任职华泰证券深圳民田路营业部总经理、深圳益田路营业部总经理、研究所副所长。现任华泰证券股份有限公司研究所所长，南方基金管理股份有限公司监事。</w:t>
      </w:r>
    </w:p>
    <w:p w14:paraId="2A50E53C"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陈明雅女士，管理学学士，注册会计师，中国籍。曾任厦门国际信托有限公司财务部副</w:t>
      </w:r>
      <w:r w:rsidRPr="00002F83">
        <w:rPr>
          <w:rFonts w:ascii="宋体" w:hAnsi="宋体" w:hint="eastAsia"/>
          <w:szCs w:val="21"/>
        </w:rPr>
        <w:lastRenderedPageBreak/>
        <w:t xml:space="preserve">总经理。现任厦门国际信托有限公司财务部总经理、投资发展部总经理（兼），南方基金管理股份有限公司监事。  </w:t>
      </w:r>
    </w:p>
    <w:p w14:paraId="7C7709D5"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7DC124D0"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75AE4A40"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3A6381D8" w14:textId="77777777" w:rsidR="00002F83" w:rsidRPr="00002F83" w:rsidRDefault="00002F83" w:rsidP="00002F83">
      <w:pPr>
        <w:adjustRightInd w:val="0"/>
        <w:snapToGrid w:val="0"/>
        <w:spacing w:line="360" w:lineRule="auto"/>
        <w:ind w:firstLine="420"/>
        <w:rPr>
          <w:rFonts w:ascii="宋体" w:hAnsi="宋体" w:hint="eastAsia"/>
          <w:szCs w:val="21"/>
        </w:rPr>
      </w:pPr>
      <w:r w:rsidRPr="00002F83">
        <w:rPr>
          <w:rFonts w:ascii="宋体" w:hAnsi="宋体" w:hint="eastAsia"/>
          <w:szCs w:val="21"/>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6AC22E43" w14:textId="355C914D" w:rsidR="00EF07AC" w:rsidRPr="00EF07AC" w:rsidRDefault="00002F83" w:rsidP="00EF07AC">
      <w:pPr>
        <w:tabs>
          <w:tab w:val="center" w:pos="4363"/>
        </w:tabs>
        <w:adjustRightInd w:val="0"/>
        <w:snapToGrid w:val="0"/>
        <w:spacing w:line="360" w:lineRule="auto"/>
        <w:ind w:firstLineChars="200" w:firstLine="420"/>
        <w:rPr>
          <w:rFonts w:ascii="宋体" w:hAnsi="宋体"/>
          <w:szCs w:val="21"/>
        </w:rPr>
      </w:pPr>
      <w:r w:rsidRPr="00002F83">
        <w:rPr>
          <w:rFonts w:ascii="宋体" w:hAnsi="宋体" w:hint="eastAsia"/>
          <w:szCs w:val="21"/>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14:paraId="0787AC1B" w14:textId="77777777" w:rsidR="00BE54A5" w:rsidRPr="00322506" w:rsidRDefault="00BE54A5" w:rsidP="00BE54A5">
      <w:pPr>
        <w:tabs>
          <w:tab w:val="center" w:pos="4363"/>
        </w:tabs>
        <w:adjustRightInd w:val="0"/>
        <w:snapToGrid w:val="0"/>
        <w:spacing w:line="360" w:lineRule="auto"/>
        <w:ind w:firstLineChars="200" w:firstLine="420"/>
        <w:rPr>
          <w:rFonts w:ascii="宋体" w:hAnsi="宋体"/>
          <w:szCs w:val="21"/>
        </w:rPr>
      </w:pPr>
      <w:r w:rsidRPr="00322506">
        <w:rPr>
          <w:rFonts w:ascii="宋体" w:hAnsi="宋体" w:hint="eastAsia"/>
          <w:szCs w:val="21"/>
        </w:rPr>
        <w:t>3、公司高级管理人员</w:t>
      </w:r>
    </w:p>
    <w:p w14:paraId="5342DA1D" w14:textId="77777777" w:rsidR="00370418" w:rsidRPr="00370418" w:rsidRDefault="00370418" w:rsidP="00370418">
      <w:pPr>
        <w:tabs>
          <w:tab w:val="center" w:pos="4363"/>
        </w:tabs>
        <w:adjustRightInd w:val="0"/>
        <w:snapToGrid w:val="0"/>
        <w:spacing w:line="360" w:lineRule="auto"/>
        <w:ind w:firstLineChars="200" w:firstLine="420"/>
        <w:rPr>
          <w:rFonts w:ascii="宋体" w:hAnsi="宋体"/>
          <w:szCs w:val="21"/>
        </w:rPr>
      </w:pPr>
      <w:r w:rsidRPr="00370418">
        <w:rPr>
          <w:rFonts w:ascii="宋体" w:hAnsi="宋体" w:hint="eastAsia"/>
          <w:szCs w:val="21"/>
        </w:rPr>
        <w:t>杨小松先生，总裁，简历同上。</w:t>
      </w:r>
    </w:p>
    <w:p w14:paraId="69DC24AF" w14:textId="77777777" w:rsidR="00D24C8F" w:rsidRPr="00D24C8F" w:rsidRDefault="00D24C8F" w:rsidP="00D24C8F">
      <w:pPr>
        <w:tabs>
          <w:tab w:val="center" w:pos="4363"/>
        </w:tabs>
        <w:adjustRightInd w:val="0"/>
        <w:snapToGrid w:val="0"/>
        <w:spacing w:line="360" w:lineRule="auto"/>
        <w:ind w:firstLineChars="200" w:firstLine="420"/>
        <w:rPr>
          <w:rFonts w:ascii="宋体" w:hAnsi="宋体" w:hint="eastAsia"/>
          <w:szCs w:val="21"/>
        </w:rPr>
      </w:pPr>
      <w:r w:rsidRPr="00D24C8F">
        <w:rPr>
          <w:rFonts w:ascii="宋体" w:hAnsi="宋体" w:hint="eastAsia"/>
          <w:szCs w:val="21"/>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3D784563" w14:textId="77777777" w:rsidR="00D24C8F" w:rsidRPr="00D24C8F" w:rsidRDefault="00D24C8F" w:rsidP="00D24C8F">
      <w:pPr>
        <w:tabs>
          <w:tab w:val="center" w:pos="4363"/>
        </w:tabs>
        <w:adjustRightInd w:val="0"/>
        <w:snapToGrid w:val="0"/>
        <w:spacing w:line="360" w:lineRule="auto"/>
        <w:ind w:firstLineChars="200" w:firstLine="420"/>
        <w:rPr>
          <w:rFonts w:ascii="宋体" w:hAnsi="宋体" w:hint="eastAsia"/>
          <w:szCs w:val="21"/>
        </w:rPr>
      </w:pPr>
      <w:r w:rsidRPr="00D24C8F">
        <w:rPr>
          <w:rFonts w:ascii="宋体" w:hAnsi="宋体" w:hint="eastAsia"/>
          <w:szCs w:val="21"/>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4A0AAB73" w14:textId="77777777" w:rsidR="00D24C8F" w:rsidRPr="00D24C8F" w:rsidRDefault="00D24C8F" w:rsidP="00D24C8F">
      <w:pPr>
        <w:tabs>
          <w:tab w:val="center" w:pos="4363"/>
        </w:tabs>
        <w:adjustRightInd w:val="0"/>
        <w:snapToGrid w:val="0"/>
        <w:spacing w:line="360" w:lineRule="auto"/>
        <w:ind w:firstLineChars="200" w:firstLine="420"/>
        <w:rPr>
          <w:rFonts w:ascii="宋体" w:hAnsi="宋体" w:hint="eastAsia"/>
          <w:szCs w:val="21"/>
        </w:rPr>
      </w:pPr>
      <w:r w:rsidRPr="00D24C8F">
        <w:rPr>
          <w:rFonts w:ascii="宋体" w:hAnsi="宋体" w:hint="eastAsia"/>
          <w:szCs w:val="21"/>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1660355E" w14:textId="77777777" w:rsidR="00D24C8F" w:rsidRPr="00D24C8F" w:rsidRDefault="00D24C8F" w:rsidP="00D24C8F">
      <w:pPr>
        <w:tabs>
          <w:tab w:val="center" w:pos="4363"/>
        </w:tabs>
        <w:adjustRightInd w:val="0"/>
        <w:snapToGrid w:val="0"/>
        <w:spacing w:line="360" w:lineRule="auto"/>
        <w:ind w:firstLineChars="200" w:firstLine="420"/>
        <w:rPr>
          <w:rFonts w:ascii="宋体" w:hAnsi="宋体" w:hint="eastAsia"/>
          <w:szCs w:val="21"/>
        </w:rPr>
      </w:pPr>
      <w:r w:rsidRPr="00D24C8F">
        <w:rPr>
          <w:rFonts w:ascii="宋体" w:hAnsi="宋体" w:hint="eastAsia"/>
          <w:szCs w:val="21"/>
        </w:rPr>
        <w:t>李海鹏先生，副总裁，工商管理硕士，特许金融分析师（CFA），中国籍，无境外永久居留权。曾任职美国AXA Financial 公司投资部高级分析师，南方基金管理有限公司高级研</w:t>
      </w:r>
      <w:r w:rsidRPr="00D24C8F">
        <w:rPr>
          <w:rFonts w:ascii="宋体" w:hAnsi="宋体" w:hint="eastAsia"/>
          <w:szCs w:val="21"/>
        </w:rPr>
        <w:lastRenderedPageBreak/>
        <w:t>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03EC21C8" w14:textId="77777777" w:rsidR="00D24C8F" w:rsidRPr="00D24C8F" w:rsidRDefault="00D24C8F" w:rsidP="00D24C8F">
      <w:pPr>
        <w:tabs>
          <w:tab w:val="center" w:pos="4363"/>
        </w:tabs>
        <w:adjustRightInd w:val="0"/>
        <w:snapToGrid w:val="0"/>
        <w:spacing w:line="360" w:lineRule="auto"/>
        <w:ind w:firstLineChars="200" w:firstLine="420"/>
        <w:rPr>
          <w:rFonts w:ascii="宋体" w:hAnsi="宋体" w:hint="eastAsia"/>
          <w:szCs w:val="21"/>
        </w:rPr>
      </w:pPr>
      <w:r w:rsidRPr="00D24C8F">
        <w:rPr>
          <w:rFonts w:ascii="宋体" w:hAnsi="宋体" w:hint="eastAsia"/>
          <w:szCs w:val="21"/>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2177389C" w14:textId="0DFEC915" w:rsidR="00370418" w:rsidRDefault="00D24C8F" w:rsidP="00370418">
      <w:pPr>
        <w:tabs>
          <w:tab w:val="center" w:pos="4363"/>
        </w:tabs>
        <w:adjustRightInd w:val="0"/>
        <w:snapToGrid w:val="0"/>
        <w:spacing w:line="360" w:lineRule="auto"/>
        <w:ind w:firstLineChars="200" w:firstLine="420"/>
        <w:rPr>
          <w:rFonts w:ascii="宋体" w:hAnsi="宋体"/>
          <w:szCs w:val="21"/>
        </w:rPr>
      </w:pPr>
      <w:r w:rsidRPr="00D24C8F">
        <w:rPr>
          <w:rFonts w:ascii="宋体" w:hAnsi="宋体" w:hint="eastAsia"/>
          <w:szCs w:val="21"/>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75C37570" w14:textId="77777777" w:rsidR="004C646A" w:rsidRPr="004F5BE4" w:rsidRDefault="004C646A" w:rsidP="00322506">
      <w:pPr>
        <w:tabs>
          <w:tab w:val="center" w:pos="4363"/>
        </w:tabs>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、基金经理</w:t>
      </w:r>
    </w:p>
    <w:p w14:paraId="667D2F70" w14:textId="6F134371" w:rsidR="00F23F19" w:rsidRDefault="00F23F19" w:rsidP="00F23F19">
      <w:pPr>
        <w:adjustRightInd w:val="0"/>
        <w:snapToGrid w:val="0"/>
        <w:spacing w:line="360" w:lineRule="auto"/>
        <w:ind w:firstLineChars="200" w:firstLine="420"/>
        <w:rPr>
          <w:rFonts w:ascii="宋体" w:hAnsi="宋体"/>
        </w:rPr>
      </w:pPr>
      <w:r w:rsidRPr="00F23F19">
        <w:rPr>
          <w:rFonts w:ascii="宋体" w:hAnsi="宋体" w:hint="eastAsia"/>
        </w:rPr>
        <w:t>本基金的基金经理为</w:t>
      </w:r>
      <w:r w:rsidR="00FF6847">
        <w:rPr>
          <w:rFonts w:ascii="宋体" w:hAnsi="宋体" w:hint="eastAsia"/>
        </w:rPr>
        <w:t>章晖</w:t>
      </w:r>
      <w:r>
        <w:rPr>
          <w:rFonts w:ascii="宋体" w:hAnsi="宋体"/>
        </w:rPr>
        <w:t>。</w:t>
      </w:r>
    </w:p>
    <w:p w14:paraId="6B91CF4D" w14:textId="49C2DC73" w:rsidR="00F23F19" w:rsidRDefault="00FF6847" w:rsidP="00F23F19">
      <w:pPr>
        <w:adjustRightInd w:val="0"/>
        <w:snapToGrid w:val="0"/>
        <w:spacing w:line="360" w:lineRule="auto"/>
        <w:ind w:firstLineChars="200" w:firstLine="420"/>
        <w:rPr>
          <w:rFonts w:ascii="宋体" w:hAnsi="宋体"/>
        </w:rPr>
      </w:pPr>
      <w:r>
        <w:rPr>
          <w:rFonts w:ascii="宋体" w:hAnsi="宋体" w:hint="eastAsia"/>
        </w:rPr>
        <w:t>章晖</w:t>
      </w:r>
      <w:r w:rsidR="00F23F19">
        <w:rPr>
          <w:rFonts w:ascii="宋体" w:hAnsi="宋体"/>
        </w:rPr>
        <w:t>先生</w:t>
      </w:r>
      <w:r w:rsidR="00F23F19">
        <w:rPr>
          <w:rFonts w:ascii="宋体" w:hAnsi="宋体" w:hint="eastAsia"/>
        </w:rPr>
        <w:t>，</w:t>
      </w:r>
      <w:r w:rsidR="00AD1CF9" w:rsidRPr="00AD1CF9">
        <w:rPr>
          <w:rFonts w:ascii="宋体" w:hAnsi="宋体" w:hint="eastAsia"/>
        </w:rPr>
        <w:t>北京大学西方经济学硕士，特许金融分析师（CFA），具有基金从业资格。2009年7月加入南方基金，担任研究部研究员、高级研究员；2014年2月27日至2015年5月28日，任南方新优享基金经理助理；2015年5月28日至今，任南方新优享基金经理；2015年6月19日至今，任南方创新经济基金经理；2018年4月19日至今，任南方成安优选混合基金经理；2019年12月19日至今，任南方ESG股票基金经理；2020年6月16日至今，兼任投资经理；2021年1月13</w:t>
      </w:r>
      <w:r w:rsidR="00AD1CF9">
        <w:rPr>
          <w:rFonts w:ascii="宋体" w:hAnsi="宋体" w:hint="eastAsia"/>
        </w:rPr>
        <w:t>日至今，任南方阿尔法混合基金经理</w:t>
      </w:r>
      <w:r w:rsidR="005406EF" w:rsidRPr="005406EF">
        <w:rPr>
          <w:rFonts w:ascii="宋体" w:hAnsi="宋体" w:hint="eastAsia"/>
        </w:rPr>
        <w:t>。</w:t>
      </w:r>
    </w:p>
    <w:p w14:paraId="1F980969" w14:textId="77777777" w:rsidR="002E3EC6" w:rsidRPr="004F5BE4" w:rsidRDefault="002E3EC6" w:rsidP="00457126">
      <w:pPr>
        <w:adjustRightInd w:val="0"/>
        <w:snapToGrid w:val="0"/>
        <w:spacing w:line="360" w:lineRule="auto"/>
        <w:ind w:firstLineChars="200" w:firstLine="420"/>
        <w:rPr>
          <w:rFonts w:ascii="宋体" w:hAnsi="宋体"/>
          <w:szCs w:val="21"/>
        </w:rPr>
      </w:pPr>
      <w:r w:rsidRPr="004F5BE4">
        <w:rPr>
          <w:rFonts w:ascii="宋体" w:hAnsi="宋体"/>
          <w:szCs w:val="21"/>
        </w:rPr>
        <w:t>5</w:t>
      </w:r>
      <w:r w:rsidRPr="004F5BE4">
        <w:rPr>
          <w:rFonts w:ascii="宋体" w:hAnsi="宋体" w:hint="eastAsia"/>
          <w:szCs w:val="21"/>
        </w:rPr>
        <w:t>、投资决策委员会成员</w:t>
      </w:r>
    </w:p>
    <w:p w14:paraId="26ADC4BB" w14:textId="5974FB38" w:rsidR="00AE2ADA" w:rsidRDefault="00AD1CF9" w:rsidP="003703A7">
      <w:pPr>
        <w:adjustRightInd w:val="0"/>
        <w:snapToGrid w:val="0"/>
        <w:spacing w:line="360" w:lineRule="auto"/>
        <w:ind w:firstLineChars="200" w:firstLine="420"/>
        <w:rPr>
          <w:rFonts w:hAnsi="宋体"/>
          <w:szCs w:val="21"/>
        </w:rPr>
      </w:pPr>
      <w:r w:rsidRPr="00AD1CF9">
        <w:rPr>
          <w:rFonts w:ascii="宋体" w:hAnsi="宋体" w:hint="eastAsia"/>
          <w:szCs w:val="21"/>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14:paraId="73610DA0"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6</w:t>
      </w:r>
      <w:r w:rsidRPr="004F5BE4">
        <w:rPr>
          <w:rFonts w:ascii="宋体" w:hAnsi="宋体" w:hint="eastAsia"/>
          <w:szCs w:val="21"/>
        </w:rPr>
        <w:t>、上述人员之间不存在近亲属关系。</w:t>
      </w:r>
    </w:p>
    <w:p w14:paraId="6D54AF34"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64D2564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三、基金管理人的职责</w:t>
      </w:r>
    </w:p>
    <w:p w14:paraId="74459DEA"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w:t>
      </w:r>
      <w:r w:rsidRPr="004F5BE4">
        <w:rPr>
          <w:rFonts w:hint="eastAsia"/>
          <w:bCs/>
          <w:szCs w:val="21"/>
        </w:rPr>
        <w:t>）依法募集资金，办理或者委托经中国证监会认定的其他机构代为办理基金份额的发售、申购、赎回和登记事宜；</w:t>
      </w:r>
    </w:p>
    <w:p w14:paraId="2DC800F6"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2</w:t>
      </w:r>
      <w:r w:rsidR="00C95060" w:rsidRPr="004F5BE4">
        <w:rPr>
          <w:rFonts w:hint="eastAsia"/>
          <w:bCs/>
          <w:szCs w:val="21"/>
        </w:rPr>
        <w:t>）办理基金备案手续；</w:t>
      </w:r>
    </w:p>
    <w:p w14:paraId="6CD9A705"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3</w:t>
      </w:r>
      <w:r w:rsidR="00C95060" w:rsidRPr="004F5BE4">
        <w:rPr>
          <w:rFonts w:hint="eastAsia"/>
          <w:bCs/>
          <w:szCs w:val="21"/>
        </w:rPr>
        <w:t>）对所管理的不同基金财产分别管理、分别记账，进行证券投资；</w:t>
      </w:r>
    </w:p>
    <w:p w14:paraId="74E959D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4</w:t>
      </w:r>
      <w:r w:rsidR="00C95060" w:rsidRPr="004F5BE4">
        <w:rPr>
          <w:rFonts w:hint="eastAsia"/>
          <w:bCs/>
          <w:szCs w:val="21"/>
        </w:rPr>
        <w:t>）按照基金合同的约定确定基金收益分配方案，及时向基金份额持有人分配收益；</w:t>
      </w:r>
    </w:p>
    <w:p w14:paraId="37292E41" w14:textId="77777777" w:rsidR="00C95060" w:rsidRPr="004F5BE4" w:rsidRDefault="00094842" w:rsidP="00C95060">
      <w:pPr>
        <w:adjustRightInd w:val="0"/>
        <w:snapToGrid w:val="0"/>
        <w:spacing w:line="360" w:lineRule="auto"/>
        <w:rPr>
          <w:bCs/>
          <w:szCs w:val="21"/>
        </w:rPr>
      </w:pPr>
      <w:r>
        <w:rPr>
          <w:rFonts w:hint="eastAsia"/>
          <w:bCs/>
          <w:szCs w:val="21"/>
        </w:rPr>
        <w:lastRenderedPageBreak/>
        <w:tab/>
      </w:r>
      <w:r w:rsidR="00C95060" w:rsidRPr="004F5BE4">
        <w:rPr>
          <w:rFonts w:hint="eastAsia"/>
          <w:bCs/>
          <w:szCs w:val="21"/>
        </w:rPr>
        <w:t>（</w:t>
      </w:r>
      <w:r w:rsidR="00C95060" w:rsidRPr="004F5BE4">
        <w:rPr>
          <w:rFonts w:hint="eastAsia"/>
          <w:bCs/>
          <w:szCs w:val="21"/>
        </w:rPr>
        <w:t>5</w:t>
      </w:r>
      <w:r w:rsidR="00C95060" w:rsidRPr="004F5BE4">
        <w:rPr>
          <w:rFonts w:hint="eastAsia"/>
          <w:bCs/>
          <w:szCs w:val="21"/>
        </w:rPr>
        <w:t>）进行基金会计核算并编制基金财务会计报告；</w:t>
      </w:r>
    </w:p>
    <w:p w14:paraId="41E04BA7"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6</w:t>
      </w:r>
      <w:r w:rsidR="00C95060" w:rsidRPr="004F5BE4">
        <w:rPr>
          <w:rFonts w:hint="eastAsia"/>
          <w:bCs/>
          <w:szCs w:val="21"/>
        </w:rPr>
        <w:t>）</w:t>
      </w:r>
      <w:r w:rsidR="00747307">
        <w:rPr>
          <w:rFonts w:hint="eastAsia"/>
          <w:bCs/>
          <w:szCs w:val="21"/>
        </w:rPr>
        <w:t>编制季度报告、中期报告和年度报告</w:t>
      </w:r>
      <w:r w:rsidR="00C95060" w:rsidRPr="004F5BE4">
        <w:rPr>
          <w:rFonts w:hint="eastAsia"/>
          <w:bCs/>
          <w:szCs w:val="21"/>
        </w:rPr>
        <w:t>；</w:t>
      </w:r>
    </w:p>
    <w:p w14:paraId="54C32FEA"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7</w:t>
      </w:r>
      <w:r w:rsidR="00C95060" w:rsidRPr="004F5BE4">
        <w:rPr>
          <w:rFonts w:hint="eastAsia"/>
          <w:bCs/>
          <w:szCs w:val="21"/>
        </w:rPr>
        <w:t>）计算并</w:t>
      </w:r>
      <w:r w:rsidR="00AA4ECE">
        <w:rPr>
          <w:rFonts w:hint="eastAsia"/>
          <w:bCs/>
          <w:szCs w:val="21"/>
        </w:rPr>
        <w:t>披露</w:t>
      </w:r>
      <w:r w:rsidR="00C95060" w:rsidRPr="004F5BE4">
        <w:rPr>
          <w:rFonts w:hint="eastAsia"/>
          <w:bCs/>
          <w:szCs w:val="21"/>
        </w:rPr>
        <w:t>基金净值</w:t>
      </w:r>
      <w:r w:rsidR="00AA4ECE">
        <w:rPr>
          <w:rFonts w:hint="eastAsia"/>
          <w:bCs/>
          <w:szCs w:val="21"/>
        </w:rPr>
        <w:t>信息</w:t>
      </w:r>
      <w:r w:rsidR="00C95060" w:rsidRPr="004F5BE4">
        <w:rPr>
          <w:rFonts w:hint="eastAsia"/>
          <w:bCs/>
          <w:szCs w:val="21"/>
        </w:rPr>
        <w:t>，确定基金份额申购、赎回价格；</w:t>
      </w:r>
    </w:p>
    <w:p w14:paraId="5F121393"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8</w:t>
      </w:r>
      <w:r w:rsidR="00C95060" w:rsidRPr="004F5BE4">
        <w:rPr>
          <w:rFonts w:hint="eastAsia"/>
          <w:bCs/>
          <w:szCs w:val="21"/>
        </w:rPr>
        <w:t>）办理与基金财产管理业务活动有关的信息披露事项；</w:t>
      </w:r>
    </w:p>
    <w:p w14:paraId="5385DA00"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9</w:t>
      </w:r>
      <w:r w:rsidR="00C95060" w:rsidRPr="004F5BE4">
        <w:rPr>
          <w:rFonts w:hint="eastAsia"/>
          <w:bCs/>
          <w:szCs w:val="21"/>
        </w:rPr>
        <w:t>）按照规定召集基金份额持有人大会；</w:t>
      </w:r>
    </w:p>
    <w:p w14:paraId="5109058B"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10</w:t>
      </w:r>
      <w:r w:rsidR="00C95060" w:rsidRPr="004F5BE4">
        <w:rPr>
          <w:rFonts w:hint="eastAsia"/>
          <w:bCs/>
          <w:szCs w:val="21"/>
        </w:rPr>
        <w:t>）保存基金财产管理业务活动的记录、账册、报表和其他相关资料；</w:t>
      </w:r>
    </w:p>
    <w:p w14:paraId="622693A4"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11</w:t>
      </w:r>
      <w:r w:rsidR="00C95060" w:rsidRPr="004F5BE4">
        <w:rPr>
          <w:rFonts w:hint="eastAsia"/>
          <w:bCs/>
          <w:szCs w:val="21"/>
        </w:rPr>
        <w:t>）以基金管理人名义，代表基金份额持有人利益行使诉讼权利或者实施其他法律行为；</w:t>
      </w:r>
    </w:p>
    <w:p w14:paraId="7CFAD4DD"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12</w:t>
      </w:r>
      <w:r w:rsidRPr="004F5BE4">
        <w:rPr>
          <w:rFonts w:hint="eastAsia"/>
          <w:bCs/>
          <w:szCs w:val="21"/>
        </w:rPr>
        <w:t>）法律法规及中国证监会规定的和基金合同约定的其他职责。</w:t>
      </w:r>
    </w:p>
    <w:p w14:paraId="3DC51DC4"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4E13CF3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四、基金管理人关于遵守法律法规的承诺</w:t>
      </w:r>
    </w:p>
    <w:p w14:paraId="6901DAE8"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1、基金管理人承诺遵守《基金法》及其他相关法律法规的规定，建立健全的内部控制制度，采取有效措施，防止违反《基金法》及其他相关法律法规行为的发生。</w:t>
      </w:r>
    </w:p>
    <w:p w14:paraId="0737D345"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2、基金管理人承诺不从事下列行为：</w:t>
      </w:r>
    </w:p>
    <w:p w14:paraId="03B0C182"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（1）将基金管理人固有财产或者他人财产混同于基金财产从事证券投资；</w:t>
      </w:r>
    </w:p>
    <w:p w14:paraId="2EFC379F"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（2）不公平地对待管理的不同基金财产；</w:t>
      </w:r>
    </w:p>
    <w:p w14:paraId="1CEEACB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（3）利用基金财产或者职务之便为基金份额持有人以外的人牟取利益；</w:t>
      </w:r>
    </w:p>
    <w:p w14:paraId="0B650682"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（4）向基金份额持有人违规承诺收益或者承担损失；</w:t>
      </w:r>
    </w:p>
    <w:p w14:paraId="3DB75FC6"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（5）侵占、挪用基金财产；</w:t>
      </w:r>
    </w:p>
    <w:p w14:paraId="3EE211C3"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（6）泄露因职务便利获取的未公开信息、利用该信息从事或者明示、暗示他人从事相关的交易活动；</w:t>
      </w:r>
    </w:p>
    <w:p w14:paraId="01D02FB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（7）玩忽职守，不按照规定履行职责；</w:t>
      </w:r>
    </w:p>
    <w:p w14:paraId="2AC3836E"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（8）法律、行政法规和中国证监会规定禁止的其他行为。</w:t>
      </w:r>
    </w:p>
    <w:p w14:paraId="2995E7C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 </w:t>
      </w:r>
    </w:p>
    <w:p w14:paraId="76E9C5C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五、基金管理人关于禁止性行为的承诺</w:t>
      </w:r>
    </w:p>
    <w:p w14:paraId="0156947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为维护基金份额持有人的合法权益，本基金禁止从事下列行为：</w:t>
      </w:r>
    </w:p>
    <w:p w14:paraId="718A0286"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1</w:t>
      </w:r>
      <w:r w:rsidRPr="004F5BE4">
        <w:rPr>
          <w:rFonts w:ascii="宋体" w:hAnsi="宋体" w:hint="eastAsia"/>
          <w:szCs w:val="21"/>
        </w:rPr>
        <w:t>、承销证券；</w:t>
      </w:r>
    </w:p>
    <w:p w14:paraId="568FCD75"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、违反规定向他人贷款或者提供担保；</w:t>
      </w:r>
    </w:p>
    <w:p w14:paraId="65C9F3C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、从事承担无限责任的投资；</w:t>
      </w:r>
    </w:p>
    <w:p w14:paraId="0F99A67C"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4</w:t>
      </w:r>
      <w:r w:rsidRPr="004F5BE4">
        <w:rPr>
          <w:rFonts w:ascii="宋体" w:hAnsi="宋体" w:hint="eastAsia"/>
          <w:szCs w:val="21"/>
        </w:rPr>
        <w:t>、买卖其他基金份额，但法律法规或中国证监会另有规定的除外；</w:t>
      </w:r>
    </w:p>
    <w:p w14:paraId="1494955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5</w:t>
      </w:r>
      <w:r w:rsidRPr="004F5BE4">
        <w:rPr>
          <w:rFonts w:ascii="宋体" w:hAnsi="宋体" w:hint="eastAsia"/>
          <w:szCs w:val="21"/>
        </w:rPr>
        <w:t>、向基金管理人、基金托管人出资；</w:t>
      </w:r>
    </w:p>
    <w:p w14:paraId="2331666C"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6、从事内幕交易、操纵证券交易价格及其他不正当的证券交易活动；</w:t>
      </w:r>
    </w:p>
    <w:p w14:paraId="39330BD6"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7、依照法律、行政法规和中国证监会规定禁止的其他活动。</w:t>
      </w:r>
    </w:p>
    <w:p w14:paraId="7659D8F8" w14:textId="77777777" w:rsidR="002E3EC6" w:rsidRPr="004F5BE4" w:rsidRDefault="002E3EC6" w:rsidP="004F5BE4">
      <w:pPr>
        <w:spacing w:line="360" w:lineRule="auto"/>
        <w:ind w:firstLineChars="200" w:firstLine="420"/>
        <w:rPr>
          <w:szCs w:val="21"/>
        </w:rPr>
      </w:pPr>
      <w:r w:rsidRPr="004F5BE4">
        <w:rPr>
          <w:rFonts w:hint="eastAsia"/>
          <w:szCs w:val="21"/>
        </w:rPr>
        <w:t>如</w:t>
      </w:r>
      <w:r w:rsidRPr="004F5BE4">
        <w:rPr>
          <w:szCs w:val="21"/>
        </w:rPr>
        <w:t>法律</w:t>
      </w:r>
      <w:r w:rsidRPr="004F5BE4">
        <w:rPr>
          <w:rFonts w:hint="eastAsia"/>
          <w:szCs w:val="21"/>
        </w:rPr>
        <w:t>、行政</w:t>
      </w:r>
      <w:r w:rsidRPr="004F5BE4">
        <w:rPr>
          <w:szCs w:val="21"/>
        </w:rPr>
        <w:t>法规或监管部门取消上述限制，</w:t>
      </w:r>
      <w:r w:rsidRPr="004F5BE4">
        <w:rPr>
          <w:rFonts w:ascii="宋体" w:hAnsi="宋体" w:cs="Arial" w:hint="eastAsia"/>
          <w:szCs w:val="21"/>
        </w:rPr>
        <w:t>如适用于本基金，</w:t>
      </w:r>
      <w:r w:rsidRPr="004F5BE4">
        <w:rPr>
          <w:szCs w:val="21"/>
        </w:rPr>
        <w:t>则本基金投资不再受相</w:t>
      </w:r>
      <w:r w:rsidRPr="004F5BE4">
        <w:rPr>
          <w:szCs w:val="21"/>
        </w:rPr>
        <w:lastRenderedPageBreak/>
        <w:t>关限制</w:t>
      </w:r>
      <w:r w:rsidRPr="004F5BE4">
        <w:rPr>
          <w:rFonts w:hint="eastAsia"/>
          <w:szCs w:val="21"/>
        </w:rPr>
        <w:t>。</w:t>
      </w:r>
    </w:p>
    <w:p w14:paraId="6FE5A631" w14:textId="77777777" w:rsidR="002E3EC6" w:rsidRPr="004F5BE4" w:rsidRDefault="002E3EC6" w:rsidP="00F05D2A">
      <w:pPr>
        <w:adjustRightInd w:val="0"/>
        <w:snapToGrid w:val="0"/>
        <w:spacing w:line="360" w:lineRule="auto"/>
        <w:rPr>
          <w:rFonts w:ascii="宋体" w:hAnsi="宋体"/>
          <w:szCs w:val="21"/>
        </w:rPr>
      </w:pPr>
    </w:p>
    <w:p w14:paraId="582588A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六、基金经理承诺</w:t>
      </w:r>
    </w:p>
    <w:p w14:paraId="32F778CF"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、依照有关法律、法规和基金合同的规定，本着谨慎的原则为基金份额持有人谋取最大利益；</w:t>
      </w:r>
    </w:p>
    <w:p w14:paraId="5AE25B63"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、不能利用职务之便为自己、受雇人或任何第三者谋取利益；</w:t>
      </w:r>
    </w:p>
    <w:p w14:paraId="38D8DC07"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3</w:t>
      </w:r>
      <w:r w:rsidRPr="004F5BE4">
        <w:rPr>
          <w:rFonts w:ascii="宋体" w:hAnsi="宋体" w:hint="eastAsia"/>
          <w:szCs w:val="21"/>
        </w:rPr>
        <w:t>、不泄露在任职期间知悉的有关证券、基金的商业秘密，尚未依法公开的基金投资内容、基金投资计划等信息</w:t>
      </w:r>
      <w:r w:rsidRPr="004F5BE4">
        <w:rPr>
          <w:rFonts w:hint="eastAsia"/>
        </w:rPr>
        <w:t>，或利用该信息从事或者明示、暗示他人从事相关的交易活动</w:t>
      </w:r>
      <w:r w:rsidRPr="004F5BE4">
        <w:rPr>
          <w:rFonts w:ascii="宋体" w:hAnsi="宋体" w:hint="eastAsia"/>
          <w:szCs w:val="21"/>
        </w:rPr>
        <w:t>；</w:t>
      </w:r>
    </w:p>
    <w:p w14:paraId="727DC41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、不以任何形式为其他组织或个人进行证券交易。</w:t>
      </w:r>
    </w:p>
    <w:p w14:paraId="5DD7C3F9"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398614C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七、基金管理人的内部控制制度</w:t>
      </w:r>
    </w:p>
    <w:p w14:paraId="67D7F0A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、内部控制制度概述</w:t>
      </w:r>
    </w:p>
    <w:p w14:paraId="6238391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21F416C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14:paraId="2C1BADA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14:paraId="3CE2EC0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基本管理制度包括内部会计控制制度、风险控制制度、投资管理制度、监察稽核制度、基金会计制度、信息披露制度、信息技术管理制度、资料档案管理制度、业绩评估考核制度和紧急应变制度等。</w:t>
      </w:r>
    </w:p>
    <w:p w14:paraId="688610D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部门业务规章是在基本管理制度的基础上，对各部门的主要职责、岗位设置、岗位责任、操作守则等的具体说明。</w:t>
      </w:r>
    </w:p>
    <w:p w14:paraId="7A405CA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、内部控制原则</w:t>
      </w:r>
      <w:r w:rsidRPr="004F5BE4">
        <w:rPr>
          <w:rFonts w:ascii="宋体" w:hAnsi="宋体"/>
          <w:szCs w:val="21"/>
        </w:rPr>
        <w:br/>
      </w:r>
      <w:r w:rsidRPr="004F5BE4">
        <w:rPr>
          <w:rFonts w:ascii="宋体" w:hAnsi="宋体" w:hint="eastAsia"/>
          <w:szCs w:val="21"/>
        </w:rPr>
        <w:t xml:space="preserve">　　健全性原则。内部控制机制必须覆盖公司的各项业务、各个部门或机构和各级人员，并涵盖到决策、执行、监督、反馈等各个运作环节。</w:t>
      </w:r>
    </w:p>
    <w:p w14:paraId="122F18A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有效性原则。通过科学的内控手段和方法，建立合理的内控程序，维护内控制度的有效执行。</w:t>
      </w:r>
    </w:p>
    <w:p w14:paraId="33D1C2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独立性原则。公司各机构、部门和岗位在职能上应当保持相对独立，公司基金资产、自有资产、其他资产的运作应当分离。</w:t>
      </w:r>
    </w:p>
    <w:p w14:paraId="111E3C7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相互制约原则。公司内部部门和岗位的设置必须权责分明、相互制衡，并通过切实可行的措施来实行。</w:t>
      </w:r>
    </w:p>
    <w:p w14:paraId="5002E7B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lastRenderedPageBreak/>
        <w:t>成本效益原则。公司应充分发挥各机构、各部门及各级员工的工作积极性，运用科学化的方法尽量降低经营运作成本，提高经济效益，以合理的控制成本达到最佳的内部控制效果。</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、主要内部控制制度</w:t>
      </w:r>
    </w:p>
    <w:p w14:paraId="1A8037B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1</w:t>
      </w:r>
      <w:r w:rsidRPr="004F5BE4">
        <w:rPr>
          <w:rFonts w:ascii="宋体" w:hAnsi="宋体" w:hint="eastAsia"/>
          <w:szCs w:val="21"/>
        </w:rPr>
        <w:t>）内部会计控制制度</w:t>
      </w:r>
      <w:r w:rsidRPr="004F5BE4">
        <w:rPr>
          <w:rFonts w:ascii="宋体" w:hAnsi="宋体"/>
          <w:szCs w:val="21"/>
        </w:rPr>
        <w:br/>
      </w:r>
      <w:r w:rsidRPr="004F5BE4">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14:paraId="43E53D7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）风险管理控制制度</w:t>
      </w:r>
      <w:r w:rsidRPr="004F5BE4">
        <w:rPr>
          <w:rFonts w:ascii="宋体" w:hAnsi="宋体"/>
          <w:szCs w:val="21"/>
        </w:rPr>
        <w:br/>
      </w:r>
      <w:r w:rsidRPr="004F5BE4">
        <w:rPr>
          <w:rFonts w:ascii="宋体" w:hAnsi="宋体" w:hint="eastAsia"/>
          <w:szCs w:val="21"/>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14:paraId="4C73F8F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风险控制的具体制度主要包括投资风险管理制度、交易风险管理制度、财务风险控制制度以及岗位分离制度、防火墙制度、岗位职责、反馈制度、保密制度、员工行为准则等程序性风险管理制度。</w:t>
      </w:r>
    </w:p>
    <w:p w14:paraId="1822E37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3</w:t>
      </w:r>
      <w:r w:rsidRPr="004F5BE4">
        <w:rPr>
          <w:rFonts w:ascii="宋体" w:hAnsi="宋体" w:hint="eastAsia"/>
          <w:szCs w:val="21"/>
        </w:rPr>
        <w:t>）监察稽核制度</w:t>
      </w:r>
      <w:r w:rsidRPr="004F5BE4">
        <w:rPr>
          <w:rFonts w:ascii="宋体" w:hAnsi="宋体"/>
          <w:szCs w:val="21"/>
        </w:rPr>
        <w:br/>
      </w:r>
      <w:r w:rsidRPr="004F5BE4">
        <w:rPr>
          <w:rFonts w:ascii="宋体" w:hAnsi="宋体" w:hint="eastAsia"/>
          <w:szCs w:val="21"/>
        </w:rPr>
        <w:t xml:space="preserve">　　公司设立督察长，负责监督检查基金和公司运作的合法合规情况及公司内部风险控制情况。督察长由总经理提名，董事会聘任，并经全体独立董事同意。</w:t>
      </w:r>
      <w:r w:rsidRPr="004F5BE4">
        <w:rPr>
          <w:rFonts w:ascii="宋体" w:hAnsi="宋体"/>
          <w:szCs w:val="21"/>
        </w:rPr>
        <w:br/>
      </w:r>
      <w:r w:rsidRPr="004F5BE4">
        <w:rPr>
          <w:rFonts w:ascii="宋体" w:hAnsi="宋体" w:hint="eastAsia"/>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4F5BE4">
        <w:rPr>
          <w:rFonts w:ascii="宋体" w:hAnsi="宋体"/>
          <w:szCs w:val="21"/>
        </w:rPr>
        <w:br/>
      </w:r>
      <w:r w:rsidRPr="004F5BE4">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14:paraId="0D7C1303"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Pr="004F5BE4">
        <w:rPr>
          <w:rFonts w:ascii="宋体" w:hAnsi="宋体"/>
          <w:szCs w:val="21"/>
        </w:rPr>
        <w:br w:type="page"/>
      </w:r>
    </w:p>
    <w:p w14:paraId="6BF20CF7"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34" w:name="_Toc274597436"/>
      <w:bookmarkStart w:id="35" w:name="_Toc276542603"/>
      <w:bookmarkStart w:id="36" w:name="_Toc289439335"/>
      <w:bookmarkStart w:id="37" w:name="_Toc297312905"/>
      <w:bookmarkStart w:id="38" w:name="_Toc353955233"/>
      <w:bookmarkStart w:id="39" w:name="_Toc364930791"/>
      <w:bookmarkStart w:id="40" w:name="_Toc382897919"/>
      <w:bookmarkStart w:id="41" w:name="_Toc411503265"/>
      <w:bookmarkStart w:id="42" w:name="_Toc47384191"/>
      <w:r w:rsidRPr="004F5BE4">
        <w:rPr>
          <w:rFonts w:hint="eastAsia"/>
          <w:b w:val="0"/>
        </w:rPr>
        <w:lastRenderedPageBreak/>
        <w:t>基金托管人</w:t>
      </w:r>
      <w:bookmarkEnd w:id="34"/>
      <w:bookmarkEnd w:id="35"/>
      <w:bookmarkEnd w:id="36"/>
      <w:bookmarkEnd w:id="37"/>
      <w:bookmarkEnd w:id="38"/>
      <w:bookmarkEnd w:id="39"/>
      <w:bookmarkEnd w:id="40"/>
      <w:bookmarkEnd w:id="41"/>
      <w:bookmarkEnd w:id="42"/>
    </w:p>
    <w:p w14:paraId="3FE84662" w14:textId="77777777" w:rsidR="002016C4" w:rsidRPr="004F5BE4" w:rsidRDefault="002016C4" w:rsidP="004F5BE4">
      <w:pPr>
        <w:adjustRightInd w:val="0"/>
        <w:snapToGrid w:val="0"/>
        <w:spacing w:line="360" w:lineRule="auto"/>
        <w:ind w:firstLineChars="200" w:firstLine="420"/>
        <w:rPr>
          <w:rFonts w:ascii="宋体" w:hAnsi="宋体"/>
          <w:szCs w:val="21"/>
        </w:rPr>
      </w:pPr>
    </w:p>
    <w:p w14:paraId="693805D1" w14:textId="666218E8"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一、基金托管人基本情况</w:t>
      </w:r>
    </w:p>
    <w:p w14:paraId="25441FC2"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（一）基金托管人概况</w:t>
      </w:r>
    </w:p>
    <w:p w14:paraId="4183207B"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公司法定中文名称：交通银行股份有限公司（简称：交通银行）</w:t>
      </w:r>
    </w:p>
    <w:p w14:paraId="5E81E1B4"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公司法定英文名称：BANK OF COMMUNICATIONS CO.,LTD</w:t>
      </w:r>
    </w:p>
    <w:p w14:paraId="37BC9A1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法定代表人：任德奇</w:t>
      </w:r>
    </w:p>
    <w:p w14:paraId="59716808"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住</w:t>
      </w:r>
      <w:r w:rsidRPr="000A06EC">
        <w:rPr>
          <w:rFonts w:ascii="宋体" w:hAnsi="宋体" w:hint="eastAsia"/>
          <w:szCs w:val="21"/>
        </w:rPr>
        <w:tab/>
        <w:t>所：中国（上海）自由贸易试验区银城中路188号</w:t>
      </w:r>
    </w:p>
    <w:p w14:paraId="6EB0F3C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办公地址：上海市长宁区仙霞路18号</w:t>
      </w:r>
    </w:p>
    <w:p w14:paraId="15847F85"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邮政编码：200336</w:t>
      </w:r>
    </w:p>
    <w:p w14:paraId="171CD89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注册时间：1987年3月30日</w:t>
      </w:r>
    </w:p>
    <w:p w14:paraId="48AD4F47"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注册资本：742.63亿元</w:t>
      </w:r>
    </w:p>
    <w:p w14:paraId="3BC72265"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基金托管资格批文及文号：中国证监会证监基字[1998]25号</w:t>
      </w:r>
    </w:p>
    <w:p w14:paraId="617F6118"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联系人：陆志俊</w:t>
      </w:r>
    </w:p>
    <w:p w14:paraId="6EBCBED7"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电  话：95559</w:t>
      </w:r>
    </w:p>
    <w:p w14:paraId="59F2383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根据2019年英国《银行家》杂志发布的全球千家大银行报告，交通银行一级资本位列第11位，连续五年跻身全球银行20强；根据2019年美国《财富》杂志发布的世界500强公司排行榜，交通银行营业收入位列第150位，较上年提升18位。</w:t>
      </w:r>
    </w:p>
    <w:p w14:paraId="3C6458F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截至2020年3月31日，交通银行资产总额为人民币104，543.83亿元。2020年1-3月，交通银行实现净利润(归属于母公司股东)人民币214.51亿元。</w:t>
      </w:r>
    </w:p>
    <w:p w14:paraId="70B70A7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总行设资产托管业务中心（下文简称“托管中心”）。现有员工具有多年基金、证券和银行的从业经验，具备基金从业资格，以及经济师、会计师、工程师和律师等中高级专业技术职称，员工的学历层次较高，专业分布合理，职业技能优良，职业道德素质过硬，是一支诚实勤勉、积极进取、开拓创新、奋发向上的资产托管从业人员队伍。</w:t>
      </w:r>
    </w:p>
    <w:p w14:paraId="391A9E80"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（二）主要人员情况</w:t>
      </w:r>
    </w:p>
    <w:p w14:paraId="566E631F" w14:textId="77777777" w:rsidR="00827270" w:rsidRPr="000A06EC" w:rsidRDefault="00827270" w:rsidP="00827270">
      <w:pPr>
        <w:adjustRightInd w:val="0"/>
        <w:snapToGrid w:val="0"/>
        <w:spacing w:line="360" w:lineRule="auto"/>
        <w:ind w:firstLineChars="200" w:firstLine="420"/>
        <w:rPr>
          <w:rFonts w:ascii="宋体" w:hAnsi="宋体"/>
          <w:szCs w:val="21"/>
        </w:rPr>
      </w:pPr>
      <w:r w:rsidRPr="000A06EC">
        <w:rPr>
          <w:rFonts w:ascii="宋体" w:hAnsi="宋体" w:hint="eastAsia"/>
          <w:szCs w:val="21"/>
        </w:rPr>
        <w:t>任德奇先生，董事长、执行董事，高级经济师。</w:t>
      </w:r>
    </w:p>
    <w:p w14:paraId="63DD708E" w14:textId="68836534" w:rsidR="00827270" w:rsidRPr="000A06EC" w:rsidRDefault="00827270" w:rsidP="00827270">
      <w:pPr>
        <w:adjustRightInd w:val="0"/>
        <w:snapToGrid w:val="0"/>
        <w:spacing w:line="360" w:lineRule="auto"/>
        <w:ind w:firstLineChars="200" w:firstLine="420"/>
        <w:rPr>
          <w:rFonts w:ascii="宋体" w:hAnsi="宋体"/>
          <w:szCs w:val="21"/>
        </w:rPr>
      </w:pPr>
      <w:r w:rsidRPr="000A06EC">
        <w:rPr>
          <w:rFonts w:ascii="宋体" w:hAnsi="宋体" w:hint="eastAsia"/>
          <w:szCs w:val="21"/>
        </w:rPr>
        <w:t>任先生2020年1月起任</w:t>
      </w:r>
      <w:r>
        <w:rPr>
          <w:rFonts w:ascii="宋体" w:hAnsi="宋体" w:hint="eastAsia"/>
          <w:szCs w:val="21"/>
        </w:rPr>
        <w:t>交通银行</w:t>
      </w:r>
      <w:r w:rsidRPr="000A06EC">
        <w:rPr>
          <w:rFonts w:ascii="宋体" w:hAnsi="宋体" w:hint="eastAsia"/>
          <w:szCs w:val="21"/>
        </w:rPr>
        <w:t>董事长、执行董事，代为履行行长职责，2018年8月至2020年1月任</w:t>
      </w:r>
      <w:r>
        <w:rPr>
          <w:rFonts w:ascii="宋体" w:hAnsi="宋体" w:hint="eastAsia"/>
          <w:szCs w:val="21"/>
        </w:rPr>
        <w:t>交通银行</w:t>
      </w:r>
      <w:r w:rsidRPr="000A06EC">
        <w:rPr>
          <w:rFonts w:ascii="宋体" w:hAnsi="宋体" w:hint="eastAsia"/>
          <w:szCs w:val="21"/>
        </w:rPr>
        <w:t>副董事长（其中：2019年4月至2020年1月代为履行董事长职责）、执行董事，2018年8月至2019年12月任</w:t>
      </w:r>
      <w:r>
        <w:rPr>
          <w:rFonts w:ascii="宋体" w:hAnsi="宋体" w:hint="eastAsia"/>
          <w:szCs w:val="21"/>
        </w:rPr>
        <w:t>交通银行</w:t>
      </w:r>
      <w:r w:rsidRPr="000A06EC">
        <w:rPr>
          <w:rFonts w:ascii="宋体" w:hAnsi="宋体" w:hint="eastAsia"/>
          <w:szCs w:val="21"/>
        </w:rPr>
        <w:t>行长； 2016年12月至2018年6月任中国银行执行董事、副行长，其中：2015年10月至2018年6月兼任中银香港（控股）</w:t>
      </w:r>
      <w:r w:rsidRPr="000A06EC">
        <w:rPr>
          <w:rFonts w:ascii="宋体" w:hAnsi="宋体" w:hint="eastAsia"/>
          <w:szCs w:val="21"/>
        </w:rPr>
        <w:lastRenderedPageBreak/>
        <w:t>有限公司非执行董事，2016年9月至2018年6月兼任中国银行上海人民币交易业务总部总裁；2014年7月至2016年11月任中国银行副行长，2003年8月至2014年5月历任中国建设银行信贷审批部副总经理、风险监控部总经理、授信管理部总经理、湖北省分行行长、风险管理部总经理；1988年7月至2003年8月先后在中国建设银行岳阳长岭支行、岳阳市中心支行、岳阳分行，中国建设银行信贷管理委员会办公室、信贷风险管理部工作。任先生1988年于清华大学获工学硕士学位。</w:t>
      </w:r>
    </w:p>
    <w:p w14:paraId="4133DEB0" w14:textId="77777777" w:rsidR="00827270" w:rsidRPr="000A06EC" w:rsidRDefault="00827270" w:rsidP="00827270">
      <w:pPr>
        <w:adjustRightInd w:val="0"/>
        <w:snapToGrid w:val="0"/>
        <w:spacing w:line="360" w:lineRule="auto"/>
        <w:ind w:firstLineChars="200" w:firstLine="420"/>
        <w:rPr>
          <w:rFonts w:ascii="宋体" w:hAnsi="宋体"/>
          <w:szCs w:val="21"/>
        </w:rPr>
      </w:pPr>
      <w:r w:rsidRPr="000A06EC">
        <w:rPr>
          <w:rFonts w:ascii="宋体" w:hAnsi="宋体" w:hint="eastAsia"/>
          <w:szCs w:val="21"/>
        </w:rPr>
        <w:t>袁庆伟女士，资产托管业务中心总裁，高级经济师。</w:t>
      </w:r>
    </w:p>
    <w:p w14:paraId="7DF2DD60" w14:textId="5BA5A74B" w:rsidR="00827270" w:rsidRPr="000A06EC" w:rsidRDefault="00827270" w:rsidP="00827270">
      <w:pPr>
        <w:adjustRightInd w:val="0"/>
        <w:snapToGrid w:val="0"/>
        <w:spacing w:line="360" w:lineRule="auto"/>
        <w:ind w:firstLineChars="200" w:firstLine="420"/>
        <w:rPr>
          <w:rFonts w:ascii="宋体" w:hAnsi="宋体"/>
          <w:szCs w:val="21"/>
        </w:rPr>
      </w:pPr>
      <w:r w:rsidRPr="000A06EC">
        <w:rPr>
          <w:rFonts w:ascii="宋体" w:hAnsi="宋体" w:hint="eastAsia"/>
          <w:szCs w:val="21"/>
        </w:rPr>
        <w:t>袁女士2015年8月起任</w:t>
      </w:r>
      <w:r>
        <w:rPr>
          <w:rFonts w:ascii="宋体" w:hAnsi="宋体" w:hint="eastAsia"/>
          <w:szCs w:val="21"/>
        </w:rPr>
        <w:t>交通银行</w:t>
      </w:r>
      <w:r w:rsidRPr="000A06EC">
        <w:rPr>
          <w:rFonts w:ascii="宋体" w:hAnsi="宋体" w:hint="eastAsia"/>
          <w:szCs w:val="21"/>
        </w:rPr>
        <w:t>资产托管业务中心总裁；2007年12月至2015年8月，历任</w:t>
      </w:r>
      <w:r>
        <w:rPr>
          <w:rFonts w:ascii="宋体" w:hAnsi="宋体" w:hint="eastAsia"/>
          <w:szCs w:val="21"/>
        </w:rPr>
        <w:t>交通银行</w:t>
      </w:r>
      <w:r w:rsidRPr="000A06EC">
        <w:rPr>
          <w:rFonts w:ascii="宋体" w:hAnsi="宋体" w:hint="eastAsia"/>
          <w:szCs w:val="21"/>
        </w:rPr>
        <w:t>资产托管部总经理助理、副总经理，</w:t>
      </w:r>
      <w:r>
        <w:rPr>
          <w:rFonts w:ascii="宋体" w:hAnsi="宋体" w:hint="eastAsia"/>
          <w:szCs w:val="21"/>
        </w:rPr>
        <w:t>交通银行</w:t>
      </w:r>
      <w:r w:rsidRPr="000A06EC">
        <w:rPr>
          <w:rFonts w:ascii="宋体" w:hAnsi="宋体" w:hint="eastAsia"/>
          <w:szCs w:val="21"/>
        </w:rPr>
        <w:t>资产托管业务中心副总裁；1999年12月至2007年12月，历任</w:t>
      </w:r>
      <w:r>
        <w:rPr>
          <w:rFonts w:ascii="宋体" w:hAnsi="宋体" w:hint="eastAsia"/>
          <w:szCs w:val="21"/>
        </w:rPr>
        <w:t>交通银行</w:t>
      </w:r>
      <w:r w:rsidRPr="000A06EC">
        <w:rPr>
          <w:rFonts w:ascii="宋体" w:hAnsi="宋体" w:hint="eastAsia"/>
          <w:szCs w:val="21"/>
        </w:rPr>
        <w:t>乌鲁木齐分行财务会计部副科长、科长、处长助理、副处长，会计结算部高级经理。袁女士1992年毕业于中国石油大学计算机科学系，获得学士学位，2005年于新疆财经学院获硕士学位。</w:t>
      </w:r>
    </w:p>
    <w:p w14:paraId="05C917B4"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（三）基金托管业务经营情况</w:t>
      </w:r>
    </w:p>
    <w:p w14:paraId="0E9F053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截至2020年3月31日，交通银行共托管证券投资基金452只。此外，交通银行还托管了基金公司特定客户资产管理计划、证券公司客户资产管理计划、银行理财产品、信托计划、私募投资基金、保险资金、全国社保基金、养老保障管理基金、企业年金基金、职业年金基金、QFII证券投资资产、RQFII证券投资资产、QDII证券投资资产、RQDII证券投资资产、QDIE资金、QDLP资金和QFLP资金等产品。</w:t>
      </w:r>
    </w:p>
    <w:p w14:paraId="059905DA"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二、基金托管人的内部控制制度</w:t>
      </w:r>
    </w:p>
    <w:p w14:paraId="5A822601"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（一）内部控制目标</w:t>
      </w:r>
    </w:p>
    <w:p w14:paraId="4DF8DBD7"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严格遵守国家法律法规、行业规章及行内相关管理规定，加强内部管理，托管中心业务制度健全并确保贯彻执行各项规章，通过对各种风险的识别、评估、控制及缓释，有效地实现对各项业务的风险管控，确保业务稳健运行，保护基金持有人的合法权益。</w:t>
      </w:r>
    </w:p>
    <w:p w14:paraId="5F169B06"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（二）内部控制原则</w:t>
      </w:r>
    </w:p>
    <w:p w14:paraId="01461FC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1、合法性原则：托管中心制定的各项制度符合国家法律法规及监管机构的监管要求，并贯穿于托管业务经营管理活动始终。</w:t>
      </w:r>
    </w:p>
    <w:p w14:paraId="7A3EE784"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2、全面性原则：托管中心建立各二级部自我监控和风险合规部风险管控的内部控制机制，覆盖各项业务、各个部门和各级人员，并渗透到决策、执行、监督、反馈等各个经营环节，建立全面的风险管理监督机制。</w:t>
      </w:r>
    </w:p>
    <w:p w14:paraId="5A44B04F"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3、独立性原则：托管中心独立负责受托基金资产的保管，保证基金资产与交通银行的自有资产相互独立，对不同的受托基金资产分别设置账户，独立核算，分账管理。</w:t>
      </w:r>
    </w:p>
    <w:p w14:paraId="182CA7BC"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4、制衡性原则：托管中心贯彻适当授权、相互制约的原则，从组织架构的设置上确保各二级部和各岗位权责分明、相互制约，并通过有效的相互制衡措施消除内部控制中的盲点。</w:t>
      </w:r>
    </w:p>
    <w:p w14:paraId="042B9365"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5、有效性原则：托管中心在岗位、业务二级部和风险合规部三级内控管理模式的基础</w:t>
      </w:r>
      <w:r w:rsidRPr="000A06EC">
        <w:rPr>
          <w:rFonts w:ascii="宋体" w:hAnsi="宋体" w:hint="eastAsia"/>
          <w:szCs w:val="21"/>
        </w:rPr>
        <w:lastRenderedPageBreak/>
        <w:t>上，形成科学合理的内部控制决策机制、执行机制和监督机制，通过行之有效的控制流程、控制措施，建立合理的内控程序，保障各项内控管理目标被有效执行。</w:t>
      </w:r>
    </w:p>
    <w:p w14:paraId="16C230BB"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6、效益性原则：托管中心内部控制与基金托管规模、业务范围和业务运作环节的风险控制要求相适应，尽量降低经营运作成本，以合理的控制成本实现最佳的内部控制目标。</w:t>
      </w:r>
    </w:p>
    <w:p w14:paraId="32D441C3"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（三）内部控制制度及措施</w:t>
      </w:r>
    </w:p>
    <w:p w14:paraId="13EBA8CA"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根据《证券投资基金法》、《中华人民共和国商业银行法》、《商业银行资产托管业务指引》等法律法规，托管中心制定了一整套严密、完整的证券投资基金托管管理规章制度，确保基金托管业务运行的规范、安全、高效，包括《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等，并根据市场变化和基金业务的发展不断加以完善。做到业务分工科学合理，技术系统管理规范，业务管理制度健全，核心作业区实行封闭管理，落实各项安全隔离措施，相关信息披露由专人负责。</w:t>
      </w:r>
    </w:p>
    <w:p w14:paraId="52B703C8"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托管中心通过对基金托管业务各环节的事前揭示、事中控制和事后检查措施实现全流程、全链条的风险管理，聘请国际著名会计师事务所对基金托管业务运行进行国际标准的内部控制评审。</w:t>
      </w:r>
    </w:p>
    <w:p w14:paraId="5218E48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三、基金托管人对基金管理人运作基金进行监督的方法和程序</w:t>
      </w:r>
    </w:p>
    <w:p w14:paraId="2004C759"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w:t>
      </w:r>
    </w:p>
    <w:p w14:paraId="726057C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14:paraId="751555B2"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交通银行作为基金托管人，发现基金管理人有重大违规行为，有权立即报告中国证监会，同时通知基金管理人限期纠正。</w:t>
      </w:r>
    </w:p>
    <w:p w14:paraId="4E85822D" w14:textId="77777777" w:rsidR="000A06EC" w:rsidRPr="000A06EC"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四、其他事项</w:t>
      </w:r>
    </w:p>
    <w:p w14:paraId="657EA0A9" w14:textId="72DFE391" w:rsidR="000A06EC" w:rsidRPr="004F5BE4" w:rsidRDefault="000A06EC" w:rsidP="000A06EC">
      <w:pPr>
        <w:adjustRightInd w:val="0"/>
        <w:snapToGrid w:val="0"/>
        <w:spacing w:line="360" w:lineRule="auto"/>
        <w:ind w:firstLineChars="200" w:firstLine="420"/>
        <w:rPr>
          <w:rFonts w:ascii="宋体" w:hAnsi="宋体"/>
          <w:szCs w:val="21"/>
        </w:rPr>
      </w:pPr>
      <w:r w:rsidRPr="000A06EC">
        <w:rPr>
          <w:rFonts w:ascii="宋体" w:hAnsi="宋体" w:hint="eastAsia"/>
          <w:szCs w:val="21"/>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14:paraId="5313C565" w14:textId="77777777" w:rsidR="002E3EC6" w:rsidRPr="004F5BE4" w:rsidRDefault="002E3EC6" w:rsidP="00F05D2A">
      <w:pPr>
        <w:widowControl/>
        <w:spacing w:line="360" w:lineRule="auto"/>
        <w:jc w:val="left"/>
        <w:rPr>
          <w:rFonts w:ascii="宋体" w:hAnsi="宋体"/>
          <w:kern w:val="0"/>
          <w:szCs w:val="21"/>
        </w:rPr>
      </w:pPr>
      <w:r w:rsidRPr="004F5BE4">
        <w:rPr>
          <w:rFonts w:ascii="宋体" w:hAnsi="宋体"/>
          <w:kern w:val="0"/>
          <w:szCs w:val="21"/>
        </w:rPr>
        <w:br w:type="page"/>
      </w:r>
    </w:p>
    <w:p w14:paraId="38889D0B" w14:textId="77777777" w:rsidR="002E3EC6" w:rsidRPr="004F5BE4" w:rsidRDefault="002E3EC6" w:rsidP="004F5BE4">
      <w:pPr>
        <w:adjustRightInd w:val="0"/>
        <w:snapToGrid w:val="0"/>
        <w:spacing w:line="360" w:lineRule="auto"/>
        <w:ind w:firstLineChars="200" w:firstLine="420"/>
        <w:jc w:val="left"/>
        <w:rPr>
          <w:rFonts w:ascii="宋体" w:hAnsi="宋体"/>
          <w:kern w:val="0"/>
          <w:szCs w:val="21"/>
        </w:rPr>
      </w:pPr>
    </w:p>
    <w:p w14:paraId="6BFD714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43" w:name="_Toc274597437"/>
      <w:bookmarkStart w:id="44" w:name="_Toc276542604"/>
      <w:bookmarkStart w:id="45" w:name="_Toc289439336"/>
      <w:bookmarkStart w:id="46" w:name="_Toc297312906"/>
      <w:bookmarkStart w:id="47" w:name="_Toc353955234"/>
      <w:bookmarkStart w:id="48" w:name="_Toc364930792"/>
      <w:bookmarkStart w:id="49" w:name="_Toc382897920"/>
      <w:bookmarkStart w:id="50" w:name="_Toc411503266"/>
      <w:bookmarkStart w:id="51" w:name="_Toc47384192"/>
      <w:r w:rsidRPr="004F5BE4">
        <w:rPr>
          <w:rFonts w:hint="eastAsia"/>
          <w:b w:val="0"/>
        </w:rPr>
        <w:t>相关服务机构</w:t>
      </w:r>
      <w:bookmarkEnd w:id="43"/>
      <w:bookmarkEnd w:id="44"/>
      <w:bookmarkEnd w:id="45"/>
      <w:bookmarkEnd w:id="46"/>
      <w:bookmarkEnd w:id="47"/>
      <w:bookmarkEnd w:id="48"/>
      <w:bookmarkEnd w:id="49"/>
      <w:bookmarkEnd w:id="50"/>
      <w:bookmarkEnd w:id="51"/>
    </w:p>
    <w:p w14:paraId="74F0B405"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5137193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一、销售机构</w:t>
      </w:r>
    </w:p>
    <w:p w14:paraId="7039E9C6" w14:textId="7D0FDC62" w:rsidR="00827270" w:rsidRPr="004F5BE4" w:rsidRDefault="00827270" w:rsidP="00827270">
      <w:pPr>
        <w:adjustRightInd w:val="0"/>
        <w:snapToGrid w:val="0"/>
        <w:spacing w:line="360" w:lineRule="auto"/>
        <w:ind w:firstLine="465"/>
        <w:rPr>
          <w:rFonts w:ascii="宋体" w:hAnsi="宋体"/>
          <w:bCs/>
          <w:szCs w:val="21"/>
        </w:rPr>
      </w:pPr>
      <w:r w:rsidRPr="009A04F2">
        <w:rPr>
          <w:rFonts w:ascii="宋体" w:hAnsi="宋体" w:hint="eastAsia"/>
          <w:bCs/>
          <w:szCs w:val="21"/>
        </w:rPr>
        <w:t>销售机构情况</w:t>
      </w:r>
      <w:r w:rsidRPr="009A04F2">
        <w:rPr>
          <w:rFonts w:hAnsi="宋体"/>
          <w:szCs w:val="21"/>
        </w:rPr>
        <w:t>详见</w:t>
      </w:r>
      <w:r w:rsidRPr="009A04F2">
        <w:rPr>
          <w:rFonts w:hAnsi="宋体"/>
          <w:bCs/>
          <w:szCs w:val="21"/>
        </w:rPr>
        <w:t>基金份额发售公告以及</w:t>
      </w:r>
      <w:r w:rsidRPr="009A04F2">
        <w:rPr>
          <w:rFonts w:hAnsi="宋体"/>
          <w:szCs w:val="21"/>
        </w:rPr>
        <w:t>基金管理人</w:t>
      </w:r>
      <w:r>
        <w:rPr>
          <w:rFonts w:hAnsi="宋体" w:hint="eastAsia"/>
          <w:szCs w:val="21"/>
        </w:rPr>
        <w:t>网站</w:t>
      </w:r>
      <w:r w:rsidRPr="004F5BE4">
        <w:rPr>
          <w:rFonts w:ascii="宋体" w:hAnsi="宋体" w:hint="eastAsia"/>
          <w:bCs/>
          <w:szCs w:val="21"/>
        </w:rPr>
        <w:t>。</w:t>
      </w:r>
    </w:p>
    <w:p w14:paraId="40D9D56A" w14:textId="77777777" w:rsidR="002E3EC6" w:rsidRPr="00827270" w:rsidRDefault="002E3EC6" w:rsidP="00F05D2A">
      <w:pPr>
        <w:adjustRightInd w:val="0"/>
        <w:snapToGrid w:val="0"/>
        <w:spacing w:line="360" w:lineRule="auto"/>
        <w:ind w:firstLine="465"/>
        <w:rPr>
          <w:rFonts w:ascii="宋体" w:hAnsi="宋体"/>
          <w:bCs/>
          <w:szCs w:val="21"/>
        </w:rPr>
      </w:pPr>
    </w:p>
    <w:p w14:paraId="7FDD2463" w14:textId="77777777" w:rsidR="002E3EC6" w:rsidRPr="004F5BE4" w:rsidRDefault="002E3EC6" w:rsidP="00F05D2A">
      <w:pPr>
        <w:adjustRightInd w:val="0"/>
        <w:snapToGrid w:val="0"/>
        <w:spacing w:line="360" w:lineRule="auto"/>
        <w:ind w:firstLine="465"/>
        <w:rPr>
          <w:rFonts w:ascii="宋体" w:hAnsi="宋体"/>
          <w:bCs/>
          <w:szCs w:val="21"/>
        </w:rPr>
      </w:pPr>
      <w:r w:rsidRPr="004F5BE4">
        <w:rPr>
          <w:rFonts w:ascii="宋体" w:hAnsi="宋体" w:hint="eastAsia"/>
          <w:bCs/>
          <w:szCs w:val="21"/>
        </w:rPr>
        <w:t>二、登记机构</w:t>
      </w:r>
    </w:p>
    <w:p w14:paraId="61C9E4D8"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名称：</w:t>
      </w:r>
      <w:r w:rsidR="002A3484">
        <w:rPr>
          <w:rFonts w:ascii="宋体" w:hAnsi="宋体" w:hint="eastAsia"/>
          <w:bCs/>
          <w:szCs w:val="21"/>
        </w:rPr>
        <w:t>南方基金管理股份</w:t>
      </w:r>
      <w:r w:rsidRPr="009A04F2">
        <w:rPr>
          <w:rFonts w:ascii="宋体" w:hAnsi="宋体" w:hint="eastAsia"/>
          <w:bCs/>
          <w:szCs w:val="21"/>
        </w:rPr>
        <w:t>有限公司</w:t>
      </w:r>
    </w:p>
    <w:p w14:paraId="195D2E7A"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住所及办公地址：</w:t>
      </w:r>
      <w:r w:rsidR="004D4605" w:rsidRPr="002B7E41">
        <w:rPr>
          <w:rFonts w:ascii="宋体" w:hAnsi="宋体" w:hint="eastAsia"/>
          <w:szCs w:val="21"/>
        </w:rPr>
        <w:t>深圳市福田区莲花街道益田路5999号基金大厦32-42楼</w:t>
      </w:r>
    </w:p>
    <w:p w14:paraId="26CCC966" w14:textId="6C5DFE1D"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法定代表人：</w:t>
      </w:r>
      <w:r w:rsidR="001B6FEB" w:rsidRPr="001B6FEB">
        <w:rPr>
          <w:rFonts w:ascii="宋体" w:hAnsi="宋体" w:hint="eastAsia"/>
          <w:bCs/>
          <w:szCs w:val="21"/>
        </w:rPr>
        <w:t>杨小松（代为履行法定代表人职责）</w:t>
      </w:r>
    </w:p>
    <w:p w14:paraId="1957280C"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电话：（0755）</w:t>
      </w:r>
      <w:r w:rsidRPr="009A04F2">
        <w:rPr>
          <w:rFonts w:ascii="宋体" w:hAnsi="宋体" w:hint="eastAsia"/>
          <w:bCs/>
          <w:szCs w:val="21"/>
        </w:rPr>
        <w:t>82763849</w:t>
      </w:r>
    </w:p>
    <w:p w14:paraId="3FA80D9B"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传真：（0755）</w:t>
      </w:r>
      <w:r w:rsidRPr="009A04F2">
        <w:rPr>
          <w:rFonts w:ascii="宋体" w:hAnsi="宋体" w:hint="eastAsia"/>
          <w:bCs/>
          <w:szCs w:val="21"/>
        </w:rPr>
        <w:t>82763868</w:t>
      </w:r>
    </w:p>
    <w:p w14:paraId="2D1EC475"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联系人：古和鹏</w:t>
      </w:r>
    </w:p>
    <w:p w14:paraId="10638B7B" w14:textId="77777777" w:rsidR="002E3EC6" w:rsidRPr="0005255F" w:rsidRDefault="002E3EC6" w:rsidP="00F05D2A">
      <w:pPr>
        <w:adjustRightInd w:val="0"/>
        <w:snapToGrid w:val="0"/>
        <w:spacing w:line="360" w:lineRule="auto"/>
        <w:ind w:firstLine="465"/>
        <w:rPr>
          <w:rFonts w:ascii="宋体" w:hAnsi="宋体"/>
          <w:bCs/>
          <w:szCs w:val="21"/>
        </w:rPr>
      </w:pPr>
    </w:p>
    <w:p w14:paraId="55EAB264"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三、</w:t>
      </w:r>
      <w:r w:rsidRPr="004F5BE4">
        <w:rPr>
          <w:rFonts w:hint="eastAsia"/>
          <w:bCs/>
          <w:szCs w:val="21"/>
          <w:bdr w:val="none" w:sz="0" w:space="0" w:color="auto" w:frame="1"/>
        </w:rPr>
        <w:t>出具法律意见书的律师事务所</w:t>
      </w:r>
    </w:p>
    <w:p w14:paraId="79978822" w14:textId="77777777" w:rsidR="00827270" w:rsidRPr="00CF506D" w:rsidRDefault="00827270" w:rsidP="00827270">
      <w:pPr>
        <w:tabs>
          <w:tab w:val="num" w:pos="840"/>
        </w:tabs>
        <w:adjustRightInd w:val="0"/>
        <w:snapToGrid w:val="0"/>
        <w:spacing w:line="360" w:lineRule="auto"/>
        <w:ind w:firstLineChars="200" w:firstLine="420"/>
        <w:rPr>
          <w:color w:val="000000"/>
          <w:kern w:val="0"/>
          <w:szCs w:val="20"/>
        </w:rPr>
      </w:pPr>
      <w:r w:rsidRPr="00CF506D">
        <w:rPr>
          <w:rFonts w:hint="eastAsia"/>
          <w:color w:val="000000"/>
          <w:kern w:val="0"/>
          <w:szCs w:val="20"/>
        </w:rPr>
        <w:t>名称：上海市通力律师事务所</w:t>
      </w:r>
    </w:p>
    <w:p w14:paraId="454E6CB3" w14:textId="77777777" w:rsidR="00827270" w:rsidRPr="00CF506D" w:rsidRDefault="00827270" w:rsidP="00827270">
      <w:pPr>
        <w:snapToGrid w:val="0"/>
        <w:spacing w:line="360" w:lineRule="auto"/>
        <w:ind w:firstLine="420"/>
        <w:rPr>
          <w:color w:val="000000"/>
          <w:kern w:val="0"/>
          <w:szCs w:val="20"/>
        </w:rPr>
      </w:pPr>
      <w:r w:rsidRPr="00CF506D">
        <w:rPr>
          <w:rFonts w:hint="eastAsia"/>
          <w:color w:val="000000"/>
          <w:kern w:val="0"/>
          <w:szCs w:val="20"/>
        </w:rPr>
        <w:t>注册地址：上海市银城中路</w:t>
      </w:r>
      <w:r w:rsidRPr="00CF506D">
        <w:rPr>
          <w:color w:val="000000"/>
          <w:kern w:val="0"/>
          <w:szCs w:val="20"/>
        </w:rPr>
        <w:t>68</w:t>
      </w:r>
      <w:r w:rsidRPr="00CF506D">
        <w:rPr>
          <w:rFonts w:hint="eastAsia"/>
          <w:color w:val="000000"/>
          <w:kern w:val="0"/>
          <w:szCs w:val="20"/>
        </w:rPr>
        <w:t>号时代金融中心</w:t>
      </w:r>
      <w:r w:rsidRPr="00CF506D">
        <w:rPr>
          <w:color w:val="000000"/>
          <w:kern w:val="0"/>
          <w:szCs w:val="20"/>
        </w:rPr>
        <w:t>19</w:t>
      </w:r>
      <w:r w:rsidRPr="00CF506D">
        <w:rPr>
          <w:rFonts w:hint="eastAsia"/>
          <w:color w:val="000000"/>
          <w:kern w:val="0"/>
          <w:szCs w:val="20"/>
        </w:rPr>
        <w:t>楼</w:t>
      </w:r>
    </w:p>
    <w:p w14:paraId="6CACDBAD" w14:textId="77777777" w:rsidR="00827270" w:rsidRPr="00CF506D" w:rsidRDefault="00827270" w:rsidP="00827270">
      <w:pPr>
        <w:snapToGrid w:val="0"/>
        <w:spacing w:line="360" w:lineRule="auto"/>
        <w:ind w:firstLine="420"/>
        <w:rPr>
          <w:color w:val="000000"/>
          <w:kern w:val="0"/>
          <w:szCs w:val="20"/>
        </w:rPr>
      </w:pPr>
      <w:r w:rsidRPr="00CF506D">
        <w:rPr>
          <w:rFonts w:hint="eastAsia"/>
          <w:color w:val="000000"/>
          <w:kern w:val="0"/>
          <w:szCs w:val="20"/>
        </w:rPr>
        <w:t>负责人：</w:t>
      </w:r>
      <w:r w:rsidRPr="00CF506D">
        <w:rPr>
          <w:color w:val="000000"/>
          <w:kern w:val="0"/>
          <w:szCs w:val="20"/>
        </w:rPr>
        <w:t>韩炯</w:t>
      </w:r>
    </w:p>
    <w:p w14:paraId="3E747515" w14:textId="77777777" w:rsidR="00827270" w:rsidRPr="00CF506D" w:rsidRDefault="00827270" w:rsidP="00827270">
      <w:pPr>
        <w:snapToGrid w:val="0"/>
        <w:spacing w:line="360" w:lineRule="auto"/>
        <w:ind w:firstLine="420"/>
        <w:rPr>
          <w:color w:val="000000"/>
          <w:kern w:val="0"/>
          <w:szCs w:val="20"/>
        </w:rPr>
      </w:pPr>
      <w:r w:rsidRPr="00CF506D">
        <w:rPr>
          <w:rFonts w:hint="eastAsia"/>
          <w:color w:val="000000"/>
          <w:kern w:val="0"/>
          <w:szCs w:val="20"/>
        </w:rPr>
        <w:t>联系人：丁媛</w:t>
      </w:r>
    </w:p>
    <w:p w14:paraId="14BC7C93" w14:textId="77777777" w:rsidR="00827270" w:rsidRPr="00CF506D" w:rsidRDefault="00827270" w:rsidP="00827270">
      <w:pPr>
        <w:snapToGrid w:val="0"/>
        <w:spacing w:line="360" w:lineRule="auto"/>
        <w:ind w:firstLine="420"/>
        <w:rPr>
          <w:color w:val="000000"/>
          <w:kern w:val="0"/>
          <w:szCs w:val="20"/>
        </w:rPr>
      </w:pPr>
      <w:r w:rsidRPr="00CF506D">
        <w:rPr>
          <w:rFonts w:hint="eastAsia"/>
          <w:color w:val="000000"/>
          <w:kern w:val="0"/>
          <w:szCs w:val="20"/>
        </w:rPr>
        <w:t>电话</w:t>
      </w:r>
      <w:r w:rsidRPr="00CF506D">
        <w:rPr>
          <w:color w:val="000000"/>
          <w:kern w:val="0"/>
          <w:szCs w:val="20"/>
        </w:rPr>
        <w:t>: (86 21) 3135 8666</w:t>
      </w:r>
    </w:p>
    <w:p w14:paraId="1E03D3FE" w14:textId="77777777" w:rsidR="00827270" w:rsidRPr="00CF506D" w:rsidRDefault="00827270" w:rsidP="00827270">
      <w:pPr>
        <w:snapToGrid w:val="0"/>
        <w:spacing w:line="360" w:lineRule="auto"/>
        <w:ind w:firstLine="420"/>
        <w:rPr>
          <w:color w:val="000000"/>
          <w:kern w:val="0"/>
          <w:szCs w:val="20"/>
        </w:rPr>
      </w:pPr>
      <w:r w:rsidRPr="00CF506D">
        <w:rPr>
          <w:rFonts w:hint="eastAsia"/>
          <w:color w:val="000000"/>
          <w:kern w:val="0"/>
          <w:szCs w:val="20"/>
        </w:rPr>
        <w:t>传真</w:t>
      </w:r>
      <w:r w:rsidRPr="00CF506D">
        <w:rPr>
          <w:color w:val="000000"/>
          <w:kern w:val="0"/>
          <w:szCs w:val="20"/>
        </w:rPr>
        <w:t>: (86 21) 3135 8600</w:t>
      </w:r>
    </w:p>
    <w:p w14:paraId="13E880C8" w14:textId="77777777" w:rsidR="00827270" w:rsidRPr="00CF506D" w:rsidRDefault="00827270" w:rsidP="00827270">
      <w:pPr>
        <w:tabs>
          <w:tab w:val="num" w:pos="840"/>
        </w:tabs>
        <w:adjustRightInd w:val="0"/>
        <w:snapToGrid w:val="0"/>
        <w:spacing w:line="360" w:lineRule="auto"/>
        <w:ind w:firstLineChars="200" w:firstLine="420"/>
        <w:rPr>
          <w:rFonts w:ascii="宋体" w:hAnsi="宋体"/>
          <w:bCs/>
          <w:szCs w:val="21"/>
        </w:rPr>
      </w:pPr>
      <w:r w:rsidRPr="00CF506D">
        <w:rPr>
          <w:color w:val="000000"/>
        </w:rPr>
        <w:t>经办律师：黎明、</w:t>
      </w:r>
      <w:r w:rsidRPr="00CF506D">
        <w:rPr>
          <w:rFonts w:hint="eastAsia"/>
          <w:color w:val="000000"/>
        </w:rPr>
        <w:t>丁媛</w:t>
      </w:r>
    </w:p>
    <w:p w14:paraId="63806915" w14:textId="77777777" w:rsidR="002E3EC6" w:rsidRPr="00827270" w:rsidRDefault="002E3EC6" w:rsidP="004F5BE4">
      <w:pPr>
        <w:pStyle w:val="afc"/>
        <w:adjustRightInd w:val="0"/>
        <w:snapToGrid w:val="0"/>
        <w:spacing w:line="360" w:lineRule="auto"/>
        <w:ind w:firstLineChars="200" w:firstLine="420"/>
        <w:rPr>
          <w:rFonts w:hAnsi="宋体" w:hint="default"/>
          <w:szCs w:val="21"/>
        </w:rPr>
      </w:pPr>
    </w:p>
    <w:p w14:paraId="504C2CB6"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四、</w:t>
      </w:r>
      <w:r w:rsidRPr="004F5BE4">
        <w:rPr>
          <w:rFonts w:ascii="宋体" w:hAnsi="宋体"/>
          <w:szCs w:val="21"/>
        </w:rPr>
        <w:t>审计基金财产的会计师事务所</w:t>
      </w:r>
    </w:p>
    <w:p w14:paraId="1764B81F"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 xml:space="preserve">名称：德勤华永会计师事务所（特殊普通合伙） </w:t>
      </w:r>
    </w:p>
    <w:p w14:paraId="0DF83204"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住所：上海市黄浦区延安东路222号30楼</w:t>
      </w:r>
    </w:p>
    <w:p w14:paraId="05A37223"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办公地址：上海市黄浦区延安东路222号30楼</w:t>
      </w:r>
    </w:p>
    <w:p w14:paraId="6A5E6268"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执行事务合伙人：付建超</w:t>
      </w:r>
    </w:p>
    <w:p w14:paraId="41F22ABD"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联系人：汪芳</w:t>
      </w:r>
    </w:p>
    <w:p w14:paraId="025E7147"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联系电话：+86 21 61412431</w:t>
      </w:r>
    </w:p>
    <w:p w14:paraId="7C2C5162" w14:textId="77777777" w:rsidR="005E565E" w:rsidRPr="005E565E" w:rsidRDefault="005E565E" w:rsidP="005E565E">
      <w:pPr>
        <w:adjustRightInd w:val="0"/>
        <w:snapToGrid w:val="0"/>
        <w:spacing w:line="360" w:lineRule="auto"/>
        <w:ind w:firstLine="420"/>
        <w:rPr>
          <w:rFonts w:ascii="宋体" w:hAnsi="宋体"/>
          <w:szCs w:val="21"/>
        </w:rPr>
      </w:pPr>
      <w:r w:rsidRPr="005E565E">
        <w:rPr>
          <w:rFonts w:ascii="宋体" w:hAnsi="宋体" w:hint="eastAsia"/>
          <w:szCs w:val="21"/>
        </w:rPr>
        <w:t>传真：+86 21 63350177</w:t>
      </w:r>
    </w:p>
    <w:p w14:paraId="2B2E16EF" w14:textId="7146801B" w:rsidR="002E3EC6" w:rsidRPr="004F5BE4" w:rsidRDefault="005E565E" w:rsidP="005B58AB">
      <w:pPr>
        <w:tabs>
          <w:tab w:val="num" w:pos="840"/>
        </w:tabs>
        <w:adjustRightInd w:val="0"/>
        <w:snapToGrid w:val="0"/>
        <w:spacing w:line="360" w:lineRule="auto"/>
        <w:ind w:firstLineChars="200" w:firstLine="420"/>
        <w:rPr>
          <w:rFonts w:ascii="宋体" w:hAnsi="宋体"/>
          <w:szCs w:val="21"/>
        </w:rPr>
      </w:pPr>
      <w:r w:rsidRPr="005E565E">
        <w:rPr>
          <w:rFonts w:ascii="宋体" w:hAnsi="宋体" w:hint="eastAsia"/>
          <w:szCs w:val="21"/>
        </w:rPr>
        <w:t>经办注册会计师：汪润松、汪芳</w:t>
      </w:r>
    </w:p>
    <w:p w14:paraId="2232A9A4" w14:textId="77777777" w:rsidR="006C2C6E" w:rsidRPr="006C2C6E" w:rsidRDefault="006C2C6E" w:rsidP="006C2C6E">
      <w:bookmarkStart w:id="52" w:name="_Toc274597438"/>
      <w:bookmarkStart w:id="53" w:name="_Toc276542605"/>
      <w:bookmarkStart w:id="54" w:name="_Toc289439337"/>
      <w:bookmarkStart w:id="55" w:name="_Toc297312907"/>
      <w:bookmarkStart w:id="56" w:name="_Toc353955235"/>
      <w:bookmarkStart w:id="57" w:name="_Toc364930793"/>
      <w:bookmarkStart w:id="58" w:name="_Toc382897921"/>
      <w:bookmarkStart w:id="59" w:name="_Toc411503267"/>
    </w:p>
    <w:p w14:paraId="0CA2B1C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0" w:name="_Toc47384193"/>
      <w:r w:rsidRPr="004F5BE4">
        <w:rPr>
          <w:rFonts w:hint="eastAsia"/>
          <w:b w:val="0"/>
        </w:rPr>
        <w:lastRenderedPageBreak/>
        <w:t>基金的募集</w:t>
      </w:r>
      <w:bookmarkEnd w:id="52"/>
      <w:bookmarkEnd w:id="53"/>
      <w:bookmarkEnd w:id="54"/>
      <w:bookmarkEnd w:id="55"/>
      <w:bookmarkEnd w:id="56"/>
      <w:bookmarkEnd w:id="57"/>
      <w:bookmarkEnd w:id="58"/>
      <w:bookmarkEnd w:id="59"/>
      <w:bookmarkEnd w:id="60"/>
    </w:p>
    <w:p w14:paraId="5889DCEE" w14:textId="77777777" w:rsidR="00C555E8" w:rsidRPr="004F5BE4" w:rsidRDefault="00C555E8" w:rsidP="004F5BE4">
      <w:pPr>
        <w:pStyle w:val="afc"/>
        <w:adjustRightInd w:val="0"/>
        <w:snapToGrid w:val="0"/>
        <w:spacing w:line="360" w:lineRule="auto"/>
        <w:ind w:firstLineChars="200" w:firstLine="420"/>
        <w:rPr>
          <w:rFonts w:hAnsi="宋体" w:hint="default"/>
          <w:szCs w:val="21"/>
        </w:rPr>
      </w:pPr>
    </w:p>
    <w:p w14:paraId="3BED698F" w14:textId="3DFC2F89"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本基金由基金管理人依照《基金法》、《运作办法》、《销售办法》、基金合同及其他有关规定，并经中国证监会</w:t>
      </w:r>
      <w:r w:rsidR="00FF6847" w:rsidRPr="007F5FF9">
        <w:rPr>
          <w:rFonts w:hAnsi="宋体"/>
          <w:bCs/>
          <w:szCs w:val="21"/>
        </w:rPr>
        <w:t>20</w:t>
      </w:r>
      <w:r w:rsidR="00FF6847">
        <w:rPr>
          <w:rFonts w:hAnsi="宋体"/>
          <w:bCs/>
          <w:szCs w:val="21"/>
        </w:rPr>
        <w:t>2</w:t>
      </w:r>
      <w:r w:rsidR="00FF6847">
        <w:rPr>
          <w:rFonts w:hAnsi="宋体" w:hint="default"/>
          <w:bCs/>
          <w:szCs w:val="21"/>
        </w:rPr>
        <w:t>1</w:t>
      </w:r>
      <w:r w:rsidR="00FF6847" w:rsidRPr="007F5FF9">
        <w:rPr>
          <w:rFonts w:hAnsi="宋体"/>
          <w:bCs/>
          <w:szCs w:val="21"/>
        </w:rPr>
        <w:t>年</w:t>
      </w:r>
      <w:r w:rsidR="008A46AA">
        <w:rPr>
          <w:rFonts w:hAnsi="宋体" w:hint="default"/>
          <w:bCs/>
          <w:szCs w:val="21"/>
        </w:rPr>
        <w:t>4</w:t>
      </w:r>
      <w:r w:rsidR="00D54596" w:rsidRPr="007F5FF9">
        <w:rPr>
          <w:rFonts w:hAnsi="宋体"/>
          <w:bCs/>
          <w:szCs w:val="21"/>
        </w:rPr>
        <w:t>月</w:t>
      </w:r>
      <w:r w:rsidR="008A46AA">
        <w:rPr>
          <w:rFonts w:hAnsi="宋体" w:hint="default"/>
          <w:bCs/>
          <w:szCs w:val="21"/>
        </w:rPr>
        <w:t>16</w:t>
      </w:r>
      <w:r w:rsidR="00D54596" w:rsidRPr="007F5FF9">
        <w:rPr>
          <w:rFonts w:hAnsi="宋体"/>
          <w:bCs/>
          <w:szCs w:val="21"/>
        </w:rPr>
        <w:t>日证监许可[</w:t>
      </w:r>
      <w:r w:rsidR="001B6FEB" w:rsidRPr="007F5FF9">
        <w:rPr>
          <w:rFonts w:hAnsi="宋体"/>
          <w:bCs/>
          <w:szCs w:val="21"/>
        </w:rPr>
        <w:t>20</w:t>
      </w:r>
      <w:r w:rsidR="001B6FEB">
        <w:rPr>
          <w:rFonts w:hAnsi="宋体"/>
          <w:bCs/>
          <w:szCs w:val="21"/>
        </w:rPr>
        <w:t>2</w:t>
      </w:r>
      <w:r w:rsidR="001B6FEB">
        <w:rPr>
          <w:rFonts w:hAnsi="宋体" w:hint="default"/>
          <w:bCs/>
          <w:szCs w:val="21"/>
        </w:rPr>
        <w:t>1</w:t>
      </w:r>
      <w:r w:rsidR="00D54596" w:rsidRPr="007F5FF9">
        <w:rPr>
          <w:rFonts w:hAnsi="宋体"/>
          <w:bCs/>
          <w:szCs w:val="21"/>
        </w:rPr>
        <w:t>]</w:t>
      </w:r>
      <w:r w:rsidR="008A46AA">
        <w:rPr>
          <w:rFonts w:hAnsi="宋体" w:hint="default"/>
          <w:bCs/>
          <w:szCs w:val="21"/>
        </w:rPr>
        <w:t>1328</w:t>
      </w:r>
      <w:r w:rsidR="00D54596" w:rsidRPr="007F5FF9">
        <w:rPr>
          <w:rFonts w:hAnsi="宋体"/>
          <w:bCs/>
          <w:szCs w:val="21"/>
        </w:rPr>
        <w:t>号</w:t>
      </w:r>
      <w:r w:rsidRPr="004F5BE4">
        <w:rPr>
          <w:rFonts w:hAnsi="宋体"/>
          <w:szCs w:val="21"/>
        </w:rPr>
        <w:t>文注册募集。</w:t>
      </w:r>
    </w:p>
    <w:p w14:paraId="1DF75749" w14:textId="77777777" w:rsidR="005F7FF1" w:rsidRPr="004F5BE4" w:rsidRDefault="002E3EC6" w:rsidP="003872D4">
      <w:pPr>
        <w:pStyle w:val="afc"/>
        <w:adjustRightInd w:val="0"/>
        <w:snapToGrid w:val="0"/>
        <w:spacing w:line="360" w:lineRule="auto"/>
        <w:ind w:firstLineChars="200" w:firstLine="420"/>
        <w:rPr>
          <w:rFonts w:hAnsi="宋体" w:hint="default"/>
          <w:szCs w:val="21"/>
        </w:rPr>
      </w:pPr>
      <w:r w:rsidRPr="004F5BE4">
        <w:rPr>
          <w:rFonts w:hAnsi="宋体"/>
          <w:szCs w:val="21"/>
        </w:rPr>
        <w:t>本基金为契约型开放式基金。</w:t>
      </w:r>
    </w:p>
    <w:p w14:paraId="34DC582C" w14:textId="77777777" w:rsidR="002E3EC6" w:rsidRPr="007F5FF9" w:rsidRDefault="002E3EC6" w:rsidP="004F5BE4">
      <w:pPr>
        <w:pStyle w:val="afc"/>
        <w:adjustRightInd w:val="0"/>
        <w:snapToGrid w:val="0"/>
        <w:spacing w:line="360" w:lineRule="auto"/>
        <w:ind w:firstLineChars="200" w:firstLine="420"/>
        <w:rPr>
          <w:rFonts w:hAnsi="宋体" w:hint="default"/>
          <w:szCs w:val="21"/>
        </w:rPr>
      </w:pPr>
    </w:p>
    <w:p w14:paraId="042F62D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一、发售期限</w:t>
      </w:r>
    </w:p>
    <w:p w14:paraId="28F0415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自基金份额发售之日起最长不得超过3个月，具体发售时间见基金份额发售公告。</w:t>
      </w:r>
    </w:p>
    <w:p w14:paraId="2407F2B6"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5FF701DD"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二、发售对象</w:t>
      </w:r>
    </w:p>
    <w:p w14:paraId="220F5BA5" w14:textId="7CB6B5C0"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符合法律法规规定的可投资于证券投资基金的</w:t>
      </w:r>
      <w:r w:rsidR="003872D4">
        <w:rPr>
          <w:rFonts w:hAnsi="宋体"/>
          <w:szCs w:val="21"/>
        </w:rPr>
        <w:t>个人投资者、</w:t>
      </w:r>
      <w:r w:rsidRPr="004F5BE4">
        <w:rPr>
          <w:rFonts w:hAnsi="宋体"/>
          <w:szCs w:val="21"/>
        </w:rPr>
        <w:t>机构投资者、合格境外投资者以及法律法规或中国证监会允许购买证券投资基金的其他投资人。</w:t>
      </w:r>
    </w:p>
    <w:p w14:paraId="423B930C" w14:textId="77777777" w:rsidR="00C620AC" w:rsidRPr="004F5BE4" w:rsidRDefault="00C620AC" w:rsidP="004F5BE4">
      <w:pPr>
        <w:pStyle w:val="afc"/>
        <w:adjustRightInd w:val="0"/>
        <w:snapToGrid w:val="0"/>
        <w:spacing w:line="360" w:lineRule="auto"/>
        <w:ind w:firstLineChars="200" w:firstLine="420"/>
        <w:rPr>
          <w:rFonts w:hAnsi="宋体" w:hint="default"/>
          <w:szCs w:val="21"/>
        </w:rPr>
      </w:pPr>
    </w:p>
    <w:p w14:paraId="0284FF7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三、募集目标</w:t>
      </w:r>
    </w:p>
    <w:p w14:paraId="434A26D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t>本基金可设置首次募集规模上限，具体募集上限及</w:t>
      </w:r>
      <w:r w:rsidRPr="004F5BE4">
        <w:rPr>
          <w:rFonts w:hAnsi="宋体"/>
          <w:szCs w:val="21"/>
        </w:rPr>
        <w:t>规模控制的方案详见基金份额发售公告或其他公告。若本基金设置首次募集规模上限，基金合同生效后不受此募集规模的限制。</w:t>
      </w:r>
    </w:p>
    <w:p w14:paraId="0EC1DEE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3E92177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四、发售方式和销售渠道</w:t>
      </w:r>
    </w:p>
    <w:p w14:paraId="059C1E1C" w14:textId="3144D368"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ascii="Times New Roman" w:hAnsi="Times New Roman"/>
        </w:rPr>
        <w:t>本基金通过各销售机构的基金销售网点或按基金管理人、销售机构提供的其他方式向投资人公开发售，各销售机构的具体名单见基金份额发售公告。</w:t>
      </w:r>
      <w:r w:rsidR="004677B7" w:rsidRPr="004677B7">
        <w:rPr>
          <w:rFonts w:ascii="Times New Roman" w:hAnsi="Times New Roman"/>
        </w:rPr>
        <w:t>基金管理人可根据情况变更或增减销售机构，具体的销售机构将由基金管理人在规定网站上列明。</w:t>
      </w:r>
    </w:p>
    <w:p w14:paraId="513BC9C6"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本基金认购的申请方式为书面申请或基金管理人公布的其他方式。</w:t>
      </w:r>
    </w:p>
    <w:p w14:paraId="7DB89435" w14:textId="77777777" w:rsidR="002E3EC6" w:rsidRPr="004F5BE4" w:rsidRDefault="002E3EC6" w:rsidP="004F5BE4">
      <w:pPr>
        <w:pStyle w:val="afc"/>
        <w:adjustRightInd w:val="0"/>
        <w:snapToGrid w:val="0"/>
        <w:spacing w:line="360" w:lineRule="auto"/>
        <w:ind w:firstLineChars="200" w:firstLine="420"/>
        <w:rPr>
          <w:rFonts w:hAnsi="宋体" w:hint="default"/>
          <w:bCs/>
          <w:szCs w:val="21"/>
        </w:rPr>
      </w:pPr>
      <w:r w:rsidRPr="004F5BE4">
        <w:rPr>
          <w:rFonts w:hAnsi="宋体"/>
          <w:bCs/>
          <w:szCs w:val="21"/>
        </w:rPr>
        <w:t>本基金基金份额发售面值为人民币1.00元，按面值发售。</w:t>
      </w:r>
    </w:p>
    <w:p w14:paraId="2D1AA8F2"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本基金认购采取全额缴款认购的方式。若资金未全额到账则认购不成立，基金管理人将认购不成立或无效的款项退回。</w:t>
      </w:r>
    </w:p>
    <w:p w14:paraId="72D010C5"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基金投资人在募集期内可多次认购，认购一经确认不得撤销。</w:t>
      </w:r>
    </w:p>
    <w:p w14:paraId="332052FF"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当日（T日）在规定时间内提交的申请，投资人通常应在T+2日到网点查询交易情况，在募集截止日后3个工作日内到网点打印交易确认书。</w:t>
      </w:r>
    </w:p>
    <w:p w14:paraId="7A1CDD2C"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405DC756"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2BBA9676" w14:textId="41C133E9" w:rsidR="003A6696" w:rsidRDefault="00203CE7" w:rsidP="00BE54A5">
      <w:pPr>
        <w:pStyle w:val="afc"/>
        <w:adjustRightInd w:val="0"/>
        <w:snapToGrid w:val="0"/>
        <w:spacing w:line="360" w:lineRule="auto"/>
        <w:ind w:firstLineChars="200" w:firstLine="420"/>
        <w:rPr>
          <w:rFonts w:hAnsi="宋体" w:hint="default"/>
          <w:szCs w:val="21"/>
        </w:rPr>
      </w:pPr>
      <w:r>
        <w:rPr>
          <w:rFonts w:hAnsi="宋体"/>
          <w:bCs/>
          <w:szCs w:val="21"/>
        </w:rPr>
        <w:t>五</w:t>
      </w:r>
      <w:r w:rsidR="002E3EC6" w:rsidRPr="00163263">
        <w:rPr>
          <w:rFonts w:hAnsi="宋体"/>
          <w:bCs/>
          <w:szCs w:val="21"/>
        </w:rPr>
        <w:t>、</w:t>
      </w:r>
      <w:r w:rsidR="002E3EC6" w:rsidRPr="004F5BE4">
        <w:rPr>
          <w:rFonts w:hAnsi="宋体"/>
          <w:szCs w:val="21"/>
        </w:rPr>
        <w:t xml:space="preserve">认购费用 </w:t>
      </w:r>
    </w:p>
    <w:p w14:paraId="3ED05629" w14:textId="27D7DEB9" w:rsidR="00AF13E2" w:rsidRPr="00AF13E2" w:rsidRDefault="00203CE7" w:rsidP="00AF13E2">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lastRenderedPageBreak/>
        <w:t>本基金</w:t>
      </w:r>
      <w:r w:rsidR="00AF13E2" w:rsidRPr="00AF13E2">
        <w:rPr>
          <w:rFonts w:ascii="宋体" w:hAnsi="宋体" w:hint="eastAsia"/>
          <w:szCs w:val="21"/>
        </w:rPr>
        <w:t>认购费率为零。</w:t>
      </w:r>
    </w:p>
    <w:p w14:paraId="5F83E45C"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65FCD8CF" w14:textId="5785678B" w:rsidR="00827270" w:rsidRPr="004F5BE4" w:rsidRDefault="00827270" w:rsidP="00827270">
      <w:pPr>
        <w:adjustRightInd w:val="0"/>
        <w:snapToGrid w:val="0"/>
        <w:spacing w:line="360" w:lineRule="auto"/>
        <w:ind w:firstLineChars="200" w:firstLine="420"/>
        <w:rPr>
          <w:rFonts w:ascii="宋体" w:hAnsi="宋体"/>
          <w:szCs w:val="21"/>
        </w:rPr>
      </w:pPr>
      <w:r>
        <w:rPr>
          <w:rFonts w:ascii="宋体" w:hAnsi="宋体" w:hint="eastAsia"/>
          <w:szCs w:val="21"/>
        </w:rPr>
        <w:t>六</w:t>
      </w:r>
      <w:r w:rsidRPr="004F5BE4">
        <w:rPr>
          <w:rFonts w:ascii="宋体" w:hAnsi="宋体" w:hint="eastAsia"/>
          <w:szCs w:val="21"/>
        </w:rPr>
        <w:t>、认购期利息的处理方式</w:t>
      </w:r>
    </w:p>
    <w:p w14:paraId="30166E0B" w14:textId="77777777" w:rsidR="00827270" w:rsidRPr="004F5BE4" w:rsidRDefault="00827270" w:rsidP="00827270">
      <w:pPr>
        <w:adjustRightInd w:val="0"/>
        <w:snapToGrid w:val="0"/>
        <w:spacing w:line="360" w:lineRule="auto"/>
        <w:ind w:firstLineChars="200" w:firstLine="420"/>
        <w:rPr>
          <w:rFonts w:ascii="宋体" w:hAnsi="宋体"/>
          <w:szCs w:val="21"/>
        </w:rPr>
      </w:pPr>
      <w:r w:rsidRPr="004F5BE4">
        <w:rPr>
          <w:rFonts w:ascii="宋体" w:hAnsi="宋体" w:hint="eastAsia"/>
          <w:szCs w:val="21"/>
        </w:rPr>
        <w:t>《基金合同》生效前，投资人的认购款项只能存入专门账户，不得动用。认购款项在募集期间产生的利息将折算为基金份额归基金份额持有人所有，其中利息转份额的数额以登记机构的记录为准。</w:t>
      </w:r>
    </w:p>
    <w:p w14:paraId="67886499" w14:textId="77777777" w:rsidR="00827270" w:rsidRPr="004F5BE4" w:rsidRDefault="00827270" w:rsidP="00827270">
      <w:pPr>
        <w:adjustRightInd w:val="0"/>
        <w:snapToGrid w:val="0"/>
        <w:spacing w:line="360" w:lineRule="auto"/>
        <w:ind w:firstLineChars="200" w:firstLine="420"/>
        <w:rPr>
          <w:rFonts w:hAnsi="宋体"/>
          <w:szCs w:val="21"/>
        </w:rPr>
      </w:pPr>
    </w:p>
    <w:p w14:paraId="76884228" w14:textId="33E221BA" w:rsidR="00827270" w:rsidRPr="004F5BE4" w:rsidRDefault="00827270" w:rsidP="00827270">
      <w:pPr>
        <w:adjustRightInd w:val="0"/>
        <w:snapToGrid w:val="0"/>
        <w:spacing w:line="360" w:lineRule="auto"/>
        <w:ind w:firstLineChars="200" w:firstLine="420"/>
        <w:rPr>
          <w:rFonts w:ascii="宋体" w:hAnsi="宋体"/>
          <w:szCs w:val="21"/>
        </w:rPr>
      </w:pPr>
      <w:r>
        <w:rPr>
          <w:rFonts w:ascii="宋体" w:hAnsi="宋体" w:hint="eastAsia"/>
          <w:szCs w:val="21"/>
        </w:rPr>
        <w:t>七</w:t>
      </w:r>
      <w:r w:rsidRPr="004F5BE4">
        <w:rPr>
          <w:rFonts w:ascii="宋体" w:hAnsi="宋体" w:hint="eastAsia"/>
          <w:szCs w:val="21"/>
        </w:rPr>
        <w:t>、基金认购份额的计算</w:t>
      </w:r>
    </w:p>
    <w:p w14:paraId="645EED0B" w14:textId="77777777" w:rsidR="00827270" w:rsidRPr="00AF13E2"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1、基金认购采用“金额认购、份额确认”的方式。</w:t>
      </w:r>
    </w:p>
    <w:p w14:paraId="53B5F312" w14:textId="55B65E51" w:rsidR="00827270" w:rsidRPr="00AF13E2" w:rsidRDefault="00827270" w:rsidP="00827270">
      <w:pPr>
        <w:adjustRightInd w:val="0"/>
        <w:snapToGrid w:val="0"/>
        <w:spacing w:line="360" w:lineRule="auto"/>
        <w:ind w:firstLineChars="200" w:firstLine="420"/>
        <w:rPr>
          <w:rFonts w:ascii="宋体" w:hAnsi="宋体"/>
          <w:szCs w:val="21"/>
        </w:rPr>
      </w:pPr>
      <w:r>
        <w:rPr>
          <w:rFonts w:ascii="宋体" w:hAnsi="宋体" w:hint="eastAsia"/>
          <w:szCs w:val="21"/>
        </w:rPr>
        <w:t>本</w:t>
      </w:r>
      <w:r>
        <w:rPr>
          <w:rFonts w:ascii="宋体" w:hAnsi="宋体"/>
          <w:szCs w:val="21"/>
        </w:rPr>
        <w:t>基金</w:t>
      </w:r>
      <w:r w:rsidRPr="00AF13E2">
        <w:rPr>
          <w:rFonts w:ascii="宋体" w:hAnsi="宋体" w:hint="eastAsia"/>
          <w:szCs w:val="21"/>
        </w:rPr>
        <w:t>认购费率为0，认购份额的计算公式为：</w:t>
      </w:r>
    </w:p>
    <w:p w14:paraId="063AE8D0" w14:textId="77777777" w:rsidR="00827270" w:rsidRPr="00AF13E2"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认购份额＝（认购金额＋认购利息）/基金份额发售面值</w:t>
      </w:r>
    </w:p>
    <w:p w14:paraId="1D021CED" w14:textId="3B292F8C" w:rsidR="00827270" w:rsidRPr="00AF13E2"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例：某投资人投资10万元认购本基金，该笔认购产生利息50元。则其可得到的认购份额为：</w:t>
      </w:r>
    </w:p>
    <w:p w14:paraId="751C6DC3" w14:textId="77777777" w:rsidR="00827270" w:rsidRPr="00AF13E2"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认购份额＝（100,000＋50）/1.00 = 100,050.00份</w:t>
      </w:r>
    </w:p>
    <w:p w14:paraId="5EABBE7C" w14:textId="0A36393E" w:rsidR="00827270" w:rsidRPr="00AF13E2"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2、认购份额的计算中，涉及基金份额</w:t>
      </w:r>
      <w:r w:rsidR="00B72C2E">
        <w:rPr>
          <w:rFonts w:ascii="宋体" w:hAnsi="宋体" w:hint="eastAsia"/>
          <w:szCs w:val="21"/>
        </w:rPr>
        <w:t>、</w:t>
      </w:r>
      <w:r w:rsidR="00B72C2E">
        <w:rPr>
          <w:rFonts w:ascii="宋体" w:hAnsi="宋体"/>
          <w:szCs w:val="21"/>
        </w:rPr>
        <w:t>金额</w:t>
      </w:r>
      <w:r w:rsidRPr="00AF13E2">
        <w:rPr>
          <w:rFonts w:ascii="宋体" w:hAnsi="宋体" w:hint="eastAsia"/>
          <w:szCs w:val="21"/>
        </w:rPr>
        <w:t>的计算结果均按四舍五入法，保留到小数点后两位，由此产生的收益或损失由基金财产承担。</w:t>
      </w:r>
    </w:p>
    <w:p w14:paraId="7DB78392" w14:textId="77777777" w:rsidR="00827270" w:rsidRPr="004F5BE4" w:rsidRDefault="00827270" w:rsidP="00827270">
      <w:pPr>
        <w:adjustRightInd w:val="0"/>
        <w:snapToGrid w:val="0"/>
        <w:spacing w:line="360" w:lineRule="auto"/>
        <w:ind w:firstLineChars="200" w:firstLine="420"/>
        <w:rPr>
          <w:rFonts w:ascii="宋体" w:hAnsi="宋体"/>
          <w:szCs w:val="21"/>
        </w:rPr>
      </w:pPr>
      <w:r w:rsidRPr="00AF13E2">
        <w:rPr>
          <w:rFonts w:ascii="宋体" w:hAnsi="宋体" w:hint="eastAsia"/>
          <w:szCs w:val="21"/>
        </w:rPr>
        <w:t>3、有效认购款项在募集期间产生的利息将折算为基金份额归基金份额持有人所有，其中利息转份额以基金登记机构的记录为准。</w:t>
      </w:r>
    </w:p>
    <w:p w14:paraId="5F88C78B" w14:textId="77777777" w:rsidR="002E3EC6" w:rsidRPr="004F5BE4" w:rsidRDefault="002E3EC6" w:rsidP="004F5BE4">
      <w:pPr>
        <w:pStyle w:val="24"/>
        <w:adjustRightInd w:val="0"/>
        <w:snapToGrid w:val="0"/>
        <w:spacing w:line="360" w:lineRule="auto"/>
        <w:ind w:firstLineChars="200" w:firstLine="420"/>
        <w:rPr>
          <w:rFonts w:ascii="宋体" w:hAnsi="宋体"/>
          <w:sz w:val="21"/>
          <w:szCs w:val="21"/>
        </w:rPr>
      </w:pPr>
    </w:p>
    <w:p w14:paraId="1D5C18A8" w14:textId="77777777" w:rsidR="002E3EC6" w:rsidRPr="004F5BE4" w:rsidRDefault="0054564C" w:rsidP="004F5BE4">
      <w:pPr>
        <w:adjustRightInd w:val="0"/>
        <w:snapToGrid w:val="0"/>
        <w:spacing w:line="360" w:lineRule="auto"/>
        <w:ind w:firstLineChars="200" w:firstLine="420"/>
        <w:rPr>
          <w:rFonts w:ascii="宋体" w:hAnsi="宋体"/>
          <w:szCs w:val="21"/>
        </w:rPr>
      </w:pPr>
      <w:r>
        <w:rPr>
          <w:rFonts w:ascii="宋体" w:hAnsi="宋体" w:hint="eastAsia"/>
          <w:szCs w:val="21"/>
        </w:rPr>
        <w:t>八</w:t>
      </w:r>
      <w:r w:rsidR="002E3EC6" w:rsidRPr="004F5BE4">
        <w:rPr>
          <w:rFonts w:ascii="宋体" w:hAnsi="宋体" w:hint="eastAsia"/>
          <w:szCs w:val="21"/>
        </w:rPr>
        <w:t>、基金认购金额的限制</w:t>
      </w:r>
    </w:p>
    <w:p w14:paraId="712AB3D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本基金首次认购和追加认购最低金额均为人民币</w:t>
      </w:r>
      <w:r w:rsidR="00FD3B18">
        <w:rPr>
          <w:rFonts w:hAnsi="宋体" w:hint="default"/>
          <w:szCs w:val="21"/>
        </w:rPr>
        <w:t>1</w:t>
      </w:r>
      <w:r w:rsidRPr="004F5BE4">
        <w:rPr>
          <w:rFonts w:hAnsi="宋体"/>
          <w:szCs w:val="21"/>
        </w:rPr>
        <w:t>元，具体认购金额以各基金销售机构的公告为准。</w:t>
      </w:r>
    </w:p>
    <w:p w14:paraId="0E42B5B3"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30413F1D" w14:textId="77777777" w:rsidR="002E3EC6" w:rsidRPr="004F5BE4" w:rsidRDefault="0054564C" w:rsidP="004F5BE4">
      <w:pPr>
        <w:adjustRightInd w:val="0"/>
        <w:snapToGrid w:val="0"/>
        <w:spacing w:line="360" w:lineRule="auto"/>
        <w:ind w:firstLineChars="200" w:firstLine="420"/>
        <w:rPr>
          <w:rFonts w:ascii="宋体" w:hAnsi="宋体"/>
          <w:szCs w:val="21"/>
        </w:rPr>
      </w:pPr>
      <w:r>
        <w:rPr>
          <w:rFonts w:ascii="宋体" w:hAnsi="宋体" w:hint="eastAsia"/>
          <w:szCs w:val="21"/>
        </w:rPr>
        <w:t>九</w:t>
      </w:r>
      <w:r w:rsidR="002E3EC6" w:rsidRPr="004F5BE4">
        <w:rPr>
          <w:rFonts w:ascii="宋体" w:hAnsi="宋体" w:hint="eastAsia"/>
          <w:szCs w:val="21"/>
        </w:rPr>
        <w:t>、基金份额的认购和持有限额</w:t>
      </w:r>
    </w:p>
    <w:p w14:paraId="521F0005" w14:textId="77777777" w:rsidR="002E3EC6" w:rsidRPr="004F5BE4" w:rsidRDefault="00BE0068" w:rsidP="00F05D2A">
      <w:pPr>
        <w:widowControl/>
        <w:spacing w:line="360" w:lineRule="auto"/>
        <w:jc w:val="left"/>
        <w:rPr>
          <w:rFonts w:ascii="宋体" w:hAnsi="宋体"/>
          <w:szCs w:val="21"/>
        </w:rPr>
      </w:pPr>
      <w:r>
        <w:rPr>
          <w:rFonts w:ascii="宋体" w:hAnsi="宋体" w:hint="eastAsia"/>
          <w:szCs w:val="21"/>
        </w:rPr>
        <w:tab/>
      </w:r>
      <w:r w:rsidR="002E3EC6" w:rsidRPr="004F5BE4">
        <w:rPr>
          <w:rFonts w:ascii="宋体" w:hAnsi="宋体"/>
          <w:szCs w:val="21"/>
        </w:rPr>
        <w:t>基金管理人</w:t>
      </w:r>
      <w:r w:rsidR="002E3EC6" w:rsidRPr="004F5BE4">
        <w:rPr>
          <w:rFonts w:ascii="宋体" w:hAnsi="宋体" w:hint="eastAsia"/>
          <w:szCs w:val="21"/>
        </w:rPr>
        <w:t>不</w:t>
      </w:r>
      <w:r w:rsidR="002E3EC6" w:rsidRPr="004F5BE4">
        <w:rPr>
          <w:rFonts w:ascii="宋体" w:hAnsi="宋体"/>
          <w:szCs w:val="21"/>
        </w:rPr>
        <w:t>对募集期间的单个投资人的累计认购金额进行限制</w:t>
      </w:r>
      <w:r w:rsidR="00460F28" w:rsidRPr="003450DA">
        <w:rPr>
          <w:rFonts w:ascii="宋体" w:hAnsi="宋体" w:hint="eastAsia"/>
          <w:color w:val="000000"/>
          <w:kern w:val="0"/>
          <w:szCs w:val="21"/>
        </w:rPr>
        <w:t>，但法律法规或监管要求另有规定的除外</w:t>
      </w:r>
      <w:r w:rsidR="002E3EC6" w:rsidRPr="004F5BE4">
        <w:rPr>
          <w:rFonts w:ascii="宋体" w:hAnsi="宋体"/>
          <w:szCs w:val="21"/>
        </w:rPr>
        <w:t>。</w:t>
      </w:r>
      <w:r w:rsidR="002E3EC6" w:rsidRPr="004F5BE4">
        <w:rPr>
          <w:rFonts w:hAnsi="宋体"/>
          <w:szCs w:val="21"/>
        </w:rPr>
        <w:br w:type="page"/>
      </w:r>
    </w:p>
    <w:p w14:paraId="0A509A69" w14:textId="77777777" w:rsidR="002E3EC6" w:rsidRPr="004F5BE4" w:rsidRDefault="002E3EC6" w:rsidP="00F05D2A">
      <w:pPr>
        <w:pStyle w:val="afc"/>
        <w:adjustRightInd w:val="0"/>
        <w:snapToGrid w:val="0"/>
        <w:spacing w:line="360" w:lineRule="auto"/>
        <w:ind w:firstLine="480"/>
        <w:rPr>
          <w:rFonts w:hAnsi="宋体" w:hint="default"/>
          <w:szCs w:val="21"/>
        </w:rPr>
      </w:pPr>
    </w:p>
    <w:p w14:paraId="51405269"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1" w:name="_Toc274597439"/>
      <w:bookmarkStart w:id="62" w:name="_Toc276542606"/>
      <w:bookmarkStart w:id="63" w:name="_Toc289439338"/>
      <w:bookmarkStart w:id="64" w:name="_Toc297312908"/>
      <w:bookmarkStart w:id="65" w:name="_Toc353955236"/>
      <w:bookmarkStart w:id="66" w:name="_Toc364930794"/>
      <w:bookmarkStart w:id="67" w:name="_Toc382897922"/>
      <w:bookmarkStart w:id="68" w:name="_Toc411503268"/>
      <w:bookmarkStart w:id="69" w:name="_Toc47384194"/>
      <w:r w:rsidRPr="004F5BE4">
        <w:rPr>
          <w:rFonts w:hint="eastAsia"/>
          <w:b w:val="0"/>
        </w:rPr>
        <w:t>基金合同的生效</w:t>
      </w:r>
      <w:bookmarkEnd w:id="61"/>
      <w:bookmarkEnd w:id="62"/>
      <w:bookmarkEnd w:id="63"/>
      <w:bookmarkEnd w:id="64"/>
      <w:bookmarkEnd w:id="65"/>
      <w:bookmarkEnd w:id="66"/>
      <w:bookmarkEnd w:id="67"/>
      <w:bookmarkEnd w:id="68"/>
      <w:bookmarkEnd w:id="69"/>
    </w:p>
    <w:p w14:paraId="2BA65CB0" w14:textId="77777777" w:rsidR="00C555E8" w:rsidRPr="004F5BE4" w:rsidRDefault="00C555E8" w:rsidP="004F5BE4">
      <w:pPr>
        <w:adjustRightInd w:val="0"/>
        <w:snapToGrid w:val="0"/>
        <w:spacing w:line="360" w:lineRule="auto"/>
        <w:ind w:firstLineChars="200" w:firstLine="420"/>
        <w:rPr>
          <w:bCs/>
          <w:szCs w:val="21"/>
        </w:rPr>
      </w:pPr>
    </w:p>
    <w:p w14:paraId="283E9DE9" w14:textId="77777777" w:rsidR="00692037" w:rsidRPr="008E0CF3" w:rsidRDefault="00692037" w:rsidP="00692037">
      <w:pPr>
        <w:spacing w:line="360" w:lineRule="auto"/>
        <w:ind w:firstLineChars="200" w:firstLine="420"/>
        <w:rPr>
          <w:bCs/>
          <w:szCs w:val="21"/>
        </w:rPr>
      </w:pPr>
      <w:r w:rsidRPr="008E0CF3">
        <w:rPr>
          <w:bCs/>
          <w:szCs w:val="21"/>
        </w:rPr>
        <w:t>一、基金备案的条件</w:t>
      </w:r>
    </w:p>
    <w:p w14:paraId="053CC28C" w14:textId="77777777" w:rsidR="00692037" w:rsidRPr="008E0CF3" w:rsidRDefault="00692037" w:rsidP="00692037">
      <w:pPr>
        <w:spacing w:line="360" w:lineRule="auto"/>
        <w:ind w:firstLineChars="200" w:firstLine="420"/>
        <w:rPr>
          <w:szCs w:val="21"/>
        </w:rPr>
      </w:pPr>
      <w:r w:rsidRPr="008E0CF3">
        <w:rPr>
          <w:bCs/>
          <w:szCs w:val="21"/>
        </w:rPr>
        <w:t>本基金自基金份额发售之日起</w:t>
      </w:r>
      <w:r w:rsidRPr="008E0CF3">
        <w:rPr>
          <w:rFonts w:hint="eastAsia"/>
          <w:bCs/>
          <w:szCs w:val="21"/>
        </w:rPr>
        <w:t>3</w:t>
      </w:r>
      <w:r w:rsidRPr="008E0CF3">
        <w:rPr>
          <w:bCs/>
          <w:szCs w:val="21"/>
        </w:rPr>
        <w:t>个月内，在基金募集份额总额不少于</w:t>
      </w:r>
      <w:r w:rsidRPr="008E0CF3">
        <w:rPr>
          <w:rFonts w:hint="eastAsia"/>
          <w:bCs/>
          <w:szCs w:val="21"/>
        </w:rPr>
        <w:t>2</w:t>
      </w:r>
      <w:r w:rsidRPr="008E0CF3">
        <w:rPr>
          <w:bCs/>
          <w:szCs w:val="21"/>
        </w:rPr>
        <w:t>亿份，基金募集金额不少于</w:t>
      </w:r>
      <w:r w:rsidRPr="008E0CF3">
        <w:rPr>
          <w:rFonts w:hint="eastAsia"/>
          <w:bCs/>
          <w:szCs w:val="21"/>
        </w:rPr>
        <w:t>2</w:t>
      </w:r>
      <w:r w:rsidRPr="008E0CF3">
        <w:rPr>
          <w:bCs/>
          <w:szCs w:val="21"/>
        </w:rPr>
        <w:t>亿元人民币且基金认购人数不少于</w:t>
      </w:r>
      <w:r w:rsidRPr="008E0CF3">
        <w:rPr>
          <w:rFonts w:hint="eastAsia"/>
          <w:bCs/>
          <w:szCs w:val="21"/>
        </w:rPr>
        <w:t>200</w:t>
      </w:r>
      <w:r w:rsidRPr="008E0CF3">
        <w:rPr>
          <w:bCs/>
          <w:szCs w:val="21"/>
        </w:rPr>
        <w:t>人的条件下，</w:t>
      </w:r>
      <w:r w:rsidRPr="008E0CF3">
        <w:rPr>
          <w:rFonts w:hint="eastAsia"/>
          <w:bCs/>
          <w:szCs w:val="21"/>
        </w:rPr>
        <w:t>基金募集期届满或</w:t>
      </w:r>
      <w:r w:rsidRPr="008E0CF3">
        <w:rPr>
          <w:bCs/>
          <w:szCs w:val="21"/>
        </w:rPr>
        <w:t>基金管理人依据法律法规及招募说明书可以决定停止基金发售，并在</w:t>
      </w:r>
      <w:r w:rsidRPr="008E0CF3">
        <w:rPr>
          <w:rFonts w:hint="eastAsia"/>
          <w:bCs/>
          <w:szCs w:val="21"/>
        </w:rPr>
        <w:t>10</w:t>
      </w:r>
      <w:r w:rsidRPr="008E0CF3">
        <w:rPr>
          <w:bCs/>
          <w:szCs w:val="21"/>
        </w:rPr>
        <w:t>日内聘请法定验资机构验资，自收到验资报告之日起</w:t>
      </w:r>
      <w:r w:rsidRPr="008E0CF3">
        <w:rPr>
          <w:rFonts w:hint="eastAsia"/>
          <w:bCs/>
          <w:szCs w:val="21"/>
        </w:rPr>
        <w:t>10</w:t>
      </w:r>
      <w:r w:rsidRPr="008E0CF3">
        <w:rPr>
          <w:bCs/>
          <w:szCs w:val="21"/>
        </w:rPr>
        <w:t>日内，向中国证监会办理基金备案手续。</w:t>
      </w:r>
    </w:p>
    <w:p w14:paraId="0700329B" w14:textId="77777777" w:rsidR="00692037" w:rsidRPr="008E0CF3" w:rsidRDefault="00692037" w:rsidP="00692037">
      <w:pPr>
        <w:spacing w:line="360" w:lineRule="auto"/>
        <w:ind w:firstLineChars="200" w:firstLine="420"/>
        <w:jc w:val="left"/>
        <w:rPr>
          <w:bCs/>
          <w:szCs w:val="21"/>
        </w:rPr>
      </w:pPr>
      <w:r w:rsidRPr="008E0CF3">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A20B33" w14:textId="77777777" w:rsidR="00692037" w:rsidRPr="008E0CF3" w:rsidRDefault="00692037" w:rsidP="00692037">
      <w:pPr>
        <w:spacing w:line="360" w:lineRule="auto"/>
        <w:ind w:firstLineChars="200" w:firstLine="420"/>
        <w:rPr>
          <w:bCs/>
          <w:szCs w:val="21"/>
        </w:rPr>
      </w:pPr>
      <w:r w:rsidRPr="008E0CF3">
        <w:rPr>
          <w:bCs/>
          <w:szCs w:val="21"/>
        </w:rPr>
        <w:t>二、基金合同不能生效时募集资金的处理方式</w:t>
      </w:r>
    </w:p>
    <w:p w14:paraId="3C94616B" w14:textId="77777777" w:rsidR="00692037" w:rsidRPr="008E0CF3" w:rsidRDefault="00692037" w:rsidP="00692037">
      <w:pPr>
        <w:spacing w:line="360" w:lineRule="auto"/>
        <w:ind w:firstLine="480"/>
        <w:rPr>
          <w:bCs/>
          <w:szCs w:val="21"/>
        </w:rPr>
      </w:pPr>
      <w:r w:rsidRPr="008E0CF3">
        <w:rPr>
          <w:bCs/>
          <w:szCs w:val="21"/>
        </w:rPr>
        <w:t>如果募集期限届满，未满足</w:t>
      </w:r>
      <w:r w:rsidRPr="008E0CF3">
        <w:rPr>
          <w:rFonts w:hint="eastAsia"/>
          <w:bCs/>
          <w:szCs w:val="21"/>
        </w:rPr>
        <w:t>基金备案</w:t>
      </w:r>
      <w:r w:rsidRPr="008E0CF3">
        <w:rPr>
          <w:bCs/>
          <w:szCs w:val="21"/>
        </w:rPr>
        <w:t>条件，基金管理人应当承担下列责任：</w:t>
      </w:r>
    </w:p>
    <w:p w14:paraId="236A2110" w14:textId="77777777" w:rsidR="00692037" w:rsidRPr="008E0CF3" w:rsidRDefault="00692037" w:rsidP="00692037">
      <w:pPr>
        <w:spacing w:line="360" w:lineRule="auto"/>
        <w:ind w:firstLine="480"/>
        <w:rPr>
          <w:bCs/>
          <w:szCs w:val="21"/>
        </w:rPr>
      </w:pPr>
      <w:r w:rsidRPr="008E0CF3">
        <w:rPr>
          <w:bCs/>
          <w:szCs w:val="21"/>
        </w:rPr>
        <w:t>1</w:t>
      </w:r>
      <w:r w:rsidRPr="008E0CF3">
        <w:rPr>
          <w:bCs/>
          <w:szCs w:val="21"/>
        </w:rPr>
        <w:t>、以其固有财产承担因募集行为而产生的债务和费用；</w:t>
      </w:r>
    </w:p>
    <w:p w14:paraId="410C6622" w14:textId="3611E0F5" w:rsidR="00827270" w:rsidRPr="008E0CF3" w:rsidRDefault="00827270" w:rsidP="00827270">
      <w:pPr>
        <w:spacing w:line="360" w:lineRule="auto"/>
        <w:ind w:firstLineChars="200" w:firstLine="420"/>
        <w:rPr>
          <w:bCs/>
          <w:szCs w:val="21"/>
        </w:rPr>
      </w:pPr>
      <w:r w:rsidRPr="008E0CF3">
        <w:rPr>
          <w:bCs/>
          <w:szCs w:val="21"/>
        </w:rPr>
        <w:t>2</w:t>
      </w:r>
      <w:r w:rsidRPr="008E0CF3">
        <w:rPr>
          <w:bCs/>
          <w:szCs w:val="21"/>
        </w:rPr>
        <w:t>、在基金募集期限届满后</w:t>
      </w:r>
      <w:r w:rsidRPr="008E0CF3">
        <w:rPr>
          <w:rFonts w:hint="eastAsia"/>
          <w:bCs/>
          <w:szCs w:val="21"/>
        </w:rPr>
        <w:t>30</w:t>
      </w:r>
      <w:r w:rsidRPr="008E0CF3">
        <w:rPr>
          <w:bCs/>
          <w:szCs w:val="21"/>
        </w:rPr>
        <w:t>日内返还投资者已缴纳的款项，并加计银行同期</w:t>
      </w:r>
      <w:r w:rsidRPr="008E0CF3">
        <w:rPr>
          <w:rFonts w:hint="eastAsia"/>
          <w:bCs/>
          <w:szCs w:val="21"/>
        </w:rPr>
        <w:t>活期</w:t>
      </w:r>
      <w:r w:rsidRPr="008E0CF3">
        <w:rPr>
          <w:bCs/>
          <w:szCs w:val="21"/>
        </w:rPr>
        <w:t>存款利息</w:t>
      </w:r>
      <w:r>
        <w:rPr>
          <w:rFonts w:hint="eastAsia"/>
          <w:bCs/>
          <w:szCs w:val="21"/>
        </w:rPr>
        <w:t>；</w:t>
      </w:r>
    </w:p>
    <w:p w14:paraId="754E42CD" w14:textId="77777777" w:rsidR="00692037" w:rsidRPr="008E0CF3" w:rsidRDefault="00692037" w:rsidP="00692037">
      <w:pPr>
        <w:spacing w:line="360" w:lineRule="auto"/>
        <w:ind w:firstLineChars="200" w:firstLine="420"/>
        <w:rPr>
          <w:bCs/>
          <w:szCs w:val="21"/>
        </w:rPr>
      </w:pPr>
      <w:r w:rsidRPr="008E0CF3">
        <w:rPr>
          <w:bCs/>
          <w:szCs w:val="21"/>
        </w:rPr>
        <w:t>3</w:t>
      </w:r>
      <w:r w:rsidRPr="008E0CF3">
        <w:rPr>
          <w:bCs/>
          <w:szCs w:val="21"/>
        </w:rPr>
        <w:t>、如基金募集失败，基金管理人、基金托管人及</w:t>
      </w:r>
      <w:r w:rsidRPr="008E0CF3">
        <w:rPr>
          <w:rFonts w:hint="eastAsia"/>
          <w:bCs/>
          <w:szCs w:val="21"/>
        </w:rPr>
        <w:t>销售</w:t>
      </w:r>
      <w:r w:rsidRPr="008E0CF3">
        <w:rPr>
          <w:bCs/>
          <w:szCs w:val="21"/>
        </w:rPr>
        <w:t>机构不得请求报酬。基金管理人、基金托管人和</w:t>
      </w:r>
      <w:r w:rsidRPr="008E0CF3">
        <w:rPr>
          <w:rFonts w:hint="eastAsia"/>
          <w:bCs/>
          <w:szCs w:val="21"/>
        </w:rPr>
        <w:t>销售</w:t>
      </w:r>
      <w:r w:rsidRPr="008E0CF3">
        <w:rPr>
          <w:bCs/>
          <w:szCs w:val="21"/>
        </w:rPr>
        <w:t>机构为基金募集支付之一切费用应由各方各自承担。</w:t>
      </w:r>
    </w:p>
    <w:p w14:paraId="5665ADCE" w14:textId="77777777" w:rsidR="00692037" w:rsidRPr="008E0CF3" w:rsidRDefault="00692037" w:rsidP="00692037">
      <w:pPr>
        <w:spacing w:line="360" w:lineRule="auto"/>
        <w:ind w:firstLineChars="200" w:firstLine="420"/>
        <w:rPr>
          <w:bCs/>
          <w:szCs w:val="21"/>
        </w:rPr>
      </w:pPr>
      <w:r w:rsidRPr="008E0CF3">
        <w:rPr>
          <w:bCs/>
          <w:szCs w:val="21"/>
        </w:rPr>
        <w:t>三、基金存续期内的基金份额持有人数量和资产规模</w:t>
      </w:r>
    </w:p>
    <w:p w14:paraId="15C99114" w14:textId="7A414636" w:rsidR="00B57CBF" w:rsidRDefault="00692037" w:rsidP="00E8494F">
      <w:pPr>
        <w:spacing w:line="360" w:lineRule="auto"/>
        <w:ind w:firstLineChars="200" w:firstLine="420"/>
        <w:rPr>
          <w:bCs/>
          <w:szCs w:val="21"/>
        </w:rPr>
      </w:pPr>
      <w:r w:rsidRPr="008E0CF3">
        <w:rPr>
          <w:bCs/>
          <w:szCs w:val="21"/>
        </w:rPr>
        <w:t>《基金合同》生效后，</w:t>
      </w:r>
      <w:r w:rsidRPr="008E0CF3">
        <w:rPr>
          <w:rFonts w:hint="eastAsia"/>
          <w:bCs/>
          <w:szCs w:val="21"/>
        </w:rPr>
        <w:t>连续</w:t>
      </w:r>
      <w:r w:rsidRPr="008E0CF3">
        <w:rPr>
          <w:rFonts w:hint="eastAsia"/>
          <w:bCs/>
          <w:szCs w:val="21"/>
        </w:rPr>
        <w:t>20</w:t>
      </w:r>
      <w:r w:rsidRPr="008E0CF3">
        <w:rPr>
          <w:rFonts w:hint="eastAsia"/>
          <w:bCs/>
          <w:szCs w:val="21"/>
        </w:rPr>
        <w:t>个工作日出现</w:t>
      </w:r>
      <w:r w:rsidRPr="008E0CF3">
        <w:rPr>
          <w:bCs/>
          <w:szCs w:val="21"/>
        </w:rPr>
        <w:t>基金份额持有人数量不满</w:t>
      </w:r>
      <w:r w:rsidRPr="008E0CF3">
        <w:rPr>
          <w:rFonts w:hint="eastAsia"/>
          <w:bCs/>
          <w:szCs w:val="21"/>
        </w:rPr>
        <w:t>200</w:t>
      </w:r>
      <w:r w:rsidRPr="008E0CF3">
        <w:rPr>
          <w:bCs/>
          <w:szCs w:val="21"/>
        </w:rPr>
        <w:t>人或者基金资产净值低于</w:t>
      </w:r>
      <w:r w:rsidRPr="008E0CF3">
        <w:rPr>
          <w:rFonts w:hint="eastAsia"/>
          <w:bCs/>
          <w:szCs w:val="21"/>
        </w:rPr>
        <w:t>5000</w:t>
      </w:r>
      <w:r w:rsidRPr="008E0CF3">
        <w:rPr>
          <w:rFonts w:hint="eastAsia"/>
          <w:bCs/>
          <w:szCs w:val="21"/>
        </w:rPr>
        <w:t>万</w:t>
      </w:r>
      <w:r w:rsidRPr="008E0CF3">
        <w:rPr>
          <w:bCs/>
          <w:szCs w:val="21"/>
        </w:rPr>
        <w:t>元</w:t>
      </w:r>
      <w:r w:rsidRPr="008E0CF3">
        <w:rPr>
          <w:rFonts w:hint="eastAsia"/>
          <w:bCs/>
          <w:szCs w:val="21"/>
        </w:rPr>
        <w:t>情形</w:t>
      </w:r>
      <w:r w:rsidRPr="008E0CF3">
        <w:rPr>
          <w:bCs/>
          <w:szCs w:val="21"/>
        </w:rPr>
        <w:t>的，基金管理人应当</w:t>
      </w:r>
      <w:r w:rsidRPr="008E0CF3">
        <w:rPr>
          <w:rFonts w:hint="eastAsia"/>
          <w:bCs/>
          <w:szCs w:val="21"/>
        </w:rPr>
        <w:t>在定期报告中予以披露</w:t>
      </w:r>
      <w:r w:rsidRPr="008E0CF3">
        <w:rPr>
          <w:bCs/>
          <w:szCs w:val="21"/>
        </w:rPr>
        <w:t>；</w:t>
      </w:r>
      <w:r w:rsidR="00301836" w:rsidRPr="00301836">
        <w:rPr>
          <w:rFonts w:hint="eastAsia"/>
          <w:bCs/>
          <w:szCs w:val="21"/>
        </w:rPr>
        <w:t>连续</w:t>
      </w:r>
      <w:r w:rsidR="00301836" w:rsidRPr="00301836">
        <w:rPr>
          <w:rFonts w:hint="eastAsia"/>
          <w:bCs/>
          <w:szCs w:val="21"/>
        </w:rPr>
        <w:t>30</w:t>
      </w:r>
      <w:r w:rsidR="00301836" w:rsidRPr="00301836">
        <w:rPr>
          <w:rFonts w:hint="eastAsia"/>
          <w:bCs/>
          <w:szCs w:val="21"/>
        </w:rPr>
        <w:t>个工作日出现基金份额持有人数量不满</w:t>
      </w:r>
      <w:r w:rsidR="00301836" w:rsidRPr="00301836">
        <w:rPr>
          <w:rFonts w:hint="eastAsia"/>
          <w:bCs/>
          <w:szCs w:val="21"/>
        </w:rPr>
        <w:t>200</w:t>
      </w:r>
      <w:r w:rsidR="00301836" w:rsidRPr="00301836">
        <w:rPr>
          <w:rFonts w:hint="eastAsia"/>
          <w:bCs/>
          <w:szCs w:val="21"/>
        </w:rPr>
        <w:t>人或者基金资产净值低于</w:t>
      </w:r>
      <w:r w:rsidR="00301836" w:rsidRPr="00301836">
        <w:rPr>
          <w:rFonts w:hint="eastAsia"/>
          <w:bCs/>
          <w:szCs w:val="21"/>
        </w:rPr>
        <w:t>1</w:t>
      </w:r>
      <w:r w:rsidR="00301836" w:rsidRPr="00301836">
        <w:rPr>
          <w:rFonts w:hint="eastAsia"/>
          <w:bCs/>
          <w:szCs w:val="21"/>
        </w:rPr>
        <w:t>亿元情形的，基金合同终止，无需召开基金份额持有人大会。</w:t>
      </w:r>
    </w:p>
    <w:p w14:paraId="70CF6C8D" w14:textId="77777777" w:rsidR="00E8494F" w:rsidRPr="008E0CF3" w:rsidRDefault="00692037" w:rsidP="00E8494F">
      <w:pPr>
        <w:spacing w:line="360" w:lineRule="auto"/>
        <w:ind w:firstLineChars="200" w:firstLine="420"/>
        <w:rPr>
          <w:rFonts w:ascii="宋体"/>
          <w:bCs/>
          <w:szCs w:val="21"/>
        </w:rPr>
      </w:pPr>
      <w:r w:rsidRPr="008E0CF3">
        <w:rPr>
          <w:bCs/>
          <w:szCs w:val="21"/>
        </w:rPr>
        <w:t>法律法规</w:t>
      </w:r>
      <w:r w:rsidRPr="008E0CF3">
        <w:rPr>
          <w:rFonts w:hint="eastAsia"/>
          <w:bCs/>
          <w:szCs w:val="21"/>
        </w:rPr>
        <w:t>或中国证监会</w:t>
      </w:r>
      <w:r w:rsidRPr="008E0CF3">
        <w:rPr>
          <w:bCs/>
          <w:szCs w:val="21"/>
        </w:rPr>
        <w:t>另有规定时，从其规定。</w:t>
      </w:r>
    </w:p>
    <w:p w14:paraId="60845794" w14:textId="77777777" w:rsidR="002E3EC6" w:rsidRPr="004F5BE4" w:rsidRDefault="002E3EC6" w:rsidP="00F05D2A">
      <w:pPr>
        <w:adjustRightInd w:val="0"/>
        <w:snapToGrid w:val="0"/>
        <w:spacing w:line="360" w:lineRule="auto"/>
        <w:ind w:firstLine="480"/>
        <w:rPr>
          <w:bCs/>
          <w:szCs w:val="21"/>
        </w:rPr>
      </w:pPr>
      <w:r w:rsidRPr="004F5BE4">
        <w:rPr>
          <w:bCs/>
          <w:szCs w:val="21"/>
        </w:rPr>
        <w:br w:type="page"/>
      </w:r>
    </w:p>
    <w:p w14:paraId="5020BA6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70" w:name="_Toc347922055"/>
      <w:bookmarkStart w:id="71" w:name="_Toc347922056"/>
      <w:bookmarkStart w:id="72" w:name="_Toc347922057"/>
      <w:bookmarkStart w:id="73" w:name="_Toc347922058"/>
      <w:bookmarkStart w:id="74" w:name="_Toc347922059"/>
      <w:bookmarkStart w:id="75" w:name="_Toc347922060"/>
      <w:bookmarkStart w:id="76" w:name="_Toc347922061"/>
      <w:bookmarkStart w:id="77" w:name="_Toc347922062"/>
      <w:bookmarkStart w:id="78" w:name="_Toc347922063"/>
      <w:bookmarkStart w:id="79" w:name="_Toc347922064"/>
      <w:bookmarkStart w:id="80" w:name="_Toc347922065"/>
      <w:bookmarkStart w:id="81" w:name="_Toc347922066"/>
      <w:bookmarkStart w:id="82" w:name="_Toc347922067"/>
      <w:bookmarkStart w:id="83" w:name="_Toc347922068"/>
      <w:bookmarkStart w:id="84" w:name="_Toc347922069"/>
      <w:bookmarkStart w:id="85" w:name="_Toc347922070"/>
      <w:bookmarkStart w:id="86" w:name="_Toc347922071"/>
      <w:bookmarkStart w:id="87" w:name="_Toc347922072"/>
      <w:bookmarkStart w:id="88" w:name="_Toc347922073"/>
      <w:bookmarkStart w:id="89" w:name="_Toc347922074"/>
      <w:bookmarkStart w:id="90" w:name="_Toc347922075"/>
      <w:bookmarkStart w:id="91" w:name="_Toc347922076"/>
      <w:bookmarkStart w:id="92" w:name="_Toc347922077"/>
      <w:bookmarkStart w:id="93" w:name="_Toc347922078"/>
      <w:bookmarkStart w:id="94" w:name="_Toc347922079"/>
      <w:bookmarkStart w:id="95" w:name="_Toc347922080"/>
      <w:bookmarkStart w:id="96" w:name="_Toc347922081"/>
      <w:bookmarkStart w:id="97" w:name="_Toc347922082"/>
      <w:bookmarkStart w:id="98" w:name="_Toc347922083"/>
      <w:bookmarkStart w:id="99" w:name="_Toc347922084"/>
      <w:bookmarkStart w:id="100" w:name="_Toc347922085"/>
      <w:bookmarkStart w:id="101" w:name="_Toc347922086"/>
      <w:bookmarkStart w:id="102" w:name="_Toc347922087"/>
      <w:bookmarkStart w:id="103" w:name="_Toc347922088"/>
      <w:bookmarkStart w:id="104" w:name="_Toc347922089"/>
      <w:bookmarkStart w:id="105" w:name="_Toc347922090"/>
      <w:bookmarkStart w:id="106" w:name="_Toc347922091"/>
      <w:bookmarkStart w:id="107" w:name="_Toc347922092"/>
      <w:bookmarkStart w:id="108" w:name="_Toc347922093"/>
      <w:bookmarkStart w:id="109" w:name="_Toc347922094"/>
      <w:bookmarkStart w:id="110" w:name="_Toc347922095"/>
      <w:bookmarkStart w:id="111" w:name="_Toc347922096"/>
      <w:bookmarkStart w:id="112" w:name="_Toc347922097"/>
      <w:bookmarkStart w:id="113" w:name="_Toc274597442"/>
      <w:bookmarkStart w:id="114" w:name="_Toc276542608"/>
      <w:bookmarkStart w:id="115" w:name="_Toc289439340"/>
      <w:bookmarkStart w:id="116" w:name="_Toc297312910"/>
      <w:bookmarkStart w:id="117" w:name="_Toc353955237"/>
      <w:bookmarkStart w:id="118" w:name="_Toc364930795"/>
      <w:bookmarkStart w:id="119" w:name="_Toc382897923"/>
      <w:bookmarkStart w:id="120" w:name="_Toc411503269"/>
      <w:bookmarkStart w:id="121" w:name="_Toc4738419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F5BE4">
        <w:rPr>
          <w:rFonts w:hint="eastAsia"/>
          <w:b w:val="0"/>
        </w:rPr>
        <w:lastRenderedPageBreak/>
        <w:t>基金份额的申购和赎回</w:t>
      </w:r>
      <w:bookmarkEnd w:id="113"/>
      <w:bookmarkEnd w:id="114"/>
      <w:bookmarkEnd w:id="115"/>
      <w:bookmarkEnd w:id="116"/>
      <w:bookmarkEnd w:id="117"/>
      <w:bookmarkEnd w:id="118"/>
      <w:bookmarkEnd w:id="119"/>
      <w:bookmarkEnd w:id="120"/>
      <w:bookmarkEnd w:id="121"/>
    </w:p>
    <w:p w14:paraId="129CFCDC"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2B9D30CE" w14:textId="77777777" w:rsidR="00624B8B" w:rsidRDefault="00624B8B" w:rsidP="00624B8B">
      <w:pPr>
        <w:spacing w:line="360" w:lineRule="auto"/>
        <w:ind w:firstLineChars="200" w:firstLine="420"/>
        <w:rPr>
          <w:rFonts w:ascii="宋体"/>
          <w:bCs/>
          <w:szCs w:val="21"/>
        </w:rPr>
      </w:pPr>
      <w:r>
        <w:rPr>
          <w:rFonts w:ascii="宋体"/>
          <w:bCs/>
          <w:szCs w:val="21"/>
        </w:rPr>
        <w:t>一、申购和赎回场所</w:t>
      </w:r>
    </w:p>
    <w:p w14:paraId="4866211B" w14:textId="1F799DF6" w:rsidR="00624B8B" w:rsidRDefault="00692037" w:rsidP="008E0CF3">
      <w:pPr>
        <w:spacing w:line="360" w:lineRule="auto"/>
        <w:ind w:firstLineChars="200" w:firstLine="420"/>
        <w:rPr>
          <w:rFonts w:ascii="宋体"/>
          <w:bCs/>
          <w:szCs w:val="21"/>
        </w:rPr>
      </w:pPr>
      <w:r w:rsidRPr="008E0CF3">
        <w:rPr>
          <w:rFonts w:ascii="宋体"/>
          <w:bCs/>
          <w:szCs w:val="21"/>
        </w:rPr>
        <w:t>本基金的申购与赎回将通过销售机构进行。具体的销售</w:t>
      </w:r>
      <w:r w:rsidRPr="008E0CF3">
        <w:rPr>
          <w:rFonts w:ascii="宋体" w:hint="eastAsia"/>
          <w:bCs/>
          <w:szCs w:val="21"/>
        </w:rPr>
        <w:t>机构</w:t>
      </w:r>
      <w:r w:rsidRPr="008E0CF3">
        <w:rPr>
          <w:rFonts w:ascii="宋体"/>
          <w:bCs/>
          <w:szCs w:val="21"/>
        </w:rPr>
        <w:t>将由</w:t>
      </w:r>
      <w:r w:rsidR="00747307">
        <w:rPr>
          <w:rFonts w:ascii="宋体"/>
          <w:bCs/>
          <w:szCs w:val="21"/>
        </w:rPr>
        <w:t>基金管理人在招募说明书中或</w:t>
      </w:r>
      <w:r w:rsidR="00056975">
        <w:rPr>
          <w:rFonts w:ascii="宋体"/>
          <w:bCs/>
          <w:szCs w:val="21"/>
        </w:rPr>
        <w:t>规定网站</w:t>
      </w:r>
      <w:r w:rsidR="00747307">
        <w:rPr>
          <w:rFonts w:ascii="宋体"/>
          <w:bCs/>
          <w:szCs w:val="21"/>
        </w:rPr>
        <w:t>上列明</w:t>
      </w:r>
      <w:r w:rsidRPr="008E0CF3">
        <w:rPr>
          <w:rFonts w:ascii="宋体"/>
          <w:bCs/>
          <w:szCs w:val="21"/>
        </w:rPr>
        <w:t>。基金管理人可根据情况</w:t>
      </w:r>
      <w:r w:rsidR="00747307">
        <w:rPr>
          <w:rFonts w:ascii="宋体"/>
          <w:bCs/>
          <w:szCs w:val="21"/>
        </w:rPr>
        <w:t>变更或增减销售机构</w:t>
      </w:r>
      <w:r w:rsidRPr="008E0CF3">
        <w:rPr>
          <w:rFonts w:ascii="宋体"/>
          <w:bCs/>
          <w:szCs w:val="21"/>
        </w:rPr>
        <w:t>。基金投资者应当</w:t>
      </w:r>
      <w:r w:rsidRPr="008E0CF3">
        <w:rPr>
          <w:rFonts w:ascii="宋体" w:hint="eastAsia"/>
          <w:bCs/>
          <w:szCs w:val="21"/>
        </w:rPr>
        <w:t>在</w:t>
      </w:r>
      <w:r w:rsidRPr="008E0CF3">
        <w:rPr>
          <w:rFonts w:ascii="宋体"/>
          <w:bCs/>
          <w:szCs w:val="21"/>
        </w:rPr>
        <w:t>销售机构办理基金销售业务的营业场所或按销售机构提供的其他方式办理基金份额的申购与赎回。</w:t>
      </w:r>
      <w:r w:rsidRPr="008E0CF3">
        <w:rPr>
          <w:rFonts w:ascii="宋体" w:hint="eastAsia"/>
          <w:bCs/>
          <w:szCs w:val="21"/>
        </w:rPr>
        <w:t>若基金管理人或其指定的销售机构开通电话、传真或网上等交易方式，投资人可以通过上述方式进行申购与赎回。</w:t>
      </w:r>
    </w:p>
    <w:p w14:paraId="1110F396" w14:textId="77777777" w:rsidR="00624B8B" w:rsidRDefault="00624B8B" w:rsidP="00624B8B">
      <w:pPr>
        <w:spacing w:line="360" w:lineRule="auto"/>
        <w:ind w:firstLineChars="200" w:firstLine="420"/>
        <w:rPr>
          <w:rFonts w:ascii="宋体"/>
          <w:bCs/>
          <w:szCs w:val="21"/>
        </w:rPr>
      </w:pPr>
    </w:p>
    <w:p w14:paraId="525D6EC0" w14:textId="77777777" w:rsidR="00624B8B" w:rsidRDefault="00624B8B" w:rsidP="00624B8B">
      <w:pPr>
        <w:spacing w:line="360" w:lineRule="auto"/>
        <w:ind w:firstLineChars="200" w:firstLine="420"/>
        <w:rPr>
          <w:rFonts w:ascii="宋体"/>
          <w:bCs/>
          <w:szCs w:val="21"/>
        </w:rPr>
      </w:pPr>
      <w:r>
        <w:rPr>
          <w:rFonts w:ascii="宋体"/>
          <w:bCs/>
          <w:szCs w:val="21"/>
        </w:rPr>
        <w:t>二、申购和赎回的开放日及时间</w:t>
      </w:r>
    </w:p>
    <w:p w14:paraId="656E8A7F" w14:textId="77777777" w:rsidR="002F10DD" w:rsidRDefault="002F10DD" w:rsidP="002F10DD">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开放日及开放时间</w:t>
      </w:r>
    </w:p>
    <w:p w14:paraId="5CC426AB" w14:textId="026DB568" w:rsidR="002F10DD" w:rsidRDefault="002F10DD" w:rsidP="002F10DD">
      <w:pPr>
        <w:spacing w:line="360" w:lineRule="auto"/>
        <w:ind w:firstLineChars="200" w:firstLine="420"/>
        <w:rPr>
          <w:rFonts w:ascii="宋体"/>
          <w:bCs/>
          <w:szCs w:val="21"/>
        </w:rPr>
      </w:pPr>
      <w:r>
        <w:rPr>
          <w:rFonts w:ascii="宋体"/>
          <w:bCs/>
          <w:szCs w:val="21"/>
        </w:rPr>
        <w:t>投资人在开放日办理基金份额的申购和赎回，具体办理时间为上海证券交易所、深圳证券交易所的正常交易日的交易时间</w:t>
      </w:r>
      <w:r w:rsidR="006524FD" w:rsidRPr="006524FD">
        <w:rPr>
          <w:rFonts w:ascii="宋体" w:hint="eastAsia"/>
          <w:bCs/>
          <w:szCs w:val="21"/>
        </w:rPr>
        <w:t>（基金销售机构另有规定的，可在上述范围内规定具体的交易时间）</w:t>
      </w:r>
      <w:r>
        <w:rPr>
          <w:rFonts w:ascii="宋体"/>
          <w:bCs/>
          <w:szCs w:val="21"/>
        </w:rPr>
        <w:t>，但基金管理人根据法律法规、中国证监会的要求或基金合同的规定公告暂停申购、赎回时除外。</w:t>
      </w:r>
    </w:p>
    <w:p w14:paraId="6C0C439D" w14:textId="0B9BAB57" w:rsidR="002F10DD" w:rsidRDefault="00692037" w:rsidP="008E0CF3">
      <w:pPr>
        <w:spacing w:line="360" w:lineRule="auto"/>
        <w:ind w:firstLineChars="200" w:firstLine="420"/>
        <w:rPr>
          <w:rFonts w:ascii="宋体"/>
          <w:bCs/>
          <w:szCs w:val="21"/>
        </w:rPr>
      </w:pPr>
      <w:r w:rsidRPr="008E0CF3">
        <w:rPr>
          <w:rFonts w:ascii="宋体"/>
          <w:bCs/>
          <w:szCs w:val="21"/>
        </w:rPr>
        <w:t>基金合同生效后，若出现新的证券</w:t>
      </w:r>
      <w:r w:rsidRPr="008E0CF3">
        <w:rPr>
          <w:rFonts w:ascii="宋体" w:hint="eastAsia"/>
          <w:bCs/>
          <w:szCs w:val="21"/>
        </w:rPr>
        <w:t>/期货</w:t>
      </w:r>
      <w:r w:rsidRPr="008E0CF3">
        <w:rPr>
          <w:rFonts w:ascii="宋体"/>
          <w:bCs/>
          <w:szCs w:val="21"/>
        </w:rPr>
        <w:t>交易市场、证券</w:t>
      </w:r>
      <w:r w:rsidRPr="008E0CF3">
        <w:rPr>
          <w:rFonts w:ascii="宋体" w:hint="eastAsia"/>
          <w:bCs/>
          <w:szCs w:val="21"/>
        </w:rPr>
        <w:t>/期货</w:t>
      </w:r>
      <w:r w:rsidRPr="008E0CF3">
        <w:rPr>
          <w:rFonts w:ascii="宋体"/>
          <w:bCs/>
          <w:szCs w:val="21"/>
        </w:rPr>
        <w:t>交易所交易时间变更或其他特殊情况，基金管理人将视情况对前述开放日及开放时间进行相应的调整，但应在实施日前依照《信息披露办法》的有关规定在</w:t>
      </w:r>
      <w:r w:rsidR="00056975">
        <w:rPr>
          <w:rFonts w:ascii="宋体"/>
          <w:bCs/>
          <w:szCs w:val="21"/>
        </w:rPr>
        <w:t>规定媒介</w:t>
      </w:r>
      <w:r w:rsidRPr="008E0CF3">
        <w:rPr>
          <w:rFonts w:ascii="宋体"/>
          <w:bCs/>
          <w:szCs w:val="21"/>
        </w:rPr>
        <w:t>上公告。</w:t>
      </w:r>
    </w:p>
    <w:p w14:paraId="2D8AC18B" w14:textId="77777777" w:rsidR="002F10DD" w:rsidRDefault="002F10DD" w:rsidP="002F10DD">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申购、赎回开始日及业务办理时间</w:t>
      </w:r>
    </w:p>
    <w:p w14:paraId="3F2FAD5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开始办理申购，具体业务办理时间在申购开始公告中规定。</w:t>
      </w:r>
    </w:p>
    <w:p w14:paraId="231AA7A5" w14:textId="483CC838"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开始办理赎回，具体业务办理时间在赎回开始公告中规定。</w:t>
      </w:r>
    </w:p>
    <w:p w14:paraId="509E3D22" w14:textId="651DE13B" w:rsidR="00692037" w:rsidRPr="008E0CF3" w:rsidRDefault="00692037" w:rsidP="008E0CF3">
      <w:pPr>
        <w:spacing w:line="360" w:lineRule="auto"/>
        <w:ind w:firstLineChars="200" w:firstLine="420"/>
        <w:rPr>
          <w:rFonts w:ascii="宋体"/>
          <w:bCs/>
          <w:szCs w:val="21"/>
        </w:rPr>
      </w:pPr>
      <w:r w:rsidRPr="008E0CF3">
        <w:rPr>
          <w:rFonts w:ascii="宋体"/>
          <w:bCs/>
          <w:szCs w:val="21"/>
        </w:rPr>
        <w:t>在确定申购开始与赎回开始时间后，基金管理人应在申购、赎回开放日前依照《信息披露办法》的有关规定在</w:t>
      </w:r>
      <w:r w:rsidR="00056975">
        <w:rPr>
          <w:rFonts w:ascii="宋体"/>
          <w:bCs/>
          <w:szCs w:val="21"/>
        </w:rPr>
        <w:t>规定媒介</w:t>
      </w:r>
      <w:r w:rsidRPr="008E0CF3">
        <w:rPr>
          <w:rFonts w:ascii="宋体"/>
          <w:bCs/>
          <w:szCs w:val="21"/>
        </w:rPr>
        <w:t>上公告申购与赎回的开始时间。</w:t>
      </w:r>
    </w:p>
    <w:p w14:paraId="619C132C" w14:textId="5ED9E402" w:rsidR="00624B8B" w:rsidRDefault="00692037" w:rsidP="00624B8B">
      <w:pPr>
        <w:spacing w:line="360" w:lineRule="auto"/>
        <w:ind w:firstLineChars="200" w:firstLine="420"/>
        <w:rPr>
          <w:rFonts w:ascii="宋体"/>
          <w:bCs/>
          <w:szCs w:val="21"/>
        </w:rPr>
      </w:pPr>
      <w:r w:rsidRPr="008E0CF3">
        <w:rPr>
          <w:rFonts w:ascii="宋体"/>
          <w:bCs/>
          <w:szCs w:val="21"/>
        </w:rPr>
        <w:t>基金管理人不得在基金合同约定之外的日期或者时间办理基金份额的申购</w:t>
      </w:r>
      <w:r w:rsidRPr="008E0CF3">
        <w:rPr>
          <w:rFonts w:ascii="宋体" w:hint="eastAsia"/>
          <w:bCs/>
          <w:szCs w:val="21"/>
        </w:rPr>
        <w:t>、</w:t>
      </w:r>
      <w:r w:rsidRPr="008E0CF3">
        <w:rPr>
          <w:rFonts w:ascii="宋体"/>
          <w:bCs/>
          <w:szCs w:val="21"/>
        </w:rPr>
        <w:t>赎回或者转换。投资人在基金合同约定之外的日期和时间提出申购、赎回或转换申请</w:t>
      </w:r>
      <w:r w:rsidRPr="008E0CF3">
        <w:rPr>
          <w:rFonts w:ascii="宋体" w:hint="eastAsia"/>
          <w:bCs/>
          <w:szCs w:val="21"/>
        </w:rPr>
        <w:t>且登记机构确认接受</w:t>
      </w:r>
      <w:r w:rsidRPr="008E0CF3">
        <w:rPr>
          <w:rFonts w:ascii="宋体"/>
          <w:bCs/>
          <w:szCs w:val="21"/>
        </w:rPr>
        <w:t>的，其基金份额申购、赎回价格为下一开放日基金份额申购、赎回的价格。</w:t>
      </w:r>
    </w:p>
    <w:p w14:paraId="3B986650" w14:textId="77777777" w:rsidR="00E23AA9" w:rsidRDefault="00E23AA9" w:rsidP="00624B8B">
      <w:pPr>
        <w:spacing w:line="360" w:lineRule="auto"/>
        <w:ind w:firstLineChars="200" w:firstLine="420"/>
        <w:rPr>
          <w:rFonts w:ascii="宋体"/>
          <w:bCs/>
          <w:szCs w:val="21"/>
        </w:rPr>
      </w:pPr>
    </w:p>
    <w:p w14:paraId="6099D10B" w14:textId="77777777" w:rsidR="00624B8B" w:rsidRDefault="00624B8B" w:rsidP="00624B8B">
      <w:pPr>
        <w:spacing w:line="360" w:lineRule="auto"/>
        <w:ind w:firstLineChars="200" w:firstLine="420"/>
        <w:rPr>
          <w:rFonts w:ascii="宋体"/>
          <w:bCs/>
          <w:szCs w:val="21"/>
        </w:rPr>
      </w:pPr>
      <w:r>
        <w:rPr>
          <w:rFonts w:ascii="宋体"/>
          <w:bCs/>
          <w:szCs w:val="21"/>
        </w:rPr>
        <w:lastRenderedPageBreak/>
        <w:t>三、申购与赎回的原则</w:t>
      </w:r>
    </w:p>
    <w:p w14:paraId="07F585D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w:t>
      </w:r>
      <w:r w:rsidRPr="008E0CF3">
        <w:rPr>
          <w:rFonts w:ascii="宋体"/>
          <w:bCs/>
          <w:szCs w:val="21"/>
        </w:rPr>
        <w:t>未知价</w:t>
      </w:r>
      <w:r w:rsidRPr="008E0CF3">
        <w:rPr>
          <w:rFonts w:ascii="宋体"/>
          <w:bCs/>
          <w:szCs w:val="21"/>
        </w:rPr>
        <w:t>”</w:t>
      </w:r>
      <w:r w:rsidRPr="008E0CF3">
        <w:rPr>
          <w:rFonts w:ascii="宋体"/>
          <w:bCs/>
          <w:szCs w:val="21"/>
        </w:rPr>
        <w:t>原则，即申购、赎回价格以申请当日收市后计算的基金份额净值为基准进行计算；</w:t>
      </w:r>
    </w:p>
    <w:p w14:paraId="711D343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w:t>
      </w:r>
      <w:r w:rsidRPr="008E0CF3">
        <w:rPr>
          <w:rFonts w:ascii="宋体"/>
          <w:bCs/>
          <w:szCs w:val="21"/>
        </w:rPr>
        <w:t>金额申购、份额赎回</w:t>
      </w:r>
      <w:r w:rsidRPr="008E0CF3">
        <w:rPr>
          <w:rFonts w:ascii="宋体"/>
          <w:bCs/>
          <w:szCs w:val="21"/>
        </w:rPr>
        <w:t>”</w:t>
      </w:r>
      <w:r w:rsidRPr="008E0CF3">
        <w:rPr>
          <w:rFonts w:ascii="宋体"/>
          <w:bCs/>
          <w:szCs w:val="21"/>
        </w:rPr>
        <w:t>原则，即申购以金额申请，赎回以份额申请；</w:t>
      </w:r>
    </w:p>
    <w:p w14:paraId="08692662"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当日的申购与赎回申请可以在基金管理人规定的时间以内撤销；</w:t>
      </w:r>
    </w:p>
    <w:p w14:paraId="44F22F94" w14:textId="795B5CA2" w:rsidR="00692037" w:rsidRPr="008E0CF3" w:rsidRDefault="00692037" w:rsidP="008E0CF3">
      <w:pPr>
        <w:spacing w:line="360" w:lineRule="auto"/>
        <w:ind w:firstLineChars="200" w:firstLine="420"/>
        <w:rPr>
          <w:rFonts w:ascii="宋体"/>
          <w:bCs/>
          <w:szCs w:val="21"/>
        </w:rPr>
      </w:pPr>
      <w:r w:rsidRPr="008E0CF3">
        <w:rPr>
          <w:rFonts w:ascii="宋体"/>
          <w:bCs/>
          <w:szCs w:val="21"/>
        </w:rPr>
        <w:t>4</w:t>
      </w:r>
      <w:r w:rsidRPr="008E0CF3">
        <w:rPr>
          <w:rFonts w:ascii="宋体" w:hint="eastAsia"/>
          <w:bCs/>
          <w:szCs w:val="21"/>
        </w:rPr>
        <w:t>、</w:t>
      </w:r>
      <w:r w:rsidRPr="008E0CF3">
        <w:rPr>
          <w:rFonts w:ascii="宋体"/>
          <w:bCs/>
          <w:szCs w:val="21"/>
        </w:rPr>
        <w:t>赎回遵循</w:t>
      </w:r>
      <w:r w:rsidRPr="008E0CF3">
        <w:rPr>
          <w:rFonts w:ascii="宋体"/>
          <w:bCs/>
          <w:szCs w:val="21"/>
        </w:rPr>
        <w:t>“</w:t>
      </w:r>
      <w:r w:rsidRPr="008E0CF3">
        <w:rPr>
          <w:rFonts w:ascii="宋体"/>
          <w:bCs/>
          <w:szCs w:val="21"/>
        </w:rPr>
        <w:t>先进先出</w:t>
      </w:r>
      <w:r w:rsidRPr="008E0CF3">
        <w:rPr>
          <w:rFonts w:ascii="宋体"/>
          <w:bCs/>
          <w:szCs w:val="21"/>
        </w:rPr>
        <w:t>”</w:t>
      </w:r>
      <w:r w:rsidRPr="008E0CF3">
        <w:rPr>
          <w:rFonts w:ascii="宋体"/>
          <w:bCs/>
          <w:szCs w:val="21"/>
        </w:rPr>
        <w:t>原则，即按照投资人认购、申购的先后次序进行顺序赎回；</w:t>
      </w:r>
      <w:r w:rsidRPr="008E0CF3" w:rsidDel="00C37862">
        <w:rPr>
          <w:rFonts w:ascii="宋体"/>
          <w:bCs/>
          <w:szCs w:val="21"/>
        </w:rPr>
        <w:t xml:space="preserve"> </w:t>
      </w:r>
    </w:p>
    <w:p w14:paraId="1A182087" w14:textId="40FDBE5E" w:rsidR="00692037" w:rsidRPr="008E0CF3" w:rsidRDefault="00692037" w:rsidP="008E0CF3">
      <w:pPr>
        <w:spacing w:line="360" w:lineRule="auto"/>
        <w:ind w:firstLineChars="200" w:firstLine="420"/>
        <w:rPr>
          <w:rFonts w:ascii="宋体"/>
          <w:bCs/>
          <w:szCs w:val="21"/>
        </w:rPr>
      </w:pPr>
      <w:r w:rsidRPr="008E0CF3">
        <w:rPr>
          <w:rFonts w:ascii="宋体"/>
          <w:bCs/>
          <w:szCs w:val="21"/>
        </w:rPr>
        <w:t>5、办理申购、赎回业务时，应当遵循基金份额持有人利益优先原则</w:t>
      </w:r>
      <w:r w:rsidRPr="008E0CF3">
        <w:rPr>
          <w:rFonts w:ascii="宋体" w:hint="eastAsia"/>
          <w:bCs/>
          <w:szCs w:val="21"/>
        </w:rPr>
        <w:t>，确保投资者的合法权益不受损害并得到公平对待</w:t>
      </w:r>
      <w:r w:rsidRPr="008E0CF3">
        <w:rPr>
          <w:rFonts w:ascii="宋体"/>
          <w:bCs/>
          <w:szCs w:val="21"/>
        </w:rPr>
        <w:t>。</w:t>
      </w:r>
    </w:p>
    <w:p w14:paraId="2AA493C4" w14:textId="7E63B2FE" w:rsidR="002F10DD" w:rsidRDefault="00692037" w:rsidP="002F10DD">
      <w:pPr>
        <w:spacing w:line="360" w:lineRule="auto"/>
        <w:ind w:firstLineChars="200" w:firstLine="420"/>
        <w:rPr>
          <w:rFonts w:ascii="宋体"/>
          <w:bCs/>
          <w:szCs w:val="21"/>
        </w:rPr>
      </w:pPr>
      <w:r w:rsidRPr="008E0CF3">
        <w:rPr>
          <w:rFonts w:ascii="宋体"/>
          <w:bCs/>
          <w:szCs w:val="21"/>
        </w:rPr>
        <w:t>基金管理人可在法律法规允许的情况下，对上述原则进行调整。基金管理人必须在新规则开始实施前依照《信息披露办法》的有关规定在</w:t>
      </w:r>
      <w:r w:rsidR="00056975">
        <w:rPr>
          <w:rFonts w:ascii="宋体"/>
          <w:bCs/>
          <w:szCs w:val="21"/>
        </w:rPr>
        <w:t>规定媒介</w:t>
      </w:r>
      <w:r w:rsidRPr="008E0CF3">
        <w:rPr>
          <w:rFonts w:ascii="宋体"/>
          <w:bCs/>
          <w:szCs w:val="21"/>
        </w:rPr>
        <w:t>上公告。</w:t>
      </w:r>
    </w:p>
    <w:p w14:paraId="06C58CF0" w14:textId="77777777" w:rsidR="00624B8B" w:rsidRDefault="00624B8B" w:rsidP="00624B8B">
      <w:pPr>
        <w:spacing w:line="360" w:lineRule="auto"/>
        <w:ind w:firstLineChars="200" w:firstLine="420"/>
        <w:rPr>
          <w:rFonts w:ascii="宋体"/>
          <w:bCs/>
          <w:szCs w:val="21"/>
        </w:rPr>
      </w:pPr>
    </w:p>
    <w:p w14:paraId="63BC98A5" w14:textId="77777777" w:rsidR="00624B8B" w:rsidRDefault="00624B8B" w:rsidP="00624B8B">
      <w:pPr>
        <w:spacing w:line="360" w:lineRule="auto"/>
        <w:ind w:firstLineChars="200" w:firstLine="420"/>
        <w:rPr>
          <w:rFonts w:ascii="宋体"/>
          <w:bCs/>
          <w:szCs w:val="21"/>
        </w:rPr>
      </w:pPr>
      <w:r>
        <w:rPr>
          <w:rFonts w:ascii="宋体"/>
          <w:bCs/>
          <w:szCs w:val="21"/>
        </w:rPr>
        <w:t>四、申购与赎回的程序</w:t>
      </w:r>
    </w:p>
    <w:p w14:paraId="5538DA64"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申购和赎回的申请方式</w:t>
      </w:r>
    </w:p>
    <w:p w14:paraId="011F101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投资人必须根据销售机构规定的程序，在开放日的具体业务办理时间内提出申购或赎回的申请。</w:t>
      </w:r>
    </w:p>
    <w:p w14:paraId="1FB9DD96"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申购和赎回的款项支付</w:t>
      </w:r>
    </w:p>
    <w:p w14:paraId="38768E0C"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投资人申购基金份额时，必须</w:t>
      </w:r>
      <w:r w:rsidRPr="008E0CF3">
        <w:rPr>
          <w:rFonts w:ascii="宋体" w:hint="eastAsia"/>
          <w:bCs/>
          <w:szCs w:val="21"/>
        </w:rPr>
        <w:t>在规定的时间内</w:t>
      </w:r>
      <w:r w:rsidRPr="008E0CF3">
        <w:rPr>
          <w:rFonts w:ascii="宋体"/>
          <w:bCs/>
          <w:szCs w:val="21"/>
        </w:rPr>
        <w:t>全额交付申购款项，投资人交付</w:t>
      </w:r>
      <w:r w:rsidRPr="008E0CF3">
        <w:rPr>
          <w:rFonts w:ascii="宋体" w:hint="eastAsia"/>
          <w:bCs/>
          <w:szCs w:val="21"/>
        </w:rPr>
        <w:t>申购</w:t>
      </w:r>
      <w:r w:rsidRPr="008E0CF3">
        <w:rPr>
          <w:rFonts w:ascii="宋体"/>
          <w:bCs/>
          <w:szCs w:val="21"/>
        </w:rPr>
        <w:t>款项，申购成立；</w:t>
      </w:r>
      <w:r w:rsidR="00ED6797" w:rsidRPr="00ED6797">
        <w:rPr>
          <w:rFonts w:ascii="宋体" w:hint="eastAsia"/>
          <w:bCs/>
          <w:szCs w:val="21"/>
        </w:rPr>
        <w:t>若申购资金在规定时间内未全额到账则申购不成立，申购款项本金将退回投资人账户，基金管理人、基金托管人和销售机构等不承担由此产生的利息等任何损失。</w:t>
      </w:r>
      <w:r w:rsidRPr="008E0CF3">
        <w:rPr>
          <w:rFonts w:ascii="宋体" w:hint="eastAsia"/>
          <w:bCs/>
          <w:szCs w:val="21"/>
        </w:rPr>
        <w:t>基金份额</w:t>
      </w:r>
      <w:r w:rsidRPr="008E0CF3">
        <w:rPr>
          <w:rFonts w:ascii="宋体"/>
          <w:bCs/>
          <w:szCs w:val="21"/>
        </w:rPr>
        <w:t>登记机构确认基金份额时，申购生效。</w:t>
      </w:r>
    </w:p>
    <w:p w14:paraId="37343D70" w14:textId="77777777" w:rsidR="00692037" w:rsidRPr="00ED6797" w:rsidRDefault="00692037" w:rsidP="008E0CF3">
      <w:pPr>
        <w:spacing w:line="360" w:lineRule="auto"/>
        <w:ind w:firstLineChars="200" w:firstLine="420"/>
        <w:rPr>
          <w:rFonts w:ascii="宋体"/>
          <w:bCs/>
          <w:szCs w:val="21"/>
        </w:rPr>
      </w:pPr>
      <w:r w:rsidRPr="008E0CF3">
        <w:rPr>
          <w:rFonts w:ascii="宋体" w:hint="eastAsia"/>
          <w:bCs/>
          <w:szCs w:val="21"/>
        </w:rPr>
        <w:t>投资人在提交赎回申请时须持有足够的基金份额余额，否则所提交的赎回申请不成立。</w:t>
      </w:r>
      <w:r w:rsidRPr="008E0CF3">
        <w:rPr>
          <w:rFonts w:ascii="宋体"/>
          <w:bCs/>
          <w:szCs w:val="21"/>
        </w:rPr>
        <w:t>基金份额持有人递交赎回申请，赎回成立；</w:t>
      </w:r>
      <w:r w:rsidRPr="008E0CF3">
        <w:rPr>
          <w:rFonts w:ascii="宋体" w:hint="eastAsia"/>
          <w:bCs/>
          <w:szCs w:val="21"/>
        </w:rPr>
        <w:t>基金份额</w:t>
      </w:r>
      <w:r w:rsidRPr="008E0CF3">
        <w:rPr>
          <w:rFonts w:ascii="宋体"/>
          <w:bCs/>
          <w:szCs w:val="21"/>
        </w:rPr>
        <w:t>登记机构确认赎回时，赎回生效。投资者赎回申请生效后</w:t>
      </w:r>
      <w:r w:rsidRPr="008E0CF3">
        <w:rPr>
          <w:rFonts w:ascii="宋体" w:hint="eastAsia"/>
          <w:bCs/>
          <w:szCs w:val="21"/>
        </w:rPr>
        <w:t>，</w:t>
      </w:r>
      <w:r w:rsidRPr="008E0CF3">
        <w:rPr>
          <w:rFonts w:ascii="宋体"/>
          <w:bCs/>
          <w:szCs w:val="21"/>
        </w:rPr>
        <w:t>基金管理人将在T＋7日(包括该日)内支付赎回款项。在发生巨额赎回时</w:t>
      </w:r>
      <w:r w:rsidRPr="008E0CF3">
        <w:rPr>
          <w:rFonts w:ascii="宋体" w:hint="eastAsia"/>
          <w:bCs/>
          <w:szCs w:val="21"/>
        </w:rPr>
        <w:t>或基金合同载明的其他暂停赎回或延缓支付赎回款项的情形</w:t>
      </w:r>
      <w:r w:rsidRPr="008E0CF3">
        <w:rPr>
          <w:rFonts w:ascii="宋体"/>
          <w:bCs/>
          <w:szCs w:val="21"/>
        </w:rPr>
        <w:t>，款项的支付办法参照基金合同有关条款处理。如遇证券</w:t>
      </w:r>
      <w:r w:rsidRPr="008E0CF3">
        <w:rPr>
          <w:rFonts w:ascii="宋体" w:hint="eastAsia"/>
          <w:bCs/>
          <w:szCs w:val="21"/>
        </w:rPr>
        <w:t>/期货</w:t>
      </w:r>
      <w:r w:rsidRPr="008E0CF3">
        <w:rPr>
          <w:rFonts w:ascii="宋体"/>
          <w:bCs/>
          <w:szCs w:val="21"/>
        </w:rPr>
        <w:t>交易所或交易市场数据传输延迟、通讯系统故障、银行</w:t>
      </w:r>
      <w:r w:rsidR="00ED6797">
        <w:rPr>
          <w:rFonts w:ascii="宋体" w:hint="eastAsia"/>
          <w:bCs/>
          <w:szCs w:val="21"/>
        </w:rPr>
        <w:t>数据</w:t>
      </w:r>
      <w:r w:rsidRPr="008E0CF3">
        <w:rPr>
          <w:rFonts w:ascii="宋体"/>
          <w:bCs/>
          <w:szCs w:val="21"/>
        </w:rPr>
        <w:t>交换系统故障</w:t>
      </w:r>
      <w:r w:rsidRPr="008E0CF3">
        <w:rPr>
          <w:rFonts w:ascii="宋体" w:hint="eastAsia"/>
          <w:bCs/>
          <w:szCs w:val="21"/>
        </w:rPr>
        <w:t>、港股通交易系统或港股通资金交收规则限制</w:t>
      </w:r>
      <w:r w:rsidRPr="008E0CF3">
        <w:rPr>
          <w:rFonts w:ascii="宋体"/>
          <w:bCs/>
          <w:szCs w:val="21"/>
        </w:rPr>
        <w:t>或其他非基金管理人及基金托管人所能控制的因素影响了业务流程，则赎回款项划付时间相应顺延。</w:t>
      </w:r>
      <w:r w:rsidR="00ED6797" w:rsidRPr="00ED6797">
        <w:rPr>
          <w:rFonts w:ascii="宋体" w:hint="eastAsia"/>
          <w:bCs/>
          <w:szCs w:val="21"/>
        </w:rPr>
        <w:t>基金管理人、基金托管人和销售机构等不承担由此顺延造成的损失或不利后果。</w:t>
      </w:r>
    </w:p>
    <w:p w14:paraId="6A25B00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申购和赎回申请的确认</w:t>
      </w:r>
    </w:p>
    <w:p w14:paraId="42DEDB2D"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基金管理人应以交易时间结束前受理</w:t>
      </w:r>
      <w:r w:rsidRPr="008E0CF3">
        <w:rPr>
          <w:rFonts w:ascii="宋体" w:hint="eastAsia"/>
          <w:bCs/>
          <w:szCs w:val="21"/>
        </w:rPr>
        <w:t>有效</w:t>
      </w:r>
      <w:r w:rsidRPr="008E0CF3">
        <w:rPr>
          <w:rFonts w:ascii="宋体"/>
          <w:bCs/>
          <w:szCs w:val="21"/>
        </w:rPr>
        <w:t>申购和赎回申请的当天作为申购或赎回申请</w:t>
      </w:r>
      <w:r w:rsidRPr="008E0CF3">
        <w:rPr>
          <w:rFonts w:ascii="宋体"/>
          <w:bCs/>
          <w:szCs w:val="21"/>
        </w:rPr>
        <w:lastRenderedPageBreak/>
        <w:t>日(T日)，在正常情况下，本基金登记机构在T+1日内对该交易的有效性进行确认。T日提交的有效申请，投资人</w:t>
      </w:r>
      <w:r w:rsidRPr="008E0CF3">
        <w:rPr>
          <w:rFonts w:ascii="宋体" w:hint="eastAsia"/>
          <w:bCs/>
          <w:szCs w:val="21"/>
        </w:rPr>
        <w:t>应</w:t>
      </w:r>
      <w:r w:rsidRPr="008E0CF3">
        <w:rPr>
          <w:rFonts w:ascii="宋体"/>
          <w:bCs/>
          <w:szCs w:val="21"/>
        </w:rPr>
        <w:t>在T+2日后(包括该日)</w:t>
      </w:r>
      <w:r w:rsidRPr="008E0CF3">
        <w:rPr>
          <w:rFonts w:ascii="宋体" w:hint="eastAsia"/>
          <w:bCs/>
          <w:szCs w:val="21"/>
        </w:rPr>
        <w:t>及时</w:t>
      </w:r>
      <w:r w:rsidRPr="008E0CF3">
        <w:rPr>
          <w:rFonts w:ascii="宋体"/>
          <w:bCs/>
          <w:szCs w:val="21"/>
        </w:rPr>
        <w:t>到销售网点柜台或以销售机构规定的其他方式查询申请的确认情况。若申购不成功，则申购款项退还给投资人。</w:t>
      </w:r>
    </w:p>
    <w:p w14:paraId="7A8B36FE" w14:textId="77777777" w:rsidR="002F10DD" w:rsidRDefault="00692037" w:rsidP="002F10DD">
      <w:pPr>
        <w:spacing w:line="360" w:lineRule="auto"/>
        <w:ind w:firstLineChars="200" w:firstLine="420"/>
        <w:rPr>
          <w:rFonts w:ascii="宋体"/>
          <w:bCs/>
          <w:szCs w:val="21"/>
        </w:rPr>
      </w:pPr>
      <w:r w:rsidRPr="008E0CF3">
        <w:rPr>
          <w:rFonts w:asci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9C9B2D2" w14:textId="51D6B887" w:rsidR="002F10DD" w:rsidRDefault="002F10DD" w:rsidP="002F10DD">
      <w:pPr>
        <w:spacing w:line="360" w:lineRule="auto"/>
        <w:ind w:firstLineChars="200" w:firstLine="420"/>
        <w:rPr>
          <w:rFonts w:ascii="宋体"/>
          <w:bCs/>
          <w:szCs w:val="21"/>
        </w:rPr>
      </w:pPr>
      <w:r>
        <w:rPr>
          <w:rFonts w:ascii="宋体" w:hint="eastAsia"/>
          <w:bCs/>
          <w:szCs w:val="21"/>
        </w:rPr>
        <w:t>基金管理人可在法律法规允许的情况下，对上述原则进行调整。基金管理人必须在新规则开始实施前依照《信息披露办法》的有关规定</w:t>
      </w:r>
      <w:r w:rsidR="00747307">
        <w:rPr>
          <w:rFonts w:ascii="宋体" w:hint="eastAsia"/>
          <w:bCs/>
          <w:szCs w:val="21"/>
        </w:rPr>
        <w:t>在</w:t>
      </w:r>
      <w:r w:rsidR="00056975">
        <w:rPr>
          <w:rFonts w:ascii="宋体" w:hint="eastAsia"/>
          <w:bCs/>
          <w:szCs w:val="21"/>
        </w:rPr>
        <w:t>规定媒介</w:t>
      </w:r>
      <w:r w:rsidR="00747307">
        <w:rPr>
          <w:rFonts w:ascii="宋体" w:hint="eastAsia"/>
          <w:bCs/>
          <w:szCs w:val="21"/>
        </w:rPr>
        <w:t>上公告</w:t>
      </w:r>
      <w:r>
        <w:rPr>
          <w:rFonts w:ascii="宋体" w:hint="eastAsia"/>
          <w:bCs/>
          <w:szCs w:val="21"/>
        </w:rPr>
        <w:t>。</w:t>
      </w:r>
    </w:p>
    <w:p w14:paraId="59DE0891"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35FB7A3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五、申购和赎回的数量限制</w:t>
      </w:r>
    </w:p>
    <w:p w14:paraId="0B8B89A3" w14:textId="77777777" w:rsidR="00B84A53" w:rsidRPr="00363FA9"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1、</w:t>
      </w:r>
      <w:r w:rsidR="00717D91" w:rsidRPr="00692037">
        <w:rPr>
          <w:rFonts w:ascii="宋体" w:hAnsi="宋体" w:hint="eastAsia"/>
          <w:szCs w:val="21"/>
        </w:rPr>
        <w:t>本基金首次申购和追加申购的最低金额均为</w:t>
      </w:r>
      <w:r w:rsidR="00460F28" w:rsidRPr="00EC00FE">
        <w:rPr>
          <w:rFonts w:ascii="宋体" w:hAnsi="宋体"/>
          <w:szCs w:val="21"/>
        </w:rPr>
        <w:t>1</w:t>
      </w:r>
      <w:r w:rsidR="00717D91" w:rsidRPr="00692037">
        <w:rPr>
          <w:rFonts w:ascii="宋体" w:hAnsi="宋体" w:hint="eastAsia"/>
          <w:szCs w:val="21"/>
        </w:rPr>
        <w:t>元，各销售机构在符合上述规定的前提下，可根据情况调高首次申购和追加申购的最低金额，具体以销售机构公布的为准，投资人需遵循销售机构的相关规定</w:t>
      </w:r>
      <w:r w:rsidR="00B84A53" w:rsidRPr="00692037">
        <w:rPr>
          <w:rFonts w:ascii="宋体" w:hAnsi="宋体" w:hint="eastAsia"/>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14:paraId="1523C9D5" w14:textId="66EFDB56" w:rsidR="001C2B16" w:rsidRPr="00692037" w:rsidRDefault="001C2B16" w:rsidP="001C2B16">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w:t>
      </w:r>
      <w:r w:rsidRPr="008E0CF3">
        <w:rPr>
          <w:rFonts w:ascii="宋体" w:hAnsi="宋体"/>
          <w:szCs w:val="21"/>
        </w:rPr>
        <w:t>当接受申购申请对存量基金份额持有人利益构成潜在重大不利影响时，基金管理人</w:t>
      </w:r>
      <w:r w:rsidRPr="009B4BA9">
        <w:rPr>
          <w:rFonts w:ascii="宋体" w:hAnsi="宋体" w:hint="eastAsia"/>
          <w:bCs/>
          <w:szCs w:val="21"/>
        </w:rPr>
        <w:t>有权</w:t>
      </w:r>
      <w:r w:rsidRPr="008E0CF3">
        <w:rPr>
          <w:rFonts w:ascii="宋体" w:hAnsi="宋体"/>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7EC13E4" w14:textId="77777777" w:rsidR="002E3EC6" w:rsidRPr="004F5BE4" w:rsidRDefault="000761B9" w:rsidP="000761B9">
      <w:pPr>
        <w:adjustRightInd w:val="0"/>
        <w:snapToGrid w:val="0"/>
        <w:spacing w:line="360" w:lineRule="auto"/>
        <w:ind w:firstLineChars="200" w:firstLine="420"/>
        <w:rPr>
          <w:rFonts w:ascii="宋体" w:hAnsi="宋体"/>
          <w:szCs w:val="21"/>
        </w:rPr>
      </w:pPr>
      <w:r w:rsidRPr="00692037">
        <w:rPr>
          <w:rFonts w:ascii="宋体" w:hAnsi="宋体" w:hint="eastAsia"/>
          <w:szCs w:val="21"/>
        </w:rPr>
        <w:t>3、</w:t>
      </w:r>
      <w:r w:rsidR="002E3EC6" w:rsidRPr="004F5BE4">
        <w:rPr>
          <w:rFonts w:ascii="宋体" w:hAnsi="宋体" w:hint="eastAsia"/>
          <w:szCs w:val="21"/>
        </w:rPr>
        <w:t>本基金不对投资人每个交易账户的最低基金份额余额进行限制；</w:t>
      </w:r>
    </w:p>
    <w:p w14:paraId="46C3FE07" w14:textId="77777777"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4</w:t>
      </w:r>
      <w:r w:rsidR="002E3EC6" w:rsidRPr="004F5BE4">
        <w:rPr>
          <w:rFonts w:ascii="宋体" w:hAnsi="宋体" w:hint="eastAsia"/>
          <w:szCs w:val="21"/>
        </w:rPr>
        <w:t>、本基金不对单个投资人累计持有的基金份额上限进行限制</w:t>
      </w:r>
      <w:r w:rsidR="00B930DF" w:rsidRPr="00692037">
        <w:rPr>
          <w:rFonts w:ascii="宋体" w:hAnsi="宋体"/>
          <w:szCs w:val="21"/>
        </w:rPr>
        <w:t>，但法律法规或监管要求另有规定的除外</w:t>
      </w:r>
      <w:r w:rsidR="002E3EC6" w:rsidRPr="004F5BE4">
        <w:rPr>
          <w:rFonts w:ascii="宋体" w:hAnsi="宋体" w:hint="eastAsia"/>
          <w:szCs w:val="21"/>
        </w:rPr>
        <w:t>；</w:t>
      </w:r>
    </w:p>
    <w:p w14:paraId="67F5281C" w14:textId="3571EF6E"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5</w:t>
      </w:r>
      <w:r w:rsidR="002E3EC6" w:rsidRPr="004F5BE4">
        <w:rPr>
          <w:rFonts w:ascii="宋体" w:hAnsi="宋体" w:hint="eastAsia"/>
          <w:szCs w:val="21"/>
        </w:rPr>
        <w:t>、基金管理人可在法律法规允许的情况下，调整上述规定申购金额和赎回份额的数量限制</w:t>
      </w:r>
      <w:r w:rsidR="00AA4ECE">
        <w:rPr>
          <w:rFonts w:ascii="宋体" w:hAnsi="宋体" w:hint="eastAsia"/>
          <w:szCs w:val="21"/>
        </w:rPr>
        <w:t>。</w:t>
      </w:r>
      <w:r w:rsidR="002E3EC6" w:rsidRPr="004F5BE4">
        <w:rPr>
          <w:rFonts w:ascii="宋体" w:hAnsi="宋体" w:hint="eastAsia"/>
          <w:szCs w:val="21"/>
        </w:rPr>
        <w:t>基金管理人必须在调整前依照《信息披露办法》的有关规定</w:t>
      </w:r>
      <w:r w:rsidR="00747307">
        <w:rPr>
          <w:rFonts w:ascii="宋体" w:hAnsi="宋体" w:hint="eastAsia"/>
          <w:szCs w:val="21"/>
        </w:rPr>
        <w:t>在</w:t>
      </w:r>
      <w:r w:rsidR="00056975">
        <w:rPr>
          <w:rFonts w:ascii="宋体" w:hAnsi="宋体" w:hint="eastAsia"/>
          <w:szCs w:val="21"/>
        </w:rPr>
        <w:t>规定媒介</w:t>
      </w:r>
      <w:r w:rsidR="00747307">
        <w:rPr>
          <w:rFonts w:ascii="宋体" w:hAnsi="宋体" w:hint="eastAsia"/>
          <w:szCs w:val="21"/>
        </w:rPr>
        <w:t>公告</w:t>
      </w:r>
      <w:r w:rsidR="002E3EC6" w:rsidRPr="004F5BE4">
        <w:rPr>
          <w:rFonts w:ascii="宋体" w:hAnsi="宋体" w:hint="eastAsia"/>
          <w:szCs w:val="21"/>
        </w:rPr>
        <w:t>。</w:t>
      </w:r>
    </w:p>
    <w:p w14:paraId="4310A4A5" w14:textId="77777777" w:rsidR="002E3EC6" w:rsidRPr="004F5BE4" w:rsidRDefault="002E3EC6" w:rsidP="004F5BE4">
      <w:pPr>
        <w:adjustRightInd w:val="0"/>
        <w:snapToGrid w:val="0"/>
        <w:spacing w:line="360" w:lineRule="auto"/>
        <w:ind w:firstLineChars="200" w:firstLine="420"/>
        <w:rPr>
          <w:rFonts w:ascii="宋体" w:hAnsi="宋体"/>
          <w:kern w:val="0"/>
          <w:szCs w:val="21"/>
        </w:rPr>
      </w:pPr>
    </w:p>
    <w:p w14:paraId="70892C0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bCs/>
          <w:szCs w:val="21"/>
        </w:rPr>
        <w:t>六、申购和赎回的价格、费用及其用途</w:t>
      </w:r>
    </w:p>
    <w:p w14:paraId="6658A3D5" w14:textId="543DD0A3" w:rsidR="00B930DF" w:rsidRDefault="001C2B16" w:rsidP="00B930DF">
      <w:pPr>
        <w:adjustRightInd w:val="0"/>
        <w:snapToGrid w:val="0"/>
        <w:spacing w:line="360" w:lineRule="auto"/>
        <w:ind w:firstLineChars="200" w:firstLine="420"/>
        <w:rPr>
          <w:rFonts w:ascii="宋体" w:hAnsi="宋体"/>
          <w:kern w:val="0"/>
          <w:szCs w:val="21"/>
        </w:rPr>
      </w:pPr>
      <w:r>
        <w:rPr>
          <w:rFonts w:ascii="宋体" w:hAnsi="宋体" w:hint="eastAsia"/>
          <w:kern w:val="0"/>
          <w:szCs w:val="21"/>
        </w:rPr>
        <w:t>1、</w:t>
      </w:r>
      <w:r w:rsidR="00B930DF" w:rsidRPr="00AC601A">
        <w:rPr>
          <w:rFonts w:ascii="宋体" w:hAnsi="宋体"/>
          <w:kern w:val="0"/>
          <w:szCs w:val="21"/>
        </w:rPr>
        <w:t>本基金</w:t>
      </w:r>
      <w:r w:rsidR="00692037">
        <w:rPr>
          <w:rFonts w:ascii="宋体" w:hAnsi="宋体" w:hint="eastAsia"/>
          <w:kern w:val="0"/>
          <w:szCs w:val="21"/>
        </w:rPr>
        <w:t>的</w:t>
      </w:r>
      <w:r w:rsidR="00B930DF" w:rsidRPr="00AC601A">
        <w:rPr>
          <w:rFonts w:ascii="宋体" w:hAnsi="宋体"/>
          <w:kern w:val="0"/>
          <w:szCs w:val="21"/>
        </w:rPr>
        <w:t>申购费率为零。</w:t>
      </w:r>
    </w:p>
    <w:p w14:paraId="4F0707A1" w14:textId="3E093085" w:rsidR="00AC601A" w:rsidRDefault="002E3EC6" w:rsidP="009B2976">
      <w:pPr>
        <w:adjustRightInd w:val="0"/>
        <w:snapToGrid w:val="0"/>
        <w:spacing w:line="360" w:lineRule="auto"/>
        <w:ind w:firstLineChars="200" w:firstLine="420"/>
        <w:rPr>
          <w:rFonts w:ascii="宋体" w:hAnsi="宋体"/>
          <w:kern w:val="0"/>
          <w:szCs w:val="21"/>
        </w:rPr>
      </w:pPr>
      <w:r w:rsidRPr="00AC601A">
        <w:rPr>
          <w:rFonts w:ascii="宋体" w:hAnsi="宋体" w:hint="eastAsia"/>
          <w:kern w:val="0"/>
          <w:szCs w:val="21"/>
        </w:rPr>
        <w:t>2、</w:t>
      </w:r>
      <w:r w:rsidR="00B26A0B" w:rsidRPr="00AC601A">
        <w:rPr>
          <w:rFonts w:ascii="宋体" w:hAnsi="宋体" w:hint="eastAsia"/>
          <w:kern w:val="0"/>
          <w:szCs w:val="21"/>
        </w:rPr>
        <w:t>本基金的赎回费：</w:t>
      </w:r>
    </w:p>
    <w:p w14:paraId="43891999" w14:textId="49D5B2E6" w:rsidR="00391988" w:rsidRDefault="00391988" w:rsidP="009B2976">
      <w:pPr>
        <w:pStyle w:val="afff9"/>
        <w:snapToGrid w:val="0"/>
        <w:spacing w:line="360" w:lineRule="auto"/>
        <w:rPr>
          <w:rFonts w:ascii="宋体" w:hAnsi="宋体"/>
          <w:szCs w:val="21"/>
        </w:rPr>
      </w:pPr>
      <w:r w:rsidRPr="006C0EF5">
        <w:rPr>
          <w:rFonts w:ascii="宋体" w:hAnsi="宋体" w:hint="eastAsia"/>
          <w:szCs w:val="21"/>
        </w:rPr>
        <w:t>本基金的赎回费率如下：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391988" w:rsidRPr="006C0EF5" w14:paraId="76A01C04" w14:textId="262F0308"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7DA7ECAD" w14:textId="0B89ECC9"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申请份额持有时间（N）</w:t>
            </w:r>
          </w:p>
        </w:tc>
        <w:tc>
          <w:tcPr>
            <w:tcW w:w="2645" w:type="dxa"/>
            <w:tcBorders>
              <w:top w:val="single" w:sz="4" w:space="0" w:color="auto"/>
              <w:left w:val="single" w:sz="4" w:space="0" w:color="auto"/>
              <w:bottom w:val="single" w:sz="4" w:space="0" w:color="auto"/>
              <w:right w:val="single" w:sz="4" w:space="0" w:color="auto"/>
            </w:tcBorders>
          </w:tcPr>
          <w:p w14:paraId="2E2FB0D8" w14:textId="4C0CE80C"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赎回费率</w:t>
            </w:r>
          </w:p>
        </w:tc>
      </w:tr>
      <w:tr w:rsidR="00391988" w:rsidRPr="006C0EF5" w14:paraId="170B1BB5" w14:textId="2212FACE"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75FC594" w14:textId="14BBDFF9"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N＜7日</w:t>
            </w:r>
          </w:p>
        </w:tc>
        <w:tc>
          <w:tcPr>
            <w:tcW w:w="2645" w:type="dxa"/>
            <w:tcBorders>
              <w:top w:val="single" w:sz="4" w:space="0" w:color="auto"/>
              <w:left w:val="single" w:sz="4" w:space="0" w:color="auto"/>
              <w:bottom w:val="single" w:sz="4" w:space="0" w:color="auto"/>
              <w:right w:val="single" w:sz="4" w:space="0" w:color="auto"/>
            </w:tcBorders>
            <w:vAlign w:val="center"/>
          </w:tcPr>
          <w:p w14:paraId="302BAFFC" w14:textId="4B2D4092"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1.5</w:t>
            </w:r>
            <w:r w:rsidR="00031B7C">
              <w:rPr>
                <w:rFonts w:ascii="宋体" w:hAnsi="宋体"/>
                <w:szCs w:val="21"/>
              </w:rPr>
              <w:t>%</w:t>
            </w:r>
          </w:p>
        </w:tc>
      </w:tr>
      <w:tr w:rsidR="00391988" w:rsidRPr="006C0EF5" w14:paraId="7E850D91" w14:textId="3B17DB4B"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2032BB55" w14:textId="2F5D63D0"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7日≤N＜30日</w:t>
            </w:r>
          </w:p>
        </w:tc>
        <w:tc>
          <w:tcPr>
            <w:tcW w:w="2645" w:type="dxa"/>
            <w:tcBorders>
              <w:top w:val="single" w:sz="4" w:space="0" w:color="auto"/>
              <w:left w:val="single" w:sz="4" w:space="0" w:color="auto"/>
              <w:bottom w:val="single" w:sz="4" w:space="0" w:color="auto"/>
              <w:right w:val="single" w:sz="4" w:space="0" w:color="auto"/>
            </w:tcBorders>
            <w:vAlign w:val="center"/>
          </w:tcPr>
          <w:p w14:paraId="554977C8" w14:textId="27246A89" w:rsidR="00391988" w:rsidRPr="006C0EF5" w:rsidRDefault="00391988" w:rsidP="009B2976">
            <w:pPr>
              <w:pStyle w:val="afff9"/>
              <w:snapToGrid w:val="0"/>
              <w:spacing w:line="360" w:lineRule="auto"/>
              <w:rPr>
                <w:rFonts w:ascii="宋体" w:hAnsi="宋体"/>
                <w:szCs w:val="21"/>
              </w:rPr>
            </w:pPr>
            <w:r>
              <w:rPr>
                <w:rFonts w:ascii="宋体" w:hAnsi="宋体" w:hint="eastAsia"/>
                <w:szCs w:val="21"/>
              </w:rPr>
              <w:t>0.</w:t>
            </w:r>
            <w:r w:rsidRPr="006C0EF5">
              <w:rPr>
                <w:rFonts w:ascii="宋体" w:hAnsi="宋体" w:hint="eastAsia"/>
                <w:szCs w:val="21"/>
              </w:rPr>
              <w:t>5</w:t>
            </w:r>
            <w:r w:rsidR="00031B7C">
              <w:rPr>
                <w:rFonts w:ascii="宋体" w:hAnsi="宋体"/>
                <w:szCs w:val="21"/>
              </w:rPr>
              <w:t>%</w:t>
            </w:r>
          </w:p>
        </w:tc>
      </w:tr>
      <w:tr w:rsidR="00391988" w:rsidRPr="006C0EF5" w14:paraId="584DE727" w14:textId="3BB1BD7E"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16672AE" w14:textId="095419B0"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lastRenderedPageBreak/>
              <w:t>N≥</w:t>
            </w:r>
            <w:r>
              <w:rPr>
                <w:rFonts w:ascii="宋体" w:hAnsi="宋体"/>
                <w:szCs w:val="21"/>
              </w:rPr>
              <w:t>30</w:t>
            </w:r>
            <w:r>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624A528D" w14:textId="53A352F1" w:rsidR="00391988" w:rsidRPr="006C0EF5" w:rsidRDefault="00391988" w:rsidP="009B2976">
            <w:pPr>
              <w:pStyle w:val="afff9"/>
              <w:snapToGrid w:val="0"/>
              <w:spacing w:line="360" w:lineRule="auto"/>
              <w:rPr>
                <w:rFonts w:ascii="宋体" w:hAnsi="宋体"/>
                <w:szCs w:val="21"/>
              </w:rPr>
            </w:pPr>
            <w:r w:rsidRPr="006C0EF5">
              <w:rPr>
                <w:rFonts w:ascii="宋体" w:hAnsi="宋体" w:hint="eastAsia"/>
                <w:szCs w:val="21"/>
              </w:rPr>
              <w:t>0</w:t>
            </w:r>
          </w:p>
        </w:tc>
      </w:tr>
    </w:tbl>
    <w:p w14:paraId="3FA9ADA4" w14:textId="08599238" w:rsidR="00267BAF" w:rsidRDefault="00267BAF" w:rsidP="009B2976">
      <w:pPr>
        <w:pStyle w:val="afff9"/>
        <w:snapToGrid w:val="0"/>
        <w:spacing w:line="360" w:lineRule="auto"/>
        <w:rPr>
          <w:rFonts w:ascii="宋体" w:hAnsi="宋体"/>
          <w:szCs w:val="21"/>
        </w:rPr>
      </w:pPr>
      <w:r w:rsidRPr="00267BAF">
        <w:rPr>
          <w:rFonts w:ascii="宋体" w:hAnsi="宋体" w:hint="eastAsia"/>
          <w:szCs w:val="21"/>
        </w:rPr>
        <w:t>投资人可将其持有的全部或部分基金份额赎回。赎回费用由赎回基金份额的基金份额持有人承担，在基金份额持有人赎回基金份额时收取。对于持有期少于30日的基金份额所收取的赎回费，赎回费用全额归入基金财产。</w:t>
      </w:r>
    </w:p>
    <w:p w14:paraId="74C82DF6" w14:textId="77777777" w:rsidR="001C2B16" w:rsidRPr="004F5BE4" w:rsidRDefault="001C2B16" w:rsidP="001C2B16">
      <w:pPr>
        <w:pStyle w:val="afff9"/>
        <w:snapToGrid w:val="0"/>
        <w:spacing w:line="360" w:lineRule="auto"/>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、基金管理人可以</w:t>
      </w:r>
      <w:r w:rsidRPr="00A050F0">
        <w:rPr>
          <w:rFonts w:ascii="宋体" w:hAnsi="宋体" w:hint="eastAsia"/>
          <w:bCs/>
          <w:kern w:val="0"/>
          <w:szCs w:val="21"/>
        </w:rPr>
        <w:t>根据相关法律法规或</w:t>
      </w:r>
      <w:r w:rsidRPr="004F5BE4">
        <w:rPr>
          <w:rFonts w:ascii="宋体" w:hAnsi="宋体" w:hint="eastAsia"/>
          <w:kern w:val="0"/>
          <w:szCs w:val="21"/>
        </w:rPr>
        <w:t>在基金合同约定的范围内调整费率或收费方式，并最迟应于新的费率或收费方式实施日前依照《信息披露办法》的有关规定在</w:t>
      </w:r>
      <w:r>
        <w:rPr>
          <w:rFonts w:ascii="宋体" w:hAnsi="宋体" w:hint="eastAsia"/>
          <w:kern w:val="0"/>
          <w:szCs w:val="21"/>
        </w:rPr>
        <w:t>规定媒介</w:t>
      </w:r>
      <w:r w:rsidRPr="004F5BE4">
        <w:rPr>
          <w:rFonts w:ascii="宋体" w:hAnsi="宋体" w:hint="eastAsia"/>
          <w:kern w:val="0"/>
          <w:szCs w:val="21"/>
        </w:rPr>
        <w:t>上公告。</w:t>
      </w:r>
    </w:p>
    <w:p w14:paraId="5A79212C" w14:textId="77777777" w:rsidR="00D9413A" w:rsidRPr="004F5BE4" w:rsidRDefault="00D9413A" w:rsidP="004F5BE4">
      <w:pPr>
        <w:snapToGrid w:val="0"/>
        <w:spacing w:line="360" w:lineRule="auto"/>
        <w:ind w:firstLineChars="200" w:firstLine="420"/>
        <w:rPr>
          <w:rFonts w:ascii="宋体" w:hAnsi="宋体"/>
          <w:color w:val="000000"/>
          <w:szCs w:val="21"/>
        </w:rPr>
      </w:pPr>
      <w:r w:rsidRPr="004F5BE4">
        <w:rPr>
          <w:rFonts w:ascii="宋体" w:hAnsi="宋体" w:hint="eastAsia"/>
          <w:bCs/>
          <w:szCs w:val="21"/>
        </w:rPr>
        <w:t>4、</w:t>
      </w:r>
      <w:r w:rsidRPr="004F5BE4">
        <w:rPr>
          <w:rFonts w:ascii="宋体" w:hAnsi="宋体" w:hint="eastAsia"/>
          <w:szCs w:val="21"/>
        </w:rPr>
        <w:t>基金管理人及其他基金销售机构可以在不违背法律法规规定及《基金合同》约定</w:t>
      </w:r>
      <w:r w:rsidR="006C0F94">
        <w:rPr>
          <w:rFonts w:ascii="宋体" w:hAnsi="宋体" w:hint="eastAsia"/>
          <w:szCs w:val="21"/>
        </w:rPr>
        <w:t>、</w:t>
      </w:r>
      <w:r w:rsidR="006C0F94" w:rsidRPr="006C0F94">
        <w:rPr>
          <w:rFonts w:ascii="宋体" w:hAnsi="宋体" w:hint="eastAsia"/>
          <w:szCs w:val="21"/>
        </w:rPr>
        <w:t>不影响基金份额持有人利益的情况</w:t>
      </w:r>
      <w:r w:rsidRPr="004F5BE4">
        <w:rPr>
          <w:rFonts w:ascii="宋体" w:hAnsi="宋体" w:hint="eastAsia"/>
          <w:szCs w:val="21"/>
        </w:rPr>
        <w:t>的情形下，对基金销售费用实行一定的优惠，费率优惠的相关规则和流程详见基金管理人或其他基金销售机构届时发布的相关公告或通知。</w:t>
      </w:r>
      <w:r w:rsidR="006C0F94" w:rsidRPr="006C0F94">
        <w:rPr>
          <w:rFonts w:ascii="宋体" w:hAnsi="宋体" w:hint="eastAsia"/>
          <w:szCs w:val="21"/>
        </w:rPr>
        <w:t>基金管理人可以针对特定投资人（如养老金客户等）开展费率优惠活动，届时将提前公告。</w:t>
      </w:r>
    </w:p>
    <w:p w14:paraId="73FA69BA"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68B6EF1E"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七、申购份额与赎回金额的计算</w:t>
      </w:r>
    </w:p>
    <w:p w14:paraId="4D003720"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1、基金申购份额的计算方法如下：</w:t>
      </w:r>
    </w:p>
    <w:p w14:paraId="0EEE0F6E"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申购份额＝净申购金额/申购当日该类基金份额净值</w:t>
      </w:r>
    </w:p>
    <w:p w14:paraId="2D32B49D" w14:textId="5B71F963" w:rsidR="004B01F8" w:rsidRPr="00C34E47" w:rsidRDefault="004B01F8" w:rsidP="004B01F8">
      <w:pPr>
        <w:pStyle w:val="34"/>
        <w:adjustRightInd w:val="0"/>
        <w:snapToGrid w:val="0"/>
        <w:spacing w:line="360" w:lineRule="auto"/>
        <w:ind w:firstLineChars="200" w:firstLine="420"/>
        <w:rPr>
          <w:rFonts w:hAnsi="宋体" w:hint="default"/>
          <w:sz w:val="21"/>
          <w:szCs w:val="21"/>
        </w:rPr>
      </w:pPr>
      <w:r w:rsidRPr="00C34E47">
        <w:rPr>
          <w:rFonts w:hAnsi="宋体"/>
          <w:sz w:val="21"/>
          <w:szCs w:val="21"/>
        </w:rPr>
        <w:t>例：某投资人投资10万元申购本基金，假设申购当日</w:t>
      </w:r>
      <w:r w:rsidR="00034223">
        <w:rPr>
          <w:rFonts w:hAnsi="宋体"/>
          <w:sz w:val="21"/>
          <w:szCs w:val="21"/>
        </w:rPr>
        <w:t>本</w:t>
      </w:r>
      <w:r w:rsidR="00034223">
        <w:rPr>
          <w:rFonts w:hAnsi="宋体" w:hint="default"/>
          <w:sz w:val="21"/>
          <w:szCs w:val="21"/>
        </w:rPr>
        <w:t>基金</w:t>
      </w:r>
      <w:r w:rsidRPr="00C34E47">
        <w:rPr>
          <w:rFonts w:hAnsi="宋体"/>
          <w:sz w:val="21"/>
          <w:szCs w:val="21"/>
        </w:rPr>
        <w:t>基金份额净值为1.01</w:t>
      </w:r>
      <w:r w:rsidR="002A42F5">
        <w:rPr>
          <w:rFonts w:hAnsi="宋体" w:hint="default"/>
          <w:sz w:val="21"/>
          <w:szCs w:val="21"/>
        </w:rPr>
        <w:t>7</w:t>
      </w:r>
      <w:r>
        <w:rPr>
          <w:rFonts w:hAnsi="宋体"/>
          <w:sz w:val="21"/>
          <w:szCs w:val="21"/>
        </w:rPr>
        <w:t>0</w:t>
      </w:r>
      <w:r w:rsidRPr="00C34E47">
        <w:rPr>
          <w:rFonts w:hAnsi="宋体"/>
          <w:sz w:val="21"/>
          <w:szCs w:val="21"/>
        </w:rPr>
        <w:t>元。则其可得到的申购份额为：</w:t>
      </w:r>
    </w:p>
    <w:p w14:paraId="0D47AE19" w14:textId="77777777" w:rsidR="004B01F8" w:rsidRPr="00E34593" w:rsidRDefault="002A42F5" w:rsidP="00E34593">
      <w:pPr>
        <w:snapToGrid w:val="0"/>
        <w:spacing w:line="360" w:lineRule="auto"/>
        <w:ind w:firstLineChars="200" w:firstLine="420"/>
        <w:rPr>
          <w:rFonts w:hAnsi="宋体"/>
          <w:color w:val="000000"/>
          <w:szCs w:val="20"/>
        </w:rPr>
      </w:pPr>
      <w:r w:rsidRPr="0028244D">
        <w:rPr>
          <w:rFonts w:ascii="宋体" w:hAnsi="宋体" w:hint="eastAsia"/>
          <w:color w:val="000000"/>
          <w:szCs w:val="20"/>
        </w:rPr>
        <w:t>申购份额＝</w:t>
      </w:r>
      <w:r>
        <w:rPr>
          <w:rFonts w:ascii="宋体" w:hAnsi="宋体"/>
          <w:color w:val="000000"/>
          <w:szCs w:val="20"/>
        </w:rPr>
        <w:t>1</w:t>
      </w:r>
      <w:r w:rsidRPr="0028244D">
        <w:rPr>
          <w:rFonts w:ascii="宋体" w:hAnsi="宋体" w:hint="eastAsia"/>
          <w:color w:val="000000"/>
          <w:szCs w:val="20"/>
        </w:rPr>
        <w:t>00,000/1.01</w:t>
      </w:r>
      <w:r>
        <w:rPr>
          <w:rFonts w:ascii="宋体" w:hAnsi="宋体"/>
          <w:color w:val="000000"/>
          <w:szCs w:val="20"/>
        </w:rPr>
        <w:t>7</w:t>
      </w:r>
      <w:r w:rsidRPr="0028244D">
        <w:rPr>
          <w:rFonts w:ascii="宋体" w:hAnsi="宋体" w:hint="eastAsia"/>
          <w:color w:val="000000"/>
          <w:szCs w:val="20"/>
        </w:rPr>
        <w:t xml:space="preserve">0= </w:t>
      </w:r>
      <w:r>
        <w:rPr>
          <w:rFonts w:ascii="宋体" w:hAnsi="宋体"/>
          <w:color w:val="000000"/>
          <w:szCs w:val="20"/>
        </w:rPr>
        <w:t>98,328.4</w:t>
      </w:r>
      <w:r>
        <w:rPr>
          <w:rFonts w:ascii="宋体" w:hAnsi="宋体" w:hint="eastAsia"/>
          <w:color w:val="000000"/>
          <w:szCs w:val="20"/>
        </w:rPr>
        <w:t>1</w:t>
      </w:r>
      <w:r w:rsidRPr="0028244D">
        <w:rPr>
          <w:rFonts w:ascii="宋体" w:hAnsi="宋体" w:hint="eastAsia"/>
          <w:color w:val="000000"/>
          <w:szCs w:val="20"/>
        </w:rPr>
        <w:t>份</w:t>
      </w:r>
    </w:p>
    <w:p w14:paraId="11EEBE5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2</w:t>
      </w:r>
      <w:r w:rsidRPr="004F5BE4">
        <w:rPr>
          <w:rFonts w:ascii="宋体" w:hAnsi="宋体" w:hint="eastAsia"/>
          <w:kern w:val="0"/>
          <w:szCs w:val="21"/>
        </w:rPr>
        <w:t>、基金赎回金额的计算</w:t>
      </w:r>
    </w:p>
    <w:p w14:paraId="0F09C1FE"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在本基金的赎回金额的计算公式为：</w:t>
      </w:r>
    </w:p>
    <w:p w14:paraId="44CC89C1" w14:textId="3E7940AD" w:rsidR="001C2B16" w:rsidRPr="00DD0780" w:rsidRDefault="001C2B16" w:rsidP="001C2B16">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赎回费用＝赎回份额×赎回当日基金份额净值×赎回费率</w:t>
      </w:r>
    </w:p>
    <w:p w14:paraId="75CD930B" w14:textId="4CB31466" w:rsidR="001C2B16" w:rsidRPr="00DD0780" w:rsidRDefault="001C2B16" w:rsidP="001C2B16">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赎回金额＝赎回份额×赎回当日基金份额净值—赎回费用</w:t>
      </w:r>
    </w:p>
    <w:p w14:paraId="13132802" w14:textId="3631CA11" w:rsidR="001C2B16" w:rsidRPr="004F5BE4" w:rsidRDefault="001C2B16" w:rsidP="001C2B16">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Pr>
          <w:rFonts w:hAnsi="宋体" w:hint="eastAsia"/>
          <w:szCs w:val="21"/>
        </w:rPr>
        <w:t>持有时间</w:t>
      </w:r>
      <w:r>
        <w:rPr>
          <w:rFonts w:hAnsi="宋体"/>
          <w:szCs w:val="21"/>
        </w:rPr>
        <w:t>少于</w:t>
      </w:r>
      <w:r>
        <w:rPr>
          <w:rFonts w:hAnsi="宋体"/>
          <w:szCs w:val="21"/>
        </w:rPr>
        <w:t>7</w:t>
      </w:r>
      <w:r>
        <w:rPr>
          <w:rFonts w:hAnsi="宋体"/>
          <w:szCs w:val="21"/>
        </w:rPr>
        <w:t>日</w:t>
      </w:r>
      <w:r w:rsidRPr="004F5BE4">
        <w:rPr>
          <w:rFonts w:hAnsi="宋体"/>
          <w:szCs w:val="21"/>
        </w:rPr>
        <w:t>赎回</w:t>
      </w:r>
      <w:r w:rsidRPr="004F5BE4">
        <w:rPr>
          <w:rFonts w:ascii="宋体" w:hAnsi="宋体" w:hint="eastAsia"/>
          <w:kern w:val="0"/>
          <w:szCs w:val="21"/>
        </w:rPr>
        <w:t>本基金</w:t>
      </w:r>
      <w:r>
        <w:rPr>
          <w:rFonts w:ascii="宋体" w:hAnsi="宋体" w:hint="eastAsia"/>
          <w:kern w:val="0"/>
          <w:szCs w:val="21"/>
        </w:rPr>
        <w:t>基金</w:t>
      </w:r>
      <w:r w:rsidRPr="004F5BE4">
        <w:rPr>
          <w:rFonts w:ascii="宋体" w:hAnsi="宋体" w:hint="eastAsia"/>
          <w:kern w:val="0"/>
          <w:szCs w:val="21"/>
        </w:rPr>
        <w:t>份额</w:t>
      </w:r>
      <w:r>
        <w:rPr>
          <w:rFonts w:ascii="宋体" w:hAnsi="宋体" w:hint="eastAsia"/>
          <w:kern w:val="0"/>
          <w:szCs w:val="21"/>
        </w:rPr>
        <w:t>10万份</w:t>
      </w:r>
      <w:r>
        <w:rPr>
          <w:rFonts w:hAnsi="宋体" w:hint="eastAsia"/>
          <w:szCs w:val="21"/>
        </w:rPr>
        <w:t>，</w:t>
      </w:r>
      <w:r w:rsidRPr="00DD0780">
        <w:rPr>
          <w:rFonts w:ascii="宋体" w:hAnsi="宋体" w:hint="eastAsia"/>
          <w:kern w:val="0"/>
          <w:szCs w:val="21"/>
        </w:rPr>
        <w:t>赎回费率</w:t>
      </w:r>
      <w:r>
        <w:rPr>
          <w:rFonts w:ascii="宋体" w:hAnsi="宋体" w:hint="eastAsia"/>
          <w:kern w:val="0"/>
          <w:szCs w:val="21"/>
        </w:rPr>
        <w:t>1.5</w:t>
      </w:r>
      <w:r w:rsidRPr="00DD0780">
        <w:rPr>
          <w:rFonts w:ascii="宋体" w:hAnsi="宋体" w:hint="eastAsia"/>
          <w:kern w:val="0"/>
          <w:szCs w:val="21"/>
        </w:rPr>
        <w:t>%</w:t>
      </w:r>
      <w:r>
        <w:rPr>
          <w:rFonts w:ascii="宋体" w:hAnsi="宋体" w:hint="eastAsia"/>
          <w:kern w:val="0"/>
          <w:szCs w:val="21"/>
        </w:rPr>
        <w:t>，</w:t>
      </w:r>
      <w:r w:rsidRPr="004F5BE4">
        <w:rPr>
          <w:rFonts w:ascii="宋体" w:hAnsi="宋体" w:hint="eastAsia"/>
          <w:kern w:val="0"/>
          <w:szCs w:val="21"/>
        </w:rPr>
        <w:t>假设赎回当日基金份额净值是</w:t>
      </w:r>
      <w:r w:rsidRPr="004F5BE4">
        <w:rPr>
          <w:rFonts w:ascii="宋体" w:hAnsi="宋体"/>
          <w:kern w:val="0"/>
          <w:szCs w:val="21"/>
        </w:rPr>
        <w:t>1.017</w:t>
      </w:r>
      <w:r w:rsidRPr="004F5BE4">
        <w:rPr>
          <w:rFonts w:ascii="宋体" w:hAnsi="宋体" w:hint="eastAsia"/>
          <w:kern w:val="0"/>
          <w:szCs w:val="21"/>
        </w:rPr>
        <w:t>0元，则其可得到的赎回金额为：</w:t>
      </w:r>
    </w:p>
    <w:p w14:paraId="79D9B2C2" w14:textId="3C24EE46"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赎回费用＝100,000×1.0170×</w:t>
      </w:r>
      <w:r>
        <w:rPr>
          <w:rFonts w:ascii="宋体" w:hAnsi="宋体" w:hint="eastAsia"/>
          <w:kern w:val="0"/>
          <w:szCs w:val="21"/>
        </w:rPr>
        <w:t>1.5</w:t>
      </w:r>
      <w:r w:rsidRPr="00DD0780">
        <w:rPr>
          <w:rFonts w:ascii="宋体" w:hAnsi="宋体" w:hint="eastAsia"/>
          <w:kern w:val="0"/>
          <w:szCs w:val="21"/>
        </w:rPr>
        <w:t>%＝1,5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2FABA587" w14:textId="447A5136"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赎回金额=100,000×1.0170－1,5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0＝10</w:t>
      </w:r>
      <w:r>
        <w:rPr>
          <w:rFonts w:ascii="宋体" w:hAnsi="宋体" w:hint="eastAsia"/>
          <w:kern w:val="0"/>
          <w:szCs w:val="21"/>
        </w:rPr>
        <w:t>0</w:t>
      </w:r>
      <w:r w:rsidRPr="00DD0780">
        <w:rPr>
          <w:rFonts w:ascii="宋体" w:hAnsi="宋体" w:hint="eastAsia"/>
          <w:kern w:val="0"/>
          <w:szCs w:val="21"/>
        </w:rPr>
        <w:t>,</w:t>
      </w:r>
      <w:r>
        <w:rPr>
          <w:rFonts w:ascii="宋体" w:hAnsi="宋体" w:hint="eastAsia"/>
          <w:kern w:val="0"/>
          <w:szCs w:val="21"/>
        </w:rPr>
        <w:t>174</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66F9F8FE" w14:textId="77777777" w:rsidR="002E3EC6" w:rsidRPr="004F5BE4" w:rsidRDefault="002E3EC6" w:rsidP="009B2976">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、基金份额净值的计算</w:t>
      </w:r>
    </w:p>
    <w:p w14:paraId="01042448" w14:textId="254AB152" w:rsidR="001C2B16" w:rsidRPr="004F5BE4" w:rsidRDefault="001C2B16" w:rsidP="001C2B16">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本基金</w:t>
      </w:r>
      <w:r>
        <w:rPr>
          <w:rFonts w:ascii="宋体" w:hAnsi="宋体" w:hint="eastAsia"/>
          <w:kern w:val="0"/>
          <w:szCs w:val="21"/>
        </w:rPr>
        <w:t>基金</w:t>
      </w:r>
      <w:r w:rsidRPr="004F5BE4">
        <w:rPr>
          <w:rFonts w:ascii="宋体" w:hAnsi="宋体" w:hint="eastAsia"/>
          <w:kern w:val="0"/>
          <w:szCs w:val="21"/>
        </w:rPr>
        <w:t>份额净值的计算，保留到小数点后4位，小数点后第5位四舍五入，由此产生的收益或损失由基金财产承担。T日的基金份额净值在当天收市后计算，并在T+1日内</w:t>
      </w:r>
      <w:r>
        <w:rPr>
          <w:rFonts w:ascii="宋体" w:hAnsi="宋体" w:hint="eastAsia"/>
          <w:kern w:val="0"/>
          <w:szCs w:val="21"/>
        </w:rPr>
        <w:t>披露</w:t>
      </w:r>
      <w:r w:rsidRPr="004F5BE4">
        <w:rPr>
          <w:rFonts w:ascii="宋体" w:hAnsi="宋体" w:hint="eastAsia"/>
          <w:kern w:val="0"/>
          <w:szCs w:val="21"/>
        </w:rPr>
        <w:t>。遇特殊情况，经</w:t>
      </w:r>
      <w:r w:rsidRPr="00EA7DAE">
        <w:rPr>
          <w:rFonts w:ascii="宋体" w:hAnsi="宋体" w:hint="eastAsia"/>
          <w:kern w:val="0"/>
          <w:szCs w:val="21"/>
        </w:rPr>
        <w:t>履行适当程序</w:t>
      </w:r>
      <w:r w:rsidRPr="004F5BE4">
        <w:rPr>
          <w:rFonts w:ascii="宋体" w:hAnsi="宋体" w:hint="eastAsia"/>
          <w:kern w:val="0"/>
          <w:szCs w:val="21"/>
        </w:rPr>
        <w:t>，可以适当延迟计算或公告。</w:t>
      </w:r>
    </w:p>
    <w:p w14:paraId="7CC9E01F"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4</w:t>
      </w:r>
      <w:r w:rsidRPr="004F5BE4">
        <w:rPr>
          <w:rFonts w:ascii="宋体" w:hAnsi="宋体" w:hint="eastAsia"/>
          <w:kern w:val="0"/>
          <w:szCs w:val="21"/>
        </w:rPr>
        <w:t>、申购份额、余额的处理方式</w:t>
      </w:r>
    </w:p>
    <w:p w14:paraId="67A80623" w14:textId="60D2BF61"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申购的有效份额为按实际确认的申购金额在扣除相应的费用后，以当日基金份额净值为基准计算。申购涉及金额</w:t>
      </w:r>
      <w:r w:rsidR="00B72C2E">
        <w:rPr>
          <w:rFonts w:ascii="宋体" w:hAnsi="宋体" w:hint="eastAsia"/>
          <w:kern w:val="0"/>
          <w:szCs w:val="21"/>
        </w:rPr>
        <w:t>、</w:t>
      </w:r>
      <w:r w:rsidR="00B72C2E">
        <w:rPr>
          <w:rFonts w:ascii="宋体" w:hAnsi="宋体"/>
          <w:kern w:val="0"/>
          <w:szCs w:val="21"/>
        </w:rPr>
        <w:t>份额</w:t>
      </w:r>
      <w:r w:rsidRPr="004F5BE4">
        <w:rPr>
          <w:rFonts w:ascii="宋体" w:hAnsi="宋体" w:hint="eastAsia"/>
          <w:kern w:val="0"/>
          <w:szCs w:val="21"/>
        </w:rPr>
        <w:t>的计算结果保留到小数点后两位，小数点后两位以后的部分四舍五入，由此产生的收益或损失由基金财产承担。</w:t>
      </w:r>
    </w:p>
    <w:p w14:paraId="340056B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lastRenderedPageBreak/>
        <w:t>5</w:t>
      </w:r>
      <w:r w:rsidRPr="004F5BE4">
        <w:rPr>
          <w:rFonts w:ascii="宋体" w:hAnsi="宋体" w:hint="eastAsia"/>
          <w:kern w:val="0"/>
          <w:szCs w:val="21"/>
        </w:rPr>
        <w:t>、赎回金额的处理方式</w:t>
      </w:r>
    </w:p>
    <w:p w14:paraId="0C0C6B54"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赎回金额为按实际确认的有效赎回份额以当日基金份额净值为基准来计算并扣除相应的费用，计算结果保留到小数点后两位，小数点后两位以后的部分四舍五入，由此产生的收益或损失由基金财产承担。</w:t>
      </w:r>
    </w:p>
    <w:p w14:paraId="08ED8E39" w14:textId="3D814D56" w:rsidR="001C2B16" w:rsidRPr="00DD0780" w:rsidRDefault="001C2B16" w:rsidP="001C2B16">
      <w:pPr>
        <w:adjustRightInd w:val="0"/>
        <w:snapToGrid w:val="0"/>
        <w:spacing w:line="360" w:lineRule="auto"/>
        <w:ind w:firstLineChars="200" w:firstLine="420"/>
        <w:rPr>
          <w:rFonts w:ascii="宋体" w:hAnsi="宋体"/>
          <w:bCs/>
          <w:szCs w:val="21"/>
        </w:rPr>
      </w:pPr>
      <w:r w:rsidRPr="00DD0780">
        <w:rPr>
          <w:rFonts w:ascii="宋体" w:hAnsi="宋体" w:hint="eastAsia"/>
          <w:bCs/>
          <w:szCs w:val="21"/>
        </w:rPr>
        <w:t>6、当</w:t>
      </w:r>
      <w:r w:rsidRPr="00083345">
        <w:rPr>
          <w:rFonts w:ascii="宋体" w:hAnsi="宋体"/>
          <w:bCs/>
          <w:szCs w:val="21"/>
        </w:rPr>
        <w:t>本基金</w:t>
      </w:r>
      <w:r w:rsidRPr="00DD0780">
        <w:rPr>
          <w:rFonts w:ascii="宋体" w:hAnsi="宋体" w:hint="eastAsia"/>
          <w:bCs/>
          <w:szCs w:val="21"/>
        </w:rPr>
        <w:t>发生大额申购或赎回情形时，基金管理人可以采用摆动定价机制，以确保基金估值的公平性</w:t>
      </w:r>
      <w:r>
        <w:rPr>
          <w:rFonts w:ascii="宋体" w:hAnsi="宋体" w:hint="eastAsia"/>
          <w:bCs/>
          <w:szCs w:val="21"/>
        </w:rPr>
        <w:t>。</w:t>
      </w:r>
      <w:r w:rsidRPr="00DD0780">
        <w:rPr>
          <w:rFonts w:ascii="宋体" w:hAnsi="宋体" w:hint="eastAsia"/>
          <w:bCs/>
          <w:szCs w:val="21"/>
        </w:rPr>
        <w:t>具体处理原则与操作规范遵循相关法律法规以及监管部门、自律规则的规定。</w:t>
      </w:r>
    </w:p>
    <w:p w14:paraId="28BB382C" w14:textId="77777777" w:rsidR="002E3EC6" w:rsidRPr="001C2B16" w:rsidRDefault="002E3EC6" w:rsidP="004F5BE4">
      <w:pPr>
        <w:adjustRightInd w:val="0"/>
        <w:snapToGrid w:val="0"/>
        <w:spacing w:line="360" w:lineRule="auto"/>
        <w:ind w:firstLineChars="200" w:firstLine="420"/>
        <w:rPr>
          <w:rFonts w:ascii="宋体" w:hAnsi="宋体"/>
          <w:bCs/>
          <w:szCs w:val="21"/>
        </w:rPr>
      </w:pPr>
    </w:p>
    <w:p w14:paraId="3166C255"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八、申购和赎回的登记</w:t>
      </w:r>
    </w:p>
    <w:p w14:paraId="4E3A0242"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投资人申购基金成功后，基金登记机构在</w:t>
      </w:r>
      <w:r w:rsidRPr="004F5BE4">
        <w:rPr>
          <w:rFonts w:ascii="宋体" w:hAnsi="宋体"/>
          <w:kern w:val="0"/>
          <w:szCs w:val="21"/>
        </w:rPr>
        <w:t>T＋1</w:t>
      </w:r>
      <w:r w:rsidRPr="004F5BE4">
        <w:rPr>
          <w:rFonts w:ascii="宋体" w:hAnsi="宋体" w:hint="eastAsia"/>
          <w:kern w:val="0"/>
          <w:szCs w:val="21"/>
        </w:rPr>
        <w:t>日为投资人登记权益并办理登记手续，投资人</w:t>
      </w:r>
      <w:r w:rsidRPr="004F5BE4">
        <w:rPr>
          <w:rFonts w:ascii="宋体" w:hAnsi="宋体" w:hint="eastAsia"/>
          <w:szCs w:val="21"/>
        </w:rPr>
        <w:t>自T＋2日（含该日）后</w:t>
      </w:r>
      <w:r w:rsidRPr="004F5BE4">
        <w:rPr>
          <w:rFonts w:ascii="宋体" w:hAnsi="宋体" w:hint="eastAsia"/>
          <w:kern w:val="0"/>
          <w:szCs w:val="21"/>
        </w:rPr>
        <w:t>有权赎回该部分基金份额。</w:t>
      </w:r>
    </w:p>
    <w:p w14:paraId="22756D7A"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投资人赎回基金成功后，基金登记机构在</w:t>
      </w:r>
      <w:r w:rsidRPr="004F5BE4">
        <w:rPr>
          <w:rFonts w:ascii="宋体" w:hAnsi="宋体"/>
          <w:kern w:val="0"/>
          <w:szCs w:val="21"/>
        </w:rPr>
        <w:t>T＋1</w:t>
      </w:r>
      <w:r w:rsidRPr="004F5BE4">
        <w:rPr>
          <w:rFonts w:ascii="宋体" w:hAnsi="宋体" w:hint="eastAsia"/>
          <w:kern w:val="0"/>
          <w:szCs w:val="21"/>
        </w:rPr>
        <w:t>日为投资人办理扣除权益的登记手续。</w:t>
      </w:r>
    </w:p>
    <w:p w14:paraId="0DF5B073" w14:textId="3422749A"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kern w:val="0"/>
          <w:szCs w:val="21"/>
        </w:rPr>
        <w:t>登记机构可以在法律法规允许的范围内，对上述登记办理时间进行调整，但不得实质影响投资人的合法权益，并最迟于实施前依照《信息披露办法》的有关规定在</w:t>
      </w:r>
      <w:r w:rsidR="00056975">
        <w:rPr>
          <w:rFonts w:ascii="宋体" w:hAnsi="宋体" w:hint="eastAsia"/>
          <w:kern w:val="0"/>
          <w:szCs w:val="21"/>
        </w:rPr>
        <w:t>规定媒介</w:t>
      </w:r>
      <w:r w:rsidRPr="004F5BE4">
        <w:rPr>
          <w:rFonts w:ascii="宋体" w:hAnsi="宋体" w:hint="eastAsia"/>
          <w:kern w:val="0"/>
          <w:szCs w:val="21"/>
        </w:rPr>
        <w:t>公告。</w:t>
      </w:r>
    </w:p>
    <w:p w14:paraId="257ED810"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0E339EB4" w14:textId="77777777" w:rsidR="009921A7" w:rsidRDefault="009921A7" w:rsidP="009921A7">
      <w:pPr>
        <w:spacing w:line="360" w:lineRule="auto"/>
        <w:ind w:firstLineChars="200" w:firstLine="420"/>
        <w:rPr>
          <w:rFonts w:ascii="宋体"/>
          <w:bCs/>
          <w:szCs w:val="21"/>
        </w:rPr>
      </w:pPr>
      <w:r>
        <w:rPr>
          <w:rFonts w:ascii="宋体" w:hint="eastAsia"/>
          <w:bCs/>
          <w:szCs w:val="21"/>
        </w:rPr>
        <w:t>九、</w:t>
      </w:r>
      <w:r>
        <w:rPr>
          <w:rFonts w:ascii="宋体"/>
          <w:bCs/>
          <w:szCs w:val="21"/>
        </w:rPr>
        <w:t>拒绝或暂停申购的情形</w:t>
      </w:r>
    </w:p>
    <w:p w14:paraId="6D5C1E67"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发生下列情况时，基金管理人可拒绝或暂停接受投资人的申购申请：</w:t>
      </w:r>
    </w:p>
    <w:p w14:paraId="02074C6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因不可抗力导致基金无法正常运作。</w:t>
      </w:r>
    </w:p>
    <w:p w14:paraId="6D0AF657"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2、发生基金合同规定的暂停基金资产估值情况时，基金管理人可暂停接受投资人的申购申请。</w:t>
      </w:r>
    </w:p>
    <w:p w14:paraId="5899492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0B98ADD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接受某笔或某些申购申请可能会影响或损害现有基金份额持有人利益时。</w:t>
      </w:r>
    </w:p>
    <w:p w14:paraId="7B520C4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5、</w:t>
      </w:r>
      <w:r w:rsidRPr="00026720">
        <w:rPr>
          <w:rFonts w:ascii="宋体" w:hAnsi="宋体"/>
          <w:kern w:val="0"/>
          <w:szCs w:val="21"/>
        </w:rPr>
        <w:t>基金资产规模过大，使基金管理人无法找到合适的投资品种，或其他可能对基金业绩产生负面影响，或发生其他损害现有基金份额持有人利益的情形。</w:t>
      </w:r>
    </w:p>
    <w:p w14:paraId="15AE3E0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14:paraId="588EC04D"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7、基金管理人接受某笔或者某些申购申请有可能导致单一投资者持有基金份额的比例达到或者超过50%，或者变相规避50%集中度的情形。</w:t>
      </w:r>
    </w:p>
    <w:p w14:paraId="77742C6D" w14:textId="77777777" w:rsidR="00E0009C"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8、基金管理人、基金托管人、基金销售机构或登记机构因技术故障或异常情况导致基金销售系统、基金登记系统、基金会计系统或证券登记结算系统无法正常运行时。</w:t>
      </w:r>
    </w:p>
    <w:p w14:paraId="3ED9455D" w14:textId="77777777" w:rsidR="00EA7DAE" w:rsidRPr="00026720" w:rsidRDefault="00EA7DAE"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9</w:t>
      </w:r>
      <w:r w:rsidRPr="00026720">
        <w:rPr>
          <w:rFonts w:ascii="宋体" w:hAnsi="宋体" w:hint="eastAsia"/>
          <w:kern w:val="0"/>
          <w:szCs w:val="21"/>
        </w:rPr>
        <w:t>、</w:t>
      </w:r>
      <w:r w:rsidRPr="00F158C8">
        <w:rPr>
          <w:rFonts w:ascii="宋体" w:hAnsi="宋体" w:hint="eastAsia"/>
          <w:kern w:val="0"/>
          <w:szCs w:val="21"/>
        </w:rPr>
        <w:t>港股通额度已满的情况下，基金管理人可暂停接收投资人的申购申请。</w:t>
      </w:r>
    </w:p>
    <w:p w14:paraId="3046CCB0" w14:textId="77777777" w:rsidR="00E0009C" w:rsidRPr="00026720" w:rsidRDefault="00EA7DAE" w:rsidP="00026720">
      <w:pPr>
        <w:adjustRightInd w:val="0"/>
        <w:snapToGrid w:val="0"/>
        <w:spacing w:line="360" w:lineRule="auto"/>
        <w:ind w:firstLineChars="200" w:firstLine="420"/>
        <w:rPr>
          <w:rFonts w:ascii="宋体" w:hAnsi="宋体"/>
          <w:kern w:val="0"/>
          <w:szCs w:val="21"/>
        </w:rPr>
      </w:pPr>
      <w:r>
        <w:rPr>
          <w:rFonts w:ascii="宋体" w:hAnsi="宋体"/>
          <w:kern w:val="0"/>
          <w:szCs w:val="21"/>
        </w:rPr>
        <w:t>10</w:t>
      </w:r>
      <w:r w:rsidR="00E0009C" w:rsidRPr="00026720">
        <w:rPr>
          <w:rFonts w:ascii="宋体" w:hAnsi="宋体" w:hint="eastAsia"/>
          <w:kern w:val="0"/>
          <w:szCs w:val="21"/>
        </w:rPr>
        <w:t>、</w:t>
      </w:r>
      <w:r w:rsidR="00E0009C" w:rsidRPr="00026720">
        <w:rPr>
          <w:rFonts w:ascii="宋体" w:hAnsi="宋体"/>
          <w:kern w:val="0"/>
          <w:szCs w:val="21"/>
        </w:rPr>
        <w:t>法律法规规定或中国证监会认定的其他情形。</w:t>
      </w:r>
    </w:p>
    <w:p w14:paraId="272755DA" w14:textId="37451B9F" w:rsidR="00580D45" w:rsidRDefault="00E0009C" w:rsidP="00580D45">
      <w:pPr>
        <w:spacing w:line="360" w:lineRule="auto"/>
        <w:ind w:firstLineChars="200" w:firstLine="420"/>
        <w:rPr>
          <w:rFonts w:ascii="宋体"/>
          <w:bCs/>
          <w:szCs w:val="21"/>
        </w:rPr>
      </w:pPr>
      <w:r w:rsidRPr="00026720">
        <w:rPr>
          <w:rFonts w:ascii="宋体" w:hAnsi="宋体"/>
          <w:kern w:val="0"/>
          <w:szCs w:val="21"/>
        </w:rPr>
        <w:lastRenderedPageBreak/>
        <w:t>发生上述第1、2、</w:t>
      </w:r>
      <w:r w:rsidRPr="00026720">
        <w:rPr>
          <w:rFonts w:ascii="宋体" w:hAnsi="宋体" w:hint="eastAsia"/>
          <w:kern w:val="0"/>
          <w:szCs w:val="21"/>
        </w:rPr>
        <w:t>3</w:t>
      </w:r>
      <w:r w:rsidRPr="00026720">
        <w:rPr>
          <w:rFonts w:ascii="宋体" w:hAnsi="宋体"/>
          <w:kern w:val="0"/>
          <w:szCs w:val="21"/>
        </w:rPr>
        <w:t>、5</w:t>
      </w:r>
      <w:r w:rsidRPr="00026720">
        <w:rPr>
          <w:rFonts w:ascii="宋体" w:hAnsi="宋体" w:hint="eastAsia"/>
          <w:kern w:val="0"/>
          <w:szCs w:val="21"/>
        </w:rPr>
        <w:t>、6、</w:t>
      </w:r>
      <w:r w:rsidRPr="00026720">
        <w:rPr>
          <w:rFonts w:ascii="宋体" w:hAnsi="宋体"/>
          <w:kern w:val="0"/>
          <w:szCs w:val="21"/>
        </w:rPr>
        <w:t>8</w:t>
      </w:r>
      <w:r w:rsidRPr="00026720">
        <w:rPr>
          <w:rFonts w:ascii="宋体" w:hAnsi="宋体" w:hint="eastAsia"/>
          <w:kern w:val="0"/>
          <w:szCs w:val="21"/>
        </w:rPr>
        <w:t>、9</w:t>
      </w:r>
      <w:r w:rsidR="00EA7DAE">
        <w:rPr>
          <w:rFonts w:ascii="宋体" w:hAnsi="宋体" w:hint="eastAsia"/>
          <w:kern w:val="0"/>
          <w:szCs w:val="21"/>
        </w:rPr>
        <w:t>、</w:t>
      </w:r>
      <w:r w:rsidR="00EA7DAE">
        <w:rPr>
          <w:rFonts w:ascii="宋体" w:hAnsi="宋体"/>
          <w:kern w:val="0"/>
          <w:szCs w:val="21"/>
        </w:rPr>
        <w:t>10</w:t>
      </w:r>
      <w:r w:rsidRPr="00026720">
        <w:rPr>
          <w:rFonts w:ascii="宋体" w:hAnsi="宋体"/>
          <w:kern w:val="0"/>
          <w:szCs w:val="21"/>
        </w:rPr>
        <w:t>项暂停申购情形之一且基金管理人决定暂停接受投资人申购申请时，基金管理人应当根据有关规定在</w:t>
      </w:r>
      <w:r w:rsidR="00056975">
        <w:rPr>
          <w:rFonts w:ascii="宋体" w:hAnsi="宋体"/>
          <w:kern w:val="0"/>
          <w:szCs w:val="21"/>
        </w:rPr>
        <w:t>规定媒介</w:t>
      </w:r>
      <w:r w:rsidRPr="00026720">
        <w:rPr>
          <w:rFonts w:ascii="宋体" w:hAnsi="宋体"/>
          <w:kern w:val="0"/>
          <w:szCs w:val="21"/>
        </w:rPr>
        <w:t>上刊登暂停申购公告。</w:t>
      </w:r>
      <w:r w:rsidRPr="00026720">
        <w:rPr>
          <w:rFonts w:ascii="宋体" w:hAnsi="宋体" w:hint="eastAsia"/>
          <w:kern w:val="0"/>
          <w:szCs w:val="21"/>
        </w:rPr>
        <w:t>当发生上述第</w:t>
      </w:r>
      <w:r w:rsidRPr="00026720">
        <w:rPr>
          <w:rFonts w:ascii="宋体" w:hAnsi="宋体"/>
          <w:kern w:val="0"/>
          <w:szCs w:val="21"/>
        </w:rPr>
        <w:t>7</w:t>
      </w:r>
      <w:r w:rsidRPr="00026720">
        <w:rPr>
          <w:rFonts w:ascii="宋体" w:hAnsi="宋体" w:hint="eastAsia"/>
          <w:kern w:val="0"/>
          <w:szCs w:val="21"/>
        </w:rPr>
        <w:t>项情形时，基金管理人可以采取比例确认等方式对该投资人的申购申请进行限制，基金管理人有权拒绝该等全部或者部分申购申请。</w:t>
      </w:r>
      <w:r w:rsidRPr="00026720">
        <w:rPr>
          <w:rFonts w:ascii="宋体" w:hAnsi="宋体"/>
          <w:kern w:val="0"/>
          <w:szCs w:val="21"/>
        </w:rPr>
        <w:t>如果投资人的申购申请被拒绝，被拒绝的申购款项将退还给投资人。在暂停申购的情况消除时，基金管理人应及时恢复申购业务的办理。</w:t>
      </w:r>
    </w:p>
    <w:p w14:paraId="2B1564D6" w14:textId="77777777" w:rsidR="009921A7" w:rsidRDefault="009921A7" w:rsidP="009921A7">
      <w:pPr>
        <w:spacing w:line="360" w:lineRule="auto"/>
        <w:ind w:firstLineChars="200" w:firstLine="420"/>
        <w:rPr>
          <w:rFonts w:ascii="宋体"/>
          <w:bCs/>
          <w:szCs w:val="21"/>
        </w:rPr>
      </w:pPr>
    </w:p>
    <w:p w14:paraId="6ECA3B02" w14:textId="77777777" w:rsidR="009921A7" w:rsidRDefault="009921A7" w:rsidP="009921A7">
      <w:pPr>
        <w:spacing w:line="360" w:lineRule="auto"/>
        <w:ind w:firstLineChars="200" w:firstLine="420"/>
        <w:rPr>
          <w:rFonts w:ascii="宋体"/>
          <w:bCs/>
          <w:szCs w:val="21"/>
        </w:rPr>
      </w:pPr>
      <w:r>
        <w:rPr>
          <w:rFonts w:ascii="宋体" w:hint="eastAsia"/>
          <w:bCs/>
          <w:szCs w:val="21"/>
        </w:rPr>
        <w:t>十、</w:t>
      </w:r>
      <w:r>
        <w:rPr>
          <w:rFonts w:ascii="宋体"/>
          <w:bCs/>
          <w:szCs w:val="21"/>
        </w:rPr>
        <w:t>暂停赎回或延缓支付赎回款项的情形</w:t>
      </w:r>
    </w:p>
    <w:p w14:paraId="5F46B0B0"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发生下列情形时，基金管理人可暂停接受投资人的赎回申请或延缓支付赎回款项：</w:t>
      </w:r>
    </w:p>
    <w:p w14:paraId="35F53E9C"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因不可抗力导致基金管理人不能支付赎回款项。</w:t>
      </w:r>
    </w:p>
    <w:p w14:paraId="1C6FA504"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2、发生基金合同规定的暂停基金资产估值情况时，基金管理人可暂停接受投资人的赎回申请或延缓支付赎回款项。</w:t>
      </w:r>
    </w:p>
    <w:p w14:paraId="021A42B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447E9CDB"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连续两个或两个以上开放日发生巨额赎回。</w:t>
      </w:r>
    </w:p>
    <w:p w14:paraId="48545BBF"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5、发生继续接受赎回申请将损害现有基金份额持有人利益的情形时，基金管理人可暂停接受基金份额持有人的赎回申请。</w:t>
      </w:r>
    </w:p>
    <w:p w14:paraId="6750853A"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1713EFEB"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w:t>
      </w:r>
      <w:r w:rsidRPr="00026720">
        <w:rPr>
          <w:rFonts w:ascii="宋体" w:hAnsi="宋体"/>
          <w:kern w:val="0"/>
          <w:szCs w:val="21"/>
        </w:rPr>
        <w:t>法律法规规定或中国证监会认定的其他情形。</w:t>
      </w:r>
    </w:p>
    <w:p w14:paraId="72E7C8C9" w14:textId="370DD524" w:rsidR="009921A7" w:rsidRDefault="00E0009C" w:rsidP="009921A7">
      <w:pPr>
        <w:spacing w:line="360" w:lineRule="auto"/>
        <w:ind w:firstLineChars="200" w:firstLine="420"/>
        <w:rPr>
          <w:rFonts w:ascii="宋体" w:hAnsi="宋体"/>
          <w:kern w:val="0"/>
          <w:szCs w:val="21"/>
        </w:rPr>
      </w:pPr>
      <w:r w:rsidRPr="00026720">
        <w:rPr>
          <w:rFonts w:ascii="宋体" w:hAnsi="宋体"/>
          <w:kern w:val="0"/>
          <w:szCs w:val="21"/>
        </w:rPr>
        <w:t>发生上述情形之一且基金管理人决定暂停赎回或延缓支付赎回款项时，基金管理人应</w:t>
      </w:r>
      <w:r w:rsidR="00762769">
        <w:rPr>
          <w:rFonts w:ascii="宋体" w:hAnsi="宋体" w:hint="eastAsia"/>
          <w:kern w:val="0"/>
          <w:szCs w:val="21"/>
        </w:rPr>
        <w:t>及时</w:t>
      </w:r>
      <w:r w:rsidRPr="00026720">
        <w:rPr>
          <w:rFonts w:ascii="宋体" w:hAnsi="宋体"/>
          <w:kern w:val="0"/>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026720">
        <w:rPr>
          <w:rFonts w:ascii="宋体" w:hAnsi="宋体" w:hint="eastAsia"/>
          <w:kern w:val="0"/>
          <w:szCs w:val="21"/>
        </w:rPr>
        <w:t>4</w:t>
      </w:r>
      <w:r w:rsidRPr="00026720">
        <w:rPr>
          <w:rFonts w:ascii="宋体" w:hAnsi="宋体"/>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410EAC9F" w14:textId="77777777" w:rsidR="00E66041" w:rsidRDefault="00E66041" w:rsidP="009921A7">
      <w:pPr>
        <w:spacing w:line="360" w:lineRule="auto"/>
        <w:ind w:firstLineChars="200" w:firstLine="420"/>
        <w:rPr>
          <w:rFonts w:ascii="宋体"/>
          <w:bCs/>
          <w:szCs w:val="21"/>
        </w:rPr>
      </w:pPr>
    </w:p>
    <w:p w14:paraId="6B01354A" w14:textId="77777777" w:rsidR="009921A7" w:rsidRDefault="009921A7" w:rsidP="009921A7">
      <w:pPr>
        <w:spacing w:line="360" w:lineRule="auto"/>
        <w:ind w:firstLineChars="200" w:firstLine="420"/>
        <w:rPr>
          <w:rFonts w:ascii="宋体"/>
          <w:bCs/>
          <w:szCs w:val="21"/>
        </w:rPr>
      </w:pPr>
      <w:r>
        <w:rPr>
          <w:rFonts w:ascii="宋体" w:hint="eastAsia"/>
          <w:bCs/>
          <w:szCs w:val="21"/>
        </w:rPr>
        <w:t>十一、</w:t>
      </w:r>
      <w:r>
        <w:rPr>
          <w:rFonts w:ascii="宋体"/>
          <w:bCs/>
          <w:szCs w:val="21"/>
        </w:rPr>
        <w:t>巨额赎回的情形及处理方式</w:t>
      </w:r>
    </w:p>
    <w:p w14:paraId="28663672"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巨额赎回的认定</w:t>
      </w:r>
    </w:p>
    <w:p w14:paraId="74436FE1"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若本基金单个开放日内的基金份额净赎回申请(赎回申请份额总数加上基金转换中转出申请份额总数后扣除申购申请份额总数及基金转换中转入申请份额总数后的余额)超过前一</w:t>
      </w:r>
      <w:r w:rsidRPr="00026720">
        <w:rPr>
          <w:rFonts w:ascii="宋体" w:hAnsi="宋体"/>
          <w:kern w:val="0"/>
          <w:szCs w:val="21"/>
        </w:rPr>
        <w:lastRenderedPageBreak/>
        <w:t>开放日的基金总份额的10</w:t>
      </w:r>
      <w:r w:rsidRPr="00026720">
        <w:rPr>
          <w:rFonts w:ascii="宋体" w:hAnsi="宋体" w:hint="eastAsia"/>
          <w:kern w:val="0"/>
          <w:szCs w:val="21"/>
        </w:rPr>
        <w:t>%</w:t>
      </w:r>
      <w:r w:rsidRPr="00026720">
        <w:rPr>
          <w:rFonts w:ascii="宋体" w:hAnsi="宋体"/>
          <w:kern w:val="0"/>
          <w:szCs w:val="21"/>
        </w:rPr>
        <w:t>，即认为是发生了巨额赎回。</w:t>
      </w:r>
    </w:p>
    <w:p w14:paraId="5A27FAFB"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2</w:t>
      </w:r>
      <w:r w:rsidRPr="00026720">
        <w:rPr>
          <w:rFonts w:ascii="宋体" w:hAnsi="宋体" w:hint="eastAsia"/>
          <w:kern w:val="0"/>
          <w:szCs w:val="21"/>
        </w:rPr>
        <w:t>、</w:t>
      </w:r>
      <w:r w:rsidRPr="00026720">
        <w:rPr>
          <w:rFonts w:ascii="宋体" w:hAnsi="宋体"/>
          <w:kern w:val="0"/>
          <w:szCs w:val="21"/>
        </w:rPr>
        <w:t>巨额赎回的处理方式</w:t>
      </w:r>
    </w:p>
    <w:p w14:paraId="4AD44CEB"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当基金出现巨额赎回时，基金管理人可以根据基金当时的资产组合状况决定全额赎回或部分延期赎回。</w:t>
      </w:r>
    </w:p>
    <w:p w14:paraId="4D97B620"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（1）全额赎回：当基金管理人认为有能力支付投资人的全部赎回申请时，按正常赎回程序执行。</w:t>
      </w:r>
    </w:p>
    <w:p w14:paraId="5032D2E6" w14:textId="77777777" w:rsidR="00363FA9" w:rsidRPr="00026720" w:rsidRDefault="00363FA9" w:rsidP="00F363D8">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2</w:t>
      </w:r>
      <w:r w:rsidRPr="00026720">
        <w:rPr>
          <w:rFonts w:ascii="宋体" w:hAnsi="宋体"/>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26720">
        <w:rPr>
          <w:rFonts w:ascii="宋体" w:hAnsi="宋体" w:hint="eastAsia"/>
          <w:kern w:val="0"/>
          <w:szCs w:val="21"/>
        </w:rPr>
        <w:t>10%</w:t>
      </w:r>
      <w:r w:rsidRPr="00026720">
        <w:rPr>
          <w:rFonts w:ascii="宋体" w:hAnsi="宋体"/>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8D1A343"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（3）如发生单个开放日内单个基金份额持有人申请赎回的基金份额超过前一开放日的基金总份额的30%时，本基金管理人对该单个基金份额</w:t>
      </w:r>
      <w:r w:rsidRPr="00026720">
        <w:rPr>
          <w:rFonts w:ascii="宋体" w:hAnsi="宋体" w:hint="eastAsia"/>
          <w:kern w:val="0"/>
          <w:szCs w:val="21"/>
        </w:rPr>
        <w:t>持有人</w:t>
      </w:r>
      <w:r w:rsidRPr="00026720">
        <w:rPr>
          <w:rFonts w:ascii="宋体" w:hAnsi="宋体"/>
          <w:kern w:val="0"/>
          <w:szCs w:val="21"/>
        </w:rPr>
        <w:t>持有的赎回申请实施</w:t>
      </w:r>
      <w:r w:rsidRPr="00026720">
        <w:rPr>
          <w:rFonts w:ascii="宋体" w:hAnsi="宋体" w:hint="eastAsia"/>
          <w:kern w:val="0"/>
          <w:szCs w:val="21"/>
        </w:rPr>
        <w:t>延期办理</w:t>
      </w:r>
      <w:r w:rsidRPr="00026720">
        <w:rPr>
          <w:rFonts w:ascii="宋体" w:hAnsi="宋体"/>
          <w:kern w:val="0"/>
          <w:szCs w:val="21"/>
        </w:rPr>
        <w:t>。</w:t>
      </w:r>
      <w:r w:rsidRPr="00026720">
        <w:rPr>
          <w:rFonts w:ascii="宋体" w:hAnsi="宋体" w:hint="eastAsia"/>
          <w:kern w:val="0"/>
          <w:szCs w:val="21"/>
        </w:rPr>
        <w:t>对于其超过基金总份额</w:t>
      </w:r>
      <w:r w:rsidRPr="00026720">
        <w:rPr>
          <w:rFonts w:ascii="宋体" w:hAnsi="宋体"/>
          <w:kern w:val="0"/>
          <w:szCs w:val="21"/>
        </w:rPr>
        <w:t>3</w:t>
      </w:r>
      <w:r w:rsidRPr="00026720">
        <w:rPr>
          <w:rFonts w:ascii="宋体" w:hAnsi="宋体" w:hint="eastAsia"/>
          <w:kern w:val="0"/>
          <w:szCs w:val="21"/>
        </w:rPr>
        <w:t>0%以上部分的赎回申请与下一开放日赎回申请一并处理，无优先权并以下一开放日的基金份额净值为基础计算赎回金额，以此类推，直到全部赎回为止</w:t>
      </w:r>
      <w:r w:rsidR="00E23AA9">
        <w:rPr>
          <w:rFonts w:ascii="宋体" w:hAnsi="宋体" w:hint="eastAsia"/>
          <w:kern w:val="0"/>
          <w:szCs w:val="21"/>
        </w:rPr>
        <w:t>。对于</w:t>
      </w:r>
      <w:r w:rsidRPr="00026720">
        <w:rPr>
          <w:rFonts w:ascii="宋体" w:hAnsi="宋体" w:hint="eastAsia"/>
          <w:kern w:val="0"/>
          <w:szCs w:val="21"/>
        </w:rPr>
        <w:t>其</w:t>
      </w:r>
      <w:r w:rsidR="00E23AA9">
        <w:rPr>
          <w:rFonts w:ascii="宋体" w:hAnsi="宋体" w:hint="eastAsia"/>
          <w:kern w:val="0"/>
          <w:szCs w:val="21"/>
        </w:rPr>
        <w:t>不超过</w:t>
      </w:r>
      <w:r w:rsidRPr="00026720">
        <w:rPr>
          <w:rFonts w:ascii="宋体" w:hAnsi="宋体" w:hint="eastAsia"/>
          <w:kern w:val="0"/>
          <w:szCs w:val="21"/>
        </w:rPr>
        <w:t>基金总份额</w:t>
      </w:r>
      <w:r w:rsidRPr="00026720">
        <w:rPr>
          <w:rFonts w:ascii="宋体" w:hAnsi="宋体"/>
          <w:kern w:val="0"/>
          <w:szCs w:val="21"/>
        </w:rPr>
        <w:t>3</w:t>
      </w:r>
      <w:r w:rsidRPr="00026720">
        <w:rPr>
          <w:rFonts w:ascii="宋体" w:hAnsi="宋体" w:hint="eastAsia"/>
          <w:kern w:val="0"/>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D7115C9" w14:textId="79E29FC4"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4</w:t>
      </w:r>
      <w:r w:rsidRPr="00026720">
        <w:rPr>
          <w:rFonts w:ascii="宋体" w:hAnsi="宋体"/>
          <w:kern w:val="0"/>
          <w:szCs w:val="21"/>
        </w:rPr>
        <w:t>）暂停赎回：连续2</w:t>
      </w:r>
      <w:r w:rsidRPr="00026720">
        <w:rPr>
          <w:rFonts w:ascii="宋体" w:hAnsi="宋体" w:hint="eastAsia"/>
          <w:kern w:val="0"/>
          <w:szCs w:val="21"/>
        </w:rPr>
        <w:t>个开放</w:t>
      </w:r>
      <w:r w:rsidRPr="00026720">
        <w:rPr>
          <w:rFonts w:ascii="宋体" w:hAnsi="宋体"/>
          <w:kern w:val="0"/>
          <w:szCs w:val="21"/>
        </w:rPr>
        <w:t>日以上(含本数)发生巨额赎回，如基金管理人认为有必要，可暂停接受基金的赎回申请；已经接受的赎回申请可以延缓支付赎回款项，但不得超过20个工作日，并应当在</w:t>
      </w:r>
      <w:r w:rsidR="00056975">
        <w:rPr>
          <w:rFonts w:ascii="宋体" w:hAnsi="宋体"/>
          <w:kern w:val="0"/>
          <w:szCs w:val="21"/>
        </w:rPr>
        <w:t>规定媒介</w:t>
      </w:r>
      <w:r w:rsidRPr="00026720">
        <w:rPr>
          <w:rFonts w:ascii="宋体" w:hAnsi="宋体"/>
          <w:kern w:val="0"/>
          <w:szCs w:val="21"/>
        </w:rPr>
        <w:t>上进行公告。</w:t>
      </w:r>
    </w:p>
    <w:p w14:paraId="665D8EB1"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w:t>
      </w:r>
      <w:r w:rsidRPr="00026720">
        <w:rPr>
          <w:rFonts w:ascii="宋体" w:hAnsi="宋体" w:hint="eastAsia"/>
          <w:kern w:val="0"/>
          <w:szCs w:val="21"/>
        </w:rPr>
        <w:t>、</w:t>
      </w:r>
      <w:r w:rsidRPr="00026720">
        <w:rPr>
          <w:rFonts w:ascii="宋体" w:hAnsi="宋体"/>
          <w:kern w:val="0"/>
          <w:szCs w:val="21"/>
        </w:rPr>
        <w:t>巨额赎回的公告</w:t>
      </w:r>
    </w:p>
    <w:p w14:paraId="2E3811DD" w14:textId="061828B4" w:rsidR="00580D45" w:rsidRDefault="00363FA9" w:rsidP="00580D45">
      <w:pPr>
        <w:spacing w:line="360" w:lineRule="auto"/>
        <w:ind w:firstLineChars="200" w:firstLine="420"/>
        <w:rPr>
          <w:rFonts w:ascii="宋体"/>
          <w:bCs/>
          <w:szCs w:val="21"/>
        </w:rPr>
      </w:pPr>
      <w:r w:rsidRPr="00026720">
        <w:rPr>
          <w:rFonts w:ascii="宋体" w:hAnsi="宋体"/>
          <w:kern w:val="0"/>
          <w:szCs w:val="21"/>
        </w:rPr>
        <w:t>当发生上述</w:t>
      </w:r>
      <w:r w:rsidRPr="00026720">
        <w:rPr>
          <w:rFonts w:ascii="宋体" w:hAnsi="宋体" w:hint="eastAsia"/>
          <w:kern w:val="0"/>
          <w:szCs w:val="21"/>
        </w:rPr>
        <w:t>巨额</w:t>
      </w:r>
      <w:r w:rsidRPr="00026720">
        <w:rPr>
          <w:rFonts w:ascii="宋体" w:hAnsi="宋体"/>
          <w:kern w:val="0"/>
          <w:szCs w:val="21"/>
        </w:rPr>
        <w:t>赎回并延期办理时，基金管理人应当通过邮寄、传真</w:t>
      </w:r>
      <w:r w:rsidR="00EA7DAE">
        <w:rPr>
          <w:rFonts w:ascii="宋体" w:hAnsi="宋体" w:hint="eastAsia"/>
          <w:kern w:val="0"/>
          <w:szCs w:val="21"/>
        </w:rPr>
        <w:t>、</w:t>
      </w:r>
      <w:r w:rsidR="00EA7DAE">
        <w:rPr>
          <w:rFonts w:ascii="宋体" w:hAnsi="宋体"/>
          <w:kern w:val="0"/>
          <w:szCs w:val="21"/>
        </w:rPr>
        <w:t>公告或通过销售机构告知等</w:t>
      </w:r>
      <w:r w:rsidRPr="00026720">
        <w:rPr>
          <w:rFonts w:ascii="宋体" w:hAnsi="宋体"/>
          <w:kern w:val="0"/>
          <w:szCs w:val="21"/>
        </w:rPr>
        <w:t>方式在</w:t>
      </w:r>
      <w:r w:rsidRPr="00026720">
        <w:rPr>
          <w:rFonts w:ascii="宋体" w:hAnsi="宋体" w:hint="eastAsia"/>
          <w:kern w:val="0"/>
          <w:szCs w:val="21"/>
        </w:rPr>
        <w:t>3</w:t>
      </w:r>
      <w:r w:rsidRPr="00026720">
        <w:rPr>
          <w:rFonts w:ascii="宋体" w:hAnsi="宋体"/>
          <w:kern w:val="0"/>
          <w:szCs w:val="21"/>
        </w:rPr>
        <w:t>个交易日内通知基金份额持有人，</w:t>
      </w:r>
      <w:r w:rsidR="00747307">
        <w:rPr>
          <w:rFonts w:ascii="宋体" w:hAnsi="宋体"/>
          <w:kern w:val="0"/>
          <w:szCs w:val="21"/>
        </w:rPr>
        <w:t>说明有关处理方法，并在两日内在</w:t>
      </w:r>
      <w:r w:rsidR="00056975">
        <w:rPr>
          <w:rFonts w:ascii="宋体" w:hAnsi="宋体"/>
          <w:kern w:val="0"/>
          <w:szCs w:val="21"/>
        </w:rPr>
        <w:t>规定媒介</w:t>
      </w:r>
      <w:r w:rsidR="00747307">
        <w:rPr>
          <w:rFonts w:ascii="宋体" w:hAnsi="宋体"/>
          <w:kern w:val="0"/>
          <w:szCs w:val="21"/>
        </w:rPr>
        <w:t>上刊登公告</w:t>
      </w:r>
      <w:r w:rsidRPr="00026720">
        <w:rPr>
          <w:rFonts w:ascii="宋体" w:hAnsi="宋体"/>
          <w:kern w:val="0"/>
          <w:szCs w:val="21"/>
        </w:rPr>
        <w:t>。</w:t>
      </w:r>
    </w:p>
    <w:p w14:paraId="381224E6" w14:textId="77777777" w:rsidR="009921A7" w:rsidRDefault="009921A7" w:rsidP="009921A7">
      <w:pPr>
        <w:spacing w:line="360" w:lineRule="auto"/>
        <w:ind w:firstLineChars="200" w:firstLine="420"/>
        <w:rPr>
          <w:rFonts w:ascii="宋体"/>
          <w:bCs/>
          <w:szCs w:val="21"/>
        </w:rPr>
      </w:pPr>
    </w:p>
    <w:p w14:paraId="2B1E6EB0" w14:textId="77777777" w:rsidR="009921A7" w:rsidRDefault="009921A7" w:rsidP="009921A7">
      <w:pPr>
        <w:spacing w:line="360" w:lineRule="auto"/>
        <w:ind w:firstLineChars="200" w:firstLine="420"/>
        <w:rPr>
          <w:rFonts w:ascii="宋体"/>
          <w:bCs/>
          <w:szCs w:val="21"/>
        </w:rPr>
      </w:pPr>
      <w:r>
        <w:rPr>
          <w:rFonts w:ascii="宋体" w:hint="eastAsia"/>
          <w:bCs/>
          <w:szCs w:val="21"/>
        </w:rPr>
        <w:t>十二、</w:t>
      </w:r>
      <w:r>
        <w:rPr>
          <w:rFonts w:ascii="宋体"/>
          <w:bCs/>
          <w:szCs w:val="21"/>
        </w:rPr>
        <w:t>暂停申购或赎回的公告和重新开放申购或赎回的公告</w:t>
      </w:r>
    </w:p>
    <w:p w14:paraId="49891554" w14:textId="67DE36AA"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lastRenderedPageBreak/>
        <w:t>1</w:t>
      </w:r>
      <w:r w:rsidRPr="00026720">
        <w:rPr>
          <w:rFonts w:ascii="宋体" w:hAnsi="宋体" w:hint="eastAsia"/>
          <w:kern w:val="0"/>
          <w:szCs w:val="21"/>
        </w:rPr>
        <w:t>、</w:t>
      </w:r>
      <w:r w:rsidRPr="00026720">
        <w:rPr>
          <w:rFonts w:ascii="宋体" w:hAnsi="宋体"/>
          <w:kern w:val="0"/>
          <w:szCs w:val="21"/>
        </w:rPr>
        <w:t>发生上述暂停申购或赎回情况的，</w:t>
      </w:r>
      <w:r w:rsidR="00747307">
        <w:rPr>
          <w:rFonts w:ascii="宋体" w:hAnsi="宋体"/>
          <w:kern w:val="0"/>
          <w:szCs w:val="21"/>
        </w:rPr>
        <w:t>基金管理人应在规定期限内在</w:t>
      </w:r>
      <w:r w:rsidR="00056975">
        <w:rPr>
          <w:rFonts w:ascii="宋体" w:hAnsi="宋体"/>
          <w:kern w:val="0"/>
          <w:szCs w:val="21"/>
        </w:rPr>
        <w:t>规定媒介</w:t>
      </w:r>
      <w:r w:rsidR="00747307">
        <w:rPr>
          <w:rFonts w:ascii="宋体" w:hAnsi="宋体"/>
          <w:kern w:val="0"/>
          <w:szCs w:val="21"/>
        </w:rPr>
        <w:t>上刊登暂停公告</w:t>
      </w:r>
      <w:r w:rsidRPr="00026720">
        <w:rPr>
          <w:rFonts w:ascii="宋体" w:hAnsi="宋体"/>
          <w:kern w:val="0"/>
          <w:szCs w:val="21"/>
        </w:rPr>
        <w:t>。</w:t>
      </w:r>
    </w:p>
    <w:p w14:paraId="2B04049E" w14:textId="52E3F737" w:rsidR="00580D45" w:rsidRDefault="00363FA9" w:rsidP="00580D45">
      <w:pPr>
        <w:spacing w:line="360" w:lineRule="auto"/>
        <w:ind w:firstLineChars="200" w:firstLine="420"/>
        <w:rPr>
          <w:rFonts w:ascii="宋体"/>
          <w:bCs/>
          <w:szCs w:val="21"/>
        </w:rPr>
      </w:pPr>
      <w:r w:rsidRPr="00026720">
        <w:rPr>
          <w:rFonts w:ascii="宋体" w:hAnsi="宋体"/>
          <w:kern w:val="0"/>
          <w:szCs w:val="21"/>
        </w:rPr>
        <w:t>2</w:t>
      </w:r>
      <w:r w:rsidRPr="00026720">
        <w:rPr>
          <w:rFonts w:ascii="宋体" w:hAnsi="宋体" w:hint="eastAsia"/>
          <w:kern w:val="0"/>
          <w:szCs w:val="21"/>
        </w:rPr>
        <w:t>、基金管理人可以根据暂停申购或赎回的时间，依照《信息披露办法》的有关规定，最迟于重新开放日在</w:t>
      </w:r>
      <w:r w:rsidR="00056975">
        <w:rPr>
          <w:rFonts w:ascii="宋体" w:hAnsi="宋体" w:hint="eastAsia"/>
          <w:kern w:val="0"/>
          <w:szCs w:val="21"/>
        </w:rPr>
        <w:t>规定媒介</w:t>
      </w:r>
      <w:r w:rsidRPr="00026720">
        <w:rPr>
          <w:rFonts w:ascii="宋体" w:hAnsi="宋体" w:hint="eastAsia"/>
          <w:kern w:val="0"/>
          <w:szCs w:val="21"/>
        </w:rPr>
        <w:t>上刊登重新开放申购或赎回的公告；也可以根据实际情况在暂停公告中明确重新开放申购或赎回的时间，届时不再另行发布重新开放的公告。</w:t>
      </w:r>
    </w:p>
    <w:p w14:paraId="5431F7B7" w14:textId="77777777" w:rsidR="009921A7" w:rsidRDefault="009921A7" w:rsidP="009921A7">
      <w:pPr>
        <w:spacing w:line="360" w:lineRule="auto"/>
        <w:ind w:firstLineChars="200" w:firstLine="420"/>
        <w:rPr>
          <w:rFonts w:ascii="宋体"/>
          <w:bCs/>
          <w:szCs w:val="21"/>
        </w:rPr>
      </w:pPr>
    </w:p>
    <w:p w14:paraId="1BF90AEA"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三、</w:t>
      </w:r>
      <w:r>
        <w:rPr>
          <w:rFonts w:ascii="宋体"/>
          <w:bCs/>
          <w:szCs w:val="21"/>
        </w:rPr>
        <w:t>基金转换</w:t>
      </w:r>
    </w:p>
    <w:p w14:paraId="3C2467E8"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基金管理人可以根据相关法律法规以及基金合同的规定决定开办本基金与基金管理人管理的其他基金</w:t>
      </w:r>
      <w:r w:rsidRPr="00026720">
        <w:rPr>
          <w:rFonts w:ascii="宋体" w:hAnsi="宋体" w:hint="eastAsia"/>
          <w:kern w:val="0"/>
          <w:szCs w:val="21"/>
        </w:rPr>
        <w:t>份额</w:t>
      </w:r>
      <w:r w:rsidRPr="00026720">
        <w:rPr>
          <w:rFonts w:ascii="宋体" w:hAnsi="宋体"/>
          <w:kern w:val="0"/>
          <w:szCs w:val="21"/>
        </w:rPr>
        <w:t>之间的转换业务，基金转换可以收取一定的转换费，相关规则由基金管理人届时根据相关法律法规及基金合同的规定制定并公告，并提前告知基金托管人与相关机构。</w:t>
      </w:r>
    </w:p>
    <w:p w14:paraId="5BB31243" w14:textId="77777777" w:rsidR="009921A7" w:rsidRDefault="009921A7" w:rsidP="009921A7">
      <w:pPr>
        <w:spacing w:line="360" w:lineRule="auto"/>
        <w:ind w:firstLineChars="200" w:firstLine="420"/>
        <w:rPr>
          <w:rFonts w:ascii="宋体"/>
          <w:bCs/>
          <w:szCs w:val="21"/>
        </w:rPr>
      </w:pPr>
    </w:p>
    <w:p w14:paraId="7FD06C27"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四、</w:t>
      </w:r>
      <w:r>
        <w:rPr>
          <w:rFonts w:ascii="宋体"/>
          <w:bCs/>
          <w:szCs w:val="21"/>
        </w:rPr>
        <w:t>基金的非交易过户</w:t>
      </w:r>
    </w:p>
    <w:p w14:paraId="79D20FDF"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基金的非交易过户是指基金登记机构受理继承、捐赠和司法强制执行</w:t>
      </w:r>
      <w:r w:rsidRPr="00026720">
        <w:rPr>
          <w:rFonts w:ascii="宋体" w:hAnsi="宋体" w:hint="eastAsia"/>
          <w:kern w:val="0"/>
          <w:szCs w:val="21"/>
        </w:rPr>
        <w:t>等情形</w:t>
      </w:r>
      <w:r w:rsidRPr="00026720">
        <w:rPr>
          <w:rFonts w:ascii="宋体" w:hAnsi="宋体"/>
          <w:kern w:val="0"/>
          <w:szCs w:val="21"/>
        </w:rPr>
        <w:t>而产生的非交易过户以及登记机构认可、符合法律法规的其它非交易过户。无论在上述何种情况下，接受划转的主体必须是依法可以持有本基金基金份额的投资人。</w:t>
      </w:r>
    </w:p>
    <w:p w14:paraId="0AB7DA06" w14:textId="77777777" w:rsidR="00580D45" w:rsidRDefault="00363FA9" w:rsidP="00580D45">
      <w:pPr>
        <w:spacing w:line="360" w:lineRule="auto"/>
        <w:ind w:firstLineChars="200" w:firstLine="420"/>
        <w:rPr>
          <w:rFonts w:ascii="宋体"/>
          <w:szCs w:val="21"/>
        </w:rPr>
      </w:pPr>
      <w:r w:rsidRPr="00026720">
        <w:rPr>
          <w:rFonts w:ascii="宋体" w:hAnsi="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A33BCF8" w14:textId="77777777" w:rsidR="009921A7" w:rsidRDefault="009921A7" w:rsidP="009921A7">
      <w:pPr>
        <w:spacing w:line="360" w:lineRule="auto"/>
        <w:ind w:firstLineChars="200" w:firstLine="420"/>
        <w:rPr>
          <w:rFonts w:ascii="宋体"/>
          <w:bCs/>
          <w:szCs w:val="21"/>
        </w:rPr>
      </w:pPr>
    </w:p>
    <w:p w14:paraId="3DE5570D"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五、</w:t>
      </w:r>
      <w:r>
        <w:rPr>
          <w:rFonts w:ascii="宋体"/>
          <w:bCs/>
          <w:szCs w:val="21"/>
        </w:rPr>
        <w:t>基金的转托管</w:t>
      </w:r>
    </w:p>
    <w:p w14:paraId="22496936"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基金份额持有人可办理已持有基金份额在不同销售机构之间的转托管，基金销售机构可以按照规定的标准收取转托管费。</w:t>
      </w:r>
    </w:p>
    <w:p w14:paraId="75560E23" w14:textId="77777777" w:rsidR="009921A7" w:rsidRDefault="009921A7" w:rsidP="009921A7">
      <w:pPr>
        <w:spacing w:line="360" w:lineRule="auto"/>
        <w:ind w:firstLineChars="200" w:firstLine="420"/>
        <w:rPr>
          <w:rFonts w:ascii="宋体"/>
          <w:bCs/>
          <w:szCs w:val="21"/>
        </w:rPr>
      </w:pPr>
    </w:p>
    <w:p w14:paraId="01694689"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六、</w:t>
      </w:r>
      <w:r>
        <w:rPr>
          <w:rFonts w:hint="eastAsia"/>
          <w:bCs/>
          <w:szCs w:val="21"/>
        </w:rPr>
        <w:t>定投</w:t>
      </w:r>
      <w:r>
        <w:rPr>
          <w:rFonts w:ascii="宋体"/>
          <w:bCs/>
          <w:szCs w:val="21"/>
        </w:rPr>
        <w:t>计划</w:t>
      </w:r>
    </w:p>
    <w:p w14:paraId="3EC3A5F3" w14:textId="77777777" w:rsidR="00580D45" w:rsidRDefault="00580D45" w:rsidP="00580D45">
      <w:pPr>
        <w:spacing w:line="360" w:lineRule="auto"/>
        <w:ind w:firstLineChars="200" w:firstLine="420"/>
        <w:rPr>
          <w:rFonts w:ascii="宋体"/>
          <w:bCs/>
          <w:szCs w:val="21"/>
        </w:rPr>
      </w:pPr>
      <w:r>
        <w:rPr>
          <w:rFonts w:ascii="宋体"/>
          <w:bCs/>
          <w:szCs w:val="21"/>
        </w:rPr>
        <w:t>基金管理人可以为投资人办理</w:t>
      </w:r>
      <w:r>
        <w:rPr>
          <w:rFonts w:hint="eastAsia"/>
          <w:bCs/>
          <w:szCs w:val="21"/>
        </w:rPr>
        <w:t>定投</w:t>
      </w:r>
      <w:r>
        <w:rPr>
          <w:rFonts w:ascii="宋体"/>
          <w:bCs/>
          <w:szCs w:val="21"/>
        </w:rPr>
        <w:t>计划，具体规则由基金管理人另行规定。投资人在办理</w:t>
      </w:r>
      <w:r>
        <w:rPr>
          <w:rFonts w:hint="eastAsia"/>
          <w:bCs/>
          <w:szCs w:val="21"/>
        </w:rPr>
        <w:t>定投</w:t>
      </w:r>
      <w:r>
        <w:rPr>
          <w:rFonts w:ascii="宋体"/>
          <w:bCs/>
          <w:szCs w:val="21"/>
        </w:rPr>
        <w:t>计划时可自行约定每期扣款金额，每期扣款金额必须不低于基金管理人在相关公告或更新的招募说明书中所规定的</w:t>
      </w:r>
      <w:r>
        <w:rPr>
          <w:rFonts w:hint="eastAsia"/>
          <w:bCs/>
          <w:szCs w:val="21"/>
        </w:rPr>
        <w:t>定投</w:t>
      </w:r>
      <w:r>
        <w:rPr>
          <w:rFonts w:ascii="宋体"/>
          <w:bCs/>
          <w:szCs w:val="21"/>
        </w:rPr>
        <w:t>计划最低申购金额。</w:t>
      </w:r>
    </w:p>
    <w:p w14:paraId="72C22D3F" w14:textId="77777777" w:rsidR="009921A7" w:rsidRDefault="009921A7" w:rsidP="009921A7">
      <w:pPr>
        <w:spacing w:line="360" w:lineRule="auto"/>
        <w:ind w:firstLineChars="200" w:firstLine="420"/>
        <w:rPr>
          <w:rFonts w:ascii="宋体"/>
          <w:bCs/>
          <w:szCs w:val="21"/>
        </w:rPr>
      </w:pPr>
    </w:p>
    <w:p w14:paraId="1E4ECA9E" w14:textId="77777777" w:rsidR="009921A7" w:rsidRDefault="009921A7" w:rsidP="009921A7">
      <w:pPr>
        <w:spacing w:line="360" w:lineRule="auto"/>
        <w:ind w:firstLineChars="200" w:firstLine="420"/>
        <w:rPr>
          <w:rFonts w:ascii="宋体"/>
          <w:bCs/>
          <w:szCs w:val="21"/>
        </w:rPr>
      </w:pPr>
      <w:r>
        <w:rPr>
          <w:rFonts w:ascii="宋体"/>
          <w:bCs/>
          <w:szCs w:val="21"/>
        </w:rPr>
        <w:lastRenderedPageBreak/>
        <w:t>十</w:t>
      </w:r>
      <w:r>
        <w:rPr>
          <w:rFonts w:ascii="宋体" w:hint="eastAsia"/>
          <w:bCs/>
          <w:szCs w:val="21"/>
        </w:rPr>
        <w:t>七、</w:t>
      </w:r>
      <w:r>
        <w:rPr>
          <w:rFonts w:ascii="宋体"/>
          <w:bCs/>
          <w:szCs w:val="21"/>
        </w:rPr>
        <w:t>基金</w:t>
      </w:r>
      <w:r w:rsidR="00363FA9">
        <w:rPr>
          <w:rFonts w:ascii="宋体" w:hint="eastAsia"/>
          <w:bCs/>
          <w:szCs w:val="21"/>
        </w:rPr>
        <w:t>份额</w:t>
      </w:r>
      <w:r>
        <w:rPr>
          <w:rFonts w:ascii="宋体"/>
          <w:bCs/>
          <w:szCs w:val="21"/>
        </w:rPr>
        <w:t>的冻结和解冻</w:t>
      </w:r>
    </w:p>
    <w:p w14:paraId="4FBFC545" w14:textId="77777777" w:rsidR="00580D45" w:rsidRDefault="00363FA9" w:rsidP="00580D45">
      <w:pPr>
        <w:spacing w:line="360" w:lineRule="auto"/>
        <w:ind w:firstLineChars="200" w:firstLine="420"/>
        <w:rPr>
          <w:rFonts w:ascii="宋体"/>
          <w:bCs/>
          <w:szCs w:val="21"/>
        </w:rPr>
      </w:pPr>
      <w:r w:rsidRPr="00026720">
        <w:rPr>
          <w:rFonts w:ascii="宋体"/>
          <w:bCs/>
          <w:szCs w:val="21"/>
        </w:rPr>
        <w:t>基金登记机构只受理国家有权机关依法要求的基金份额的冻结与解冻，以及登记机构认可、符合法律法规的其他情况下的冻结与解冻。</w:t>
      </w:r>
      <w:r w:rsidRPr="00026720">
        <w:rPr>
          <w:rFonts w:asci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0AFFD8E9" w14:textId="77777777" w:rsidR="009921A7" w:rsidRDefault="009921A7" w:rsidP="009921A7">
      <w:pPr>
        <w:spacing w:line="360" w:lineRule="auto"/>
        <w:ind w:firstLineChars="200" w:firstLine="420"/>
        <w:rPr>
          <w:rFonts w:ascii="宋体"/>
          <w:bCs/>
          <w:szCs w:val="21"/>
        </w:rPr>
      </w:pPr>
    </w:p>
    <w:p w14:paraId="14312B41" w14:textId="77777777" w:rsidR="009921A7" w:rsidRDefault="009921A7" w:rsidP="009921A7">
      <w:pPr>
        <w:spacing w:line="360" w:lineRule="auto"/>
        <w:ind w:firstLineChars="200" w:firstLine="420"/>
        <w:rPr>
          <w:rFonts w:ascii="宋体"/>
          <w:bCs/>
          <w:szCs w:val="21"/>
        </w:rPr>
      </w:pPr>
      <w:r>
        <w:rPr>
          <w:rFonts w:ascii="宋体" w:hint="eastAsia"/>
          <w:bCs/>
          <w:szCs w:val="21"/>
        </w:rPr>
        <w:t>十八、基金份额的转让</w:t>
      </w:r>
    </w:p>
    <w:p w14:paraId="3D551077" w14:textId="77777777" w:rsidR="00363FA9" w:rsidRDefault="00363FA9" w:rsidP="00026720">
      <w:pPr>
        <w:spacing w:line="360" w:lineRule="auto"/>
        <w:ind w:firstLineChars="200" w:firstLine="420"/>
        <w:rPr>
          <w:bCs/>
          <w:sz w:val="24"/>
        </w:rPr>
      </w:pPr>
      <w:r w:rsidRPr="00026720">
        <w:rPr>
          <w:rFonts w:asci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03657362" w14:textId="77777777" w:rsidR="00363FA9" w:rsidRDefault="00363FA9" w:rsidP="00363FA9">
      <w:pPr>
        <w:spacing w:line="360" w:lineRule="auto"/>
        <w:ind w:firstLineChars="200" w:firstLine="480"/>
        <w:rPr>
          <w:bCs/>
          <w:sz w:val="24"/>
        </w:rPr>
      </w:pPr>
    </w:p>
    <w:p w14:paraId="4A08C018" w14:textId="05BAFCCF" w:rsidR="00664A47" w:rsidRDefault="00664A47" w:rsidP="00664A47">
      <w:pPr>
        <w:spacing w:line="360" w:lineRule="auto"/>
        <w:ind w:firstLineChars="200" w:firstLine="420"/>
        <w:rPr>
          <w:rFonts w:ascii="宋体"/>
          <w:bCs/>
          <w:szCs w:val="21"/>
        </w:rPr>
      </w:pPr>
      <w:r>
        <w:rPr>
          <w:rFonts w:ascii="宋体"/>
          <w:bCs/>
          <w:szCs w:val="21"/>
        </w:rPr>
        <w:t>十九</w:t>
      </w:r>
      <w:r>
        <w:rPr>
          <w:rFonts w:ascii="宋体" w:hint="eastAsia"/>
          <w:bCs/>
          <w:szCs w:val="21"/>
        </w:rPr>
        <w:t>、</w:t>
      </w:r>
      <w:r w:rsidRPr="00664A47">
        <w:rPr>
          <w:rFonts w:ascii="宋体" w:hint="eastAsia"/>
          <w:bCs/>
          <w:szCs w:val="21"/>
        </w:rPr>
        <w:t>实施侧袋机制期间本基金的申购与赎回</w:t>
      </w:r>
    </w:p>
    <w:p w14:paraId="0DCC8207" w14:textId="4BD324CC" w:rsidR="00664A47" w:rsidRDefault="00664A47" w:rsidP="00664A47">
      <w:pPr>
        <w:spacing w:line="360" w:lineRule="auto"/>
        <w:ind w:firstLineChars="200" w:firstLine="420"/>
        <w:rPr>
          <w:rFonts w:ascii="宋体"/>
          <w:bCs/>
          <w:szCs w:val="21"/>
        </w:rPr>
      </w:pPr>
      <w:r w:rsidRPr="00664A47">
        <w:rPr>
          <w:rFonts w:ascii="宋体" w:hint="eastAsia"/>
          <w:bCs/>
          <w:szCs w:val="21"/>
        </w:rPr>
        <w:t>本基金实施侧袋机制的，本基金的申购</w:t>
      </w:r>
      <w:r w:rsidR="006C1B13">
        <w:rPr>
          <w:rFonts w:ascii="宋体" w:hint="eastAsia"/>
          <w:bCs/>
          <w:szCs w:val="21"/>
        </w:rPr>
        <w:t>和</w:t>
      </w:r>
      <w:r w:rsidRPr="00664A47">
        <w:rPr>
          <w:rFonts w:ascii="宋体" w:hint="eastAsia"/>
          <w:bCs/>
          <w:szCs w:val="21"/>
        </w:rPr>
        <w:t>赎回安排详见招募说明书</w:t>
      </w:r>
      <w:r>
        <w:rPr>
          <w:rFonts w:ascii="宋体" w:hint="eastAsia"/>
          <w:bCs/>
          <w:szCs w:val="21"/>
        </w:rPr>
        <w:t>“侧袋机制”</w:t>
      </w:r>
      <w:r w:rsidRPr="00664A47">
        <w:rPr>
          <w:rFonts w:ascii="宋体" w:hint="eastAsia"/>
          <w:bCs/>
          <w:szCs w:val="21"/>
        </w:rPr>
        <w:t>部分的规定</w:t>
      </w:r>
      <w:r w:rsidR="00B964A1">
        <w:rPr>
          <w:rFonts w:ascii="宋体" w:hint="eastAsia"/>
          <w:bCs/>
          <w:szCs w:val="21"/>
        </w:rPr>
        <w:t>或相关公告。</w:t>
      </w:r>
    </w:p>
    <w:p w14:paraId="52FB6512" w14:textId="77777777" w:rsidR="00664A47" w:rsidRPr="00664A47" w:rsidRDefault="00664A47" w:rsidP="00664A47">
      <w:pPr>
        <w:spacing w:line="360" w:lineRule="auto"/>
        <w:ind w:firstLineChars="200" w:firstLine="420"/>
        <w:rPr>
          <w:rFonts w:ascii="宋体"/>
          <w:bCs/>
          <w:szCs w:val="21"/>
        </w:rPr>
      </w:pPr>
    </w:p>
    <w:p w14:paraId="66083B62" w14:textId="0E8FE28F" w:rsidR="00363FA9" w:rsidRPr="00026720" w:rsidRDefault="00664A47" w:rsidP="00026720">
      <w:pPr>
        <w:spacing w:line="360" w:lineRule="auto"/>
        <w:ind w:firstLineChars="200" w:firstLine="420"/>
        <w:rPr>
          <w:rFonts w:ascii="宋体"/>
          <w:bCs/>
          <w:szCs w:val="21"/>
        </w:rPr>
      </w:pPr>
      <w:r>
        <w:rPr>
          <w:rFonts w:ascii="宋体" w:hint="eastAsia"/>
          <w:bCs/>
          <w:szCs w:val="21"/>
        </w:rPr>
        <w:t>二十</w:t>
      </w:r>
      <w:r w:rsidR="00363FA9" w:rsidRPr="00026720">
        <w:rPr>
          <w:rFonts w:ascii="宋体" w:hint="eastAsia"/>
          <w:bCs/>
          <w:szCs w:val="21"/>
        </w:rPr>
        <w:t>、其他业务</w:t>
      </w:r>
    </w:p>
    <w:p w14:paraId="64DB1510" w14:textId="77777777" w:rsidR="00580D45" w:rsidRDefault="00363FA9" w:rsidP="00026720">
      <w:pPr>
        <w:spacing w:line="360" w:lineRule="auto"/>
        <w:ind w:firstLineChars="200" w:firstLine="420"/>
        <w:rPr>
          <w:rFonts w:ascii="宋体"/>
          <w:bCs/>
          <w:szCs w:val="21"/>
        </w:rPr>
      </w:pPr>
      <w:r w:rsidRPr="00026720">
        <w:rPr>
          <w:rFonts w:ascii="宋体" w:hint="eastAsia"/>
          <w:bCs/>
          <w:szCs w:val="21"/>
        </w:rPr>
        <w:t>在相关法律法规允许的条件下，基金登记机构可依据其业务规则，受理基金份额质押等业务，并收取一定的手续费用。</w:t>
      </w:r>
    </w:p>
    <w:p w14:paraId="43C3E752" w14:textId="77777777" w:rsidR="00166902" w:rsidRPr="0050148C" w:rsidRDefault="00166902" w:rsidP="00166902">
      <w:pPr>
        <w:spacing w:line="360" w:lineRule="auto"/>
        <w:ind w:firstLineChars="200" w:firstLine="420"/>
        <w:rPr>
          <w:rFonts w:ascii="宋体" w:hAnsi="宋体"/>
          <w:bCs/>
          <w:szCs w:val="21"/>
        </w:rPr>
      </w:pPr>
      <w:bookmarkStart w:id="122" w:name="_Hlt70481650"/>
      <w:bookmarkEnd w:id="122"/>
    </w:p>
    <w:p w14:paraId="4D8E0CD4"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szCs w:val="21"/>
        </w:rPr>
        <w:br w:type="page"/>
      </w:r>
    </w:p>
    <w:p w14:paraId="5D8F0B43"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23" w:name="_Toc274597444"/>
      <w:bookmarkStart w:id="124" w:name="_Toc276542610"/>
      <w:bookmarkStart w:id="125" w:name="_Toc289439342"/>
      <w:bookmarkStart w:id="126" w:name="_Toc297312912"/>
      <w:bookmarkStart w:id="127" w:name="_Toc353955238"/>
      <w:bookmarkStart w:id="128" w:name="_Toc364930796"/>
      <w:bookmarkStart w:id="129" w:name="_Toc382897924"/>
      <w:bookmarkStart w:id="130" w:name="_Toc411503270"/>
      <w:bookmarkStart w:id="131" w:name="_Toc47384196"/>
      <w:r w:rsidRPr="004F5BE4">
        <w:rPr>
          <w:rFonts w:hint="eastAsia"/>
          <w:b w:val="0"/>
        </w:rPr>
        <w:lastRenderedPageBreak/>
        <w:t>基金的投资</w:t>
      </w:r>
      <w:bookmarkEnd w:id="123"/>
      <w:bookmarkEnd w:id="124"/>
      <w:bookmarkEnd w:id="125"/>
      <w:bookmarkEnd w:id="126"/>
      <w:bookmarkEnd w:id="127"/>
      <w:bookmarkEnd w:id="128"/>
      <w:bookmarkEnd w:id="129"/>
      <w:bookmarkEnd w:id="130"/>
      <w:bookmarkEnd w:id="131"/>
    </w:p>
    <w:p w14:paraId="53AFF8E8" w14:textId="77777777" w:rsidR="002E3EC6" w:rsidRDefault="002E3EC6" w:rsidP="004F5BE4">
      <w:pPr>
        <w:adjustRightInd w:val="0"/>
        <w:snapToGrid w:val="0"/>
        <w:spacing w:line="360" w:lineRule="auto"/>
        <w:ind w:firstLineChars="200" w:firstLine="420"/>
        <w:rPr>
          <w:rFonts w:ascii="宋体" w:hAnsi="宋体"/>
          <w:szCs w:val="21"/>
        </w:rPr>
      </w:pPr>
    </w:p>
    <w:p w14:paraId="20ECC7E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一、投资目标</w:t>
      </w:r>
    </w:p>
    <w:p w14:paraId="36BCD649" w14:textId="78FDA73D" w:rsidR="00ED6797" w:rsidRPr="00ED6797" w:rsidRDefault="00F57671" w:rsidP="00ED6797">
      <w:pPr>
        <w:adjustRightInd w:val="0"/>
        <w:snapToGrid w:val="0"/>
        <w:spacing w:line="360" w:lineRule="auto"/>
        <w:ind w:firstLineChars="200" w:firstLine="420"/>
        <w:rPr>
          <w:rFonts w:ascii="宋体" w:hAnsi="宋体"/>
          <w:bCs/>
          <w:szCs w:val="21"/>
        </w:rPr>
      </w:pPr>
      <w:r w:rsidRPr="00F57671">
        <w:rPr>
          <w:rFonts w:ascii="宋体" w:hAnsi="宋体" w:hint="eastAsia"/>
          <w:bCs/>
          <w:szCs w:val="21"/>
        </w:rPr>
        <w:t>在有效控制组合风险并保持良好流动性的前提下，通过专业化研究分析，力争实现基金资产的长期稳定增值。</w:t>
      </w:r>
      <w:r w:rsidR="00ED6797" w:rsidRPr="00ED6797">
        <w:rPr>
          <w:rFonts w:ascii="宋体" w:hAnsi="宋体"/>
          <w:bCs/>
          <w:szCs w:val="21"/>
        </w:rPr>
        <w:t xml:space="preserve">                 </w:t>
      </w:r>
    </w:p>
    <w:p w14:paraId="0575764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二、投资范围</w:t>
      </w:r>
    </w:p>
    <w:p w14:paraId="3564642F" w14:textId="2E7E5038" w:rsidR="0011064B" w:rsidRPr="0011064B" w:rsidRDefault="0011064B" w:rsidP="0011064B">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本基金的投资范围包括国内依法发行上市的股票（包括主板、中小板、创业板及其他经中国证监会核准或注册上市的股票</w:t>
      </w:r>
      <w:r w:rsidR="00711F91" w:rsidRPr="00711F91">
        <w:rPr>
          <w:rFonts w:ascii="宋体" w:hAnsi="宋体" w:hint="eastAsia"/>
          <w:bCs/>
          <w:szCs w:val="21"/>
        </w:rPr>
        <w:t>以及存托凭证（下同）</w:t>
      </w:r>
      <w:r w:rsidRPr="0011064B">
        <w:rPr>
          <w:rFonts w:ascii="宋体" w:hAnsi="宋体" w:hint="eastAsia"/>
          <w:bCs/>
          <w:szCs w:val="21"/>
        </w:rPr>
        <w:t>）、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w:t>
      </w:r>
      <w:r w:rsidRPr="0011064B">
        <w:rPr>
          <w:rFonts w:ascii="宋体" w:hAnsi="宋体"/>
          <w:bCs/>
          <w:szCs w:val="21"/>
        </w:rPr>
        <w:t>交换债券</w:t>
      </w:r>
      <w:r w:rsidRPr="0011064B">
        <w:rPr>
          <w:rFonts w:ascii="宋体" w:hAnsi="宋体" w:hint="eastAsia"/>
          <w:bCs/>
          <w:szCs w:val="21"/>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676439A9" w14:textId="17333D12" w:rsidR="0011064B" w:rsidRPr="0011064B" w:rsidRDefault="0011064B" w:rsidP="0011064B">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基金的投资组合比例为：本基金股票</w:t>
      </w:r>
      <w:r w:rsidR="00711F91" w:rsidRPr="00711F91">
        <w:rPr>
          <w:rFonts w:ascii="宋体" w:hAnsi="宋体" w:hint="eastAsia"/>
          <w:bCs/>
          <w:szCs w:val="21"/>
        </w:rPr>
        <w:t>（含存托凭证）</w:t>
      </w:r>
      <w:r w:rsidRPr="0011064B">
        <w:rPr>
          <w:rFonts w:ascii="宋体" w:hAnsi="宋体" w:hint="eastAsia"/>
          <w:bCs/>
          <w:szCs w:val="21"/>
        </w:rPr>
        <w:t>投资占基金资产的比例范围为</w:t>
      </w:r>
      <w:r w:rsidR="008532B5">
        <w:rPr>
          <w:rFonts w:ascii="宋体" w:hAnsi="宋体"/>
          <w:bCs/>
          <w:szCs w:val="21"/>
        </w:rPr>
        <w:t>60</w:t>
      </w:r>
      <w:r w:rsidRPr="0011064B">
        <w:rPr>
          <w:rFonts w:ascii="宋体" w:hAnsi="宋体" w:hint="eastAsia"/>
          <w:bCs/>
          <w:szCs w:val="21"/>
        </w:rPr>
        <w:t>%-</w:t>
      </w:r>
      <w:r w:rsidR="008532B5">
        <w:rPr>
          <w:rFonts w:ascii="宋体" w:hAnsi="宋体"/>
          <w:bCs/>
          <w:szCs w:val="21"/>
        </w:rPr>
        <w:t>95</w:t>
      </w:r>
      <w:r w:rsidRPr="0011064B">
        <w:rPr>
          <w:rFonts w:ascii="宋体" w:hAnsi="宋体" w:hint="eastAsia"/>
          <w:bCs/>
          <w:szCs w:val="21"/>
        </w:rPr>
        <w:t>%（其中港股通股票投资比例不得超过股票资产的50%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6301A399" w14:textId="6BAAFB30" w:rsidR="0011064B" w:rsidRPr="0011064B" w:rsidRDefault="0011064B" w:rsidP="0011064B">
      <w:pPr>
        <w:adjustRightInd w:val="0"/>
        <w:snapToGrid w:val="0"/>
        <w:spacing w:line="360" w:lineRule="auto"/>
        <w:ind w:firstLineChars="200" w:firstLine="420"/>
        <w:rPr>
          <w:rFonts w:ascii="宋体" w:hAnsi="宋体"/>
          <w:bCs/>
          <w:szCs w:val="21"/>
        </w:rPr>
      </w:pPr>
      <w:r w:rsidRPr="0011064B">
        <w:rPr>
          <w:rFonts w:ascii="宋体" w:hAnsi="宋体" w:hint="eastAsia"/>
          <w:bCs/>
          <w:szCs w:val="21"/>
        </w:rPr>
        <w:t>如法律法规或监管机构以后允许基金投资其他品种，基金管理人在履行适当程序后，可以将其纳入投资范围。</w:t>
      </w:r>
    </w:p>
    <w:p w14:paraId="7B3AE5E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三、投资策略</w:t>
      </w:r>
    </w:p>
    <w:p w14:paraId="567C361A" w14:textId="31D55150"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1、资产配置策略</w:t>
      </w:r>
    </w:p>
    <w:p w14:paraId="76346B5E"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5407F2E1"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2、股票投资策略</w:t>
      </w:r>
    </w:p>
    <w:p w14:paraId="30010754"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本基金依托于基金管理人的投资研究平台，重点投资于各行业中具备行业地位突出、经济效益较好、拥有技术、品牌等竞争优势、发展潜力清晰、规模持续增长等领先优势的上市公司。股票投资采用定量和定性分析相结合的策略。</w:t>
      </w:r>
    </w:p>
    <w:p w14:paraId="3282E2DB"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lastRenderedPageBreak/>
        <w:t>（1）定性分析</w:t>
      </w:r>
    </w:p>
    <w:p w14:paraId="6245AE05"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从选股标准的角度，本基金主要挑选全部或部分具备以下特征的上市公司：</w:t>
      </w:r>
    </w:p>
    <w:p w14:paraId="2631D414"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 xml:space="preserve">A、公司在格局清晰的行业中具有明显的核心竞争力，份额领先，主营业务鲜明、行业地位突出、产品与服务符合行业发展趋势的公司； </w:t>
      </w:r>
    </w:p>
    <w:p w14:paraId="60A1CA12"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B、具有较强的自主创新和市场拓展能力、具备一定核心竞争力、战略清晰明确、拥有成本优势、规模优势、品牌优势或其它特定优势、在特定领域具有原材料、专有技术或其它专有资源的公司；</w:t>
      </w:r>
    </w:p>
    <w:p w14:paraId="39D20754"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 xml:space="preserve">C、具备良好的增长潜力，需求的“天花板”较高； </w:t>
      </w:r>
    </w:p>
    <w:p w14:paraId="497005D8"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D、商业模式可持续，对上下游议价能力强。</w:t>
      </w:r>
    </w:p>
    <w:p w14:paraId="699D119F" w14:textId="77777777" w:rsidR="00C02FED" w:rsidRPr="00C02FED" w:rsidRDefault="00C02FED" w:rsidP="00C02FED">
      <w:pPr>
        <w:adjustRightInd w:val="0"/>
        <w:snapToGrid w:val="0"/>
        <w:spacing w:line="360" w:lineRule="auto"/>
        <w:ind w:firstLineChars="200" w:firstLine="420"/>
        <w:rPr>
          <w:rFonts w:ascii="宋体" w:hAnsi="宋体"/>
          <w:szCs w:val="21"/>
        </w:rPr>
      </w:pPr>
      <w:r w:rsidRPr="00C02FED">
        <w:rPr>
          <w:rFonts w:ascii="宋体" w:hAnsi="宋体" w:hint="eastAsia"/>
          <w:szCs w:val="21"/>
        </w:rPr>
        <w:t>E、公司具有良好的治理结构，管理层进取心强，激励制度到位，信息披露透明；</w:t>
      </w:r>
    </w:p>
    <w:p w14:paraId="76B1367F" w14:textId="4D082D25" w:rsidR="0011064B" w:rsidRPr="0011064B" w:rsidRDefault="00C02FED" w:rsidP="0011064B">
      <w:pPr>
        <w:adjustRightInd w:val="0"/>
        <w:snapToGrid w:val="0"/>
        <w:spacing w:line="360" w:lineRule="auto"/>
        <w:ind w:firstLineChars="200" w:firstLine="420"/>
        <w:rPr>
          <w:rFonts w:ascii="宋体" w:hAnsi="宋体"/>
          <w:szCs w:val="21"/>
        </w:rPr>
      </w:pPr>
      <w:r w:rsidRPr="00C02FED">
        <w:rPr>
          <w:rFonts w:ascii="宋体" w:hAnsi="宋体" w:hint="eastAsia"/>
          <w:szCs w:val="21"/>
        </w:rPr>
        <w:t>F、公司所处的行业符合国家的战略发展方向，能够充分从消费升级、产业调整、汇率变革等中国经济结构性变迁中获取收益，促进公司发展的行业龙头上市公司。</w:t>
      </w:r>
    </w:p>
    <w:p w14:paraId="0784AC43" w14:textId="7263B8AE" w:rsidR="0011064B" w:rsidRPr="0011064B" w:rsidRDefault="00F048C7" w:rsidP="0011064B">
      <w:pPr>
        <w:adjustRightInd w:val="0"/>
        <w:snapToGrid w:val="0"/>
        <w:spacing w:line="360" w:lineRule="auto"/>
        <w:ind w:firstLineChars="200" w:firstLine="420"/>
        <w:rPr>
          <w:rFonts w:ascii="宋体" w:hAnsi="宋体"/>
          <w:szCs w:val="21"/>
        </w:rPr>
      </w:pPr>
      <w:r>
        <w:rPr>
          <w:rFonts w:ascii="宋体" w:hAnsi="宋体" w:hint="eastAsia"/>
          <w:szCs w:val="21"/>
        </w:rPr>
        <w:t>（</w:t>
      </w:r>
      <w:r w:rsidR="0011064B" w:rsidRPr="0011064B">
        <w:rPr>
          <w:rFonts w:ascii="宋体" w:hAnsi="宋体" w:hint="eastAsia"/>
          <w:szCs w:val="21"/>
        </w:rPr>
        <w:t>2）定量分析</w:t>
      </w:r>
    </w:p>
    <w:p w14:paraId="07D13F37"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本基金将对反映上市公司质量和增长潜力的成长性指标、财务指标和估值指标等进行定量分析，以挑选具有成长优势、财务优势和估值优势的个股。</w:t>
      </w:r>
    </w:p>
    <w:p w14:paraId="0172CF4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A、成长性指标：营业利润增长率、净利润增长率和收入增长率等；</w:t>
      </w:r>
    </w:p>
    <w:p w14:paraId="2C87071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B、财务指标：毛利率、营业利润率、净资产收益率、净利率、经营活动净收益/利润总额等；</w:t>
      </w:r>
    </w:p>
    <w:p w14:paraId="5328334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C、估值指标：市盈率（PE）、市盈率相对盈利增长比率（PEG）、市销率（PS）和总市值。</w:t>
      </w:r>
    </w:p>
    <w:p w14:paraId="48443765"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D、成长竞争力指标：公司市占率、研发费用绝对额以及占收入比例、研发人员数量、专利数量等。</w:t>
      </w:r>
    </w:p>
    <w:p w14:paraId="7C0E04F0"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（3）组合股票的投资吸引力评估分析</w:t>
      </w:r>
    </w:p>
    <w:p w14:paraId="40E076EE"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14:paraId="7E3F592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（4）投资组合构建与优化</w:t>
      </w:r>
    </w:p>
    <w:p w14:paraId="5F4C456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14:paraId="0C101DA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（5）港股通股票投资</w:t>
      </w:r>
    </w:p>
    <w:p w14:paraId="614F165D"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除上述个股投资策略外，本基金还将关注以下几类港股通股票：</w:t>
      </w:r>
    </w:p>
    <w:p w14:paraId="3219E78B"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A、在港股市场上市、具有行业代表性的优质中资公司；</w:t>
      </w:r>
    </w:p>
    <w:p w14:paraId="26D49FB5"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lastRenderedPageBreak/>
        <w:t>B、具有行业稀缺性的香港本地和外资公司；</w:t>
      </w:r>
    </w:p>
    <w:p w14:paraId="45FF9EE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C、港股市场在行业结构、估值、AH 股折溢价、股息率等方面具有吸引力的投资标的。</w:t>
      </w:r>
    </w:p>
    <w:p w14:paraId="72BD2C81" w14:textId="53D93EAC" w:rsidR="00F048C7" w:rsidRPr="00F048C7" w:rsidRDefault="00F048C7" w:rsidP="00F048C7">
      <w:pPr>
        <w:adjustRightInd w:val="0"/>
        <w:snapToGrid w:val="0"/>
        <w:spacing w:line="360" w:lineRule="auto"/>
        <w:ind w:firstLineChars="200" w:firstLine="420"/>
        <w:rPr>
          <w:rFonts w:ascii="宋体" w:hAnsi="宋体"/>
          <w:szCs w:val="21"/>
        </w:rPr>
      </w:pPr>
      <w:r>
        <w:rPr>
          <w:rFonts w:ascii="宋体" w:hAnsi="宋体" w:hint="eastAsia"/>
          <w:szCs w:val="21"/>
        </w:rPr>
        <w:t>（</w:t>
      </w:r>
      <w:r w:rsidRPr="00F048C7">
        <w:rPr>
          <w:rFonts w:ascii="宋体" w:hAnsi="宋体" w:hint="eastAsia"/>
          <w:szCs w:val="21"/>
        </w:rPr>
        <w:t xml:space="preserve">6）存托凭证的投资策略 </w:t>
      </w:r>
    </w:p>
    <w:p w14:paraId="273FDF3B" w14:textId="5E614DB1" w:rsidR="00F048C7" w:rsidRDefault="00F048C7" w:rsidP="00F048C7">
      <w:pPr>
        <w:adjustRightInd w:val="0"/>
        <w:snapToGrid w:val="0"/>
        <w:spacing w:line="360" w:lineRule="auto"/>
        <w:ind w:firstLineChars="200" w:firstLine="420"/>
        <w:rPr>
          <w:rFonts w:ascii="宋体" w:hAnsi="宋体"/>
          <w:szCs w:val="21"/>
        </w:rPr>
      </w:pPr>
      <w:r w:rsidRPr="00F048C7">
        <w:rPr>
          <w:rFonts w:ascii="宋体" w:hAnsi="宋体" w:hint="eastAsia"/>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A80981A" w14:textId="3443C741"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3、债券投资策略</w:t>
      </w:r>
    </w:p>
    <w:p w14:paraId="32580B84" w14:textId="6C3218F9"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w:t>
      </w:r>
      <w:r w:rsidR="00537FCE">
        <w:rPr>
          <w:rFonts w:ascii="宋体" w:hAnsi="宋体" w:hint="eastAsia"/>
          <w:szCs w:val="21"/>
        </w:rPr>
        <w:t>力求</w:t>
      </w:r>
      <w:r w:rsidRPr="0011064B">
        <w:rPr>
          <w:rFonts w:ascii="宋体" w:hAnsi="宋体" w:hint="eastAsia"/>
          <w:szCs w:val="21"/>
        </w:rPr>
        <w:t>获取超额的投资收益。</w:t>
      </w:r>
    </w:p>
    <w:p w14:paraId="76BE9A58"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4、金融衍生品投资策略</w:t>
      </w:r>
    </w:p>
    <w:p w14:paraId="0934288B"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为更好的实现投资目标，本基金可投资股指期货、国债期货、股票期权和其他经中国证监会允许的衍生金融产品，本基金将根据风险管理的原则，主要选择流动性好、交易活跃的衍生品合约进行交易。</w:t>
      </w:r>
    </w:p>
    <w:p w14:paraId="310418A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（1）股指期货投资策略</w:t>
      </w:r>
    </w:p>
    <w:p w14:paraId="05330622"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117EE7B3"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（2）国债期货投资策略</w:t>
      </w:r>
    </w:p>
    <w:p w14:paraId="4C8B6AF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1B941EC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（3）股票期权投资策略</w:t>
      </w:r>
    </w:p>
    <w:p w14:paraId="1C6DEBAC"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3FF6F97B" w14:textId="4E5F17B3"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本基金将关注其他金融衍生产品的推出情况，如法律法规或监管机构允许基金投资前述衍生工具，</w:t>
      </w:r>
      <w:r w:rsidR="00B23D05" w:rsidRPr="00B23D05">
        <w:rPr>
          <w:rFonts w:ascii="宋体" w:hAnsi="宋体" w:hint="eastAsia"/>
          <w:szCs w:val="21"/>
        </w:rPr>
        <w:t>本基金将在履行适当程序后，</w:t>
      </w:r>
      <w:r w:rsidR="006D3767" w:rsidRPr="006D3767">
        <w:rPr>
          <w:rFonts w:ascii="宋体" w:hAnsi="宋体" w:hint="eastAsia"/>
          <w:szCs w:val="21"/>
        </w:rPr>
        <w:t>将其纳入投资范围以丰富组合投资策略。</w:t>
      </w:r>
      <w:r w:rsidRPr="0011064B">
        <w:rPr>
          <w:rFonts w:ascii="宋体" w:hAnsi="宋体" w:hint="eastAsia"/>
          <w:szCs w:val="21"/>
        </w:rPr>
        <w:t>本基金将按届时有效的法律法规和监管机构的规定，制定与本基金投资目标相适应的投资策略和估值政策，在充分评估衍生产品的风险和收益的基础上，谨慎地进行投资。</w:t>
      </w:r>
    </w:p>
    <w:p w14:paraId="00CDAEEA"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5、资产支持证券投资策略</w:t>
      </w:r>
    </w:p>
    <w:p w14:paraId="6DBC0891" w14:textId="77777777"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lastRenderedPageBreak/>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24F9B7F2" w14:textId="32BAA032" w:rsidR="0011064B" w:rsidRPr="0011064B" w:rsidRDefault="0011064B" w:rsidP="0011064B">
      <w:pPr>
        <w:adjustRightInd w:val="0"/>
        <w:snapToGrid w:val="0"/>
        <w:spacing w:line="360" w:lineRule="auto"/>
        <w:ind w:firstLineChars="200" w:firstLine="420"/>
        <w:rPr>
          <w:rFonts w:ascii="宋体" w:hAnsi="宋体"/>
          <w:szCs w:val="21"/>
        </w:rPr>
      </w:pPr>
      <w:r w:rsidRPr="0011064B">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1F038F2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四、投资限制</w:t>
      </w:r>
    </w:p>
    <w:p w14:paraId="66967A1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1、组合限制</w:t>
      </w:r>
    </w:p>
    <w:p w14:paraId="35D7B34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基金的投资组合应遵循以下限制：</w:t>
      </w:r>
    </w:p>
    <w:p w14:paraId="2F059797" w14:textId="5121771F"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（1）本基金股票</w:t>
      </w:r>
      <w:r w:rsidR="00C34239" w:rsidRPr="00C34239">
        <w:rPr>
          <w:rFonts w:ascii="宋体" w:hAnsi="宋体" w:hint="eastAsia"/>
          <w:bCs/>
          <w:szCs w:val="21"/>
        </w:rPr>
        <w:t>（含存托凭证）</w:t>
      </w:r>
      <w:r w:rsidRPr="00ED6797">
        <w:rPr>
          <w:rFonts w:ascii="宋体" w:hAnsi="宋体" w:hint="eastAsia"/>
          <w:bCs/>
          <w:szCs w:val="21"/>
        </w:rPr>
        <w:t>投资占基金资产的比例为</w:t>
      </w:r>
      <w:r w:rsidR="008532B5">
        <w:rPr>
          <w:rFonts w:ascii="宋体" w:hAnsi="宋体"/>
          <w:bCs/>
          <w:szCs w:val="21"/>
        </w:rPr>
        <w:t>60</w:t>
      </w:r>
      <w:r w:rsidRPr="00ED6797">
        <w:rPr>
          <w:rFonts w:ascii="宋体" w:hAnsi="宋体" w:hint="eastAsia"/>
          <w:bCs/>
          <w:szCs w:val="21"/>
        </w:rPr>
        <w:t>%-</w:t>
      </w:r>
      <w:r w:rsidR="008532B5">
        <w:rPr>
          <w:rFonts w:ascii="宋体" w:hAnsi="宋体"/>
          <w:bCs/>
          <w:szCs w:val="21"/>
        </w:rPr>
        <w:t>95</w:t>
      </w:r>
      <w:r w:rsidRPr="00ED6797">
        <w:rPr>
          <w:rFonts w:ascii="宋体" w:hAnsi="宋体" w:hint="eastAsia"/>
          <w:bCs/>
          <w:szCs w:val="21"/>
        </w:rPr>
        <w:t>%（其中港股通股票投资比例不得超过股票资产的50%）；</w:t>
      </w:r>
    </w:p>
    <w:p w14:paraId="04954BC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r w:rsidR="0092464E">
        <w:rPr>
          <w:rFonts w:ascii="宋体" w:hAnsi="宋体" w:hint="eastAsia"/>
          <w:bCs/>
          <w:szCs w:val="21"/>
        </w:rPr>
        <w:t>；</w:t>
      </w:r>
    </w:p>
    <w:p w14:paraId="6E89F06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（3）本基金持有一家公司发行的证券（A股和H股合并计算），其市值不超过基金资产净值的10％；</w:t>
      </w:r>
    </w:p>
    <w:p w14:paraId="3CD8A61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5E679D6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（5）本基金投资于同一原始权益人的各类资产支持证券的比例，不得超过基金资产净值的10％；</w:t>
      </w:r>
    </w:p>
    <w:p w14:paraId="480DB62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（6）本基金持有的全部资产支持证券，其市值不得超过基金资产净值的20％；</w:t>
      </w:r>
    </w:p>
    <w:p w14:paraId="5112ED0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（7）本基金持有的同一(指同一信用级别)资产支持证券的比例，不得超过该资产支持证券规模的10％；</w:t>
      </w:r>
    </w:p>
    <w:p w14:paraId="5E1C427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（8）本基金管理人管理的全部基金投资于同一原始权益人的各类资产支持证券，不得超过其各类资产支持证券合计规模的10％；</w:t>
      </w:r>
    </w:p>
    <w:p w14:paraId="7D2DD08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61A59EF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29D02DFE" w14:textId="7BA3722B"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（11）本基金进入全国银行间同业市场进行债券回购的最长期限为1年，债券回购到期后不得展期；</w:t>
      </w:r>
    </w:p>
    <w:p w14:paraId="32812EF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lastRenderedPageBreak/>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0F343F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2F84630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（14）本基金与私募类证券资管产品及中国证监会认定的其他主体为交易对手开展逆回购交易的，可接受质押品的资质要求应当与基金合同约定的投资范围保持一致；</w:t>
      </w:r>
    </w:p>
    <w:p w14:paraId="04D8ECA0" w14:textId="327B432D"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（15）在任何交易日日终，持有的买入国债期货</w:t>
      </w:r>
      <w:r w:rsidR="00F048C7">
        <w:rPr>
          <w:rFonts w:ascii="宋体" w:hAnsi="宋体" w:hint="eastAsia"/>
          <w:bCs/>
          <w:szCs w:val="21"/>
        </w:rPr>
        <w:t>和</w:t>
      </w:r>
      <w:r w:rsidRPr="00ED6797">
        <w:rPr>
          <w:rFonts w:ascii="宋体" w:hAnsi="宋体" w:hint="eastAsia"/>
          <w:bCs/>
          <w:szCs w:val="21"/>
        </w:rPr>
        <w:t>股指期货</w:t>
      </w:r>
      <w:r w:rsidRPr="00ED6797">
        <w:rPr>
          <w:rFonts w:ascii="宋体" w:hAnsi="宋体"/>
          <w:bCs/>
          <w:szCs w:val="21"/>
        </w:rPr>
        <w:t>合约</w:t>
      </w:r>
      <w:r w:rsidRPr="00ED6797">
        <w:rPr>
          <w:rFonts w:ascii="宋体" w:hAnsi="宋体" w:hint="eastAsia"/>
          <w:bCs/>
          <w:szCs w:val="21"/>
        </w:rPr>
        <w:t>价值与有价证券市值之和，不得超过基金资产净值的95%，其中，有价证券指股票、债券（不含到期日在一年以内的政府债券）、资产支持证券、买入返售金融资产（不含质押式回购）等；</w:t>
      </w:r>
    </w:p>
    <w:p w14:paraId="10FA761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392150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63D3C8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3647ED79" w14:textId="70232337" w:rsid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（19）本基金资产总值不超过基金资产净值的140%；</w:t>
      </w:r>
    </w:p>
    <w:p w14:paraId="0F0AE500" w14:textId="7B2E586A" w:rsidR="00F048C7" w:rsidRPr="00C34239" w:rsidRDefault="00C34239" w:rsidP="00ED6797">
      <w:pPr>
        <w:adjustRightInd w:val="0"/>
        <w:snapToGrid w:val="0"/>
        <w:spacing w:line="360" w:lineRule="auto"/>
        <w:ind w:firstLineChars="200" w:firstLine="420"/>
        <w:rPr>
          <w:rFonts w:ascii="宋体" w:hAnsi="宋体"/>
          <w:bCs/>
          <w:szCs w:val="21"/>
        </w:rPr>
      </w:pPr>
      <w:r w:rsidRPr="00C34239">
        <w:rPr>
          <w:rFonts w:ascii="宋体" w:hAnsi="宋体" w:hint="eastAsia"/>
          <w:bCs/>
          <w:szCs w:val="21"/>
        </w:rPr>
        <w:t>（20）本基金投资存托凭证的比例限制依照内地上市交易的股票执行；</w:t>
      </w:r>
    </w:p>
    <w:p w14:paraId="006DFA0D" w14:textId="3DCCD99C"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w:t>
      </w:r>
      <w:r w:rsidR="00C34239">
        <w:rPr>
          <w:rFonts w:ascii="宋体" w:hAnsi="宋体"/>
          <w:bCs/>
          <w:szCs w:val="21"/>
        </w:rPr>
        <w:t>1</w:t>
      </w:r>
      <w:r w:rsidRPr="00ED6797">
        <w:rPr>
          <w:rFonts w:ascii="宋体" w:hAnsi="宋体" w:hint="eastAsia"/>
          <w:bCs/>
          <w:szCs w:val="21"/>
        </w:rPr>
        <w:t>）法律法规及中国证监会规定的和《基金合同》约定的其他投资限制。</w:t>
      </w:r>
    </w:p>
    <w:p w14:paraId="161E75F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99FD21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基金管理人应当自基金合同生效之日起6个月内使基金的投资组合比例符合基金合同</w:t>
      </w:r>
      <w:r w:rsidRPr="00ED6797">
        <w:rPr>
          <w:rFonts w:ascii="宋体" w:hAnsi="宋体" w:hint="eastAsia"/>
          <w:bCs/>
          <w:szCs w:val="21"/>
        </w:rPr>
        <w:lastRenderedPageBreak/>
        <w:t>的有关约定。在上述期间内，本基金的投资范围、投资策略应当符合基金合同的约定。基金托管人对基金的投资的监督与检查自基金合同生效之日起开始。</w:t>
      </w:r>
    </w:p>
    <w:p w14:paraId="734B36B2"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77E42A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2</w:t>
      </w:r>
      <w:r w:rsidRPr="00ED6797">
        <w:rPr>
          <w:rFonts w:ascii="宋体" w:hAnsi="宋体" w:hint="eastAsia"/>
          <w:bCs/>
          <w:szCs w:val="21"/>
        </w:rPr>
        <w:t>、</w:t>
      </w:r>
      <w:r w:rsidRPr="00ED6797">
        <w:rPr>
          <w:rFonts w:ascii="宋体" w:hAnsi="宋体"/>
          <w:bCs/>
          <w:szCs w:val="21"/>
        </w:rPr>
        <w:t>禁止行为</w:t>
      </w:r>
    </w:p>
    <w:p w14:paraId="31D0368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为维护基金份额持有人的合法权益，基金财产不得用于下列投资或者活动：</w:t>
      </w:r>
    </w:p>
    <w:p w14:paraId="1BC8601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（1）承销证券；</w:t>
      </w:r>
    </w:p>
    <w:p w14:paraId="711B08A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2</w:t>
      </w:r>
      <w:r w:rsidRPr="00ED6797">
        <w:rPr>
          <w:rFonts w:ascii="宋体" w:hAnsi="宋体"/>
          <w:bCs/>
          <w:szCs w:val="21"/>
        </w:rPr>
        <w:t>）</w:t>
      </w:r>
      <w:r w:rsidRPr="00ED6797">
        <w:rPr>
          <w:rFonts w:ascii="宋体" w:hAnsi="宋体" w:hint="eastAsia"/>
          <w:bCs/>
          <w:szCs w:val="21"/>
        </w:rPr>
        <w:t>违反规定</w:t>
      </w:r>
      <w:r w:rsidRPr="00ED6797">
        <w:rPr>
          <w:rFonts w:ascii="宋体" w:hAnsi="宋体"/>
          <w:bCs/>
          <w:szCs w:val="21"/>
        </w:rPr>
        <w:t>向他人贷款或者提供担保；</w:t>
      </w:r>
    </w:p>
    <w:p w14:paraId="3528C92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3</w:t>
      </w:r>
      <w:r w:rsidRPr="00ED6797">
        <w:rPr>
          <w:rFonts w:ascii="宋体" w:hAnsi="宋体"/>
          <w:bCs/>
          <w:szCs w:val="21"/>
        </w:rPr>
        <w:t>）从事承担无限责任的投资；</w:t>
      </w:r>
    </w:p>
    <w:p w14:paraId="78B919F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4</w:t>
      </w:r>
      <w:r w:rsidRPr="00ED6797">
        <w:rPr>
          <w:rFonts w:ascii="宋体" w:hAnsi="宋体"/>
          <w:bCs/>
          <w:szCs w:val="21"/>
        </w:rPr>
        <w:t>）买卖其他基金份额，但是</w:t>
      </w:r>
      <w:r w:rsidRPr="00ED6797">
        <w:rPr>
          <w:rFonts w:ascii="宋体" w:hAnsi="宋体" w:hint="eastAsia"/>
          <w:bCs/>
          <w:szCs w:val="21"/>
        </w:rPr>
        <w:t>中国证监会</w:t>
      </w:r>
      <w:r w:rsidRPr="00ED6797">
        <w:rPr>
          <w:rFonts w:ascii="宋体" w:hAnsi="宋体"/>
          <w:bCs/>
          <w:szCs w:val="21"/>
        </w:rPr>
        <w:t>另有规定的除外；</w:t>
      </w:r>
    </w:p>
    <w:p w14:paraId="7025A876"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5</w:t>
      </w:r>
      <w:r w:rsidRPr="00ED6797">
        <w:rPr>
          <w:rFonts w:ascii="宋体" w:hAnsi="宋体"/>
          <w:bCs/>
          <w:szCs w:val="21"/>
        </w:rPr>
        <w:t>）向其基金管理人、基金托管人出资；</w:t>
      </w:r>
    </w:p>
    <w:p w14:paraId="6FBCBCC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6</w:t>
      </w:r>
      <w:r w:rsidRPr="00ED6797">
        <w:rPr>
          <w:rFonts w:ascii="宋体" w:hAnsi="宋体"/>
          <w:bCs/>
          <w:szCs w:val="21"/>
        </w:rPr>
        <w:t>）从事内幕交易、操纵证券交易价格及其他不正当的证券交易活动；</w:t>
      </w:r>
    </w:p>
    <w:p w14:paraId="36A2757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7</w:t>
      </w:r>
      <w:r w:rsidRPr="00ED6797">
        <w:rPr>
          <w:rFonts w:ascii="宋体" w:hAnsi="宋体"/>
          <w:bCs/>
          <w:szCs w:val="21"/>
        </w:rPr>
        <w:t>）法律</w:t>
      </w:r>
      <w:r w:rsidRPr="00ED6797">
        <w:rPr>
          <w:rFonts w:ascii="宋体" w:hAnsi="宋体" w:hint="eastAsia"/>
          <w:bCs/>
          <w:szCs w:val="21"/>
        </w:rPr>
        <w:t>、行政</w:t>
      </w:r>
      <w:r w:rsidRPr="00ED6797">
        <w:rPr>
          <w:rFonts w:ascii="宋体" w:hAnsi="宋体"/>
          <w:bCs/>
          <w:szCs w:val="21"/>
        </w:rPr>
        <w:t>法规</w:t>
      </w:r>
      <w:r w:rsidRPr="00ED6797">
        <w:rPr>
          <w:rFonts w:ascii="宋体" w:hAnsi="宋体" w:hint="eastAsia"/>
          <w:bCs/>
          <w:szCs w:val="21"/>
        </w:rPr>
        <w:t>和</w:t>
      </w:r>
      <w:r w:rsidRPr="00ED6797">
        <w:rPr>
          <w:rFonts w:ascii="宋体" w:hAnsi="宋体"/>
          <w:bCs/>
          <w:szCs w:val="21"/>
        </w:rPr>
        <w:t>中国证监会规定禁止的其他活动</w:t>
      </w:r>
      <w:r w:rsidRPr="00ED6797">
        <w:rPr>
          <w:rFonts w:ascii="宋体" w:hAnsi="宋体" w:hint="eastAsia"/>
          <w:bCs/>
          <w:szCs w:val="21"/>
        </w:rPr>
        <w:t>。</w:t>
      </w:r>
    </w:p>
    <w:p w14:paraId="1180E3A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8A9F820" w14:textId="18FB006D" w:rsidR="00ED6797" w:rsidRPr="00ED6797" w:rsidRDefault="006D3767" w:rsidP="00ED6797">
      <w:pPr>
        <w:adjustRightInd w:val="0"/>
        <w:snapToGrid w:val="0"/>
        <w:spacing w:line="360" w:lineRule="auto"/>
        <w:ind w:firstLineChars="200" w:firstLine="420"/>
        <w:rPr>
          <w:rFonts w:ascii="宋体" w:hAnsi="宋体"/>
          <w:bCs/>
          <w:szCs w:val="21"/>
        </w:rPr>
      </w:pPr>
      <w:r w:rsidRPr="006D3767">
        <w:rPr>
          <w:rFonts w:ascii="宋体" w:hAnsi="宋体" w:hint="eastAsia"/>
          <w:bCs/>
          <w:szCs w:val="21"/>
        </w:rPr>
        <w:t>如法律、行政法规或监管部门取消或调整上述禁止性规定，如适用于本基金，基金管理人在履行适当程序后，本基金投资不再受相关限制或按调整后的规定执行。</w:t>
      </w:r>
    </w:p>
    <w:p w14:paraId="4BA0AC8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五、业绩比较基准</w:t>
      </w:r>
    </w:p>
    <w:p w14:paraId="116FA5C8" w14:textId="75DF8706" w:rsidR="00C34239" w:rsidRPr="00C34239" w:rsidRDefault="008532B5" w:rsidP="00C34239">
      <w:pPr>
        <w:adjustRightInd w:val="0"/>
        <w:snapToGrid w:val="0"/>
        <w:spacing w:line="360" w:lineRule="auto"/>
        <w:ind w:firstLineChars="200" w:firstLine="420"/>
        <w:rPr>
          <w:rFonts w:ascii="宋体" w:hAnsi="宋体"/>
          <w:bCs/>
          <w:szCs w:val="21"/>
        </w:rPr>
      </w:pPr>
      <w:r w:rsidRPr="008532B5">
        <w:rPr>
          <w:rFonts w:ascii="宋体" w:hAnsi="宋体" w:hint="eastAsia"/>
          <w:bCs/>
          <w:szCs w:val="21"/>
        </w:rPr>
        <w:t>中证800指数收益率×60%+中证港股通综合指数（人民币）收益率×10%+中债总指数收益率×30%</w:t>
      </w:r>
    </w:p>
    <w:p w14:paraId="7B793C8C" w14:textId="78A699F7" w:rsidR="00693C84" w:rsidRPr="00693C84" w:rsidRDefault="00C34239" w:rsidP="00693C84">
      <w:pPr>
        <w:adjustRightInd w:val="0"/>
        <w:snapToGrid w:val="0"/>
        <w:spacing w:line="360" w:lineRule="auto"/>
        <w:ind w:firstLineChars="200" w:firstLine="420"/>
        <w:rPr>
          <w:rFonts w:ascii="宋体" w:hAnsi="宋体"/>
          <w:bCs/>
          <w:szCs w:val="21"/>
        </w:rPr>
      </w:pPr>
      <w:r w:rsidRPr="00C34239">
        <w:rPr>
          <w:rFonts w:ascii="宋体" w:hAnsi="宋体" w:hint="eastAsia"/>
          <w:bCs/>
          <w:szCs w:val="21"/>
        </w:rPr>
        <w:t>本基金为混合型基金，股票投资占基金资产的比例为</w:t>
      </w:r>
      <w:r w:rsidR="008532B5">
        <w:rPr>
          <w:rFonts w:ascii="宋体" w:hAnsi="宋体"/>
          <w:bCs/>
          <w:szCs w:val="21"/>
        </w:rPr>
        <w:t>60</w:t>
      </w:r>
      <w:r w:rsidRPr="00C34239">
        <w:rPr>
          <w:rFonts w:ascii="宋体" w:hAnsi="宋体" w:hint="eastAsia"/>
          <w:bCs/>
          <w:szCs w:val="21"/>
        </w:rPr>
        <w:t>%-</w:t>
      </w:r>
      <w:r w:rsidR="008532B5">
        <w:rPr>
          <w:rFonts w:ascii="宋体" w:hAnsi="宋体"/>
          <w:bCs/>
          <w:szCs w:val="21"/>
        </w:rPr>
        <w:t>95</w:t>
      </w:r>
      <w:r w:rsidRPr="00C34239">
        <w:rPr>
          <w:rFonts w:ascii="宋体" w:hAnsi="宋体" w:hint="eastAsia"/>
          <w:bCs/>
          <w:szCs w:val="21"/>
        </w:rPr>
        <w:t>%，可以参与港股通股票的投资，以“</w:t>
      </w:r>
      <w:r w:rsidR="008532B5" w:rsidRPr="008532B5">
        <w:rPr>
          <w:rFonts w:ascii="宋体" w:hAnsi="宋体" w:hint="eastAsia"/>
          <w:bCs/>
          <w:szCs w:val="21"/>
        </w:rPr>
        <w:t>中证800指数收益率×60%+中证港股通综合指数（人民币）收益率×10%+中债总指数收益率×30%</w:t>
      </w:r>
      <w:r w:rsidRPr="00C34239">
        <w:rPr>
          <w:rFonts w:ascii="宋体" w:hAnsi="宋体" w:hint="eastAsia"/>
          <w:bCs/>
          <w:szCs w:val="21"/>
        </w:rPr>
        <w:t>”作为本基金的业绩比较基准，能够使本基金投资人判断本基金的风险收益特征。</w:t>
      </w:r>
    </w:p>
    <w:p w14:paraId="380C192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w:t>
      </w:r>
      <w:r w:rsidRPr="00ED6797">
        <w:rPr>
          <w:rFonts w:ascii="宋体" w:hAnsi="宋体" w:hint="eastAsia"/>
          <w:bCs/>
          <w:szCs w:val="21"/>
        </w:rPr>
        <w:lastRenderedPageBreak/>
        <w:t>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432E9C54" w14:textId="77777777" w:rsidR="00ED6797" w:rsidRPr="00ED6797" w:rsidRDefault="00ED6797" w:rsidP="00ED6797">
      <w:pPr>
        <w:numPr>
          <w:ilvl w:val="0"/>
          <w:numId w:val="30"/>
        </w:numPr>
        <w:adjustRightInd w:val="0"/>
        <w:snapToGrid w:val="0"/>
        <w:spacing w:line="360" w:lineRule="auto"/>
        <w:ind w:firstLineChars="200" w:firstLine="420"/>
        <w:rPr>
          <w:rFonts w:ascii="宋体" w:hAnsi="宋体"/>
          <w:bCs/>
          <w:szCs w:val="21"/>
        </w:rPr>
      </w:pPr>
      <w:r w:rsidRPr="00ED6797">
        <w:rPr>
          <w:rFonts w:ascii="宋体" w:hAnsi="宋体"/>
          <w:bCs/>
          <w:szCs w:val="21"/>
        </w:rPr>
        <w:t>风险收益特征</w:t>
      </w:r>
    </w:p>
    <w:p w14:paraId="6E30193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4643E62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七、基金管理人代表基金行使股东或债权人权利的处理原则及方法</w:t>
      </w:r>
    </w:p>
    <w:p w14:paraId="35E19FEB"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1、基金管理人按照国家有关规定代表基金独立行使股东或债权人权利，保护基金份额持有人的利益； </w:t>
      </w:r>
    </w:p>
    <w:p w14:paraId="2BC0B8D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2、不谋求对上市公司的控股； </w:t>
      </w:r>
    </w:p>
    <w:p w14:paraId="1B80BC7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3、有利于基金财产的安全与增值； </w:t>
      </w:r>
    </w:p>
    <w:p w14:paraId="4D8D58A4" w14:textId="77777777" w:rsidR="00664A4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4、不通过关联交易为自身、雇员、授权代理人或任何存在利害关系的第三人牟取任何不当利益。</w:t>
      </w:r>
    </w:p>
    <w:p w14:paraId="1940B21D" w14:textId="77777777" w:rsidR="00664A47" w:rsidRPr="00664A47" w:rsidRDefault="00664A47" w:rsidP="00664A47">
      <w:pPr>
        <w:adjustRightInd w:val="0"/>
        <w:snapToGrid w:val="0"/>
        <w:spacing w:line="360" w:lineRule="auto"/>
        <w:ind w:firstLineChars="200" w:firstLine="420"/>
        <w:rPr>
          <w:rFonts w:ascii="宋体" w:hAnsi="宋体"/>
          <w:bCs/>
          <w:szCs w:val="21"/>
        </w:rPr>
      </w:pPr>
      <w:r>
        <w:rPr>
          <w:rFonts w:ascii="宋体" w:hAnsi="宋体"/>
          <w:bCs/>
          <w:szCs w:val="21"/>
        </w:rPr>
        <w:t>八</w:t>
      </w:r>
      <w:r>
        <w:rPr>
          <w:rFonts w:ascii="宋体" w:hAnsi="宋体" w:hint="eastAsia"/>
          <w:bCs/>
          <w:szCs w:val="21"/>
        </w:rPr>
        <w:t>、</w:t>
      </w:r>
      <w:r w:rsidRPr="00664A47">
        <w:rPr>
          <w:rFonts w:ascii="宋体" w:hAnsi="宋体" w:hint="eastAsia"/>
          <w:bCs/>
          <w:szCs w:val="21"/>
        </w:rPr>
        <w:t>侧袋机制的实施和投资运作安排</w:t>
      </w:r>
    </w:p>
    <w:p w14:paraId="61FDC06D" w14:textId="306DA24C" w:rsidR="00664A47" w:rsidRPr="00664A4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当基金持有特定资产且存在或潜在</w:t>
      </w:r>
      <w:r w:rsidR="00AB38BC">
        <w:rPr>
          <w:rFonts w:ascii="宋体" w:hAnsi="宋体" w:hint="eastAsia"/>
          <w:bCs/>
          <w:szCs w:val="21"/>
        </w:rPr>
        <w:t>大额</w:t>
      </w:r>
      <w:r w:rsidRPr="00664A47">
        <w:rPr>
          <w:rFonts w:ascii="宋体" w:hAnsi="宋体" w:hint="eastAsia"/>
          <w:bCs/>
          <w:szCs w:val="21"/>
        </w:rPr>
        <w:t>赎回申请时，根据最大限度保护基金份额持有人利益的原则，基金管理人经与基金托管人协商一致，并咨询会计师事务所意见后，可以依照法律法规及基金合同的约定启用侧袋机制。</w:t>
      </w:r>
    </w:p>
    <w:p w14:paraId="5ECBF0C9" w14:textId="77777777" w:rsidR="00664A47" w:rsidRPr="00664A4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侧袋机制实施期间，本部分约定的投资组合比例、投资策略、组合限制、业绩比较基准、风险收益特征等约定仅适用于主袋账户。</w:t>
      </w:r>
    </w:p>
    <w:p w14:paraId="34CC0F2E" w14:textId="27F43A2E" w:rsidR="00ED6797" w:rsidRPr="00ED6797" w:rsidRDefault="00664A47" w:rsidP="00664A47">
      <w:pPr>
        <w:adjustRightInd w:val="0"/>
        <w:snapToGrid w:val="0"/>
        <w:spacing w:line="360" w:lineRule="auto"/>
        <w:ind w:firstLineChars="200" w:firstLine="420"/>
        <w:rPr>
          <w:rFonts w:ascii="宋体" w:hAnsi="宋体"/>
          <w:bCs/>
          <w:szCs w:val="21"/>
        </w:rPr>
      </w:pPr>
      <w:r w:rsidRPr="00664A47">
        <w:rPr>
          <w:rFonts w:ascii="宋体" w:hAnsi="宋体" w:hint="eastAsia"/>
          <w:bCs/>
          <w:szCs w:val="21"/>
        </w:rPr>
        <w:t>侧袋账户的实施条件、实施程序、运作安排、投资安排、特定资产的处置变现和支付等对投资者权益有重大影响的事项详见招募说明书</w:t>
      </w:r>
      <w:r>
        <w:rPr>
          <w:rFonts w:ascii="宋体" w:hAnsi="宋体" w:hint="eastAsia"/>
          <w:bCs/>
          <w:szCs w:val="21"/>
        </w:rPr>
        <w:t>“</w:t>
      </w:r>
      <w:r w:rsidRPr="00664A47">
        <w:rPr>
          <w:rFonts w:ascii="宋体" w:hAnsi="宋体" w:hint="eastAsia"/>
          <w:bCs/>
          <w:szCs w:val="21"/>
        </w:rPr>
        <w:t>侧袋机制</w:t>
      </w:r>
      <w:r>
        <w:rPr>
          <w:rFonts w:ascii="宋体" w:hAnsi="宋体" w:hint="eastAsia"/>
          <w:bCs/>
          <w:szCs w:val="21"/>
        </w:rPr>
        <w:t>”</w:t>
      </w:r>
      <w:r w:rsidRPr="00664A47">
        <w:rPr>
          <w:rFonts w:ascii="宋体" w:hAnsi="宋体" w:hint="eastAsia"/>
          <w:bCs/>
          <w:szCs w:val="21"/>
        </w:rPr>
        <w:t>部分的规定。</w:t>
      </w:r>
      <w:r w:rsidR="00ED6797" w:rsidRPr="00ED6797">
        <w:rPr>
          <w:rFonts w:ascii="宋体" w:hAnsi="宋体"/>
          <w:bCs/>
          <w:szCs w:val="21"/>
        </w:rPr>
        <w:t xml:space="preserve">  </w:t>
      </w:r>
    </w:p>
    <w:p w14:paraId="136F36A6" w14:textId="77777777" w:rsidR="002E3EC6" w:rsidRPr="004F5BE4" w:rsidRDefault="002E3EC6" w:rsidP="00F05D2A">
      <w:pPr>
        <w:pStyle w:val="a8"/>
        <w:adjustRightInd w:val="0"/>
        <w:snapToGrid w:val="0"/>
        <w:spacing w:line="360" w:lineRule="auto"/>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2C90371A"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32" w:name="_Toc274597445"/>
      <w:bookmarkStart w:id="133" w:name="_Toc276542611"/>
      <w:bookmarkStart w:id="134" w:name="_Toc289439343"/>
      <w:bookmarkStart w:id="135" w:name="_Toc297312913"/>
      <w:bookmarkStart w:id="136" w:name="_Toc353955239"/>
      <w:bookmarkStart w:id="137" w:name="_Toc364930797"/>
      <w:bookmarkStart w:id="138" w:name="_Toc382897925"/>
      <w:bookmarkStart w:id="139" w:name="_Toc411503271"/>
      <w:bookmarkStart w:id="140" w:name="_Toc47384197"/>
      <w:r w:rsidRPr="004F5BE4">
        <w:rPr>
          <w:rFonts w:hint="eastAsia"/>
          <w:b w:val="0"/>
        </w:rPr>
        <w:t>基金的财产</w:t>
      </w:r>
      <w:bookmarkEnd w:id="132"/>
      <w:bookmarkEnd w:id="133"/>
      <w:bookmarkEnd w:id="134"/>
      <w:bookmarkEnd w:id="135"/>
      <w:bookmarkEnd w:id="136"/>
      <w:bookmarkEnd w:id="137"/>
      <w:bookmarkEnd w:id="138"/>
      <w:bookmarkEnd w:id="139"/>
      <w:bookmarkEnd w:id="140"/>
    </w:p>
    <w:p w14:paraId="339EAE26"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698BA924" w14:textId="77777777" w:rsidR="00FB771C" w:rsidRPr="00FB771C" w:rsidRDefault="00FB771C" w:rsidP="00FB771C">
      <w:pPr>
        <w:adjustRightInd w:val="0"/>
        <w:snapToGrid w:val="0"/>
        <w:spacing w:line="360" w:lineRule="auto"/>
        <w:ind w:firstLineChars="200" w:firstLine="420"/>
        <w:rPr>
          <w:rFonts w:ascii="宋体" w:hAnsi="宋体"/>
          <w:bCs/>
          <w:szCs w:val="21"/>
        </w:rPr>
      </w:pPr>
      <w:bookmarkStart w:id="141" w:name="_Hlt88900062"/>
      <w:bookmarkStart w:id="142" w:name="_Hlt88841837"/>
      <w:bookmarkEnd w:id="141"/>
      <w:bookmarkEnd w:id="142"/>
      <w:r w:rsidRPr="00FB771C">
        <w:rPr>
          <w:rFonts w:ascii="宋体" w:hAnsi="宋体"/>
          <w:bCs/>
          <w:szCs w:val="21"/>
        </w:rPr>
        <w:t>一、基金资产总值</w:t>
      </w:r>
    </w:p>
    <w:p w14:paraId="2DE4B2E7"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基金资产总值是指购买的各类证券及票据价值、银行存款本息和基金应收的申购基金款以及其他投资所形成的价值总和。</w:t>
      </w:r>
    </w:p>
    <w:p w14:paraId="39B0262E"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35B57985"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二、基金资产净值</w:t>
      </w:r>
    </w:p>
    <w:p w14:paraId="0E03AFBF"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基金资产净值是指基金资产总值减去基金负债后的价值。</w:t>
      </w:r>
    </w:p>
    <w:p w14:paraId="3E79F05A"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67068ED9"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三、基金财产的账户</w:t>
      </w:r>
    </w:p>
    <w:p w14:paraId="01A31917"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基金托管人根据相关法律法规、规范性文件为本基金开立资金</w:t>
      </w:r>
      <w:r w:rsidRPr="00FB771C">
        <w:rPr>
          <w:rFonts w:ascii="宋体" w:hAnsi="宋体" w:hint="eastAsia"/>
          <w:bCs/>
          <w:szCs w:val="21"/>
        </w:rPr>
        <w:t>账户</w:t>
      </w:r>
      <w:r w:rsidRPr="00FB771C">
        <w:rPr>
          <w:rFonts w:ascii="宋体" w:hAnsi="宋体"/>
          <w:bCs/>
          <w:szCs w:val="21"/>
        </w:rPr>
        <w:t>、证券</w:t>
      </w:r>
      <w:r w:rsidRPr="00FB771C">
        <w:rPr>
          <w:rFonts w:ascii="宋体" w:hAnsi="宋体" w:hint="eastAsia"/>
          <w:bCs/>
          <w:szCs w:val="21"/>
        </w:rPr>
        <w:t>账户</w:t>
      </w:r>
      <w:r w:rsidRPr="00FB771C">
        <w:rPr>
          <w:rFonts w:ascii="宋体" w:hAnsi="宋体"/>
          <w:bCs/>
          <w:szCs w:val="21"/>
        </w:rPr>
        <w:t>以及投资所需的其他专用</w:t>
      </w:r>
      <w:r w:rsidRPr="00FB771C">
        <w:rPr>
          <w:rFonts w:ascii="宋体" w:hAnsi="宋体" w:hint="eastAsia"/>
          <w:bCs/>
          <w:szCs w:val="21"/>
        </w:rPr>
        <w:t>账户</w:t>
      </w:r>
      <w:r w:rsidRPr="00FB771C">
        <w:rPr>
          <w:rFonts w:ascii="宋体" w:hAnsi="宋体"/>
          <w:bCs/>
          <w:szCs w:val="21"/>
        </w:rPr>
        <w:t>。开立的基金专用账户与基金管理人、基金托管人、基金销售机构和基金登记机构自有的财产账户以及其他基金财产账户相独立。</w:t>
      </w:r>
    </w:p>
    <w:p w14:paraId="69063D4D" w14:textId="77777777" w:rsidR="00FB771C" w:rsidRPr="00FB771C" w:rsidRDefault="00FB771C" w:rsidP="00FB771C">
      <w:pPr>
        <w:adjustRightInd w:val="0"/>
        <w:snapToGrid w:val="0"/>
        <w:spacing w:line="360" w:lineRule="auto"/>
        <w:ind w:firstLineChars="200" w:firstLine="420"/>
        <w:rPr>
          <w:rFonts w:ascii="宋体" w:hAnsi="宋体"/>
          <w:szCs w:val="21"/>
        </w:rPr>
      </w:pPr>
    </w:p>
    <w:p w14:paraId="2F6AAAC9"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四、基金财产的保管和处分</w:t>
      </w:r>
    </w:p>
    <w:p w14:paraId="2A26B0F8"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本基金财产独立于基金管理人、基金托管人和基金</w:t>
      </w:r>
      <w:r w:rsidRPr="00FB771C">
        <w:rPr>
          <w:rFonts w:ascii="宋体" w:hAnsi="宋体" w:hint="eastAsia"/>
          <w:bCs/>
          <w:szCs w:val="21"/>
        </w:rPr>
        <w:t>销售</w:t>
      </w:r>
      <w:r w:rsidRPr="00FB771C">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95FECAB"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007160A" w14:textId="77777777" w:rsidR="002E3EC6" w:rsidRPr="00FB771C" w:rsidRDefault="002E3EC6" w:rsidP="004F5BE4">
      <w:pPr>
        <w:adjustRightInd w:val="0"/>
        <w:snapToGrid w:val="0"/>
        <w:spacing w:line="360" w:lineRule="auto"/>
        <w:ind w:firstLineChars="200" w:firstLine="420"/>
        <w:rPr>
          <w:rFonts w:ascii="宋体" w:hAnsi="宋体"/>
          <w:szCs w:val="21"/>
        </w:rPr>
      </w:pPr>
    </w:p>
    <w:p w14:paraId="0AE56723"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1DB2539A"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D3E030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43" w:name="_Toc150247487"/>
      <w:bookmarkStart w:id="144" w:name="_Toc150247512"/>
      <w:bookmarkStart w:id="145" w:name="_Toc150247540"/>
      <w:bookmarkStart w:id="146" w:name="_Toc150247565"/>
      <w:bookmarkStart w:id="147" w:name="_Toc150247747"/>
      <w:bookmarkStart w:id="148" w:name="_Toc150247785"/>
      <w:bookmarkStart w:id="149" w:name="_Toc150247812"/>
      <w:bookmarkStart w:id="150" w:name="_Toc150247865"/>
      <w:bookmarkStart w:id="151" w:name="_Toc150247907"/>
      <w:bookmarkStart w:id="152" w:name="_Toc150247963"/>
      <w:bookmarkStart w:id="153" w:name="_Toc150247990"/>
      <w:bookmarkStart w:id="154" w:name="_Toc150248017"/>
      <w:bookmarkStart w:id="155" w:name="_Toc150248043"/>
      <w:bookmarkStart w:id="156" w:name="_Hlt150247881"/>
      <w:bookmarkStart w:id="157" w:name="_Hlt150247925"/>
      <w:bookmarkStart w:id="158" w:name="_Toc274597446"/>
      <w:bookmarkStart w:id="159" w:name="_Toc276542612"/>
      <w:bookmarkStart w:id="160" w:name="_Toc289439344"/>
      <w:bookmarkStart w:id="161" w:name="_Toc297312914"/>
      <w:bookmarkStart w:id="162" w:name="_Toc353955240"/>
      <w:bookmarkStart w:id="163" w:name="_Toc364930798"/>
      <w:bookmarkStart w:id="164" w:name="_Toc382897926"/>
      <w:bookmarkStart w:id="165" w:name="_Toc411503272"/>
      <w:bookmarkStart w:id="166" w:name="_Toc4738419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4F5BE4">
        <w:rPr>
          <w:rFonts w:hint="eastAsia"/>
          <w:b w:val="0"/>
        </w:rPr>
        <w:t>基金资产估值</w:t>
      </w:r>
      <w:bookmarkEnd w:id="158"/>
      <w:bookmarkEnd w:id="159"/>
      <w:bookmarkEnd w:id="160"/>
      <w:bookmarkEnd w:id="161"/>
      <w:bookmarkEnd w:id="162"/>
      <w:bookmarkEnd w:id="163"/>
      <w:bookmarkEnd w:id="164"/>
      <w:bookmarkEnd w:id="165"/>
      <w:bookmarkEnd w:id="166"/>
    </w:p>
    <w:p w14:paraId="2F06F358" w14:textId="77777777" w:rsidR="00C555E8" w:rsidRPr="004F5BE4" w:rsidRDefault="00C555E8" w:rsidP="004F5BE4">
      <w:pPr>
        <w:adjustRightInd w:val="0"/>
        <w:snapToGrid w:val="0"/>
        <w:spacing w:line="360" w:lineRule="auto"/>
        <w:ind w:firstLineChars="225" w:firstLine="473"/>
        <w:rPr>
          <w:rFonts w:ascii="宋体" w:hAnsi="宋体"/>
          <w:szCs w:val="21"/>
        </w:rPr>
      </w:pPr>
    </w:p>
    <w:p w14:paraId="38B23B9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一、估值日</w:t>
      </w:r>
    </w:p>
    <w:p w14:paraId="28A56B7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本基金的估值日为本基金相关的证券交易场所的交易日以及国家法律法规规定需要对外披露基金净值的非交易日。</w:t>
      </w:r>
    </w:p>
    <w:p w14:paraId="6D18C35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二、估值对象</w:t>
      </w:r>
    </w:p>
    <w:p w14:paraId="6A0ADE42" w14:textId="4EC9A006"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基金所拥有的股票、债券</w:t>
      </w:r>
      <w:r w:rsidRPr="00026720">
        <w:rPr>
          <w:rFonts w:asciiTheme="minorEastAsia" w:eastAsiaTheme="minorEastAsia" w:hAnsiTheme="minorEastAsia" w:hint="eastAsia"/>
          <w:bCs/>
          <w:szCs w:val="21"/>
        </w:rPr>
        <w:t>、</w:t>
      </w:r>
      <w:r w:rsidR="00E16DB7" w:rsidRPr="00E16DB7">
        <w:rPr>
          <w:rFonts w:asciiTheme="minorEastAsia" w:eastAsiaTheme="minorEastAsia" w:hAnsiTheme="minorEastAsia" w:hint="eastAsia"/>
          <w:bCs/>
          <w:szCs w:val="21"/>
        </w:rPr>
        <w:t>资产支持证券、</w:t>
      </w:r>
      <w:r w:rsidRPr="00026720">
        <w:rPr>
          <w:rFonts w:asciiTheme="minorEastAsia" w:eastAsiaTheme="minorEastAsia" w:hAnsiTheme="minorEastAsia" w:hint="eastAsia"/>
          <w:bCs/>
          <w:szCs w:val="21"/>
        </w:rPr>
        <w:t>金融衍生品</w:t>
      </w:r>
      <w:r w:rsidRPr="00026720">
        <w:rPr>
          <w:rFonts w:asciiTheme="minorEastAsia" w:eastAsiaTheme="minorEastAsia" w:hAnsiTheme="minorEastAsia"/>
          <w:bCs/>
          <w:szCs w:val="21"/>
        </w:rPr>
        <w:t>和</w:t>
      </w:r>
      <w:r w:rsidRPr="00026720">
        <w:rPr>
          <w:rFonts w:asciiTheme="minorEastAsia" w:eastAsiaTheme="minorEastAsia" w:hAnsiTheme="minorEastAsia" w:hint="eastAsia"/>
          <w:bCs/>
          <w:szCs w:val="21"/>
        </w:rPr>
        <w:t>其他投资等持续以公允价值计量的金融资产</w:t>
      </w:r>
      <w:r w:rsidRPr="00026720">
        <w:rPr>
          <w:rFonts w:asciiTheme="minorEastAsia" w:eastAsiaTheme="minorEastAsia" w:hAnsiTheme="minorEastAsia"/>
          <w:bCs/>
          <w:szCs w:val="21"/>
        </w:rPr>
        <w:t>及负债。</w:t>
      </w:r>
    </w:p>
    <w:p w14:paraId="3DFD7B58" w14:textId="77777777" w:rsidR="00026720" w:rsidRPr="00590880" w:rsidRDefault="00026720" w:rsidP="00590880">
      <w:pPr>
        <w:pStyle w:val="afff9"/>
        <w:numPr>
          <w:ilvl w:val="0"/>
          <w:numId w:val="27"/>
        </w:numPr>
        <w:spacing w:line="360" w:lineRule="auto"/>
        <w:ind w:firstLineChars="0"/>
        <w:rPr>
          <w:rFonts w:asciiTheme="minorEastAsia" w:eastAsiaTheme="minorEastAsia" w:hAnsiTheme="minorEastAsia"/>
          <w:bCs/>
          <w:szCs w:val="21"/>
        </w:rPr>
      </w:pPr>
      <w:r w:rsidRPr="00590880">
        <w:rPr>
          <w:rFonts w:asciiTheme="minorEastAsia" w:eastAsiaTheme="minorEastAsia" w:hAnsiTheme="minorEastAsia" w:hint="eastAsia"/>
          <w:bCs/>
          <w:szCs w:val="21"/>
        </w:rPr>
        <w:t>估值原则</w:t>
      </w:r>
    </w:p>
    <w:p w14:paraId="4071B1FD" w14:textId="77777777" w:rsidR="00026720" w:rsidRPr="00026720" w:rsidRDefault="00026720" w:rsidP="00026720">
      <w:pPr>
        <w:spacing w:line="360" w:lineRule="auto"/>
        <w:rPr>
          <w:rFonts w:asciiTheme="minorEastAsia" w:eastAsiaTheme="minorEastAsia" w:hAnsiTheme="minorEastAsia"/>
          <w:bCs/>
          <w:szCs w:val="21"/>
        </w:rPr>
      </w:pPr>
      <w:r w:rsidRPr="00026720">
        <w:rPr>
          <w:rFonts w:asciiTheme="minorEastAsia" w:eastAsiaTheme="minorEastAsia" w:hAnsiTheme="minorEastAsia"/>
          <w:bCs/>
          <w:szCs w:val="21"/>
        </w:rPr>
        <w:t xml:space="preserve">　　基金管理人在确定相关金融资产和金融负债的公允价值时，应符合《企业会计准则》、监管部门有关规定。</w:t>
      </w:r>
    </w:p>
    <w:p w14:paraId="64C61AA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（一）</w:t>
      </w:r>
      <w:r w:rsidRPr="00026720">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EF8D65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与上述投资品种</w:t>
      </w:r>
      <w:r w:rsidR="0025066C">
        <w:rPr>
          <w:rFonts w:asciiTheme="minorEastAsia" w:eastAsiaTheme="minorEastAsia" w:hAnsiTheme="minorEastAsia" w:hint="eastAsia"/>
          <w:bCs/>
          <w:szCs w:val="21"/>
        </w:rPr>
        <w:t>相同</w:t>
      </w:r>
      <w:r w:rsidRPr="00026720">
        <w:rPr>
          <w:rFonts w:asciiTheme="minorEastAsia" w:eastAsiaTheme="minorEastAsia" w:hAnsiTheme="minorEastAsia"/>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B440D3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（二）</w:t>
      </w:r>
      <w:r w:rsidRPr="00026720">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CBAEA1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（三）</w:t>
      </w:r>
      <w:r w:rsidRPr="00026720">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14:paraId="79B4482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四、</w:t>
      </w:r>
      <w:r w:rsidRPr="00026720">
        <w:rPr>
          <w:rFonts w:asciiTheme="minorEastAsia" w:eastAsiaTheme="minorEastAsia" w:hAnsiTheme="minorEastAsia"/>
          <w:bCs/>
          <w:szCs w:val="21"/>
        </w:rPr>
        <w:t>估值方法</w:t>
      </w:r>
    </w:p>
    <w:p w14:paraId="1440F66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lastRenderedPageBreak/>
        <w:t>1、证券交易所上市的有价证券的估值</w:t>
      </w:r>
    </w:p>
    <w:p w14:paraId="1B39BF8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（1）交易所上市的有价证券（包括股票等），以其估值日在证券交易所挂牌的市价（收盘价）估值；估值日无交易的，且最近交易日后经济环境未发生重大变化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证券发行机构未发生影响证券价格的重大事件的，以最近交易日的市价（收盘价）估值；如最近交易日后经济环境发生了重大变化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证券发行机构发生影响证券价格的重大事件的，可参考类似投资品种的现行市价及重大变化因素，调整最近交易市价，确定公允价格</w:t>
      </w:r>
      <w:r w:rsidRPr="00026720">
        <w:rPr>
          <w:rFonts w:asciiTheme="minorEastAsia" w:eastAsiaTheme="minorEastAsia" w:hAnsiTheme="minorEastAsia" w:hint="eastAsia"/>
          <w:bCs/>
          <w:szCs w:val="21"/>
        </w:rPr>
        <w:t>；</w:t>
      </w:r>
    </w:p>
    <w:p w14:paraId="1175B6C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（2）交易所上市交易或挂牌转让的不含权固定收益品种，选取估值日第三方估值机构提供的相应品种当日的估值净价进行估值；</w:t>
      </w:r>
    </w:p>
    <w:p w14:paraId="6BF09E44"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（3）交易所上市交易或挂牌转让的含权固定收益品种，选取估值日第三方估值机构提供的相应品种当日的唯一估值净价或推荐估值净价进行估值；</w:t>
      </w:r>
    </w:p>
    <w:p w14:paraId="08F4919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（4）交易所上市交易的可转换债券</w:t>
      </w:r>
      <w:r w:rsidRPr="00026720">
        <w:rPr>
          <w:rFonts w:asciiTheme="minorEastAsia" w:eastAsiaTheme="minorEastAsia" w:hAnsiTheme="minorEastAsia" w:hint="eastAsia"/>
          <w:bCs/>
          <w:szCs w:val="21"/>
        </w:rPr>
        <w:t>以每日收盘价作为估值全价；</w:t>
      </w:r>
    </w:p>
    <w:p w14:paraId="2981FD2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）交易所上市不存在活跃市场的有价证券，采用估值技术确定公允价值。</w:t>
      </w:r>
      <w:r w:rsidRPr="00026720">
        <w:rPr>
          <w:rFonts w:asciiTheme="minorEastAsia" w:eastAsiaTheme="minorEastAsia" w:hAnsiTheme="minorEastAsia" w:hint="eastAsia"/>
          <w:bCs/>
          <w:szCs w:val="21"/>
        </w:rPr>
        <w:t>交易所市场挂牌转让</w:t>
      </w:r>
      <w:r w:rsidRPr="00026720">
        <w:rPr>
          <w:rFonts w:asciiTheme="minorEastAsia" w:eastAsiaTheme="minorEastAsia" w:hAnsiTheme="minorEastAsia"/>
          <w:bCs/>
          <w:szCs w:val="21"/>
        </w:rPr>
        <w:t>的资产支持证券，采用估值技术确定公允价值</w:t>
      </w:r>
      <w:r w:rsidRPr="00026720">
        <w:rPr>
          <w:rFonts w:asciiTheme="minorEastAsia" w:eastAsiaTheme="minorEastAsia" w:hAnsiTheme="minorEastAsia" w:hint="eastAsia"/>
          <w:bCs/>
          <w:szCs w:val="21"/>
        </w:rPr>
        <w:t>；</w:t>
      </w:r>
    </w:p>
    <w:p w14:paraId="7AD8F2C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026720">
        <w:rPr>
          <w:rFonts w:asciiTheme="minorEastAsia" w:eastAsiaTheme="minorEastAsia" w:hAnsiTheme="minorEastAsia" w:hint="eastAsia"/>
          <w:bCs/>
          <w:szCs w:val="21"/>
        </w:rPr>
        <w:t>市场活动</w:t>
      </w:r>
      <w:r w:rsidRPr="00026720">
        <w:rPr>
          <w:rFonts w:asciiTheme="minorEastAsia" w:eastAsiaTheme="minorEastAsia" w:hAnsiTheme="minorEastAsia"/>
          <w:bCs/>
          <w:szCs w:val="21"/>
        </w:rPr>
        <w:t>或市场活动很少的情况下，应采用估值技术确定其公允价值。</w:t>
      </w:r>
    </w:p>
    <w:p w14:paraId="6FE72FB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2、处于未上市期间的有价证券应区分如下情况处理：</w:t>
      </w:r>
    </w:p>
    <w:p w14:paraId="131F1EF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（1）送股、转增股、配股和公开增发的</w:t>
      </w:r>
      <w:r w:rsidRPr="00026720">
        <w:rPr>
          <w:rFonts w:asciiTheme="minorEastAsia" w:eastAsiaTheme="minorEastAsia" w:hAnsiTheme="minorEastAsia" w:hint="eastAsia"/>
          <w:bCs/>
          <w:szCs w:val="21"/>
        </w:rPr>
        <w:t>股票</w:t>
      </w:r>
      <w:r w:rsidRPr="00026720">
        <w:rPr>
          <w:rFonts w:asciiTheme="minorEastAsia" w:eastAsiaTheme="minorEastAsia" w:hAnsiTheme="minorEastAsia"/>
          <w:bCs/>
          <w:szCs w:val="21"/>
        </w:rPr>
        <w:t>，按估值日在证券交易所挂牌的同一股票的估值方法估值；该日无交易的，以最近一日的市价（收盘价）估值；</w:t>
      </w:r>
    </w:p>
    <w:p w14:paraId="2BF45B60" w14:textId="2A6D8D52"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（2）首次公开发行未上市</w:t>
      </w:r>
      <w:r w:rsidRPr="00026720">
        <w:rPr>
          <w:rFonts w:asciiTheme="minorEastAsia" w:eastAsiaTheme="minorEastAsia" w:hAnsiTheme="minorEastAsia" w:hint="eastAsia"/>
          <w:bCs/>
          <w:szCs w:val="21"/>
        </w:rPr>
        <w:t>或未挂牌转让</w:t>
      </w:r>
      <w:r w:rsidRPr="00026720">
        <w:rPr>
          <w:rFonts w:asciiTheme="minorEastAsia" w:eastAsiaTheme="minorEastAsia" w:hAnsiTheme="minorEastAsia"/>
          <w:bCs/>
          <w:szCs w:val="21"/>
        </w:rPr>
        <w:t>的股票</w:t>
      </w:r>
      <w:r w:rsidR="002A42F5">
        <w:rPr>
          <w:rFonts w:asciiTheme="minorEastAsia" w:eastAsiaTheme="minorEastAsia" w:hAnsiTheme="minorEastAsia" w:hint="eastAsia"/>
          <w:bCs/>
          <w:szCs w:val="21"/>
        </w:rPr>
        <w:t>和</w:t>
      </w:r>
      <w:r w:rsidRPr="00026720">
        <w:rPr>
          <w:rFonts w:asciiTheme="minorEastAsia" w:eastAsiaTheme="minorEastAsia" w:hAnsiTheme="minorEastAsia"/>
          <w:bCs/>
          <w:szCs w:val="21"/>
        </w:rPr>
        <w:t>债券，采用估值技术确定公允价值，在估值技术难以可靠计量公允价值的情况下，按成本估值</w:t>
      </w:r>
      <w:r w:rsidR="001C2B16">
        <w:rPr>
          <w:rFonts w:asciiTheme="minorEastAsia" w:eastAsiaTheme="minorEastAsia" w:hAnsiTheme="minorEastAsia" w:hint="eastAsia"/>
          <w:bCs/>
          <w:szCs w:val="21"/>
        </w:rPr>
        <w:t>；</w:t>
      </w:r>
    </w:p>
    <w:p w14:paraId="586243B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CCBEAF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026720">
        <w:rPr>
          <w:rFonts w:asciiTheme="minorEastAsia" w:eastAsiaTheme="minorEastAsia" w:hAnsiTheme="minorEastAsia" w:hint="eastAsia"/>
          <w:bCs/>
          <w:szCs w:val="21"/>
        </w:rPr>
        <w:t>期</w:t>
      </w:r>
      <w:r w:rsidRPr="00026720">
        <w:rPr>
          <w:rFonts w:asciiTheme="minorEastAsia" w:eastAsiaTheme="minorEastAsia" w:hAnsiTheme="minorEastAsia"/>
          <w:bCs/>
          <w:szCs w:val="21"/>
        </w:rPr>
        <w:t>截止日（含当日）后未行使回售权的按照长待偿期所对应的价格进行估值。对银行</w:t>
      </w:r>
      <w:r w:rsidRPr="00026720">
        <w:rPr>
          <w:rFonts w:asciiTheme="minorEastAsia" w:eastAsiaTheme="minorEastAsia" w:hAnsiTheme="minorEastAsia"/>
          <w:bCs/>
          <w:szCs w:val="21"/>
        </w:rPr>
        <w:lastRenderedPageBreak/>
        <w:t>间市场未上市，且第三方估值机构未提供估值价格的债券，在发行利率与二级市场利率不存在明显差异，未上市期间市场利率没有发生大的变动的情况下，按成本估值。</w:t>
      </w:r>
    </w:p>
    <w:p w14:paraId="4602D84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w:t>
      </w:r>
      <w:r w:rsidRPr="00026720">
        <w:rPr>
          <w:rFonts w:asciiTheme="minorEastAsia" w:eastAsiaTheme="minorEastAsia" w:hAnsiTheme="minorEastAsia" w:hint="eastAsia"/>
          <w:bCs/>
          <w:szCs w:val="21"/>
        </w:rPr>
        <w:t>同一证券同时在两个或两个以上市场交易的，按证券所处的市场分别估值。</w:t>
      </w:r>
    </w:p>
    <w:p w14:paraId="762F287A" w14:textId="47D34E8B"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5</w:t>
      </w:r>
      <w:r w:rsidRPr="00026720">
        <w:rPr>
          <w:rFonts w:asciiTheme="minorEastAsia" w:eastAsiaTheme="minorEastAsia" w:hAnsiTheme="minorEastAsia" w:hint="eastAsia"/>
          <w:bCs/>
          <w:szCs w:val="21"/>
        </w:rPr>
        <w:t>、本基金投资股指期货、国债期货</w:t>
      </w:r>
      <w:r w:rsidR="001C2B16">
        <w:rPr>
          <w:rFonts w:asciiTheme="minorEastAsia" w:eastAsiaTheme="minorEastAsia" w:hAnsiTheme="minorEastAsia" w:hint="eastAsia"/>
          <w:bCs/>
          <w:szCs w:val="21"/>
        </w:rPr>
        <w:t>、</w:t>
      </w:r>
      <w:r w:rsidR="00346727">
        <w:rPr>
          <w:rFonts w:asciiTheme="minorEastAsia" w:eastAsiaTheme="minorEastAsia" w:hAnsiTheme="minorEastAsia"/>
          <w:bCs/>
          <w:szCs w:val="21"/>
        </w:rPr>
        <w:t>股票期权</w:t>
      </w:r>
      <w:r w:rsidRPr="00026720">
        <w:rPr>
          <w:rFonts w:asciiTheme="minorEastAsia" w:eastAsiaTheme="minorEastAsia" w:hAnsiTheme="minorEastAsia" w:hint="eastAsia"/>
          <w:bCs/>
          <w:szCs w:val="21"/>
        </w:rPr>
        <w:t>合约，按估值当日结算价进行估值，估值当日无结算价的，且最近交易日后经济环境未发生重大变化的，采用最近交易日结算价估值。</w:t>
      </w:r>
    </w:p>
    <w:p w14:paraId="0A30BB9F"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6</w:t>
      </w:r>
      <w:r w:rsidRPr="00026720">
        <w:rPr>
          <w:rFonts w:asciiTheme="minorEastAsia" w:eastAsiaTheme="minorEastAsia" w:hAnsiTheme="minorEastAsia" w:hint="eastAsia"/>
          <w:bCs/>
          <w:szCs w:val="21"/>
        </w:rPr>
        <w:t>、估值计算中涉及港币对人民币汇率的，将依据下列信息提供机构所提供的汇率为基准：当日中国人民银行</w:t>
      </w:r>
      <w:r w:rsidR="007C2A99" w:rsidRPr="007C2A99">
        <w:rPr>
          <w:rFonts w:asciiTheme="minorEastAsia" w:eastAsiaTheme="minorEastAsia" w:hAnsiTheme="minorEastAsia" w:hint="eastAsia"/>
          <w:bCs/>
          <w:szCs w:val="21"/>
        </w:rPr>
        <w:t>或其授权机构</w:t>
      </w:r>
      <w:r w:rsidRPr="00026720">
        <w:rPr>
          <w:rFonts w:asciiTheme="minorEastAsia" w:eastAsiaTheme="minorEastAsia" w:hAnsiTheme="minorEastAsia" w:hint="eastAsia"/>
          <w:bCs/>
          <w:szCs w:val="21"/>
        </w:rPr>
        <w:t>公布的人民币与港币的中间价。</w:t>
      </w:r>
    </w:p>
    <w:p w14:paraId="0A9A7A7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7、如有确凿证据表明按</w:t>
      </w:r>
      <w:r w:rsidRPr="00026720">
        <w:rPr>
          <w:rFonts w:asciiTheme="minorEastAsia" w:eastAsiaTheme="minorEastAsia" w:hAnsiTheme="minorEastAsia" w:hint="eastAsia"/>
          <w:bCs/>
          <w:szCs w:val="21"/>
        </w:rPr>
        <w:t>原有</w:t>
      </w:r>
      <w:r w:rsidRPr="00026720">
        <w:rPr>
          <w:rFonts w:asciiTheme="minorEastAsia" w:eastAsiaTheme="minorEastAsia" w:hAnsiTheme="minorEastAsia"/>
          <w:bCs/>
          <w:szCs w:val="21"/>
        </w:rPr>
        <w:t>方法进行估值不能客观反映</w:t>
      </w:r>
      <w:r w:rsidRPr="00026720">
        <w:rPr>
          <w:rFonts w:asciiTheme="minorEastAsia" w:eastAsiaTheme="minorEastAsia" w:hAnsiTheme="minorEastAsia" w:hint="eastAsia"/>
          <w:bCs/>
          <w:szCs w:val="21"/>
        </w:rPr>
        <w:t>上述资产或负债</w:t>
      </w:r>
      <w:r w:rsidRPr="00026720">
        <w:rPr>
          <w:rFonts w:asciiTheme="minorEastAsia" w:eastAsiaTheme="minorEastAsia" w:hAnsiTheme="minorEastAsia"/>
          <w:bCs/>
          <w:szCs w:val="21"/>
        </w:rPr>
        <w:t>其公允价值的，基金管理人可根据具体情况与基金托管人商定后，按最能反映公允价值的价格估值。</w:t>
      </w:r>
    </w:p>
    <w:p w14:paraId="6357CC97" w14:textId="7D94D4A2"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8、当发生大额申购或赎回情形时，基金管理人可以采用摆动定价机制，以确保基金估值的公平性。</w:t>
      </w:r>
    </w:p>
    <w:p w14:paraId="51AE529F" w14:textId="65985CC4" w:rsidR="00C34239" w:rsidRPr="00C34239" w:rsidRDefault="00C34239" w:rsidP="00026720">
      <w:pPr>
        <w:spacing w:line="360" w:lineRule="auto"/>
        <w:ind w:firstLineChars="200" w:firstLine="420"/>
        <w:rPr>
          <w:rFonts w:asciiTheme="minorEastAsia" w:eastAsiaTheme="minorEastAsia" w:hAnsiTheme="minorEastAsia"/>
          <w:bCs/>
          <w:szCs w:val="21"/>
          <w:highlight w:val="yellow"/>
        </w:rPr>
      </w:pPr>
      <w:r w:rsidRPr="00C34239">
        <w:rPr>
          <w:rFonts w:asciiTheme="minorEastAsia" w:eastAsiaTheme="minorEastAsia" w:hAnsiTheme="minorEastAsia" w:hint="eastAsia"/>
          <w:bCs/>
          <w:szCs w:val="21"/>
        </w:rPr>
        <w:t>9、本基金投资存托凭证的估值核算依照内地上市交易的股票执行。</w:t>
      </w:r>
    </w:p>
    <w:p w14:paraId="3A5095A5" w14:textId="6493E2D2" w:rsidR="00026720" w:rsidRPr="00026720" w:rsidRDefault="00C34239"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10</w:t>
      </w:r>
      <w:r w:rsidR="00026720" w:rsidRPr="00026720">
        <w:rPr>
          <w:rFonts w:asciiTheme="minorEastAsia" w:eastAsiaTheme="minorEastAsia" w:hAnsiTheme="minorEastAsia"/>
          <w:bCs/>
          <w:szCs w:val="21"/>
        </w:rPr>
        <w:t>、相关法律法规以及监管部门</w:t>
      </w:r>
      <w:r w:rsidR="00026720" w:rsidRPr="00026720">
        <w:rPr>
          <w:rFonts w:asciiTheme="minorEastAsia" w:eastAsiaTheme="minorEastAsia" w:hAnsiTheme="minorEastAsia" w:hint="eastAsia"/>
          <w:bCs/>
          <w:szCs w:val="21"/>
        </w:rPr>
        <w:t>、自律规则另</w:t>
      </w:r>
      <w:r w:rsidR="00026720" w:rsidRPr="00026720">
        <w:rPr>
          <w:rFonts w:asciiTheme="minorEastAsia" w:eastAsiaTheme="minorEastAsia" w:hAnsiTheme="minorEastAsia"/>
          <w:bCs/>
          <w:szCs w:val="21"/>
        </w:rPr>
        <w:t>有强制规定的，从其规定。如有新增事项，按国家最新规定估值。</w:t>
      </w:r>
    </w:p>
    <w:p w14:paraId="4089BE26" w14:textId="77777777" w:rsidR="00026720" w:rsidRPr="00026720" w:rsidRDefault="00026720" w:rsidP="00026720">
      <w:pPr>
        <w:spacing w:line="360" w:lineRule="auto"/>
        <w:ind w:firstLineChars="200" w:firstLine="420"/>
        <w:rPr>
          <w:rStyle w:val="read"/>
          <w:rFonts w:asciiTheme="minorEastAsia" w:eastAsiaTheme="minorEastAsia" w:hAnsiTheme="minorEastAsia"/>
          <w:bCs/>
          <w:szCs w:val="21"/>
        </w:rPr>
      </w:pPr>
      <w:r w:rsidRPr="00026720">
        <w:rPr>
          <w:rStyle w:val="read"/>
          <w:rFonts w:asciiTheme="minorEastAsia" w:eastAsiaTheme="minorEastAsia" w:hAnsiTheme="minor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F507E29" w14:textId="1871883B"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E16DB7">
        <w:rPr>
          <w:rFonts w:asciiTheme="minorEastAsia" w:eastAsiaTheme="minorEastAsia" w:hAnsiTheme="minorEastAsia" w:hint="eastAsia"/>
          <w:bCs/>
          <w:szCs w:val="21"/>
        </w:rPr>
        <w:t>信息</w:t>
      </w:r>
      <w:r w:rsidRPr="00026720">
        <w:rPr>
          <w:rFonts w:asciiTheme="minorEastAsia" w:eastAsiaTheme="minorEastAsia" w:hAnsiTheme="minorEastAsia"/>
          <w:bCs/>
          <w:szCs w:val="21"/>
        </w:rPr>
        <w:t>的计算结果对外予以公布。</w:t>
      </w:r>
      <w:r w:rsidR="00664A47" w:rsidRPr="00664A47">
        <w:rPr>
          <w:rFonts w:asciiTheme="minorEastAsia" w:eastAsiaTheme="minorEastAsia" w:hAnsiTheme="minorEastAsia" w:hint="eastAsia"/>
          <w:bCs/>
          <w:szCs w:val="21"/>
        </w:rPr>
        <w:t>由此给基金份额持有人和基金造成的损失以及因该交易日基金资产净值计算顺延错误而引起的损失，由基金管理人负责赔付。</w:t>
      </w:r>
    </w:p>
    <w:p w14:paraId="4E04DA3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五</w:t>
      </w:r>
      <w:r w:rsidRPr="00026720">
        <w:rPr>
          <w:rFonts w:asciiTheme="minorEastAsia" w:eastAsiaTheme="minorEastAsia" w:hAnsiTheme="minorEastAsia"/>
          <w:bCs/>
          <w:szCs w:val="21"/>
        </w:rPr>
        <w:t>、估值程序</w:t>
      </w:r>
    </w:p>
    <w:p w14:paraId="0D83B3C4" w14:textId="77777777" w:rsidR="008532B5" w:rsidRPr="008532B5" w:rsidRDefault="008532B5" w:rsidP="008532B5">
      <w:pPr>
        <w:spacing w:line="360" w:lineRule="auto"/>
        <w:ind w:firstLineChars="200" w:firstLine="420"/>
        <w:rPr>
          <w:rFonts w:asciiTheme="minorEastAsia" w:eastAsiaTheme="minorEastAsia" w:hAnsiTheme="minorEastAsia"/>
          <w:bCs/>
          <w:szCs w:val="21"/>
        </w:rPr>
      </w:pPr>
      <w:r w:rsidRPr="008532B5">
        <w:rPr>
          <w:rFonts w:asciiTheme="minorEastAsia" w:eastAsiaTheme="minorEastAsia" w:hAnsiTheme="minorEastAsia" w:hint="eastAsia"/>
          <w:bCs/>
          <w:szCs w:val="21"/>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109416FC" w14:textId="77777777" w:rsidR="008532B5" w:rsidRPr="008532B5" w:rsidRDefault="008532B5" w:rsidP="008532B5">
      <w:pPr>
        <w:spacing w:line="360" w:lineRule="auto"/>
        <w:ind w:firstLineChars="200" w:firstLine="420"/>
        <w:rPr>
          <w:rFonts w:asciiTheme="minorEastAsia" w:eastAsiaTheme="minorEastAsia" w:hAnsiTheme="minorEastAsia"/>
          <w:bCs/>
          <w:szCs w:val="21"/>
        </w:rPr>
      </w:pPr>
      <w:r w:rsidRPr="008532B5">
        <w:rPr>
          <w:rFonts w:asciiTheme="minorEastAsia" w:eastAsiaTheme="minorEastAsia" w:hAnsiTheme="minorEastAsia" w:hint="eastAsia"/>
          <w:bCs/>
          <w:szCs w:val="21"/>
        </w:rPr>
        <w:t>基金管理人应每个工作日计算基金资产净值及基金份额净值，并按规定披露。</w:t>
      </w:r>
    </w:p>
    <w:p w14:paraId="1C06B140" w14:textId="33FC7391" w:rsidR="00026720" w:rsidRPr="00026720" w:rsidRDefault="008532B5" w:rsidP="00026720">
      <w:pPr>
        <w:spacing w:line="360" w:lineRule="auto"/>
        <w:ind w:firstLineChars="200" w:firstLine="420"/>
        <w:rPr>
          <w:rFonts w:asciiTheme="minorEastAsia" w:eastAsiaTheme="minorEastAsia" w:hAnsiTheme="minorEastAsia"/>
          <w:bCs/>
          <w:szCs w:val="21"/>
        </w:rPr>
      </w:pPr>
      <w:r w:rsidRPr="008532B5">
        <w:rPr>
          <w:rFonts w:asciiTheme="minorEastAsia" w:eastAsiaTheme="minorEastAsia" w:hAnsiTheme="minorEastAsia" w:hint="eastAsia"/>
          <w:bCs/>
          <w:szCs w:val="21"/>
        </w:rPr>
        <w:t>2、基金管理人应每个工作日对基金资产估值。但基金管理人根据法律法规或本基金合同的规定暂停估值时除外。基金管理人每个工作日对基金资产估值后，将基金份额的基金份</w:t>
      </w:r>
      <w:r w:rsidRPr="008532B5">
        <w:rPr>
          <w:rFonts w:asciiTheme="minorEastAsia" w:eastAsiaTheme="minorEastAsia" w:hAnsiTheme="minorEastAsia" w:hint="eastAsia"/>
          <w:bCs/>
          <w:szCs w:val="21"/>
        </w:rPr>
        <w:lastRenderedPageBreak/>
        <w:t>额净值结果发送基金托管人，经基金托管人复核无误后，由基金管理人对外公布。</w:t>
      </w:r>
    </w:p>
    <w:p w14:paraId="47CAA37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六</w:t>
      </w:r>
      <w:r w:rsidRPr="00026720">
        <w:rPr>
          <w:rFonts w:asciiTheme="minorEastAsia" w:eastAsiaTheme="minorEastAsia" w:hAnsiTheme="minorEastAsia"/>
          <w:bCs/>
          <w:szCs w:val="21"/>
        </w:rPr>
        <w:t>、估值错误的处理</w:t>
      </w:r>
    </w:p>
    <w:p w14:paraId="43EED7F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基金管理人和基金托管人将采取必要、适当、合理的措施确保基金资产估值的准确性、及时性。当基金份额净值小数点后</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位以内(含第</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位)发生估值错误时，视为基金份额净值错误。</w:t>
      </w:r>
    </w:p>
    <w:p w14:paraId="3CDEF0B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基金合同的当事人应按照以下约定处理：</w:t>
      </w:r>
    </w:p>
    <w:p w14:paraId="4FC6B21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1、估值错误类型</w:t>
      </w:r>
    </w:p>
    <w:p w14:paraId="14AA187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C7A0C8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上述估值错误的主要类型包括但不限于：资料申报差错、数据传输差错、数据计算差错、系统故障差错、下达指令差错等。</w:t>
      </w:r>
      <w:r w:rsidRPr="00026720">
        <w:rPr>
          <w:rFonts w:asciiTheme="minorEastAsia" w:eastAsiaTheme="minorEastAsia" w:hAnsiTheme="minorEastAsia" w:hint="eastAsia"/>
          <w:bCs/>
          <w:szCs w:val="21"/>
        </w:rPr>
        <w:t>对于因技术原因引起的差错，若系同行业现有技术水平不能预见、不能避免、不能克服，则属不可抗力，按照下述规定执行。</w:t>
      </w:r>
    </w:p>
    <w:p w14:paraId="513ED1A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71FE129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2、估值错误处理原则</w:t>
      </w:r>
    </w:p>
    <w:p w14:paraId="3B1C0EA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E6B412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33AEAA1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w:t>
      </w:r>
      <w:r w:rsidRPr="00026720">
        <w:rPr>
          <w:rFonts w:asciiTheme="minorEastAsia" w:eastAsiaTheme="minorEastAsia" w:hAnsiTheme="minorEastAsia"/>
          <w:bCs/>
          <w:szCs w:val="21"/>
        </w:rPr>
        <w:lastRenderedPageBreak/>
        <w:t>不当得利的当事人已经将此部分不当得利返还给受损方，则受损方应当将其已经获得的赔偿额加上已经获得的不当得利返还的总和超过其实际损失的差额部分支付给估值错误责任方。</w:t>
      </w:r>
    </w:p>
    <w:p w14:paraId="4EC00E0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）估值错误调整采用尽量恢复至假设未发生估值错误的正确情形的方式。</w:t>
      </w:r>
    </w:p>
    <w:p w14:paraId="38E7A61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3、估值错误处理程序</w:t>
      </w:r>
    </w:p>
    <w:p w14:paraId="29DBC85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估值错误被发现后，有关的当事人应当及时进行处理，处理的程序如下：</w:t>
      </w:r>
    </w:p>
    <w:p w14:paraId="6FA1F22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（1）查明估值错误发生的原因，列明所有的当事人，并根据估值错误发生的原因确定估值错误的责任方；</w:t>
      </w:r>
    </w:p>
    <w:p w14:paraId="32D454C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）根据估值错误处理原则或当事人协商的方法对因估值错误造成的损失进行评估；</w:t>
      </w:r>
    </w:p>
    <w:p w14:paraId="16C54B8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）根据估值错误处理原则或当事人协商的方法由估值错误的责任方进行更正和赔偿损失；</w:t>
      </w:r>
    </w:p>
    <w:p w14:paraId="29F06AB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14:paraId="0739D58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4、基金份额净值估值错误处理的方法如下：</w:t>
      </w:r>
    </w:p>
    <w:p w14:paraId="50C2667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4CE2318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）错误偏差达到基金份额净值的0.25%时，基金管理人应当通报基金托管人并报中国证监会备案；错误偏差达到基金份额净值的0.5%时，基金管理人应当公告，并报中国证监会备案。</w:t>
      </w:r>
    </w:p>
    <w:p w14:paraId="1C92243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）前述内容如法律法规或监管机关另有规定的，从其规定处理。</w:t>
      </w:r>
    </w:p>
    <w:p w14:paraId="2D85141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七</w:t>
      </w:r>
      <w:r w:rsidRPr="00026720">
        <w:rPr>
          <w:rFonts w:asciiTheme="minorEastAsia" w:eastAsiaTheme="minorEastAsia" w:hAnsiTheme="minorEastAsia"/>
          <w:bCs/>
          <w:szCs w:val="21"/>
        </w:rPr>
        <w:t>、暂停估值的情形</w:t>
      </w:r>
    </w:p>
    <w:p w14:paraId="6560D80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1、基金投资所涉及的证券</w:t>
      </w:r>
      <w:r w:rsidRPr="00026720">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交易市场遇法定节假日或因其他原因暂停营业时；</w:t>
      </w:r>
    </w:p>
    <w:p w14:paraId="4F4D43D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2、因不可抗力致使基金管理人、基金托管人无法准确评估基金资产价值时；</w:t>
      </w:r>
    </w:p>
    <w:p w14:paraId="0804ED72" w14:textId="77777777" w:rsidR="00B964A1" w:rsidRPr="00B964A1" w:rsidRDefault="00B964A1" w:rsidP="00B964A1">
      <w:pPr>
        <w:spacing w:line="360" w:lineRule="auto"/>
        <w:ind w:firstLineChars="200" w:firstLine="420"/>
        <w:rPr>
          <w:rFonts w:asciiTheme="minorEastAsia" w:eastAsiaTheme="minorEastAsia" w:hAnsiTheme="minorEastAsia"/>
          <w:bCs/>
          <w:szCs w:val="21"/>
        </w:rPr>
      </w:pPr>
      <w:r w:rsidRPr="00B964A1">
        <w:rPr>
          <w:rFonts w:asciiTheme="minorEastAsia" w:eastAsiaTheme="minorEastAsia" w:hAnsiTheme="minorEastAsia"/>
          <w:bCs/>
          <w:szCs w:val="21"/>
        </w:rPr>
        <w:t>3</w:t>
      </w:r>
      <w:r w:rsidRPr="00B964A1">
        <w:rPr>
          <w:rFonts w:asciiTheme="minorEastAsia" w:eastAsiaTheme="minorEastAsia" w:hAnsiTheme="minorEastAsia" w:hint="eastAsia"/>
          <w:bCs/>
          <w:szCs w:val="21"/>
        </w:rPr>
        <w:t>、当特定资产占前一估值日基金资产净值</w:t>
      </w:r>
      <w:r w:rsidRPr="00B964A1">
        <w:rPr>
          <w:rFonts w:asciiTheme="minorEastAsia" w:eastAsiaTheme="minorEastAsia" w:hAnsiTheme="minorEastAsia"/>
          <w:bCs/>
          <w:szCs w:val="21"/>
        </w:rPr>
        <w:t>50%</w:t>
      </w:r>
      <w:r w:rsidRPr="00B964A1">
        <w:rPr>
          <w:rFonts w:asciiTheme="minorEastAsia" w:eastAsiaTheme="minorEastAsia" w:hAnsiTheme="minorEastAsia" w:hint="eastAsia"/>
          <w:bCs/>
          <w:szCs w:val="21"/>
        </w:rPr>
        <w:t>以上的，经与基金托管人协商确认后，基金管理人应当暂停估值；</w:t>
      </w:r>
    </w:p>
    <w:p w14:paraId="4DCD8F0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、中国证监会和基金合同认定的其它情形。</w:t>
      </w:r>
    </w:p>
    <w:p w14:paraId="61F4F062"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八</w:t>
      </w:r>
      <w:r w:rsidRPr="00026720">
        <w:rPr>
          <w:rFonts w:asciiTheme="minorEastAsia" w:eastAsiaTheme="minorEastAsia" w:hAnsiTheme="minorEastAsia"/>
          <w:bCs/>
          <w:szCs w:val="21"/>
        </w:rPr>
        <w:t>、基金净值的确认</w:t>
      </w:r>
    </w:p>
    <w:p w14:paraId="63C080AD" w14:textId="5C924C69" w:rsidR="001C2B16" w:rsidRPr="00026720" w:rsidRDefault="001C2B16" w:rsidP="001C2B16">
      <w:pPr>
        <w:spacing w:line="360" w:lineRule="auto"/>
        <w:ind w:firstLineChars="200" w:firstLine="420"/>
        <w:rPr>
          <w:rFonts w:asciiTheme="minorEastAsia" w:eastAsiaTheme="minorEastAsia" w:hAnsiTheme="minorEastAsia"/>
          <w:bCs/>
          <w:szCs w:val="21"/>
        </w:rPr>
      </w:pPr>
      <w:r w:rsidRPr="008532B5">
        <w:rPr>
          <w:rFonts w:asciiTheme="minorEastAsia" w:eastAsiaTheme="minorEastAsia" w:hAnsiTheme="minorEastAsia" w:hint="eastAsia"/>
          <w:bCs/>
          <w:szCs w:val="21"/>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C1F914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lastRenderedPageBreak/>
        <w:t>九、特殊情况的处理</w:t>
      </w:r>
    </w:p>
    <w:p w14:paraId="421438C4"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Pr="00026720">
        <w:rPr>
          <w:rFonts w:asciiTheme="minorEastAsia" w:eastAsiaTheme="minorEastAsia" w:hAnsiTheme="minorEastAsia" w:hint="eastAsia"/>
          <w:bCs/>
          <w:szCs w:val="21"/>
        </w:rPr>
        <w:t>、基金管理人或基金托管人按估值方法的第</w:t>
      </w:r>
      <w:r w:rsidRPr="00026720">
        <w:rPr>
          <w:rFonts w:asciiTheme="minorEastAsia" w:eastAsiaTheme="minorEastAsia" w:hAnsiTheme="minorEastAsia"/>
          <w:bCs/>
          <w:szCs w:val="21"/>
        </w:rPr>
        <w:t>7</w:t>
      </w:r>
      <w:r w:rsidRPr="00026720">
        <w:rPr>
          <w:rFonts w:asciiTheme="minorEastAsia" w:eastAsiaTheme="minorEastAsia" w:hAnsiTheme="minorEastAsia" w:hint="eastAsia"/>
          <w:bCs/>
          <w:szCs w:val="21"/>
        </w:rPr>
        <w:t>项进行估值时，所造成的误差不作为基金资产估值错误处理。</w:t>
      </w:r>
    </w:p>
    <w:p w14:paraId="1CD27BFD" w14:textId="77777777"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w:t>
      </w:r>
      <w:r w:rsidRPr="00026720">
        <w:rPr>
          <w:rFonts w:asciiTheme="minorEastAsia" w:eastAsiaTheme="minorEastAsia" w:hAnsiTheme="minorEastAsia" w:hint="eastAsia"/>
          <w:bCs/>
          <w:szCs w:val="21"/>
        </w:rPr>
        <w:t>、由于不可抗力原因，或由于证券交易所、</w:t>
      </w:r>
      <w:r w:rsidRPr="00026720">
        <w:rPr>
          <w:rFonts w:asciiTheme="minorEastAsia" w:eastAsiaTheme="minorEastAsia" w:hAnsiTheme="minorEastAsia"/>
          <w:bCs/>
          <w:szCs w:val="21"/>
        </w:rPr>
        <w:t>期货交易所</w:t>
      </w:r>
      <w:r w:rsidRPr="00026720">
        <w:rPr>
          <w:rFonts w:asciiTheme="minorEastAsia" w:eastAsiaTheme="minorEastAsia" w:hAnsiTheme="minorEastAsia" w:hint="eastAsia"/>
          <w:bCs/>
          <w:szCs w:val="21"/>
        </w:rPr>
        <w:t>、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FCD894D" w14:textId="77777777" w:rsidR="00664A47" w:rsidRPr="00664A47" w:rsidRDefault="00664A47" w:rsidP="00664A47">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十</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实施侧袋机制期间的基金资产估值</w:t>
      </w:r>
    </w:p>
    <w:p w14:paraId="16A2F372" w14:textId="262AF4DB" w:rsidR="00664A47" w:rsidRPr="00026720"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本基金实施侧袋机制的，本基金的估值安排详见招募说明书</w:t>
      </w:r>
      <w:r>
        <w:rPr>
          <w:rFonts w:asciiTheme="minorEastAsia" w:eastAsiaTheme="minorEastAsia" w:hAnsiTheme="minorEastAsia" w:hint="eastAsia"/>
          <w:bCs/>
          <w:szCs w:val="21"/>
        </w:rPr>
        <w:t>“侧袋机制”</w:t>
      </w:r>
      <w:r w:rsidRPr="00664A47">
        <w:rPr>
          <w:rFonts w:asciiTheme="minorEastAsia" w:eastAsiaTheme="minorEastAsia" w:hAnsiTheme="minorEastAsia" w:hint="eastAsia"/>
          <w:bCs/>
          <w:szCs w:val="21"/>
        </w:rPr>
        <w:t>部分的规定。</w:t>
      </w:r>
    </w:p>
    <w:p w14:paraId="51EB6902" w14:textId="77777777" w:rsidR="00E8494F" w:rsidRPr="00026720" w:rsidRDefault="00E8494F" w:rsidP="00E8494F">
      <w:pPr>
        <w:snapToGrid w:val="0"/>
        <w:spacing w:line="360" w:lineRule="auto"/>
        <w:ind w:firstLineChars="200" w:firstLine="420"/>
        <w:rPr>
          <w:bCs/>
          <w:szCs w:val="21"/>
        </w:rPr>
      </w:pPr>
    </w:p>
    <w:p w14:paraId="4F28523C"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58E79FD6"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48EBBEFE"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170ADF7B"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67" w:name="_Toc150247514"/>
      <w:bookmarkStart w:id="168" w:name="_Toc150247542"/>
      <w:bookmarkStart w:id="169" w:name="_Toc150247567"/>
      <w:bookmarkStart w:id="170" w:name="_Toc150247749"/>
      <w:bookmarkStart w:id="171" w:name="_Toc150247787"/>
      <w:bookmarkStart w:id="172" w:name="_Toc150247814"/>
      <w:bookmarkStart w:id="173" w:name="_Toc150247867"/>
      <w:bookmarkStart w:id="174" w:name="_Toc150247909"/>
      <w:bookmarkStart w:id="175" w:name="_Toc150247965"/>
      <w:bookmarkStart w:id="176" w:name="_Toc150247992"/>
      <w:bookmarkStart w:id="177" w:name="_Toc150248019"/>
      <w:bookmarkStart w:id="178" w:name="_Toc150248045"/>
      <w:bookmarkStart w:id="179" w:name="_Hlt150247528"/>
      <w:bookmarkStart w:id="180" w:name="_Hlt150247850"/>
      <w:bookmarkStart w:id="181" w:name="_Hlt150247923"/>
      <w:bookmarkStart w:id="182" w:name="_Toc274597447"/>
      <w:bookmarkStart w:id="183" w:name="_Toc276542613"/>
      <w:bookmarkStart w:id="184" w:name="_Toc289439345"/>
      <w:bookmarkStart w:id="185" w:name="_Toc297312915"/>
      <w:bookmarkStart w:id="186" w:name="_Toc353955241"/>
      <w:bookmarkStart w:id="187" w:name="_Toc364930799"/>
      <w:bookmarkStart w:id="188" w:name="_Toc382897927"/>
      <w:bookmarkStart w:id="189" w:name="_Toc411503273"/>
      <w:bookmarkStart w:id="190" w:name="_Toc4738419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F5BE4">
        <w:rPr>
          <w:rFonts w:hint="eastAsia"/>
          <w:b w:val="0"/>
        </w:rPr>
        <w:t>基金的收益与分配</w:t>
      </w:r>
      <w:bookmarkEnd w:id="182"/>
      <w:bookmarkEnd w:id="183"/>
      <w:bookmarkEnd w:id="184"/>
      <w:bookmarkEnd w:id="185"/>
      <w:bookmarkEnd w:id="186"/>
      <w:bookmarkEnd w:id="187"/>
      <w:bookmarkEnd w:id="188"/>
      <w:bookmarkEnd w:id="189"/>
      <w:bookmarkEnd w:id="190"/>
    </w:p>
    <w:p w14:paraId="172C36EC"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643A8EB" w14:textId="77777777" w:rsidR="00E8494F" w:rsidRDefault="00E8494F" w:rsidP="00E8494F">
      <w:pPr>
        <w:spacing w:line="360" w:lineRule="auto"/>
        <w:ind w:firstLineChars="225" w:firstLine="473"/>
        <w:rPr>
          <w:rFonts w:ascii="宋体"/>
          <w:bCs/>
          <w:szCs w:val="21"/>
        </w:rPr>
      </w:pPr>
      <w:r>
        <w:rPr>
          <w:rFonts w:ascii="宋体"/>
          <w:bCs/>
          <w:szCs w:val="21"/>
        </w:rPr>
        <w:t>一、基金利润的构成</w:t>
      </w:r>
    </w:p>
    <w:p w14:paraId="3CB40727" w14:textId="77777777" w:rsidR="00E8494F" w:rsidRDefault="00E8494F" w:rsidP="00E8494F">
      <w:pPr>
        <w:spacing w:line="360" w:lineRule="auto"/>
        <w:ind w:firstLineChars="225" w:firstLine="473"/>
        <w:rPr>
          <w:rFonts w:ascii="宋体"/>
          <w:bCs/>
          <w:szCs w:val="21"/>
        </w:rPr>
      </w:pPr>
      <w:r>
        <w:rPr>
          <w:rFonts w:ascii="宋体"/>
          <w:bCs/>
          <w:szCs w:val="21"/>
        </w:rPr>
        <w:t>基金利润指基金利息收入、投资收益、公允价值变动收益和其他收入扣除相关费用后的余额，基金已实现收益指基金利润减去公允价值变动收益后的余额。</w:t>
      </w:r>
    </w:p>
    <w:p w14:paraId="61833D74" w14:textId="77777777" w:rsidR="00E8494F" w:rsidRDefault="00E8494F" w:rsidP="00E8494F">
      <w:pPr>
        <w:spacing w:line="360" w:lineRule="auto"/>
        <w:ind w:firstLineChars="225" w:firstLine="473"/>
        <w:rPr>
          <w:rFonts w:ascii="宋体"/>
          <w:bCs/>
          <w:szCs w:val="21"/>
        </w:rPr>
      </w:pPr>
    </w:p>
    <w:p w14:paraId="02D986A0" w14:textId="77777777" w:rsidR="00E8494F" w:rsidRDefault="00E8494F" w:rsidP="00E8494F">
      <w:pPr>
        <w:spacing w:line="360" w:lineRule="auto"/>
        <w:ind w:firstLineChars="225" w:firstLine="473"/>
        <w:rPr>
          <w:rFonts w:ascii="宋体"/>
          <w:bCs/>
          <w:szCs w:val="21"/>
        </w:rPr>
      </w:pPr>
      <w:r>
        <w:rPr>
          <w:rFonts w:ascii="宋体"/>
          <w:bCs/>
          <w:szCs w:val="21"/>
        </w:rPr>
        <w:t>二、基金可供分配利润</w:t>
      </w:r>
    </w:p>
    <w:p w14:paraId="6E0E68C9" w14:textId="77777777" w:rsidR="00E8494F" w:rsidRDefault="00E8494F" w:rsidP="00E8494F">
      <w:pPr>
        <w:spacing w:line="360" w:lineRule="auto"/>
        <w:ind w:firstLineChars="225" w:firstLine="473"/>
        <w:rPr>
          <w:rFonts w:ascii="宋体"/>
          <w:bCs/>
          <w:szCs w:val="21"/>
        </w:rPr>
      </w:pPr>
      <w:r>
        <w:rPr>
          <w:rFonts w:ascii="宋体"/>
          <w:bCs/>
          <w:szCs w:val="21"/>
        </w:rPr>
        <w:t>基金可供分配利润指截至收益分配基准日基金未分配利润与未分配利润中已实现收益的孰低数。</w:t>
      </w:r>
    </w:p>
    <w:p w14:paraId="39D6DDDC" w14:textId="77777777" w:rsidR="00E8494F" w:rsidRPr="009514F0" w:rsidRDefault="00E8494F" w:rsidP="00E8494F">
      <w:pPr>
        <w:spacing w:line="360" w:lineRule="auto"/>
        <w:ind w:firstLineChars="225" w:firstLine="473"/>
        <w:rPr>
          <w:rFonts w:ascii="宋体"/>
          <w:bCs/>
          <w:szCs w:val="21"/>
        </w:rPr>
      </w:pPr>
    </w:p>
    <w:p w14:paraId="030A0EA0" w14:textId="77777777" w:rsidR="00E8494F" w:rsidRDefault="00E8494F" w:rsidP="00E8494F">
      <w:pPr>
        <w:spacing w:line="360" w:lineRule="auto"/>
        <w:ind w:firstLineChars="225" w:firstLine="473"/>
        <w:rPr>
          <w:rFonts w:ascii="宋体"/>
          <w:bCs/>
          <w:szCs w:val="21"/>
        </w:rPr>
      </w:pPr>
      <w:r>
        <w:rPr>
          <w:rFonts w:ascii="宋体"/>
          <w:bCs/>
          <w:szCs w:val="21"/>
        </w:rPr>
        <w:t>三、基金收益分配原则</w:t>
      </w:r>
    </w:p>
    <w:p w14:paraId="71C64964" w14:textId="77777777" w:rsidR="008532B5" w:rsidRPr="008532B5" w:rsidRDefault="008532B5" w:rsidP="008532B5">
      <w:pPr>
        <w:spacing w:line="360" w:lineRule="auto"/>
        <w:ind w:firstLineChars="225" w:firstLine="473"/>
        <w:rPr>
          <w:rFonts w:ascii="宋体"/>
          <w:bCs/>
          <w:szCs w:val="21"/>
        </w:rPr>
      </w:pPr>
      <w:r w:rsidRPr="008532B5">
        <w:rPr>
          <w:rFonts w:asci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5EFA7205" w14:textId="77777777" w:rsidR="008532B5" w:rsidRPr="008532B5" w:rsidRDefault="008532B5" w:rsidP="008532B5">
      <w:pPr>
        <w:spacing w:line="360" w:lineRule="auto"/>
        <w:ind w:firstLineChars="225" w:firstLine="473"/>
        <w:rPr>
          <w:rFonts w:ascii="宋体"/>
          <w:bCs/>
          <w:szCs w:val="21"/>
        </w:rPr>
      </w:pPr>
      <w:r w:rsidRPr="008532B5">
        <w:rPr>
          <w:rFonts w:ascii="宋体" w:hint="eastAsia"/>
          <w:bCs/>
          <w:szCs w:val="21"/>
        </w:rPr>
        <w:t>2、本基金收益分配方式分两种：现金分红与红利再投资，投资者可选择现金红利或将现金红利自动转为基金份额进行再投资；若投资者不选择，本基金默认的收益分配方式是现金分红；</w:t>
      </w:r>
    </w:p>
    <w:p w14:paraId="48F50AD9" w14:textId="77777777" w:rsidR="008532B5" w:rsidRPr="008532B5" w:rsidRDefault="008532B5" w:rsidP="008532B5">
      <w:pPr>
        <w:spacing w:line="360" w:lineRule="auto"/>
        <w:ind w:firstLineChars="225" w:firstLine="473"/>
        <w:rPr>
          <w:rFonts w:ascii="宋体"/>
          <w:bCs/>
          <w:szCs w:val="21"/>
        </w:rPr>
      </w:pPr>
      <w:r w:rsidRPr="008532B5">
        <w:rPr>
          <w:rFonts w:ascii="宋体" w:hint="eastAsia"/>
          <w:bCs/>
          <w:szCs w:val="21"/>
        </w:rPr>
        <w:t>3、基金收益分配后基金份额净值不能低于面值；即基金收益分配基准日的基金份额净值减去每单位基金份额收益分配金额后不能低于面值。</w:t>
      </w:r>
    </w:p>
    <w:p w14:paraId="7BAE0949" w14:textId="77777777" w:rsidR="008532B5" w:rsidRPr="008532B5" w:rsidRDefault="008532B5" w:rsidP="008532B5">
      <w:pPr>
        <w:spacing w:line="360" w:lineRule="auto"/>
        <w:ind w:firstLineChars="225" w:firstLine="473"/>
        <w:rPr>
          <w:rFonts w:ascii="宋体"/>
          <w:bCs/>
          <w:szCs w:val="21"/>
        </w:rPr>
      </w:pPr>
      <w:r w:rsidRPr="008532B5">
        <w:rPr>
          <w:rFonts w:ascii="宋体" w:hint="eastAsia"/>
          <w:bCs/>
          <w:szCs w:val="21"/>
        </w:rPr>
        <w:t>4、每一基金份额享有同等分配权；</w:t>
      </w:r>
    </w:p>
    <w:p w14:paraId="3AA2951F" w14:textId="114AA96A" w:rsidR="00147FAB" w:rsidRPr="00147FAB" w:rsidRDefault="008532B5" w:rsidP="00147FAB">
      <w:pPr>
        <w:spacing w:line="360" w:lineRule="auto"/>
        <w:ind w:firstLineChars="225" w:firstLine="473"/>
        <w:rPr>
          <w:rFonts w:ascii="宋体"/>
          <w:bCs/>
          <w:szCs w:val="21"/>
        </w:rPr>
      </w:pPr>
      <w:r w:rsidRPr="008532B5">
        <w:rPr>
          <w:rFonts w:ascii="宋体" w:hint="eastAsia"/>
          <w:bCs/>
          <w:szCs w:val="21"/>
        </w:rPr>
        <w:t>5、法律法规或监管机关另有规定的，从其规定。</w:t>
      </w:r>
    </w:p>
    <w:p w14:paraId="0A3FAA98" w14:textId="179C1425" w:rsidR="00E8494F" w:rsidRDefault="00147FAB" w:rsidP="00147FAB">
      <w:pPr>
        <w:spacing w:line="360" w:lineRule="auto"/>
        <w:ind w:firstLineChars="225" w:firstLine="473"/>
        <w:rPr>
          <w:rFonts w:ascii="宋体"/>
          <w:bCs/>
          <w:szCs w:val="21"/>
        </w:rPr>
      </w:pPr>
      <w:r w:rsidRPr="00147FAB">
        <w:rPr>
          <w:rFonts w:asci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056975">
        <w:rPr>
          <w:rFonts w:ascii="宋体" w:hint="eastAsia"/>
          <w:bCs/>
          <w:szCs w:val="21"/>
        </w:rPr>
        <w:t>规定媒介</w:t>
      </w:r>
      <w:r w:rsidRPr="00147FAB">
        <w:rPr>
          <w:rFonts w:ascii="宋体" w:hint="eastAsia"/>
          <w:bCs/>
          <w:szCs w:val="21"/>
        </w:rPr>
        <w:t>公告。</w:t>
      </w:r>
    </w:p>
    <w:p w14:paraId="47804503" w14:textId="77777777" w:rsidR="00E8494F" w:rsidRDefault="00E8494F" w:rsidP="00E8494F">
      <w:pPr>
        <w:spacing w:line="360" w:lineRule="auto"/>
        <w:ind w:firstLineChars="225" w:firstLine="473"/>
        <w:rPr>
          <w:rFonts w:ascii="宋体"/>
          <w:bCs/>
          <w:szCs w:val="21"/>
        </w:rPr>
      </w:pPr>
    </w:p>
    <w:p w14:paraId="1EE45BFC" w14:textId="77777777" w:rsidR="00E8494F" w:rsidRDefault="00E8494F" w:rsidP="00E8494F">
      <w:pPr>
        <w:spacing w:line="360" w:lineRule="auto"/>
        <w:ind w:firstLineChars="225" w:firstLine="473"/>
        <w:rPr>
          <w:rFonts w:ascii="宋体"/>
          <w:bCs/>
          <w:szCs w:val="21"/>
        </w:rPr>
      </w:pPr>
      <w:r>
        <w:rPr>
          <w:rFonts w:ascii="宋体"/>
          <w:bCs/>
          <w:szCs w:val="21"/>
        </w:rPr>
        <w:t>四、收益分配方案</w:t>
      </w:r>
    </w:p>
    <w:p w14:paraId="39A9887F" w14:textId="77777777" w:rsidR="00E8494F" w:rsidRDefault="00E8494F" w:rsidP="00E8494F">
      <w:pPr>
        <w:spacing w:line="360" w:lineRule="auto"/>
        <w:ind w:firstLineChars="225" w:firstLine="473"/>
        <w:rPr>
          <w:rFonts w:ascii="宋体"/>
          <w:bCs/>
          <w:szCs w:val="21"/>
        </w:rPr>
      </w:pPr>
      <w:r>
        <w:rPr>
          <w:rFonts w:ascii="宋体"/>
          <w:bCs/>
          <w:szCs w:val="21"/>
        </w:rPr>
        <w:t>基金收益分配方案中应载明截止收益分配基准日的可供分配利润、基金收益分配对象、分配时间、分配数额及比例、分配方式等内容。</w:t>
      </w:r>
    </w:p>
    <w:p w14:paraId="37E64196" w14:textId="77777777" w:rsidR="00E8494F" w:rsidRDefault="00E8494F" w:rsidP="00E8494F">
      <w:pPr>
        <w:spacing w:line="360" w:lineRule="auto"/>
        <w:ind w:firstLineChars="225" w:firstLine="473"/>
        <w:rPr>
          <w:rFonts w:ascii="宋体"/>
          <w:bCs/>
          <w:szCs w:val="21"/>
        </w:rPr>
      </w:pPr>
    </w:p>
    <w:p w14:paraId="176EDBFB" w14:textId="77777777" w:rsidR="00E8494F" w:rsidRDefault="00E8494F" w:rsidP="00E8494F">
      <w:pPr>
        <w:spacing w:line="360" w:lineRule="auto"/>
        <w:ind w:firstLineChars="225" w:firstLine="473"/>
        <w:rPr>
          <w:rFonts w:ascii="宋体"/>
          <w:bCs/>
          <w:szCs w:val="21"/>
        </w:rPr>
      </w:pPr>
      <w:r>
        <w:rPr>
          <w:rFonts w:ascii="宋体"/>
          <w:bCs/>
          <w:szCs w:val="21"/>
        </w:rPr>
        <w:t>五、收益分配方案的确定、公告与实施</w:t>
      </w:r>
    </w:p>
    <w:p w14:paraId="12F9E069" w14:textId="59BD7E1F" w:rsidR="00E8494F" w:rsidRDefault="00E8494F" w:rsidP="00E8494F">
      <w:pPr>
        <w:spacing w:line="360" w:lineRule="auto"/>
        <w:ind w:firstLineChars="225" w:firstLine="473"/>
        <w:rPr>
          <w:rFonts w:ascii="宋体"/>
          <w:bCs/>
          <w:szCs w:val="21"/>
        </w:rPr>
      </w:pPr>
      <w:r>
        <w:rPr>
          <w:rFonts w:ascii="宋体"/>
          <w:bCs/>
          <w:szCs w:val="21"/>
        </w:rPr>
        <w:t>本基金收益分配方案由基金管理人拟定，并由基金托管人复核，</w:t>
      </w:r>
      <w:r w:rsidR="00747307">
        <w:rPr>
          <w:rFonts w:ascii="宋体"/>
          <w:bCs/>
          <w:szCs w:val="21"/>
        </w:rPr>
        <w:t>在2日内在</w:t>
      </w:r>
      <w:r w:rsidR="00056975">
        <w:rPr>
          <w:rFonts w:ascii="宋体"/>
          <w:bCs/>
          <w:szCs w:val="21"/>
        </w:rPr>
        <w:t>规定媒介</w:t>
      </w:r>
      <w:r w:rsidR="00747307">
        <w:rPr>
          <w:rFonts w:ascii="宋体"/>
          <w:bCs/>
          <w:szCs w:val="21"/>
        </w:rPr>
        <w:t>公告</w:t>
      </w:r>
      <w:r>
        <w:rPr>
          <w:rFonts w:ascii="宋体"/>
          <w:bCs/>
          <w:szCs w:val="21"/>
        </w:rPr>
        <w:t>。</w:t>
      </w:r>
    </w:p>
    <w:p w14:paraId="1722E6C7" w14:textId="77777777" w:rsidR="00E8494F" w:rsidRDefault="00E8494F" w:rsidP="00E8494F">
      <w:pPr>
        <w:spacing w:line="360" w:lineRule="auto"/>
        <w:ind w:firstLineChars="225" w:firstLine="473"/>
        <w:rPr>
          <w:rFonts w:ascii="宋体"/>
          <w:bCs/>
          <w:szCs w:val="21"/>
        </w:rPr>
      </w:pPr>
    </w:p>
    <w:p w14:paraId="30FC1079" w14:textId="77777777" w:rsidR="00E8494F" w:rsidRDefault="00E8494F" w:rsidP="00E8494F">
      <w:pPr>
        <w:spacing w:line="360" w:lineRule="auto"/>
        <w:ind w:firstLineChars="225" w:firstLine="473"/>
        <w:rPr>
          <w:rFonts w:ascii="宋体"/>
          <w:bCs/>
          <w:szCs w:val="21"/>
        </w:rPr>
      </w:pPr>
      <w:r>
        <w:rPr>
          <w:rFonts w:ascii="宋体"/>
          <w:bCs/>
          <w:szCs w:val="21"/>
        </w:rPr>
        <w:t>六、基金收益分配中发生的费用</w:t>
      </w:r>
    </w:p>
    <w:p w14:paraId="123031F0" w14:textId="77777777" w:rsidR="008532B5" w:rsidRDefault="008532B5" w:rsidP="004F5BE4">
      <w:pPr>
        <w:adjustRightInd w:val="0"/>
        <w:snapToGrid w:val="0"/>
        <w:spacing w:line="360" w:lineRule="auto"/>
        <w:ind w:firstLineChars="200" w:firstLine="420"/>
        <w:rPr>
          <w:rFonts w:ascii="宋体"/>
          <w:bCs/>
          <w:szCs w:val="21"/>
        </w:rPr>
      </w:pPr>
      <w:r w:rsidRPr="008532B5">
        <w:rPr>
          <w:rFonts w:ascii="宋体"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B39505D" w14:textId="77777777" w:rsidR="002E3EC6" w:rsidRDefault="002E3EC6" w:rsidP="004F5BE4">
      <w:pPr>
        <w:adjustRightInd w:val="0"/>
        <w:snapToGrid w:val="0"/>
        <w:spacing w:line="360" w:lineRule="auto"/>
        <w:ind w:firstLineChars="200" w:firstLine="420"/>
        <w:rPr>
          <w:rFonts w:ascii="宋体" w:hAnsi="宋体"/>
          <w:szCs w:val="21"/>
        </w:rPr>
      </w:pPr>
    </w:p>
    <w:p w14:paraId="4F27869D" w14:textId="77777777" w:rsidR="00664A47" w:rsidRPr="00664A47" w:rsidRDefault="00664A47" w:rsidP="00664A47">
      <w:pPr>
        <w:adjustRightInd w:val="0"/>
        <w:snapToGrid w:val="0"/>
        <w:spacing w:line="360" w:lineRule="auto"/>
        <w:ind w:firstLineChars="200" w:firstLine="420"/>
        <w:rPr>
          <w:rFonts w:ascii="宋体" w:hAnsi="宋体"/>
          <w:szCs w:val="21"/>
        </w:rPr>
      </w:pPr>
      <w:r>
        <w:rPr>
          <w:rFonts w:ascii="宋体" w:hAnsi="宋体"/>
          <w:szCs w:val="21"/>
        </w:rPr>
        <w:t>七</w:t>
      </w:r>
      <w:r>
        <w:rPr>
          <w:rFonts w:ascii="宋体" w:hAnsi="宋体" w:hint="eastAsia"/>
          <w:szCs w:val="21"/>
        </w:rPr>
        <w:t>、</w:t>
      </w:r>
      <w:r w:rsidRPr="00664A47">
        <w:rPr>
          <w:rFonts w:ascii="宋体" w:hAnsi="宋体" w:hint="eastAsia"/>
          <w:szCs w:val="21"/>
        </w:rPr>
        <w:t>实施侧袋机制期间的收益分配</w:t>
      </w:r>
    </w:p>
    <w:p w14:paraId="2DBF3AAC" w14:textId="5D1BF9D2" w:rsidR="00664A47" w:rsidRPr="00E8494F" w:rsidRDefault="00664A47" w:rsidP="00664A47">
      <w:pPr>
        <w:adjustRightInd w:val="0"/>
        <w:snapToGrid w:val="0"/>
        <w:spacing w:line="360" w:lineRule="auto"/>
        <w:ind w:firstLineChars="200" w:firstLine="420"/>
        <w:rPr>
          <w:rFonts w:ascii="宋体" w:hAnsi="宋体"/>
          <w:szCs w:val="21"/>
        </w:rPr>
      </w:pPr>
      <w:r w:rsidRPr="00664A47">
        <w:rPr>
          <w:rFonts w:ascii="宋体" w:hAnsi="宋体" w:hint="eastAsia"/>
          <w:szCs w:val="21"/>
        </w:rPr>
        <w:t>本基金实施侧袋机制的，侧袋账户不进行收益分配。</w:t>
      </w:r>
    </w:p>
    <w:p w14:paraId="30CCBD87"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398FB14B"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8916E8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91" w:name="_Hlt150247934"/>
      <w:bookmarkStart w:id="192" w:name="_Hlt150247927"/>
      <w:bookmarkStart w:id="193" w:name="_Toc274597448"/>
      <w:bookmarkStart w:id="194" w:name="_Toc276542614"/>
      <w:bookmarkStart w:id="195" w:name="_Toc289439346"/>
      <w:bookmarkStart w:id="196" w:name="_Toc297312916"/>
      <w:bookmarkStart w:id="197" w:name="_Toc353955242"/>
      <w:bookmarkStart w:id="198" w:name="_Toc364930800"/>
      <w:bookmarkStart w:id="199" w:name="_Toc382897928"/>
      <w:bookmarkStart w:id="200" w:name="_Toc411503274"/>
      <w:bookmarkStart w:id="201" w:name="_Toc47384200"/>
      <w:bookmarkEnd w:id="191"/>
      <w:bookmarkEnd w:id="192"/>
      <w:r w:rsidRPr="004F5BE4">
        <w:rPr>
          <w:rFonts w:hint="eastAsia"/>
          <w:b w:val="0"/>
        </w:rPr>
        <w:t>基金的费用与税收</w:t>
      </w:r>
      <w:bookmarkEnd w:id="193"/>
      <w:bookmarkEnd w:id="194"/>
      <w:bookmarkEnd w:id="195"/>
      <w:bookmarkEnd w:id="196"/>
      <w:bookmarkEnd w:id="197"/>
      <w:bookmarkEnd w:id="198"/>
      <w:bookmarkEnd w:id="199"/>
      <w:bookmarkEnd w:id="200"/>
      <w:bookmarkEnd w:id="201"/>
    </w:p>
    <w:p w14:paraId="5E48FFB0" w14:textId="77777777" w:rsidR="00C555E8" w:rsidRDefault="00C555E8" w:rsidP="004F5BE4">
      <w:pPr>
        <w:adjustRightInd w:val="0"/>
        <w:snapToGrid w:val="0"/>
        <w:spacing w:line="360" w:lineRule="auto"/>
        <w:ind w:firstLineChars="200" w:firstLine="420"/>
        <w:rPr>
          <w:rFonts w:ascii="宋体" w:hAnsi="宋体"/>
          <w:szCs w:val="21"/>
        </w:rPr>
      </w:pPr>
    </w:p>
    <w:p w14:paraId="3185DEF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一、基金费用的种类</w:t>
      </w:r>
    </w:p>
    <w:p w14:paraId="77C6EC3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1、基金管理人的管理费；</w:t>
      </w:r>
    </w:p>
    <w:p w14:paraId="2560CEF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0DF0198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销售服务费</w:t>
      </w:r>
      <w:r w:rsidRPr="00147FAB">
        <w:rPr>
          <w:rFonts w:asciiTheme="minorEastAsia" w:eastAsiaTheme="minorEastAsia" w:hAnsiTheme="minorEastAsia" w:hint="eastAsia"/>
          <w:bCs/>
          <w:szCs w:val="21"/>
        </w:rPr>
        <w:t>；</w:t>
      </w:r>
    </w:p>
    <w:p w14:paraId="4F0FC39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4、《基金合同》生效后与基金相关的信息披露费用；</w:t>
      </w:r>
    </w:p>
    <w:p w14:paraId="2ACFE54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5、《基金合同》生效后与基金相关的会计师费、律师费</w:t>
      </w:r>
      <w:r w:rsidRPr="00147FAB">
        <w:rPr>
          <w:rFonts w:asciiTheme="minorEastAsia" w:eastAsiaTheme="minorEastAsia" w:hAnsiTheme="minorEastAsia" w:hint="eastAsia"/>
          <w:bCs/>
          <w:szCs w:val="21"/>
        </w:rPr>
        <w:t>、审计费、</w:t>
      </w:r>
      <w:r w:rsidRPr="00147FAB">
        <w:rPr>
          <w:rFonts w:asciiTheme="minorEastAsia" w:eastAsiaTheme="minorEastAsia" w:hAnsiTheme="minorEastAsia"/>
          <w:bCs/>
          <w:szCs w:val="21"/>
        </w:rPr>
        <w:t>诉讼费</w:t>
      </w:r>
      <w:r w:rsidRPr="00147FAB">
        <w:rPr>
          <w:rFonts w:asciiTheme="minorEastAsia" w:eastAsiaTheme="minorEastAsia" w:hAnsiTheme="minorEastAsia" w:hint="eastAsia"/>
          <w:bCs/>
          <w:szCs w:val="21"/>
        </w:rPr>
        <w:t>和仲裁费</w:t>
      </w:r>
      <w:r w:rsidRPr="00147FAB">
        <w:rPr>
          <w:rFonts w:asciiTheme="minorEastAsia" w:eastAsiaTheme="minorEastAsia" w:hAnsiTheme="minorEastAsia"/>
          <w:bCs/>
          <w:szCs w:val="21"/>
        </w:rPr>
        <w:t>；</w:t>
      </w:r>
    </w:p>
    <w:p w14:paraId="049CAC9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6、基金份额持有人大会费用；</w:t>
      </w:r>
    </w:p>
    <w:p w14:paraId="0994F83E" w14:textId="42BA547E"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7、基金的证券</w:t>
      </w:r>
      <w:r w:rsidRPr="00147FAB">
        <w:rPr>
          <w:rFonts w:asciiTheme="minorEastAsia" w:eastAsiaTheme="minorEastAsia" w:hAnsiTheme="minorEastAsia" w:hint="eastAsia"/>
          <w:bCs/>
          <w:szCs w:val="21"/>
        </w:rPr>
        <w:t>/期货</w:t>
      </w:r>
      <w:r w:rsidR="00537FCE" w:rsidRPr="00537FCE">
        <w:rPr>
          <w:rFonts w:asciiTheme="minorEastAsia" w:eastAsiaTheme="minorEastAsia" w:hAnsiTheme="minorEastAsia" w:hint="eastAsia"/>
          <w:bCs/>
          <w:szCs w:val="21"/>
        </w:rPr>
        <w:t>/期权</w:t>
      </w:r>
      <w:r w:rsidRPr="00147FAB">
        <w:rPr>
          <w:rFonts w:asciiTheme="minorEastAsia" w:eastAsiaTheme="minorEastAsia" w:hAnsiTheme="minorEastAsia"/>
          <w:bCs/>
          <w:szCs w:val="21"/>
        </w:rPr>
        <w:t>交易费用；</w:t>
      </w:r>
    </w:p>
    <w:p w14:paraId="3304138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8、基金的银行汇划费用；</w:t>
      </w:r>
    </w:p>
    <w:p w14:paraId="3E6DF3F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9、</w:t>
      </w:r>
      <w:r w:rsidRPr="00147FAB">
        <w:rPr>
          <w:rFonts w:asciiTheme="minorEastAsia" w:eastAsiaTheme="minorEastAsia" w:hAnsiTheme="minorEastAsia" w:hint="eastAsia"/>
          <w:bCs/>
          <w:szCs w:val="21"/>
        </w:rPr>
        <w:t>基金相关账户的开户及维护费用；</w:t>
      </w:r>
    </w:p>
    <w:p w14:paraId="1B342C7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1</w:t>
      </w:r>
      <w:r w:rsidRPr="00147FAB">
        <w:rPr>
          <w:rFonts w:asciiTheme="minorEastAsia" w:eastAsiaTheme="minorEastAsia" w:hAnsiTheme="minorEastAsia"/>
          <w:bCs/>
          <w:szCs w:val="21"/>
        </w:rPr>
        <w:t>0</w:t>
      </w:r>
      <w:r w:rsidRPr="00147FAB">
        <w:rPr>
          <w:rFonts w:asciiTheme="minorEastAsia" w:eastAsiaTheme="minorEastAsia" w:hAnsiTheme="minorEastAsia" w:hint="eastAsia"/>
          <w:bCs/>
          <w:szCs w:val="21"/>
        </w:rPr>
        <w:t>、因投资港股通股票而产生的各项合理费用；</w:t>
      </w:r>
    </w:p>
    <w:p w14:paraId="3B9B52E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11、按照国家有关规定和《基金合同》约定，可以在基金财产中列支的其他费用。</w:t>
      </w:r>
    </w:p>
    <w:p w14:paraId="50C8818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二、基金费用计提方法、计提标准和支付方式</w:t>
      </w:r>
    </w:p>
    <w:p w14:paraId="371DB3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 xml:space="preserve">1、基金管理人的管理费 </w:t>
      </w:r>
    </w:p>
    <w:p w14:paraId="096C6927" w14:textId="699A8C55"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本基金的管理费按前一日基金资产净值的1</w:t>
      </w:r>
      <w:r w:rsidRPr="00147FAB">
        <w:rPr>
          <w:rFonts w:asciiTheme="minorEastAsia" w:eastAsiaTheme="minorEastAsia" w:hAnsiTheme="minorEastAsia" w:hint="eastAsia"/>
          <w:bCs/>
          <w:szCs w:val="21"/>
        </w:rPr>
        <w:t>.</w:t>
      </w:r>
      <w:r w:rsidR="008532B5">
        <w:rPr>
          <w:rFonts w:asciiTheme="minorEastAsia" w:eastAsiaTheme="minorEastAsia" w:hAnsiTheme="minorEastAsia"/>
          <w:bCs/>
          <w:szCs w:val="21"/>
        </w:rPr>
        <w:t>5</w:t>
      </w:r>
      <w:r w:rsidRPr="00147FAB">
        <w:rPr>
          <w:rFonts w:asciiTheme="minorEastAsia" w:eastAsiaTheme="minorEastAsia" w:hAnsiTheme="minorEastAsia"/>
          <w:bCs/>
          <w:szCs w:val="21"/>
        </w:rPr>
        <w:t>%年费率计提。管理费的计算方法如下：</w:t>
      </w:r>
    </w:p>
    <w:p w14:paraId="1F0AB0F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年管理费率</w:t>
      </w:r>
      <w:r w:rsidRPr="00147FAB">
        <w:rPr>
          <w:rFonts w:asciiTheme="minorEastAsia" w:eastAsiaTheme="minorEastAsia" w:hAnsiTheme="minorEastAsia"/>
          <w:bCs/>
          <w:szCs w:val="21"/>
        </w:rPr>
        <w:t>÷当年天数</w:t>
      </w:r>
    </w:p>
    <w:p w14:paraId="7832FB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H为每日应计提的基金管理费</w:t>
      </w:r>
    </w:p>
    <w:p w14:paraId="56D7B6F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E为前一日的基金资产净值</w:t>
      </w:r>
    </w:p>
    <w:p w14:paraId="2C93D7B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w:t>
      </w:r>
      <w:r w:rsidRPr="00147FAB">
        <w:rPr>
          <w:rFonts w:asciiTheme="minorEastAsia" w:eastAsiaTheme="minorEastAsia" w:hAnsiTheme="minorEastAsia" w:hint="eastAsia"/>
          <w:bCs/>
          <w:szCs w:val="21"/>
        </w:rPr>
        <w:t>日</w:t>
      </w:r>
      <w:r w:rsidRPr="00147FAB">
        <w:rPr>
          <w:rFonts w:asciiTheme="minorEastAsia" w:eastAsiaTheme="minorEastAsia" w:hAnsiTheme="minorEastAsia"/>
          <w:bCs/>
          <w:szCs w:val="21"/>
        </w:rPr>
        <w:t>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3EC725C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79001F46" w14:textId="1B54E97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本基金的托管费按前一日基金资产净值的0</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2</w:t>
      </w:r>
      <w:r w:rsidR="008532B5">
        <w:rPr>
          <w:rFonts w:asciiTheme="minorEastAsia" w:eastAsiaTheme="minorEastAsia" w:hAnsiTheme="minorEastAsia"/>
          <w:bCs/>
          <w:szCs w:val="21"/>
        </w:rPr>
        <w:t>5</w:t>
      </w:r>
      <w:r w:rsidRPr="00147FAB">
        <w:rPr>
          <w:rFonts w:asciiTheme="minorEastAsia" w:eastAsiaTheme="minorEastAsia" w:hAnsiTheme="minorEastAsia"/>
          <w:bCs/>
          <w:szCs w:val="21"/>
        </w:rPr>
        <w:t>%的年费率计提。托管费的计算方法如下：</w:t>
      </w:r>
    </w:p>
    <w:p w14:paraId="14BCA92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年托管费率</w:t>
      </w:r>
      <w:r w:rsidRPr="00147FAB">
        <w:rPr>
          <w:rFonts w:asciiTheme="minorEastAsia" w:eastAsiaTheme="minorEastAsia" w:hAnsiTheme="minorEastAsia"/>
          <w:bCs/>
          <w:szCs w:val="21"/>
        </w:rPr>
        <w:t>÷当年天数</w:t>
      </w:r>
    </w:p>
    <w:p w14:paraId="24B3212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H为每日应计提的基金托管费</w:t>
      </w:r>
    </w:p>
    <w:p w14:paraId="070BAE0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E为前一日的基金资产净值</w:t>
      </w:r>
    </w:p>
    <w:p w14:paraId="6620531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bCs/>
          <w:szCs w:val="21"/>
        </w:rPr>
        <w:t>，逐日累计至每月月末，按月支付，</w:t>
      </w:r>
      <w:r w:rsidRPr="00147FAB">
        <w:rPr>
          <w:rFonts w:asciiTheme="minorEastAsia" w:eastAsiaTheme="minorEastAsia" w:hAnsiTheme="minorEastAsia" w:hint="eastAsia"/>
          <w:bCs/>
          <w:szCs w:val="21"/>
        </w:rPr>
        <w:t>由托管人根据与管理人核对一致的财务数据，自动在月初5个工作日内、按照指定的账户路径进行资金支付，管理人无需再出具资金划拨指令</w:t>
      </w:r>
      <w:r w:rsidRPr="00147FAB">
        <w:rPr>
          <w:rFonts w:asciiTheme="minorEastAsia" w:eastAsiaTheme="minorEastAsia" w:hAnsiTheme="minorEastAsia"/>
          <w:bCs/>
          <w:szCs w:val="21"/>
        </w:rPr>
        <w:t>。若遇法定节假日、公休日等,支付日期顺延。</w:t>
      </w:r>
      <w:r w:rsidRPr="00147FAB">
        <w:rPr>
          <w:rFonts w:asciiTheme="minorEastAsia" w:eastAsiaTheme="minorEastAsia" w:hAnsiTheme="minorEastAsia" w:hint="eastAsia"/>
          <w:bCs/>
          <w:szCs w:val="21"/>
        </w:rPr>
        <w:t>费用自动扣划后，管理人应进行核对，如发现数据不符，及时联系托管人协商解决。</w:t>
      </w:r>
    </w:p>
    <w:p w14:paraId="14397A55"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基金销售服务费</w:t>
      </w:r>
    </w:p>
    <w:p w14:paraId="7C16C86C" w14:textId="4A82ECB3"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w:t>
      </w:r>
      <w:r>
        <w:rPr>
          <w:rFonts w:asciiTheme="minorEastAsia" w:eastAsiaTheme="minorEastAsia" w:hAnsiTheme="minorEastAsia" w:hint="eastAsia"/>
          <w:bCs/>
          <w:szCs w:val="21"/>
        </w:rPr>
        <w:t>的</w:t>
      </w:r>
      <w:r w:rsidRPr="00147FAB">
        <w:rPr>
          <w:rFonts w:asciiTheme="minorEastAsia" w:eastAsiaTheme="minorEastAsia" w:hAnsiTheme="minorEastAsia" w:hint="eastAsia"/>
          <w:bCs/>
          <w:szCs w:val="21"/>
        </w:rPr>
        <w:t>销售服务费年费率为0.</w:t>
      </w:r>
      <w:r>
        <w:rPr>
          <w:rFonts w:asciiTheme="minorEastAsia" w:eastAsiaTheme="minorEastAsia" w:hAnsiTheme="minorEastAsia"/>
          <w:bCs/>
          <w:szCs w:val="21"/>
        </w:rPr>
        <w:t>5</w:t>
      </w:r>
      <w:r w:rsidRPr="00147FAB">
        <w:rPr>
          <w:rFonts w:asciiTheme="minorEastAsia" w:eastAsiaTheme="minorEastAsia" w:hAnsiTheme="minorEastAsia" w:hint="eastAsia"/>
          <w:bCs/>
          <w:szCs w:val="21"/>
        </w:rPr>
        <w:t>%。销售服务费计提的计算方法如下：</w:t>
      </w:r>
    </w:p>
    <w:p w14:paraId="1113C442"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H＝E×年销售服务费率÷当年天数</w:t>
      </w:r>
    </w:p>
    <w:p w14:paraId="3E5CD68B" w14:textId="1BBF5F35"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H为每日应计提的基金销售服务费</w:t>
      </w:r>
    </w:p>
    <w:p w14:paraId="0A9F5FAD" w14:textId="17B42602"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E为前一日的基金资产净值</w:t>
      </w:r>
    </w:p>
    <w:p w14:paraId="7430A7D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基金销售服务费每日</w:t>
      </w:r>
      <w:r w:rsidR="0037648D">
        <w:rPr>
          <w:rFonts w:asciiTheme="minorEastAsia" w:eastAsiaTheme="minorEastAsia" w:hAnsiTheme="minorEastAsia" w:hint="eastAsia"/>
          <w:bCs/>
          <w:szCs w:val="21"/>
        </w:rPr>
        <w:t>计提</w:t>
      </w:r>
      <w:r w:rsidRPr="00147FAB">
        <w:rPr>
          <w:rFonts w:asciiTheme="minorEastAsia" w:eastAsiaTheme="minorEastAsia" w:hAnsiTheme="minorEastAsia" w:hint="eastAsia"/>
          <w:bCs/>
          <w:szCs w:val="21"/>
        </w:rPr>
        <w:t>，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09A3C85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上述“一、基金费用的种类</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中第</w:t>
      </w:r>
      <w:r w:rsidR="00590880">
        <w:rPr>
          <w:rFonts w:asciiTheme="minorEastAsia" w:eastAsiaTheme="minorEastAsia" w:hAnsiTheme="minorEastAsia"/>
          <w:bCs/>
          <w:szCs w:val="21"/>
        </w:rPr>
        <w:t>4</w:t>
      </w:r>
      <w:r w:rsidRPr="00147FAB">
        <w:rPr>
          <w:rFonts w:asciiTheme="minorEastAsia" w:eastAsiaTheme="minorEastAsia" w:hAnsiTheme="minorEastAsia"/>
          <w:bCs/>
          <w:szCs w:val="21"/>
        </w:rPr>
        <w:t>－</w:t>
      </w:r>
      <w:r w:rsidR="00590880">
        <w:rPr>
          <w:rFonts w:asciiTheme="minorEastAsia" w:eastAsiaTheme="minorEastAsia" w:hAnsiTheme="minorEastAsia"/>
          <w:bCs/>
          <w:szCs w:val="21"/>
        </w:rPr>
        <w:t>11</w:t>
      </w:r>
      <w:r w:rsidRPr="00147FAB">
        <w:rPr>
          <w:rFonts w:asciiTheme="minorEastAsia" w:eastAsiaTheme="minorEastAsia" w:hAnsiTheme="minorEastAsia"/>
          <w:bCs/>
          <w:szCs w:val="21"/>
        </w:rPr>
        <w:t>项费用，根据有关法规及相应协议规定，按费用实际支出金额列入当期费用，由基金托管人从基金财产中支付。</w:t>
      </w:r>
    </w:p>
    <w:p w14:paraId="6B494E0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三、不列入基金费用的项目</w:t>
      </w:r>
    </w:p>
    <w:p w14:paraId="7642502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下列费用不列入基金费用：</w:t>
      </w:r>
    </w:p>
    <w:p w14:paraId="6909052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1、基金管理人和基金托管人因未履行或未完全履行义务导致的费用支出或基金财产的损失；</w:t>
      </w:r>
    </w:p>
    <w:p w14:paraId="1A18DE6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2、基金管理人和基金托管人处理与基金运作无关的事项发生的费用；</w:t>
      </w:r>
    </w:p>
    <w:p w14:paraId="4717DDD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3、《基金合同》生效前的相关费用；</w:t>
      </w:r>
    </w:p>
    <w:p w14:paraId="79A6808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4、其他根据相关法律法规及中国证监会的有关规定不得列入基金费用的项目。</w:t>
      </w:r>
    </w:p>
    <w:p w14:paraId="5681C0C1" w14:textId="77777777" w:rsidR="006C1B13" w:rsidRDefault="00147FAB" w:rsidP="006C1B13">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w:t>
      </w:r>
      <w:r w:rsidR="006C1B13" w:rsidRPr="00664A47">
        <w:rPr>
          <w:rFonts w:asciiTheme="minorEastAsia" w:eastAsiaTheme="minorEastAsia" w:hAnsiTheme="minorEastAsia" w:hint="eastAsia"/>
          <w:bCs/>
          <w:szCs w:val="21"/>
        </w:rPr>
        <w:t>实施侧袋机制期间的基金费用</w:t>
      </w:r>
    </w:p>
    <w:p w14:paraId="039EC6AB" w14:textId="2B1C028D" w:rsidR="00147FAB" w:rsidRPr="00147FAB" w:rsidRDefault="006C1B13" w:rsidP="006C1B13">
      <w:pPr>
        <w:spacing w:line="360" w:lineRule="auto"/>
        <w:ind w:firstLineChars="200" w:firstLine="420"/>
        <w:rPr>
          <w:rFonts w:asciiTheme="minorEastAsia" w:eastAsiaTheme="minorEastAsia" w:hAnsiTheme="minorEastAsia"/>
          <w:bCs/>
          <w:szCs w:val="21"/>
        </w:rPr>
      </w:pPr>
      <w:r w:rsidRPr="00B964A1">
        <w:rPr>
          <w:rFonts w:asciiTheme="minorEastAsia" w:eastAsiaTheme="minorEastAsia" w:hAnsiTheme="minorEastAsia" w:hint="eastAsia"/>
          <w:bCs/>
          <w:szCs w:val="21"/>
        </w:rPr>
        <w:t>本基金实施侧袋机制的，与侧袋账户有关的费用可以从侧袋账户中列支，但应待侧袋账户资产变现后方可列支，有关费用可酌情收取或减免，但不得收取管理费</w:t>
      </w:r>
      <w:r w:rsidRPr="00664A47">
        <w:rPr>
          <w:rFonts w:asciiTheme="minorEastAsia" w:eastAsiaTheme="minorEastAsia" w:hAnsiTheme="minorEastAsia" w:hint="eastAsia"/>
          <w:bCs/>
          <w:szCs w:val="21"/>
        </w:rPr>
        <w:t>，详见招募说明书</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侧袋机制</w:t>
      </w:r>
      <w:r>
        <w:rPr>
          <w:rFonts w:asciiTheme="minorEastAsia" w:eastAsiaTheme="minorEastAsia" w:hAnsiTheme="minorEastAsia" w:hint="eastAsia"/>
          <w:bCs/>
          <w:szCs w:val="21"/>
        </w:rPr>
        <w:t>”</w:t>
      </w:r>
      <w:r w:rsidRPr="00664A47">
        <w:rPr>
          <w:rFonts w:asciiTheme="minorEastAsia" w:eastAsiaTheme="minorEastAsia" w:hAnsiTheme="minorEastAsia" w:hint="eastAsia"/>
          <w:bCs/>
          <w:szCs w:val="21"/>
        </w:rPr>
        <w:t>部分的规定。</w:t>
      </w:r>
    </w:p>
    <w:p w14:paraId="691BE193" w14:textId="77777777" w:rsidR="003F1C93" w:rsidRDefault="006C1B13" w:rsidP="006C1B13">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五</w:t>
      </w:r>
      <w:r>
        <w:rPr>
          <w:rFonts w:asciiTheme="minorEastAsia" w:eastAsiaTheme="minorEastAsia" w:hAnsiTheme="minorEastAsia" w:hint="eastAsia"/>
          <w:bCs/>
          <w:szCs w:val="21"/>
        </w:rPr>
        <w:t>、</w:t>
      </w:r>
      <w:r w:rsidR="003F1C93" w:rsidRPr="00147FAB">
        <w:rPr>
          <w:rFonts w:asciiTheme="minorEastAsia" w:eastAsiaTheme="minorEastAsia" w:hAnsiTheme="minorEastAsia"/>
          <w:bCs/>
          <w:szCs w:val="21"/>
        </w:rPr>
        <w:t>基金税收</w:t>
      </w:r>
    </w:p>
    <w:p w14:paraId="34554901" w14:textId="68824848" w:rsidR="006C1B13" w:rsidRPr="00147FAB" w:rsidRDefault="006C1B13" w:rsidP="006C1B13">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本基金运作过程中涉及的各纳税主体，其纳税义务按国家税收法律、法规执行。基金财产投资的相关税收，由基金份额持有人承担，基金管理人或者其他扣缴义务人按照国家有关</w:t>
      </w:r>
      <w:r w:rsidRPr="00147FAB">
        <w:rPr>
          <w:rFonts w:asciiTheme="minorEastAsia" w:eastAsiaTheme="minorEastAsia" w:hAnsiTheme="minorEastAsia"/>
          <w:bCs/>
          <w:szCs w:val="21"/>
        </w:rPr>
        <w:lastRenderedPageBreak/>
        <w:t>税收征收的规定代扣代缴。</w:t>
      </w:r>
    </w:p>
    <w:p w14:paraId="66623FA7" w14:textId="77777777" w:rsidR="002E3EC6" w:rsidRPr="004F5BE4" w:rsidRDefault="002E3EC6" w:rsidP="00F05D2A">
      <w:pPr>
        <w:widowControl/>
        <w:spacing w:line="360" w:lineRule="auto"/>
        <w:jc w:val="left"/>
        <w:rPr>
          <w:rFonts w:ascii="宋体" w:hAnsi="宋体"/>
          <w:szCs w:val="21"/>
        </w:rPr>
      </w:pPr>
      <w:r w:rsidRPr="004F5BE4">
        <w:rPr>
          <w:rFonts w:hAnsi="宋体"/>
          <w:szCs w:val="21"/>
        </w:rPr>
        <w:br w:type="page"/>
      </w:r>
    </w:p>
    <w:p w14:paraId="6230D1E4" w14:textId="77777777" w:rsidR="002E3EC6" w:rsidRPr="004F5BE4" w:rsidRDefault="002E3EC6" w:rsidP="00F05D2A">
      <w:pPr>
        <w:pStyle w:val="36"/>
        <w:adjustRightInd w:val="0"/>
        <w:snapToGrid w:val="0"/>
        <w:rPr>
          <w:rFonts w:hAnsi="宋体" w:hint="default"/>
          <w:szCs w:val="21"/>
        </w:rPr>
      </w:pPr>
    </w:p>
    <w:p w14:paraId="05F10B12"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02" w:name="_Toc274597449"/>
      <w:bookmarkStart w:id="203" w:name="_Toc276542615"/>
      <w:bookmarkStart w:id="204" w:name="_Toc289439347"/>
      <w:bookmarkStart w:id="205" w:name="_Toc297312917"/>
      <w:bookmarkStart w:id="206" w:name="_Toc353955243"/>
      <w:bookmarkStart w:id="207" w:name="_Toc364930801"/>
      <w:bookmarkStart w:id="208" w:name="_Toc382897929"/>
      <w:bookmarkStart w:id="209" w:name="_Toc411503275"/>
      <w:bookmarkStart w:id="210" w:name="_Toc47384201"/>
      <w:r w:rsidRPr="004F5BE4">
        <w:rPr>
          <w:rFonts w:hint="eastAsia"/>
          <w:b w:val="0"/>
        </w:rPr>
        <w:t>基金的会计与审计</w:t>
      </w:r>
      <w:bookmarkEnd w:id="202"/>
      <w:bookmarkEnd w:id="203"/>
      <w:bookmarkEnd w:id="204"/>
      <w:bookmarkEnd w:id="205"/>
      <w:bookmarkEnd w:id="206"/>
      <w:bookmarkEnd w:id="207"/>
      <w:bookmarkEnd w:id="208"/>
      <w:bookmarkEnd w:id="209"/>
      <w:bookmarkEnd w:id="210"/>
    </w:p>
    <w:p w14:paraId="0B4272F4"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0F40C413" w14:textId="77777777" w:rsidR="00E8494F" w:rsidRDefault="00E8494F" w:rsidP="00E8494F">
      <w:pPr>
        <w:spacing w:line="360" w:lineRule="auto"/>
        <w:ind w:firstLineChars="200" w:firstLine="420"/>
        <w:rPr>
          <w:rFonts w:ascii="宋体"/>
          <w:bCs/>
          <w:szCs w:val="21"/>
        </w:rPr>
      </w:pPr>
      <w:r>
        <w:rPr>
          <w:rFonts w:ascii="宋体"/>
          <w:bCs/>
          <w:szCs w:val="21"/>
        </w:rPr>
        <w:t>一、基金会计政策</w:t>
      </w:r>
    </w:p>
    <w:p w14:paraId="42AEC0AE" w14:textId="77777777" w:rsidR="00E8494F" w:rsidRDefault="00E8494F" w:rsidP="00E8494F">
      <w:pPr>
        <w:spacing w:line="360" w:lineRule="auto"/>
        <w:ind w:firstLineChars="200" w:firstLine="420"/>
        <w:rPr>
          <w:rFonts w:ascii="宋体"/>
          <w:bCs/>
          <w:szCs w:val="21"/>
        </w:rPr>
      </w:pPr>
      <w:r>
        <w:rPr>
          <w:rFonts w:ascii="宋体"/>
          <w:bCs/>
          <w:szCs w:val="21"/>
        </w:rPr>
        <w:t>1、基金管理人为本基金的基金会计责任方；</w:t>
      </w:r>
    </w:p>
    <w:p w14:paraId="45229A65" w14:textId="77777777" w:rsidR="00E8494F" w:rsidRDefault="00E8494F" w:rsidP="00E8494F">
      <w:pPr>
        <w:spacing w:line="360" w:lineRule="auto"/>
        <w:ind w:firstLineChars="200" w:firstLine="420"/>
        <w:rPr>
          <w:rFonts w:ascii="宋体"/>
          <w:bCs/>
          <w:szCs w:val="21"/>
        </w:rPr>
      </w:pPr>
      <w:r>
        <w:rPr>
          <w:rFonts w:ascii="宋体"/>
          <w:bCs/>
          <w:szCs w:val="21"/>
        </w:rPr>
        <w:t>2、基金的会计年度为公历年度的1月1日至12月31日；基金首次募集的会计年度按如下原则：如果《基金合同》生效少于2个月，可以并入下一个会计年度</w:t>
      </w:r>
      <w:r>
        <w:rPr>
          <w:rFonts w:ascii="宋体" w:hint="eastAsia"/>
          <w:bCs/>
          <w:szCs w:val="21"/>
        </w:rPr>
        <w:t>披露</w:t>
      </w:r>
      <w:r>
        <w:rPr>
          <w:rFonts w:ascii="宋体"/>
          <w:bCs/>
          <w:szCs w:val="21"/>
        </w:rPr>
        <w:t>；</w:t>
      </w:r>
    </w:p>
    <w:p w14:paraId="5B89DD98" w14:textId="77777777" w:rsidR="00E8494F" w:rsidRDefault="00E8494F" w:rsidP="00E8494F">
      <w:pPr>
        <w:spacing w:line="360" w:lineRule="auto"/>
        <w:ind w:firstLineChars="200" w:firstLine="420"/>
        <w:rPr>
          <w:rFonts w:ascii="宋体"/>
          <w:bCs/>
          <w:szCs w:val="21"/>
        </w:rPr>
      </w:pPr>
      <w:r>
        <w:rPr>
          <w:rFonts w:ascii="宋体"/>
          <w:bCs/>
          <w:szCs w:val="21"/>
        </w:rPr>
        <w:t>3、基金核算以人民币为记账本位币，以人民币元为记账单位；</w:t>
      </w:r>
    </w:p>
    <w:p w14:paraId="5307064E" w14:textId="77777777" w:rsidR="00E8494F" w:rsidRDefault="00E8494F" w:rsidP="00E8494F">
      <w:pPr>
        <w:spacing w:line="360" w:lineRule="auto"/>
        <w:ind w:firstLineChars="200" w:firstLine="420"/>
        <w:rPr>
          <w:rFonts w:ascii="宋体"/>
          <w:bCs/>
          <w:szCs w:val="21"/>
        </w:rPr>
      </w:pPr>
      <w:r>
        <w:rPr>
          <w:rFonts w:ascii="宋体"/>
          <w:bCs/>
          <w:szCs w:val="21"/>
        </w:rPr>
        <w:t>4、会计制度执行国家有关会计制度；</w:t>
      </w:r>
    </w:p>
    <w:p w14:paraId="4F89C25D" w14:textId="77777777" w:rsidR="00E8494F" w:rsidRDefault="00E8494F" w:rsidP="00E8494F">
      <w:pPr>
        <w:spacing w:line="360" w:lineRule="auto"/>
        <w:ind w:firstLineChars="200" w:firstLine="420"/>
        <w:rPr>
          <w:rFonts w:ascii="宋体"/>
          <w:bCs/>
          <w:szCs w:val="21"/>
        </w:rPr>
      </w:pPr>
      <w:r>
        <w:rPr>
          <w:rFonts w:ascii="宋体"/>
          <w:bCs/>
          <w:szCs w:val="21"/>
        </w:rPr>
        <w:t>5、本基金独立建账、独立核算；</w:t>
      </w:r>
    </w:p>
    <w:p w14:paraId="72F2566E" w14:textId="77777777" w:rsidR="00E8494F" w:rsidRDefault="00E8494F" w:rsidP="00E8494F">
      <w:pPr>
        <w:spacing w:line="360" w:lineRule="auto"/>
        <w:ind w:firstLineChars="200" w:firstLine="420"/>
        <w:rPr>
          <w:rFonts w:ascii="宋体"/>
          <w:bCs/>
          <w:szCs w:val="21"/>
        </w:rPr>
      </w:pPr>
      <w:r>
        <w:rPr>
          <w:rFonts w:ascii="宋体"/>
          <w:bCs/>
          <w:szCs w:val="21"/>
        </w:rPr>
        <w:t>6、基金管理人及基金托管人各自保留完整的会计账目、凭证并进行日常的会计核算，按照有关规定编制基金会计报表；</w:t>
      </w:r>
    </w:p>
    <w:p w14:paraId="55EAA256" w14:textId="77777777" w:rsidR="00E8494F" w:rsidRDefault="00E8494F" w:rsidP="00E8494F">
      <w:pPr>
        <w:spacing w:line="360" w:lineRule="auto"/>
        <w:ind w:firstLineChars="200" w:firstLine="420"/>
        <w:rPr>
          <w:rFonts w:ascii="宋体"/>
          <w:bCs/>
          <w:szCs w:val="21"/>
        </w:rPr>
      </w:pPr>
      <w:r>
        <w:rPr>
          <w:rFonts w:ascii="宋体"/>
          <w:bCs/>
          <w:szCs w:val="21"/>
        </w:rPr>
        <w:t>7、基金托管人每月与基金管理人就基金的会计核算、报表编制等进行核对并以书面方式确认。</w:t>
      </w:r>
    </w:p>
    <w:p w14:paraId="25629822" w14:textId="77777777" w:rsidR="00E8494F" w:rsidRDefault="00E8494F" w:rsidP="00E8494F">
      <w:pPr>
        <w:spacing w:line="360" w:lineRule="auto"/>
        <w:ind w:firstLineChars="200" w:firstLine="420"/>
        <w:rPr>
          <w:rFonts w:ascii="宋体"/>
          <w:bCs/>
          <w:szCs w:val="21"/>
        </w:rPr>
      </w:pPr>
    </w:p>
    <w:p w14:paraId="5273107D" w14:textId="77777777" w:rsidR="00E8494F" w:rsidRDefault="00E8494F" w:rsidP="00E8494F">
      <w:pPr>
        <w:spacing w:line="360" w:lineRule="auto"/>
        <w:ind w:firstLineChars="200" w:firstLine="420"/>
        <w:rPr>
          <w:rFonts w:ascii="宋体"/>
          <w:bCs/>
          <w:szCs w:val="21"/>
        </w:rPr>
      </w:pPr>
      <w:r>
        <w:rPr>
          <w:rFonts w:ascii="宋体"/>
          <w:bCs/>
          <w:szCs w:val="21"/>
        </w:rPr>
        <w:t>二、基金的年度审计</w:t>
      </w:r>
    </w:p>
    <w:p w14:paraId="234C77D5" w14:textId="546EEFEC" w:rsidR="00E8494F" w:rsidRDefault="00E8494F" w:rsidP="00E8494F">
      <w:pPr>
        <w:spacing w:line="360" w:lineRule="auto"/>
        <w:ind w:firstLineChars="200" w:firstLine="420"/>
        <w:rPr>
          <w:rFonts w:ascii="宋体"/>
          <w:bCs/>
          <w:szCs w:val="21"/>
        </w:rPr>
      </w:pPr>
      <w:r>
        <w:rPr>
          <w:rFonts w:ascii="宋体"/>
          <w:bCs/>
          <w:szCs w:val="21"/>
        </w:rPr>
        <w:t>1、基金管理人聘请与基金管理人、基金托管人相互独立的</w:t>
      </w:r>
      <w:r w:rsidR="00664A47" w:rsidRPr="00664A47">
        <w:rPr>
          <w:rFonts w:ascii="宋体" w:hint="eastAsia"/>
          <w:bCs/>
          <w:szCs w:val="21"/>
        </w:rPr>
        <w:t>符合《证券法》规定</w:t>
      </w:r>
      <w:r>
        <w:rPr>
          <w:rFonts w:ascii="宋体"/>
          <w:bCs/>
          <w:szCs w:val="21"/>
        </w:rPr>
        <w:t>的会计师事务所及其注册会计师对本基金的年度财务报表进行审计。</w:t>
      </w:r>
    </w:p>
    <w:p w14:paraId="479DF9D9" w14:textId="77777777" w:rsidR="00E8494F" w:rsidRDefault="00E8494F" w:rsidP="00E8494F">
      <w:pPr>
        <w:spacing w:line="360" w:lineRule="auto"/>
        <w:ind w:firstLineChars="200" w:firstLine="420"/>
        <w:rPr>
          <w:rFonts w:ascii="宋体"/>
          <w:bCs/>
          <w:szCs w:val="21"/>
        </w:rPr>
      </w:pPr>
      <w:r>
        <w:rPr>
          <w:rFonts w:ascii="宋体"/>
          <w:bCs/>
          <w:szCs w:val="21"/>
        </w:rPr>
        <w:t>2、会计师事务所更换经办注册会计师，应事先征得基金管理人同意。</w:t>
      </w:r>
    </w:p>
    <w:p w14:paraId="1286E103" w14:textId="3EF7227A" w:rsidR="00E8494F" w:rsidRDefault="00E8494F" w:rsidP="00E8494F">
      <w:pPr>
        <w:spacing w:line="360" w:lineRule="auto"/>
        <w:ind w:firstLineChars="200" w:firstLine="420"/>
        <w:rPr>
          <w:rFonts w:ascii="宋体"/>
          <w:bCs/>
          <w:szCs w:val="21"/>
        </w:rPr>
      </w:pPr>
      <w:r>
        <w:rPr>
          <w:rFonts w:ascii="宋体"/>
          <w:bCs/>
          <w:szCs w:val="21"/>
        </w:rPr>
        <w:t>3、</w:t>
      </w:r>
      <w:bookmarkStart w:id="211" w:name="_Hlt4221115"/>
      <w:bookmarkEnd w:id="211"/>
      <w:r>
        <w:rPr>
          <w:rFonts w:ascii="宋体"/>
          <w:bCs/>
          <w:szCs w:val="21"/>
        </w:rPr>
        <w:t>基金管理人认为有充足理由更换会计师事务所，须通报基金托管人。更换会计师事务所需</w:t>
      </w:r>
      <w:r w:rsidR="00747307">
        <w:rPr>
          <w:rFonts w:ascii="宋体"/>
          <w:bCs/>
          <w:szCs w:val="21"/>
        </w:rPr>
        <w:t>在2日内在</w:t>
      </w:r>
      <w:r w:rsidR="00056975">
        <w:rPr>
          <w:rFonts w:ascii="宋体"/>
          <w:bCs/>
          <w:szCs w:val="21"/>
        </w:rPr>
        <w:t>规定媒介</w:t>
      </w:r>
      <w:r w:rsidR="00747307">
        <w:rPr>
          <w:rFonts w:ascii="宋体"/>
          <w:bCs/>
          <w:szCs w:val="21"/>
        </w:rPr>
        <w:t>公告</w:t>
      </w:r>
      <w:r>
        <w:rPr>
          <w:rFonts w:ascii="宋体"/>
          <w:bCs/>
          <w:szCs w:val="21"/>
        </w:rPr>
        <w:t>。</w:t>
      </w:r>
    </w:p>
    <w:p w14:paraId="5B72E823"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62405B75"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A01820D"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06E711CE"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12" w:name="_Toc274597450"/>
      <w:bookmarkStart w:id="213" w:name="_Toc276542616"/>
      <w:bookmarkStart w:id="214" w:name="_Toc289439348"/>
      <w:bookmarkStart w:id="215" w:name="_Toc297312918"/>
      <w:bookmarkStart w:id="216" w:name="_Toc353955244"/>
      <w:bookmarkStart w:id="217" w:name="_Toc364930802"/>
      <w:bookmarkStart w:id="218" w:name="_Toc382897930"/>
      <w:bookmarkStart w:id="219" w:name="_Toc411503276"/>
      <w:bookmarkStart w:id="220" w:name="_Toc47384202"/>
      <w:r w:rsidRPr="004F5BE4">
        <w:rPr>
          <w:rFonts w:hint="eastAsia"/>
          <w:b w:val="0"/>
        </w:rPr>
        <w:t>基金的信息披露</w:t>
      </w:r>
      <w:bookmarkEnd w:id="212"/>
      <w:bookmarkEnd w:id="213"/>
      <w:bookmarkEnd w:id="214"/>
      <w:bookmarkEnd w:id="215"/>
      <w:bookmarkEnd w:id="216"/>
      <w:bookmarkEnd w:id="217"/>
      <w:bookmarkEnd w:id="218"/>
      <w:bookmarkEnd w:id="219"/>
      <w:bookmarkEnd w:id="220"/>
    </w:p>
    <w:p w14:paraId="69A2C095" w14:textId="77777777" w:rsidR="00C555E8" w:rsidRDefault="00C555E8" w:rsidP="004F5BE4">
      <w:pPr>
        <w:adjustRightInd w:val="0"/>
        <w:snapToGrid w:val="0"/>
        <w:spacing w:line="360" w:lineRule="auto"/>
        <w:ind w:firstLineChars="200" w:firstLine="420"/>
        <w:rPr>
          <w:rFonts w:ascii="宋体" w:hAnsi="宋体"/>
          <w:szCs w:val="21"/>
        </w:rPr>
      </w:pPr>
    </w:p>
    <w:p w14:paraId="23C30F8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一、本基金的信息披露应符合《基金法》、《运作办法》、《信息披露办法》、</w:t>
      </w:r>
      <w:r w:rsidRPr="00147FAB">
        <w:rPr>
          <w:rFonts w:asciiTheme="minorEastAsia" w:eastAsiaTheme="minorEastAsia" w:hAnsiTheme="minorEastAsia" w:hint="eastAsia"/>
          <w:bCs/>
          <w:szCs w:val="21"/>
        </w:rPr>
        <w:t>《流动性风险管理规定》、</w:t>
      </w:r>
      <w:r w:rsidRPr="00147FAB">
        <w:rPr>
          <w:rFonts w:asciiTheme="minorEastAsia" w:eastAsiaTheme="minorEastAsia" w:hAnsiTheme="minorEastAsia"/>
          <w:bCs/>
          <w:szCs w:val="21"/>
        </w:rPr>
        <w:t>《基金合同》及其他有关规定。</w:t>
      </w:r>
      <w:r w:rsidRPr="00147FAB">
        <w:rPr>
          <w:rFonts w:asciiTheme="minorEastAsia" w:eastAsiaTheme="minorEastAsia" w:hAnsiTheme="minorEastAsia" w:hint="eastAsia"/>
          <w:bCs/>
          <w:szCs w:val="21"/>
        </w:rPr>
        <w:t>相关法律法规关于信息披露的披露方式、披露内容、登载媒介、报备方式等规定发生变化时，本基金从其最新规定。</w:t>
      </w:r>
    </w:p>
    <w:p w14:paraId="0D37DAD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二、信息披露义务人</w:t>
      </w:r>
    </w:p>
    <w:p w14:paraId="32D2CB9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本基金信息披露义务人包括基金管理人、基金托管人、召集基金份额持有人大会的基金份额持有人等法律法规和中国证监会规定的自然人、</w:t>
      </w:r>
      <w:r w:rsidR="00747307">
        <w:rPr>
          <w:rFonts w:asciiTheme="minorEastAsia" w:eastAsiaTheme="minorEastAsia" w:hAnsiTheme="minorEastAsia"/>
          <w:bCs/>
          <w:szCs w:val="21"/>
        </w:rPr>
        <w:t>法人和非法人组织</w:t>
      </w:r>
      <w:r w:rsidRPr="00147FAB">
        <w:rPr>
          <w:rFonts w:asciiTheme="minorEastAsia" w:eastAsiaTheme="minorEastAsia" w:hAnsiTheme="minorEastAsia"/>
          <w:bCs/>
          <w:szCs w:val="21"/>
        </w:rPr>
        <w:t>。</w:t>
      </w:r>
    </w:p>
    <w:p w14:paraId="5BD9FC4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00747307">
        <w:rPr>
          <w:rFonts w:asciiTheme="minorEastAsia" w:eastAsiaTheme="minorEastAsia" w:hAnsiTheme="minorEastAsia"/>
          <w:bCs/>
          <w:szCs w:val="21"/>
        </w:rPr>
        <w:t>信息披露义务人以保护基金份额持有人利益为根本出发点，按照法律法规和中国证监会的规定披露基金信息，并保证所披露信息的真实性、准确性、完整性、及时性、简明性和易得性</w:t>
      </w:r>
      <w:r w:rsidRPr="00147FAB">
        <w:rPr>
          <w:rFonts w:asciiTheme="minorEastAsia" w:eastAsiaTheme="minorEastAsia" w:hAnsiTheme="minorEastAsia"/>
          <w:bCs/>
          <w:szCs w:val="21"/>
        </w:rPr>
        <w:t>。</w:t>
      </w:r>
    </w:p>
    <w:p w14:paraId="54B0437A" w14:textId="4E2C124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本基金信息披露义务人应当在中国证监会规定时间内，将应予披露的基金信息通过</w:t>
      </w:r>
      <w:r w:rsidR="00CE57DE">
        <w:rPr>
          <w:rFonts w:asciiTheme="minorEastAsia" w:eastAsiaTheme="minorEastAsia" w:hAnsiTheme="minorEastAsia" w:hint="eastAsia"/>
          <w:bCs/>
          <w:szCs w:val="21"/>
        </w:rPr>
        <w:t>符合</w:t>
      </w:r>
      <w:r w:rsidRPr="00147FAB">
        <w:rPr>
          <w:rFonts w:asciiTheme="minorEastAsia" w:eastAsiaTheme="minorEastAsia" w:hAnsiTheme="minorEastAsia"/>
          <w:bCs/>
          <w:szCs w:val="21"/>
        </w:rPr>
        <w:t>中国证监会</w:t>
      </w:r>
      <w:r w:rsidR="00CE57DE">
        <w:rPr>
          <w:rFonts w:asciiTheme="minorEastAsia" w:eastAsiaTheme="minorEastAsia" w:hAnsiTheme="minorEastAsia" w:hint="eastAsia"/>
          <w:bCs/>
          <w:szCs w:val="21"/>
        </w:rPr>
        <w:t>规定</w:t>
      </w:r>
      <w:r w:rsidR="00CE57DE">
        <w:rPr>
          <w:rFonts w:asciiTheme="minorEastAsia" w:eastAsiaTheme="minorEastAsia" w:hAnsiTheme="minorEastAsia"/>
          <w:bCs/>
          <w:szCs w:val="21"/>
        </w:rPr>
        <w:t>条件的</w:t>
      </w:r>
      <w:r w:rsidR="00FB771C" w:rsidRPr="00FB771C">
        <w:rPr>
          <w:rFonts w:asciiTheme="minorEastAsia" w:eastAsiaTheme="minorEastAsia" w:hAnsiTheme="minorEastAsia" w:hint="eastAsia"/>
          <w:bCs/>
          <w:szCs w:val="21"/>
        </w:rPr>
        <w:t>全国性报刊（以下简称“</w:t>
      </w:r>
      <w:r w:rsidR="00056975">
        <w:rPr>
          <w:rFonts w:asciiTheme="minorEastAsia" w:eastAsiaTheme="minorEastAsia" w:hAnsiTheme="minorEastAsia" w:hint="eastAsia"/>
          <w:bCs/>
          <w:szCs w:val="21"/>
        </w:rPr>
        <w:t>规定报刊</w:t>
      </w:r>
      <w:r w:rsidR="00FB771C" w:rsidRPr="00FB771C">
        <w:rPr>
          <w:rFonts w:asciiTheme="minorEastAsia" w:eastAsiaTheme="minorEastAsia" w:hAnsiTheme="minorEastAsia" w:hint="eastAsia"/>
          <w:bCs/>
          <w:szCs w:val="21"/>
        </w:rPr>
        <w:t>”）及</w:t>
      </w:r>
      <w:r w:rsidR="00CE57DE" w:rsidRPr="00CE57DE">
        <w:rPr>
          <w:rFonts w:asciiTheme="minorEastAsia" w:eastAsiaTheme="minorEastAsia" w:hAnsiTheme="minorEastAsia" w:hint="eastAsia"/>
          <w:bCs/>
          <w:szCs w:val="21"/>
        </w:rPr>
        <w:t>《信息披露办法》规定的</w:t>
      </w:r>
      <w:r w:rsidR="00FB771C" w:rsidRPr="00FB771C">
        <w:rPr>
          <w:rFonts w:asciiTheme="minorEastAsia" w:eastAsiaTheme="minorEastAsia" w:hAnsiTheme="minorEastAsia" w:hint="eastAsia"/>
          <w:bCs/>
          <w:szCs w:val="21"/>
        </w:rPr>
        <w:t>互联网网站（以下简称“</w:t>
      </w:r>
      <w:r w:rsidR="00056975">
        <w:rPr>
          <w:rFonts w:asciiTheme="minorEastAsia" w:eastAsiaTheme="minorEastAsia" w:hAnsiTheme="minorEastAsia" w:hint="eastAsia"/>
          <w:bCs/>
          <w:szCs w:val="21"/>
        </w:rPr>
        <w:t>规定网站</w:t>
      </w:r>
      <w:r w:rsidR="00FB771C" w:rsidRPr="00FB771C">
        <w:rPr>
          <w:rFonts w:asciiTheme="minorEastAsia" w:eastAsiaTheme="minorEastAsia" w:hAnsiTheme="minorEastAsia" w:hint="eastAsia"/>
          <w:bCs/>
          <w:szCs w:val="21"/>
        </w:rPr>
        <w:t>”）等</w:t>
      </w:r>
      <w:r w:rsidRPr="00147FAB">
        <w:rPr>
          <w:rFonts w:asciiTheme="minorEastAsia" w:eastAsiaTheme="minorEastAsia" w:hAnsiTheme="minorEastAsia"/>
          <w:bCs/>
          <w:szCs w:val="21"/>
        </w:rPr>
        <w:t>媒介披露，并保证基金投资者能够按照《基金合同》约定的时间和方式查阅或者复制公开披露的信息资料。</w:t>
      </w:r>
    </w:p>
    <w:p w14:paraId="091979B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三、本基金信息披露义务人承诺公开披露的基金信息，不得有下列行为：</w:t>
      </w:r>
    </w:p>
    <w:p w14:paraId="315E0AA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1、虚假记载、误导性陈述或者重大遗漏；</w:t>
      </w:r>
    </w:p>
    <w:p w14:paraId="7FCBD84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2、对证券投资业绩进行预测；</w:t>
      </w:r>
    </w:p>
    <w:p w14:paraId="4A35D2D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3、违规承诺收益或者承担损失；</w:t>
      </w:r>
    </w:p>
    <w:p w14:paraId="0DE59BD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4、诋毁其他基金管理人、基金托管人或者基金销售机构；</w:t>
      </w:r>
    </w:p>
    <w:p w14:paraId="3C97F02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5、登载任何自然人、法人或者</w:t>
      </w:r>
      <w:r w:rsidR="00747307">
        <w:rPr>
          <w:rFonts w:asciiTheme="minorEastAsia" w:eastAsiaTheme="minorEastAsia" w:hAnsiTheme="minorEastAsia"/>
          <w:bCs/>
          <w:szCs w:val="21"/>
        </w:rPr>
        <w:t>非法人组织的</w:t>
      </w:r>
      <w:r w:rsidRPr="00147FAB">
        <w:rPr>
          <w:rFonts w:asciiTheme="minorEastAsia" w:eastAsiaTheme="minorEastAsia" w:hAnsiTheme="minorEastAsia"/>
          <w:bCs/>
          <w:szCs w:val="21"/>
        </w:rPr>
        <w:t>祝贺性、恭维性或推荐性的文字；</w:t>
      </w:r>
    </w:p>
    <w:p w14:paraId="2BE5D83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6、中国证监会禁止的其他行为。</w:t>
      </w:r>
    </w:p>
    <w:p w14:paraId="2BA4CF6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四、本基金公开披露的信息应采用中文文本。如同时采用外文文本的，基金信息披露义务人应保证</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的内容一致。</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发生歧义的，以中文文本为准。</w:t>
      </w:r>
    </w:p>
    <w:p w14:paraId="6CB6AF2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本基金公开披露的信息采用阿拉伯数字；除特别说明外，货币单位为人民币元。</w:t>
      </w:r>
    </w:p>
    <w:p w14:paraId="376AAFE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五、公开披露的基金信息</w:t>
      </w:r>
    </w:p>
    <w:p w14:paraId="12EC170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公开披露的基金信息包括：</w:t>
      </w:r>
    </w:p>
    <w:p w14:paraId="063B372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w:t>
      </w:r>
      <w:r w:rsidR="00747307">
        <w:rPr>
          <w:rFonts w:asciiTheme="minorEastAsia" w:eastAsiaTheme="minorEastAsia" w:hAnsiTheme="minorEastAsia"/>
          <w:bCs/>
          <w:szCs w:val="21"/>
        </w:rPr>
        <w:t>基金招募说明书、《基金合同》、基金托管协议、基金产品资料概要</w:t>
      </w:r>
    </w:p>
    <w:p w14:paraId="28C009C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1、《基金合同》是界定《基金合同》当事人的各项权利、义务关系，明确基金份额持有人大会召开的规则及具体程序，说明基金产品的特性等涉及基金投资者重大利益的事项的法律文件。</w:t>
      </w:r>
    </w:p>
    <w:p w14:paraId="6A43974A" w14:textId="0BC4F1E0"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747307">
        <w:rPr>
          <w:rFonts w:asciiTheme="minorEastAsia" w:eastAsiaTheme="minorEastAsia" w:hAnsiTheme="minorEastAsia"/>
          <w:bCs/>
          <w:szCs w:val="21"/>
        </w:rPr>
        <w:t>基金招募说明书的信息发生重大变更的，基金管理人应当在三个工作日内，更新基金招募说明书并登载在</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上；基金招募说明书其他信息发生变更的，基金管理人至少每年更新一次。基金终止运作的，基金管理人不再更新基金招募说明书</w:t>
      </w:r>
      <w:r w:rsidRPr="00147FAB">
        <w:rPr>
          <w:rFonts w:asciiTheme="minorEastAsia" w:eastAsiaTheme="minorEastAsia" w:hAnsiTheme="minorEastAsia"/>
          <w:bCs/>
          <w:szCs w:val="21"/>
        </w:rPr>
        <w:t>。</w:t>
      </w:r>
    </w:p>
    <w:p w14:paraId="3E0FF21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本基金在招募说明书（更新）等文件中披露股指期货</w:t>
      </w:r>
      <w:r w:rsidR="004506B3">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4506B3">
        <w:rPr>
          <w:rFonts w:asciiTheme="minorEastAsia" w:eastAsiaTheme="minorEastAsia" w:hAnsiTheme="minorEastAsia" w:hint="eastAsia"/>
          <w:bCs/>
          <w:szCs w:val="21"/>
        </w:rPr>
        <w:t>和</w:t>
      </w:r>
      <w:r w:rsidR="004506B3">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交易情况，包括投资政策、持仓情况、损益情况、风险指标等，并充分揭示股指期货</w:t>
      </w:r>
      <w:r w:rsidR="0083739B">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83739B">
        <w:rPr>
          <w:rFonts w:asciiTheme="minorEastAsia" w:eastAsiaTheme="minorEastAsia" w:hAnsiTheme="minorEastAsia" w:hint="eastAsia"/>
          <w:bCs/>
          <w:szCs w:val="21"/>
        </w:rPr>
        <w:t>和</w:t>
      </w:r>
      <w:r w:rsidR="0083739B">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交易对基金总体风险的影响以及是否符合既定的投资政策和投资目标。</w:t>
      </w:r>
    </w:p>
    <w:p w14:paraId="04C707AB"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3、基金托管协议是界定基金托管人和基金管理人在基金财产保管及基金运作监督等活动中的</w:t>
      </w:r>
      <w:r w:rsidR="00747307">
        <w:rPr>
          <w:rFonts w:asciiTheme="minorEastAsia" w:eastAsiaTheme="minorEastAsia" w:hAnsiTheme="minorEastAsia"/>
          <w:bCs/>
          <w:szCs w:val="21"/>
        </w:rPr>
        <w:t>权利、义务关系的法律文件。</w:t>
      </w:r>
    </w:p>
    <w:p w14:paraId="627DDE25" w14:textId="19AA5804" w:rsidR="00733C55"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及基金销售机构网站或营业网点；基金产品资料概要其他信息发生变更的，基金管理人至少每年更新一次。基金终止运作的，基金管理人不再更新基金产品资料概要。</w:t>
      </w:r>
      <w:r w:rsidR="00733C55" w:rsidRPr="00733C55">
        <w:rPr>
          <w:rFonts w:asciiTheme="minorEastAsia" w:eastAsiaTheme="minorEastAsia" w:hAnsiTheme="minorEastAsia" w:hint="eastAsia"/>
          <w:bCs/>
          <w:szCs w:val="21"/>
        </w:rPr>
        <w:t>基金产品资料概要的正文应当包括产品概况、基金投资与净值表现、投资本基金涉及的费用、风险揭示与重要提示等中国证监会规定的披露事项，相关内容不得与基金合同、招募说明书有实质性差异。基金管理人按照《信息披露办法》、《基金合同》及基金招募说明书规定的基金产品资料概要编制、披露与更新要求执行。</w:t>
      </w:r>
    </w:p>
    <w:p w14:paraId="11C02608" w14:textId="6444131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基金募集申请经中国证监会</w:t>
      </w:r>
      <w:r w:rsidRPr="00147FAB">
        <w:rPr>
          <w:rFonts w:asciiTheme="minorEastAsia" w:eastAsiaTheme="minorEastAsia" w:hAnsiTheme="minorEastAsia" w:hint="eastAsia"/>
          <w:bCs/>
          <w:szCs w:val="21"/>
        </w:rPr>
        <w:t>注册</w:t>
      </w:r>
      <w:r w:rsidRPr="00147FAB">
        <w:rPr>
          <w:rFonts w:asciiTheme="minorEastAsia" w:eastAsiaTheme="minorEastAsia" w:hAnsiTheme="minorEastAsia"/>
          <w:bCs/>
          <w:szCs w:val="21"/>
        </w:rPr>
        <w:t>后，基金管理人在基金份额发售的3日前，将</w:t>
      </w:r>
      <w:r w:rsidR="00733C55" w:rsidRPr="00733C55">
        <w:rPr>
          <w:rFonts w:asciiTheme="minorEastAsia" w:eastAsiaTheme="minorEastAsia" w:hAnsiTheme="minorEastAsia" w:hint="eastAsia"/>
          <w:bCs/>
          <w:szCs w:val="21"/>
        </w:rPr>
        <w:t>基金份额发售公告、</w:t>
      </w:r>
      <w:r w:rsidRPr="00147FAB">
        <w:rPr>
          <w:rFonts w:asciiTheme="minorEastAsia" w:eastAsiaTheme="minorEastAsia" w:hAnsiTheme="minorEastAsia"/>
          <w:bCs/>
          <w:szCs w:val="21"/>
        </w:rPr>
        <w:t>基金招募说明书</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00733C55">
        <w:rPr>
          <w:rFonts w:asciiTheme="minorEastAsia" w:eastAsiaTheme="minorEastAsia" w:hAnsiTheme="minorEastAsia" w:hint="eastAsia"/>
          <w:bCs/>
          <w:szCs w:val="21"/>
        </w:rPr>
        <w:t>和</w:t>
      </w:r>
      <w:r w:rsidRPr="00147FAB">
        <w:rPr>
          <w:rFonts w:asciiTheme="minorEastAsia" w:eastAsiaTheme="minorEastAsia" w:hAnsiTheme="minorEastAsia"/>
          <w:bCs/>
          <w:szCs w:val="21"/>
        </w:rPr>
        <w:t>《基金合同》</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Pr="00147FAB">
        <w:rPr>
          <w:rFonts w:asciiTheme="minorEastAsia" w:eastAsiaTheme="minorEastAsia" w:hAnsiTheme="minorEastAsia"/>
          <w:bCs/>
          <w:szCs w:val="21"/>
        </w:rPr>
        <w:t>登载在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r w:rsidR="00733C55">
        <w:rPr>
          <w:rFonts w:asciiTheme="minorEastAsia" w:eastAsiaTheme="minorEastAsia" w:hAnsiTheme="minorEastAsia" w:hint="eastAsia"/>
          <w:bCs/>
          <w:szCs w:val="21"/>
        </w:rPr>
        <w:t>，</w:t>
      </w:r>
      <w:r w:rsidR="00733C55" w:rsidRPr="00733C55">
        <w:rPr>
          <w:rFonts w:asciiTheme="minorEastAsia" w:eastAsiaTheme="minorEastAsia" w:hAnsiTheme="minorEastAsia" w:hint="eastAsia"/>
          <w:bCs/>
          <w:szCs w:val="21"/>
        </w:rPr>
        <w:t>将基金份额发售公告、基金招募说明书、基金产品资料概要、基金合同和基金托管协议登载在</w:t>
      </w:r>
      <w:r w:rsidR="00056975">
        <w:rPr>
          <w:rFonts w:asciiTheme="minorEastAsia" w:eastAsiaTheme="minorEastAsia" w:hAnsiTheme="minorEastAsia" w:hint="eastAsia"/>
          <w:bCs/>
          <w:szCs w:val="21"/>
        </w:rPr>
        <w:t>规定网站</w:t>
      </w:r>
      <w:r w:rsidR="00733C55" w:rsidRPr="00733C55">
        <w:rPr>
          <w:rFonts w:asciiTheme="minorEastAsia" w:eastAsiaTheme="minorEastAsia" w:hAnsiTheme="minorEastAsia" w:hint="eastAsia"/>
          <w:bCs/>
          <w:szCs w:val="21"/>
        </w:rPr>
        <w:t>上，并将基金产品资料概要登载在基金销售机构网站或营业网点；</w:t>
      </w:r>
      <w:r w:rsidRPr="00147FAB">
        <w:rPr>
          <w:rFonts w:asciiTheme="minorEastAsia" w:eastAsiaTheme="minorEastAsia" w:hAnsiTheme="minorEastAsia"/>
          <w:bCs/>
          <w:szCs w:val="21"/>
        </w:rPr>
        <w:t>基金托管人应当</w:t>
      </w:r>
      <w:r w:rsidR="00733C55">
        <w:rPr>
          <w:rFonts w:asciiTheme="minorEastAsia" w:eastAsiaTheme="minorEastAsia" w:hAnsiTheme="minorEastAsia" w:hint="eastAsia"/>
          <w:bCs/>
          <w:szCs w:val="21"/>
        </w:rPr>
        <w:t>同时</w:t>
      </w:r>
      <w:r w:rsidRPr="00147FAB">
        <w:rPr>
          <w:rFonts w:asciiTheme="minorEastAsia" w:eastAsiaTheme="minorEastAsia" w:hAnsiTheme="minorEastAsia"/>
          <w:bCs/>
          <w:szCs w:val="21"/>
        </w:rPr>
        <w:t>将《基金合同》、基金托管协议登载在网站上。</w:t>
      </w:r>
    </w:p>
    <w:p w14:paraId="137FCCA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（二）基金份额发售公告</w:t>
      </w:r>
    </w:p>
    <w:p w14:paraId="28DB3B60" w14:textId="020CEA7F"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基金管理人应当就基金份额发售的具体事宜编制基金份额发售公告，并在披露招募说明书的当日登载于</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p>
    <w:p w14:paraId="7D818C6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（三）《基金合同》生效公告</w:t>
      </w:r>
    </w:p>
    <w:p w14:paraId="6DF3D335" w14:textId="6824ACC2"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基金管理人应当在收到中国证监会确认文件的次日在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上登载《基金合同》生效公告。</w:t>
      </w:r>
    </w:p>
    <w:p w14:paraId="3DFA9443"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（四）</w:t>
      </w:r>
      <w:r w:rsidR="00747307">
        <w:rPr>
          <w:rFonts w:asciiTheme="minorEastAsia" w:eastAsiaTheme="minorEastAsia" w:hAnsiTheme="minorEastAsia"/>
          <w:bCs/>
          <w:szCs w:val="21"/>
        </w:rPr>
        <w:t>基金净值信息</w:t>
      </w:r>
    </w:p>
    <w:p w14:paraId="5116997E" w14:textId="7522E594"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《基金合同》生效后</w:t>
      </w:r>
      <w:r w:rsidR="00147FAB" w:rsidRPr="00147FAB">
        <w:rPr>
          <w:rFonts w:asciiTheme="minorEastAsia" w:eastAsiaTheme="minorEastAsia" w:hAnsiTheme="minorEastAsia"/>
          <w:bCs/>
          <w:szCs w:val="21"/>
        </w:rPr>
        <w:t>，在开始办理基金份额申购或者赎回前，基金管理人</w:t>
      </w:r>
      <w:r>
        <w:rPr>
          <w:rFonts w:asciiTheme="minorEastAsia" w:eastAsiaTheme="minorEastAsia" w:hAnsiTheme="minorEastAsia"/>
          <w:bCs/>
          <w:szCs w:val="21"/>
        </w:rPr>
        <w:t>应当至少每周在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披露一次基金份额净值和基金份额累计净值</w:t>
      </w:r>
      <w:r w:rsidR="00147FAB" w:rsidRPr="00147FAB">
        <w:rPr>
          <w:rFonts w:asciiTheme="minorEastAsia" w:eastAsiaTheme="minorEastAsia" w:hAnsiTheme="minorEastAsia"/>
          <w:bCs/>
          <w:szCs w:val="21"/>
        </w:rPr>
        <w:t>。</w:t>
      </w:r>
    </w:p>
    <w:p w14:paraId="6B0B57BA" w14:textId="56CE4A3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在开始办理基金份额申购或者赎回后，基金管理人</w:t>
      </w:r>
      <w:r w:rsidR="00747307">
        <w:rPr>
          <w:rFonts w:asciiTheme="minorEastAsia" w:eastAsiaTheme="minorEastAsia" w:hAnsiTheme="minorEastAsia"/>
          <w:bCs/>
          <w:szCs w:val="21"/>
        </w:rPr>
        <w:t>应当在不晚于每个开放日的次日，通过</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、基金销售机构网站或者营业网点</w:t>
      </w:r>
      <w:r w:rsidRPr="00147FAB">
        <w:rPr>
          <w:rFonts w:asciiTheme="minorEastAsia" w:eastAsiaTheme="minorEastAsia" w:hAnsiTheme="minorEastAsia"/>
          <w:bCs/>
          <w:szCs w:val="21"/>
        </w:rPr>
        <w:t>披露开放日的基金份额净值和基金份额累计净值。</w:t>
      </w:r>
    </w:p>
    <w:p w14:paraId="2D317C6C" w14:textId="4301E5BD"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w:t>
      </w:r>
      <w:r w:rsidR="00747307">
        <w:rPr>
          <w:rFonts w:asciiTheme="minorEastAsia" w:eastAsiaTheme="minorEastAsia" w:hAnsiTheme="minorEastAsia"/>
          <w:bCs/>
          <w:szCs w:val="21"/>
        </w:rPr>
        <w:t>应当在不晚于半年度和年度最后一日的次日，在</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披露半年度和年度最后一日</w:t>
      </w:r>
      <w:r w:rsidR="00FB771C" w:rsidRPr="00FB771C">
        <w:rPr>
          <w:rFonts w:asciiTheme="minorEastAsia" w:eastAsiaTheme="minorEastAsia" w:hAnsiTheme="minorEastAsia" w:hint="eastAsia"/>
          <w:bCs/>
          <w:szCs w:val="21"/>
        </w:rPr>
        <w:t>的</w:t>
      </w:r>
      <w:r w:rsidR="00747307">
        <w:rPr>
          <w:rFonts w:asciiTheme="minorEastAsia" w:eastAsiaTheme="minorEastAsia" w:hAnsiTheme="minorEastAsia"/>
          <w:bCs/>
          <w:szCs w:val="21"/>
        </w:rPr>
        <w:t>基金份额净值和基金份额累计净值</w:t>
      </w:r>
      <w:r w:rsidRPr="00147FAB">
        <w:rPr>
          <w:rFonts w:asciiTheme="minorEastAsia" w:eastAsiaTheme="minorEastAsia" w:hAnsiTheme="minorEastAsia"/>
          <w:bCs/>
          <w:szCs w:val="21"/>
        </w:rPr>
        <w:t>。</w:t>
      </w:r>
    </w:p>
    <w:p w14:paraId="5E7F0CD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（五）基金份额申购、赎回价格</w:t>
      </w:r>
    </w:p>
    <w:p w14:paraId="18E47EE2" w14:textId="3AD7619F"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基金管理人应当在《基金合同》、招募说明书等信息披露文件上载明基金份额申购、赎回价格的计算方式及有关申购、赎回费率，并保证投资者能够在基金</w:t>
      </w:r>
      <w:r>
        <w:rPr>
          <w:rFonts w:asciiTheme="minorEastAsia" w:eastAsiaTheme="minorEastAsia" w:hAnsiTheme="minorEastAsia"/>
          <w:bCs/>
          <w:szCs w:val="21"/>
        </w:rPr>
        <w:t>销售机构网站或营业网点查阅</w:t>
      </w:r>
      <w:r w:rsidRPr="00147FAB">
        <w:rPr>
          <w:rFonts w:asciiTheme="minorEastAsia" w:eastAsiaTheme="minorEastAsia" w:hAnsiTheme="minorEastAsia"/>
          <w:bCs/>
          <w:szCs w:val="21"/>
        </w:rPr>
        <w:t>或者复制前述信息资料。</w:t>
      </w:r>
    </w:p>
    <w:p w14:paraId="10169FD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（六）基金定期报告，包括</w:t>
      </w:r>
      <w:r w:rsidR="00747307">
        <w:rPr>
          <w:rFonts w:asciiTheme="minorEastAsia" w:eastAsiaTheme="minorEastAsia" w:hAnsiTheme="minorEastAsia"/>
          <w:bCs/>
          <w:szCs w:val="21"/>
        </w:rPr>
        <w:t>基金年度报告、基金中期报告和基金季度报告</w:t>
      </w:r>
    </w:p>
    <w:p w14:paraId="4EFE06AB" w14:textId="3DCB56D4"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基金管理人应当在每年结束之日起三个月内，编制完成基金年度报告，将年度报告登载在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上，并将年度报告提示性公告登载在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上。基金年度报告中的财务会计报告应当经过</w:t>
      </w:r>
      <w:r w:rsidR="00BB424A">
        <w:rPr>
          <w:rFonts w:asciiTheme="minorEastAsia" w:eastAsiaTheme="minorEastAsia" w:hAnsiTheme="minorEastAsia"/>
          <w:bCs/>
          <w:szCs w:val="21"/>
        </w:rPr>
        <w:t>符合《证券法》规定</w:t>
      </w:r>
      <w:r>
        <w:rPr>
          <w:rFonts w:asciiTheme="minorEastAsia" w:eastAsiaTheme="minorEastAsia" w:hAnsiTheme="minorEastAsia"/>
          <w:bCs/>
          <w:szCs w:val="21"/>
        </w:rPr>
        <w:t>的会计师事务所审计</w:t>
      </w:r>
      <w:r w:rsidR="00147FAB" w:rsidRPr="00147FAB">
        <w:rPr>
          <w:rFonts w:asciiTheme="minorEastAsia" w:eastAsiaTheme="minorEastAsia" w:hAnsiTheme="minorEastAsia"/>
          <w:bCs/>
          <w:szCs w:val="21"/>
        </w:rPr>
        <w:t>。</w:t>
      </w:r>
    </w:p>
    <w:p w14:paraId="02529DA0" w14:textId="6876FE28"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基金管理人应当在上半年结束之日起两个月内，编制完成基金中期报告，将中期报告登载在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上，并将中期报告提示性公告登载在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3675ABE3" w14:textId="229CFEA5"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基金管理人应当在季度结束之日起15个工作日内，编制完成基金季度报告，将季度报告登载在</w:t>
      </w:r>
      <w:r w:rsidR="00056975">
        <w:rPr>
          <w:rFonts w:asciiTheme="minorEastAsia" w:eastAsiaTheme="minorEastAsia" w:hAnsiTheme="minorEastAsia"/>
          <w:bCs/>
          <w:szCs w:val="21"/>
        </w:rPr>
        <w:t>规定网站</w:t>
      </w:r>
      <w:r>
        <w:rPr>
          <w:rFonts w:asciiTheme="minorEastAsia" w:eastAsiaTheme="minorEastAsia" w:hAnsiTheme="minorEastAsia"/>
          <w:bCs/>
          <w:szCs w:val="21"/>
        </w:rPr>
        <w:t>上，并将季度报告提示性公告登载在</w:t>
      </w:r>
      <w:r w:rsidR="00056975">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5B4FF61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《基金合同》生效不足2个月的，基金管理人可以</w:t>
      </w:r>
      <w:r w:rsidR="00747307">
        <w:rPr>
          <w:rFonts w:asciiTheme="minorEastAsia" w:eastAsiaTheme="minorEastAsia" w:hAnsiTheme="minorEastAsia"/>
          <w:bCs/>
          <w:szCs w:val="21"/>
        </w:rPr>
        <w:t>不编制当期季度报告、中期报告或者年度报告</w:t>
      </w:r>
      <w:r w:rsidRPr="00147FAB">
        <w:rPr>
          <w:rFonts w:asciiTheme="minorEastAsia" w:eastAsiaTheme="minorEastAsia" w:hAnsiTheme="minorEastAsia"/>
          <w:bCs/>
          <w:szCs w:val="21"/>
        </w:rPr>
        <w:t>。</w:t>
      </w:r>
    </w:p>
    <w:p w14:paraId="25A18E6E"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、年度报告等定期报告等文件中披露股指期货和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交易情况，包括投资政策、持仓情况、损益情况、风险指标等，并充分揭示股指期货和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交易对基金总体风险的影响以及是否符合既定的投资政策和投资目标。</w:t>
      </w:r>
    </w:p>
    <w:p w14:paraId="41E1C7E9" w14:textId="77777777" w:rsidR="00B3466D" w:rsidRPr="00B3466D" w:rsidRDefault="00B3466D" w:rsidP="00147FAB">
      <w:pPr>
        <w:spacing w:line="360" w:lineRule="auto"/>
        <w:ind w:firstLineChars="200" w:firstLine="420"/>
        <w:rPr>
          <w:rFonts w:asciiTheme="minorEastAsia" w:eastAsiaTheme="minorEastAsia" w:hAnsiTheme="minorEastAsia"/>
          <w:bCs/>
          <w:szCs w:val="21"/>
        </w:rPr>
      </w:pPr>
      <w:r w:rsidRPr="00B3466D">
        <w:rPr>
          <w:rFonts w:asciiTheme="minorEastAsia" w:eastAsiaTheme="minorEastAsia" w:hAnsiTheme="minorEastAsia" w:hint="eastAsia"/>
          <w:bCs/>
          <w:szCs w:val="21"/>
        </w:rPr>
        <w:t>本基金在季度报告、中期报告、年度报告等定期报告等文件中披露参与股票期权交易的有关情况，包括投资政策、持仓情况、损益情况、风险指标、估值方法等，并充分揭示股票</w:t>
      </w:r>
      <w:r w:rsidRPr="00B3466D">
        <w:rPr>
          <w:rFonts w:asciiTheme="minorEastAsia" w:eastAsiaTheme="minorEastAsia" w:hAnsiTheme="minorEastAsia" w:hint="eastAsia"/>
          <w:bCs/>
          <w:szCs w:val="21"/>
        </w:rPr>
        <w:lastRenderedPageBreak/>
        <w:t>期权交易对基金总体风险的影响以及是否符合既定的投资政策和投资目标。</w:t>
      </w:r>
    </w:p>
    <w:p w14:paraId="0DBF071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Pr="00147FAB">
        <w:rPr>
          <w:rFonts w:asciiTheme="minorEastAsia" w:eastAsiaTheme="minorEastAsia" w:hAnsiTheme="minorEastAsia" w:hint="eastAsia"/>
          <w:bCs/>
          <w:szCs w:val="21"/>
        </w:rPr>
        <w:t>在基金年报及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14:paraId="747FE833"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、年度报告等定期报告和招募说明书（更新）等文件中披露参与港股通交易的相关情况。</w:t>
      </w:r>
    </w:p>
    <w:p w14:paraId="69FBED7A" w14:textId="77777777" w:rsidR="00582CF3" w:rsidRDefault="00582CF3" w:rsidP="00147FAB">
      <w:pPr>
        <w:spacing w:line="360" w:lineRule="auto"/>
        <w:ind w:firstLineChars="200" w:firstLine="420"/>
        <w:rPr>
          <w:rFonts w:asciiTheme="minorEastAsia" w:eastAsiaTheme="minorEastAsia" w:hAnsiTheme="minorEastAsia"/>
          <w:bCs/>
          <w:szCs w:val="21"/>
        </w:rPr>
      </w:pPr>
      <w:r w:rsidRPr="00582CF3">
        <w:rPr>
          <w:rFonts w:asciiTheme="minorEastAsia" w:eastAsiaTheme="minorEastAsia" w:hAnsiTheme="minorEastAsia" w:hint="eastAsia"/>
          <w:bCs/>
          <w:szCs w:val="21"/>
        </w:rPr>
        <w:t>本基金在基金年报及</w:t>
      </w:r>
      <w:r w:rsidR="00747307">
        <w:rPr>
          <w:rFonts w:asciiTheme="minorEastAsia" w:eastAsiaTheme="minorEastAsia" w:hAnsiTheme="minorEastAsia" w:hint="eastAsia"/>
          <w:bCs/>
          <w:szCs w:val="21"/>
        </w:rPr>
        <w:t>中期报告</w:t>
      </w:r>
      <w:r w:rsidRPr="00582CF3">
        <w:rPr>
          <w:rFonts w:asciiTheme="minorEastAsia" w:eastAsiaTheme="minorEastAsia" w:hAnsiTheme="minorEastAsia" w:hint="eastAsia"/>
          <w:bCs/>
          <w:szCs w:val="21"/>
        </w:rPr>
        <w:t>中披露其持有的流通受限证券总额、流通受限证券市值占基金净资产的比例和报告期内所有的流通受限证券明细。</w:t>
      </w:r>
    </w:p>
    <w:p w14:paraId="00D2526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FAF7D7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基金管理人应当在基金年度报告和</w:t>
      </w:r>
      <w:r w:rsidR="00747307">
        <w:rPr>
          <w:rFonts w:asciiTheme="minorEastAsia" w:eastAsiaTheme="minorEastAsia" w:hAnsiTheme="minorEastAsia"/>
          <w:bCs/>
          <w:szCs w:val="21"/>
        </w:rPr>
        <w:t>中期报告</w:t>
      </w:r>
      <w:r w:rsidRPr="00147FAB">
        <w:rPr>
          <w:rFonts w:asciiTheme="minorEastAsia" w:eastAsiaTheme="minorEastAsia" w:hAnsiTheme="minorEastAsia"/>
          <w:bCs/>
          <w:szCs w:val="21"/>
        </w:rPr>
        <w:t>中披露基金组合资产情况及其流动性风险分析等。</w:t>
      </w:r>
    </w:p>
    <w:p w14:paraId="2A6D7F2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（七）临时报告</w:t>
      </w:r>
    </w:p>
    <w:p w14:paraId="45B495C3" w14:textId="1FA3BF6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本基金发生重大事件，有关信息披露义务人应当在2日内编制</w:t>
      </w:r>
      <w:r w:rsidR="00747307">
        <w:rPr>
          <w:rFonts w:asciiTheme="minorEastAsia" w:eastAsiaTheme="minorEastAsia" w:hAnsiTheme="minorEastAsia"/>
          <w:bCs/>
          <w:szCs w:val="21"/>
        </w:rPr>
        <w:t>临时报告书，并登载在</w:t>
      </w:r>
      <w:r w:rsidR="00056975">
        <w:rPr>
          <w:rFonts w:asciiTheme="minorEastAsia" w:eastAsiaTheme="minorEastAsia" w:hAnsiTheme="minorEastAsia"/>
          <w:bCs/>
          <w:szCs w:val="21"/>
        </w:rPr>
        <w:t>规定报刊</w:t>
      </w:r>
      <w:r w:rsidR="00747307">
        <w:rPr>
          <w:rFonts w:asciiTheme="minorEastAsia" w:eastAsiaTheme="minorEastAsia" w:hAnsiTheme="minorEastAsia"/>
          <w:bCs/>
          <w:szCs w:val="21"/>
        </w:rPr>
        <w:t>和</w:t>
      </w:r>
      <w:r w:rsidR="00056975">
        <w:rPr>
          <w:rFonts w:asciiTheme="minorEastAsia" w:eastAsiaTheme="minorEastAsia" w:hAnsiTheme="minorEastAsia"/>
          <w:bCs/>
          <w:szCs w:val="21"/>
        </w:rPr>
        <w:t>规定网站</w:t>
      </w:r>
      <w:r w:rsidR="00747307">
        <w:rPr>
          <w:rFonts w:asciiTheme="minorEastAsia" w:eastAsiaTheme="minorEastAsia" w:hAnsiTheme="minorEastAsia"/>
          <w:bCs/>
          <w:szCs w:val="21"/>
        </w:rPr>
        <w:t>上</w:t>
      </w:r>
      <w:r w:rsidRPr="00147FAB">
        <w:rPr>
          <w:rFonts w:asciiTheme="minorEastAsia" w:eastAsiaTheme="minorEastAsia" w:hAnsiTheme="minorEastAsia"/>
          <w:bCs/>
          <w:szCs w:val="21"/>
        </w:rPr>
        <w:t>。</w:t>
      </w:r>
    </w:p>
    <w:p w14:paraId="3BE222B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前款所称重大事件，是指可能对基金份额持有人权益或者基金份额的价格产生重大影响的下列事件：</w:t>
      </w:r>
    </w:p>
    <w:p w14:paraId="6D5A5936"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1、基金份额持有人大会的召开及决定的事项；</w:t>
      </w:r>
    </w:p>
    <w:p w14:paraId="3E1D563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2、终止《基金合同》、基金清算；</w:t>
      </w:r>
    </w:p>
    <w:p w14:paraId="06806D19"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3、基金扩募、延长基金合同期限；</w:t>
      </w:r>
    </w:p>
    <w:p w14:paraId="07E5FCA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4、转换基金运作方式、基金合并；</w:t>
      </w:r>
    </w:p>
    <w:p w14:paraId="1D1A385C"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5、更换基金管理人、基金托管人、基金份额登记机构，基金改聘会计师事务所；</w:t>
      </w:r>
    </w:p>
    <w:p w14:paraId="11F0E2E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6、基金管理人委托基金服务机构代为办理基金的份额登记、核算、估值等事项，基金托管人委托基金服务机构代为办理基金的核算、估值、复核等事项；</w:t>
      </w:r>
    </w:p>
    <w:p w14:paraId="613DD50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7、基金管理人、基金托管人的法定名称、住所发生变更；</w:t>
      </w:r>
    </w:p>
    <w:p w14:paraId="1C22DD0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8、基金管理人变更持有百分之五以上股权的股东、基金管理人的实际控制人变更；</w:t>
      </w:r>
    </w:p>
    <w:p w14:paraId="0085AA0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9、基金募集期延长或提前结束募集；</w:t>
      </w:r>
    </w:p>
    <w:p w14:paraId="22D7FA7A"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lastRenderedPageBreak/>
        <w:t>10、基金管理人的高级管理人员、基金经理和基金托管人专门基金托管部门负责人发生变动；</w:t>
      </w:r>
    </w:p>
    <w:p w14:paraId="52B0D57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11、基金管理人的董事在最近12个月内变更超过百分之五十，基金管理人、基金托管人专门基金托管部门的主要业务人员在最近12个月内变动超过百分之三十；</w:t>
      </w:r>
    </w:p>
    <w:p w14:paraId="64F91B1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12、涉及基金管理业务、基金财产、基金托管业务的诉讼或仲裁；</w:t>
      </w:r>
    </w:p>
    <w:p w14:paraId="43912B0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332BA38D"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C2E181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15、基金收益分配事项；</w:t>
      </w:r>
    </w:p>
    <w:p w14:paraId="7F5DEE5B" w14:textId="59975888"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16、管理费、托管费、申购费、赎回费</w:t>
      </w:r>
      <w:r w:rsidR="00664A47">
        <w:rPr>
          <w:rFonts w:asciiTheme="minorEastAsia" w:eastAsiaTheme="minorEastAsia" w:hAnsiTheme="minorEastAsia" w:hint="eastAsia"/>
          <w:bCs/>
          <w:szCs w:val="21"/>
        </w:rPr>
        <w:t>、销售服务费</w:t>
      </w:r>
      <w:r w:rsidRPr="00AB2918">
        <w:rPr>
          <w:rFonts w:asciiTheme="minorEastAsia" w:eastAsiaTheme="minorEastAsia" w:hAnsiTheme="minorEastAsia" w:hint="eastAsia"/>
          <w:bCs/>
          <w:szCs w:val="21"/>
        </w:rPr>
        <w:t>等费用计提标准、计提方式和费率发生变更；</w:t>
      </w:r>
    </w:p>
    <w:p w14:paraId="518E236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17、基金份额净值计价错误达基金份额净值百分之零点五；</w:t>
      </w:r>
    </w:p>
    <w:p w14:paraId="54EFFFB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18、本基金开始办理申购、赎回；</w:t>
      </w:r>
    </w:p>
    <w:p w14:paraId="16317077" w14:textId="67F29E2B"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19、本基金发生巨额赎回并延期</w:t>
      </w:r>
      <w:r w:rsidR="00664A47">
        <w:rPr>
          <w:rFonts w:asciiTheme="minorEastAsia" w:eastAsiaTheme="minorEastAsia" w:hAnsiTheme="minorEastAsia" w:hint="eastAsia"/>
          <w:bCs/>
          <w:szCs w:val="21"/>
        </w:rPr>
        <w:t>办理</w:t>
      </w:r>
      <w:r w:rsidRPr="00AB2918">
        <w:rPr>
          <w:rFonts w:asciiTheme="minorEastAsia" w:eastAsiaTheme="minorEastAsia" w:hAnsiTheme="minorEastAsia" w:hint="eastAsia"/>
          <w:bCs/>
          <w:szCs w:val="21"/>
        </w:rPr>
        <w:t>；</w:t>
      </w:r>
    </w:p>
    <w:p w14:paraId="01B4311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20、本基金连续发生巨额赎回并暂停接受赎回申请或延缓支付赎回款项；</w:t>
      </w:r>
    </w:p>
    <w:p w14:paraId="78CB169D"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21、本基金暂停接受申购、赎回申请或重新接受申购、赎回申请；</w:t>
      </w:r>
    </w:p>
    <w:p w14:paraId="07A7D943" w14:textId="77BC5E1B" w:rsidR="00B35D94" w:rsidRDefault="00B35D94" w:rsidP="00AB291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22、</w:t>
      </w:r>
      <w:r w:rsidRPr="00B35D94">
        <w:rPr>
          <w:rFonts w:asciiTheme="minorEastAsia" w:eastAsiaTheme="minorEastAsia" w:hAnsiTheme="minorEastAsia" w:hint="eastAsia"/>
          <w:bCs/>
          <w:szCs w:val="21"/>
        </w:rPr>
        <w:t>发生涉及基金申购、赎回事项调整或潜在影响投资者赎回等重大事项时；</w:t>
      </w:r>
    </w:p>
    <w:p w14:paraId="222F8325" w14:textId="36FF4D9F"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sidR="00B35D94">
        <w:rPr>
          <w:rFonts w:asciiTheme="minorEastAsia" w:eastAsiaTheme="minorEastAsia" w:hAnsiTheme="minorEastAsia"/>
          <w:bCs/>
          <w:szCs w:val="21"/>
        </w:rPr>
        <w:t>3</w:t>
      </w:r>
      <w:r w:rsidRPr="00AB2918">
        <w:rPr>
          <w:rFonts w:asciiTheme="minorEastAsia" w:eastAsiaTheme="minorEastAsia" w:hAnsiTheme="minorEastAsia" w:hint="eastAsia"/>
          <w:bCs/>
          <w:szCs w:val="21"/>
        </w:rPr>
        <w:t>、基金管理人采用摆动定价机制进行估值；</w:t>
      </w:r>
    </w:p>
    <w:p w14:paraId="13C6E176" w14:textId="7B51A121" w:rsidR="00AB2918" w:rsidRPr="00AB2918" w:rsidRDefault="00B35D94"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4</w:t>
      </w:r>
      <w:r w:rsidR="00AB2918" w:rsidRPr="00AB2918">
        <w:rPr>
          <w:rFonts w:asciiTheme="minorEastAsia" w:eastAsiaTheme="minorEastAsia" w:hAnsiTheme="minorEastAsia" w:hint="eastAsia"/>
          <w:bCs/>
          <w:szCs w:val="21"/>
        </w:rPr>
        <w:t>、调整基金份额类别设置；</w:t>
      </w:r>
    </w:p>
    <w:p w14:paraId="4FC41620" w14:textId="41E17961" w:rsidR="00AB2918" w:rsidRPr="00AB2918" w:rsidRDefault="00B35D94"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5</w:t>
      </w:r>
      <w:r w:rsidR="00AB2918" w:rsidRPr="00AB2918">
        <w:rPr>
          <w:rFonts w:asciiTheme="minorEastAsia" w:eastAsiaTheme="minorEastAsia" w:hAnsiTheme="minorEastAsia" w:hint="eastAsia"/>
          <w:bCs/>
          <w:szCs w:val="21"/>
        </w:rPr>
        <w:t>、</w:t>
      </w:r>
      <w:r w:rsidR="009F19DF">
        <w:rPr>
          <w:rFonts w:asciiTheme="minorEastAsia" w:eastAsiaTheme="minorEastAsia" w:hAnsiTheme="minorEastAsia"/>
          <w:bCs/>
          <w:szCs w:val="21"/>
        </w:rPr>
        <w:t>本基金</w:t>
      </w:r>
      <w:r w:rsidR="00AB2918" w:rsidRPr="00AB2918">
        <w:rPr>
          <w:rFonts w:asciiTheme="minorEastAsia" w:eastAsiaTheme="minorEastAsia" w:hAnsiTheme="minorEastAsia" w:hint="eastAsia"/>
          <w:bCs/>
          <w:szCs w:val="21"/>
        </w:rPr>
        <w:t>连续</w:t>
      </w:r>
      <w:r w:rsidR="00C34239">
        <w:rPr>
          <w:rFonts w:asciiTheme="minorEastAsia" w:eastAsiaTheme="minorEastAsia" w:hAnsiTheme="minorEastAsia"/>
          <w:bCs/>
          <w:szCs w:val="21"/>
        </w:rPr>
        <w:t>1</w:t>
      </w:r>
      <w:r w:rsidR="00AB2918" w:rsidRPr="00AB2918">
        <w:rPr>
          <w:rFonts w:asciiTheme="minorEastAsia" w:eastAsiaTheme="minorEastAsia" w:hAnsiTheme="minorEastAsia" w:hint="eastAsia"/>
          <w:bCs/>
          <w:szCs w:val="21"/>
        </w:rPr>
        <w:t>0、</w:t>
      </w:r>
      <w:r w:rsidR="00C34239">
        <w:rPr>
          <w:rFonts w:asciiTheme="minorEastAsia" w:eastAsiaTheme="minorEastAsia" w:hAnsiTheme="minorEastAsia"/>
          <w:bCs/>
          <w:szCs w:val="21"/>
        </w:rPr>
        <w:t>20</w:t>
      </w:r>
      <w:r w:rsidR="00AB2918" w:rsidRPr="00AB2918">
        <w:rPr>
          <w:rFonts w:asciiTheme="minorEastAsia" w:eastAsiaTheme="minorEastAsia" w:hAnsiTheme="minorEastAsia" w:hint="eastAsia"/>
          <w:bCs/>
          <w:szCs w:val="21"/>
        </w:rPr>
        <w:t>、</w:t>
      </w:r>
      <w:r w:rsidR="00C34239">
        <w:rPr>
          <w:rFonts w:asciiTheme="minorEastAsia" w:eastAsiaTheme="minorEastAsia" w:hAnsiTheme="minorEastAsia"/>
          <w:bCs/>
          <w:szCs w:val="21"/>
        </w:rPr>
        <w:t>2</w:t>
      </w:r>
      <w:r w:rsidR="00AB2918" w:rsidRPr="00AB2918">
        <w:rPr>
          <w:rFonts w:asciiTheme="minorEastAsia" w:eastAsiaTheme="minorEastAsia" w:hAnsiTheme="minorEastAsia" w:hint="eastAsia"/>
          <w:bCs/>
          <w:szCs w:val="21"/>
        </w:rPr>
        <w:t>5个工作日出现基金份额持有人数量不满200人或者基金资产净值低于人民币</w:t>
      </w:r>
      <w:r w:rsidR="00DD1C78">
        <w:rPr>
          <w:rFonts w:asciiTheme="minorEastAsia" w:eastAsiaTheme="minorEastAsia" w:hAnsiTheme="minorEastAsia"/>
          <w:bCs/>
          <w:szCs w:val="21"/>
        </w:rPr>
        <w:t>1</w:t>
      </w:r>
      <w:r w:rsidR="00DD1C78">
        <w:rPr>
          <w:rFonts w:asciiTheme="minorEastAsia" w:eastAsiaTheme="minorEastAsia" w:hAnsiTheme="minorEastAsia" w:hint="eastAsia"/>
          <w:bCs/>
          <w:szCs w:val="21"/>
        </w:rPr>
        <w:t>亿</w:t>
      </w:r>
      <w:r w:rsidR="00AB2918" w:rsidRPr="00AB2918">
        <w:rPr>
          <w:rFonts w:asciiTheme="minorEastAsia" w:eastAsiaTheme="minorEastAsia" w:hAnsiTheme="minorEastAsia" w:hint="eastAsia"/>
          <w:bCs/>
          <w:szCs w:val="21"/>
        </w:rPr>
        <w:t>元情形</w:t>
      </w:r>
      <w:r w:rsidR="009F19DF">
        <w:rPr>
          <w:rFonts w:asciiTheme="minorEastAsia" w:eastAsiaTheme="minorEastAsia" w:hAnsiTheme="minorEastAsia" w:hint="eastAsia"/>
          <w:bCs/>
          <w:szCs w:val="21"/>
        </w:rPr>
        <w:t>的</w:t>
      </w:r>
      <w:r w:rsidR="00AB2918" w:rsidRPr="00AB2918">
        <w:rPr>
          <w:rFonts w:asciiTheme="minorEastAsia" w:eastAsiaTheme="minorEastAsia" w:hAnsiTheme="minorEastAsia" w:hint="eastAsia"/>
          <w:bCs/>
          <w:szCs w:val="21"/>
        </w:rPr>
        <w:t>；</w:t>
      </w:r>
    </w:p>
    <w:p w14:paraId="3091B48D" w14:textId="01FA5190" w:rsidR="00AB2918" w:rsidRDefault="00B35D94" w:rsidP="00147FAB">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6</w:t>
      </w:r>
      <w:r w:rsidR="00AB2918" w:rsidRPr="00AB2918">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、基金信息披露义务人认为可能对基金份额持有人权益或者基金份额的价格产生重大影响的其他事项或中国证监会规定和基金合同约定的其他事项。</w:t>
      </w:r>
    </w:p>
    <w:p w14:paraId="60C8406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（八）澄清公告</w:t>
      </w:r>
    </w:p>
    <w:p w14:paraId="7D5C0F60"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在《基金合同》存续期限内，任何公共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中出现的或者在市场上流传的消息可能对基金份额价格产生</w:t>
      </w:r>
      <w:r w:rsidR="00747307">
        <w:rPr>
          <w:rFonts w:asciiTheme="minorEastAsia" w:eastAsiaTheme="minorEastAsia" w:hAnsiTheme="minorEastAsia"/>
          <w:bCs/>
          <w:szCs w:val="21"/>
        </w:rPr>
        <w:t>误导性影响或者引起较大波动，以及可能损害基金份额持有人权益的</w:t>
      </w:r>
      <w:r w:rsidRPr="00147FAB">
        <w:rPr>
          <w:rFonts w:asciiTheme="minorEastAsia" w:eastAsiaTheme="minorEastAsia" w:hAnsiTheme="minorEastAsia"/>
          <w:bCs/>
          <w:szCs w:val="21"/>
        </w:rPr>
        <w:t>，相关信息披露义务人知悉后应当立即对该消息进行公开澄清，并将有关情况立即报告中国证监</w:t>
      </w:r>
      <w:r w:rsidRPr="00147FAB">
        <w:rPr>
          <w:rFonts w:asciiTheme="minorEastAsia" w:eastAsiaTheme="minorEastAsia" w:hAnsiTheme="minorEastAsia"/>
          <w:bCs/>
          <w:szCs w:val="21"/>
        </w:rPr>
        <w:lastRenderedPageBreak/>
        <w:t>会。</w:t>
      </w:r>
    </w:p>
    <w:p w14:paraId="4FC6D328" w14:textId="77777777" w:rsidR="00247E5F" w:rsidRPr="00247E5F"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t>（九）清算报告</w:t>
      </w:r>
    </w:p>
    <w:p w14:paraId="199F73FC" w14:textId="1BE35536" w:rsidR="00247E5F" w:rsidRPr="00147FAB"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t>基金合同终止的，基金管理人应当组织基金财产清算小组对基金财产进行清算并作出清算报告。基金财产清算小组应当将清算报告登载在</w:t>
      </w:r>
      <w:r w:rsidR="00056975">
        <w:rPr>
          <w:rFonts w:asciiTheme="minorEastAsia" w:eastAsiaTheme="minorEastAsia" w:hAnsiTheme="minorEastAsia" w:hint="eastAsia"/>
          <w:bCs/>
          <w:szCs w:val="21"/>
        </w:rPr>
        <w:t>规定网站</w:t>
      </w:r>
      <w:r w:rsidRPr="00247E5F">
        <w:rPr>
          <w:rFonts w:asciiTheme="minorEastAsia" w:eastAsiaTheme="minorEastAsia" w:hAnsiTheme="minorEastAsia" w:hint="eastAsia"/>
          <w:bCs/>
          <w:szCs w:val="21"/>
        </w:rPr>
        <w:t>上，并将清算报告提示性公告登载在</w:t>
      </w:r>
      <w:r w:rsidR="00056975">
        <w:rPr>
          <w:rFonts w:asciiTheme="minorEastAsia" w:eastAsiaTheme="minorEastAsia" w:hAnsiTheme="minorEastAsia" w:hint="eastAsia"/>
          <w:bCs/>
          <w:szCs w:val="21"/>
        </w:rPr>
        <w:t>规定报刊</w:t>
      </w:r>
      <w:r w:rsidRPr="00247E5F">
        <w:rPr>
          <w:rFonts w:asciiTheme="minorEastAsia" w:eastAsiaTheme="minorEastAsia" w:hAnsiTheme="minorEastAsia" w:hint="eastAsia"/>
          <w:bCs/>
          <w:szCs w:val="21"/>
        </w:rPr>
        <w:t>上。</w:t>
      </w:r>
    </w:p>
    <w:p w14:paraId="153144D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w:t>
      </w:r>
      <w:r w:rsidRPr="00147FAB">
        <w:rPr>
          <w:rFonts w:asciiTheme="minorEastAsia" w:eastAsiaTheme="minorEastAsia" w:hAnsiTheme="minorEastAsia"/>
          <w:bCs/>
          <w:szCs w:val="21"/>
        </w:rPr>
        <w:t>）基金份额持有人大会决议</w:t>
      </w:r>
    </w:p>
    <w:p w14:paraId="1E2AD216"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基金份额持有人大会决定的事项，应当依法报</w:t>
      </w:r>
      <w:r w:rsidRPr="00147FAB">
        <w:rPr>
          <w:rFonts w:asciiTheme="minorEastAsia" w:eastAsiaTheme="minorEastAsia" w:hAnsiTheme="minorEastAsia" w:hint="eastAsia"/>
          <w:bCs/>
          <w:szCs w:val="21"/>
        </w:rPr>
        <w:t>中国证监会</w:t>
      </w:r>
      <w:r w:rsidRPr="00147FAB">
        <w:rPr>
          <w:rFonts w:asciiTheme="minorEastAsia" w:eastAsiaTheme="minorEastAsia" w:hAnsiTheme="minorEastAsia"/>
          <w:bCs/>
          <w:szCs w:val="21"/>
        </w:rPr>
        <w:t>备案，并予以公告。</w:t>
      </w:r>
    </w:p>
    <w:p w14:paraId="7FF87E2F" w14:textId="77777777" w:rsidR="00664A47" w:rsidRPr="00664A47" w:rsidRDefault="00147FAB" w:rsidP="00664A47">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十一</w:t>
      </w:r>
      <w:r w:rsidRPr="00147FAB">
        <w:rPr>
          <w:rFonts w:asciiTheme="minorEastAsia" w:eastAsiaTheme="minorEastAsia" w:hAnsiTheme="minorEastAsia"/>
          <w:bCs/>
          <w:szCs w:val="21"/>
        </w:rPr>
        <w:t>）</w:t>
      </w:r>
      <w:r w:rsidR="00664A47" w:rsidRPr="00664A47">
        <w:rPr>
          <w:rFonts w:asciiTheme="minorEastAsia" w:eastAsiaTheme="minorEastAsia" w:hAnsiTheme="minorEastAsia" w:hint="eastAsia"/>
          <w:bCs/>
          <w:szCs w:val="21"/>
        </w:rPr>
        <w:t>实施侧袋机制期间的信息披露</w:t>
      </w:r>
    </w:p>
    <w:p w14:paraId="7B0DCCC7" w14:textId="7B48C3B1" w:rsidR="00664A47" w:rsidRPr="00664A47"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本基金实施侧袋机制的，相关信息披露义务人应当</w:t>
      </w:r>
      <w:r w:rsidR="009F19DF">
        <w:rPr>
          <w:rFonts w:asciiTheme="minorEastAsia" w:eastAsiaTheme="minorEastAsia" w:hAnsiTheme="minorEastAsia"/>
          <w:bCs/>
          <w:szCs w:val="21"/>
        </w:rPr>
        <w:t>根</w:t>
      </w:r>
      <w:r w:rsidRPr="00664A47">
        <w:rPr>
          <w:rFonts w:asciiTheme="minorEastAsia" w:eastAsiaTheme="minorEastAsia" w:hAnsiTheme="minorEastAsia" w:hint="eastAsia"/>
          <w:bCs/>
          <w:szCs w:val="21"/>
        </w:rPr>
        <w:t>据法律法规</w:t>
      </w:r>
      <w:r w:rsidR="009F19DF" w:rsidRPr="009F19DF">
        <w:rPr>
          <w:rFonts w:asciiTheme="minorEastAsia" w:eastAsiaTheme="minorEastAsia" w:hAnsiTheme="minorEastAsia" w:hint="eastAsia"/>
          <w:bCs/>
          <w:szCs w:val="21"/>
        </w:rPr>
        <w:t>、基金合同</w:t>
      </w:r>
      <w:r w:rsidRPr="00664A47">
        <w:rPr>
          <w:rFonts w:asciiTheme="minorEastAsia" w:eastAsiaTheme="minorEastAsia" w:hAnsiTheme="minorEastAsia" w:hint="eastAsia"/>
          <w:bCs/>
          <w:szCs w:val="21"/>
        </w:rPr>
        <w:t>和招募说明书的规定进行信息披露，详见招募说明书</w:t>
      </w:r>
      <w:r>
        <w:rPr>
          <w:rFonts w:asciiTheme="minorEastAsia" w:eastAsiaTheme="minorEastAsia" w:hAnsiTheme="minorEastAsia" w:hint="eastAsia"/>
          <w:bCs/>
          <w:szCs w:val="21"/>
        </w:rPr>
        <w:t>“侧袋机制”部分</w:t>
      </w:r>
      <w:r w:rsidRPr="00664A47">
        <w:rPr>
          <w:rFonts w:asciiTheme="minorEastAsia" w:eastAsiaTheme="minorEastAsia" w:hAnsiTheme="minorEastAsia" w:hint="eastAsia"/>
          <w:bCs/>
          <w:szCs w:val="21"/>
        </w:rPr>
        <w:t>的规定。</w:t>
      </w:r>
    </w:p>
    <w:p w14:paraId="6BCA51A2" w14:textId="5B75EA4C" w:rsidR="00147FAB" w:rsidRPr="00147FAB" w:rsidRDefault="00664A47" w:rsidP="00664A47">
      <w:pPr>
        <w:spacing w:line="360" w:lineRule="auto"/>
        <w:ind w:firstLineChars="200" w:firstLine="420"/>
        <w:rPr>
          <w:rFonts w:asciiTheme="minorEastAsia" w:eastAsiaTheme="minorEastAsia" w:hAnsiTheme="minorEastAsia"/>
          <w:bCs/>
          <w:szCs w:val="21"/>
        </w:rPr>
      </w:pPr>
      <w:r w:rsidRPr="00664A47">
        <w:rPr>
          <w:rFonts w:asciiTheme="minorEastAsia" w:eastAsiaTheme="minorEastAsia" w:hAnsiTheme="minorEastAsia" w:hint="eastAsia"/>
          <w:bCs/>
          <w:szCs w:val="21"/>
        </w:rPr>
        <w:t>（十二）</w:t>
      </w:r>
      <w:r w:rsidR="00147FAB" w:rsidRPr="00147FAB">
        <w:rPr>
          <w:rFonts w:asciiTheme="minorEastAsia" w:eastAsiaTheme="minorEastAsia" w:hAnsiTheme="minorEastAsia"/>
          <w:bCs/>
          <w:szCs w:val="21"/>
        </w:rPr>
        <w:t>中国证监会规定的其他信息。</w:t>
      </w:r>
    </w:p>
    <w:p w14:paraId="4BAAA42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六、信息披露事务管理</w:t>
      </w:r>
    </w:p>
    <w:p w14:paraId="6C68EA3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基金管理人、基金托管人应当建立健全信息披露管理制度，</w:t>
      </w:r>
      <w:r w:rsidR="00747307">
        <w:rPr>
          <w:rFonts w:asciiTheme="minorEastAsia" w:eastAsiaTheme="minorEastAsia" w:hAnsiTheme="minorEastAsia"/>
          <w:bCs/>
          <w:szCs w:val="21"/>
        </w:rPr>
        <w:t>指定专门部门及高级管理人员负责管理信息披露事务</w:t>
      </w:r>
      <w:r w:rsidRPr="00147FAB">
        <w:rPr>
          <w:rFonts w:asciiTheme="minorEastAsia" w:eastAsiaTheme="minorEastAsia" w:hAnsiTheme="minorEastAsia"/>
          <w:bCs/>
          <w:szCs w:val="21"/>
        </w:rPr>
        <w:t>。</w:t>
      </w:r>
    </w:p>
    <w:p w14:paraId="0FEF70E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基金信息披露义务人公开披露基金信息，应当符合中国证监会相关基金</w:t>
      </w:r>
      <w:r w:rsidR="00747307">
        <w:rPr>
          <w:rFonts w:asciiTheme="minorEastAsia" w:eastAsiaTheme="minorEastAsia" w:hAnsiTheme="minorEastAsia"/>
          <w:bCs/>
          <w:szCs w:val="21"/>
        </w:rPr>
        <w:t>信息披露内容与格式准则等法规</w:t>
      </w:r>
      <w:r w:rsidRPr="00147FAB">
        <w:rPr>
          <w:rFonts w:asciiTheme="minorEastAsia" w:eastAsiaTheme="minorEastAsia" w:hAnsiTheme="minorEastAsia"/>
          <w:bCs/>
          <w:szCs w:val="21"/>
        </w:rPr>
        <w:t>的规定。</w:t>
      </w:r>
    </w:p>
    <w:p w14:paraId="2827695A" w14:textId="7C95365B"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基金托管人应当按照相关法律法规、中国证监会的规定和《基金合同》的约定，对基金管理人编制的基金资产净值、基金份额净值、基金份额申购赎回价格、</w:t>
      </w:r>
      <w:r>
        <w:rPr>
          <w:rFonts w:asciiTheme="minorEastAsia" w:eastAsiaTheme="minorEastAsia" w:hAnsiTheme="minorEastAsia"/>
          <w:bCs/>
          <w:szCs w:val="21"/>
        </w:rPr>
        <w:t>基金定期报告、更新的招募说明书、基金产品资料概要、基金清算报告</w:t>
      </w:r>
      <w:r w:rsidRPr="00147FAB">
        <w:rPr>
          <w:rFonts w:asciiTheme="minorEastAsia" w:eastAsiaTheme="minorEastAsia" w:hAnsiTheme="minorEastAsia"/>
          <w:bCs/>
          <w:szCs w:val="21"/>
        </w:rPr>
        <w:t>等相关基金信息进行复核、审查，</w:t>
      </w:r>
      <w:r w:rsidRPr="007A703A">
        <w:rPr>
          <w:rFonts w:asciiTheme="minorEastAsia" w:eastAsiaTheme="minorEastAsia" w:hAnsiTheme="minorEastAsia" w:hint="eastAsia"/>
          <w:bCs/>
          <w:szCs w:val="21"/>
        </w:rPr>
        <w:t>并向基金管理人进行书面或电子确认</w:t>
      </w:r>
      <w:r w:rsidRPr="00147FAB">
        <w:rPr>
          <w:rFonts w:asciiTheme="minorEastAsia" w:eastAsiaTheme="minorEastAsia" w:hAnsiTheme="minorEastAsia"/>
          <w:bCs/>
          <w:szCs w:val="21"/>
        </w:rPr>
        <w:t>。</w:t>
      </w:r>
    </w:p>
    <w:p w14:paraId="7402A5D7" w14:textId="31885DA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w:t>
      </w:r>
      <w:r w:rsidR="00747307">
        <w:rPr>
          <w:rFonts w:asciiTheme="minorEastAsia" w:eastAsiaTheme="minorEastAsia" w:hAnsiTheme="minorEastAsia"/>
          <w:bCs/>
          <w:szCs w:val="21"/>
        </w:rPr>
        <w:t>在</w:t>
      </w:r>
      <w:r w:rsidR="00056975">
        <w:rPr>
          <w:rFonts w:asciiTheme="minorEastAsia" w:eastAsiaTheme="minorEastAsia" w:hAnsiTheme="minorEastAsia"/>
          <w:bCs/>
          <w:szCs w:val="21"/>
        </w:rPr>
        <w:t>规定报刊</w:t>
      </w:r>
      <w:r w:rsidR="00747307">
        <w:rPr>
          <w:rFonts w:asciiTheme="minorEastAsia" w:eastAsiaTheme="minorEastAsia" w:hAnsiTheme="minorEastAsia"/>
          <w:bCs/>
          <w:szCs w:val="21"/>
        </w:rPr>
        <w:t>中选择披露信息的报刊。基金管理人、基金托管人应当向中国证监会基金电子披露网站报送拟披露的基金信息，并保证相关报送信息的真实、准确、完整、及时</w:t>
      </w:r>
      <w:r w:rsidRPr="00147FAB">
        <w:rPr>
          <w:rFonts w:asciiTheme="minorEastAsia" w:eastAsiaTheme="minorEastAsia" w:hAnsiTheme="minorEastAsia"/>
          <w:bCs/>
          <w:szCs w:val="21"/>
        </w:rPr>
        <w:t>。</w:t>
      </w:r>
    </w:p>
    <w:p w14:paraId="24A1311A" w14:textId="07758AF5"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基金管理人、基金托管人除依法在</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上披露信息外，还可以根据需要在其他公共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披露信息，但是其他公共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不得早于</w:t>
      </w:r>
      <w:r w:rsidR="00056975">
        <w:rPr>
          <w:rFonts w:asciiTheme="minorEastAsia" w:eastAsiaTheme="minorEastAsia" w:hAnsiTheme="minorEastAsia"/>
          <w:bCs/>
          <w:szCs w:val="21"/>
        </w:rPr>
        <w:t>规定媒介</w:t>
      </w:r>
      <w:r w:rsidRPr="00147FAB">
        <w:rPr>
          <w:rFonts w:asciiTheme="minorEastAsia" w:eastAsiaTheme="minorEastAsia" w:hAnsiTheme="minorEastAsia"/>
          <w:bCs/>
          <w:szCs w:val="21"/>
        </w:rPr>
        <w:t>披露信息，并且在不同媒介上披露同一信息的内容应当一致。</w:t>
      </w:r>
    </w:p>
    <w:p w14:paraId="56E57FF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为基金信息披露义务人公开披露的基金信息出具审计报告、法律意见书的专业机构，应当制作工作底稿，并将相关档案至少保存到《基金合同》终止后</w:t>
      </w:r>
      <w:r w:rsidRPr="00147FAB">
        <w:rPr>
          <w:rFonts w:asciiTheme="minorEastAsia" w:eastAsiaTheme="minorEastAsia" w:hAnsiTheme="minorEastAsia" w:hint="eastAsia"/>
          <w:bCs/>
          <w:szCs w:val="21"/>
        </w:rPr>
        <w:t>10</w:t>
      </w:r>
      <w:r w:rsidRPr="00147FAB">
        <w:rPr>
          <w:rFonts w:asciiTheme="minorEastAsia" w:eastAsiaTheme="minorEastAsia" w:hAnsiTheme="minorEastAsia"/>
          <w:bCs/>
          <w:szCs w:val="21"/>
        </w:rPr>
        <w:t>年。</w:t>
      </w:r>
    </w:p>
    <w:p w14:paraId="3D6C3367"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七、信息披露文件的存放与查阅</w:t>
      </w:r>
    </w:p>
    <w:p w14:paraId="7AFCC11E" w14:textId="77777777"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依法必须披露的信息发布后，基金管理人、基金托管人应当按照相关法律法规规定将信</w:t>
      </w:r>
      <w:r>
        <w:rPr>
          <w:rFonts w:asciiTheme="minorEastAsia" w:eastAsiaTheme="minorEastAsia" w:hAnsiTheme="minorEastAsia"/>
          <w:bCs/>
          <w:szCs w:val="21"/>
        </w:rPr>
        <w:lastRenderedPageBreak/>
        <w:t>息置备于各自住所，供社会公众查阅、复制</w:t>
      </w:r>
      <w:r w:rsidR="00147FAB" w:rsidRPr="00147FAB">
        <w:rPr>
          <w:rFonts w:asciiTheme="minorEastAsia" w:eastAsiaTheme="minorEastAsia" w:hAnsiTheme="minorEastAsia"/>
          <w:bCs/>
          <w:szCs w:val="21"/>
        </w:rPr>
        <w:t>。</w:t>
      </w:r>
    </w:p>
    <w:p w14:paraId="3A25C16D"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八、暂停或延迟</w:t>
      </w:r>
      <w:r>
        <w:rPr>
          <w:rFonts w:asciiTheme="minorEastAsia" w:eastAsiaTheme="minorEastAsia" w:hAnsiTheme="minorEastAsia" w:hint="eastAsia"/>
          <w:bCs/>
          <w:szCs w:val="21"/>
        </w:rPr>
        <w:t>相关</w:t>
      </w:r>
      <w:r w:rsidRPr="00147FAB">
        <w:rPr>
          <w:rFonts w:asciiTheme="minorEastAsia" w:eastAsiaTheme="minorEastAsia" w:hAnsiTheme="minorEastAsia" w:hint="eastAsia"/>
          <w:bCs/>
          <w:szCs w:val="21"/>
        </w:rPr>
        <w:t>信息披露的情形：</w:t>
      </w:r>
      <w:r w:rsidRPr="00147FAB">
        <w:rPr>
          <w:rFonts w:asciiTheme="minorEastAsia" w:eastAsiaTheme="minorEastAsia" w:hAnsiTheme="minorEastAsia"/>
          <w:bCs/>
          <w:szCs w:val="21"/>
        </w:rPr>
        <w:t xml:space="preserve"> </w:t>
      </w:r>
    </w:p>
    <w:p w14:paraId="557A55BA"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w:t>
      </w:r>
      <w:r w:rsidRPr="00147FAB">
        <w:rPr>
          <w:rFonts w:asciiTheme="minorEastAsia" w:eastAsiaTheme="minorEastAsia" w:hAnsiTheme="minorEastAsia" w:hint="eastAsia"/>
          <w:bCs/>
          <w:szCs w:val="21"/>
        </w:rPr>
        <w:t>、不可抗力；</w:t>
      </w:r>
      <w:r w:rsidRPr="00147FAB">
        <w:rPr>
          <w:rFonts w:asciiTheme="minorEastAsia" w:eastAsiaTheme="minorEastAsia" w:hAnsiTheme="minorEastAsia"/>
          <w:bCs/>
          <w:szCs w:val="21"/>
        </w:rPr>
        <w:t xml:space="preserve"> </w:t>
      </w:r>
    </w:p>
    <w:p w14:paraId="5137A652"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w:t>
      </w:r>
      <w:r w:rsidRPr="00147FAB">
        <w:rPr>
          <w:rFonts w:asciiTheme="minorEastAsia" w:eastAsiaTheme="minorEastAsia" w:hAnsiTheme="minorEastAsia" w:hint="eastAsia"/>
          <w:bCs/>
          <w:szCs w:val="21"/>
        </w:rPr>
        <w:t>、发生暂停估值的情形；</w:t>
      </w:r>
      <w:r w:rsidRPr="00147FAB">
        <w:rPr>
          <w:rFonts w:asciiTheme="minorEastAsia" w:eastAsiaTheme="minorEastAsia" w:hAnsiTheme="minorEastAsia"/>
          <w:bCs/>
          <w:szCs w:val="21"/>
        </w:rPr>
        <w:t xml:space="preserve"> </w:t>
      </w:r>
    </w:p>
    <w:p w14:paraId="5EF48B41" w14:textId="77777777" w:rsidR="001C2B16" w:rsidRPr="00147FAB" w:rsidRDefault="001C2B16" w:rsidP="001C2B16">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w:t>
      </w:r>
      <w:r w:rsidRPr="00147FAB">
        <w:rPr>
          <w:rFonts w:asciiTheme="minorEastAsia" w:eastAsiaTheme="minorEastAsia" w:hAnsiTheme="minorEastAsia" w:hint="eastAsia"/>
          <w:bCs/>
          <w:szCs w:val="21"/>
        </w:rPr>
        <w:t>、法律法规、中国证监会规定或基金合同约定的其他情形。</w:t>
      </w:r>
    </w:p>
    <w:p w14:paraId="10846F02" w14:textId="77777777" w:rsidR="00E8494F" w:rsidRPr="00E8494F" w:rsidRDefault="00E8494F" w:rsidP="004F5BE4">
      <w:pPr>
        <w:adjustRightInd w:val="0"/>
        <w:snapToGrid w:val="0"/>
        <w:spacing w:line="360" w:lineRule="auto"/>
        <w:ind w:firstLineChars="200" w:firstLine="420"/>
        <w:rPr>
          <w:rFonts w:ascii="宋体" w:hAnsi="宋体"/>
          <w:szCs w:val="21"/>
        </w:rPr>
      </w:pPr>
    </w:p>
    <w:p w14:paraId="6D855A55" w14:textId="77777777" w:rsidR="00EF43F2" w:rsidRDefault="00EF43F2" w:rsidP="00F05D2A">
      <w:pPr>
        <w:pStyle w:val="36"/>
        <w:adjustRightInd w:val="0"/>
        <w:snapToGrid w:val="0"/>
        <w:rPr>
          <w:rFonts w:hAnsi="宋体" w:hint="default"/>
          <w:szCs w:val="21"/>
        </w:rPr>
      </w:pPr>
    </w:p>
    <w:p w14:paraId="5A476546" w14:textId="77777777" w:rsidR="00EF43F2" w:rsidRDefault="00EF43F2">
      <w:pPr>
        <w:widowControl/>
        <w:jc w:val="left"/>
        <w:rPr>
          <w:rFonts w:ascii="宋体" w:hAnsi="宋体"/>
          <w:szCs w:val="21"/>
        </w:rPr>
      </w:pPr>
      <w:r>
        <w:rPr>
          <w:rFonts w:hAnsi="宋体"/>
          <w:szCs w:val="21"/>
        </w:rPr>
        <w:br w:type="page"/>
      </w:r>
    </w:p>
    <w:p w14:paraId="30E6AF6F" w14:textId="77777777" w:rsidR="00EF43F2" w:rsidRPr="00EF43F2" w:rsidRDefault="00EF43F2" w:rsidP="00EF43F2">
      <w:pPr>
        <w:pStyle w:val="36"/>
        <w:adjustRightInd w:val="0"/>
        <w:snapToGrid w:val="0"/>
        <w:rPr>
          <w:rFonts w:hAnsi="宋体" w:hint="default"/>
          <w:szCs w:val="21"/>
        </w:rPr>
      </w:pPr>
    </w:p>
    <w:p w14:paraId="1CE51310" w14:textId="5EB7EE27" w:rsidR="00EF43F2" w:rsidRPr="00EF43F2" w:rsidRDefault="00EF43F2" w:rsidP="00EF43F2">
      <w:pPr>
        <w:pStyle w:val="21"/>
        <w:numPr>
          <w:ilvl w:val="0"/>
          <w:numId w:val="24"/>
        </w:numPr>
        <w:tabs>
          <w:tab w:val="num" w:pos="718"/>
        </w:tabs>
        <w:snapToGrid w:val="0"/>
        <w:spacing w:before="0" w:after="0" w:line="360" w:lineRule="auto"/>
        <w:jc w:val="left"/>
        <w:rPr>
          <w:b w:val="0"/>
        </w:rPr>
      </w:pPr>
      <w:bookmarkStart w:id="221" w:name="_Toc47384203"/>
      <w:r w:rsidRPr="00EF43F2">
        <w:rPr>
          <w:rFonts w:hint="eastAsia"/>
          <w:b w:val="0"/>
        </w:rPr>
        <w:t>侧袋机制</w:t>
      </w:r>
      <w:bookmarkEnd w:id="221"/>
    </w:p>
    <w:p w14:paraId="60966D13" w14:textId="77777777" w:rsidR="00C34239" w:rsidRDefault="00C34239" w:rsidP="00EF43F2">
      <w:pPr>
        <w:adjustRightInd w:val="0"/>
        <w:snapToGrid w:val="0"/>
        <w:spacing w:line="360" w:lineRule="auto"/>
        <w:ind w:firstLineChars="200" w:firstLine="420"/>
        <w:rPr>
          <w:rFonts w:ascii="宋体" w:hAnsi="宋体"/>
          <w:szCs w:val="21"/>
        </w:rPr>
      </w:pPr>
    </w:p>
    <w:p w14:paraId="2724BB6F"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一、侧袋机制的实施条件、实施程序</w:t>
      </w:r>
    </w:p>
    <w:p w14:paraId="47374AA5"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2F37740F"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启用侧袋机制当日，基金管理人应以基金份额持有人的原有账户份额为基础，确认相应侧袋账户份额。</w:t>
      </w:r>
    </w:p>
    <w:p w14:paraId="7D6C2E4D"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3A392B6C"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二、侧袋账户的设立</w:t>
      </w:r>
    </w:p>
    <w:p w14:paraId="3E4393FE"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基金管理人可为本基金设立多个侧袋账户，但每个侧袋账户应单独设置账套，实行独立核算。</w:t>
      </w:r>
    </w:p>
    <w:p w14:paraId="4191553C"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7F7FB017"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三、实施侧袋机制期间的基金销售</w:t>
      </w:r>
    </w:p>
    <w:p w14:paraId="609365A1"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1、本基金实施侧袋机制的，基金管理人将在基金合同和招募说明书约定的开放日办理主袋账户份额的赎回，并根据主袋账户运作情况确定是否暂停申购。</w:t>
      </w:r>
    </w:p>
    <w:p w14:paraId="11AEB452"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764877AA"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5523B8B5"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4、侧袋机制实施期间，基金管理人不得办理侧袋账户份额的申购、赎回、定投和转换。</w:t>
      </w:r>
    </w:p>
    <w:p w14:paraId="5671CCA6"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66C4CE6D"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四、实施侧袋机制期间的基金投资</w:t>
      </w:r>
    </w:p>
    <w:p w14:paraId="27300870"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78C0662F"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基金管理人原则上应当在侧袋机制启用后20个交易日内完成对主袋账户投资组合的调整，因资产流动性受限等中国证监会规定的情形除外。</w:t>
      </w:r>
    </w:p>
    <w:p w14:paraId="081D0D71"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5D995EF9"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5FDD55C4"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五、实施侧袋机制期间的基金估值</w:t>
      </w:r>
    </w:p>
    <w:p w14:paraId="49301BD7"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本基金实施侧袋机制的，基金管理人和基金托管人应对主袋账户资产进行估值并披露主袋账户的基金净值信息，暂停披露侧袋账户份额净值。</w:t>
      </w:r>
    </w:p>
    <w:p w14:paraId="55A8E690"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4BA20BE3"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六、实施侧袋机制期间的收益分配</w:t>
      </w:r>
    </w:p>
    <w:p w14:paraId="22AEDAAF"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本基金实施侧袋机制的，招募说明书“基金的收益分配”部分规定的收益分配约定仅适用于主袋账户份额。侧袋账户份额不进行收益分配。</w:t>
      </w:r>
    </w:p>
    <w:p w14:paraId="29082F89"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3A146AF2"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七、实施侧袋账户期间的基金费用</w:t>
      </w:r>
    </w:p>
    <w:p w14:paraId="3C578707"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侧袋机制实施期间，侧袋账户资产不收取管理费。</w:t>
      </w:r>
    </w:p>
    <w:p w14:paraId="04E3EB77"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基金管理人可以将与侧袋账户有关的费用从侧袋账户资产中列支，但应待特定资产变现后方可列支。</w:t>
      </w:r>
    </w:p>
    <w:p w14:paraId="36CCF87E"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7065BF74"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八、特定资产的处置变现和支付</w:t>
      </w:r>
    </w:p>
    <w:p w14:paraId="0A6EC280"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特定资产恢复流动性后，基金管理人应当按照持有人利益最大化原则，采取将特定资产予以处置变现等方式，及时向侧袋账户份额持有人支付对应款项。</w:t>
      </w:r>
    </w:p>
    <w:p w14:paraId="562857A1"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64B69EFE"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4CFE5881"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九、侧袋机制的信息披露</w:t>
      </w:r>
    </w:p>
    <w:p w14:paraId="54962BB9"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1、临时公告</w:t>
      </w:r>
    </w:p>
    <w:p w14:paraId="20183066"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5B058AE0"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启用侧袋机制的临时公告内容应当包括启用原因及程序、特定资产流动性和估值情况、对投资者申购赎回的影响、风险提示等重要信息。</w:t>
      </w:r>
    </w:p>
    <w:p w14:paraId="7EAD9AB3"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处置特定资产的临时公告内容应当包括特定资产处置价格和时间、向侧袋账户份额持有人支付的款项、相关费用发生情况等重要信息。</w:t>
      </w:r>
    </w:p>
    <w:p w14:paraId="6514B15F"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2、基金净值信息</w:t>
      </w:r>
    </w:p>
    <w:p w14:paraId="65E57C86"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基金管理人应按照招募说明书“基金的信息披露”部分规定的基金净值信息披露方式和频率披露主袋账户份额的基金份额净值和基金份额累计净值。实施侧袋机制期间本基金暂停</w:t>
      </w:r>
      <w:r w:rsidRPr="00C34239">
        <w:rPr>
          <w:rFonts w:ascii="宋体" w:hAnsi="宋体" w:hint="eastAsia"/>
          <w:szCs w:val="21"/>
        </w:rPr>
        <w:lastRenderedPageBreak/>
        <w:t>披露侧袋账户份额净值和累计净值。</w:t>
      </w:r>
    </w:p>
    <w:p w14:paraId="2FE719EA"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3、定期报告</w:t>
      </w:r>
    </w:p>
    <w:p w14:paraId="4FD9FBCD" w14:textId="77777777" w:rsidR="00C34239" w:rsidRPr="00C34239" w:rsidRDefault="00C34239" w:rsidP="00C34239">
      <w:pPr>
        <w:adjustRightInd w:val="0"/>
        <w:snapToGrid w:val="0"/>
        <w:spacing w:line="360" w:lineRule="auto"/>
        <w:ind w:firstLineChars="200" w:firstLine="420"/>
        <w:rPr>
          <w:rFonts w:ascii="宋体" w:hAnsi="宋体"/>
          <w:szCs w:val="21"/>
        </w:rPr>
      </w:pPr>
      <w:r w:rsidRPr="00C34239">
        <w:rPr>
          <w:rFonts w:ascii="宋体" w:hAnsi="宋体" w:hint="eastAsia"/>
          <w:szCs w:val="21"/>
        </w:rPr>
        <w:t>侧袋机制实施期间，基金定期报告中的基金会计报表仅需针对主袋账户进行编制。基金管理人应当在基金定期报告中披露报告期内特定资产处置进展情况,可根据特定资产处置进展情况披露报告期末特定资产可变现净值或净值区间，但上述可变现净值或净值区间（如有）不作为基金管理人对于特定资产最终变现价格的承诺。</w:t>
      </w:r>
    </w:p>
    <w:p w14:paraId="789DC07C" w14:textId="77777777" w:rsidR="00C34239" w:rsidRPr="00C34239" w:rsidRDefault="00C34239" w:rsidP="00C34239">
      <w:pPr>
        <w:adjustRightInd w:val="0"/>
        <w:snapToGrid w:val="0"/>
        <w:spacing w:line="360" w:lineRule="auto"/>
        <w:ind w:firstLineChars="200" w:firstLine="420"/>
        <w:rPr>
          <w:rFonts w:ascii="宋体" w:hAnsi="宋体"/>
          <w:szCs w:val="21"/>
        </w:rPr>
      </w:pPr>
    </w:p>
    <w:p w14:paraId="43A35F7E" w14:textId="489243C2" w:rsidR="00EF43F2" w:rsidRPr="00EF43F2" w:rsidRDefault="00C34239" w:rsidP="00EF43F2">
      <w:pPr>
        <w:spacing w:line="360" w:lineRule="auto"/>
        <w:ind w:firstLineChars="200" w:firstLine="420"/>
        <w:rPr>
          <w:rFonts w:ascii="宋体" w:hAnsi="宋体"/>
          <w:szCs w:val="21"/>
        </w:rPr>
      </w:pPr>
      <w:r w:rsidRPr="00C34239">
        <w:rPr>
          <w:rFonts w:ascii="宋体" w:hAnsi="宋体" w:hint="eastAsia"/>
          <w:szCs w:val="21"/>
        </w:rPr>
        <w:t>十、本部分关于侧袋机制的相关规定，如将来法律法规或监管规则修改导致相关内容被取消或应被变更的，基金管理人经与基金托管人协商一致并履行适当程序后，可直接对本部分内容进行修改和调整，无需召开基金份额持有人大会审议。</w:t>
      </w:r>
    </w:p>
    <w:p w14:paraId="7EBD701A" w14:textId="77777777" w:rsidR="002E3EC6" w:rsidRPr="004F5BE4" w:rsidRDefault="002E3EC6" w:rsidP="00F05D2A">
      <w:pPr>
        <w:pStyle w:val="36"/>
        <w:adjustRightInd w:val="0"/>
        <w:snapToGrid w:val="0"/>
        <w:rPr>
          <w:rFonts w:hAnsi="宋体" w:hint="default"/>
          <w:szCs w:val="21"/>
        </w:rPr>
      </w:pPr>
      <w:r w:rsidRPr="00EF43F2">
        <w:rPr>
          <w:rFonts w:hint="default"/>
        </w:rPr>
        <w:br w:type="page"/>
      </w:r>
      <w:r w:rsidRPr="004F5BE4">
        <w:rPr>
          <w:rFonts w:hAnsi="宋体"/>
          <w:szCs w:val="21"/>
        </w:rPr>
        <w:lastRenderedPageBreak/>
        <w:t> </w:t>
      </w:r>
    </w:p>
    <w:p w14:paraId="6D932E5A"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22" w:name="_Toc274597451"/>
      <w:bookmarkStart w:id="223" w:name="_Toc276542617"/>
      <w:bookmarkStart w:id="224" w:name="_Toc289439349"/>
      <w:bookmarkStart w:id="225" w:name="_Toc297312919"/>
      <w:bookmarkStart w:id="226" w:name="_Toc353955245"/>
      <w:bookmarkStart w:id="227" w:name="_Toc364930803"/>
      <w:bookmarkStart w:id="228" w:name="_Toc382897931"/>
      <w:bookmarkStart w:id="229" w:name="_Toc411503277"/>
      <w:bookmarkStart w:id="230" w:name="_Toc47384204"/>
      <w:r w:rsidRPr="004F5BE4">
        <w:rPr>
          <w:rFonts w:hint="eastAsia"/>
          <w:b w:val="0"/>
        </w:rPr>
        <w:t>风险揭示</w:t>
      </w:r>
      <w:bookmarkEnd w:id="222"/>
      <w:bookmarkEnd w:id="223"/>
      <w:bookmarkEnd w:id="224"/>
      <w:bookmarkEnd w:id="225"/>
      <w:bookmarkEnd w:id="226"/>
      <w:bookmarkEnd w:id="227"/>
      <w:bookmarkEnd w:id="228"/>
      <w:bookmarkEnd w:id="229"/>
      <w:bookmarkEnd w:id="230"/>
    </w:p>
    <w:p w14:paraId="42661AC5" w14:textId="77777777" w:rsidR="00C555E8" w:rsidRPr="004F5BE4" w:rsidRDefault="00C555E8" w:rsidP="00F05D2A">
      <w:pPr>
        <w:adjustRightInd w:val="0"/>
        <w:snapToGrid w:val="0"/>
        <w:spacing w:line="360" w:lineRule="auto"/>
        <w:ind w:firstLineChars="200" w:firstLine="420"/>
        <w:rPr>
          <w:rFonts w:ascii="宋体" w:hAnsi="宋体"/>
          <w:szCs w:val="21"/>
        </w:rPr>
      </w:pPr>
    </w:p>
    <w:p w14:paraId="621DDCF1" w14:textId="77777777" w:rsidR="0006315D" w:rsidRPr="003450DA" w:rsidRDefault="0006315D" w:rsidP="0006315D">
      <w:pPr>
        <w:adjustRightInd w:val="0"/>
        <w:snapToGrid w:val="0"/>
        <w:spacing w:line="360" w:lineRule="auto"/>
        <w:ind w:firstLineChars="200" w:firstLine="420"/>
        <w:rPr>
          <w:rFonts w:ascii="宋体" w:hAnsi="宋体"/>
          <w:szCs w:val="21"/>
        </w:rPr>
      </w:pPr>
      <w:r w:rsidRPr="003450DA">
        <w:rPr>
          <w:rFonts w:ascii="宋体" w:hAnsi="宋体" w:hint="eastAsia"/>
          <w:szCs w:val="21"/>
        </w:rPr>
        <w:t>一、本基金的特有风险</w:t>
      </w:r>
    </w:p>
    <w:p w14:paraId="2EB2008A" w14:textId="1A62C43C" w:rsidR="0006315D" w:rsidRDefault="0006315D" w:rsidP="0006315D">
      <w:pPr>
        <w:spacing w:line="360" w:lineRule="auto"/>
        <w:ind w:firstLineChars="200" w:firstLine="420"/>
        <w:rPr>
          <w:rFonts w:ascii="宋体" w:hAnsi="宋体"/>
          <w:szCs w:val="21"/>
        </w:rPr>
      </w:pPr>
      <w:r w:rsidRPr="00582AC7">
        <w:rPr>
          <w:rFonts w:ascii="宋体" w:hAnsi="宋体" w:hint="eastAsia"/>
          <w:szCs w:val="21"/>
        </w:rPr>
        <w:t>1、</w:t>
      </w:r>
      <w:r w:rsidRPr="00582AC7">
        <w:rPr>
          <w:rFonts w:ascii="宋体" w:hAnsi="宋体"/>
          <w:szCs w:val="21"/>
        </w:rPr>
        <w:t>本基金为</w:t>
      </w:r>
      <w:r w:rsidR="003073FF">
        <w:rPr>
          <w:rFonts w:ascii="宋体" w:hAnsi="宋体" w:hint="eastAsia"/>
          <w:szCs w:val="21"/>
        </w:rPr>
        <w:t>混合型</w:t>
      </w:r>
      <w:r w:rsidRPr="00582AC7">
        <w:rPr>
          <w:rFonts w:ascii="宋体" w:hAnsi="宋体"/>
          <w:szCs w:val="21"/>
        </w:rPr>
        <w:t>证券投资基金</w:t>
      </w:r>
      <w:r w:rsidRPr="00582AC7">
        <w:rPr>
          <w:rFonts w:ascii="宋体" w:hAnsi="宋体" w:hint="eastAsia"/>
          <w:szCs w:val="21"/>
        </w:rPr>
        <w:t>，</w:t>
      </w:r>
      <w:r w:rsidR="00147FAB">
        <w:rPr>
          <w:rFonts w:ascii="宋体" w:hAnsi="宋体" w:hint="eastAsia"/>
          <w:szCs w:val="21"/>
        </w:rPr>
        <w:t>股票</w:t>
      </w:r>
      <w:r w:rsidR="00186EBB">
        <w:rPr>
          <w:rFonts w:ascii="宋体" w:hAnsi="宋体" w:hint="eastAsia"/>
          <w:szCs w:val="21"/>
        </w:rPr>
        <w:t>（含</w:t>
      </w:r>
      <w:r w:rsidR="00186EBB">
        <w:rPr>
          <w:rFonts w:ascii="宋体" w:hAnsi="宋体"/>
          <w:szCs w:val="21"/>
        </w:rPr>
        <w:t>存托凭证）</w:t>
      </w:r>
      <w:r w:rsidR="00147FAB">
        <w:rPr>
          <w:rFonts w:ascii="宋体" w:hAnsi="宋体" w:hint="eastAsia"/>
          <w:szCs w:val="21"/>
        </w:rPr>
        <w:t>投资占基金资产的比例范围为</w:t>
      </w:r>
      <w:r w:rsidR="00A730A2">
        <w:rPr>
          <w:rFonts w:ascii="宋体" w:hAnsi="宋体"/>
          <w:szCs w:val="21"/>
        </w:rPr>
        <w:t>6</w:t>
      </w:r>
      <w:r w:rsidR="00A730A2">
        <w:rPr>
          <w:rFonts w:ascii="宋体" w:hAnsi="宋体" w:hint="eastAsia"/>
          <w:szCs w:val="21"/>
        </w:rPr>
        <w:t>0</w:t>
      </w:r>
      <w:r w:rsidR="00E920C7">
        <w:rPr>
          <w:rFonts w:ascii="宋体" w:hAnsi="宋体"/>
          <w:szCs w:val="21"/>
        </w:rPr>
        <w:t>%</w:t>
      </w:r>
      <w:r w:rsidR="00147FAB">
        <w:rPr>
          <w:rFonts w:ascii="宋体" w:hAnsi="宋体" w:hint="eastAsia"/>
          <w:szCs w:val="21"/>
        </w:rPr>
        <w:t>-</w:t>
      </w:r>
      <w:r w:rsidR="00A730A2">
        <w:rPr>
          <w:rFonts w:ascii="宋体" w:hAnsi="宋体"/>
          <w:szCs w:val="21"/>
        </w:rPr>
        <w:t>95</w:t>
      </w:r>
      <w:r w:rsidR="00147FAB">
        <w:rPr>
          <w:rFonts w:ascii="宋体" w:hAnsi="宋体" w:hint="eastAsia"/>
          <w:szCs w:val="21"/>
        </w:rPr>
        <w:t>%</w:t>
      </w:r>
      <w:r w:rsidRPr="00582AC7">
        <w:rPr>
          <w:rFonts w:ascii="宋体" w:hAnsi="宋体" w:hint="eastAsia"/>
          <w:szCs w:val="21"/>
        </w:rPr>
        <w:t>，</w:t>
      </w:r>
      <w:r w:rsidR="00147FAB" w:rsidRPr="00590132">
        <w:rPr>
          <w:rFonts w:hint="eastAsia"/>
        </w:rPr>
        <w:t>港股通股票投资比例不得超过股票资产的</w:t>
      </w:r>
      <w:r w:rsidR="00147FAB" w:rsidRPr="00590132">
        <w:rPr>
          <w:rFonts w:hint="eastAsia"/>
        </w:rPr>
        <w:t>50%</w:t>
      </w:r>
      <w:r w:rsidR="00F363D8">
        <w:rPr>
          <w:rFonts w:hint="eastAsia"/>
        </w:rPr>
        <w:t>。</w:t>
      </w:r>
      <w:r w:rsidRPr="00E064AD">
        <w:rPr>
          <w:rFonts w:ascii="宋体" w:hAnsi="宋体" w:hint="eastAsia"/>
          <w:szCs w:val="21"/>
        </w:rPr>
        <w:t>因此，</w:t>
      </w:r>
      <w:r w:rsidR="00147FAB">
        <w:rPr>
          <w:rFonts w:hint="eastAsia"/>
        </w:rPr>
        <w:t>国内和港股通标的股票市场和债券市场的变化均会影响到基金业绩表现，基金净值表现因此可能受到影响</w:t>
      </w:r>
      <w:r w:rsidRPr="00582AC7">
        <w:rPr>
          <w:rFonts w:ascii="宋体" w:hAnsi="宋体" w:hint="eastAsia"/>
          <w:szCs w:val="21"/>
        </w:rPr>
        <w:t>。</w:t>
      </w:r>
    </w:p>
    <w:p w14:paraId="7DCB72B0" w14:textId="3C7E0B2C" w:rsidR="00F85F19" w:rsidRDefault="00F85F19" w:rsidP="00F85F19">
      <w:pPr>
        <w:snapToGrid w:val="0"/>
        <w:spacing w:line="360" w:lineRule="auto"/>
        <w:ind w:firstLine="422"/>
      </w:pPr>
      <w:r>
        <w:rPr>
          <w:rFonts w:hint="eastAsia"/>
        </w:rPr>
        <w:t>2</w:t>
      </w:r>
      <w:r>
        <w:rPr>
          <w:rFonts w:hint="eastAsia"/>
        </w:rPr>
        <w:t>、投资港股通股票的风险</w:t>
      </w:r>
    </w:p>
    <w:p w14:paraId="00FBD1DD" w14:textId="77777777" w:rsidR="00F85F19" w:rsidRDefault="00F85F19" w:rsidP="00F85F19">
      <w:pPr>
        <w:snapToGrid w:val="0"/>
        <w:spacing w:line="360" w:lineRule="auto"/>
        <w:ind w:firstLine="422"/>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14:paraId="57AEAB94" w14:textId="77777777" w:rsidR="00F85F19" w:rsidRDefault="00F85F19" w:rsidP="00F85F19">
      <w:pPr>
        <w:snapToGrid w:val="0"/>
        <w:spacing w:line="360" w:lineRule="auto"/>
        <w:ind w:firstLine="422"/>
      </w:pPr>
      <w:r>
        <w:rPr>
          <w:rFonts w:hint="eastAsia"/>
        </w:rPr>
        <w:t>（</w:t>
      </w:r>
      <w:r>
        <w:rPr>
          <w:rFonts w:hint="eastAsia"/>
        </w:rPr>
        <w:t>1</w:t>
      </w:r>
      <w:r>
        <w:rPr>
          <w:rFonts w:hint="eastAsia"/>
        </w:rPr>
        <w:t>）汇率风险</w:t>
      </w:r>
    </w:p>
    <w:p w14:paraId="62F9319E" w14:textId="77777777" w:rsidR="00F85F19" w:rsidRDefault="00F85F19" w:rsidP="00F85F19">
      <w:pPr>
        <w:snapToGrid w:val="0"/>
        <w:spacing w:line="360" w:lineRule="auto"/>
        <w:ind w:firstLine="422"/>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14:paraId="0CF17270" w14:textId="77777777" w:rsidR="00F85F19" w:rsidRDefault="00F85F19" w:rsidP="00F85F19">
      <w:pPr>
        <w:snapToGrid w:val="0"/>
        <w:spacing w:line="360" w:lineRule="auto"/>
        <w:ind w:firstLine="422"/>
      </w:pPr>
      <w:r>
        <w:rPr>
          <w:rFonts w:hint="eastAsia"/>
        </w:rPr>
        <w:t>（</w:t>
      </w:r>
      <w:r>
        <w:rPr>
          <w:rFonts w:hint="eastAsia"/>
        </w:rPr>
        <w:t>2</w:t>
      </w:r>
      <w:r>
        <w:rPr>
          <w:rFonts w:hint="eastAsia"/>
        </w:rPr>
        <w:t>）香港市场风险</w:t>
      </w:r>
    </w:p>
    <w:p w14:paraId="25BFE5B7" w14:textId="77777777" w:rsidR="00F85F19" w:rsidRDefault="00F85F19" w:rsidP="00F85F19">
      <w:pPr>
        <w:snapToGrid w:val="0"/>
        <w:spacing w:line="360" w:lineRule="auto"/>
        <w:ind w:firstLine="422"/>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 xml:space="preserve">A </w:t>
      </w:r>
      <w:r>
        <w:rPr>
          <w:rFonts w:hint="eastAsia"/>
        </w:rPr>
        <w:t>股更为剧烈的股价波动。</w:t>
      </w:r>
    </w:p>
    <w:p w14:paraId="4DDC6BB5" w14:textId="77777777" w:rsidR="00F85F19" w:rsidRDefault="00F85F19" w:rsidP="00F85F19">
      <w:pPr>
        <w:snapToGrid w:val="0"/>
        <w:spacing w:line="360" w:lineRule="auto"/>
        <w:ind w:firstLine="422"/>
      </w:pPr>
      <w:r>
        <w:rPr>
          <w:rFonts w:hint="eastAsia"/>
        </w:rPr>
        <w:t>（</w:t>
      </w:r>
      <w:r>
        <w:rPr>
          <w:rFonts w:hint="eastAsia"/>
        </w:rPr>
        <w:t>3</w:t>
      </w:r>
      <w:r>
        <w:rPr>
          <w:rFonts w:hint="eastAsia"/>
        </w:rPr>
        <w:t>）香港交易市场制度或规则不同带来的风险</w:t>
      </w:r>
    </w:p>
    <w:p w14:paraId="1C1CCA82" w14:textId="77777777" w:rsidR="00F85F19" w:rsidRDefault="00F85F19" w:rsidP="00F85F19">
      <w:pPr>
        <w:snapToGrid w:val="0"/>
        <w:spacing w:line="360" w:lineRule="auto"/>
        <w:ind w:firstLine="422"/>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14:paraId="1791A935" w14:textId="77777777" w:rsidR="00F85F19" w:rsidRDefault="00F85F19" w:rsidP="00F85F19">
      <w:pPr>
        <w:snapToGrid w:val="0"/>
        <w:spacing w:line="360" w:lineRule="auto"/>
        <w:ind w:firstLine="422"/>
      </w:pPr>
      <w:r>
        <w:rPr>
          <w:rFonts w:hint="eastAsia"/>
        </w:rPr>
        <w:t>①港股市场实行</w:t>
      </w:r>
      <w:r>
        <w:rPr>
          <w:rFonts w:hint="eastAsia"/>
        </w:rPr>
        <w:t xml:space="preserve"> T+0 </w:t>
      </w:r>
      <w:r>
        <w:rPr>
          <w:rFonts w:hint="eastAsia"/>
        </w:rPr>
        <w:t>回转交易机制（即当日买入的股票，在交收前可以于当日卖出），同时对个股不设涨跌幅限制，因此每日涨跌幅空间相对较大；</w:t>
      </w:r>
    </w:p>
    <w:p w14:paraId="4A1510C6" w14:textId="77777777" w:rsidR="00F85F19" w:rsidRDefault="00F85F19" w:rsidP="00F85F19">
      <w:pPr>
        <w:snapToGrid w:val="0"/>
        <w:spacing w:line="360" w:lineRule="auto"/>
        <w:ind w:firstLine="422"/>
      </w:pPr>
      <w:r>
        <w:rPr>
          <w:rFonts w:hint="eastAsia"/>
        </w:rPr>
        <w:t>②只有内地与香港均为交易日且能够满足结算安排的交易日才为港股通交易日；</w:t>
      </w:r>
    </w:p>
    <w:p w14:paraId="25315073" w14:textId="77777777" w:rsidR="00F85F19" w:rsidRDefault="00F85F19" w:rsidP="00F85F19">
      <w:pPr>
        <w:snapToGrid w:val="0"/>
        <w:spacing w:line="360" w:lineRule="auto"/>
        <w:ind w:firstLine="422"/>
      </w:pPr>
      <w:r>
        <w:rPr>
          <w:rFonts w:hint="eastAsia"/>
        </w:rPr>
        <w:t>③香港出现台风、黑色暴雨或者香港联合交易所规定的其他情形时，香港联合交易所将</w:t>
      </w:r>
      <w:r>
        <w:rPr>
          <w:rFonts w:hint="eastAsia"/>
        </w:rPr>
        <w:lastRenderedPageBreak/>
        <w:t>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14:paraId="6FE8216B" w14:textId="77777777" w:rsidR="00F85F19" w:rsidRDefault="00F85F19" w:rsidP="00F85F19">
      <w:pPr>
        <w:snapToGrid w:val="0"/>
        <w:spacing w:line="360" w:lineRule="auto"/>
        <w:ind w:firstLine="422"/>
      </w:pPr>
      <w:r>
        <w:rPr>
          <w:rFonts w:hint="eastAsia"/>
        </w:rPr>
        <w:t>④交收制度带来的基金流动性风险</w:t>
      </w:r>
    </w:p>
    <w:p w14:paraId="3756F750" w14:textId="77777777" w:rsidR="00F85F19" w:rsidRDefault="00F85F19" w:rsidP="00F85F19">
      <w:pPr>
        <w:snapToGrid w:val="0"/>
        <w:spacing w:line="360" w:lineRule="auto"/>
        <w:ind w:firstLine="422"/>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日（港股通交易日）卖出股票，</w:t>
      </w:r>
      <w:r>
        <w:rPr>
          <w:rFonts w:hint="eastAsia"/>
        </w:rPr>
        <w:t xml:space="preserve">T+2 </w:t>
      </w:r>
      <w:r>
        <w:rPr>
          <w:rFonts w:hint="eastAsia"/>
        </w:rPr>
        <w:t>日（港股通交易日，即为卖出当日之后第二个港股通交易日）才能在香港市场完成清算交收，卖出的资金在</w:t>
      </w:r>
      <w:r>
        <w:rPr>
          <w:rFonts w:hint="eastAsia"/>
        </w:rPr>
        <w:t xml:space="preserve"> T+3 </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14:paraId="1E5A9234" w14:textId="77777777" w:rsidR="00F85F19" w:rsidRDefault="00F85F19" w:rsidP="00F85F19">
      <w:pPr>
        <w:snapToGrid w:val="0"/>
        <w:spacing w:line="360" w:lineRule="auto"/>
        <w:ind w:firstLine="422"/>
      </w:pPr>
      <w:r>
        <w:rPr>
          <w:rFonts w:hint="eastAsia"/>
        </w:rPr>
        <w:t>⑤香港联合交易所停牌、退市等制度性差异带来的风险</w:t>
      </w:r>
    </w:p>
    <w:p w14:paraId="13A79C13" w14:textId="77777777" w:rsidR="00F85F19" w:rsidRDefault="00F85F19" w:rsidP="00F85F19">
      <w:pPr>
        <w:snapToGrid w:val="0"/>
        <w:spacing w:line="360" w:lineRule="auto"/>
        <w:ind w:firstLine="422"/>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股市场相对复杂。</w:t>
      </w:r>
    </w:p>
    <w:p w14:paraId="201B4DCF" w14:textId="77777777" w:rsidR="00F85F19" w:rsidRDefault="00F85F19" w:rsidP="00F85F19">
      <w:pPr>
        <w:snapToGrid w:val="0"/>
        <w:spacing w:line="360" w:lineRule="auto"/>
        <w:ind w:firstLine="422"/>
      </w:pPr>
      <w:r>
        <w:rPr>
          <w:rFonts w:hint="eastAsia"/>
        </w:rPr>
        <w:t>因该等制度性差异，本基金可能存在因所持个股遭遇非预期性的停牌甚至退市而给基金带来损失的风险。</w:t>
      </w:r>
    </w:p>
    <w:p w14:paraId="5284CDEC" w14:textId="77777777" w:rsidR="00F85F19" w:rsidRDefault="00F85F19" w:rsidP="00F85F19">
      <w:pPr>
        <w:snapToGrid w:val="0"/>
        <w:spacing w:line="360" w:lineRule="auto"/>
        <w:ind w:firstLine="422"/>
      </w:pPr>
      <w:r>
        <w:rPr>
          <w:rFonts w:hint="eastAsia"/>
        </w:rPr>
        <w:t>（</w:t>
      </w:r>
      <w:r>
        <w:rPr>
          <w:rFonts w:hint="eastAsia"/>
        </w:rPr>
        <w:t>4</w:t>
      </w:r>
      <w:r>
        <w:rPr>
          <w:rFonts w:hint="eastAsia"/>
        </w:rPr>
        <w:t>）港股通制度限制或调整带来的风险</w:t>
      </w:r>
    </w:p>
    <w:p w14:paraId="4BDCBAC3" w14:textId="77777777" w:rsidR="00F85F19" w:rsidRDefault="00F85F19" w:rsidP="00F85F19">
      <w:pPr>
        <w:snapToGrid w:val="0"/>
        <w:spacing w:line="360" w:lineRule="auto"/>
        <w:ind w:firstLine="422"/>
      </w:pPr>
      <w:r>
        <w:rPr>
          <w:rFonts w:hint="eastAsia"/>
        </w:rPr>
        <w:t>①港股通额度限制</w:t>
      </w:r>
    </w:p>
    <w:p w14:paraId="6DF5B77C" w14:textId="77777777" w:rsidR="00F85F19" w:rsidRDefault="00F85F19" w:rsidP="00F85F19">
      <w:pPr>
        <w:snapToGrid w:val="0"/>
        <w:spacing w:line="360" w:lineRule="auto"/>
        <w:ind w:firstLine="422"/>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14:paraId="068CF86D" w14:textId="77777777" w:rsidR="00F85F19" w:rsidRDefault="00F85F19" w:rsidP="00F85F19">
      <w:pPr>
        <w:snapToGrid w:val="0"/>
        <w:spacing w:line="360" w:lineRule="auto"/>
        <w:ind w:firstLine="422"/>
      </w:pPr>
      <w:r>
        <w:rPr>
          <w:rFonts w:hint="eastAsia"/>
        </w:rPr>
        <w:t>②港股通可投资标的范围调整带来的风险</w:t>
      </w:r>
    </w:p>
    <w:p w14:paraId="6923221F" w14:textId="77777777" w:rsidR="00F85F19" w:rsidRDefault="00F85F19" w:rsidP="00F85F19">
      <w:pPr>
        <w:snapToGrid w:val="0"/>
        <w:spacing w:line="360" w:lineRule="auto"/>
        <w:ind w:firstLine="422"/>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14:paraId="03E0E5C5" w14:textId="77777777" w:rsidR="00F85F19" w:rsidRDefault="00F85F19" w:rsidP="00F85F19">
      <w:pPr>
        <w:snapToGrid w:val="0"/>
        <w:spacing w:line="360" w:lineRule="auto"/>
        <w:ind w:firstLine="422"/>
      </w:pPr>
      <w:r>
        <w:rPr>
          <w:rFonts w:hint="eastAsia"/>
        </w:rPr>
        <w:t>③港股通交易日设定的风险</w:t>
      </w:r>
    </w:p>
    <w:p w14:paraId="65DB5642" w14:textId="77777777" w:rsidR="00F85F19" w:rsidRDefault="00F85F19" w:rsidP="00F85F19">
      <w:pPr>
        <w:snapToGrid w:val="0"/>
        <w:spacing w:line="360" w:lineRule="auto"/>
        <w:ind w:firstLine="422"/>
      </w:pPr>
      <w:r>
        <w:rPr>
          <w:rFonts w:hint="eastAsia"/>
        </w:rPr>
        <w:t>根据现行的港股通规则，只有内地与香港均为交易日且能够满足结算安排的交易日才为港股通交易日，存在港股通交易日不连贯的情形（如内地市场因放假等原因休市而香港市场</w:t>
      </w:r>
      <w:r>
        <w:rPr>
          <w:rFonts w:hint="eastAsia"/>
        </w:rPr>
        <w:lastRenderedPageBreak/>
        <w:t>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2A891BD0" w14:textId="77777777" w:rsidR="00F85F19" w:rsidRDefault="00F85F19" w:rsidP="00F85F19">
      <w:pPr>
        <w:snapToGrid w:val="0"/>
        <w:spacing w:line="360" w:lineRule="auto"/>
        <w:ind w:firstLine="422"/>
      </w:pPr>
      <w:r>
        <w:rPr>
          <w:rFonts w:hint="eastAsia"/>
        </w:rPr>
        <w:t>④港股通下对公司行为的处理规则带来的风险</w:t>
      </w:r>
    </w:p>
    <w:p w14:paraId="68FCBB60" w14:textId="77777777" w:rsidR="00F85F19" w:rsidRDefault="00F85F19" w:rsidP="00F85F19">
      <w:pPr>
        <w:snapToGrid w:val="0"/>
        <w:spacing w:line="360" w:lineRule="auto"/>
        <w:ind w:firstLine="422"/>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42AD3049" w14:textId="77777777" w:rsidR="00F85F19" w:rsidRDefault="00F85F19" w:rsidP="00F85F19">
      <w:pPr>
        <w:snapToGrid w:val="0"/>
        <w:spacing w:line="360" w:lineRule="auto"/>
        <w:ind w:firstLine="422"/>
      </w:pPr>
      <w:r>
        <w:rPr>
          <w:rFonts w:hint="eastAsia"/>
        </w:rPr>
        <w:t>⑤代理投票</w:t>
      </w:r>
    </w:p>
    <w:p w14:paraId="09223544" w14:textId="77777777" w:rsidR="00F85F19" w:rsidRDefault="00F85F19" w:rsidP="00F85F19">
      <w:pPr>
        <w:snapToGrid w:val="0"/>
        <w:spacing w:line="360" w:lineRule="auto"/>
        <w:ind w:firstLine="422"/>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006235E4" w14:textId="77777777" w:rsidR="00F85F19" w:rsidRDefault="00F85F19" w:rsidP="00F85F19">
      <w:pPr>
        <w:snapToGrid w:val="0"/>
        <w:spacing w:line="360" w:lineRule="auto"/>
        <w:ind w:firstLine="422"/>
      </w:pPr>
      <w:r>
        <w:rPr>
          <w:rFonts w:hint="eastAsia"/>
        </w:rPr>
        <w:t>（</w:t>
      </w:r>
      <w:r>
        <w:rPr>
          <w:rFonts w:hint="eastAsia"/>
        </w:rPr>
        <w:t>5</w:t>
      </w:r>
      <w:r>
        <w:rPr>
          <w:rFonts w:hint="eastAsia"/>
        </w:rPr>
        <w:t>）法律和政治风险</w:t>
      </w:r>
    </w:p>
    <w:p w14:paraId="52BA2A8B" w14:textId="77777777" w:rsidR="00F85F19" w:rsidRDefault="00F85F19" w:rsidP="00F85F19">
      <w:pPr>
        <w:snapToGrid w:val="0"/>
        <w:spacing w:line="360" w:lineRule="auto"/>
        <w:ind w:firstLine="422"/>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4AFEF19C" w14:textId="77777777" w:rsidR="00F85F19" w:rsidRDefault="00F85F19" w:rsidP="00F85F19">
      <w:pPr>
        <w:snapToGrid w:val="0"/>
        <w:spacing w:line="360" w:lineRule="auto"/>
        <w:ind w:firstLine="422"/>
      </w:pPr>
      <w:r>
        <w:rPr>
          <w:rFonts w:hint="eastAsia"/>
        </w:rPr>
        <w:t>（</w:t>
      </w:r>
      <w:r>
        <w:rPr>
          <w:rFonts w:hint="eastAsia"/>
        </w:rPr>
        <w:t>6</w:t>
      </w:r>
      <w:r>
        <w:rPr>
          <w:rFonts w:hint="eastAsia"/>
        </w:rPr>
        <w:t>）会计制度风险</w:t>
      </w:r>
    </w:p>
    <w:p w14:paraId="3187D11A" w14:textId="77777777" w:rsidR="00F85F19" w:rsidRDefault="00F85F19" w:rsidP="00F85F19">
      <w:pPr>
        <w:snapToGrid w:val="0"/>
        <w:spacing w:line="360" w:lineRule="auto"/>
        <w:ind w:firstLine="422"/>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426DADB5" w14:textId="77777777" w:rsidR="00F85F19" w:rsidRDefault="00F85F19" w:rsidP="00F85F19">
      <w:pPr>
        <w:snapToGrid w:val="0"/>
        <w:spacing w:line="360" w:lineRule="auto"/>
        <w:ind w:firstLine="422"/>
      </w:pPr>
      <w:r>
        <w:rPr>
          <w:rFonts w:hint="eastAsia"/>
        </w:rPr>
        <w:t>（</w:t>
      </w:r>
      <w:r>
        <w:rPr>
          <w:rFonts w:hint="eastAsia"/>
        </w:rPr>
        <w:t>7</w:t>
      </w:r>
      <w:r>
        <w:rPr>
          <w:rFonts w:hint="eastAsia"/>
        </w:rPr>
        <w:t>）税务风险</w:t>
      </w:r>
    </w:p>
    <w:p w14:paraId="04ADDBBD" w14:textId="77777777" w:rsidR="00F85F19" w:rsidRDefault="00F85F19" w:rsidP="00F85F19">
      <w:pPr>
        <w:snapToGrid w:val="0"/>
        <w:spacing w:line="360" w:lineRule="auto"/>
        <w:ind w:firstLine="422"/>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1CD3931E" w14:textId="77777777" w:rsidR="00F85F19" w:rsidRPr="00582AC7" w:rsidRDefault="00F85F19" w:rsidP="00586FD5">
      <w:pPr>
        <w:snapToGrid w:val="0"/>
        <w:spacing w:line="360" w:lineRule="auto"/>
        <w:ind w:firstLine="422"/>
        <w:rPr>
          <w:rFonts w:ascii="宋体" w:hAnsi="宋体"/>
          <w:szCs w:val="21"/>
        </w:rPr>
      </w:pPr>
      <w:r>
        <w:t>3</w:t>
      </w:r>
      <w:r>
        <w:rPr>
          <w:rFonts w:hint="eastAsia"/>
        </w:rPr>
        <w:t>、</w:t>
      </w:r>
      <w:r w:rsidR="008D5C0C">
        <w:rPr>
          <w:rFonts w:hint="eastAsia"/>
        </w:rPr>
        <w:t>本基金投资</w:t>
      </w:r>
      <w:r w:rsidR="00780AAF">
        <w:rPr>
          <w:rFonts w:hint="eastAsia"/>
        </w:rPr>
        <w:t>范围</w:t>
      </w:r>
      <w:r w:rsidR="00780AAF">
        <w:t>包括</w:t>
      </w:r>
      <w:r w:rsidR="008D5C0C">
        <w:rPr>
          <w:rFonts w:hint="eastAsia"/>
        </w:rPr>
        <w:t>股指期货、</w:t>
      </w:r>
      <w:r w:rsidR="009358DC">
        <w:rPr>
          <w:rFonts w:hint="eastAsia"/>
        </w:rPr>
        <w:t>国债</w:t>
      </w:r>
      <w:r w:rsidR="009358DC">
        <w:t>期货、</w:t>
      </w:r>
      <w:r w:rsidR="008D5C0C">
        <w:rPr>
          <w:rFonts w:hint="eastAsia"/>
        </w:rPr>
        <w:t>股票期权等金融衍生品</w:t>
      </w:r>
      <w:r w:rsidR="00780AAF">
        <w:rPr>
          <w:rFonts w:hint="eastAsia"/>
        </w:rPr>
        <w:t>，可能</w:t>
      </w:r>
      <w:r w:rsidR="00780AAF">
        <w:t>给</w:t>
      </w:r>
      <w:r w:rsidR="00780AAF">
        <w:rPr>
          <w:rFonts w:hint="eastAsia"/>
        </w:rPr>
        <w:t>本基金</w:t>
      </w:r>
      <w:r w:rsidR="00780AAF">
        <w:t>带来额外风险。</w:t>
      </w:r>
      <w:r w:rsidR="00780AAF">
        <w:rPr>
          <w:rFonts w:hint="eastAsia"/>
        </w:rPr>
        <w:t>投资股指期货</w:t>
      </w:r>
      <w:r w:rsidR="00780AAF">
        <w:t>、国债期货的风险包括但不限于</w:t>
      </w:r>
      <w:r w:rsidR="00586FD5">
        <w:rPr>
          <w:rFonts w:hint="eastAsia"/>
        </w:rPr>
        <w:t>杠杆</w:t>
      </w:r>
      <w:r w:rsidR="00586FD5">
        <w:t>风险、保证金风险</w:t>
      </w:r>
      <w:r w:rsidR="00586FD5">
        <w:rPr>
          <w:rFonts w:hint="eastAsia"/>
        </w:rPr>
        <w:t>、</w:t>
      </w:r>
      <w:r w:rsidR="00586FD5">
        <w:t>期货价格</w:t>
      </w:r>
      <w:r w:rsidR="00586FD5">
        <w:rPr>
          <w:rFonts w:hint="eastAsia"/>
        </w:rPr>
        <w:t>与</w:t>
      </w:r>
      <w:r w:rsidR="00586FD5">
        <w:t>基金投资品种价格的相关度降低</w:t>
      </w:r>
      <w:r w:rsidR="00586FD5">
        <w:rPr>
          <w:rFonts w:hint="eastAsia"/>
        </w:rPr>
        <w:t>带来</w:t>
      </w:r>
      <w:r w:rsidR="00586FD5">
        <w:t>的风险等；</w:t>
      </w:r>
      <w:r w:rsidR="00780AAF">
        <w:rPr>
          <w:rFonts w:hint="eastAsia"/>
        </w:rPr>
        <w:t>投资</w:t>
      </w:r>
      <w:r w:rsidR="00780AAF">
        <w:t>股票期权</w:t>
      </w:r>
      <w:r w:rsidR="00780AAF">
        <w:rPr>
          <w:rFonts w:hint="eastAsia"/>
        </w:rPr>
        <w:t>的</w:t>
      </w:r>
      <w:r w:rsidR="00780AAF">
        <w:t>风险包括但不限于市场风险、流动性风险、交易对手信用风险、操作</w:t>
      </w:r>
      <w:r w:rsidR="00780AAF">
        <w:rPr>
          <w:rFonts w:hint="eastAsia"/>
        </w:rPr>
        <w:t>风险</w:t>
      </w:r>
      <w:r w:rsidR="00780AAF">
        <w:t>、保证金风险等；由此可能增加</w:t>
      </w:r>
      <w:r w:rsidR="00780AAF">
        <w:rPr>
          <w:rFonts w:hint="eastAsia"/>
        </w:rPr>
        <w:t>本基金</w:t>
      </w:r>
      <w:r w:rsidR="00780AAF">
        <w:lastRenderedPageBreak/>
        <w:t>净值的波动性</w:t>
      </w:r>
      <w:r w:rsidR="00586FD5">
        <w:rPr>
          <w:rFonts w:hint="eastAsia"/>
        </w:rPr>
        <w:t>。</w:t>
      </w:r>
    </w:p>
    <w:p w14:paraId="7BBF94E0" w14:textId="77777777" w:rsidR="0006315D" w:rsidRPr="00582AC7" w:rsidRDefault="002002A9" w:rsidP="0006315D">
      <w:pPr>
        <w:spacing w:line="360" w:lineRule="auto"/>
        <w:ind w:firstLineChars="200" w:firstLine="420"/>
        <w:rPr>
          <w:rFonts w:ascii="宋体" w:hAnsi="宋体"/>
          <w:bCs/>
          <w:szCs w:val="21"/>
        </w:rPr>
      </w:pPr>
      <w:r>
        <w:rPr>
          <w:rFonts w:ascii="宋体" w:hAnsi="宋体"/>
          <w:bCs/>
          <w:szCs w:val="21"/>
        </w:rPr>
        <w:t>4</w:t>
      </w:r>
      <w:r w:rsidR="0006315D" w:rsidRPr="00582AC7">
        <w:rPr>
          <w:rFonts w:ascii="宋体" w:hAnsi="宋体" w:hint="eastAsia"/>
          <w:bCs/>
          <w:szCs w:val="21"/>
        </w:rPr>
        <w:t>、本基金的投资范围包括资产支持证券。资产支持证券存在信用风险、利率风险、流动性风险、提前偿付风险、操作风险和法律风险等。</w:t>
      </w:r>
    </w:p>
    <w:p w14:paraId="7FBF514E"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1</w:t>
      </w:r>
      <w:r w:rsidRPr="00582AC7">
        <w:rPr>
          <w:rFonts w:ascii="宋体" w:hAnsi="宋体" w:hint="eastAsia"/>
          <w:bCs/>
          <w:szCs w:val="21"/>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699F07F5"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2</w:t>
      </w:r>
      <w:r w:rsidRPr="00582AC7">
        <w:rPr>
          <w:rFonts w:ascii="宋体" w:hAnsi="宋体" w:hint="eastAsia"/>
          <w:bCs/>
          <w:szCs w:val="21"/>
        </w:rPr>
        <w:t>）利率风险是指资产支持证券作为固定收益证券的一种，也具有利率风险，即资产支持证券的价格受利率波动发生变动而造成的风险。</w:t>
      </w:r>
    </w:p>
    <w:p w14:paraId="15012E21"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3</w:t>
      </w:r>
      <w:r w:rsidRPr="00582AC7">
        <w:rPr>
          <w:rFonts w:ascii="宋体" w:hAnsi="宋体" w:hint="eastAsia"/>
          <w:bCs/>
          <w:szCs w:val="21"/>
        </w:rPr>
        <w:t>）流动性风险是指资产支持证券不能迅速、低成本地变现的风险。</w:t>
      </w:r>
    </w:p>
    <w:p w14:paraId="69535F95"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4</w:t>
      </w:r>
      <w:r w:rsidRPr="00582AC7">
        <w:rPr>
          <w:rFonts w:ascii="宋体" w:hAnsi="宋体" w:hint="eastAsia"/>
          <w:bCs/>
          <w:szCs w:val="21"/>
        </w:rPr>
        <w:t>）提前偿付风险是指若合同约定债务人有权在产品到期前偿还，则存在由于提前偿付而使投资者遭受损失的可能性。</w:t>
      </w:r>
    </w:p>
    <w:p w14:paraId="3E86CECA"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5</w:t>
      </w:r>
      <w:r w:rsidRPr="00582AC7">
        <w:rPr>
          <w:rFonts w:ascii="宋体" w:hAnsi="宋体" w:hint="eastAsia"/>
          <w:bCs/>
          <w:szCs w:val="21"/>
        </w:rPr>
        <w:t>）操作风险是指相关各方在业务操作过程中，因操作失误或违反操作规程而引起的风险。</w:t>
      </w:r>
    </w:p>
    <w:p w14:paraId="54B7F84B" w14:textId="77777777" w:rsidR="0006315D"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6</w:t>
      </w:r>
      <w:r w:rsidRPr="00582AC7">
        <w:rPr>
          <w:rFonts w:ascii="宋体" w:hAnsi="宋体" w:hint="eastAsia"/>
          <w:bCs/>
          <w:szCs w:val="21"/>
        </w:rPr>
        <w:t>）法律风险是指因资产支持证券交易结构较为复杂、参与方较多、交易文件较多，而存在的法律风险和履约风险。</w:t>
      </w:r>
    </w:p>
    <w:p w14:paraId="4E50AEA6" w14:textId="1BAC142F" w:rsidR="00702B3E" w:rsidRPr="00702B3E" w:rsidRDefault="009351F2" w:rsidP="00702B3E">
      <w:pPr>
        <w:adjustRightInd w:val="0"/>
        <w:spacing w:line="312" w:lineRule="auto"/>
        <w:ind w:firstLineChars="200" w:firstLine="420"/>
        <w:rPr>
          <w:rFonts w:ascii="宋体" w:hAnsi="宋体"/>
          <w:szCs w:val="21"/>
        </w:rPr>
      </w:pPr>
      <w:r>
        <w:rPr>
          <w:rFonts w:ascii="宋体" w:hAnsi="宋体"/>
          <w:szCs w:val="21"/>
        </w:rPr>
        <w:t>5</w:t>
      </w:r>
      <w:r w:rsidR="00702B3E" w:rsidRPr="00702B3E">
        <w:rPr>
          <w:rFonts w:ascii="宋体" w:hAnsi="宋体" w:hint="eastAsia"/>
          <w:szCs w:val="21"/>
        </w:rPr>
        <w:t>、基金合同终止的风险</w:t>
      </w:r>
    </w:p>
    <w:p w14:paraId="0848EF06" w14:textId="1271C3E1" w:rsidR="00702B3E" w:rsidRPr="00702B3E" w:rsidRDefault="00702B3E" w:rsidP="00702B3E">
      <w:pPr>
        <w:adjustRightInd w:val="0"/>
        <w:spacing w:line="312" w:lineRule="auto"/>
        <w:ind w:firstLineChars="200" w:firstLine="420"/>
        <w:rPr>
          <w:rFonts w:ascii="宋体" w:hAnsi="宋体"/>
          <w:szCs w:val="21"/>
        </w:rPr>
      </w:pPr>
      <w:r w:rsidRPr="00702B3E">
        <w:rPr>
          <w:rFonts w:ascii="宋体" w:hAnsi="宋体" w:hint="eastAsia"/>
          <w:szCs w:val="21"/>
        </w:rPr>
        <w:t>《基金合同》生效后，连续20个工作日出现基金份额持有人数量不满200人或者基金资产净值低于5000万元情形的，基金管理人应当在定期报告中予以披露；</w:t>
      </w:r>
      <w:r w:rsidR="007D7461" w:rsidRPr="007D7461">
        <w:rPr>
          <w:rFonts w:ascii="宋体" w:hAnsi="宋体" w:hint="eastAsia"/>
          <w:szCs w:val="21"/>
        </w:rPr>
        <w:t>连续30个工作日出现基金份额持有人数量不满200人或者基金资产净值低于1亿元情形的，基金合同终止，无需召开基金份额持有人大会。</w:t>
      </w:r>
    </w:p>
    <w:p w14:paraId="3A507706" w14:textId="63D93221" w:rsidR="009351F2" w:rsidRPr="009351F2" w:rsidRDefault="009351F2" w:rsidP="009351F2">
      <w:pPr>
        <w:adjustRightInd w:val="0"/>
        <w:spacing w:line="312" w:lineRule="auto"/>
        <w:ind w:firstLineChars="200" w:firstLine="420"/>
        <w:rPr>
          <w:rFonts w:ascii="宋体" w:hAnsi="宋体"/>
          <w:szCs w:val="21"/>
        </w:rPr>
      </w:pPr>
      <w:r>
        <w:rPr>
          <w:rFonts w:ascii="宋体" w:hAnsi="宋体" w:hint="eastAsia"/>
          <w:szCs w:val="21"/>
        </w:rPr>
        <w:t>6、</w:t>
      </w:r>
      <w:r w:rsidRPr="009351F2">
        <w:rPr>
          <w:rFonts w:ascii="宋体" w:hAnsi="宋体" w:hint="eastAsia"/>
          <w:szCs w:val="21"/>
        </w:rPr>
        <w:t>投资于存托凭证的风险</w:t>
      </w:r>
    </w:p>
    <w:p w14:paraId="798FEF5C" w14:textId="3BF2FE64" w:rsidR="0006315D" w:rsidRPr="009351F2" w:rsidRDefault="009351F2" w:rsidP="009351F2">
      <w:pPr>
        <w:adjustRightInd w:val="0"/>
        <w:spacing w:line="312" w:lineRule="auto"/>
        <w:ind w:firstLineChars="200" w:firstLine="420"/>
        <w:rPr>
          <w:rFonts w:ascii="宋体" w:hAnsi="宋体"/>
          <w:szCs w:val="21"/>
        </w:rPr>
      </w:pPr>
      <w:r w:rsidRPr="009351F2">
        <w:rPr>
          <w:rFonts w:ascii="宋体" w:hAnsi="宋体" w:hint="eastAsia"/>
          <w:szCs w:val="21"/>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21DE8DF1"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二</w:t>
      </w:r>
      <w:r w:rsidRPr="00E064AD">
        <w:rPr>
          <w:rFonts w:ascii="宋体" w:hAnsi="宋体" w:hint="eastAsia"/>
          <w:szCs w:val="21"/>
        </w:rPr>
        <w:t>、债券市场风险</w:t>
      </w:r>
    </w:p>
    <w:p w14:paraId="71F81138" w14:textId="77777777" w:rsidR="0006315D" w:rsidRPr="00E064AD" w:rsidRDefault="0006315D" w:rsidP="0006315D">
      <w:pPr>
        <w:adjustRightInd w:val="0"/>
        <w:spacing w:line="312" w:lineRule="auto"/>
        <w:ind w:firstLine="480"/>
        <w:rPr>
          <w:rFonts w:ascii="宋体" w:hAnsi="宋体"/>
          <w:szCs w:val="21"/>
        </w:rPr>
      </w:pPr>
      <w:r w:rsidRPr="00E064AD">
        <w:rPr>
          <w:rFonts w:ascii="宋体" w:hAnsi="宋体" w:hint="eastAsia"/>
          <w:szCs w:val="21"/>
        </w:rPr>
        <w:t>债券市场价格受到经济因素、政治因素、投资心理和交易制度等各种因素的影响，导</w:t>
      </w:r>
      <w:r w:rsidRPr="00E064AD">
        <w:rPr>
          <w:rFonts w:ascii="宋体" w:hAnsi="宋体" w:hint="eastAsia"/>
          <w:szCs w:val="21"/>
        </w:rPr>
        <w:lastRenderedPageBreak/>
        <w:t>致基金收益水平变化，产生风险，主要包括：</w:t>
      </w:r>
    </w:p>
    <w:p w14:paraId="54B973CC"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1</w:t>
      </w:r>
      <w:r w:rsidRPr="00E064AD">
        <w:rPr>
          <w:rFonts w:ascii="宋体" w:hAnsi="宋体" w:hint="eastAsia"/>
          <w:szCs w:val="21"/>
        </w:rPr>
        <w:t>、政策风险。因国家宏观经济形势、货币政策和财政政策等发生变化，导致债券价格波动而产生风险。</w:t>
      </w:r>
    </w:p>
    <w:p w14:paraId="699C4D05"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2</w:t>
      </w:r>
      <w:r w:rsidRPr="00E064AD">
        <w:rPr>
          <w:rFonts w:ascii="宋体" w:hAnsi="宋体" w:hint="eastAsia"/>
          <w:szCs w:val="21"/>
        </w:rPr>
        <w:t>、利率风险。利率波动直接影响着债券的价格和收益率，从而影响基金的净值表现。利率波动可能导致债券基金跌破面值。在利率波动时，债券基金的净值波动一般会高于货币市场基金。</w:t>
      </w:r>
    </w:p>
    <w:p w14:paraId="2C43B8F2"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3</w:t>
      </w:r>
      <w:r w:rsidRPr="00E064AD">
        <w:rPr>
          <w:rFonts w:ascii="宋体" w:hAnsi="宋体" w:hint="eastAsia"/>
          <w:szCs w:val="21"/>
        </w:rPr>
        <w:t>、信用风险。主要是指债务人的违约风险，若债务人经营不善，资不抵债，债权人可能会损失掉大部分的投资，这主要体现在企业债中。</w:t>
      </w:r>
    </w:p>
    <w:p w14:paraId="3D1AE69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4</w:t>
      </w:r>
      <w:r w:rsidRPr="00E064AD">
        <w:rPr>
          <w:rFonts w:ascii="宋体" w:hAnsi="宋体" w:hint="eastAsia"/>
          <w:szCs w:val="21"/>
        </w:rPr>
        <w:t>、购买力风险。基金的利润将主要通过现金形式来分配，而现金可能因为通货膨胀的影响而导致购买力下降，从而使基金的实际收益下降。</w:t>
      </w:r>
    </w:p>
    <w:p w14:paraId="4C0E18E9"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5</w:t>
      </w:r>
      <w:r w:rsidRPr="00E064AD">
        <w:rPr>
          <w:rFonts w:ascii="宋体" w:hAnsi="宋体" w:hint="eastAsia"/>
          <w:szCs w:val="21"/>
        </w:rPr>
        <w:t>、债券收益率曲线变动风险。债券收益率曲线变动风险是指与收益率曲线非平行移动有关的风险，单一的久期指标并不能充分反映这一风险的存在。</w:t>
      </w:r>
    </w:p>
    <w:p w14:paraId="53DE707F"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6</w:t>
      </w:r>
      <w:r w:rsidRPr="00E064AD">
        <w:rPr>
          <w:rFonts w:ascii="宋体" w:hAnsi="宋体" w:hint="eastAsia"/>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178E876A"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7</w:t>
      </w:r>
      <w:r w:rsidRPr="00E064AD">
        <w:rPr>
          <w:rFonts w:ascii="宋体" w:hAnsi="宋体" w:hint="eastAsia"/>
          <w:szCs w:val="21"/>
        </w:rPr>
        <w:t>、债券回购风险。较高的债券正回购比例可能增加组合的流动性风险和利率风险。</w:t>
      </w:r>
    </w:p>
    <w:p w14:paraId="51EDA7BA"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8、经济周期风险。证券市场是国民经济的晴雨表，而经济运作具有周期性的特点。宏观经济运行状况将对证券市场的收益水平产生影响，从而产生风险。</w:t>
      </w:r>
    </w:p>
    <w:p w14:paraId="25486995" w14:textId="77777777" w:rsidR="0006315D" w:rsidRPr="00582AC7" w:rsidRDefault="0006315D" w:rsidP="0006315D">
      <w:pPr>
        <w:spacing w:line="360" w:lineRule="auto"/>
        <w:ind w:firstLineChars="200" w:firstLine="420"/>
        <w:rPr>
          <w:rFonts w:ascii="宋体" w:hAnsi="宋体"/>
          <w:bCs/>
          <w:szCs w:val="21"/>
        </w:rPr>
      </w:pPr>
    </w:p>
    <w:p w14:paraId="660738E4"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三</w:t>
      </w:r>
      <w:r w:rsidRPr="00E064AD">
        <w:rPr>
          <w:rFonts w:ascii="宋体" w:hAnsi="宋体" w:hint="eastAsia"/>
          <w:szCs w:val="21"/>
        </w:rPr>
        <w:t>、开放式基金共有的风险</w:t>
      </w:r>
    </w:p>
    <w:p w14:paraId="3E1E72C5"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1</w:t>
      </w:r>
      <w:r w:rsidRPr="00E064AD">
        <w:rPr>
          <w:rFonts w:hAnsi="宋体" w:hint="eastAsia"/>
          <w:szCs w:val="21"/>
        </w:rPr>
        <w:t>、管理风险。</w:t>
      </w:r>
      <w:r w:rsidRPr="00E064AD">
        <w:rPr>
          <w:rFonts w:hAnsi="宋体"/>
          <w:szCs w:val="21"/>
        </w:rPr>
        <w:t>在基金管理运作过程中基金管理人的知识、经验、判断、决策、技能等，会影响其对信息的占有和对经济形势、证券价格走势的判断，从而影响基金收益水平，造成管理风险。</w:t>
      </w:r>
    </w:p>
    <w:p w14:paraId="3125D7A5" w14:textId="1385A005" w:rsidR="0006315D" w:rsidRPr="00E064AD" w:rsidRDefault="0006315D" w:rsidP="0006315D">
      <w:pPr>
        <w:adjustRightInd w:val="0"/>
        <w:spacing w:line="312" w:lineRule="auto"/>
        <w:ind w:firstLine="480"/>
        <w:rPr>
          <w:rFonts w:ascii="宋体" w:hAnsi="宋体"/>
          <w:szCs w:val="21"/>
        </w:rPr>
      </w:pPr>
      <w:r w:rsidRPr="00E064AD">
        <w:rPr>
          <w:rFonts w:hAnsi="宋体" w:hint="eastAsia"/>
          <w:szCs w:val="21"/>
        </w:rPr>
        <w:t>2</w:t>
      </w:r>
      <w:r w:rsidRPr="00E064AD">
        <w:rPr>
          <w:rFonts w:hAnsi="宋体" w:hint="eastAsia"/>
          <w:szCs w:val="21"/>
        </w:rPr>
        <w:t>、流动性风险。</w:t>
      </w:r>
      <w:r w:rsidRPr="00E064AD">
        <w:rPr>
          <w:rFonts w:ascii="宋体" w:hAnsi="宋体" w:hint="eastAsia"/>
          <w:szCs w:val="21"/>
        </w:rPr>
        <w:t>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14:paraId="13CE93E2" w14:textId="77777777" w:rsidR="0006315D" w:rsidRPr="00E064AD" w:rsidRDefault="0006315D" w:rsidP="0006315D">
      <w:pPr>
        <w:adjustRightInd w:val="0"/>
        <w:spacing w:line="312" w:lineRule="auto"/>
        <w:ind w:firstLine="480"/>
        <w:rPr>
          <w:rFonts w:hAnsi="宋体"/>
          <w:szCs w:val="21"/>
        </w:rPr>
      </w:pPr>
      <w:r w:rsidRPr="00E064AD">
        <w:rPr>
          <w:rFonts w:ascii="宋体" w:hAnsi="宋体" w:hint="eastAsia"/>
          <w:szCs w:val="21"/>
        </w:rPr>
        <w:t>为了克服流动性风险，本基金将在坚持分散化投资和精选个券原则的基础上，通过一系列风险控制指标加强对流动性风险的跟踪、防范和控制，但基金管理人并不保证完全避免此类风险。</w:t>
      </w:r>
    </w:p>
    <w:p w14:paraId="770C0EC1"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3</w:t>
      </w:r>
      <w:r w:rsidRPr="00E064AD">
        <w:rPr>
          <w:rFonts w:hAnsi="宋体" w:hint="eastAsia"/>
          <w:szCs w:val="21"/>
        </w:rPr>
        <w:t>、其他风险</w:t>
      </w:r>
    </w:p>
    <w:p w14:paraId="249EF129" w14:textId="77777777" w:rsidR="0006315D" w:rsidRPr="00E064AD" w:rsidRDefault="0006315D" w:rsidP="0006315D">
      <w:pPr>
        <w:adjustRightInd w:val="0"/>
        <w:spacing w:line="312" w:lineRule="auto"/>
        <w:ind w:firstLineChars="200" w:firstLine="420"/>
        <w:rPr>
          <w:rFonts w:hAnsi="宋体"/>
          <w:szCs w:val="21"/>
        </w:rPr>
      </w:pPr>
      <w:r w:rsidRPr="00E064AD">
        <w:rPr>
          <w:rFonts w:ascii="宋体" w:hAnsi="宋体" w:hint="eastAsia"/>
          <w:szCs w:val="21"/>
        </w:rPr>
        <w:t>（1）</w:t>
      </w:r>
      <w:r w:rsidRPr="00E064AD">
        <w:rPr>
          <w:rFonts w:hAnsi="宋体" w:hint="eastAsia"/>
          <w:szCs w:val="21"/>
        </w:rPr>
        <w:t>因技术因素而产生的风险，如电脑系统不可靠产生的风险；</w:t>
      </w:r>
    </w:p>
    <w:p w14:paraId="00966CD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（2）</w:t>
      </w:r>
      <w:r w:rsidR="002002A9">
        <w:rPr>
          <w:rFonts w:ascii="宋体" w:hAnsi="宋体" w:hint="eastAsia"/>
          <w:szCs w:val="21"/>
        </w:rPr>
        <w:t xml:space="preserve"> </w:t>
      </w:r>
      <w:r w:rsidRPr="00E064AD">
        <w:rPr>
          <w:rFonts w:hAnsi="宋体" w:hint="eastAsia"/>
          <w:szCs w:val="21"/>
        </w:rPr>
        <w:t>因业务快速发展而在制</w:t>
      </w:r>
      <w:r w:rsidRPr="00E064AD">
        <w:rPr>
          <w:rFonts w:ascii="宋体" w:hAnsi="宋体" w:hint="eastAsia"/>
          <w:szCs w:val="21"/>
        </w:rPr>
        <w:t>度建设、人员配备、内控制度建立等不完善而产生的风险；</w:t>
      </w:r>
    </w:p>
    <w:p w14:paraId="25DB3241"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（3）因人为因素而产生的风险、如内幕交易、欺诈行为等产生的风险；</w:t>
      </w:r>
    </w:p>
    <w:p w14:paraId="6523A487"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lastRenderedPageBreak/>
        <w:t>（4）对主要业务人员如基金经理的依赖而可能产生的风险；</w:t>
      </w:r>
    </w:p>
    <w:p w14:paraId="236BCE3C"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（5）因业务竞争压力可能产生的风险；</w:t>
      </w:r>
    </w:p>
    <w:p w14:paraId="79D3A744" w14:textId="77777777" w:rsidR="0006315D" w:rsidRPr="00E064AD" w:rsidRDefault="0006315D" w:rsidP="0006315D">
      <w:pPr>
        <w:adjustRightInd w:val="0"/>
        <w:spacing w:line="312" w:lineRule="auto"/>
        <w:ind w:left="2" w:firstLineChars="199" w:firstLine="418"/>
        <w:rPr>
          <w:rFonts w:ascii="宋体" w:hAnsi="宋体"/>
          <w:szCs w:val="21"/>
        </w:rPr>
      </w:pPr>
      <w:r w:rsidRPr="00E064AD">
        <w:rPr>
          <w:rFonts w:ascii="宋体" w:hAnsi="宋体" w:hint="eastAsia"/>
          <w:szCs w:val="21"/>
        </w:rPr>
        <w:t>（6）不可抗力可能导致基金资产的损失，影响基金收益水平，从而带来风险；</w:t>
      </w:r>
    </w:p>
    <w:p w14:paraId="5E5B725D" w14:textId="12B42CC7" w:rsidR="006E22EE" w:rsidRDefault="006E22EE" w:rsidP="0006315D">
      <w:pPr>
        <w:spacing w:line="360" w:lineRule="auto"/>
        <w:ind w:firstLineChars="200" w:firstLine="420"/>
        <w:rPr>
          <w:rFonts w:ascii="宋体" w:hAnsi="宋体"/>
          <w:szCs w:val="21"/>
        </w:rPr>
      </w:pPr>
      <w:r>
        <w:rPr>
          <w:rFonts w:hint="eastAsia"/>
        </w:rPr>
        <w:t>（</w:t>
      </w:r>
      <w:r>
        <w:rPr>
          <w:rFonts w:hint="eastAsia"/>
        </w:rPr>
        <w:t>7</w:t>
      </w:r>
      <w:r>
        <w:rPr>
          <w:rFonts w:hint="eastAsia"/>
        </w:rPr>
        <w:t>）</w:t>
      </w:r>
      <w:r>
        <w:t>金融市场危机、行业竞争、代理商违约、基金托管人违约等超出基金管理人自身直接控制能力之外的风险，也可能导致基金或者基金份额持有人利益受损。</w:t>
      </w:r>
    </w:p>
    <w:p w14:paraId="47C4C2E1" w14:textId="6296C910" w:rsidR="0006315D" w:rsidRDefault="0006315D" w:rsidP="0006315D">
      <w:pPr>
        <w:spacing w:line="360" w:lineRule="auto"/>
        <w:ind w:firstLineChars="200" w:firstLine="420"/>
        <w:rPr>
          <w:rFonts w:ascii="宋体" w:hAnsi="宋体"/>
          <w:szCs w:val="21"/>
        </w:rPr>
      </w:pPr>
      <w:r w:rsidRPr="00E064AD">
        <w:rPr>
          <w:rFonts w:ascii="宋体" w:hAnsi="宋体" w:hint="eastAsia"/>
          <w:szCs w:val="21"/>
        </w:rPr>
        <w:t>（</w:t>
      </w:r>
      <w:r w:rsidR="006E22EE">
        <w:rPr>
          <w:rFonts w:ascii="宋体" w:hAnsi="宋体"/>
          <w:szCs w:val="21"/>
        </w:rPr>
        <w:t>8</w:t>
      </w:r>
      <w:r w:rsidRPr="00E064AD">
        <w:rPr>
          <w:rFonts w:ascii="宋体" w:hAnsi="宋体" w:hint="eastAsia"/>
          <w:szCs w:val="21"/>
        </w:rPr>
        <w:t>）其他意外导致的风险。</w:t>
      </w:r>
    </w:p>
    <w:p w14:paraId="62751039" w14:textId="77777777" w:rsidR="0006315D" w:rsidRPr="00582AC7" w:rsidRDefault="0006315D" w:rsidP="0006315D">
      <w:pPr>
        <w:spacing w:line="360" w:lineRule="auto"/>
        <w:ind w:firstLineChars="200" w:firstLine="420"/>
        <w:rPr>
          <w:rFonts w:ascii="宋体" w:hAnsi="宋体"/>
          <w:bCs/>
          <w:szCs w:val="21"/>
        </w:rPr>
      </w:pPr>
    </w:p>
    <w:p w14:paraId="25E96D60" w14:textId="77777777" w:rsidR="00DD1C78" w:rsidRPr="00DD1C78" w:rsidRDefault="00DD1C78" w:rsidP="00DD1C78">
      <w:pPr>
        <w:spacing w:line="360" w:lineRule="auto"/>
        <w:ind w:firstLineChars="200" w:firstLine="420"/>
        <w:rPr>
          <w:rFonts w:ascii="宋体" w:hAnsi="宋体"/>
          <w:bCs/>
          <w:szCs w:val="21"/>
        </w:rPr>
      </w:pPr>
      <w:r w:rsidRPr="00DD1C78">
        <w:rPr>
          <w:rFonts w:ascii="宋体" w:hAnsi="宋体" w:hint="eastAsia"/>
          <w:bCs/>
          <w:szCs w:val="21"/>
        </w:rPr>
        <w:t>四、本基金法律文件风险收益特征表述与销售机构基金风险评价、销售机构之间的基金风险评价可能不一致的风险</w:t>
      </w:r>
    </w:p>
    <w:p w14:paraId="49C08D4C" w14:textId="4BBA5716" w:rsidR="0006315D" w:rsidRDefault="00DD1C78" w:rsidP="0006315D">
      <w:pPr>
        <w:spacing w:line="360" w:lineRule="auto"/>
        <w:ind w:firstLineChars="200" w:firstLine="420"/>
        <w:rPr>
          <w:rFonts w:ascii="宋体" w:hAnsi="宋体"/>
          <w:szCs w:val="21"/>
        </w:rPr>
      </w:pPr>
      <w:r w:rsidRPr="00DD1C78">
        <w:rPr>
          <w:rFonts w:ascii="宋体" w:hAnsi="宋体" w:hint="eastAsia"/>
          <w:bCs/>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7AF9820F" w14:textId="77777777" w:rsidR="0006315D" w:rsidRPr="00080F9F" w:rsidRDefault="0006315D" w:rsidP="0006315D">
      <w:pPr>
        <w:spacing w:line="360" w:lineRule="auto"/>
        <w:ind w:firstLineChars="200" w:firstLine="420"/>
        <w:rPr>
          <w:rFonts w:ascii="宋体" w:hAnsi="宋体"/>
          <w:bCs/>
          <w:szCs w:val="21"/>
        </w:rPr>
      </w:pPr>
    </w:p>
    <w:p w14:paraId="50FF7767"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五、流动性风险评估</w:t>
      </w:r>
    </w:p>
    <w:p w14:paraId="7394914B"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（1）本基金的申购、赎回安排</w:t>
      </w:r>
    </w:p>
    <w:p w14:paraId="2596D326" w14:textId="3A8DBD0E" w:rsidR="0006315D" w:rsidRPr="00E9764A" w:rsidRDefault="0006315D" w:rsidP="0006315D">
      <w:pPr>
        <w:snapToGrid w:val="0"/>
        <w:spacing w:line="360" w:lineRule="auto"/>
        <w:ind w:firstLineChars="200" w:firstLine="420"/>
        <w:rPr>
          <w:rFonts w:ascii="宋体" w:hAnsi="宋体"/>
          <w:szCs w:val="21"/>
        </w:rPr>
      </w:pPr>
      <w:r>
        <w:rPr>
          <w:rFonts w:ascii="宋体" w:hAnsi="宋体" w:hint="eastAsia"/>
          <w:szCs w:val="21"/>
        </w:rPr>
        <w:t>本基金采用开放方式运作，</w:t>
      </w:r>
      <w:r w:rsidRPr="0095530B">
        <w:rPr>
          <w:rFonts w:ascii="宋体" w:hAnsi="宋体" w:hint="eastAsia"/>
          <w:szCs w:val="21"/>
        </w:rPr>
        <w:t>基金管理人</w:t>
      </w:r>
      <w:r w:rsidRPr="0095530B">
        <w:rPr>
          <w:rFonts w:ascii="宋体" w:hAnsi="宋体"/>
          <w:szCs w:val="21"/>
        </w:rPr>
        <w:t>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sidRPr="0095530B">
        <w:rPr>
          <w:rFonts w:ascii="宋体" w:hAnsi="宋体" w:hint="eastAsia"/>
          <w:szCs w:val="21"/>
        </w:rPr>
        <w:t>3个月</w:t>
      </w:r>
      <w:r w:rsidRPr="0095530B">
        <w:rPr>
          <w:rFonts w:ascii="宋体" w:hAnsi="宋体"/>
          <w:szCs w:val="21"/>
        </w:rPr>
        <w:t>开始办理申购</w:t>
      </w:r>
      <w:r>
        <w:rPr>
          <w:rFonts w:ascii="宋体" w:hAnsi="宋体" w:hint="eastAsia"/>
          <w:szCs w:val="21"/>
        </w:rPr>
        <w:t>和赎回业务</w:t>
      </w:r>
      <w:r w:rsidRPr="0095530B">
        <w:rPr>
          <w:rFonts w:ascii="宋体" w:hAnsi="宋体"/>
          <w:szCs w:val="21"/>
        </w:rPr>
        <w:t>，具体业务办理时间在申购</w:t>
      </w:r>
      <w:r>
        <w:rPr>
          <w:rFonts w:ascii="宋体" w:hAnsi="宋体" w:hint="eastAsia"/>
          <w:szCs w:val="21"/>
        </w:rPr>
        <w:t>赎回</w:t>
      </w:r>
      <w:r w:rsidRPr="0095530B">
        <w:rPr>
          <w:rFonts w:ascii="宋体" w:hAnsi="宋体"/>
          <w:szCs w:val="21"/>
        </w:rPr>
        <w:t>开始公告中规定。</w:t>
      </w:r>
    </w:p>
    <w:p w14:paraId="262F17AC" w14:textId="77777777" w:rsidR="0006315D" w:rsidRPr="003C700B" w:rsidRDefault="0006315D" w:rsidP="0006315D">
      <w:pPr>
        <w:snapToGrid w:val="0"/>
        <w:spacing w:line="360" w:lineRule="auto"/>
        <w:ind w:firstLineChars="200" w:firstLine="420"/>
        <w:rPr>
          <w:rFonts w:ascii="宋体" w:hAnsi="宋体"/>
          <w:szCs w:val="21"/>
        </w:rPr>
      </w:pPr>
      <w:r>
        <w:rPr>
          <w:rFonts w:ascii="宋体" w:hAnsi="宋体" w:hint="eastAsia"/>
          <w:szCs w:val="21"/>
        </w:rPr>
        <w:t>（2）</w:t>
      </w:r>
      <w:r w:rsidRPr="003C700B">
        <w:rPr>
          <w:rFonts w:ascii="宋体" w:hAnsi="宋体" w:hint="eastAsia"/>
          <w:szCs w:val="21"/>
        </w:rPr>
        <w:t>投资市场、行业及资产的流动性风险评估</w:t>
      </w:r>
    </w:p>
    <w:p w14:paraId="77ABE42B" w14:textId="0A92482E" w:rsidR="0006315D" w:rsidRPr="00EF50E9" w:rsidRDefault="0006315D" w:rsidP="0006315D">
      <w:pPr>
        <w:adjustRightInd w:val="0"/>
        <w:snapToGrid w:val="0"/>
        <w:spacing w:line="360" w:lineRule="auto"/>
        <w:ind w:firstLineChars="200" w:firstLine="420"/>
        <w:rPr>
          <w:rFonts w:ascii="宋体" w:hAnsi="宋体"/>
          <w:bCs/>
          <w:szCs w:val="21"/>
        </w:rPr>
      </w:pPr>
      <w:r w:rsidRPr="00C41863">
        <w:rPr>
          <w:rFonts w:ascii="宋体" w:hAnsi="宋体" w:hint="eastAsia"/>
          <w:szCs w:val="21"/>
        </w:rPr>
        <w:t>本基金为</w:t>
      </w:r>
      <w:r w:rsidR="006B254C">
        <w:rPr>
          <w:rFonts w:ascii="宋体" w:hAnsi="宋体" w:hint="eastAsia"/>
          <w:szCs w:val="21"/>
        </w:rPr>
        <w:t>混合型</w:t>
      </w:r>
      <w:r w:rsidRPr="00C41863">
        <w:rPr>
          <w:rFonts w:ascii="宋体" w:hAnsi="宋体" w:hint="eastAsia"/>
          <w:szCs w:val="21"/>
        </w:rPr>
        <w:t>证券投资基金，</w:t>
      </w:r>
      <w:r w:rsidR="00F85F19" w:rsidRPr="00EC00FE">
        <w:rPr>
          <w:rFonts w:ascii="宋体" w:hAnsi="宋体" w:hint="eastAsia"/>
          <w:szCs w:val="21"/>
        </w:rPr>
        <w:t>股票投资占基金资产的比例为</w:t>
      </w:r>
      <w:r w:rsidR="00A730A2">
        <w:rPr>
          <w:rFonts w:ascii="宋体" w:hAnsi="宋体"/>
          <w:szCs w:val="21"/>
        </w:rPr>
        <w:t>60</w:t>
      </w:r>
      <w:r w:rsidR="00E920C7">
        <w:rPr>
          <w:rFonts w:ascii="宋体" w:hAnsi="宋体"/>
          <w:szCs w:val="21"/>
        </w:rPr>
        <w:t>%</w:t>
      </w:r>
      <w:r w:rsidR="00F85F19" w:rsidRPr="00EC00FE">
        <w:rPr>
          <w:rFonts w:ascii="宋体" w:hAnsi="宋体"/>
          <w:szCs w:val="21"/>
        </w:rPr>
        <w:t>-</w:t>
      </w:r>
      <w:r w:rsidR="00A730A2">
        <w:rPr>
          <w:rFonts w:ascii="宋体" w:hAnsi="宋体"/>
          <w:szCs w:val="21"/>
        </w:rPr>
        <w:t>95</w:t>
      </w:r>
      <w:r w:rsidR="00F85F19" w:rsidRPr="00EC00FE">
        <w:rPr>
          <w:rFonts w:ascii="宋体" w:hAnsi="宋体"/>
          <w:szCs w:val="21"/>
        </w:rPr>
        <w:t>%</w:t>
      </w:r>
      <w:r w:rsidR="00F85F19" w:rsidRPr="00EC00FE">
        <w:rPr>
          <w:rFonts w:ascii="宋体" w:hAnsi="宋体" w:hint="eastAsia"/>
          <w:szCs w:val="21"/>
        </w:rPr>
        <w:t>（其中</w:t>
      </w:r>
      <w:r w:rsidR="00F85F19" w:rsidRPr="00EC00FE">
        <w:rPr>
          <w:rFonts w:ascii="宋体" w:hAnsi="宋体"/>
          <w:szCs w:val="21"/>
        </w:rPr>
        <w:t>港股通股票投资比例不得超过股票资产的50%</w:t>
      </w:r>
      <w:r w:rsidR="00F85F19" w:rsidRPr="00EC00FE">
        <w:rPr>
          <w:rFonts w:ascii="宋体" w:hAnsi="宋体" w:hint="eastAsia"/>
          <w:szCs w:val="21"/>
        </w:rPr>
        <w:t>）</w:t>
      </w:r>
      <w:r w:rsidR="00593235" w:rsidRPr="00593235">
        <w:rPr>
          <w:rFonts w:ascii="宋体" w:hAnsi="宋体" w:hint="eastAsia"/>
          <w:szCs w:val="21"/>
        </w:rPr>
        <w:t>。</w:t>
      </w:r>
      <w:r>
        <w:rPr>
          <w:rFonts w:ascii="宋体" w:hAnsi="宋体" w:hint="eastAsia"/>
          <w:szCs w:val="21"/>
        </w:rPr>
        <w:t>根据《</w:t>
      </w:r>
      <w:r w:rsidR="001C2B16">
        <w:rPr>
          <w:rFonts w:ascii="宋体" w:hAnsi="宋体" w:hint="eastAsia"/>
          <w:bCs/>
          <w:szCs w:val="21"/>
        </w:rPr>
        <w:t>流动性风险管理规定</w:t>
      </w:r>
      <w:r>
        <w:rPr>
          <w:rFonts w:ascii="宋体" w:hAnsi="宋体" w:hint="eastAsia"/>
          <w:szCs w:val="21"/>
        </w:rPr>
        <w:t>》的相关要求，本基金会审慎评估所投资资产的流动性，并针对性制定流动性风险管理措施，因此本基金流动性风险也可以得到有效控制。</w:t>
      </w:r>
    </w:p>
    <w:p w14:paraId="185D38CA"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（3）巨额赎回情形下的流动性风险管理措施</w:t>
      </w:r>
    </w:p>
    <w:p w14:paraId="4B5857E7" w14:textId="77777777" w:rsidR="0006315D"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F52B26">
        <w:rPr>
          <w:rFonts w:ascii="宋体" w:hAnsi="宋体" w:hint="eastAsia"/>
          <w:szCs w:val="21"/>
        </w:rPr>
        <w:t>%</w:t>
      </w:r>
      <w:r w:rsidRPr="00F52B26">
        <w:rPr>
          <w:rFonts w:ascii="宋体" w:hAnsi="宋体"/>
          <w:szCs w:val="21"/>
        </w:rPr>
        <w:t>，即认为是发生了巨额赎回。</w:t>
      </w:r>
    </w:p>
    <w:p w14:paraId="17310D71" w14:textId="77777777" w:rsidR="00EC00FE" w:rsidRPr="00F52B26"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当基金出现巨额赎回时，基金管理人可以根据基金当时的资产组合状况决定全额赎回或部分延期赎回。</w:t>
      </w:r>
    </w:p>
    <w:p w14:paraId="4FDD5754" w14:textId="77777777" w:rsidR="00EC00FE" w:rsidRPr="00EC00FE" w:rsidRDefault="00EC00FE" w:rsidP="00EC00FE">
      <w:pPr>
        <w:adjustRightInd w:val="0"/>
        <w:snapToGrid w:val="0"/>
        <w:spacing w:line="360" w:lineRule="auto"/>
        <w:ind w:firstLine="420"/>
        <w:rPr>
          <w:rFonts w:ascii="宋体" w:hAnsi="宋体"/>
          <w:szCs w:val="21"/>
        </w:rPr>
      </w:pPr>
      <w:r w:rsidRPr="00EC00FE">
        <w:rPr>
          <w:rFonts w:ascii="宋体" w:hAnsi="宋体"/>
          <w:szCs w:val="21"/>
        </w:rPr>
        <w:t>1）全额赎回：当基金管理人认为有能力支付投资人的全部赎回申请时，按正常赎回程序执行。</w:t>
      </w:r>
    </w:p>
    <w:p w14:paraId="796C22F4" w14:textId="77777777" w:rsidR="00EC00FE" w:rsidRPr="00EC00FE" w:rsidRDefault="00EC00FE" w:rsidP="00F52B26">
      <w:pPr>
        <w:adjustRightInd w:val="0"/>
        <w:snapToGrid w:val="0"/>
        <w:spacing w:line="360" w:lineRule="auto"/>
        <w:ind w:firstLine="420"/>
        <w:rPr>
          <w:rFonts w:ascii="宋体" w:hAnsi="宋体"/>
          <w:szCs w:val="21"/>
        </w:rPr>
      </w:pPr>
      <w:r w:rsidRPr="00EC00FE">
        <w:rPr>
          <w:rFonts w:ascii="宋体" w:hAnsi="宋体" w:hint="eastAsia"/>
          <w:szCs w:val="21"/>
        </w:rPr>
        <w:t>2</w:t>
      </w:r>
      <w:r w:rsidRPr="00EC00FE">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C00FE">
        <w:rPr>
          <w:rFonts w:ascii="宋体" w:hAnsi="宋体" w:hint="eastAsia"/>
          <w:szCs w:val="21"/>
        </w:rPr>
        <w:t>10%</w:t>
      </w:r>
      <w:r w:rsidRPr="00EC00FE">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485EAFE" w14:textId="359765BF" w:rsidR="0006315D" w:rsidRPr="00CC43E0" w:rsidRDefault="00EC00FE" w:rsidP="00EC00FE">
      <w:pPr>
        <w:adjustRightInd w:val="0"/>
        <w:snapToGrid w:val="0"/>
        <w:spacing w:line="360" w:lineRule="auto"/>
        <w:ind w:firstLine="420"/>
        <w:rPr>
          <w:rFonts w:ascii="宋体" w:hAnsi="宋体"/>
          <w:szCs w:val="21"/>
        </w:rPr>
      </w:pPr>
      <w:r w:rsidRPr="00EC00FE">
        <w:rPr>
          <w:rFonts w:ascii="宋体" w:hAnsi="宋体"/>
          <w:szCs w:val="21"/>
        </w:rPr>
        <w:t>3）如发生单个开放日内单个基金份额持有人申请赎回的基金份额超过前一开放日的基金总份额的30%时，本基金管理人对该单个基金份额</w:t>
      </w:r>
      <w:r w:rsidRPr="00EC00FE">
        <w:rPr>
          <w:rFonts w:ascii="宋体" w:hAnsi="宋体" w:hint="eastAsia"/>
          <w:szCs w:val="21"/>
        </w:rPr>
        <w:t>持有人</w:t>
      </w:r>
      <w:r w:rsidRPr="00EC00FE">
        <w:rPr>
          <w:rFonts w:ascii="宋体" w:hAnsi="宋体"/>
          <w:szCs w:val="21"/>
        </w:rPr>
        <w:t>持有的赎回申请实施</w:t>
      </w:r>
      <w:r w:rsidRPr="00EC00FE">
        <w:rPr>
          <w:rFonts w:ascii="宋体" w:hAnsi="宋体" w:hint="eastAsia"/>
          <w:szCs w:val="21"/>
        </w:rPr>
        <w:t>延期办理</w:t>
      </w:r>
      <w:r w:rsidRPr="00EC00FE">
        <w:rPr>
          <w:rFonts w:ascii="宋体" w:hAnsi="宋体"/>
          <w:szCs w:val="21"/>
        </w:rPr>
        <w:t>。</w:t>
      </w:r>
      <w:r w:rsidRPr="00EC00FE">
        <w:rPr>
          <w:rFonts w:ascii="宋体" w:hAnsi="宋体" w:hint="eastAsia"/>
          <w:szCs w:val="21"/>
        </w:rPr>
        <w:t>对于其超过基金总份额</w:t>
      </w:r>
      <w:r w:rsidRPr="00EC00FE">
        <w:rPr>
          <w:rFonts w:ascii="宋体" w:hAnsi="宋体"/>
          <w:szCs w:val="21"/>
        </w:rPr>
        <w:t>3</w:t>
      </w:r>
      <w:r w:rsidRPr="00EC00FE">
        <w:rPr>
          <w:rFonts w:ascii="宋体" w:hAnsi="宋体" w:hint="eastAsia"/>
          <w:szCs w:val="21"/>
        </w:rPr>
        <w:t>0%以上部分的赎回申请与下一开放日赎回申请一并处理，无优先权并以下一开放日的基金份额净值为基础计算赎回金额，以此类推，直到全部赎回为止</w:t>
      </w:r>
      <w:r w:rsidR="00566DB7">
        <w:rPr>
          <w:rFonts w:ascii="宋体" w:hAnsi="宋体" w:hint="eastAsia"/>
          <w:szCs w:val="21"/>
        </w:rPr>
        <w:t>。对于</w:t>
      </w:r>
      <w:r w:rsidRPr="00EC00FE">
        <w:rPr>
          <w:rFonts w:ascii="宋体" w:hAnsi="宋体" w:hint="eastAsia"/>
          <w:szCs w:val="21"/>
        </w:rPr>
        <w:t>其</w:t>
      </w:r>
      <w:r w:rsidR="00566DB7">
        <w:rPr>
          <w:rFonts w:ascii="宋体" w:hAnsi="宋体" w:hint="eastAsia"/>
          <w:szCs w:val="21"/>
        </w:rPr>
        <w:t>不超过</w:t>
      </w:r>
      <w:r w:rsidRPr="00EC00FE">
        <w:rPr>
          <w:rFonts w:ascii="宋体" w:hAnsi="宋体" w:hint="eastAsia"/>
          <w:szCs w:val="21"/>
        </w:rPr>
        <w:t>基金总份额</w:t>
      </w:r>
      <w:r w:rsidRPr="00EC00FE">
        <w:rPr>
          <w:rFonts w:ascii="宋体" w:hAnsi="宋体"/>
          <w:szCs w:val="21"/>
        </w:rPr>
        <w:t>3</w:t>
      </w:r>
      <w:r w:rsidRPr="00EC00FE">
        <w:rPr>
          <w:rFonts w:ascii="宋体" w:hAnsi="宋体" w:hint="eastAsia"/>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6094F1F5" w14:textId="77777777" w:rsidR="0006315D" w:rsidRPr="003C700B" w:rsidRDefault="0006315D" w:rsidP="0006315D">
      <w:pPr>
        <w:adjustRightInd w:val="0"/>
        <w:snapToGrid w:val="0"/>
        <w:spacing w:line="360" w:lineRule="auto"/>
        <w:ind w:firstLine="420"/>
        <w:rPr>
          <w:rFonts w:ascii="宋体" w:hAnsi="宋体"/>
          <w:szCs w:val="21"/>
        </w:rPr>
      </w:pPr>
      <w:r>
        <w:rPr>
          <w:rFonts w:ascii="宋体" w:hAnsi="宋体" w:hint="eastAsia"/>
          <w:szCs w:val="21"/>
        </w:rPr>
        <w:t>（4）实施备用的流动性风险管理工具的情形、程序及对投资者的潜在影响</w:t>
      </w:r>
    </w:p>
    <w:p w14:paraId="4D131C1E" w14:textId="4DC7C710" w:rsidR="0006315D" w:rsidRDefault="0006315D" w:rsidP="0006315D">
      <w:pPr>
        <w:adjustRightInd w:val="0"/>
        <w:snapToGrid w:val="0"/>
        <w:spacing w:line="360" w:lineRule="auto"/>
        <w:ind w:firstLine="420"/>
        <w:rPr>
          <w:rFonts w:ascii="宋体" w:hAnsi="宋体"/>
          <w:szCs w:val="21"/>
        </w:rPr>
      </w:pPr>
      <w:r>
        <w:rPr>
          <w:rFonts w:ascii="宋体" w:hAnsi="宋体" w:hint="eastAsia"/>
          <w:szCs w:val="21"/>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14:paraId="042C8C01" w14:textId="19D17196" w:rsidR="00564CE2" w:rsidRDefault="00564CE2" w:rsidP="0006315D">
      <w:pPr>
        <w:adjustRightInd w:val="0"/>
        <w:snapToGrid w:val="0"/>
        <w:spacing w:line="360" w:lineRule="auto"/>
        <w:ind w:firstLine="420"/>
        <w:rPr>
          <w:rFonts w:ascii="宋体" w:hAnsi="宋体"/>
          <w:szCs w:val="21"/>
        </w:rPr>
      </w:pPr>
    </w:p>
    <w:p w14:paraId="2AEB90A4" w14:textId="5E655740" w:rsidR="00364EAC" w:rsidRPr="00364EAC" w:rsidRDefault="00A730A2" w:rsidP="00364EAC">
      <w:pPr>
        <w:adjustRightInd w:val="0"/>
        <w:snapToGrid w:val="0"/>
        <w:spacing w:line="360" w:lineRule="auto"/>
        <w:ind w:firstLine="420"/>
        <w:rPr>
          <w:rFonts w:ascii="宋体" w:hAnsi="宋体"/>
          <w:szCs w:val="21"/>
        </w:rPr>
      </w:pPr>
      <w:r>
        <w:rPr>
          <w:rFonts w:ascii="宋体" w:hAnsi="宋体" w:hint="eastAsia"/>
          <w:szCs w:val="21"/>
        </w:rPr>
        <w:lastRenderedPageBreak/>
        <w:t>六</w:t>
      </w:r>
      <w:r w:rsidR="00364EAC" w:rsidRPr="00364EAC">
        <w:rPr>
          <w:rFonts w:ascii="宋体" w:hAnsi="宋体" w:hint="eastAsia"/>
          <w:szCs w:val="21"/>
        </w:rPr>
        <w:t>、基金投资组合收益率与业绩比较基准收益率偏离的风险</w:t>
      </w:r>
    </w:p>
    <w:p w14:paraId="577F549D" w14:textId="2A18B8B3" w:rsidR="00364EAC" w:rsidRPr="00364EAC" w:rsidRDefault="00364EAC" w:rsidP="00364EAC">
      <w:pPr>
        <w:adjustRightInd w:val="0"/>
        <w:snapToGrid w:val="0"/>
        <w:spacing w:line="360" w:lineRule="auto"/>
        <w:ind w:firstLine="420"/>
        <w:rPr>
          <w:rFonts w:ascii="宋体" w:hAnsi="宋体"/>
          <w:szCs w:val="21"/>
        </w:rPr>
      </w:pPr>
      <w:r w:rsidRPr="00364EAC">
        <w:rPr>
          <w:rFonts w:ascii="宋体" w:hAnsi="宋体" w:hint="eastAsia"/>
          <w:szCs w:val="21"/>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14:paraId="36758666" w14:textId="77777777" w:rsidR="00364EAC" w:rsidRDefault="00364EAC" w:rsidP="00564CE2">
      <w:pPr>
        <w:adjustRightInd w:val="0"/>
        <w:snapToGrid w:val="0"/>
        <w:spacing w:line="360" w:lineRule="auto"/>
        <w:ind w:firstLine="420"/>
        <w:rPr>
          <w:rFonts w:ascii="宋体" w:hAnsi="宋体"/>
          <w:szCs w:val="21"/>
        </w:rPr>
      </w:pPr>
    </w:p>
    <w:p w14:paraId="7251EDF2" w14:textId="28E7C49C" w:rsidR="00664A47" w:rsidRDefault="00A730A2" w:rsidP="00564CE2">
      <w:pPr>
        <w:adjustRightInd w:val="0"/>
        <w:snapToGrid w:val="0"/>
        <w:spacing w:line="360" w:lineRule="auto"/>
        <w:ind w:firstLine="420"/>
        <w:rPr>
          <w:rFonts w:ascii="宋体" w:hAnsi="宋体"/>
          <w:szCs w:val="21"/>
        </w:rPr>
      </w:pPr>
      <w:r>
        <w:rPr>
          <w:rFonts w:ascii="宋体" w:hAnsi="宋体" w:hint="eastAsia"/>
          <w:szCs w:val="21"/>
        </w:rPr>
        <w:t>七</w:t>
      </w:r>
      <w:r w:rsidR="00664A47">
        <w:rPr>
          <w:rFonts w:ascii="宋体" w:hAnsi="宋体" w:hint="eastAsia"/>
          <w:szCs w:val="21"/>
        </w:rPr>
        <w:t>、</w:t>
      </w:r>
      <w:r w:rsidR="00664A47">
        <w:rPr>
          <w:rFonts w:ascii="宋体" w:hAnsi="宋体"/>
          <w:szCs w:val="21"/>
        </w:rPr>
        <w:t>实施侧袋机制对投资者的影响</w:t>
      </w:r>
    </w:p>
    <w:p w14:paraId="3B415143" w14:textId="777777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53D74B2F" w14:textId="1C75FC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实施侧袋机制期间，因本基金不披露侧袋账户份额的净值，即便基金管理人在基金定期报告中披露报告期末特定资产可变现净值或净值区间的，也不作为特定资产最终变现价格的承诺，因此对于特定资产的</w:t>
      </w:r>
      <w:r>
        <w:rPr>
          <w:rFonts w:ascii="宋体" w:hAnsi="宋体" w:hint="eastAsia"/>
          <w:szCs w:val="21"/>
        </w:rPr>
        <w:t>公允价值和最终变现价格，基金管理人不承担任何保证和承诺的责任。</w:t>
      </w:r>
    </w:p>
    <w:p w14:paraId="056C2DBC" w14:textId="77777777" w:rsidR="00664A47" w:rsidRPr="00664A47"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基金管理人将根据主袋账户运作情况合理确定申购政策, 因此实施侧袋机制后主袋账户份额存在暂停申购的可能。</w:t>
      </w:r>
    </w:p>
    <w:p w14:paraId="788B0C4F" w14:textId="222328BD" w:rsidR="00664A47" w:rsidRPr="00564CE2" w:rsidRDefault="00664A47" w:rsidP="00664A47">
      <w:pPr>
        <w:adjustRightInd w:val="0"/>
        <w:snapToGrid w:val="0"/>
        <w:spacing w:line="360" w:lineRule="auto"/>
        <w:ind w:firstLine="420"/>
        <w:rPr>
          <w:rFonts w:ascii="宋体" w:hAnsi="宋体"/>
          <w:szCs w:val="21"/>
        </w:rPr>
      </w:pPr>
      <w:r w:rsidRPr="00664A47">
        <w:rPr>
          <w:rFonts w:ascii="宋体" w:hAnsi="宋体" w:hint="eastAsia"/>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12FF48E8" w14:textId="77777777" w:rsidR="00564CE2" w:rsidRPr="00564CE2" w:rsidRDefault="00564CE2" w:rsidP="0006315D">
      <w:pPr>
        <w:adjustRightInd w:val="0"/>
        <w:snapToGrid w:val="0"/>
        <w:spacing w:line="360" w:lineRule="auto"/>
        <w:ind w:firstLine="420"/>
        <w:rPr>
          <w:rFonts w:ascii="宋体" w:hAnsi="宋体"/>
          <w:szCs w:val="21"/>
        </w:rPr>
      </w:pPr>
    </w:p>
    <w:p w14:paraId="712A9C1D" w14:textId="77777777" w:rsidR="002E3EC6" w:rsidRPr="004F5BE4" w:rsidRDefault="002E3EC6" w:rsidP="00F05D2A">
      <w:pPr>
        <w:adjustRightInd w:val="0"/>
        <w:snapToGrid w:val="0"/>
        <w:spacing w:line="360" w:lineRule="auto"/>
        <w:ind w:firstLineChars="200" w:firstLine="420"/>
        <w:rPr>
          <w:rFonts w:ascii="宋体" w:hAnsi="宋体"/>
          <w:szCs w:val="21"/>
        </w:rPr>
      </w:pPr>
      <w:r w:rsidRPr="004F5BE4">
        <w:rPr>
          <w:rFonts w:ascii="宋体" w:hAnsi="宋体"/>
          <w:szCs w:val="21"/>
        </w:rPr>
        <w:br w:type="page"/>
      </w:r>
    </w:p>
    <w:p w14:paraId="0AB3EFFC"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31" w:name="_Toc274597452"/>
      <w:bookmarkStart w:id="232" w:name="_Toc276542618"/>
      <w:bookmarkStart w:id="233" w:name="_Toc289439350"/>
      <w:bookmarkStart w:id="234" w:name="_Toc297312920"/>
      <w:bookmarkStart w:id="235" w:name="_Toc353955246"/>
      <w:bookmarkStart w:id="236" w:name="_Toc364930804"/>
      <w:bookmarkStart w:id="237" w:name="_Toc382897932"/>
      <w:bookmarkStart w:id="238" w:name="_Toc411503278"/>
      <w:bookmarkStart w:id="239" w:name="_Toc47384205"/>
      <w:r w:rsidRPr="004F5BE4">
        <w:rPr>
          <w:rFonts w:hint="eastAsia"/>
          <w:b w:val="0"/>
        </w:rPr>
        <w:lastRenderedPageBreak/>
        <w:t>基金合同的变更、终止和基金财产的清算</w:t>
      </w:r>
      <w:bookmarkEnd w:id="231"/>
      <w:bookmarkEnd w:id="232"/>
      <w:bookmarkEnd w:id="233"/>
      <w:bookmarkEnd w:id="234"/>
      <w:bookmarkEnd w:id="235"/>
      <w:bookmarkEnd w:id="236"/>
      <w:bookmarkEnd w:id="237"/>
      <w:bookmarkEnd w:id="238"/>
      <w:bookmarkEnd w:id="239"/>
    </w:p>
    <w:p w14:paraId="340A5C4E" w14:textId="77777777" w:rsidR="00C555E8" w:rsidRDefault="00C555E8" w:rsidP="004F5BE4">
      <w:pPr>
        <w:adjustRightInd w:val="0"/>
        <w:snapToGrid w:val="0"/>
        <w:spacing w:line="360" w:lineRule="auto"/>
        <w:ind w:firstLineChars="200" w:firstLine="420"/>
        <w:rPr>
          <w:rFonts w:ascii="宋体" w:hAnsi="宋体"/>
          <w:bCs/>
          <w:szCs w:val="21"/>
        </w:rPr>
      </w:pPr>
    </w:p>
    <w:p w14:paraId="0C83FA4D" w14:textId="77777777" w:rsidR="00EC00FE" w:rsidRPr="00EC00FE" w:rsidRDefault="00EC00FE" w:rsidP="00EC00FE">
      <w:pPr>
        <w:spacing w:line="360" w:lineRule="auto"/>
        <w:ind w:firstLineChars="200" w:firstLine="420"/>
        <w:rPr>
          <w:rFonts w:ascii="宋体" w:hAnsi="宋体"/>
          <w:bCs/>
          <w:szCs w:val="21"/>
        </w:rPr>
      </w:pPr>
      <w:bookmarkStart w:id="240" w:name="_Toc79392639"/>
      <w:r w:rsidRPr="00EC00FE">
        <w:rPr>
          <w:rFonts w:ascii="宋体" w:hAnsi="宋体"/>
          <w:bCs/>
          <w:szCs w:val="21"/>
        </w:rPr>
        <w:t>一、《基金合同》的变更</w:t>
      </w:r>
      <w:bookmarkEnd w:id="240"/>
    </w:p>
    <w:p w14:paraId="3E2606E8" w14:textId="77777777" w:rsidR="00EC00FE" w:rsidRPr="00EC00FE" w:rsidRDefault="00EC00FE" w:rsidP="006D3767">
      <w:pPr>
        <w:autoSpaceDE w:val="0"/>
        <w:autoSpaceDN w:val="0"/>
        <w:adjustRightInd w:val="0"/>
        <w:spacing w:line="360" w:lineRule="auto"/>
        <w:ind w:firstLineChars="200" w:firstLine="420"/>
        <w:jc w:val="left"/>
        <w:rPr>
          <w:rFonts w:ascii="宋体" w:hAnsi="宋体"/>
          <w:bCs/>
          <w:szCs w:val="21"/>
        </w:rPr>
      </w:pPr>
      <w:r w:rsidRPr="00EC00FE">
        <w:rPr>
          <w:rFonts w:ascii="宋体" w:hAnsi="宋体"/>
          <w:bCs/>
          <w:szCs w:val="21"/>
        </w:rPr>
        <w:t>1、变更基金合同</w:t>
      </w:r>
      <w:r w:rsidRPr="00EC00FE">
        <w:rPr>
          <w:rFonts w:ascii="宋体" w:hAnsi="宋体" w:hint="eastAsia"/>
          <w:bCs/>
          <w:szCs w:val="21"/>
        </w:rPr>
        <w:t>涉及</w:t>
      </w:r>
      <w:r w:rsidRPr="00EC00FE">
        <w:rPr>
          <w:rFonts w:ascii="宋体" w:hAnsi="宋体"/>
          <w:bCs/>
          <w:szCs w:val="21"/>
        </w:rPr>
        <w:t>法律法规规定或</w:t>
      </w:r>
      <w:r w:rsidRPr="00EC00FE">
        <w:rPr>
          <w:rFonts w:ascii="宋体" w:hAnsi="宋体" w:hint="eastAsia"/>
          <w:bCs/>
          <w:szCs w:val="21"/>
        </w:rPr>
        <w:t>基金</w:t>
      </w:r>
      <w:r w:rsidRPr="00EC00FE">
        <w:rPr>
          <w:rFonts w:ascii="宋体" w:hAnsi="宋体"/>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3E3CF31" w14:textId="597742D8"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 xml:space="preserve"> </w:t>
      </w:r>
      <w:r w:rsidRPr="00EC00FE">
        <w:rPr>
          <w:rFonts w:ascii="宋体" w:hAnsi="宋体"/>
          <w:bCs/>
          <w:szCs w:val="21"/>
        </w:rPr>
        <w:t>2、关于《基金合同》变更的基金份额持有人大会决议</w:t>
      </w:r>
      <w:r w:rsidRPr="00EC00FE">
        <w:rPr>
          <w:rFonts w:ascii="宋体" w:hAnsi="宋体" w:hint="eastAsia"/>
          <w:bCs/>
          <w:szCs w:val="21"/>
        </w:rPr>
        <w:t>自</w:t>
      </w:r>
      <w:r w:rsidRPr="00EC00FE">
        <w:rPr>
          <w:rFonts w:ascii="宋体" w:hAnsi="宋体"/>
          <w:bCs/>
          <w:szCs w:val="21"/>
        </w:rPr>
        <w:t>生效后方可执行，</w:t>
      </w:r>
      <w:r w:rsidR="00747307">
        <w:rPr>
          <w:rFonts w:ascii="宋体" w:hAnsi="宋体"/>
          <w:bCs/>
          <w:szCs w:val="21"/>
        </w:rPr>
        <w:t>自决议生效后2日</w:t>
      </w:r>
      <w:r w:rsidRPr="00EC00FE">
        <w:rPr>
          <w:rFonts w:ascii="宋体" w:hAnsi="宋体"/>
          <w:bCs/>
          <w:szCs w:val="21"/>
        </w:rPr>
        <w:t>内在</w:t>
      </w:r>
      <w:r w:rsidR="00056975">
        <w:rPr>
          <w:rFonts w:ascii="宋体" w:hAnsi="宋体"/>
          <w:bCs/>
          <w:szCs w:val="21"/>
        </w:rPr>
        <w:t>规定媒介</w:t>
      </w:r>
      <w:r w:rsidRPr="00EC00FE">
        <w:rPr>
          <w:rFonts w:ascii="宋体" w:hAnsi="宋体"/>
          <w:bCs/>
          <w:szCs w:val="21"/>
        </w:rPr>
        <w:t>公告。</w:t>
      </w:r>
    </w:p>
    <w:p w14:paraId="65906DA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二、《基金合同》的终止事由</w:t>
      </w:r>
    </w:p>
    <w:p w14:paraId="70CAA9BA"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有下列情形之一的，</w:t>
      </w:r>
      <w:r w:rsidRPr="00EC00FE">
        <w:rPr>
          <w:rFonts w:ascii="宋体" w:hAnsi="宋体" w:hint="eastAsia"/>
          <w:bCs/>
          <w:szCs w:val="21"/>
        </w:rPr>
        <w:t>经履行相关程序后，</w:t>
      </w:r>
      <w:r w:rsidRPr="00EC00FE">
        <w:rPr>
          <w:rFonts w:ascii="宋体" w:hAnsi="宋体"/>
          <w:bCs/>
          <w:szCs w:val="21"/>
        </w:rPr>
        <w:t>《基金合同》应当终止：</w:t>
      </w:r>
    </w:p>
    <w:p w14:paraId="29DE4885"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1、基金份额持有人大会决定终止的；</w:t>
      </w:r>
    </w:p>
    <w:p w14:paraId="4F90EB3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2、基金管理人、基金托管人职责终止，在6个月内没有新基金管理人、新基金托管人承接的；</w:t>
      </w:r>
    </w:p>
    <w:p w14:paraId="059C48BE"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3</w:t>
      </w:r>
      <w:r w:rsidRPr="00EC00FE">
        <w:rPr>
          <w:rFonts w:ascii="宋体" w:hAnsi="宋体"/>
          <w:bCs/>
          <w:szCs w:val="21"/>
        </w:rPr>
        <w:t>、《基金合同》约定的其他情形；</w:t>
      </w:r>
    </w:p>
    <w:p w14:paraId="579F577F"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4</w:t>
      </w:r>
      <w:r w:rsidRPr="00EC00FE">
        <w:rPr>
          <w:rFonts w:ascii="宋体" w:hAnsi="宋体"/>
          <w:bCs/>
          <w:szCs w:val="21"/>
        </w:rPr>
        <w:t>、相关法律法规和中国证监会规定的其他情况。</w:t>
      </w:r>
    </w:p>
    <w:p w14:paraId="16EC7F00"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三、基金财产的清算</w:t>
      </w:r>
    </w:p>
    <w:p w14:paraId="09D0F10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2FBA6A36" w14:textId="3A7A83A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2、基金财产清算小组组成：基金财产清算小组成员由基金管理人、基金托管人、</w:t>
      </w:r>
      <w:r w:rsidR="00CE57DE">
        <w:rPr>
          <w:rFonts w:ascii="宋体" w:hAnsi="宋体"/>
          <w:bCs/>
          <w:szCs w:val="21"/>
        </w:rPr>
        <w:t>符合《证券法》规定的</w:t>
      </w:r>
      <w:r w:rsidRPr="00EC00FE">
        <w:rPr>
          <w:rFonts w:ascii="宋体" w:hAnsi="宋体"/>
          <w:bCs/>
          <w:szCs w:val="21"/>
        </w:rPr>
        <w:t>注册会计师、律师以及中国证监会指定的人员组成。基金财产清算小组可以聘用必要的工作人员。</w:t>
      </w:r>
    </w:p>
    <w:p w14:paraId="1D8971F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3、基金财产清算小组职责：基金财产清算小组负责基金财产的保管、清理、估价、变现和分配。基金财产清算小组可以依法进行必要的民事活动。</w:t>
      </w:r>
    </w:p>
    <w:p w14:paraId="3CE5A3C3"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4、基金财产清算程序：</w:t>
      </w:r>
    </w:p>
    <w:p w14:paraId="50C84EE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（1）《基金合同》终止情形出现时，由基金财产清算小组统一接管基金；</w:t>
      </w:r>
    </w:p>
    <w:p w14:paraId="2F88A0D5"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（2）对基金财产和债权债务进行清理和确认；</w:t>
      </w:r>
    </w:p>
    <w:p w14:paraId="278ED0D7"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（3）对基金财产进行估值和变现；</w:t>
      </w:r>
    </w:p>
    <w:p w14:paraId="2CEE8A32"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（4）制作清算报告；</w:t>
      </w:r>
    </w:p>
    <w:p w14:paraId="56385B95" w14:textId="0918877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lastRenderedPageBreak/>
        <w:t>（5）</w:t>
      </w:r>
      <w:r w:rsidR="00747307">
        <w:rPr>
          <w:rFonts w:ascii="宋体" w:hAnsi="宋体"/>
          <w:bCs/>
          <w:szCs w:val="21"/>
        </w:rPr>
        <w:t>聘请</w:t>
      </w:r>
      <w:r w:rsidR="00BB424A">
        <w:rPr>
          <w:rFonts w:ascii="宋体" w:hAnsi="宋体"/>
          <w:bCs/>
          <w:szCs w:val="21"/>
        </w:rPr>
        <w:t>符合《证券法》规定</w:t>
      </w:r>
      <w:r w:rsidR="00747307">
        <w:rPr>
          <w:rFonts w:ascii="宋体" w:hAnsi="宋体"/>
          <w:bCs/>
          <w:szCs w:val="21"/>
        </w:rPr>
        <w:t>的会计师事务所</w:t>
      </w:r>
      <w:r w:rsidRPr="00EC00FE">
        <w:rPr>
          <w:rFonts w:ascii="宋体" w:hAnsi="宋体"/>
          <w:bCs/>
          <w:szCs w:val="21"/>
        </w:rPr>
        <w:t>对清算报告进行外部审计，聘请律师事务所对清算报告出具法律意见书；</w:t>
      </w:r>
    </w:p>
    <w:p w14:paraId="4B1E3E8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（6）将清算报告报中国证监会备案并公告</w:t>
      </w:r>
      <w:r w:rsidRPr="00EC00FE">
        <w:rPr>
          <w:rFonts w:ascii="宋体" w:hAnsi="宋体" w:hint="eastAsia"/>
          <w:bCs/>
          <w:szCs w:val="21"/>
        </w:rPr>
        <w:t>；</w:t>
      </w:r>
    </w:p>
    <w:p w14:paraId="6252250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（7）对基金</w:t>
      </w:r>
      <w:r w:rsidRPr="00EC00FE">
        <w:rPr>
          <w:rFonts w:ascii="宋体" w:hAnsi="宋体" w:hint="eastAsia"/>
          <w:bCs/>
          <w:szCs w:val="21"/>
        </w:rPr>
        <w:t>剩余</w:t>
      </w:r>
      <w:r w:rsidRPr="00EC00FE">
        <w:rPr>
          <w:rFonts w:ascii="宋体" w:hAnsi="宋体"/>
          <w:bCs/>
          <w:szCs w:val="21"/>
        </w:rPr>
        <w:t>财产进行分配</w:t>
      </w:r>
      <w:r w:rsidRPr="00EC00FE">
        <w:rPr>
          <w:rFonts w:ascii="宋体" w:hAnsi="宋体" w:hint="eastAsia"/>
          <w:bCs/>
          <w:szCs w:val="21"/>
        </w:rPr>
        <w:t>。</w:t>
      </w:r>
    </w:p>
    <w:p w14:paraId="0464334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5、基金财产清算的期限为</w:t>
      </w:r>
      <w:r w:rsidRPr="00EC00FE">
        <w:rPr>
          <w:rFonts w:ascii="宋体" w:hAnsi="宋体" w:hint="eastAsia"/>
          <w:bCs/>
          <w:szCs w:val="21"/>
        </w:rPr>
        <w:t>6</w:t>
      </w:r>
      <w:r w:rsidRPr="00EC00FE">
        <w:rPr>
          <w:rFonts w:ascii="宋体" w:hAnsi="宋体"/>
          <w:bCs/>
          <w:szCs w:val="21"/>
        </w:rPr>
        <w:t>个月，但因本基金所持证券的流动性受到限制而不能及时变现的，清算期限相应顺延。</w:t>
      </w:r>
    </w:p>
    <w:p w14:paraId="1310C0B4"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四、清算费用</w:t>
      </w:r>
    </w:p>
    <w:p w14:paraId="04BD87E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清算费用是指基金财产清算小组在进行基金清算过程中发生的所有合理费用，清算费用由基金财产清算小组优先从基金财产中支付。</w:t>
      </w:r>
    </w:p>
    <w:p w14:paraId="761403A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五、基金财产清算剩余资产的分配</w:t>
      </w:r>
    </w:p>
    <w:p w14:paraId="78DC3FB4" w14:textId="1AFFF88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依据基金财产清算的分配方案，将基金财产清算后的全部剩余资产扣除基金财产清算费用、交纳所欠税款并清偿基金债务后，</w:t>
      </w:r>
      <w:r w:rsidR="008532B5" w:rsidRPr="008532B5">
        <w:rPr>
          <w:rFonts w:ascii="宋体" w:hAnsi="宋体" w:hint="eastAsia"/>
          <w:bCs/>
          <w:szCs w:val="21"/>
        </w:rPr>
        <w:t>按基金份额持有人持有的基金份额比例进行分配</w:t>
      </w:r>
      <w:r w:rsidRPr="00EC00FE">
        <w:rPr>
          <w:rFonts w:ascii="宋体" w:hAnsi="宋体"/>
          <w:bCs/>
          <w:szCs w:val="21"/>
        </w:rPr>
        <w:t>。</w:t>
      </w:r>
    </w:p>
    <w:p w14:paraId="3484E549"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六、基金财产清算的公告</w:t>
      </w:r>
    </w:p>
    <w:p w14:paraId="695CF5F6" w14:textId="036A8CF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清算过程中的有关重大事项须及时公告；基金财产清算报告</w:t>
      </w:r>
      <w:r w:rsidR="00747307">
        <w:rPr>
          <w:rFonts w:ascii="宋体" w:hAnsi="宋体"/>
          <w:bCs/>
          <w:szCs w:val="21"/>
        </w:rPr>
        <w:t>经</w:t>
      </w:r>
      <w:r w:rsidR="00BB424A">
        <w:rPr>
          <w:rFonts w:ascii="宋体" w:hAnsi="宋体"/>
          <w:bCs/>
          <w:szCs w:val="21"/>
        </w:rPr>
        <w:t>符合《证券法》规定</w:t>
      </w:r>
      <w:r w:rsidR="00747307">
        <w:rPr>
          <w:rFonts w:ascii="宋体" w:hAnsi="宋体"/>
          <w:bCs/>
          <w:szCs w:val="21"/>
        </w:rPr>
        <w:t>的会计师事务所审计</w:t>
      </w:r>
      <w:r w:rsidRPr="00EC00FE">
        <w:rPr>
          <w:rFonts w:ascii="宋体" w:hAnsi="宋体"/>
          <w:bCs/>
          <w:szCs w:val="21"/>
        </w:rPr>
        <w:t>并由律师事务所出具法律意见书后报中国证监会备案并公告。基金财产清算公告于基金财产清算报告报中国证监会备案后5个工作日内由基金财产</w:t>
      </w:r>
      <w:r w:rsidR="00747307">
        <w:rPr>
          <w:rFonts w:ascii="宋体" w:hAnsi="宋体"/>
          <w:bCs/>
          <w:szCs w:val="21"/>
        </w:rPr>
        <w:t>清算小组进行公告，基金财产清算小组应当将清算报告登载在</w:t>
      </w:r>
      <w:r w:rsidR="00056975">
        <w:rPr>
          <w:rFonts w:ascii="宋体" w:hAnsi="宋体"/>
          <w:bCs/>
          <w:szCs w:val="21"/>
        </w:rPr>
        <w:t>规定网站</w:t>
      </w:r>
      <w:r w:rsidR="00747307">
        <w:rPr>
          <w:rFonts w:ascii="宋体" w:hAnsi="宋体"/>
          <w:bCs/>
          <w:szCs w:val="21"/>
        </w:rPr>
        <w:t>上，并将清算报告提示性公告登载在</w:t>
      </w:r>
      <w:r w:rsidR="00056975">
        <w:rPr>
          <w:rFonts w:ascii="宋体" w:hAnsi="宋体"/>
          <w:bCs/>
          <w:szCs w:val="21"/>
        </w:rPr>
        <w:t>规定报刊</w:t>
      </w:r>
      <w:r w:rsidR="00747307">
        <w:rPr>
          <w:rFonts w:ascii="宋体" w:hAnsi="宋体"/>
          <w:bCs/>
          <w:szCs w:val="21"/>
        </w:rPr>
        <w:t>上</w:t>
      </w:r>
      <w:r w:rsidRPr="00EC00FE">
        <w:rPr>
          <w:rFonts w:ascii="宋体" w:hAnsi="宋体"/>
          <w:bCs/>
          <w:szCs w:val="21"/>
        </w:rPr>
        <w:t>。</w:t>
      </w:r>
    </w:p>
    <w:p w14:paraId="2E54D368"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七、基金财产清算账册及文件的保存</w:t>
      </w:r>
    </w:p>
    <w:p w14:paraId="073F0BFC" w14:textId="50BAA4F5" w:rsidR="00E8494F"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基金财产清算账册及有关文件由基金托管人保存</w:t>
      </w:r>
      <w:r w:rsidR="002B39E9">
        <w:rPr>
          <w:rFonts w:ascii="宋体" w:hAnsi="宋体"/>
          <w:bCs/>
          <w:szCs w:val="21"/>
        </w:rPr>
        <w:t>20</w:t>
      </w:r>
      <w:r w:rsidRPr="00EC00FE">
        <w:rPr>
          <w:rFonts w:ascii="宋体" w:hAnsi="宋体"/>
          <w:bCs/>
          <w:szCs w:val="21"/>
        </w:rPr>
        <w:t>年以上。</w:t>
      </w:r>
    </w:p>
    <w:p w14:paraId="18BB75CD" w14:textId="77777777" w:rsidR="00E8494F" w:rsidRPr="00E8494F" w:rsidRDefault="00E8494F" w:rsidP="004F5BE4">
      <w:pPr>
        <w:adjustRightInd w:val="0"/>
        <w:snapToGrid w:val="0"/>
        <w:spacing w:line="360" w:lineRule="auto"/>
        <w:ind w:firstLineChars="200" w:firstLine="420"/>
        <w:rPr>
          <w:rFonts w:ascii="宋体" w:hAnsi="宋体"/>
          <w:bCs/>
          <w:szCs w:val="21"/>
        </w:rPr>
      </w:pPr>
    </w:p>
    <w:p w14:paraId="6AA2F63D" w14:textId="77777777" w:rsidR="002E3EC6" w:rsidRPr="004F5BE4" w:rsidRDefault="002E3EC6" w:rsidP="005B4845">
      <w:pPr>
        <w:widowControl/>
        <w:snapToGrid w:val="0"/>
        <w:spacing w:line="360" w:lineRule="auto"/>
        <w:ind w:firstLine="420"/>
        <w:jc w:val="left"/>
      </w:pPr>
      <w:r w:rsidRPr="004F5BE4">
        <w:br w:type="page"/>
      </w:r>
    </w:p>
    <w:p w14:paraId="08CD67EB" w14:textId="77777777" w:rsidR="002E3EC6" w:rsidRPr="004F5BE4" w:rsidRDefault="002E3EC6" w:rsidP="00F05D2A">
      <w:pPr>
        <w:widowControl/>
        <w:snapToGrid w:val="0"/>
        <w:spacing w:line="360" w:lineRule="auto"/>
        <w:jc w:val="left"/>
      </w:pPr>
    </w:p>
    <w:p w14:paraId="4B18491C" w14:textId="77777777" w:rsidR="002E3EC6" w:rsidRPr="004F5BE4" w:rsidRDefault="002E3EC6" w:rsidP="00F05D2A">
      <w:pPr>
        <w:pStyle w:val="21"/>
        <w:numPr>
          <w:ilvl w:val="0"/>
          <w:numId w:val="24"/>
        </w:numPr>
        <w:snapToGrid w:val="0"/>
        <w:spacing w:before="0" w:after="0" w:line="360" w:lineRule="auto"/>
        <w:jc w:val="left"/>
        <w:rPr>
          <w:b w:val="0"/>
        </w:rPr>
      </w:pPr>
      <w:bookmarkStart w:id="241" w:name="_Toc327902640"/>
      <w:bookmarkStart w:id="242" w:name="_Toc332013128"/>
      <w:bookmarkStart w:id="243" w:name="_Toc335899851"/>
      <w:bookmarkStart w:id="244" w:name="_Toc336606245"/>
      <w:bookmarkStart w:id="245" w:name="_Toc369510026"/>
      <w:bookmarkStart w:id="246" w:name="_Toc411503279"/>
      <w:bookmarkStart w:id="247" w:name="_Toc47384206"/>
      <w:r w:rsidRPr="004F5BE4">
        <w:rPr>
          <w:rFonts w:hint="eastAsia"/>
          <w:b w:val="0"/>
        </w:rPr>
        <w:t>基金合同的内容摘要</w:t>
      </w:r>
      <w:bookmarkEnd w:id="241"/>
      <w:bookmarkEnd w:id="242"/>
      <w:bookmarkEnd w:id="243"/>
      <w:bookmarkEnd w:id="244"/>
      <w:bookmarkEnd w:id="245"/>
      <w:bookmarkEnd w:id="246"/>
      <w:bookmarkEnd w:id="247"/>
    </w:p>
    <w:p w14:paraId="7DB98D7C" w14:textId="77777777" w:rsidR="002E3EC6" w:rsidRDefault="002E3EC6" w:rsidP="004F5BE4">
      <w:pPr>
        <w:snapToGrid w:val="0"/>
        <w:spacing w:line="360" w:lineRule="auto"/>
        <w:ind w:firstLineChars="199" w:firstLine="418"/>
        <w:rPr>
          <w:rFonts w:ascii="宋体"/>
          <w:szCs w:val="21"/>
        </w:rPr>
      </w:pPr>
    </w:p>
    <w:p w14:paraId="56F70D2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w:t>
      </w:r>
      <w:r w:rsidRPr="00E45371">
        <w:rPr>
          <w:rFonts w:ascii="宋体" w:hAnsi="宋体"/>
          <w:bCs/>
          <w:szCs w:val="21"/>
        </w:rPr>
        <w:t>、</w:t>
      </w:r>
      <w:r w:rsidRPr="00E45371">
        <w:rPr>
          <w:rFonts w:ascii="宋体" w:hAnsi="宋体" w:hint="eastAsia"/>
          <w:bCs/>
          <w:szCs w:val="21"/>
        </w:rPr>
        <w:t>基金管理人、基金托管人和基金份额持有人的权利、义务</w:t>
      </w:r>
    </w:p>
    <w:p w14:paraId="5EBF5CB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（一）基金</w:t>
      </w:r>
      <w:r w:rsidRPr="00E45371">
        <w:rPr>
          <w:rFonts w:ascii="宋体" w:hAnsi="宋体"/>
          <w:bCs/>
          <w:szCs w:val="21"/>
        </w:rPr>
        <w:t>管理人的权利</w:t>
      </w:r>
      <w:r w:rsidRPr="00E45371">
        <w:rPr>
          <w:rFonts w:ascii="宋体" w:hAnsi="宋体" w:hint="eastAsia"/>
          <w:bCs/>
          <w:szCs w:val="21"/>
        </w:rPr>
        <w:t>与</w:t>
      </w:r>
      <w:r w:rsidRPr="00E45371">
        <w:rPr>
          <w:rFonts w:ascii="宋体" w:hAnsi="宋体"/>
          <w:bCs/>
          <w:szCs w:val="21"/>
        </w:rPr>
        <w:t>义务</w:t>
      </w:r>
    </w:p>
    <w:p w14:paraId="6E55AFE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1、根据《基金法》、《运作办法》及其他有关规定，基金管理人的权利包括但不限于：</w:t>
      </w:r>
    </w:p>
    <w:p w14:paraId="68490FD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（1）依法募集资金；</w:t>
      </w:r>
    </w:p>
    <w:p w14:paraId="55F0D76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（2）自《基金合同》生效之日起，根据法律法规和《基金合同》独立运用并管理基金财产；</w:t>
      </w:r>
    </w:p>
    <w:p w14:paraId="1384B51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（3）依照《基金合同》收取基金管理费以及法律法规规定或中国证监会批准的其他费用；</w:t>
      </w:r>
    </w:p>
    <w:p w14:paraId="65249E1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（4）销售基金份额；</w:t>
      </w:r>
    </w:p>
    <w:p w14:paraId="48D24EB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（5）按照规定召集基金份额持有人大会；</w:t>
      </w:r>
    </w:p>
    <w:p w14:paraId="4722CBA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14:paraId="1CEC75B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（7）在基金托管人更换时，提名新的基金托管人；</w:t>
      </w:r>
    </w:p>
    <w:p w14:paraId="366D3E2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（8）选择、更换基金销售机构，对基金销售机构的相关行为进行监督和处理； </w:t>
      </w:r>
    </w:p>
    <w:p w14:paraId="17F6595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（9）担任或委托其他符合条件的机构担任基金登记机构办理基金登记业务并获得《基金合同》规定的费用； </w:t>
      </w:r>
    </w:p>
    <w:p w14:paraId="60CE9CD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（10）依据《基金合同》及有关法律规定决定基金收益的分配方案；</w:t>
      </w:r>
      <w:r w:rsidRPr="00E45371">
        <w:rPr>
          <w:rFonts w:ascii="宋体" w:hAnsi="宋体" w:hint="eastAsia"/>
          <w:bCs/>
          <w:szCs w:val="21"/>
        </w:rPr>
        <w:tab/>
      </w:r>
    </w:p>
    <w:p w14:paraId="716411C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（11）在《基金合同》约定的范围内，拒绝或暂停受理申购与赎回申请； </w:t>
      </w:r>
    </w:p>
    <w:p w14:paraId="270B4DD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（12）依照法律法规为基金的利益对被投资公司行使股东权利，为基金的利益行使因基金财产投资于证券所产生的权利；</w:t>
      </w:r>
      <w:r w:rsidRPr="00E45371">
        <w:rPr>
          <w:rFonts w:ascii="宋体" w:hAnsi="宋体" w:hint="eastAsia"/>
          <w:bCs/>
          <w:szCs w:val="21"/>
        </w:rPr>
        <w:tab/>
      </w:r>
    </w:p>
    <w:p w14:paraId="77B7359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（13）在法律法规允许的前提下，为基金的利益依法为基金进行融资； </w:t>
      </w:r>
    </w:p>
    <w:p w14:paraId="4A90741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（14）以基金管理人的名义，代表基金份额持有人的利益行使诉讼权利或者实施其他法律行为；</w:t>
      </w:r>
      <w:r w:rsidRPr="00E45371">
        <w:rPr>
          <w:rFonts w:ascii="宋体" w:hAnsi="宋体" w:hint="eastAsia"/>
          <w:bCs/>
          <w:szCs w:val="21"/>
        </w:rPr>
        <w:tab/>
      </w:r>
    </w:p>
    <w:p w14:paraId="22C28F1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（15）选择、更换律师事务所、会计师事务所、证券/期货经纪商或其他为基金提供服务的外部机构；</w:t>
      </w:r>
      <w:r w:rsidRPr="00E45371">
        <w:rPr>
          <w:rFonts w:ascii="宋体" w:hAnsi="宋体" w:hint="eastAsia"/>
          <w:bCs/>
          <w:szCs w:val="21"/>
        </w:rPr>
        <w:tab/>
      </w:r>
    </w:p>
    <w:p w14:paraId="1CF74A8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（16）在符合有关法律、法规的前提下，制订和调整有关基金认购、申购、赎回、转换</w:t>
      </w:r>
      <w:r w:rsidRPr="00E45371">
        <w:rPr>
          <w:rFonts w:ascii="宋体" w:hAnsi="宋体" w:hint="eastAsia"/>
          <w:bCs/>
          <w:szCs w:val="21"/>
        </w:rPr>
        <w:lastRenderedPageBreak/>
        <w:t>和非交易过户和定投等的业务规则，在法律法规和本基金合同规定的范围内决定和调整基金相关费率结构和收费方式；</w:t>
      </w:r>
    </w:p>
    <w:p w14:paraId="55F3F91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（17）委托第三方机构办理本基金的交易、清算、估值、结算等业务；</w:t>
      </w:r>
    </w:p>
    <w:p w14:paraId="0BA7901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（18）法律法规及中国证监会规定的和《基金合同》约定的其他权利。</w:t>
      </w:r>
    </w:p>
    <w:p w14:paraId="3650A18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2、根据《基金法》、《运作办法》及其他有关规定，基金管理人的义务包括但不限于：</w:t>
      </w:r>
    </w:p>
    <w:p w14:paraId="4E5238B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（1）依法募集资金，办理或者委托经中国证监会认定的其他机构代为办理基金份额的发售、申购、赎回和登记事宜；</w:t>
      </w:r>
    </w:p>
    <w:p w14:paraId="4357DCC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（2）办理基金备案手续；</w:t>
      </w:r>
    </w:p>
    <w:p w14:paraId="1CBD1BD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（3）自《基金合同》生效之日起，以诚实信用、谨慎勤勉的原则管理和运用基金财产；</w:t>
      </w:r>
    </w:p>
    <w:p w14:paraId="1DE1589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（4）配备足够的具有专业资格的人员进行基金投资分析、决策，以专业化的经营方式管理和运作基金财产；</w:t>
      </w:r>
    </w:p>
    <w:p w14:paraId="690FE0F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（5）建立健全内部风险控制、监察与稽核、财务管理及人事管理等制度，保证所管理的基金财产和基金管理人的财产相互独立,对所管理的不同基金分别管理，分别记账，进行证券投资；</w:t>
      </w:r>
    </w:p>
    <w:p w14:paraId="213603E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（6）除依据《基金法》、《基金合同》及其他有关规定外,不得利用基金财产为自己及任何第三人谋取利益，不得委托第三人运作基金财产；</w:t>
      </w:r>
    </w:p>
    <w:p w14:paraId="303F7F4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（7）依法接受基金托管人的监督；</w:t>
      </w:r>
    </w:p>
    <w:p w14:paraId="0F032EB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（8）采取适当合理的措施使计算基金份额认购、申购、赎回和注销价格的方法符合《基金合同》等法律文件的规定，按有关规定计算并披露基金净值信息，确定基金份额申购、赎回的价格；</w:t>
      </w:r>
    </w:p>
    <w:p w14:paraId="0823435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（9）进行基金会计核算并编制基金财务会计报告；</w:t>
      </w:r>
    </w:p>
    <w:p w14:paraId="4BDA86C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（10）编制季度报告、中期报告和年度报告；</w:t>
      </w:r>
    </w:p>
    <w:p w14:paraId="1970EF3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（11）</w:t>
      </w:r>
      <w:r w:rsidRPr="00E45371">
        <w:rPr>
          <w:rFonts w:ascii="宋体" w:hAnsi="宋体" w:hint="eastAsia"/>
          <w:bCs/>
          <w:szCs w:val="21"/>
        </w:rPr>
        <w:tab/>
        <w:t>严格按照《基金法》、《基金合同》及其他有关规定，履行信息披露及报告义务；</w:t>
      </w:r>
    </w:p>
    <w:p w14:paraId="1C95B49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12）保守基金商业秘密，不泄露基金投资计划、投资意向等。除《基金法》、《基金合同》及其他有关规定另有规定外，在基金信息公开披露前应予保密，不向他人泄露，但向监管机构、司法机关或因审计、法律等外部专业顾问提供服务而向其提供的情况除外；</w:t>
      </w:r>
    </w:p>
    <w:p w14:paraId="363D299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（13）按《基金合同》的约定确定基金收益分配方案，及时向基金份额持有人分配基金收益；</w:t>
      </w:r>
    </w:p>
    <w:p w14:paraId="63717CE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（14）按规定受理申购与赎回申请，及时、足额支付赎回款项；</w:t>
      </w:r>
    </w:p>
    <w:p w14:paraId="13D20EE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（15）依据《基金法》、《基金合同》及其他有关规定召集基金份额持有人大会或配合基</w:t>
      </w:r>
      <w:r w:rsidRPr="00E45371">
        <w:rPr>
          <w:rFonts w:ascii="宋体" w:hAnsi="宋体" w:hint="eastAsia"/>
          <w:bCs/>
          <w:szCs w:val="21"/>
        </w:rPr>
        <w:lastRenderedPageBreak/>
        <w:t>金托管人、基金份额持有人依法召集基金份额持有人大会；</w:t>
      </w:r>
    </w:p>
    <w:p w14:paraId="7C926AF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（16）按规定保存基金财产管理业务活动的会计账册、报表、记录和其他相关资料不低于法律法规规定的最低期限；</w:t>
      </w:r>
    </w:p>
    <w:p w14:paraId="181F592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5AC271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（18）组织并参加基金财产清算小组，参与基金财产的保管、清理、估价、变现和分配；</w:t>
      </w:r>
    </w:p>
    <w:p w14:paraId="3863F20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（19）面临解散、依法被撤销或者被依法宣告破产时，及时报告中国证监会并通知基金托管人；</w:t>
      </w:r>
    </w:p>
    <w:p w14:paraId="6D4990A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（20）因违反《基金合同》导致基金财产的损失或损害基金份额持有人合法权益时，应当承担赔偿责任，其赔偿责任不因其退任而免除；</w:t>
      </w:r>
    </w:p>
    <w:p w14:paraId="3A3F056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（21）监督基金托管人按法律法规和《基金合同》规定履行自己的义务，基金托管人违反《基金合同》造成基金财产损失时，基金管理人应为基金份额持有人利益向基金托管人追偿；</w:t>
      </w:r>
    </w:p>
    <w:p w14:paraId="1EBFE74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（22）当基金管理人将其义务委托第三方处理时，应当对第三方处理有关基金事务的行为承担责任；</w:t>
      </w:r>
    </w:p>
    <w:p w14:paraId="4317C5D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（23）以基金管理人名义，代表基金份额持有人利益行使诉讼权利或实施其他法律行为；</w:t>
      </w:r>
      <w:r w:rsidRPr="00E45371">
        <w:rPr>
          <w:rFonts w:ascii="宋体" w:hAnsi="宋体" w:hint="eastAsia"/>
          <w:bCs/>
          <w:szCs w:val="21"/>
        </w:rPr>
        <w:tab/>
      </w:r>
    </w:p>
    <w:p w14:paraId="020C998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386B79A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（25）执行生效的基金份额持有人大会的决议；</w:t>
      </w:r>
    </w:p>
    <w:p w14:paraId="0E270E2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（26）建立并保存基金份额持有人名册；</w:t>
      </w:r>
    </w:p>
    <w:p w14:paraId="110AF38B" w14:textId="7887F3F4"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（27）法律法规及中国证监会规定的和《基金合同》约定的其他义务。</w:t>
      </w:r>
    </w:p>
    <w:p w14:paraId="6C2DE6D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（二）基金</w:t>
      </w:r>
      <w:r w:rsidRPr="00E45371">
        <w:rPr>
          <w:rFonts w:ascii="宋体" w:hAnsi="宋体"/>
          <w:bCs/>
          <w:szCs w:val="21"/>
        </w:rPr>
        <w:t>托管人的</w:t>
      </w:r>
      <w:r w:rsidRPr="00E45371">
        <w:rPr>
          <w:rFonts w:ascii="宋体" w:hAnsi="宋体" w:hint="eastAsia"/>
          <w:bCs/>
          <w:szCs w:val="21"/>
        </w:rPr>
        <w:t>权利</w:t>
      </w:r>
      <w:r w:rsidRPr="00E45371">
        <w:rPr>
          <w:rFonts w:ascii="宋体" w:hAnsi="宋体"/>
          <w:bCs/>
          <w:szCs w:val="21"/>
        </w:rPr>
        <w:t>与义务</w:t>
      </w:r>
    </w:p>
    <w:p w14:paraId="37FEEEE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1、根据《基金法》、《运作办法》及其他有关规定，基金托管人的权利包括但不限于：</w:t>
      </w:r>
    </w:p>
    <w:p w14:paraId="4A1ED69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（1）自《基金合同》生效之日起，依法律法规和《基金合同》的规定安全保管基金财产；</w:t>
      </w:r>
    </w:p>
    <w:p w14:paraId="1C1A9F0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（2）依《基金合同》约定获得基金托管费以及法律法规规定或监管部门批准的其他费用；</w:t>
      </w:r>
    </w:p>
    <w:p w14:paraId="44533F9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BB1CE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（4）根据相关市场规则，为基金开设资金账户、证券账户、期货结算账户等投资所需账户、为基金办理证券、期货交易资金清算；</w:t>
      </w:r>
    </w:p>
    <w:p w14:paraId="4D4FD73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（5）提议召开或召集基金份额持有人大会；</w:t>
      </w:r>
    </w:p>
    <w:p w14:paraId="0AFFBC3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（6）在基金管理人更换时，提名新的基金管理人；</w:t>
      </w:r>
    </w:p>
    <w:p w14:paraId="0FE420B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（7）法律法规及中国证监会规定的和《基金合同》约定的其他权利。</w:t>
      </w:r>
    </w:p>
    <w:p w14:paraId="3DC6B4D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2、根据《基金法》、《运作办法》及其他有关规定，基金托管人的义务包括但不限于：</w:t>
      </w:r>
    </w:p>
    <w:p w14:paraId="0B1458B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（1）以诚实信用、勤勉尽责的原则持有并安全保管基金财产；</w:t>
      </w:r>
    </w:p>
    <w:p w14:paraId="269C890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（2）设立专门的基金托管部门，具有符合要求的营业场所，配备足够的、合格的熟悉基金托管业务的专职人员，负责基金财产托管事宜；</w:t>
      </w:r>
    </w:p>
    <w:p w14:paraId="5E41808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EC6A4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（4）除依据《基金法》、《基金合同》、《托管协议》及其他有关规定外，不得利用基金财产为自己及任何第三人谋取利益，不得委托第三人托管基金财产；</w:t>
      </w:r>
    </w:p>
    <w:p w14:paraId="35B4DD5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（5）保管由基金管理人代表基金签订的与基金有关的重大合同及有关凭证；</w:t>
      </w:r>
    </w:p>
    <w:p w14:paraId="769CF08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（6）按规定开设基金财产的资金账户、证券账户、期货结算账户等投资所需账户，按照《基金合同》的约定，根据基金管理人的投资指令，及时办理清算、交割事宜；</w:t>
      </w:r>
    </w:p>
    <w:p w14:paraId="7DC470A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保守基金商业秘密，除《基金法》、《基金合同》、《托管协议》及其他有关规定另有规定外，在基金信息公开披露前予以保密，不得向他人泄露，但向监管机构、司法机关或因审计、法律等外部专业顾问提供服务而向其提供的情况除外；</w:t>
      </w:r>
    </w:p>
    <w:p w14:paraId="7422185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（8）复核、审查基金管理人计算的基金资产净值、基金份额净值、基金份额申购、赎回价格；</w:t>
      </w:r>
    </w:p>
    <w:p w14:paraId="5B0BEC6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（9）办理与基金托管业务活动有关的信息披露事项；</w:t>
      </w:r>
    </w:p>
    <w:p w14:paraId="7379644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w:t>
      </w:r>
      <w:r w:rsidRPr="00E45371">
        <w:rPr>
          <w:rFonts w:ascii="宋体" w:hAnsi="宋体" w:hint="eastAsia"/>
          <w:bCs/>
          <w:szCs w:val="21"/>
        </w:rPr>
        <w:lastRenderedPageBreak/>
        <w:t>适当的措施；</w:t>
      </w:r>
    </w:p>
    <w:p w14:paraId="130862A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（11）保存基金托管业务活动的记录、账册、报表和其他相关资料20年以上；</w:t>
      </w:r>
    </w:p>
    <w:p w14:paraId="43BDE53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（12）从基金管理人或其委托的登记机构处接收并保存基金份额持有人名册；</w:t>
      </w:r>
    </w:p>
    <w:p w14:paraId="670EE6B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（13）按规定制作相关账册并与基金管理人核对；</w:t>
      </w:r>
    </w:p>
    <w:p w14:paraId="41B6BB4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（14）依据基金管理人的指令或有关规定向基金份额持有人支付基金收益和赎回款项；</w:t>
      </w:r>
    </w:p>
    <w:p w14:paraId="1A3A50E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（15）依据《基金法》、《基金合同》及其他有关规定，召集基金份额持有人大会或配合基金管理人、基金份额持有人依法召集基金份额持有人大会；</w:t>
      </w:r>
    </w:p>
    <w:p w14:paraId="4A3D9E4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（16）按照法律法规和《基金合同》及《托管协议》的规定监督基金管理人的投资运作；</w:t>
      </w:r>
    </w:p>
    <w:p w14:paraId="38EE022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（17）参加基金财产清算小组，参与基金财产的保管、清理、估价、变现和分配；</w:t>
      </w:r>
    </w:p>
    <w:p w14:paraId="1DD47AE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（18）面临解散、依法被撤销或者被依法宣告破产时，及时报告中国证监会和银行业监督管理机构，并通知基金管理人；</w:t>
      </w:r>
    </w:p>
    <w:p w14:paraId="7B7B3A9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（19）因违反《基金合同》导致基金财产损失时，应承担赔偿责任，其赔偿责任不因其退任而免除；</w:t>
      </w:r>
    </w:p>
    <w:p w14:paraId="4182C04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（20）按规定监督基金管理人按法律法规和《基金合同》规定履行自己的义务，基金管理人因违反《基金合同》及《托管协议》造成基金财产损失时，应为基金份额持有人利益向基金管理人追偿；</w:t>
      </w:r>
    </w:p>
    <w:p w14:paraId="5017BB3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（21）执行生效的基金份额持有人大会的决议；</w:t>
      </w:r>
    </w:p>
    <w:p w14:paraId="66873F50" w14:textId="6466DE43"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（22）法律法规及中国证监会规定的和《基金合同》约定的其他义务。</w:t>
      </w:r>
    </w:p>
    <w:p w14:paraId="6D94C39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（三）基金</w:t>
      </w:r>
      <w:r w:rsidRPr="00E45371">
        <w:rPr>
          <w:rFonts w:ascii="宋体" w:hAnsi="宋体"/>
          <w:bCs/>
          <w:szCs w:val="21"/>
        </w:rPr>
        <w:t>份额</w:t>
      </w:r>
      <w:r w:rsidRPr="00E45371">
        <w:rPr>
          <w:rFonts w:ascii="宋体" w:hAnsi="宋体" w:hint="eastAsia"/>
          <w:bCs/>
          <w:szCs w:val="21"/>
        </w:rPr>
        <w:t>持有人</w:t>
      </w:r>
      <w:r w:rsidRPr="00E45371">
        <w:rPr>
          <w:rFonts w:ascii="宋体" w:hAnsi="宋体"/>
          <w:bCs/>
          <w:szCs w:val="21"/>
        </w:rPr>
        <w:t>的权利和义务</w:t>
      </w:r>
    </w:p>
    <w:p w14:paraId="7F1F7F5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666365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每份基金份额具有同等的合法权益。</w:t>
      </w:r>
    </w:p>
    <w:p w14:paraId="4A40089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1、根据《基金法》、《运作办法》及其他有关规定，基金份额持有人的权利包括但不限于：</w:t>
      </w:r>
    </w:p>
    <w:p w14:paraId="15975AD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（1）分享基金财产收益；</w:t>
      </w:r>
    </w:p>
    <w:p w14:paraId="6A856C0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（2）参与分配清算后的剩余基金财产；</w:t>
      </w:r>
    </w:p>
    <w:p w14:paraId="1B8D6A8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（3）依法转让或者申请赎回其持有的基金份额；</w:t>
      </w:r>
    </w:p>
    <w:p w14:paraId="1B3BD8A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（4）按照规定要求召开基金份额持有人大会或者召集基金份额持有人大会；</w:t>
      </w:r>
    </w:p>
    <w:p w14:paraId="61F2D62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（5）出席或者委派代表出席基金份额持有人大会，对基金份额持有人大会审议事项行使表决权；</w:t>
      </w:r>
    </w:p>
    <w:p w14:paraId="3C0DA5E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（6）查阅或者复制公开披露的基金信息资料；</w:t>
      </w:r>
    </w:p>
    <w:p w14:paraId="72A34B3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（7）监督基金管理人的投资运作；</w:t>
      </w:r>
    </w:p>
    <w:p w14:paraId="7D88655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（8）对基金管理人、基金托管人、基金服务机构损害其合法权益的行为依法提起诉讼或仲裁；</w:t>
      </w:r>
    </w:p>
    <w:p w14:paraId="74A408C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（9）法律法规及中国证监会规定的和《基金合同》约定的其他权利。</w:t>
      </w:r>
    </w:p>
    <w:p w14:paraId="53F19C3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2、根据《基金法》、《运作办法》及其他有关规定，基金份额持有人的义务包括但不限于：</w:t>
      </w:r>
    </w:p>
    <w:p w14:paraId="7703202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（1）认真阅读并遵守《基金合同》、招募说明书等信息披露文件；</w:t>
      </w:r>
    </w:p>
    <w:p w14:paraId="4DF481A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（2）了解所投资基金产品，了解自身风险承受能力，自主判断基金的投资价值，自主做出投资决策，自行承担投资风险；</w:t>
      </w:r>
    </w:p>
    <w:p w14:paraId="381DF03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（3）关注基金信息披露，及时行使权利和履行义务；</w:t>
      </w:r>
    </w:p>
    <w:p w14:paraId="6F94D84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（4）交纳基金认购、申购款项及法律法规和《基金合同》所规定的费用；</w:t>
      </w:r>
    </w:p>
    <w:p w14:paraId="3C38F58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（5）在其持有的基金份额范围内，承担基金亏损或者《基金合同》终止的有限责任；</w:t>
      </w:r>
    </w:p>
    <w:p w14:paraId="703013A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（6）不从事任何有损基金及其他《基金合同》当事人合法权益的活动；</w:t>
      </w:r>
    </w:p>
    <w:p w14:paraId="7F6E14A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（7）执行生效的基金份额持有人大会的决议；</w:t>
      </w:r>
    </w:p>
    <w:p w14:paraId="3D1B2C9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（8）返还在基金交易过程中因任何原因获得的不当得利；</w:t>
      </w:r>
    </w:p>
    <w:p w14:paraId="3342067F" w14:textId="00FEEF4B"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（9）法律法规及中国证监会规定的和《基金合同》约定的其他义务。</w:t>
      </w:r>
    </w:p>
    <w:p w14:paraId="07001633" w14:textId="77777777" w:rsidR="00E45371" w:rsidRPr="00E45371" w:rsidRDefault="00E45371" w:rsidP="00E45371">
      <w:pPr>
        <w:spacing w:line="360" w:lineRule="auto"/>
        <w:ind w:firstLineChars="200" w:firstLine="420"/>
        <w:rPr>
          <w:rFonts w:ascii="宋体" w:hAnsi="宋体"/>
          <w:bCs/>
          <w:szCs w:val="21"/>
        </w:rPr>
      </w:pPr>
    </w:p>
    <w:p w14:paraId="296050C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二、基金份额持有人大会召集、议事及表决的程序和规则</w:t>
      </w:r>
    </w:p>
    <w:p w14:paraId="6F06FF1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7A74DC4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本基金份额持有人大会不设日常机构。若将来法律法规对基金份额持有人大会另有规定的，以届时有效的法律法规为准。</w:t>
      </w:r>
    </w:p>
    <w:p w14:paraId="7034C38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（一）召开事由</w:t>
      </w:r>
    </w:p>
    <w:p w14:paraId="333CE8A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1、当出现或需要决定下列事由之一的，应当召开基金份额持有人大会，但法律法规、中国证监会另有规定的除外：</w:t>
      </w:r>
    </w:p>
    <w:p w14:paraId="42B54E5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（1）终止《基金合同》，基金合同另有约定的除外；</w:t>
      </w:r>
    </w:p>
    <w:p w14:paraId="408A4D7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（2）更换基金管理人；</w:t>
      </w:r>
    </w:p>
    <w:p w14:paraId="14CBD35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（3）更换基金托管人；</w:t>
      </w:r>
    </w:p>
    <w:p w14:paraId="6A7747A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（4）转换基金运作方式；</w:t>
      </w:r>
    </w:p>
    <w:p w14:paraId="7D05DC5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（5）调整基金管理人、基金托管人的报酬标准和提高销售服务费；</w:t>
      </w:r>
    </w:p>
    <w:p w14:paraId="64E1DDC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（6）变更基金类别；</w:t>
      </w:r>
    </w:p>
    <w:p w14:paraId="4806DB5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（7）本基金与其他基金的合并；</w:t>
      </w:r>
    </w:p>
    <w:p w14:paraId="4A185DB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（8）变更基金投资目标、范围或策略；</w:t>
      </w:r>
    </w:p>
    <w:p w14:paraId="23D0CEB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（9）变更基金份额持有人大会程序；</w:t>
      </w:r>
    </w:p>
    <w:p w14:paraId="1C96042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（10）基金管理人或基金托管人要求召开基金份额持有人大会；</w:t>
      </w:r>
    </w:p>
    <w:p w14:paraId="422A8B0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14:paraId="7523BE1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（12）对基金合同当事人权利和义务产生重大影响的其他事项；</w:t>
      </w:r>
    </w:p>
    <w:p w14:paraId="773F730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（13）法律法规、《基金合同》或中国证监会规定的其他应当召开基金份额持有人大会的事项。</w:t>
      </w:r>
    </w:p>
    <w:p w14:paraId="582DDB0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2、在法律法规规定和《基金合同》约定的范围内且对基金份额持有人利益无实质性不利影响的前提下，以下情况可由基金管理人和基金托管人协商后修改，不需召开基金份额持有人大会：</w:t>
      </w:r>
    </w:p>
    <w:p w14:paraId="723911A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（1）法律法规要求增加的基金费用的收取；</w:t>
      </w:r>
    </w:p>
    <w:p w14:paraId="1268348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（2）在法律法规和《基金合同》规定的范围内调整本基金的申购费率、调低赎回费率、销售服务费率或变更收费方式；</w:t>
      </w:r>
    </w:p>
    <w:p w14:paraId="42B2E8B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（3）调整有关基金认购、申购、赎回、转换、非交易过户、转托管等业务的规则；</w:t>
      </w:r>
    </w:p>
    <w:p w14:paraId="64979D7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（4）增加或调整基金份额类别设置、停止现有基金份额的发售及对基金份额分类办法、规则进行调整；</w:t>
      </w:r>
    </w:p>
    <w:p w14:paraId="27817D6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（5）因相应的法律法规发生变动而应当对《基金合同》进行修改；</w:t>
      </w:r>
    </w:p>
    <w:p w14:paraId="2DB5C79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（6）对《基金合同》的修改对基金份额持有人利益无实质性不利影响或修改不涉及《基金合同》当事人权利义务关系发生重大变化；</w:t>
      </w:r>
    </w:p>
    <w:p w14:paraId="31B5E10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（7）按照法律法规和《基金合同》规定不需召开基金份额持有人大会的其他情形。</w:t>
      </w:r>
    </w:p>
    <w:p w14:paraId="29861A0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（二）会议召集人及召集方式</w:t>
      </w:r>
    </w:p>
    <w:p w14:paraId="18A1C55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1、除法律法规规定或《基金合同》另有约定外，基金份额持有人大会由基金管理人召集；</w:t>
      </w:r>
    </w:p>
    <w:p w14:paraId="111BFD3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2、基金管理人未按规定召集或不能召集时，由基金托管人召集；</w:t>
      </w:r>
    </w:p>
    <w:p w14:paraId="79CEB8D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14:paraId="0A960C5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60日内召开；基金管理人决定不召集，基金托管人仍认为有必要召开的，应当由基金托管人自行召集，并自出具书面决定之日起60日内召开并告知基金管理人，基金管理人应当配合。</w:t>
      </w:r>
    </w:p>
    <w:p w14:paraId="39641F6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114817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AB67E2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6、基金份额持有人会议的召集人负责选择确定开会时间、地点、方式和权益登记日。</w:t>
      </w:r>
    </w:p>
    <w:p w14:paraId="6613720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（三）召开基金份额持有人大会的通知时间、通知内容、通知方式</w:t>
      </w:r>
    </w:p>
    <w:p w14:paraId="130AE6D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1、召开基金份额持有人大会，召集人应于会议召开前30日，在规定媒介公告。基金份额持有人大会通知应至少载明以下内容：</w:t>
      </w:r>
    </w:p>
    <w:p w14:paraId="24468D9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（1）会议召开的时间、地点和会议形式；</w:t>
      </w:r>
    </w:p>
    <w:p w14:paraId="41B2984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（2）会议拟审议的事项、议事程序和表决方式；</w:t>
      </w:r>
    </w:p>
    <w:p w14:paraId="7B8874A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（3）有权出席基金份额持有人大会的基金份额持有人的权益登记日；</w:t>
      </w:r>
    </w:p>
    <w:p w14:paraId="3CF0A9A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（4）授权委托证明的内容要求（包括但不限于代理人身份，代理权限和代理有效期限等）、送达时间和地点；</w:t>
      </w:r>
    </w:p>
    <w:p w14:paraId="77A923F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（5）会务常设联系人姓名及联系电话；</w:t>
      </w:r>
    </w:p>
    <w:p w14:paraId="2ED497D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（6）出席会议者必须准备的文件和必须履行的手续；</w:t>
      </w:r>
    </w:p>
    <w:p w14:paraId="2CD1CB1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（7）召集人需要通知的其他事项。</w:t>
      </w:r>
    </w:p>
    <w:p w14:paraId="07688C0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0D14A4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81C50A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（四）基金份额持有人出席会议的方式</w:t>
      </w:r>
    </w:p>
    <w:p w14:paraId="414FDB7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基金份额持有人大会可通过现场开会方式、通讯开会方式或法律法规、监管机构允许的其他方式召开，会议的召开方式由会议召集人确定。</w:t>
      </w:r>
    </w:p>
    <w:p w14:paraId="2FA3E75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DEE861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299FA0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8193C0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2B1FAFF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在同时符合以下条件时，通讯开会的方式视为有效：</w:t>
      </w:r>
    </w:p>
    <w:p w14:paraId="79AE205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（1）会议召集人按《基金合同》约定公布会议通知后，在2个工作日内连续公布相关提示性公告；</w:t>
      </w:r>
    </w:p>
    <w:p w14:paraId="281ACD3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73FB8A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529CD52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5AA599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533BCB9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4、在不与法律法规冲突的前提下，基金份额持有人授权他人代为出席会议并表决的，授权方式可以采用书面、网络、电话、短信或其他方式，具体方式在会议通知中列明。</w:t>
      </w:r>
    </w:p>
    <w:p w14:paraId="37FD987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（五）议事内容与程序</w:t>
      </w:r>
    </w:p>
    <w:p w14:paraId="16CE49A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1、议事内容及提案权</w:t>
      </w:r>
    </w:p>
    <w:p w14:paraId="02EC1EE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76B37B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基金份额持有人大会的召集人发出召集会议的通知后，对原有提案的修改应当在基金份额持有人大会召开前及时公告。</w:t>
      </w:r>
    </w:p>
    <w:p w14:paraId="274594F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基金份额持有人大会不得对未事先公告的议事内容进行表决。</w:t>
      </w:r>
    </w:p>
    <w:p w14:paraId="336FBF2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2、议事程序</w:t>
      </w:r>
    </w:p>
    <w:p w14:paraId="6104768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（1）现场开会</w:t>
      </w:r>
    </w:p>
    <w:p w14:paraId="034430E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6A15AEB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5CDB97C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（2）通讯开会</w:t>
      </w:r>
    </w:p>
    <w:p w14:paraId="6F5B08E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在通讯开会的情况下，首先由召集人提前30日公布提案，在所通知的表决截止日期后2个工作日内在公证机关监督下由召集人统计全部有效表决，在公证机关监督下形成决议。</w:t>
      </w:r>
    </w:p>
    <w:p w14:paraId="1271950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（六）表决</w:t>
      </w:r>
    </w:p>
    <w:p w14:paraId="2A6F2B5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基金份额持有人所持每份基金份额有同等表决权。</w:t>
      </w:r>
    </w:p>
    <w:p w14:paraId="05DECE3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基金份额持有人大会决议分为一般决议和特别决议：</w:t>
      </w:r>
    </w:p>
    <w:p w14:paraId="4F993E5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4F951D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BC594D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基金份额持有人大会采取记名方式进行投票表决。</w:t>
      </w:r>
    </w:p>
    <w:p w14:paraId="55EB35D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B7CAAF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基金份额持有人大会的各项提案或同一项提案内并列的各项议题应当分开审议、逐项表决。</w:t>
      </w:r>
    </w:p>
    <w:p w14:paraId="38B7418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在上述规则的前提下，具体规则以召集人发布的基金份额持有人大会通知为准。</w:t>
      </w:r>
    </w:p>
    <w:p w14:paraId="6959F80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（七）计票</w:t>
      </w:r>
    </w:p>
    <w:p w14:paraId="3B8C83B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1、现场开会</w:t>
      </w:r>
    </w:p>
    <w:p w14:paraId="18A63AF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C3182C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（2）监票人应当在基金份额持有人表决后立即进行清点并由大会主持人当场公布计票结果。</w:t>
      </w:r>
    </w:p>
    <w:p w14:paraId="5273E79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883BA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（4）计票过程应由公证机关予以公证，基金管理人或基金托管人拒不出席大会的，不影响计票的效力。</w:t>
      </w:r>
    </w:p>
    <w:p w14:paraId="5C6597E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2、通讯开会</w:t>
      </w:r>
    </w:p>
    <w:p w14:paraId="4080C2F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6C4865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（八）生效与公告</w:t>
      </w:r>
    </w:p>
    <w:p w14:paraId="5C61FD0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基金份额持有人大会的决议，召集人应当自通过之日起5日内报中国证监会备案。</w:t>
      </w:r>
    </w:p>
    <w:p w14:paraId="3634344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基金份额持有人大会的决议自表决通过之日起生效。</w:t>
      </w:r>
    </w:p>
    <w:p w14:paraId="0BC67FF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基金份额持有人大会决议自生效之日起2日内在规定媒介上公告。如果采用通讯方式进行表决，在公告基金份额持有人大会决议时，必须将公证书全文、公证机构、公证员姓名等一同公告。</w:t>
      </w:r>
    </w:p>
    <w:p w14:paraId="5928812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基金管理人、基金托管人和基金份额持有人应当执行生效的基金份额持有人大会的决议。</w:t>
      </w:r>
      <w:r w:rsidRPr="00E45371">
        <w:rPr>
          <w:rFonts w:ascii="宋体" w:hAnsi="宋体" w:hint="eastAsia"/>
          <w:bCs/>
          <w:szCs w:val="21"/>
        </w:rPr>
        <w:lastRenderedPageBreak/>
        <w:t>生效的基金份额持有人大会决议对全体基金份额持有人、基金管理人、基金托管人均有约束力。</w:t>
      </w:r>
    </w:p>
    <w:p w14:paraId="01EF54C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（九）实施侧袋机制期间基金份额持有人大会的特殊约定</w:t>
      </w:r>
    </w:p>
    <w:p w14:paraId="559495E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046EA6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1、基金份额持有人行使提议权、召集权、提名权所需单独或合计代表相关基金份额10%以上（含10%）；</w:t>
      </w:r>
    </w:p>
    <w:p w14:paraId="7B9B401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2、现场开会的到会者在权益登记日代表的基金份额不少于本基金在权益登记日相关基金份额的二分之一（含二分之一）；</w:t>
      </w:r>
    </w:p>
    <w:p w14:paraId="0DF6A7E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3、通讯开会的直接出具表决意见或授权他人代表出具表决意见的基金份额持有人所持有的基金份额不小于在权益登记日相关基金份额的二分之一（含二分之一）；</w:t>
      </w:r>
    </w:p>
    <w:p w14:paraId="4A94BC0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6FF758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514D5D7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6、一般决议须经参加大会的基金份额持有人或其代理人所持表决权的二分之一以上（含二分之一）通过；</w:t>
      </w:r>
    </w:p>
    <w:p w14:paraId="2008784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7、特别决议应当经参加大会的基金份额持有人或其代理人所持表决权的三分之二以上（含三分之二）通过。</w:t>
      </w:r>
    </w:p>
    <w:p w14:paraId="7FFA020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同一主侧袋账户内的每份基金份额具有平等的表决权。</w:t>
      </w:r>
    </w:p>
    <w:p w14:paraId="67F36656" w14:textId="568F2FB8"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十）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FA9E9CC" w14:textId="77777777" w:rsidR="00E45371" w:rsidRPr="00E45371" w:rsidRDefault="00E45371" w:rsidP="00E45371">
      <w:pPr>
        <w:spacing w:line="360" w:lineRule="auto"/>
        <w:ind w:firstLineChars="200" w:firstLine="420"/>
        <w:rPr>
          <w:rFonts w:ascii="宋体" w:hAnsi="宋体"/>
          <w:bCs/>
          <w:szCs w:val="21"/>
        </w:rPr>
      </w:pPr>
    </w:p>
    <w:p w14:paraId="347B414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三、基金收益分配原则、执行方式</w:t>
      </w:r>
    </w:p>
    <w:p w14:paraId="7784188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（一）基金利润的构成</w:t>
      </w:r>
    </w:p>
    <w:p w14:paraId="21AE0E2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14:paraId="2D617B4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（二）基金可供分配利润</w:t>
      </w:r>
    </w:p>
    <w:p w14:paraId="0FC34AD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基金可供分配利润指截至收益分配基准日基金未分配利润与未分配利润中已实现收益的孰低数。</w:t>
      </w:r>
    </w:p>
    <w:p w14:paraId="521A806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（三）基金收益分配原则</w:t>
      </w:r>
    </w:p>
    <w:p w14:paraId="5DBCE40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3283EC7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2、本基金收益分配方式分两种：现金分红与红利再投资，投资者可选择现金红利或将现金红利自动转为基金份额进行再投资；若投资者不选择，本基金默认的收益分配方式是现金分红；</w:t>
      </w:r>
    </w:p>
    <w:p w14:paraId="0A13F6A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3、基金收益分配后基金份额净值不能低于面值；即基金收益分配基准日的基金份额净值减去每单位基金份额收益分配金额后不能低于面值。</w:t>
      </w:r>
    </w:p>
    <w:p w14:paraId="3AEA924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4、每一基金份额享有同等分配权；</w:t>
      </w:r>
    </w:p>
    <w:p w14:paraId="53FA825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5、法律法规或监管机关另有规定的，从其规定。</w:t>
      </w:r>
    </w:p>
    <w:p w14:paraId="5D591465" w14:textId="5B616DBC"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3D70529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（四）收益分配方案</w:t>
      </w:r>
    </w:p>
    <w:p w14:paraId="191D33E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基金收益分配方案中应载明截止收益分配基准日的可供分配利润、基金收益分配对象、分配时间、分配数额及比例、分配方式等内容。</w:t>
      </w:r>
    </w:p>
    <w:p w14:paraId="105D4F4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（五）收益分配方案的确定、公告与实施</w:t>
      </w:r>
    </w:p>
    <w:p w14:paraId="66B83F1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本基金收益分配方案由基金管理人拟定，并由基金托管人复核，在2日内在规定媒介公告。</w:t>
      </w:r>
    </w:p>
    <w:p w14:paraId="455A75A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（六）基金收益分配中发生的费用</w:t>
      </w:r>
    </w:p>
    <w:p w14:paraId="3A608F5D" w14:textId="527D60BA" w:rsidR="00E45371" w:rsidRPr="00E45371" w:rsidRDefault="00E45371" w:rsidP="00C40439">
      <w:pPr>
        <w:spacing w:line="360" w:lineRule="auto"/>
        <w:ind w:firstLineChars="200" w:firstLine="420"/>
        <w:rPr>
          <w:rFonts w:ascii="宋体" w:hAnsi="宋体"/>
          <w:bCs/>
          <w:szCs w:val="21"/>
        </w:rPr>
      </w:pPr>
      <w:r w:rsidRPr="00E45371">
        <w:rPr>
          <w:rFonts w:ascii="宋体" w:hAnsi="宋体"/>
          <w:bCs/>
          <w:szCs w:val="21"/>
        </w:rPr>
        <w:t>基金收益分配时所发生的银行转账或其他手续费用由投资者自行承担。当投资者的现金红利小于一定金额，不足</w:t>
      </w:r>
      <w:r w:rsidRPr="00E45371">
        <w:rPr>
          <w:rFonts w:ascii="宋体" w:hAnsi="宋体" w:hint="eastAsia"/>
          <w:bCs/>
          <w:szCs w:val="21"/>
        </w:rPr>
        <w:t>以</w:t>
      </w:r>
      <w:r w:rsidRPr="00E45371">
        <w:rPr>
          <w:rFonts w:ascii="宋体" w:hAnsi="宋体"/>
          <w:bCs/>
          <w:szCs w:val="21"/>
        </w:rPr>
        <w:t>支付银行转账或其他手续费用时，基金登记机构可将基金份额持有人的现金红利自动转为基金份额。红利再投资的计算方法，依照《业务规则》执行。</w:t>
      </w:r>
    </w:p>
    <w:p w14:paraId="2568BAC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（七）实施侧袋机制期间的收益分配</w:t>
      </w:r>
    </w:p>
    <w:p w14:paraId="3DD13B0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本基金实施侧袋机制的，侧袋账户不进行收益分配，详见招募说明书的规定。</w:t>
      </w:r>
    </w:p>
    <w:p w14:paraId="1ED26F3C" w14:textId="77777777" w:rsidR="00E45371" w:rsidRPr="00E45371" w:rsidRDefault="00E45371" w:rsidP="00E45371">
      <w:pPr>
        <w:spacing w:line="360" w:lineRule="auto"/>
        <w:ind w:firstLineChars="200" w:firstLine="420"/>
        <w:rPr>
          <w:rFonts w:ascii="宋体" w:hAnsi="宋体"/>
          <w:bCs/>
          <w:szCs w:val="21"/>
        </w:rPr>
      </w:pPr>
    </w:p>
    <w:p w14:paraId="0A0215A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四、与基金财产管理、运作有关费用的提取、支付方式与比例</w:t>
      </w:r>
    </w:p>
    <w:p w14:paraId="0D05A51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（一）基金费用的种类</w:t>
      </w:r>
    </w:p>
    <w:p w14:paraId="2C9B8C7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1、基金管理人的管理费；</w:t>
      </w:r>
    </w:p>
    <w:p w14:paraId="6668B00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2、基金托管人的托管费；</w:t>
      </w:r>
    </w:p>
    <w:p w14:paraId="5935237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3、销售服务费；</w:t>
      </w:r>
    </w:p>
    <w:p w14:paraId="669DF41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4、《基金合同》生效后与基金相关的信息披露费用；</w:t>
      </w:r>
    </w:p>
    <w:p w14:paraId="54AA76E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5、《基金合同》生效后与基金相关的会计师费、律师费、审计费、诉讼费和仲裁费；</w:t>
      </w:r>
    </w:p>
    <w:p w14:paraId="2AA0D74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6、基金份额持有人大会费用；</w:t>
      </w:r>
    </w:p>
    <w:p w14:paraId="7770C58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7、基金的证券/期货/期权交易费用；</w:t>
      </w:r>
    </w:p>
    <w:p w14:paraId="3C57492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8、基金的银行汇划费用；</w:t>
      </w:r>
    </w:p>
    <w:p w14:paraId="7B9E271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9、基金相关账户的开户及维护费用；</w:t>
      </w:r>
    </w:p>
    <w:p w14:paraId="7D4FB4D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10、因投资港股通股票而产生的各项合理费用；</w:t>
      </w:r>
    </w:p>
    <w:p w14:paraId="75D886C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11、按照国家有关规定和《基金合同》约定，可以在基金财产中列支的其他费用。</w:t>
      </w:r>
    </w:p>
    <w:p w14:paraId="0EB7337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（二）基金费用计提方法、计提标准和支付方式</w:t>
      </w:r>
    </w:p>
    <w:p w14:paraId="253E5ED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1、基金管理人的管理费 </w:t>
      </w:r>
    </w:p>
    <w:p w14:paraId="64C8DBD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本基金的管理费按前一日基金资产净值的1.5%年费率计提。管理费的计算方法如下：</w:t>
      </w:r>
    </w:p>
    <w:p w14:paraId="08A74F8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H＝E×年管理费率÷当年天数</w:t>
      </w:r>
    </w:p>
    <w:p w14:paraId="15A2C84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H为每日应计提的基金管理费</w:t>
      </w:r>
    </w:p>
    <w:p w14:paraId="20E95A2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E为前一日的基金资产净值</w:t>
      </w:r>
    </w:p>
    <w:p w14:paraId="333368C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管理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5647440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2、基金托管人的托管费</w:t>
      </w:r>
    </w:p>
    <w:p w14:paraId="0709A10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本基金的托管费按前一日基金资产净值的0.25%的年费率计提。托管费的计算方法如下：</w:t>
      </w:r>
    </w:p>
    <w:p w14:paraId="177447C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H＝E×年托管费率÷当年天数</w:t>
      </w:r>
    </w:p>
    <w:p w14:paraId="62F1EE1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H为每日应计提的基金托管费</w:t>
      </w:r>
    </w:p>
    <w:p w14:paraId="7647B18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E为前一日的基金资产净值</w:t>
      </w:r>
    </w:p>
    <w:p w14:paraId="3773A68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托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6AC91C6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3、基金销售服务费</w:t>
      </w:r>
    </w:p>
    <w:p w14:paraId="4053899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本基金的销售服务费年费率为0.5%。销售服务费计提的计算方法如下：</w:t>
      </w:r>
    </w:p>
    <w:p w14:paraId="5FD133C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H＝E×年销售服务费率÷当年天数</w:t>
      </w:r>
    </w:p>
    <w:p w14:paraId="77BB2FC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H为每日应计提的基金销售服务费</w:t>
      </w:r>
    </w:p>
    <w:p w14:paraId="6325D09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E为前一日的基金资产净值</w:t>
      </w:r>
    </w:p>
    <w:p w14:paraId="3CC1350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5B1D5D5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上述“一、基金费用的种类”中第4－11项费用，根据有关法规及相应协议规定，按费用实际支出金额列入当期费用，由基金托管人从基金财产中支付。</w:t>
      </w:r>
    </w:p>
    <w:p w14:paraId="1093754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（三）不列入基金费用的项目</w:t>
      </w:r>
    </w:p>
    <w:p w14:paraId="0406087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下列费用不列入基金费用：</w:t>
      </w:r>
    </w:p>
    <w:p w14:paraId="7680A75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1、基金管理人和基金托管人因未履行或未完全履行义务导致的费用支出或基金财产的损失；</w:t>
      </w:r>
    </w:p>
    <w:p w14:paraId="40A1493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2、基金管理人和基金托管人处理与基金运作无关的事项发生的费用；</w:t>
      </w:r>
    </w:p>
    <w:p w14:paraId="06839AA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3、《基金合同》生效前的相关费用；</w:t>
      </w:r>
    </w:p>
    <w:p w14:paraId="01D1BFC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4、其他根据相关法律法规及中国证监会的有关规定不得列入基金费用的项目。</w:t>
      </w:r>
    </w:p>
    <w:p w14:paraId="66B81D5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（四）实施侧袋机制期间的基金费用</w:t>
      </w:r>
    </w:p>
    <w:p w14:paraId="4049CAA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本基金实施侧袋机制的，与侧袋账户有关的费用可以从侧袋账户中列支，但应待侧袋账户资产变现后方可列支，有关费用可酌情收取或减免，但不得收取管理费，详见招募说明书的规定。</w:t>
      </w:r>
    </w:p>
    <w:p w14:paraId="69F1314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（五）基金税收</w:t>
      </w:r>
    </w:p>
    <w:p w14:paraId="34AE413F" w14:textId="2992F264"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本基金运作过程中涉及的各纳税主体，其纳税义务按国家税收法律、法规执行。基金财产投资的相关税收，由基金份额持有人承担，基金管理人或者其他扣缴义务人按照国家有关</w:t>
      </w:r>
      <w:r w:rsidRPr="00E45371">
        <w:rPr>
          <w:rFonts w:ascii="宋体" w:hAnsi="宋体" w:hint="eastAsia"/>
          <w:bCs/>
          <w:szCs w:val="21"/>
        </w:rPr>
        <w:lastRenderedPageBreak/>
        <w:t>税收征收的规定代扣代缴。</w:t>
      </w:r>
    </w:p>
    <w:p w14:paraId="1C09E0FC" w14:textId="77777777" w:rsidR="00E45371" w:rsidRPr="00E45371" w:rsidRDefault="00E45371" w:rsidP="00E45371">
      <w:pPr>
        <w:spacing w:line="360" w:lineRule="auto"/>
        <w:ind w:firstLineChars="200" w:firstLine="420"/>
        <w:rPr>
          <w:rFonts w:ascii="宋体" w:hAnsi="宋体"/>
          <w:bCs/>
          <w:szCs w:val="21"/>
        </w:rPr>
      </w:pPr>
    </w:p>
    <w:p w14:paraId="4208E7E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五、基金财产的投资方向和投资限制</w:t>
      </w:r>
    </w:p>
    <w:p w14:paraId="6AB495C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w:t>
      </w:r>
      <w:r w:rsidRPr="00E45371">
        <w:rPr>
          <w:rFonts w:ascii="宋体" w:hAnsi="宋体"/>
          <w:bCs/>
          <w:szCs w:val="21"/>
        </w:rPr>
        <w:t>投资范围</w:t>
      </w:r>
    </w:p>
    <w:p w14:paraId="2CE1DFF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705A9C5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的投资组合比例为：本基金股票（含存托凭证）投资占基金资产的比例范围为60%-95%（其中港股通股票投资比例不得超过股票资产的50%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78BFCA95" w14:textId="59319AF5"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如法律法规或监管机构以后允许基金投资其他品种，基金管理人在履行适当程序后，可以将其纳入投资范围。</w:t>
      </w:r>
    </w:p>
    <w:p w14:paraId="70CBA69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w:t>
      </w:r>
      <w:r w:rsidRPr="00E45371">
        <w:rPr>
          <w:rFonts w:ascii="宋体" w:hAnsi="宋体"/>
          <w:bCs/>
          <w:szCs w:val="21"/>
        </w:rPr>
        <w:t>投资限制</w:t>
      </w:r>
    </w:p>
    <w:p w14:paraId="4FC307C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1、组合限制</w:t>
      </w:r>
    </w:p>
    <w:p w14:paraId="080E798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基金的投资组合应遵循以下限制：</w:t>
      </w:r>
    </w:p>
    <w:p w14:paraId="2E58B27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（1）本基金股票（含存托凭证）投资占基金资产的比例为60%-95%（其中港股通股票投资比例不得超过股票资产的50%）；</w:t>
      </w:r>
    </w:p>
    <w:p w14:paraId="1BC26BB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0CAA72E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（3）本基金持有一家公司发行的证券（A股和H股合并计算），其市值不超过基金资产净值的10％；</w:t>
      </w:r>
    </w:p>
    <w:p w14:paraId="0207606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（4）本基金管理人管理的全部基金持有一家公司发行的证券（A股和H股合并计算），不超过该证券的10％，完全按照有关指数的构成比例进行证券投资的基金品种可以不受此条款规定的比例限制；</w:t>
      </w:r>
    </w:p>
    <w:p w14:paraId="7009869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（5）本基金投资于同一原始权益人的各类资产支持证券的比例，不得超过基金资产净值的10％；</w:t>
      </w:r>
    </w:p>
    <w:p w14:paraId="387D136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（6）本基金持有的全部资产支持证券，其市值不得超过基金资产净值的20％；</w:t>
      </w:r>
    </w:p>
    <w:p w14:paraId="315EC21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（7）本基金持有的同一(指同一信用级别)资产支持证券的比例，不得超过该资产支持证券规模的10％；</w:t>
      </w:r>
    </w:p>
    <w:p w14:paraId="1B47E9F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（8）本基金管理人管理的全部基金投资于同一原始权益人的各类资产支持证券，不得超过其各类资产支持证券合计规模的10％；</w:t>
      </w:r>
    </w:p>
    <w:p w14:paraId="30E819E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5337677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0F8966A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（11）本基金进入全国银行间同业市场进行债券回购的最长期限为1年，债券回购到期后不得展期；</w:t>
      </w:r>
    </w:p>
    <w:p w14:paraId="2533B20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B420B4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3FB6FD2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（14）本基金与私募类证券资管产品及中国证监会认定的其他主体为交易对手开展逆回购交易的，可接受质押品的资质要求应当与基金合同约定的投资范围保持一致；</w:t>
      </w:r>
    </w:p>
    <w:p w14:paraId="6A1BA08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15）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40E96A0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（16）在任何交易日日终，持有的买入股指期货合约价值，不得超过基金资产净值的10%；</w:t>
      </w:r>
      <w:r w:rsidRPr="00E45371">
        <w:rPr>
          <w:rFonts w:ascii="宋体" w:hAnsi="宋体" w:hint="eastAsia"/>
          <w:bCs/>
          <w:szCs w:val="21"/>
        </w:rPr>
        <w:lastRenderedPageBreak/>
        <w:t>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559651D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02CF364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6262BF2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（19）本基金资产总值不超过基金资产净值的140%；</w:t>
      </w:r>
    </w:p>
    <w:p w14:paraId="014B0D5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（20）本基金投资存托凭证的比例限制依照内地上市交易的股票执行；</w:t>
      </w:r>
    </w:p>
    <w:p w14:paraId="374B7D8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（21）法律法规及中国证监会规定的和《基金合同》约定的其他投资限制。</w:t>
      </w:r>
    </w:p>
    <w:p w14:paraId="661A687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1E27C30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670C24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5EDABBA5"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2、禁止行为</w:t>
      </w:r>
    </w:p>
    <w:p w14:paraId="085D814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为维护基金份额持有人的合法权益，基金财产不得用于下列投资或者活动：</w:t>
      </w:r>
    </w:p>
    <w:p w14:paraId="063586E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（1）承销证券；</w:t>
      </w:r>
    </w:p>
    <w:p w14:paraId="4E859E1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（2）违反规定向他人贷款或者提供担保；</w:t>
      </w:r>
    </w:p>
    <w:p w14:paraId="770EC57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（3）从事承担无限责任的投资；</w:t>
      </w:r>
    </w:p>
    <w:p w14:paraId="0CB9B89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（4）买卖其他基金份额，但是中国证监会另有规定的除外；</w:t>
      </w:r>
    </w:p>
    <w:p w14:paraId="4BEBAE1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（5）向其基金管理人、基金托管人出资；</w:t>
      </w:r>
    </w:p>
    <w:p w14:paraId="2B832A8F"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（6）从事内幕交易、操纵证券交易价格及其他不正当的证券交易活动；</w:t>
      </w:r>
    </w:p>
    <w:p w14:paraId="6204873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（7）法律、行政法规和中国证监会规定禁止的其他活动。</w:t>
      </w:r>
    </w:p>
    <w:p w14:paraId="62C5207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02DDCA6" w14:textId="5A13B2C0"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如法律、行政法规或监管部门取消或调整上述禁止性规定，如适用于本基金，基金管理人在履行适当程序后，本基金投资不再受相关限制或按调整后的规定执行。</w:t>
      </w:r>
    </w:p>
    <w:p w14:paraId="5A76AF35" w14:textId="77777777" w:rsidR="00E45371" w:rsidRPr="00E45371" w:rsidRDefault="00E45371" w:rsidP="00E45371">
      <w:pPr>
        <w:spacing w:line="360" w:lineRule="auto"/>
        <w:ind w:firstLineChars="200" w:firstLine="420"/>
        <w:rPr>
          <w:rFonts w:ascii="宋体" w:hAnsi="宋体"/>
          <w:bCs/>
          <w:szCs w:val="21"/>
        </w:rPr>
      </w:pPr>
    </w:p>
    <w:p w14:paraId="162C7B7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六、基金资产净值的计算方法和公告方式</w:t>
      </w:r>
    </w:p>
    <w:p w14:paraId="43895DB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07DC4AD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基金管理人应每个工作日计算基金资产净值及基金份额净值，并按规定披露。</w:t>
      </w:r>
    </w:p>
    <w:p w14:paraId="626F248C" w14:textId="1D0C6742"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管理人应每个工作日对基金资产估值。但基金管理人根据法律法规或本基金合同的规定暂停估值时除外。基金管理人每个工作日对基金资产估值后，将基金份额的基金份额净值结果发送基金托管人，经基金托管人复核无误后，由基金管理人对外公布。</w:t>
      </w:r>
    </w:p>
    <w:p w14:paraId="5CD9F523" w14:textId="77777777" w:rsidR="00E45371" w:rsidRPr="00E45371" w:rsidRDefault="00E45371" w:rsidP="00E45371">
      <w:pPr>
        <w:spacing w:line="360" w:lineRule="auto"/>
        <w:ind w:firstLineChars="200" w:firstLine="420"/>
        <w:rPr>
          <w:rFonts w:ascii="宋体" w:hAnsi="宋体"/>
          <w:bCs/>
          <w:szCs w:val="21"/>
        </w:rPr>
      </w:pPr>
    </w:p>
    <w:p w14:paraId="309E173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七、基金合同解除和终止的事由、程序以及基金财产的清算方式</w:t>
      </w:r>
    </w:p>
    <w:p w14:paraId="3BEE124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（一）《基金合同》的变更</w:t>
      </w:r>
    </w:p>
    <w:p w14:paraId="373FA0C2"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F06F517"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lastRenderedPageBreak/>
        <w:t>2、关于《基金合同》变更的基金份额持有人大会决议自生效后方可执行，自决议生效后2日内在规定媒介公告。</w:t>
      </w:r>
    </w:p>
    <w:p w14:paraId="68F5393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（二）《基金合同》的终止事由</w:t>
      </w:r>
    </w:p>
    <w:p w14:paraId="229FCB5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有下列情形之一的，经履行相关程序后，《基金合同》应当终止：</w:t>
      </w:r>
    </w:p>
    <w:p w14:paraId="6749A25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1、基金份额持有人大会决定终止的；</w:t>
      </w:r>
    </w:p>
    <w:p w14:paraId="0EE5277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2、基金管理人、基金托管人职责终止，在6个月内没有新基金管理人、新基金托管人承接的；</w:t>
      </w:r>
    </w:p>
    <w:p w14:paraId="0826D300"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3、《基金合同》约定的其他情形；</w:t>
      </w:r>
    </w:p>
    <w:p w14:paraId="54795C4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4、相关法律法规和中国证监会规定的其他情况。</w:t>
      </w:r>
    </w:p>
    <w:p w14:paraId="4ED5C8E3"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（三）基金财产的清算</w:t>
      </w:r>
    </w:p>
    <w:p w14:paraId="7A88960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64F0D4D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06227329"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3、基金财产清算小组职责：基金财产清算小组负责基金财产的保管、清理、估价、变现和分配。基金财产清算小组可以依法进行必要的民事活动。</w:t>
      </w:r>
    </w:p>
    <w:p w14:paraId="72A895B4"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4、基金财产清算程序：</w:t>
      </w:r>
    </w:p>
    <w:p w14:paraId="488401DE"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（1）《基金合同》终止情形出现时，由基金财产清算小组统一接管基金；</w:t>
      </w:r>
    </w:p>
    <w:p w14:paraId="0B4875A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（2）对基金财产和债权债务进行清理和确认；</w:t>
      </w:r>
    </w:p>
    <w:p w14:paraId="75D6062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（3）对基金财产进行估值和变现；</w:t>
      </w:r>
    </w:p>
    <w:p w14:paraId="2EB7878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（4）制作清算报告；</w:t>
      </w:r>
    </w:p>
    <w:p w14:paraId="51D7DD4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（5）聘请符合《证券法》规定的会计师事务所对清算报告进行外部审计，聘请律师事务所对清算报告出具法律意见书；</w:t>
      </w:r>
    </w:p>
    <w:p w14:paraId="6151ABD6"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（6）将清算报告报中国证监会备案并公告；</w:t>
      </w:r>
    </w:p>
    <w:p w14:paraId="153A1AE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（7）对基金剩余财产进行分配。</w:t>
      </w:r>
    </w:p>
    <w:p w14:paraId="71276B9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5、基金财产清算的期限为6个月，但因本基金所持证券的流动性受到限制而不能及时变现的，清算期限相应顺延。</w:t>
      </w:r>
    </w:p>
    <w:p w14:paraId="1058090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（四）清算费用</w:t>
      </w:r>
    </w:p>
    <w:p w14:paraId="1C5F24CA"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清算费用是指基金财产清算小组在进行基金清算过程中发生的所有合理费用，清算费用</w:t>
      </w:r>
      <w:r w:rsidRPr="00E45371">
        <w:rPr>
          <w:rFonts w:ascii="宋体" w:hAnsi="宋体" w:hint="eastAsia"/>
          <w:bCs/>
          <w:szCs w:val="21"/>
        </w:rPr>
        <w:lastRenderedPageBreak/>
        <w:t>由基金财产清算小组优先从基金财产中支付。</w:t>
      </w:r>
    </w:p>
    <w:p w14:paraId="09132BA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（五）基金财产清算剩余资产的分配</w:t>
      </w:r>
    </w:p>
    <w:p w14:paraId="3F7E9071"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757812A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（六）基金财产清算的公告</w:t>
      </w:r>
    </w:p>
    <w:p w14:paraId="1A711F3D"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0C8170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（七）基金财产清算账册及文件的保存</w:t>
      </w:r>
    </w:p>
    <w:p w14:paraId="67CEC890" w14:textId="3117A6D9"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基金财产清算账册及有关文件由基金托管人保存20年以上。</w:t>
      </w:r>
    </w:p>
    <w:p w14:paraId="02F11E66" w14:textId="77777777" w:rsidR="00E45371" w:rsidRPr="00E45371" w:rsidRDefault="00E45371" w:rsidP="00E45371">
      <w:pPr>
        <w:spacing w:line="360" w:lineRule="auto"/>
        <w:ind w:firstLineChars="200" w:firstLine="420"/>
        <w:rPr>
          <w:rFonts w:ascii="宋体" w:hAnsi="宋体"/>
          <w:bCs/>
          <w:szCs w:val="21"/>
        </w:rPr>
      </w:pPr>
    </w:p>
    <w:p w14:paraId="7727D99C"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八、争议解决方式</w:t>
      </w:r>
    </w:p>
    <w:p w14:paraId="4ED43C78"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各方当事人同意，因《基金合同》而产生的或与《基金合同》有关的一切争议，如经友好协商未能解决的，任何一方均有权将争议提交上海国际经济贸易仲裁委员会根据该会届时有效的仲裁规则进行仲裁，仲裁地点为上海市。仲裁裁决是终局的，对当事人均有约束力。除非仲裁裁决另有规定，仲裁费由败诉方承担。</w:t>
      </w:r>
    </w:p>
    <w:p w14:paraId="3F20AFA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争议处理期间，基金合同当事人应恪守各自的职责，继续忠实、勤勉、尽责地履行基金合同规定的义务，维护基金份额持有人的合法权益。</w:t>
      </w:r>
    </w:p>
    <w:p w14:paraId="450FA14B" w14:textId="1CB6A400"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《基金合同》受中国法律管辖（为本基金合同之目的，在此不包括中国香港、中国澳门特别行政区和中国台湾地区法律）。</w:t>
      </w:r>
    </w:p>
    <w:p w14:paraId="03AB9B95" w14:textId="77777777" w:rsidR="00E45371" w:rsidRPr="00E45371" w:rsidRDefault="00E45371" w:rsidP="00E45371">
      <w:pPr>
        <w:spacing w:line="360" w:lineRule="auto"/>
        <w:ind w:firstLineChars="200" w:firstLine="420"/>
        <w:rPr>
          <w:rFonts w:ascii="宋体" w:hAnsi="宋体"/>
          <w:bCs/>
          <w:szCs w:val="21"/>
        </w:rPr>
      </w:pPr>
    </w:p>
    <w:p w14:paraId="697C54BB" w14:textId="77777777" w:rsidR="00E45371" w:rsidRPr="00E45371" w:rsidRDefault="00E45371" w:rsidP="00E45371">
      <w:pPr>
        <w:spacing w:line="360" w:lineRule="auto"/>
        <w:ind w:firstLineChars="200" w:firstLine="420"/>
        <w:rPr>
          <w:rFonts w:ascii="宋体" w:hAnsi="宋体"/>
          <w:bCs/>
          <w:szCs w:val="21"/>
        </w:rPr>
      </w:pPr>
      <w:r w:rsidRPr="00E45371">
        <w:rPr>
          <w:rFonts w:ascii="宋体" w:hAnsi="宋体" w:hint="eastAsia"/>
          <w:bCs/>
          <w:szCs w:val="21"/>
        </w:rPr>
        <w:t>九、基金合同存放地和投资人取得合同的方式</w:t>
      </w:r>
    </w:p>
    <w:p w14:paraId="53A22054" w14:textId="4F15B3DD" w:rsidR="00643CC6" w:rsidRPr="004F5BE4" w:rsidRDefault="00E45371" w:rsidP="006D3767">
      <w:pPr>
        <w:spacing w:line="360" w:lineRule="auto"/>
        <w:ind w:firstLineChars="200" w:firstLine="420"/>
        <w:rPr>
          <w:rFonts w:ascii="宋体" w:hAnsi="宋体"/>
          <w:bCs/>
          <w:szCs w:val="21"/>
        </w:rPr>
      </w:pPr>
      <w:r w:rsidRPr="00E45371">
        <w:rPr>
          <w:rFonts w:ascii="宋体" w:hAnsi="宋体" w:hint="eastAsia"/>
          <w:bCs/>
          <w:szCs w:val="21"/>
        </w:rPr>
        <w:t>《基金合同》可印制成册，供投资者在基金管理人、基金托管人、销售机构的办公场所和营业场所查阅。</w:t>
      </w:r>
      <w:bookmarkStart w:id="248" w:name="_Hlt88825574"/>
      <w:bookmarkStart w:id="249" w:name="_Hlt88897298"/>
      <w:bookmarkEnd w:id="248"/>
      <w:bookmarkEnd w:id="249"/>
    </w:p>
    <w:p w14:paraId="0DBF1C6C" w14:textId="77777777" w:rsidR="002E3EC6" w:rsidRPr="004F5BE4" w:rsidRDefault="002E3EC6" w:rsidP="00F05D2A">
      <w:pPr>
        <w:widowControl/>
        <w:snapToGrid w:val="0"/>
        <w:spacing w:line="360" w:lineRule="auto"/>
        <w:jc w:val="left"/>
        <w:rPr>
          <w:rFonts w:ascii="宋体"/>
          <w:szCs w:val="21"/>
        </w:rPr>
      </w:pPr>
    </w:p>
    <w:p w14:paraId="77B20FE8" w14:textId="376A26F5" w:rsidR="00E45371" w:rsidRDefault="00E45371">
      <w:pPr>
        <w:widowControl/>
        <w:jc w:val="left"/>
        <w:rPr>
          <w:rFonts w:ascii="宋体"/>
          <w:szCs w:val="21"/>
        </w:rPr>
      </w:pPr>
      <w:r>
        <w:rPr>
          <w:rFonts w:ascii="宋体"/>
          <w:szCs w:val="21"/>
        </w:rPr>
        <w:br w:type="page"/>
      </w:r>
    </w:p>
    <w:p w14:paraId="7E65649C" w14:textId="77777777" w:rsidR="002E3EC6" w:rsidRPr="004F5BE4" w:rsidRDefault="002E3EC6" w:rsidP="00F05D2A">
      <w:pPr>
        <w:snapToGrid w:val="0"/>
        <w:spacing w:line="360" w:lineRule="auto"/>
        <w:ind w:firstLineChars="200" w:firstLine="420"/>
        <w:rPr>
          <w:rFonts w:ascii="宋体"/>
          <w:szCs w:val="21"/>
        </w:rPr>
      </w:pPr>
    </w:p>
    <w:p w14:paraId="05192BB9" w14:textId="77777777" w:rsidR="002E3EC6" w:rsidRPr="004F5BE4" w:rsidRDefault="002E3EC6" w:rsidP="00F05D2A">
      <w:pPr>
        <w:pStyle w:val="21"/>
        <w:numPr>
          <w:ilvl w:val="0"/>
          <w:numId w:val="24"/>
        </w:numPr>
        <w:snapToGrid w:val="0"/>
        <w:spacing w:before="0" w:after="0" w:line="360" w:lineRule="auto"/>
        <w:jc w:val="left"/>
        <w:rPr>
          <w:b w:val="0"/>
        </w:rPr>
      </w:pPr>
      <w:bookmarkStart w:id="250" w:name="_Toc327902641"/>
      <w:bookmarkStart w:id="251" w:name="_Toc332013129"/>
      <w:bookmarkStart w:id="252" w:name="_Toc335899852"/>
      <w:bookmarkStart w:id="253" w:name="_Toc336606246"/>
      <w:bookmarkStart w:id="254" w:name="_Toc369510027"/>
      <w:bookmarkStart w:id="255" w:name="_Toc411503280"/>
      <w:bookmarkStart w:id="256" w:name="_Toc47384207"/>
      <w:r w:rsidRPr="004F5BE4">
        <w:rPr>
          <w:rFonts w:hint="eastAsia"/>
          <w:b w:val="0"/>
        </w:rPr>
        <w:t>基金托管协议的内容摘要</w:t>
      </w:r>
      <w:bookmarkEnd w:id="250"/>
      <w:bookmarkEnd w:id="251"/>
      <w:bookmarkEnd w:id="252"/>
      <w:bookmarkEnd w:id="253"/>
      <w:bookmarkEnd w:id="254"/>
      <w:bookmarkEnd w:id="255"/>
      <w:bookmarkEnd w:id="256"/>
    </w:p>
    <w:p w14:paraId="31AF162D" w14:textId="77777777" w:rsidR="002E3EC6" w:rsidRDefault="002E3EC6" w:rsidP="00F05D2A">
      <w:pPr>
        <w:snapToGrid w:val="0"/>
        <w:spacing w:line="360" w:lineRule="auto"/>
      </w:pPr>
    </w:p>
    <w:p w14:paraId="24F27824" w14:textId="49B45625"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一、基金托管协议当事人</w:t>
      </w:r>
    </w:p>
    <w:p w14:paraId="70DEABA0" w14:textId="77777777" w:rsidR="00974785" w:rsidRPr="00974785" w:rsidRDefault="00974785" w:rsidP="00974785">
      <w:pPr>
        <w:snapToGrid w:val="0"/>
        <w:spacing w:line="360" w:lineRule="auto"/>
        <w:ind w:firstLineChars="200" w:firstLine="420"/>
        <w:rPr>
          <w:rFonts w:ascii="宋体" w:hAnsi="宋体"/>
        </w:rPr>
      </w:pPr>
      <w:bookmarkStart w:id="257" w:name="_Toc382819069"/>
      <w:r w:rsidRPr="00974785">
        <w:rPr>
          <w:rFonts w:ascii="宋体" w:hAnsi="宋体" w:hint="eastAsia"/>
        </w:rPr>
        <w:t>（一）基金管理人</w:t>
      </w:r>
    </w:p>
    <w:p w14:paraId="296B1835"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名称：南方基金管理股份有限公司</w:t>
      </w:r>
    </w:p>
    <w:p w14:paraId="0C8C5F21"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注册地址：深圳市福田区莲花街道益田路5999号基金大厦32-42楼</w:t>
      </w:r>
    </w:p>
    <w:p w14:paraId="002A3F79"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办公地址：深圳市福田区莲花街道益田路5999号基金大厦32-42楼</w:t>
      </w:r>
    </w:p>
    <w:p w14:paraId="6FD1A732"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邮政编码：518048</w:t>
      </w:r>
    </w:p>
    <w:p w14:paraId="590829BE"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法定代表人：杨小松（代为履行法定代表人职责）</w:t>
      </w:r>
    </w:p>
    <w:p w14:paraId="29363A90"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成立日期：1998年3月6日</w:t>
      </w:r>
    </w:p>
    <w:p w14:paraId="2071664E"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批准设立机关及批准设立文号：中国证券监督管理委员会证监基字[1998]4号</w:t>
      </w:r>
    </w:p>
    <w:p w14:paraId="396E7675"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组织形式：股份有限公司</w:t>
      </w:r>
    </w:p>
    <w:p w14:paraId="5DC34237"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注册资本：人民币3.6172亿元</w:t>
      </w:r>
    </w:p>
    <w:p w14:paraId="26D01E69"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存续期间：持续经营</w:t>
      </w:r>
    </w:p>
    <w:p w14:paraId="192B613D"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经营范围：基金募集、基金销售、资产管理、中国证监会许可的其他业务</w:t>
      </w:r>
    </w:p>
    <w:p w14:paraId="303E1264"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（二）基金托管人</w:t>
      </w:r>
    </w:p>
    <w:p w14:paraId="585446C4"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名称：交通银行股份有限公司（简称：交通银行）</w:t>
      </w:r>
    </w:p>
    <w:p w14:paraId="342BAF23"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住所：中国（上海）自由贸易试验区银城中路188号</w:t>
      </w:r>
    </w:p>
    <w:p w14:paraId="0AEA94B4"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办公地址：中国（上海）自由贸易试验区银城中路188号</w:t>
      </w:r>
    </w:p>
    <w:p w14:paraId="64577FB3"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法定代表人：任德奇</w:t>
      </w:r>
    </w:p>
    <w:p w14:paraId="0BCAECB8"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成立时间：1987年3月30日</w:t>
      </w:r>
    </w:p>
    <w:p w14:paraId="02E7F789"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批准设立机关及批准设立文号：国务院国发(1986)字第81 号文和中国人民银行银发［1987］40号文</w:t>
      </w:r>
    </w:p>
    <w:p w14:paraId="180FE816"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基金托管业务批准文号：中国证监会证监基字［1998］25号</w:t>
      </w:r>
    </w:p>
    <w:p w14:paraId="35475901"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0D2E5102"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注册资本：742.63亿元人民币</w:t>
      </w:r>
    </w:p>
    <w:p w14:paraId="44E684CE" w14:textId="77777777" w:rsidR="00974785" w:rsidRPr="00974785" w:rsidRDefault="00974785" w:rsidP="00974785">
      <w:pPr>
        <w:snapToGrid w:val="0"/>
        <w:spacing w:line="360" w:lineRule="auto"/>
        <w:ind w:firstLineChars="200" w:firstLine="420"/>
        <w:rPr>
          <w:rFonts w:ascii="宋体" w:hAnsi="宋体"/>
        </w:rPr>
      </w:pPr>
      <w:r w:rsidRPr="00974785">
        <w:rPr>
          <w:rFonts w:ascii="宋体" w:hAnsi="宋体" w:hint="eastAsia"/>
        </w:rPr>
        <w:t>组织形式：股份有限公司</w:t>
      </w:r>
    </w:p>
    <w:p w14:paraId="7CB98420" w14:textId="30990056" w:rsidR="009103E5" w:rsidRPr="009103E5" w:rsidRDefault="00974785" w:rsidP="009103E5">
      <w:pPr>
        <w:adjustRightInd w:val="0"/>
        <w:snapToGrid w:val="0"/>
        <w:spacing w:line="360" w:lineRule="auto"/>
        <w:ind w:firstLineChars="200" w:firstLine="420"/>
        <w:rPr>
          <w:rFonts w:ascii="宋体" w:hAnsi="宋体"/>
        </w:rPr>
      </w:pPr>
      <w:r w:rsidRPr="00974785">
        <w:rPr>
          <w:rFonts w:ascii="宋体" w:hAnsi="宋体" w:hint="eastAsia"/>
        </w:rPr>
        <w:t>存续期间：持续经营</w:t>
      </w:r>
    </w:p>
    <w:p w14:paraId="740EBA81" w14:textId="32361ECD" w:rsidR="009103E5" w:rsidRPr="009103E5" w:rsidRDefault="009103E5" w:rsidP="009103E5">
      <w:pPr>
        <w:snapToGrid w:val="0"/>
        <w:spacing w:line="360" w:lineRule="auto"/>
        <w:ind w:firstLineChars="200" w:firstLine="420"/>
        <w:rPr>
          <w:bCs/>
          <w:szCs w:val="21"/>
        </w:rPr>
      </w:pPr>
    </w:p>
    <w:bookmarkEnd w:id="257"/>
    <w:p w14:paraId="7415E2DE" w14:textId="68D2C6FA" w:rsidR="009103E5" w:rsidRPr="009103E5" w:rsidRDefault="009103E5" w:rsidP="009103E5">
      <w:pPr>
        <w:adjustRightInd w:val="0"/>
        <w:snapToGrid w:val="0"/>
        <w:spacing w:line="360" w:lineRule="auto"/>
        <w:ind w:firstLineChars="200" w:firstLine="420"/>
        <w:rPr>
          <w:rFonts w:ascii="宋体" w:cs="Arial"/>
          <w:szCs w:val="21"/>
        </w:rPr>
      </w:pPr>
      <w:r w:rsidRPr="009103E5">
        <w:rPr>
          <w:rFonts w:ascii="宋体" w:hAnsi="宋体" w:hint="eastAsia"/>
          <w:bCs/>
          <w:szCs w:val="21"/>
        </w:rPr>
        <w:lastRenderedPageBreak/>
        <w:t>二、基金托管人对基金管理人的业务监督和核查</w:t>
      </w:r>
    </w:p>
    <w:p w14:paraId="6645744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（一）基金托管人对基金管理人的投资行为行使监督权</w:t>
      </w:r>
    </w:p>
    <w:p w14:paraId="118A9C2A"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1</w:t>
      </w:r>
      <w:r w:rsidRPr="00974785">
        <w:rPr>
          <w:rFonts w:hint="eastAsia"/>
          <w:szCs w:val="21"/>
        </w:rPr>
        <w:t>）基金托管人根据有关法律法规的规定及《基金合同》和本协议的约定，对基金的投资范围、投资对象进行监督。</w:t>
      </w:r>
    </w:p>
    <w:p w14:paraId="0D95BEF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本基金的投资范围包括国内依法发行上市的股票（包括主板、中小板、创业板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44CBDD0D"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基金的投资组合比例为：本基金股票（含存托凭证）投资占基金资产的比例范围为</w:t>
      </w:r>
      <w:r w:rsidRPr="00974785">
        <w:rPr>
          <w:rFonts w:hint="eastAsia"/>
          <w:szCs w:val="21"/>
        </w:rPr>
        <w:t>60%-95%</w:t>
      </w:r>
      <w:r w:rsidRPr="00974785">
        <w:rPr>
          <w:rFonts w:hint="eastAsia"/>
          <w:szCs w:val="21"/>
        </w:rPr>
        <w:t>（其中港股通股票投资比例不得超过股票资产的</w:t>
      </w:r>
      <w:r w:rsidRPr="00974785">
        <w:rPr>
          <w:rFonts w:hint="eastAsia"/>
          <w:szCs w:val="21"/>
        </w:rPr>
        <w:t>50%</w:t>
      </w:r>
      <w:r w:rsidRPr="00974785">
        <w:rPr>
          <w:rFonts w:hint="eastAsia"/>
          <w:szCs w:val="21"/>
        </w:rPr>
        <w:t>）。本基金每个交易日日终在扣除股指期货、国债期货、股票期权合约需缴纳的交易保证金后，应当保持不低于基金资产净值</w:t>
      </w:r>
      <w:r w:rsidRPr="00974785">
        <w:rPr>
          <w:rFonts w:hint="eastAsia"/>
          <w:szCs w:val="21"/>
        </w:rPr>
        <w:t>5%</w:t>
      </w:r>
      <w:r w:rsidRPr="00974785">
        <w:rPr>
          <w:rFonts w:hint="eastAsia"/>
          <w:szCs w:val="21"/>
        </w:rPr>
        <w:t>的现金或者到期日在一年以内的政府债券。其中现金不包括结算备付金、存出保证金、应收申购款等。</w:t>
      </w:r>
    </w:p>
    <w:p w14:paraId="5BEC14F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如法律法规或监管机构以后允许基金投资其他品种，基金管理人在履行适当程序后，可以将其纳入投资范围。</w:t>
      </w:r>
    </w:p>
    <w:p w14:paraId="0AED080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基金托管人对基金管理人业务进行监督和核查的义务自基金合同生效日起开始履行。</w:t>
      </w:r>
    </w:p>
    <w:p w14:paraId="42597BD0"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2</w:t>
      </w:r>
      <w:r w:rsidRPr="00974785">
        <w:rPr>
          <w:rFonts w:hint="eastAsia"/>
          <w:szCs w:val="21"/>
        </w:rPr>
        <w:t>）基金托管人根据有关法律法规的规定及《基金合同》和本协议的约定，对基金投资、融资比例进行监督。</w:t>
      </w:r>
    </w:p>
    <w:p w14:paraId="7DEFA5C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根据《基金合同》的约定，本基金投资组合比例应符合以下规定：</w:t>
      </w:r>
    </w:p>
    <w:p w14:paraId="6DB81E4E"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w:t>
      </w:r>
      <w:r w:rsidRPr="00974785">
        <w:rPr>
          <w:rFonts w:hint="eastAsia"/>
          <w:szCs w:val="21"/>
        </w:rPr>
        <w:t>）本基金股票（含存托凭证）投资占基金资产的比例为</w:t>
      </w:r>
      <w:r w:rsidRPr="00974785">
        <w:rPr>
          <w:rFonts w:hint="eastAsia"/>
          <w:szCs w:val="21"/>
        </w:rPr>
        <w:t>60%-95%</w:t>
      </w:r>
      <w:r w:rsidRPr="00974785">
        <w:rPr>
          <w:rFonts w:hint="eastAsia"/>
          <w:szCs w:val="21"/>
        </w:rPr>
        <w:t>（其中港股通股票投资比例不得超过股票资产的</w:t>
      </w:r>
      <w:r w:rsidRPr="00974785">
        <w:rPr>
          <w:rFonts w:hint="eastAsia"/>
          <w:szCs w:val="21"/>
        </w:rPr>
        <w:t>50%</w:t>
      </w:r>
      <w:r w:rsidRPr="00974785">
        <w:rPr>
          <w:rFonts w:hint="eastAsia"/>
          <w:szCs w:val="21"/>
        </w:rPr>
        <w:t>）；</w:t>
      </w:r>
    </w:p>
    <w:p w14:paraId="4B6F9424"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w:t>
      </w:r>
      <w:r w:rsidRPr="00974785">
        <w:rPr>
          <w:rFonts w:hint="eastAsia"/>
          <w:szCs w:val="21"/>
        </w:rPr>
        <w:t>）本基金每个交易日日终在扣除股指期货、国债期货、股票期权合约需缴纳的交易保证金后，应当保持不低于基金资产净值</w:t>
      </w:r>
      <w:r w:rsidRPr="00974785">
        <w:rPr>
          <w:rFonts w:hint="eastAsia"/>
          <w:szCs w:val="21"/>
        </w:rPr>
        <w:t>5%</w:t>
      </w:r>
      <w:r w:rsidRPr="00974785">
        <w:rPr>
          <w:rFonts w:hint="eastAsia"/>
          <w:szCs w:val="21"/>
        </w:rPr>
        <w:t>的现金或者到期日在一年以内的政府债券。其中现金不包括结算备付金、存出保证金、应收申购款等；</w:t>
      </w:r>
    </w:p>
    <w:p w14:paraId="12930205"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3</w:t>
      </w:r>
      <w:r w:rsidRPr="00974785">
        <w:rPr>
          <w:rFonts w:hint="eastAsia"/>
          <w:szCs w:val="21"/>
        </w:rPr>
        <w:t>）本基金持有一家公司发行的证券（</w:t>
      </w:r>
      <w:r w:rsidRPr="00974785">
        <w:rPr>
          <w:rFonts w:hint="eastAsia"/>
          <w:szCs w:val="21"/>
        </w:rPr>
        <w:t>A</w:t>
      </w:r>
      <w:r w:rsidRPr="00974785">
        <w:rPr>
          <w:rFonts w:hint="eastAsia"/>
          <w:szCs w:val="21"/>
        </w:rPr>
        <w:t>股和</w:t>
      </w:r>
      <w:r w:rsidRPr="00974785">
        <w:rPr>
          <w:rFonts w:hint="eastAsia"/>
          <w:szCs w:val="21"/>
        </w:rPr>
        <w:t>H</w:t>
      </w:r>
      <w:r w:rsidRPr="00974785">
        <w:rPr>
          <w:rFonts w:hint="eastAsia"/>
          <w:szCs w:val="21"/>
        </w:rPr>
        <w:t>股合并计算），其市值不超过基金资产净值的</w:t>
      </w:r>
      <w:r w:rsidRPr="00974785">
        <w:rPr>
          <w:rFonts w:hint="eastAsia"/>
          <w:szCs w:val="21"/>
        </w:rPr>
        <w:t>10</w:t>
      </w:r>
      <w:r w:rsidRPr="00974785">
        <w:rPr>
          <w:rFonts w:hint="eastAsia"/>
          <w:szCs w:val="21"/>
        </w:rPr>
        <w:t>％；</w:t>
      </w:r>
    </w:p>
    <w:p w14:paraId="2CC1449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4</w:t>
      </w:r>
      <w:r w:rsidRPr="00974785">
        <w:rPr>
          <w:rFonts w:hint="eastAsia"/>
          <w:szCs w:val="21"/>
        </w:rPr>
        <w:t>）本基金管理人管理的全部基金持有一家公司发行的证券（</w:t>
      </w:r>
      <w:r w:rsidRPr="00974785">
        <w:rPr>
          <w:rFonts w:hint="eastAsia"/>
          <w:szCs w:val="21"/>
        </w:rPr>
        <w:t>A</w:t>
      </w:r>
      <w:r w:rsidRPr="00974785">
        <w:rPr>
          <w:rFonts w:hint="eastAsia"/>
          <w:szCs w:val="21"/>
        </w:rPr>
        <w:t>股和</w:t>
      </w:r>
      <w:r w:rsidRPr="00974785">
        <w:rPr>
          <w:rFonts w:hint="eastAsia"/>
          <w:szCs w:val="21"/>
        </w:rPr>
        <w:t>H</w:t>
      </w:r>
      <w:r w:rsidRPr="00974785">
        <w:rPr>
          <w:rFonts w:hint="eastAsia"/>
          <w:szCs w:val="21"/>
        </w:rPr>
        <w:t>股合并计算），不超过该证券的</w:t>
      </w:r>
      <w:r w:rsidRPr="00974785">
        <w:rPr>
          <w:rFonts w:hint="eastAsia"/>
          <w:szCs w:val="21"/>
        </w:rPr>
        <w:t>10</w:t>
      </w:r>
      <w:r w:rsidRPr="00974785">
        <w:rPr>
          <w:rFonts w:hint="eastAsia"/>
          <w:szCs w:val="21"/>
        </w:rPr>
        <w:t>％，完全按照有关指数的构成比例进行证券投资的基金品种可以不受此条款规定的比例限制；</w:t>
      </w:r>
    </w:p>
    <w:p w14:paraId="0D715FB3"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lastRenderedPageBreak/>
        <w:t>5</w:t>
      </w:r>
      <w:r w:rsidRPr="00974785">
        <w:rPr>
          <w:rFonts w:hint="eastAsia"/>
          <w:szCs w:val="21"/>
        </w:rPr>
        <w:t>）本基金投资于同一原始权益人的各类资产支持证券的比例，不得超过基金资产净值的</w:t>
      </w:r>
      <w:r w:rsidRPr="00974785">
        <w:rPr>
          <w:rFonts w:hint="eastAsia"/>
          <w:szCs w:val="21"/>
        </w:rPr>
        <w:t>10</w:t>
      </w:r>
      <w:r w:rsidRPr="00974785">
        <w:rPr>
          <w:rFonts w:hint="eastAsia"/>
          <w:szCs w:val="21"/>
        </w:rPr>
        <w:t>％；</w:t>
      </w:r>
    </w:p>
    <w:p w14:paraId="51711FC2"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6</w:t>
      </w:r>
      <w:r w:rsidRPr="00974785">
        <w:rPr>
          <w:rFonts w:hint="eastAsia"/>
          <w:szCs w:val="21"/>
        </w:rPr>
        <w:t>）本基金持有的全部资产支持证券，其市值不得超过基金资产净值的</w:t>
      </w:r>
      <w:r w:rsidRPr="00974785">
        <w:rPr>
          <w:rFonts w:hint="eastAsia"/>
          <w:szCs w:val="21"/>
        </w:rPr>
        <w:t>20</w:t>
      </w:r>
      <w:r w:rsidRPr="00974785">
        <w:rPr>
          <w:rFonts w:hint="eastAsia"/>
          <w:szCs w:val="21"/>
        </w:rPr>
        <w:t>％；</w:t>
      </w:r>
    </w:p>
    <w:p w14:paraId="7BDC251F"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7</w:t>
      </w:r>
      <w:r w:rsidRPr="00974785">
        <w:rPr>
          <w:rFonts w:hint="eastAsia"/>
          <w:szCs w:val="21"/>
        </w:rPr>
        <w:t>）本基金持有的同一</w:t>
      </w:r>
      <w:r w:rsidRPr="00974785">
        <w:rPr>
          <w:rFonts w:hint="eastAsia"/>
          <w:szCs w:val="21"/>
        </w:rPr>
        <w:t>(</w:t>
      </w:r>
      <w:r w:rsidRPr="00974785">
        <w:rPr>
          <w:rFonts w:hint="eastAsia"/>
          <w:szCs w:val="21"/>
        </w:rPr>
        <w:t>指同一信用级别</w:t>
      </w:r>
      <w:r w:rsidRPr="00974785">
        <w:rPr>
          <w:rFonts w:hint="eastAsia"/>
          <w:szCs w:val="21"/>
        </w:rPr>
        <w:t>)</w:t>
      </w:r>
      <w:r w:rsidRPr="00974785">
        <w:rPr>
          <w:rFonts w:hint="eastAsia"/>
          <w:szCs w:val="21"/>
        </w:rPr>
        <w:t>资产支持证券的比例，不得超过该资产支持证券规模的</w:t>
      </w:r>
      <w:r w:rsidRPr="00974785">
        <w:rPr>
          <w:rFonts w:hint="eastAsia"/>
          <w:szCs w:val="21"/>
        </w:rPr>
        <w:t>10</w:t>
      </w:r>
      <w:r w:rsidRPr="00974785">
        <w:rPr>
          <w:rFonts w:hint="eastAsia"/>
          <w:szCs w:val="21"/>
        </w:rPr>
        <w:t>％；</w:t>
      </w:r>
    </w:p>
    <w:p w14:paraId="478919B0"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8</w:t>
      </w:r>
      <w:r w:rsidRPr="00974785">
        <w:rPr>
          <w:rFonts w:hint="eastAsia"/>
          <w:szCs w:val="21"/>
        </w:rPr>
        <w:t>）本基金管理人管理的全部基金投资于同一原始权益人的各类资产支持证券，不得超过其各类资产支持证券合计规模的</w:t>
      </w:r>
      <w:r w:rsidRPr="00974785">
        <w:rPr>
          <w:rFonts w:hint="eastAsia"/>
          <w:szCs w:val="21"/>
        </w:rPr>
        <w:t>10</w:t>
      </w:r>
      <w:r w:rsidRPr="00974785">
        <w:rPr>
          <w:rFonts w:hint="eastAsia"/>
          <w:szCs w:val="21"/>
        </w:rPr>
        <w:t>％；</w:t>
      </w:r>
    </w:p>
    <w:p w14:paraId="71AB3F7D"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9</w:t>
      </w:r>
      <w:r w:rsidRPr="00974785">
        <w:rPr>
          <w:rFonts w:hint="eastAsia"/>
          <w:szCs w:val="21"/>
        </w:rPr>
        <w:t>）本基金应投资于信用级别评级为</w:t>
      </w:r>
      <w:r w:rsidRPr="00974785">
        <w:rPr>
          <w:rFonts w:hint="eastAsia"/>
          <w:szCs w:val="21"/>
        </w:rPr>
        <w:t>BBB</w:t>
      </w:r>
      <w:r w:rsidRPr="00974785">
        <w:rPr>
          <w:rFonts w:hint="eastAsia"/>
          <w:szCs w:val="21"/>
        </w:rPr>
        <w:t>以上</w:t>
      </w:r>
      <w:r w:rsidRPr="00974785">
        <w:rPr>
          <w:rFonts w:hint="eastAsia"/>
          <w:szCs w:val="21"/>
        </w:rPr>
        <w:t>(</w:t>
      </w:r>
      <w:r w:rsidRPr="00974785">
        <w:rPr>
          <w:rFonts w:hint="eastAsia"/>
          <w:szCs w:val="21"/>
        </w:rPr>
        <w:t>含</w:t>
      </w:r>
      <w:r w:rsidRPr="00974785">
        <w:rPr>
          <w:rFonts w:hint="eastAsia"/>
          <w:szCs w:val="21"/>
        </w:rPr>
        <w:t>BBB)</w:t>
      </w:r>
      <w:r w:rsidRPr="00974785">
        <w:rPr>
          <w:rFonts w:hint="eastAsia"/>
          <w:szCs w:val="21"/>
        </w:rPr>
        <w:t>的资产支持证券。基金持有资产支持证券期间，如果其信用等级下降、不再符合投资标准，应在评级报告发布之日起</w:t>
      </w:r>
      <w:r w:rsidRPr="00974785">
        <w:rPr>
          <w:rFonts w:hint="eastAsia"/>
          <w:szCs w:val="21"/>
        </w:rPr>
        <w:t>3</w:t>
      </w:r>
      <w:r w:rsidRPr="00974785">
        <w:rPr>
          <w:rFonts w:hint="eastAsia"/>
          <w:szCs w:val="21"/>
        </w:rPr>
        <w:t>个月内予以全部卖出；</w:t>
      </w:r>
    </w:p>
    <w:p w14:paraId="51AF945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10</w:t>
      </w:r>
      <w:r w:rsidRPr="00974785">
        <w:rPr>
          <w:rFonts w:hint="eastAsia"/>
          <w:szCs w:val="21"/>
        </w:rPr>
        <w:t>）基金财产参与股票发行申购，本基金所申报的金额不超过本基金的总资产，本基金所申报的股票数量不超过拟发行股票公司本次发行股票的总量；</w:t>
      </w:r>
    </w:p>
    <w:p w14:paraId="57DAF093"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11</w:t>
      </w:r>
      <w:r w:rsidRPr="00974785">
        <w:rPr>
          <w:rFonts w:hint="eastAsia"/>
          <w:szCs w:val="21"/>
        </w:rPr>
        <w:t>）本基金进入全国银行间同业市场进行债券回购的最长期限为</w:t>
      </w:r>
      <w:r w:rsidRPr="00974785">
        <w:rPr>
          <w:rFonts w:hint="eastAsia"/>
          <w:szCs w:val="21"/>
        </w:rPr>
        <w:t>1</w:t>
      </w:r>
      <w:r w:rsidRPr="00974785">
        <w:rPr>
          <w:rFonts w:hint="eastAsia"/>
          <w:szCs w:val="21"/>
        </w:rPr>
        <w:t>年，债券回购到期后不得展期；</w:t>
      </w:r>
    </w:p>
    <w:p w14:paraId="054C13DE"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12</w:t>
      </w:r>
      <w:r w:rsidRPr="00974785">
        <w:rPr>
          <w:rFonts w:hint="eastAsia"/>
          <w:szCs w:val="21"/>
        </w:rPr>
        <w:t>）本基金管理人管理的全部开放式基金持有一家上市公司发行的可流通股票，不得超过该上市公司可流通股票的</w:t>
      </w:r>
      <w:r w:rsidRPr="00974785">
        <w:rPr>
          <w:rFonts w:hint="eastAsia"/>
          <w:szCs w:val="21"/>
        </w:rPr>
        <w:t>15%</w:t>
      </w:r>
      <w:r w:rsidRPr="00974785">
        <w:rPr>
          <w:rFonts w:hint="eastAsia"/>
          <w:szCs w:val="21"/>
        </w:rPr>
        <w:t>；本基金管理人管理的全部投资组合持有一家上市公司发行的可流通股票，不得超过该上市公司可流通股票的</w:t>
      </w:r>
      <w:r w:rsidRPr="00974785">
        <w:rPr>
          <w:rFonts w:hint="eastAsia"/>
          <w:szCs w:val="21"/>
        </w:rPr>
        <w:t>30%</w:t>
      </w:r>
      <w:r w:rsidRPr="00974785">
        <w:rPr>
          <w:rFonts w:hint="eastAsia"/>
          <w:szCs w:val="21"/>
        </w:rPr>
        <w:t>；完全按照有关指数的构成比例进行证券投资的开放式基金以及中国证监会认定的特殊投资组合可不受前述比例限制；</w:t>
      </w:r>
    </w:p>
    <w:p w14:paraId="52A2E4AB"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13</w:t>
      </w:r>
      <w:r w:rsidRPr="00974785">
        <w:rPr>
          <w:rFonts w:hint="eastAsia"/>
          <w:szCs w:val="21"/>
        </w:rPr>
        <w:t>）本基金主动投资于流动性受限资产的市值合计不得超过该基金资产净值的</w:t>
      </w:r>
      <w:r w:rsidRPr="00974785">
        <w:rPr>
          <w:rFonts w:hint="eastAsia"/>
          <w:szCs w:val="21"/>
        </w:rPr>
        <w:t>15%</w:t>
      </w:r>
      <w:r w:rsidRPr="00974785">
        <w:rPr>
          <w:rFonts w:hint="eastAsia"/>
          <w:szCs w:val="21"/>
        </w:rPr>
        <w:t>；因证券市场波动、上市公司股票停牌、基金规模变动等基金管理人之外的因素致使基金不符合该比例限制的，基金管理人不得主动新增流动性受限资产的投资；</w:t>
      </w:r>
      <w:r w:rsidRPr="00974785">
        <w:rPr>
          <w:rFonts w:hint="eastAsia"/>
          <w:szCs w:val="21"/>
        </w:rPr>
        <w:t xml:space="preserve"> </w:t>
      </w:r>
    </w:p>
    <w:p w14:paraId="4E2B56BA"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14</w:t>
      </w:r>
      <w:r w:rsidRPr="00974785">
        <w:rPr>
          <w:rFonts w:hint="eastAsia"/>
          <w:szCs w:val="21"/>
        </w:rPr>
        <w:t>）本基金与私募类证券资管产品及中国证监会认定的其他主体为交易对手开展逆回购交易的，可接受质押品的资质要求应当与基金合同约定的投资范围保持一致；</w:t>
      </w:r>
    </w:p>
    <w:p w14:paraId="6FAAF8E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15</w:t>
      </w:r>
      <w:r w:rsidRPr="00974785">
        <w:rPr>
          <w:rFonts w:hint="eastAsia"/>
          <w:szCs w:val="21"/>
        </w:rPr>
        <w:t>）在任何交易日日终，持有的买入国债期货和股指期货合约价值与有价证券市值之和，不得超过基金资产净值的</w:t>
      </w:r>
      <w:r w:rsidRPr="00974785">
        <w:rPr>
          <w:rFonts w:hint="eastAsia"/>
          <w:szCs w:val="21"/>
        </w:rPr>
        <w:t>95%</w:t>
      </w:r>
      <w:r w:rsidRPr="00974785">
        <w:rPr>
          <w:rFonts w:hint="eastAsia"/>
          <w:szCs w:val="21"/>
        </w:rPr>
        <w:t>，其中，有价证券指股票、债券（不含到期日在一年以内的政府债券）、资产支持证券、买入返售金融资产（不含质押式回购）等；</w:t>
      </w:r>
    </w:p>
    <w:p w14:paraId="0D1BC63C"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16</w:t>
      </w:r>
      <w:r w:rsidRPr="00974785">
        <w:rPr>
          <w:rFonts w:hint="eastAsia"/>
          <w:szCs w:val="21"/>
        </w:rPr>
        <w:t>）在任何交易日日终，持有的买入股指期货合约价值，不得超过基金资产净值的</w:t>
      </w:r>
      <w:r w:rsidRPr="00974785">
        <w:rPr>
          <w:rFonts w:hint="eastAsia"/>
          <w:szCs w:val="21"/>
        </w:rPr>
        <w:t>10%</w:t>
      </w:r>
      <w:r w:rsidRPr="00974785">
        <w:rPr>
          <w:rFonts w:hint="eastAsia"/>
          <w:szCs w:val="21"/>
        </w:rPr>
        <w:t>；在任何交易日日终，持有的卖出股指期货合约价值不得超过基金持有的股票总市值的</w:t>
      </w:r>
      <w:r w:rsidRPr="00974785">
        <w:rPr>
          <w:rFonts w:hint="eastAsia"/>
          <w:szCs w:val="21"/>
        </w:rPr>
        <w:t>20%</w:t>
      </w:r>
      <w:r w:rsidRPr="00974785">
        <w:rPr>
          <w:rFonts w:hint="eastAsia"/>
          <w:szCs w:val="21"/>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974785">
        <w:rPr>
          <w:rFonts w:hint="eastAsia"/>
          <w:szCs w:val="21"/>
        </w:rPr>
        <w:t>20%</w:t>
      </w:r>
      <w:r w:rsidRPr="00974785">
        <w:rPr>
          <w:rFonts w:hint="eastAsia"/>
          <w:szCs w:val="21"/>
        </w:rPr>
        <w:t>；</w:t>
      </w:r>
    </w:p>
    <w:p w14:paraId="7D90994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17</w:t>
      </w:r>
      <w:r w:rsidRPr="00974785">
        <w:rPr>
          <w:rFonts w:hint="eastAsia"/>
          <w:szCs w:val="21"/>
        </w:rPr>
        <w:t>）在任何交易日日终，持有的买入国债期货合约价值，不得超过基金资产净值的</w:t>
      </w:r>
      <w:r w:rsidRPr="00974785">
        <w:rPr>
          <w:rFonts w:hint="eastAsia"/>
          <w:szCs w:val="21"/>
        </w:rPr>
        <w:t>15%</w:t>
      </w:r>
      <w:r w:rsidRPr="00974785">
        <w:rPr>
          <w:rFonts w:hint="eastAsia"/>
          <w:szCs w:val="21"/>
        </w:rPr>
        <w:t>；在任何交易日日终，持有的卖出国债期货合约价值不得超过基金持有的债券总市值的</w:t>
      </w:r>
      <w:r w:rsidRPr="00974785">
        <w:rPr>
          <w:rFonts w:hint="eastAsia"/>
          <w:szCs w:val="21"/>
        </w:rPr>
        <w:t>30%</w:t>
      </w:r>
      <w:r w:rsidRPr="00974785">
        <w:rPr>
          <w:rFonts w:hint="eastAsia"/>
          <w:szCs w:val="21"/>
        </w:rPr>
        <w:t>；本基金所持有的债券（不含到期日在一年以内的政府债券）市值和买入、卖出国债期货合约</w:t>
      </w:r>
      <w:r w:rsidRPr="00974785">
        <w:rPr>
          <w:rFonts w:hint="eastAsia"/>
          <w:szCs w:val="21"/>
        </w:rPr>
        <w:lastRenderedPageBreak/>
        <w:t>价值，合计（轧差计算）应当符合基金合同关于债券投资比例的有关约定；在任何交易日内交易（不包括平仓）的国债期货合约的成交金额不得超过上一交易日基金资产净值的</w:t>
      </w:r>
      <w:r w:rsidRPr="00974785">
        <w:rPr>
          <w:rFonts w:hint="eastAsia"/>
          <w:szCs w:val="21"/>
        </w:rPr>
        <w:t>30%</w:t>
      </w:r>
      <w:r w:rsidRPr="00974785">
        <w:rPr>
          <w:rFonts w:hint="eastAsia"/>
          <w:szCs w:val="21"/>
        </w:rPr>
        <w:t>；</w:t>
      </w:r>
    </w:p>
    <w:p w14:paraId="2F551C73"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18</w:t>
      </w:r>
      <w:r w:rsidRPr="00974785">
        <w:rPr>
          <w:rFonts w:hint="eastAsia"/>
          <w:szCs w:val="21"/>
        </w:rPr>
        <w:t>）基金因未平仓的股票期权合约支付和收取的权利金总额不得超过基金资产净值的</w:t>
      </w:r>
      <w:r w:rsidRPr="00974785">
        <w:rPr>
          <w:rFonts w:hint="eastAsia"/>
          <w:szCs w:val="21"/>
        </w:rPr>
        <w:t>10%</w:t>
      </w:r>
      <w:r w:rsidRPr="00974785">
        <w:rPr>
          <w:rFonts w:hint="eastAsia"/>
          <w:szCs w:val="21"/>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974785">
        <w:rPr>
          <w:rFonts w:hint="eastAsia"/>
          <w:szCs w:val="21"/>
        </w:rPr>
        <w:t xml:space="preserve"> 20%</w:t>
      </w:r>
      <w:r w:rsidRPr="00974785">
        <w:rPr>
          <w:rFonts w:hint="eastAsia"/>
          <w:szCs w:val="21"/>
        </w:rPr>
        <w:t>。其中，合约面值按照行权价乘以合约乘数计算；</w:t>
      </w:r>
    </w:p>
    <w:p w14:paraId="6F3131BB"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19</w:t>
      </w:r>
      <w:r w:rsidRPr="00974785">
        <w:rPr>
          <w:rFonts w:hint="eastAsia"/>
          <w:szCs w:val="21"/>
        </w:rPr>
        <w:t>）本基金资产总值不超过基金资产净值的</w:t>
      </w:r>
      <w:r w:rsidRPr="00974785">
        <w:rPr>
          <w:rFonts w:hint="eastAsia"/>
          <w:szCs w:val="21"/>
        </w:rPr>
        <w:t>140%</w:t>
      </w:r>
      <w:r w:rsidRPr="00974785">
        <w:rPr>
          <w:rFonts w:hint="eastAsia"/>
          <w:szCs w:val="21"/>
        </w:rPr>
        <w:t>；</w:t>
      </w:r>
    </w:p>
    <w:p w14:paraId="4D4DB77D"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20</w:t>
      </w:r>
      <w:r w:rsidRPr="00974785">
        <w:rPr>
          <w:rFonts w:hint="eastAsia"/>
          <w:szCs w:val="21"/>
        </w:rPr>
        <w:t>）本基金投资存托凭证的比例限制依照内地上市交易的股票执行；</w:t>
      </w:r>
    </w:p>
    <w:p w14:paraId="39850742"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21</w:t>
      </w:r>
      <w:r w:rsidRPr="00974785">
        <w:rPr>
          <w:rFonts w:hint="eastAsia"/>
          <w:szCs w:val="21"/>
        </w:rPr>
        <w:t>）法律法规及中国证监会规定的和《基金合同》约定的其他投资限制。</w:t>
      </w:r>
    </w:p>
    <w:p w14:paraId="3F744871"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除上述第</w:t>
      </w:r>
      <w:r w:rsidRPr="00974785">
        <w:rPr>
          <w:rFonts w:hint="eastAsia"/>
          <w:szCs w:val="21"/>
        </w:rPr>
        <w:t>2</w:t>
      </w:r>
      <w:r w:rsidRPr="00974785">
        <w:rPr>
          <w:rFonts w:hint="eastAsia"/>
          <w:szCs w:val="21"/>
        </w:rPr>
        <w:t>）、</w:t>
      </w:r>
      <w:r w:rsidRPr="00974785">
        <w:rPr>
          <w:rFonts w:hint="eastAsia"/>
          <w:szCs w:val="21"/>
        </w:rPr>
        <w:t>9</w:t>
      </w:r>
      <w:r w:rsidRPr="00974785">
        <w:rPr>
          <w:rFonts w:hint="eastAsia"/>
          <w:szCs w:val="21"/>
        </w:rPr>
        <w:t>）、</w:t>
      </w:r>
      <w:r w:rsidRPr="00974785">
        <w:rPr>
          <w:rFonts w:hint="eastAsia"/>
          <w:szCs w:val="21"/>
        </w:rPr>
        <w:t>13</w:t>
      </w:r>
      <w:r w:rsidRPr="00974785">
        <w:rPr>
          <w:rFonts w:hint="eastAsia"/>
          <w:szCs w:val="21"/>
        </w:rPr>
        <w:t>）和</w:t>
      </w:r>
      <w:r w:rsidRPr="00974785">
        <w:rPr>
          <w:rFonts w:hint="eastAsia"/>
          <w:szCs w:val="21"/>
        </w:rPr>
        <w:t>14</w:t>
      </w:r>
      <w:r w:rsidRPr="00974785">
        <w:rPr>
          <w:rFonts w:hint="eastAsia"/>
          <w:szCs w:val="21"/>
        </w:rPr>
        <w:t>）项另有约定外，因证券</w:t>
      </w:r>
      <w:r w:rsidRPr="00974785">
        <w:rPr>
          <w:rFonts w:hint="eastAsia"/>
          <w:szCs w:val="21"/>
        </w:rPr>
        <w:t>/</w:t>
      </w:r>
      <w:r w:rsidRPr="00974785">
        <w:rPr>
          <w:rFonts w:hint="eastAsia"/>
          <w:szCs w:val="21"/>
        </w:rPr>
        <w:t>期货市场波动、证券发行人合并、基金规模变动等基金管理人之外的因素致使基金投资比例不符合上述规定投资比例的，基金管理人应当在</w:t>
      </w:r>
      <w:r w:rsidRPr="00974785">
        <w:rPr>
          <w:rFonts w:hint="eastAsia"/>
          <w:szCs w:val="21"/>
        </w:rPr>
        <w:t>10</w:t>
      </w:r>
      <w:r w:rsidRPr="00974785">
        <w:rPr>
          <w:rFonts w:hint="eastAsia"/>
          <w:szCs w:val="21"/>
        </w:rPr>
        <w:t>个交易日内进行调整，但中国证监会规定的特殊情形除外。</w:t>
      </w:r>
    </w:p>
    <w:p w14:paraId="6B0BEC3E"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基金管理人应当自基金合同生效之日起</w:t>
      </w:r>
      <w:r w:rsidRPr="00974785">
        <w:rPr>
          <w:rFonts w:hint="eastAsia"/>
          <w:szCs w:val="21"/>
        </w:rPr>
        <w:t>6</w:t>
      </w:r>
      <w:r w:rsidRPr="00974785">
        <w:rPr>
          <w:rFonts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372F485"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C1B5EAB"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3</w:t>
      </w:r>
      <w:r w:rsidRPr="00974785">
        <w:rPr>
          <w:rFonts w:hint="eastAsia"/>
          <w:szCs w:val="21"/>
        </w:rPr>
        <w:t>）基金托管人根据有关法律法规的规定及基金合同和本协议的约定，对基金投资禁止行为进行监督。基金财产不得用于下列投资或者活动。</w:t>
      </w:r>
    </w:p>
    <w:p w14:paraId="310BA37C"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w:t>
      </w:r>
      <w:r w:rsidRPr="00974785">
        <w:rPr>
          <w:rFonts w:hint="eastAsia"/>
          <w:szCs w:val="21"/>
        </w:rPr>
        <w:t>）承销证券；</w:t>
      </w:r>
    </w:p>
    <w:p w14:paraId="268B8BF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w:t>
      </w:r>
      <w:r w:rsidRPr="00974785">
        <w:rPr>
          <w:rFonts w:hint="eastAsia"/>
          <w:szCs w:val="21"/>
        </w:rPr>
        <w:t>）违反规定向他人贷款或者提供担保；</w:t>
      </w:r>
    </w:p>
    <w:p w14:paraId="528533E2"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3</w:t>
      </w:r>
      <w:r w:rsidRPr="00974785">
        <w:rPr>
          <w:rFonts w:hint="eastAsia"/>
          <w:szCs w:val="21"/>
        </w:rPr>
        <w:t>）从事承担无限责任的投资；</w:t>
      </w:r>
    </w:p>
    <w:p w14:paraId="5B2444EF"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4</w:t>
      </w:r>
      <w:r w:rsidRPr="00974785">
        <w:rPr>
          <w:rFonts w:hint="eastAsia"/>
          <w:szCs w:val="21"/>
        </w:rPr>
        <w:t>）买卖其他基金份额，但是中国证监会另有规定的除外；</w:t>
      </w:r>
    </w:p>
    <w:p w14:paraId="19756AE1"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5</w:t>
      </w:r>
      <w:r w:rsidRPr="00974785">
        <w:rPr>
          <w:rFonts w:hint="eastAsia"/>
          <w:szCs w:val="21"/>
        </w:rPr>
        <w:t>）向其基金管理人、基金托管人出资；</w:t>
      </w:r>
    </w:p>
    <w:p w14:paraId="4891FC5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6</w:t>
      </w:r>
      <w:r w:rsidRPr="00974785">
        <w:rPr>
          <w:rFonts w:hint="eastAsia"/>
          <w:szCs w:val="21"/>
        </w:rPr>
        <w:t>）从事内幕交易、操纵证券交易价格及其他不正当的证券交易活动；</w:t>
      </w:r>
    </w:p>
    <w:p w14:paraId="238ACE8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7</w:t>
      </w:r>
      <w:r w:rsidRPr="00974785">
        <w:rPr>
          <w:rFonts w:hint="eastAsia"/>
          <w:szCs w:val="21"/>
        </w:rPr>
        <w:t>）法律、行政法规和中国证监会规定禁止的其他活动。</w:t>
      </w:r>
    </w:p>
    <w:p w14:paraId="1F21F5F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w:t>
      </w:r>
      <w:r w:rsidRPr="00974785">
        <w:rPr>
          <w:rFonts w:hint="eastAsia"/>
          <w:szCs w:val="21"/>
        </w:rPr>
        <w:lastRenderedPageBreak/>
        <w:t>进行审查。</w:t>
      </w:r>
    </w:p>
    <w:p w14:paraId="74E61EA1"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如法律、行政法规或监管部门取消或调整上述禁止性规定，如适用于本基金，基金管理人在履行适当程序后，本基金投资不再受相关限制或按调整后的规定执行。</w:t>
      </w:r>
    </w:p>
    <w:p w14:paraId="3B320A23"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4</w:t>
      </w:r>
      <w:r w:rsidRPr="00974785">
        <w:rPr>
          <w:rFonts w:hint="eastAsia"/>
          <w:szCs w:val="21"/>
        </w:rPr>
        <w:t>）基金托管人根据有关法律法规的规定及基金合同和本协议的约定，对基金管理人参与银行间债券市场进行监督。</w:t>
      </w:r>
    </w:p>
    <w:p w14:paraId="09BBC01A"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w:t>
      </w:r>
      <w:r w:rsidRPr="00974785">
        <w:rPr>
          <w:rFonts w:hint="eastAsia"/>
          <w:szCs w:val="21"/>
        </w:rPr>
        <w:t>．基金托管人依据有关法律法规的规定和《基金合同》的约定对于基金管理人参与银行间市场交易时面临的交易对手资信风险进行监督。</w:t>
      </w:r>
    </w:p>
    <w:p w14:paraId="02C561B1"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基金管理人向基金托管人提供符合法律法规及行业标准的银行间市场交易对手的名单。基金托管人在收到名单后</w:t>
      </w:r>
      <w:r w:rsidRPr="00974785">
        <w:rPr>
          <w:rFonts w:hint="eastAsia"/>
          <w:szCs w:val="21"/>
        </w:rPr>
        <w:t>2</w:t>
      </w:r>
      <w:r w:rsidRPr="00974785">
        <w:rPr>
          <w:rFonts w:hint="eastAsia"/>
          <w:szCs w:val="21"/>
        </w:rPr>
        <w:t>个工作日内电话或回函确认收到该名单。基金管理人应定期和不定期对银行间市场现券及回购交易对手的名单进行更新。基金托管人在收到名单后</w:t>
      </w:r>
      <w:r w:rsidRPr="00974785">
        <w:rPr>
          <w:rFonts w:hint="eastAsia"/>
          <w:szCs w:val="21"/>
        </w:rPr>
        <w:t>2</w:t>
      </w:r>
      <w:r w:rsidRPr="00974785">
        <w:rPr>
          <w:rFonts w:hint="eastAsia"/>
          <w:szCs w:val="21"/>
        </w:rPr>
        <w:t>个工作日内电话或书面回函确认，新名单自基金托管人确认当日生效。新名单生效前已与本次剔除的交易对手所进行但尚未结算的交易，仍应按照协议进行结算。</w:t>
      </w:r>
    </w:p>
    <w:p w14:paraId="69417846"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w:t>
      </w:r>
      <w:r w:rsidRPr="00974785">
        <w:rPr>
          <w:rFonts w:hint="eastAsia"/>
          <w:szCs w:val="21"/>
        </w:rPr>
        <w:t>．基金管理人参与银行间市场交易时，有责任控制交易对手的资信风险，由于交易对手资信风险引起的损失</w:t>
      </w:r>
      <w:r w:rsidRPr="00974785">
        <w:rPr>
          <w:rFonts w:hint="eastAsia"/>
          <w:szCs w:val="21"/>
        </w:rPr>
        <w:t>,</w:t>
      </w:r>
      <w:r w:rsidRPr="00974785">
        <w:rPr>
          <w:rFonts w:hint="eastAsia"/>
          <w:szCs w:val="21"/>
        </w:rPr>
        <w:t>基金管理人应当负责向相关责任人追偿。</w:t>
      </w:r>
    </w:p>
    <w:p w14:paraId="0FAFFF62"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5</w:t>
      </w:r>
      <w:r w:rsidRPr="00974785">
        <w:rPr>
          <w:rFonts w:hint="eastAsia"/>
          <w:szCs w:val="21"/>
        </w:rPr>
        <w:t>）基金托管人根据有关法律法规的规定及基金合同和本协议的约定，对基金管理人银行存款业务进行监督。</w:t>
      </w:r>
    </w:p>
    <w:p w14:paraId="6DE516EF"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本基金投资银行存款应符合如下规定：</w:t>
      </w:r>
    </w:p>
    <w:p w14:paraId="08ADC1D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w:t>
      </w:r>
      <w:r w:rsidRPr="00974785">
        <w:rPr>
          <w:rFonts w:hint="eastAsia"/>
          <w:szCs w:val="21"/>
        </w:rPr>
        <w:t>．基金管理人、基金托管人应当与存款银行建立定期对账机制，确保基金银行存款业务账目及核算的真实、准确。</w:t>
      </w:r>
    </w:p>
    <w:p w14:paraId="0CF2280E"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w:t>
      </w:r>
      <w:r w:rsidRPr="00974785">
        <w:rPr>
          <w:rFonts w:hint="eastAsia"/>
          <w:szCs w:val="21"/>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40F7577C"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3</w:t>
      </w:r>
      <w:r w:rsidRPr="00974785">
        <w:rPr>
          <w:rFonts w:hint="eastAsia"/>
          <w:szCs w:val="21"/>
        </w:rPr>
        <w:t>．基金托管人应加强对基金银行存款业务的监督与核查，严格审查、复核相关协议、账户资料、投资指令、存款证实书等有关文件，切实履行托管职责。</w:t>
      </w:r>
    </w:p>
    <w:p w14:paraId="6BE404F0"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4</w:t>
      </w:r>
      <w:r w:rsidRPr="00974785">
        <w:rPr>
          <w:rFonts w:hint="eastAsia"/>
          <w:szCs w:val="21"/>
        </w:rPr>
        <w:t>．基金管理人与基金托管人在开展基金存款业务时，应严格遵守《基金法》、《运作办法》等有关法律法规，以及国家有关账户管理、利率管理、支付结算等的各项规定。</w:t>
      </w:r>
    </w:p>
    <w:p w14:paraId="259E63AD"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6</w:t>
      </w:r>
      <w:r w:rsidRPr="00974785">
        <w:rPr>
          <w:rFonts w:hint="eastAsia"/>
          <w:szCs w:val="21"/>
        </w:rPr>
        <w:t>）基金托管人对基金投资流通受限证券的监督</w:t>
      </w:r>
    </w:p>
    <w:p w14:paraId="48629A52"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1</w:t>
      </w:r>
      <w:r w:rsidRPr="00974785">
        <w:rPr>
          <w:rFonts w:hint="eastAsia"/>
          <w:szCs w:val="21"/>
        </w:rPr>
        <w:t>．基金投资流通受限证券</w:t>
      </w:r>
      <w:r w:rsidRPr="00974785">
        <w:rPr>
          <w:rFonts w:hint="eastAsia"/>
          <w:szCs w:val="21"/>
        </w:rPr>
        <w:t>,</w:t>
      </w:r>
      <w:r w:rsidRPr="00974785">
        <w:rPr>
          <w:rFonts w:hint="eastAsia"/>
          <w:szCs w:val="21"/>
        </w:rPr>
        <w:t>应遵守《关于基金投资非公开发行股票等流通受限证券有关问题的通知》等有关法律法规规定。</w:t>
      </w:r>
    </w:p>
    <w:p w14:paraId="09C717A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2</w:t>
      </w:r>
      <w:r w:rsidRPr="00974785">
        <w:rPr>
          <w:rFonts w:hint="eastAsia"/>
          <w:szCs w:val="21"/>
        </w:rPr>
        <w:t>．流通受限证券</w:t>
      </w:r>
      <w:r w:rsidRPr="00974785">
        <w:rPr>
          <w:rFonts w:hint="eastAsia"/>
          <w:szCs w:val="21"/>
        </w:rPr>
        <w:t>,</w:t>
      </w:r>
      <w:r w:rsidRPr="00974785">
        <w:rPr>
          <w:rFonts w:hint="eastAsia"/>
          <w:szCs w:val="21"/>
        </w:rPr>
        <w:t>包括由《上市公司证券发行管理办法》规范的非公开发行股票、公开发行股票网下配售部分等在发行时明确一定期限锁定期的可交易证券</w:t>
      </w:r>
      <w:r w:rsidRPr="00974785">
        <w:rPr>
          <w:rFonts w:hint="eastAsia"/>
          <w:szCs w:val="21"/>
        </w:rPr>
        <w:t>,</w:t>
      </w:r>
      <w:r w:rsidRPr="00974785">
        <w:rPr>
          <w:rFonts w:hint="eastAsia"/>
          <w:szCs w:val="21"/>
        </w:rPr>
        <w:t>不包括由于发布重大消息或其他原因而临时停牌的证券、已发行未上市证券、回购交易中的质押券等流通受限证券。</w:t>
      </w:r>
    </w:p>
    <w:p w14:paraId="35E32FAB"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lastRenderedPageBreak/>
        <w:t>3</w:t>
      </w:r>
      <w:r w:rsidRPr="00974785">
        <w:rPr>
          <w:rFonts w:hint="eastAsia"/>
          <w:szCs w:val="21"/>
        </w:rPr>
        <w:t>．基金管理人应在基金首次投资流通受限证券前</w:t>
      </w:r>
      <w:r w:rsidRPr="00974785">
        <w:rPr>
          <w:rFonts w:hint="eastAsia"/>
          <w:szCs w:val="21"/>
        </w:rPr>
        <w:t>,</w:t>
      </w:r>
      <w:r w:rsidRPr="00974785">
        <w:rPr>
          <w:rFonts w:hint="eastAsia"/>
          <w:szCs w:val="21"/>
        </w:rPr>
        <w:t>向基金托管人提供经基金管理人董事会批准的有关基金投资流通受限证券的投资决策流程、风险控制制度。基金投资非公开发行股票</w:t>
      </w:r>
      <w:r w:rsidRPr="00974785">
        <w:rPr>
          <w:rFonts w:hint="eastAsia"/>
          <w:szCs w:val="21"/>
        </w:rPr>
        <w:t>,</w:t>
      </w:r>
      <w:r w:rsidRPr="00974785">
        <w:rPr>
          <w:rFonts w:hint="eastAsia"/>
          <w:szCs w:val="21"/>
        </w:rPr>
        <w:t>基金管理人还应提供基金管理人董事会批准的流动性风险处置预案。上述资料应包括但不限于基金投资流通受限证券的投资额度和投资比例控制情况。</w:t>
      </w:r>
      <w:r w:rsidRPr="00974785">
        <w:rPr>
          <w:rFonts w:hint="eastAsia"/>
          <w:szCs w:val="21"/>
        </w:rPr>
        <w:t xml:space="preserve"> </w:t>
      </w:r>
      <w:r w:rsidRPr="00974785">
        <w:rPr>
          <w:rFonts w:hint="eastAsia"/>
          <w:szCs w:val="21"/>
        </w:rPr>
        <w:t>基金管理人应至少于首次执行投资指令之前两个工作日将上述资料书面发至基金托管人</w:t>
      </w:r>
      <w:r w:rsidRPr="00974785">
        <w:rPr>
          <w:rFonts w:hint="eastAsia"/>
          <w:szCs w:val="21"/>
        </w:rPr>
        <w:t>,</w:t>
      </w:r>
      <w:r w:rsidRPr="00974785">
        <w:rPr>
          <w:rFonts w:hint="eastAsia"/>
          <w:szCs w:val="21"/>
        </w:rPr>
        <w:t>保证基金托管人有足够的时间进行审核。基金托管人应在收到上述资料后两个工作日内</w:t>
      </w:r>
      <w:r w:rsidRPr="00974785">
        <w:rPr>
          <w:rFonts w:hint="eastAsia"/>
          <w:szCs w:val="21"/>
        </w:rPr>
        <w:t>,</w:t>
      </w:r>
      <w:r w:rsidRPr="00974785">
        <w:rPr>
          <w:rFonts w:hint="eastAsia"/>
          <w:szCs w:val="21"/>
        </w:rPr>
        <w:t>以书面或其他双方认可的方式确认收到上述资料。</w:t>
      </w:r>
    </w:p>
    <w:p w14:paraId="67A89054"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4</w:t>
      </w:r>
      <w:r w:rsidRPr="00974785">
        <w:rPr>
          <w:rFonts w:hint="eastAsia"/>
          <w:szCs w:val="21"/>
        </w:rPr>
        <w:t>．基金投资流通受限证券前</w:t>
      </w:r>
      <w:r w:rsidRPr="00974785">
        <w:rPr>
          <w:rFonts w:hint="eastAsia"/>
          <w:szCs w:val="21"/>
        </w:rPr>
        <w:t>,</w:t>
      </w:r>
      <w:r w:rsidRPr="00974785">
        <w:rPr>
          <w:rFonts w:hint="eastAsia"/>
          <w:szCs w:val="21"/>
        </w:rPr>
        <w:t>基金管理人应向基金托管人提供符合法律法规要求的有关书面信息</w:t>
      </w:r>
      <w:r w:rsidRPr="00974785">
        <w:rPr>
          <w:rFonts w:hint="eastAsia"/>
          <w:szCs w:val="21"/>
        </w:rPr>
        <w:t>,</w:t>
      </w:r>
      <w:r w:rsidRPr="00974785">
        <w:rPr>
          <w:rFonts w:hint="eastAsia"/>
          <w:szCs w:val="21"/>
        </w:rPr>
        <w:t>包括但不限于拟发行证券主体的中国证监会批准文件、发行证券数量、发行价格、锁定期</w:t>
      </w:r>
      <w:r w:rsidRPr="00974785">
        <w:rPr>
          <w:rFonts w:hint="eastAsia"/>
          <w:szCs w:val="21"/>
        </w:rPr>
        <w:t>,</w:t>
      </w:r>
      <w:r w:rsidRPr="00974785">
        <w:rPr>
          <w:rFonts w:hint="eastAsia"/>
          <w:szCs w:val="21"/>
        </w:rPr>
        <w:t>基金拟认购的数量、价格、总成本、总成本占基金资产净值的比例、已持有流通受限证券市值占资产净值的比例、资金划付时间等。基金管理人应保证上述信息的真实、完整</w:t>
      </w:r>
      <w:r w:rsidRPr="00974785">
        <w:rPr>
          <w:rFonts w:hint="eastAsia"/>
          <w:szCs w:val="21"/>
        </w:rPr>
        <w:t>,</w:t>
      </w:r>
      <w:r w:rsidRPr="00974785">
        <w:rPr>
          <w:rFonts w:hint="eastAsia"/>
          <w:szCs w:val="21"/>
        </w:rPr>
        <w:t>并应至少于拟执行投资指令前两个工作日将上述信息书面发至基金托管人</w:t>
      </w:r>
      <w:r w:rsidRPr="00974785">
        <w:rPr>
          <w:rFonts w:hint="eastAsia"/>
          <w:szCs w:val="21"/>
        </w:rPr>
        <w:t>,</w:t>
      </w:r>
      <w:r w:rsidRPr="00974785">
        <w:rPr>
          <w:rFonts w:hint="eastAsia"/>
          <w:szCs w:val="21"/>
        </w:rPr>
        <w:t>保证基金托管人有足够的时间进行审核。</w:t>
      </w:r>
    </w:p>
    <w:p w14:paraId="48B5E538"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5</w:t>
      </w:r>
      <w:r w:rsidRPr="00974785">
        <w:rPr>
          <w:rFonts w:hint="eastAsia"/>
          <w:szCs w:val="21"/>
        </w:rPr>
        <w:t>．基金托管人应对基金管理人提供的有关书面信息进行审核，基金托管人认为上述资料可能导致基金投资出现风险的</w:t>
      </w:r>
      <w:r w:rsidRPr="00974785">
        <w:rPr>
          <w:rFonts w:hint="eastAsia"/>
          <w:szCs w:val="21"/>
        </w:rPr>
        <w:t>,</w:t>
      </w:r>
      <w:r w:rsidRPr="00974785">
        <w:rPr>
          <w:rFonts w:hint="eastAsia"/>
          <w:szCs w:val="21"/>
        </w:rPr>
        <w:t>有权要求基金管理人在投资流通受限证券前就该风险的消除或防范措施进行补充书面说明</w:t>
      </w:r>
      <w:r w:rsidRPr="00974785">
        <w:rPr>
          <w:rFonts w:hint="eastAsia"/>
          <w:szCs w:val="21"/>
        </w:rPr>
        <w:t>,</w:t>
      </w:r>
      <w:r w:rsidRPr="00974785">
        <w:rPr>
          <w:rFonts w:hint="eastAsia"/>
          <w:szCs w:val="21"/>
        </w:rPr>
        <w:t>并保留查看基金管理人风险管理部门就基金投资流通受限证券出具的风险评估报告等备查资料的权利。否则</w:t>
      </w:r>
      <w:r w:rsidRPr="00974785">
        <w:rPr>
          <w:rFonts w:hint="eastAsia"/>
          <w:szCs w:val="21"/>
        </w:rPr>
        <w:t>,</w:t>
      </w:r>
      <w:r w:rsidRPr="00974785">
        <w:rPr>
          <w:rFonts w:hint="eastAsia"/>
          <w:szCs w:val="21"/>
        </w:rPr>
        <w:t>基金托管人有权拒绝执行有关指令。因拒绝执行该指令造成基金财产损失的</w:t>
      </w:r>
      <w:r w:rsidRPr="00974785">
        <w:rPr>
          <w:rFonts w:hint="eastAsia"/>
          <w:szCs w:val="21"/>
        </w:rPr>
        <w:t>,</w:t>
      </w:r>
      <w:r w:rsidRPr="00974785">
        <w:rPr>
          <w:rFonts w:hint="eastAsia"/>
          <w:szCs w:val="21"/>
        </w:rPr>
        <w:t>基金托管人不承担任何责任</w:t>
      </w:r>
      <w:r w:rsidRPr="00974785">
        <w:rPr>
          <w:rFonts w:hint="eastAsia"/>
          <w:szCs w:val="21"/>
        </w:rPr>
        <w:t>,</w:t>
      </w:r>
      <w:r w:rsidRPr="00974785">
        <w:rPr>
          <w:rFonts w:hint="eastAsia"/>
          <w:szCs w:val="21"/>
        </w:rPr>
        <w:t>并有权报告中国证监会。</w:t>
      </w:r>
      <w:r w:rsidRPr="00974785">
        <w:rPr>
          <w:rFonts w:hint="eastAsia"/>
          <w:szCs w:val="21"/>
        </w:rPr>
        <w:t xml:space="preserve"> </w:t>
      </w:r>
    </w:p>
    <w:p w14:paraId="0527751B"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如基金管理人和基金托管人无法达成一致</w:t>
      </w:r>
      <w:r w:rsidRPr="00974785">
        <w:rPr>
          <w:rFonts w:hint="eastAsia"/>
          <w:szCs w:val="21"/>
        </w:rPr>
        <w:t>,</w:t>
      </w:r>
      <w:r w:rsidRPr="00974785">
        <w:rPr>
          <w:rFonts w:hint="eastAsia"/>
          <w:szCs w:val="21"/>
        </w:rPr>
        <w:t>应及时上报中国证监会请求解决。如果基金托管人切实履行监督职责</w:t>
      </w:r>
      <w:r w:rsidRPr="00974785">
        <w:rPr>
          <w:rFonts w:hint="eastAsia"/>
          <w:szCs w:val="21"/>
        </w:rPr>
        <w:t>,</w:t>
      </w:r>
      <w:r w:rsidRPr="00974785">
        <w:rPr>
          <w:rFonts w:hint="eastAsia"/>
          <w:szCs w:val="21"/>
        </w:rPr>
        <w:t>则不承担任何责任。</w:t>
      </w:r>
    </w:p>
    <w:p w14:paraId="55C44587"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w:t>
      </w:r>
      <w:r w:rsidRPr="00974785">
        <w:rPr>
          <w:rFonts w:hint="eastAsia"/>
          <w:szCs w:val="21"/>
        </w:rPr>
        <w:t>7</w:t>
      </w:r>
      <w:r w:rsidRPr="00974785">
        <w:rPr>
          <w:rFonts w:hint="eastAsia"/>
          <w:szCs w:val="21"/>
        </w:rPr>
        <w:t>）基金托管人根据法律法规的规定及《基金合同》和本协议的约定，对基金投资其他方面进行监督。</w:t>
      </w:r>
    </w:p>
    <w:p w14:paraId="65AC3923" w14:textId="77777777" w:rsidR="00974785" w:rsidRPr="00974785" w:rsidRDefault="00974785" w:rsidP="00974785">
      <w:pPr>
        <w:adjustRightInd w:val="0"/>
        <w:snapToGrid w:val="0"/>
        <w:spacing w:line="360" w:lineRule="auto"/>
        <w:ind w:firstLineChars="200" w:firstLine="420"/>
        <w:rPr>
          <w:szCs w:val="21"/>
        </w:rPr>
      </w:pPr>
    </w:p>
    <w:p w14:paraId="1B18DF8A"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24447339" w14:textId="77777777" w:rsidR="00974785" w:rsidRPr="00974785" w:rsidRDefault="00974785" w:rsidP="00974785">
      <w:pPr>
        <w:adjustRightInd w:val="0"/>
        <w:snapToGrid w:val="0"/>
        <w:spacing w:line="360" w:lineRule="auto"/>
        <w:ind w:firstLineChars="200" w:firstLine="420"/>
        <w:rPr>
          <w:szCs w:val="21"/>
        </w:rPr>
      </w:pPr>
    </w:p>
    <w:p w14:paraId="71050D1F"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14:paraId="69D56009"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基金托管人发现基金管理人的投资指令或实际投资运作违反《基金法》及其他有关法规、《基金合同》和本协议规定的行为，应及时以书面形式通知基金管理人限期纠正，基金管理</w:t>
      </w:r>
      <w:r w:rsidRPr="00974785">
        <w:rPr>
          <w:rFonts w:hint="eastAsia"/>
          <w:szCs w:val="21"/>
        </w:rPr>
        <w:lastRenderedPageBreak/>
        <w:t>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39D22A30"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基金托管人发现基金管理人有重大违规行为，应立即报告中国证监会，同时通知基金管理人在限期内纠正。</w:t>
      </w:r>
    </w:p>
    <w:p w14:paraId="4EA94303"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基金托管人发现基金管理人的指令违反法律、行政法规和其他有关规定，或者违反《基金合同》约定的，应当拒绝执行，立即通知基金管理人，并有权向中国证监会报告。</w:t>
      </w:r>
    </w:p>
    <w:p w14:paraId="4E7CA02F"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基金托管人发现基金管理人依据交易程序已经生效的指令违反法律、行政法规和其他有关规定，或者违反《基金合同》约定的，应当立即通知基金管理人，并有权向中国证监会报告。</w:t>
      </w:r>
    </w:p>
    <w:p w14:paraId="1E19F99A" w14:textId="77777777" w:rsidR="00974785" w:rsidRPr="00974785" w:rsidRDefault="00974785" w:rsidP="00974785">
      <w:pPr>
        <w:adjustRightInd w:val="0"/>
        <w:snapToGrid w:val="0"/>
        <w:spacing w:line="360" w:lineRule="auto"/>
        <w:ind w:firstLineChars="200" w:firstLine="420"/>
        <w:rPr>
          <w:szCs w:val="21"/>
        </w:rPr>
      </w:pPr>
    </w:p>
    <w:p w14:paraId="65894A35"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（四）侧袋机制的实施和投资运作安排</w:t>
      </w:r>
    </w:p>
    <w:p w14:paraId="5EF0B51C"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360D58D" w14:textId="77777777" w:rsidR="00974785" w:rsidRPr="00974785" w:rsidRDefault="00974785" w:rsidP="00974785">
      <w:pPr>
        <w:adjustRightInd w:val="0"/>
        <w:snapToGrid w:val="0"/>
        <w:spacing w:line="360" w:lineRule="auto"/>
        <w:ind w:firstLineChars="200" w:firstLine="420"/>
        <w:rPr>
          <w:szCs w:val="21"/>
        </w:rPr>
      </w:pPr>
      <w:r w:rsidRPr="00974785">
        <w:rPr>
          <w:rFonts w:hint="eastAsia"/>
          <w:szCs w:val="21"/>
        </w:rPr>
        <w:t>侧袋机制实施期间，本部分约定的投资组合比例、投资策略、组合限制、业绩比较基准、风险收益特征等约定仅适用于主袋账户。</w:t>
      </w:r>
    </w:p>
    <w:p w14:paraId="0BAEDFDA" w14:textId="235C5D6A" w:rsidR="00D95ECA" w:rsidRPr="000D153E" w:rsidRDefault="00974785" w:rsidP="00D95ECA">
      <w:pPr>
        <w:snapToGrid w:val="0"/>
        <w:spacing w:line="360" w:lineRule="auto"/>
        <w:ind w:firstLineChars="200" w:firstLine="420"/>
        <w:rPr>
          <w:kern w:val="0"/>
          <w:szCs w:val="21"/>
        </w:rPr>
      </w:pPr>
      <w:r w:rsidRPr="00974785">
        <w:rPr>
          <w:rFonts w:hint="eastAsia"/>
          <w:szCs w:val="21"/>
        </w:rPr>
        <w:t>侧袋账户的实施条件、实施程序、运作安排、投资安排、特定资产的处置变现和支付等对投资者权益有重大影响的事项详见招募说明书的规定。</w:t>
      </w:r>
    </w:p>
    <w:p w14:paraId="135700E7" w14:textId="4958A1D4" w:rsidR="000D153E" w:rsidRPr="000D153E" w:rsidRDefault="000D153E" w:rsidP="009103E5">
      <w:pPr>
        <w:snapToGrid w:val="0"/>
        <w:spacing w:line="360" w:lineRule="auto"/>
        <w:rPr>
          <w:rFonts w:ascii="宋体" w:cs="Arial"/>
          <w:szCs w:val="21"/>
        </w:rPr>
      </w:pPr>
    </w:p>
    <w:p w14:paraId="0BCA4E1A" w14:textId="3C61C837"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三、基金管理人对基金托管人的业务核查</w:t>
      </w:r>
    </w:p>
    <w:p w14:paraId="7873DCEE" w14:textId="77777777" w:rsidR="00974785" w:rsidRPr="00974785" w:rsidRDefault="00974785" w:rsidP="00974785">
      <w:pPr>
        <w:snapToGrid w:val="0"/>
        <w:spacing w:line="360" w:lineRule="auto"/>
        <w:ind w:firstLineChars="200" w:firstLine="420"/>
        <w:rPr>
          <w:rFonts w:ascii="宋体" w:hAnsi="宋体"/>
          <w:bCs/>
          <w:szCs w:val="21"/>
        </w:rPr>
      </w:pPr>
      <w:r w:rsidRPr="00974785">
        <w:rPr>
          <w:rFonts w:ascii="宋体" w:hAnsi="宋体" w:hint="eastAsia"/>
          <w:bCs/>
          <w:szCs w:val="21"/>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14:paraId="0FEF9D2F" w14:textId="77777777" w:rsidR="00974785" w:rsidRPr="00974785" w:rsidRDefault="00974785" w:rsidP="00974785">
      <w:pPr>
        <w:snapToGrid w:val="0"/>
        <w:spacing w:line="360" w:lineRule="auto"/>
        <w:ind w:firstLineChars="200" w:firstLine="420"/>
        <w:rPr>
          <w:rFonts w:ascii="宋体" w:hAnsi="宋体"/>
          <w:bCs/>
          <w:szCs w:val="21"/>
        </w:rPr>
      </w:pPr>
      <w:r w:rsidRPr="00974785">
        <w:rPr>
          <w:rFonts w:ascii="宋体" w:hAnsi="宋体" w:hint="eastAsia"/>
          <w:bCs/>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766DDE53" w14:textId="77777777" w:rsidR="00974785" w:rsidRPr="00974785" w:rsidRDefault="00974785" w:rsidP="00974785">
      <w:pPr>
        <w:snapToGrid w:val="0"/>
        <w:spacing w:line="360" w:lineRule="auto"/>
        <w:ind w:firstLineChars="200" w:firstLine="420"/>
        <w:rPr>
          <w:rFonts w:ascii="宋体" w:hAnsi="宋体"/>
          <w:bCs/>
          <w:szCs w:val="21"/>
        </w:rPr>
      </w:pPr>
      <w:r w:rsidRPr="00974785">
        <w:rPr>
          <w:rFonts w:ascii="宋体" w:hAnsi="宋体" w:hint="eastAsia"/>
          <w:bCs/>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w:t>
      </w:r>
      <w:r w:rsidRPr="00974785">
        <w:rPr>
          <w:rFonts w:ascii="宋体" w:hAnsi="宋体" w:hint="eastAsia"/>
          <w:bCs/>
          <w:szCs w:val="21"/>
        </w:rPr>
        <w:lastRenderedPageBreak/>
        <w:t>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5ABE40CA" w14:textId="3DBCA8D4" w:rsidR="00E6455C" w:rsidRDefault="00974785" w:rsidP="00E6455C">
      <w:pPr>
        <w:snapToGrid w:val="0"/>
        <w:spacing w:line="360" w:lineRule="auto"/>
        <w:ind w:firstLineChars="200" w:firstLine="420"/>
        <w:rPr>
          <w:rFonts w:ascii="宋体" w:hAnsi="宋体"/>
          <w:bCs/>
          <w:szCs w:val="21"/>
        </w:rPr>
      </w:pPr>
      <w:r w:rsidRPr="00974785">
        <w:rPr>
          <w:rFonts w:ascii="宋体" w:hAnsi="宋体" w:hint="eastAsia"/>
          <w:bCs/>
          <w:szCs w:val="21"/>
        </w:rPr>
        <w:t>基金管理人发现基金托管人有重大违规行为，应立即报告中国证监会，同时通知基金托管人在限期内纠正。</w:t>
      </w:r>
    </w:p>
    <w:p w14:paraId="4FC86584" w14:textId="6B54AB4F" w:rsidR="00E6455C" w:rsidRPr="009103E5" w:rsidRDefault="00E6455C" w:rsidP="00E6455C">
      <w:pPr>
        <w:snapToGrid w:val="0"/>
        <w:spacing w:line="360" w:lineRule="auto"/>
        <w:ind w:firstLineChars="200" w:firstLine="420"/>
        <w:rPr>
          <w:rFonts w:ascii="宋体" w:hAnsi="宋体"/>
          <w:bCs/>
          <w:szCs w:val="21"/>
        </w:rPr>
      </w:pPr>
    </w:p>
    <w:p w14:paraId="55EB5484" w14:textId="7FD4EF1C"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四、基金财产保管</w:t>
      </w:r>
    </w:p>
    <w:p w14:paraId="28063273" w14:textId="77777777" w:rsidR="00974785" w:rsidRDefault="00974785" w:rsidP="00974785">
      <w:pPr>
        <w:snapToGrid w:val="0"/>
        <w:spacing w:line="360" w:lineRule="auto"/>
        <w:ind w:firstLineChars="200" w:firstLine="420"/>
      </w:pPr>
      <w:r>
        <w:rPr>
          <w:rFonts w:hint="eastAsia"/>
        </w:rPr>
        <w:t>（一）基金财产保管的原则</w:t>
      </w:r>
    </w:p>
    <w:p w14:paraId="10CA404B" w14:textId="77777777" w:rsidR="00974785" w:rsidRDefault="00974785" w:rsidP="00974785">
      <w:pPr>
        <w:snapToGrid w:val="0"/>
        <w:spacing w:line="360" w:lineRule="auto"/>
        <w:ind w:firstLineChars="200" w:firstLine="420"/>
      </w:pPr>
      <w:r>
        <w:rPr>
          <w:rFonts w:hint="eastAsia"/>
        </w:rPr>
        <w:t>（</w:t>
      </w:r>
      <w:r>
        <w:rPr>
          <w:rFonts w:hint="eastAsia"/>
        </w:rPr>
        <w:t>1</w:t>
      </w:r>
      <w:r>
        <w:rPr>
          <w:rFonts w:hint="eastAsia"/>
        </w:rPr>
        <w:t>）基金托管人应安全保管基金财产，未经基金管理人的指令，不得自行运用、处分、分配基金的任何资产。</w:t>
      </w:r>
    </w:p>
    <w:p w14:paraId="3A1140E8" w14:textId="77777777" w:rsidR="00974785" w:rsidRDefault="00974785" w:rsidP="00974785">
      <w:pPr>
        <w:snapToGrid w:val="0"/>
        <w:spacing w:line="360" w:lineRule="auto"/>
        <w:ind w:firstLineChars="200" w:firstLine="420"/>
      </w:pPr>
      <w:r>
        <w:rPr>
          <w:rFonts w:hint="eastAsia"/>
        </w:rPr>
        <w:t>（</w:t>
      </w:r>
      <w:r>
        <w:rPr>
          <w:rFonts w:hint="eastAsia"/>
        </w:rPr>
        <w:t>2</w:t>
      </w:r>
      <w:r>
        <w:rPr>
          <w:rFonts w:hint="eastAsia"/>
        </w:rPr>
        <w:t>）基金财产应独立于基金管理人、基金托管人的固有财产。</w:t>
      </w:r>
    </w:p>
    <w:p w14:paraId="42F3DEF2" w14:textId="77777777" w:rsidR="00974785" w:rsidRDefault="00974785" w:rsidP="00974785">
      <w:pPr>
        <w:snapToGrid w:val="0"/>
        <w:spacing w:line="360" w:lineRule="auto"/>
        <w:ind w:firstLineChars="200" w:firstLine="420"/>
      </w:pPr>
      <w:r>
        <w:rPr>
          <w:rFonts w:hint="eastAsia"/>
        </w:rPr>
        <w:t>（</w:t>
      </w:r>
      <w:r>
        <w:rPr>
          <w:rFonts w:hint="eastAsia"/>
        </w:rPr>
        <w:t>3</w:t>
      </w:r>
      <w:r>
        <w:rPr>
          <w:rFonts w:hint="eastAsia"/>
        </w:rPr>
        <w:t>）基金托管人按照规定开立基金财产的资金账户、证券账户和债券托管账户等投资所需账户，基金管理人和基金托管人按照规定开立期货资金账户。</w:t>
      </w:r>
    </w:p>
    <w:p w14:paraId="20BCBB83" w14:textId="77777777" w:rsidR="00974785" w:rsidRDefault="00974785" w:rsidP="00974785">
      <w:pPr>
        <w:snapToGrid w:val="0"/>
        <w:spacing w:line="360" w:lineRule="auto"/>
        <w:ind w:firstLineChars="200" w:firstLine="420"/>
      </w:pPr>
      <w:r>
        <w:rPr>
          <w:rFonts w:hint="eastAsia"/>
        </w:rPr>
        <w:t>（</w:t>
      </w:r>
      <w:r>
        <w:rPr>
          <w:rFonts w:hint="eastAsia"/>
        </w:rPr>
        <w:t>4</w:t>
      </w:r>
      <w:r>
        <w:rPr>
          <w:rFonts w:hint="eastAsia"/>
        </w:rPr>
        <w:t>）基金托管人对所托管的不同基金财产分别设置账户，确保基金财产的完整和独立。</w:t>
      </w:r>
    </w:p>
    <w:p w14:paraId="03726304" w14:textId="77777777" w:rsidR="00974785" w:rsidRDefault="00974785" w:rsidP="00974785">
      <w:pPr>
        <w:snapToGrid w:val="0"/>
        <w:spacing w:line="360" w:lineRule="auto"/>
        <w:ind w:firstLineChars="200" w:firstLine="420"/>
      </w:pPr>
      <w:r>
        <w:rPr>
          <w:rFonts w:hint="eastAsia"/>
        </w:rPr>
        <w:t>（</w:t>
      </w:r>
      <w:r>
        <w:rPr>
          <w:rFonts w:hint="eastAsia"/>
        </w:rPr>
        <w:t>5</w:t>
      </w:r>
      <w:r>
        <w:rPr>
          <w:rFonts w:hint="eastAsia"/>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564D3C6F" w14:textId="77777777" w:rsidR="00974785" w:rsidRDefault="00974785" w:rsidP="00974785">
      <w:pPr>
        <w:snapToGrid w:val="0"/>
        <w:spacing w:line="360" w:lineRule="auto"/>
        <w:ind w:firstLineChars="200" w:firstLine="420"/>
      </w:pPr>
    </w:p>
    <w:p w14:paraId="6C146010" w14:textId="77777777" w:rsidR="00974785" w:rsidRDefault="00974785" w:rsidP="00974785">
      <w:pPr>
        <w:snapToGrid w:val="0"/>
        <w:spacing w:line="360" w:lineRule="auto"/>
        <w:ind w:firstLineChars="200" w:firstLine="420"/>
      </w:pPr>
      <w:r>
        <w:rPr>
          <w:rFonts w:hint="eastAsia"/>
        </w:rPr>
        <w:t>（二）基金募集资产的验证</w:t>
      </w:r>
    </w:p>
    <w:p w14:paraId="64B63BAC" w14:textId="77777777" w:rsidR="00974785" w:rsidRDefault="00974785" w:rsidP="00974785">
      <w:pPr>
        <w:snapToGrid w:val="0"/>
        <w:spacing w:line="360" w:lineRule="auto"/>
        <w:ind w:firstLineChars="200" w:firstLine="420"/>
      </w:pPr>
      <w:r>
        <w:rPr>
          <w:rFonts w:hint="eastAsia"/>
        </w:rPr>
        <w:t>基金募集期满或基金提前结束募集之日起</w:t>
      </w:r>
      <w:r>
        <w:rPr>
          <w:rFonts w:hint="eastAsia"/>
        </w:rPr>
        <w:t>10</w:t>
      </w:r>
      <w:r>
        <w:rPr>
          <w:rFonts w:hint="eastAsia"/>
        </w:rPr>
        <w:t>日内，由基金管理人聘请符合《证券法》规定的会计师事务所进行验资，出具验资报告，出具的验资报告应由参加验资的</w:t>
      </w:r>
      <w:r>
        <w:rPr>
          <w:rFonts w:hint="eastAsia"/>
        </w:rPr>
        <w:t>2</w:t>
      </w:r>
      <w:r>
        <w:rPr>
          <w:rFonts w:hint="eastAsia"/>
        </w:rPr>
        <w:t>名以上（含</w:t>
      </w:r>
      <w:r>
        <w:rPr>
          <w:rFonts w:hint="eastAsia"/>
        </w:rPr>
        <w:t>2</w:t>
      </w:r>
      <w:r>
        <w:rPr>
          <w:rFonts w:hint="eastAsia"/>
        </w:rPr>
        <w:t>名）中国注册会计师签字有效。验资完成，基金管理人应将募集到的全部资金存入基金托管人为基金开立的基金银行存款账户中，基金托管人在收到资金当日出具相关证明文件。</w:t>
      </w:r>
    </w:p>
    <w:p w14:paraId="3E1C2B0C" w14:textId="77777777" w:rsidR="00974785" w:rsidRDefault="00974785" w:rsidP="00974785">
      <w:pPr>
        <w:snapToGrid w:val="0"/>
        <w:spacing w:line="360" w:lineRule="auto"/>
        <w:ind w:firstLineChars="200" w:firstLine="420"/>
      </w:pPr>
    </w:p>
    <w:p w14:paraId="59AC44F9" w14:textId="77777777" w:rsidR="00974785" w:rsidRDefault="00974785" w:rsidP="00974785">
      <w:pPr>
        <w:snapToGrid w:val="0"/>
        <w:spacing w:line="360" w:lineRule="auto"/>
        <w:ind w:firstLineChars="200" w:firstLine="420"/>
      </w:pPr>
      <w:r>
        <w:rPr>
          <w:rFonts w:hint="eastAsia"/>
        </w:rPr>
        <w:t>（三）基金的银行存款账户的开立和管理</w:t>
      </w:r>
    </w:p>
    <w:p w14:paraId="40DEE796" w14:textId="77777777" w:rsidR="00974785" w:rsidRDefault="00974785" w:rsidP="00974785">
      <w:pPr>
        <w:snapToGrid w:val="0"/>
        <w:spacing w:line="360" w:lineRule="auto"/>
        <w:ind w:firstLineChars="200" w:firstLine="420"/>
      </w:pPr>
      <w:r>
        <w:rPr>
          <w:rFonts w:hint="eastAsia"/>
        </w:rPr>
        <w:t>（</w:t>
      </w:r>
      <w:r>
        <w:rPr>
          <w:rFonts w:hint="eastAsia"/>
        </w:rPr>
        <w:t>1</w:t>
      </w:r>
      <w:r>
        <w:rPr>
          <w:rFonts w:hint="eastAsia"/>
        </w:rPr>
        <w:t>）基金托管人应负责本基金银行存款账户的开立和管理。</w:t>
      </w:r>
    </w:p>
    <w:p w14:paraId="42674B3F" w14:textId="77777777" w:rsidR="00974785" w:rsidRDefault="00974785" w:rsidP="00974785">
      <w:pPr>
        <w:snapToGrid w:val="0"/>
        <w:spacing w:line="360" w:lineRule="auto"/>
        <w:ind w:firstLineChars="200" w:firstLine="420"/>
      </w:pPr>
      <w:r>
        <w:rPr>
          <w:rFonts w:hint="eastAsia"/>
        </w:rPr>
        <w:t>（</w:t>
      </w:r>
      <w:r>
        <w:rPr>
          <w:rFonts w:hint="eastAsia"/>
        </w:rPr>
        <w:t>2</w:t>
      </w:r>
      <w:r>
        <w:rPr>
          <w:rFonts w:hint="eastAsia"/>
        </w:rPr>
        <w:t>）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14:paraId="0FBE7CFE" w14:textId="77777777" w:rsidR="00974785" w:rsidRDefault="00974785" w:rsidP="00974785">
      <w:pPr>
        <w:snapToGrid w:val="0"/>
        <w:spacing w:line="360" w:lineRule="auto"/>
        <w:ind w:firstLineChars="200" w:firstLine="420"/>
      </w:pPr>
      <w:r>
        <w:rPr>
          <w:rFonts w:hint="eastAsia"/>
        </w:rPr>
        <w:t>（</w:t>
      </w:r>
      <w:r>
        <w:rPr>
          <w:rFonts w:hint="eastAsia"/>
        </w:rPr>
        <w:t>3</w:t>
      </w:r>
      <w:r>
        <w:rPr>
          <w:rFonts w:hint="eastAsia"/>
        </w:rPr>
        <w:t>）本基金银行存款账户的开立和使用，限于满足开展本基金业务的需要。基金托管人和基金管理人不得假借本基金的名义开立其他任何银行存款账户；亦不得使用基金的任何</w:t>
      </w:r>
      <w:r>
        <w:rPr>
          <w:rFonts w:hint="eastAsia"/>
        </w:rPr>
        <w:lastRenderedPageBreak/>
        <w:t>银行存款账户进行本基金业务以外的活动。</w:t>
      </w:r>
    </w:p>
    <w:p w14:paraId="19CDCC3B" w14:textId="77777777" w:rsidR="00974785" w:rsidRDefault="00974785" w:rsidP="00974785">
      <w:pPr>
        <w:snapToGrid w:val="0"/>
        <w:spacing w:line="360" w:lineRule="auto"/>
        <w:ind w:firstLineChars="200" w:firstLine="420"/>
      </w:pPr>
      <w:r>
        <w:rPr>
          <w:rFonts w:hint="eastAsia"/>
        </w:rPr>
        <w:t>（</w:t>
      </w:r>
      <w:r>
        <w:rPr>
          <w:rFonts w:hint="eastAsia"/>
        </w:rPr>
        <w:t>4</w:t>
      </w:r>
      <w:r>
        <w:rPr>
          <w:rFonts w:hint="eastAsia"/>
        </w:rPr>
        <w:t>）基金托管人可以通过申请开通本基金银行账户的企业网上银行业务进行资金支付，并使用交通银行企业网上银行（简称“交通银行网银”）办理托管资产的资金结算汇划业务。</w:t>
      </w:r>
    </w:p>
    <w:p w14:paraId="0720B081" w14:textId="77777777" w:rsidR="00974785" w:rsidRDefault="00974785" w:rsidP="00974785">
      <w:pPr>
        <w:snapToGrid w:val="0"/>
        <w:spacing w:line="360" w:lineRule="auto"/>
        <w:ind w:firstLineChars="200" w:firstLine="420"/>
      </w:pPr>
      <w:r>
        <w:rPr>
          <w:rFonts w:hint="eastAsia"/>
        </w:rPr>
        <w:t>（</w:t>
      </w:r>
      <w:r>
        <w:rPr>
          <w:rFonts w:hint="eastAsia"/>
        </w:rPr>
        <w:t>5</w:t>
      </w:r>
      <w:r>
        <w:rPr>
          <w:rFonts w:hint="eastAsia"/>
        </w:rPr>
        <w:t>）基金银行存款账户的管理应符合《中华人民共和国票据法》、《人民币银行账户结算管理办法》、《现金管理暂行条例实施细则》、《人民币利率管理规定》、《支付结算办法》以及银行业监督管理机构的其他规定。</w:t>
      </w:r>
    </w:p>
    <w:p w14:paraId="0C1FF9C4" w14:textId="77777777" w:rsidR="00974785" w:rsidRDefault="00974785" w:rsidP="00974785">
      <w:pPr>
        <w:snapToGrid w:val="0"/>
        <w:spacing w:line="360" w:lineRule="auto"/>
        <w:ind w:firstLineChars="200" w:firstLine="420"/>
      </w:pPr>
    </w:p>
    <w:p w14:paraId="41BD90D2" w14:textId="77777777" w:rsidR="00974785" w:rsidRDefault="00974785" w:rsidP="00974785">
      <w:pPr>
        <w:snapToGrid w:val="0"/>
        <w:spacing w:line="360" w:lineRule="auto"/>
        <w:ind w:firstLineChars="200" w:firstLine="420"/>
      </w:pPr>
      <w:r>
        <w:rPr>
          <w:rFonts w:hint="eastAsia"/>
        </w:rPr>
        <w:t>（四）基金证券交收账户、资金交收账户的开立和管理</w:t>
      </w:r>
    </w:p>
    <w:p w14:paraId="2069A01B" w14:textId="77777777" w:rsidR="00974785" w:rsidRDefault="00974785" w:rsidP="00974785">
      <w:pPr>
        <w:snapToGrid w:val="0"/>
        <w:spacing w:line="360" w:lineRule="auto"/>
        <w:ind w:firstLineChars="200" w:firstLine="420"/>
      </w:pPr>
      <w:r>
        <w:rPr>
          <w:rFonts w:hint="eastAsia"/>
        </w:rPr>
        <w:t>基金托管人以基金托管人和本基金联名的方式在中国证券登记结算有限责任公司开立证券账户。</w:t>
      </w:r>
    </w:p>
    <w:p w14:paraId="0F300128" w14:textId="77777777" w:rsidR="00974785" w:rsidRDefault="00974785" w:rsidP="00974785">
      <w:pPr>
        <w:snapToGrid w:val="0"/>
        <w:spacing w:line="360" w:lineRule="auto"/>
        <w:ind w:firstLineChars="200"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3FA90ABD" w14:textId="77777777" w:rsidR="00974785" w:rsidRDefault="00974785" w:rsidP="00974785">
      <w:pPr>
        <w:snapToGrid w:val="0"/>
        <w:spacing w:line="360" w:lineRule="auto"/>
        <w:ind w:firstLineChars="200" w:firstLine="420"/>
      </w:pPr>
      <w:r>
        <w:rPr>
          <w:rFonts w:hint="eastAsia"/>
        </w:rPr>
        <w:t>基金管理人不得对基金证券交收账户、资金交收账户进行证券的超卖或超买。</w:t>
      </w:r>
    </w:p>
    <w:p w14:paraId="530DB8C5" w14:textId="77777777" w:rsidR="00974785" w:rsidRDefault="00974785" w:rsidP="00974785">
      <w:pPr>
        <w:snapToGrid w:val="0"/>
        <w:spacing w:line="360" w:lineRule="auto"/>
        <w:ind w:firstLineChars="200" w:firstLine="420"/>
      </w:pPr>
      <w:r>
        <w:rPr>
          <w:rFonts w:hint="eastAsia"/>
        </w:rPr>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p>
    <w:p w14:paraId="50763BAD" w14:textId="77777777" w:rsidR="00974785" w:rsidRDefault="00974785" w:rsidP="00974785">
      <w:pPr>
        <w:snapToGrid w:val="0"/>
        <w:spacing w:line="360" w:lineRule="auto"/>
        <w:ind w:firstLineChars="200" w:firstLine="420"/>
      </w:pPr>
    </w:p>
    <w:p w14:paraId="62DC3B14" w14:textId="77777777" w:rsidR="00974785" w:rsidRDefault="00974785" w:rsidP="00974785">
      <w:pPr>
        <w:snapToGrid w:val="0"/>
        <w:spacing w:line="360" w:lineRule="auto"/>
        <w:ind w:firstLineChars="200" w:firstLine="420"/>
      </w:pPr>
      <w:r>
        <w:rPr>
          <w:rFonts w:hint="eastAsia"/>
        </w:rPr>
        <w:t>（五）债券托管账户的开立和管理</w:t>
      </w:r>
    </w:p>
    <w:p w14:paraId="35D3694C" w14:textId="77777777" w:rsidR="00974785" w:rsidRDefault="00974785" w:rsidP="00974785">
      <w:pPr>
        <w:snapToGrid w:val="0"/>
        <w:spacing w:line="360" w:lineRule="auto"/>
        <w:ind w:firstLineChars="200" w:firstLine="420"/>
      </w:pPr>
      <w:r>
        <w:rPr>
          <w:rFonts w:hint="eastAsia"/>
        </w:rPr>
        <w:t>（</w:t>
      </w:r>
      <w:r>
        <w:rPr>
          <w:rFonts w:hint="eastAsia"/>
        </w:rPr>
        <w:t>1</w:t>
      </w:r>
      <w:r>
        <w:rPr>
          <w:rFonts w:hint="eastAsia"/>
        </w:rPr>
        <w:t>）基金合同生效后，基金管理人负责向中国人民银行进行报备，基金托管人在备案通过后在中央国债登记结算有限责任公司、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0A7B6C31" w14:textId="77777777" w:rsidR="00974785" w:rsidRDefault="00974785" w:rsidP="00974785">
      <w:pPr>
        <w:snapToGrid w:val="0"/>
        <w:spacing w:line="360" w:lineRule="auto"/>
        <w:ind w:firstLineChars="200" w:firstLine="420"/>
      </w:pPr>
      <w:r>
        <w:rPr>
          <w:rFonts w:hint="eastAsia"/>
        </w:rPr>
        <w:t>（</w:t>
      </w:r>
      <w:r>
        <w:rPr>
          <w:rFonts w:hint="eastAsia"/>
        </w:rPr>
        <w:t>2</w:t>
      </w:r>
      <w:r>
        <w:rPr>
          <w:rFonts w:hint="eastAsia"/>
        </w:rPr>
        <w:t>）基金管理人代表基金签订全国银行间债券市场债券回购主协议，协议正本由基金管理人保存。</w:t>
      </w:r>
    </w:p>
    <w:p w14:paraId="3BF256A3" w14:textId="77777777" w:rsidR="00974785" w:rsidRDefault="00974785" w:rsidP="00974785">
      <w:pPr>
        <w:snapToGrid w:val="0"/>
        <w:spacing w:line="360" w:lineRule="auto"/>
        <w:ind w:firstLineChars="200" w:firstLine="420"/>
      </w:pPr>
    </w:p>
    <w:p w14:paraId="5AF285F4" w14:textId="77777777" w:rsidR="00974785" w:rsidRDefault="00974785" w:rsidP="00974785">
      <w:pPr>
        <w:snapToGrid w:val="0"/>
        <w:spacing w:line="360" w:lineRule="auto"/>
        <w:ind w:firstLineChars="200" w:firstLine="420"/>
      </w:pPr>
      <w:r>
        <w:rPr>
          <w:rFonts w:hint="eastAsia"/>
        </w:rPr>
        <w:t>（六）期货的相关账户的开立和管理</w:t>
      </w:r>
    </w:p>
    <w:p w14:paraId="2509BA35" w14:textId="77777777" w:rsidR="00974785" w:rsidRDefault="00974785" w:rsidP="00974785">
      <w:pPr>
        <w:snapToGrid w:val="0"/>
        <w:spacing w:line="360" w:lineRule="auto"/>
        <w:ind w:firstLineChars="200" w:firstLine="420"/>
      </w:pPr>
      <w:r>
        <w:rPr>
          <w:rFonts w:hint="eastAsia"/>
        </w:rPr>
        <w:t>基金管理人、基金托管人应当按照相关规定开立期货资金账户，在中国金融期货交易所获取交易编码。期货资金账户名称及交易编码对应名称应按照有关规定设立。</w:t>
      </w:r>
    </w:p>
    <w:p w14:paraId="0139518F" w14:textId="77777777" w:rsidR="00974785" w:rsidRDefault="00974785" w:rsidP="00974785">
      <w:pPr>
        <w:snapToGrid w:val="0"/>
        <w:spacing w:line="360" w:lineRule="auto"/>
        <w:ind w:firstLineChars="200" w:firstLine="420"/>
      </w:pPr>
      <w:r>
        <w:rPr>
          <w:rFonts w:hint="eastAsia"/>
        </w:rPr>
        <w:t>基金托管人已取得期货保证金存管银行资格，基金管理人授权基金托管人办理相关银期转账业务。</w:t>
      </w:r>
    </w:p>
    <w:p w14:paraId="0EFA874F" w14:textId="77777777" w:rsidR="00974785" w:rsidRDefault="00974785" w:rsidP="00974785">
      <w:pPr>
        <w:snapToGrid w:val="0"/>
        <w:spacing w:line="360" w:lineRule="auto"/>
        <w:ind w:firstLineChars="200" w:firstLine="420"/>
      </w:pPr>
    </w:p>
    <w:p w14:paraId="3C25A98F" w14:textId="77777777" w:rsidR="00974785" w:rsidRDefault="00974785" w:rsidP="00974785">
      <w:pPr>
        <w:snapToGrid w:val="0"/>
        <w:spacing w:line="360" w:lineRule="auto"/>
        <w:ind w:firstLineChars="200" w:firstLine="420"/>
      </w:pPr>
      <w:r>
        <w:rPr>
          <w:rFonts w:hint="eastAsia"/>
        </w:rPr>
        <w:t>（七）基金投资银行存款账户的开立和管理</w:t>
      </w:r>
    </w:p>
    <w:p w14:paraId="0BE69959" w14:textId="77777777" w:rsidR="00974785" w:rsidRDefault="00974785" w:rsidP="00974785">
      <w:pPr>
        <w:snapToGrid w:val="0"/>
        <w:spacing w:line="360" w:lineRule="auto"/>
        <w:ind w:firstLineChars="200" w:firstLine="420"/>
      </w:pPr>
      <w:r>
        <w:rPr>
          <w:rFonts w:hint="eastAsia"/>
        </w:rPr>
        <w:lastRenderedPageBreak/>
        <w:t>存款账户必须以基金名义开立，账户名称为基金名称，存款账户开户文件上加盖预留印鉴（须包括托管人印章）及基金管理人公章。</w:t>
      </w:r>
    </w:p>
    <w:p w14:paraId="2895A494" w14:textId="77777777" w:rsidR="00974785" w:rsidRDefault="00974785" w:rsidP="00974785">
      <w:pPr>
        <w:snapToGrid w:val="0"/>
        <w:spacing w:line="360" w:lineRule="auto"/>
        <w:ind w:firstLineChars="200" w:firstLine="420"/>
      </w:pPr>
      <w:r>
        <w:rPr>
          <w:rFonts w:hint="eastAsia"/>
        </w:rPr>
        <w:t>本基金投资银行存款时，基金管理人应当与存款银行签订具体存款协议或存款确认单据，明确存款的类型、期限、利率、金额、账号、对账方式、支取方式等细则。</w:t>
      </w:r>
    </w:p>
    <w:p w14:paraId="0FD792EB" w14:textId="77777777" w:rsidR="00974785" w:rsidRDefault="00974785" w:rsidP="00974785">
      <w:pPr>
        <w:snapToGrid w:val="0"/>
        <w:spacing w:line="360" w:lineRule="auto"/>
        <w:ind w:firstLineChars="200" w:firstLine="420"/>
      </w:pPr>
      <w:r>
        <w:rPr>
          <w:rFonts w:hint="eastAsia"/>
        </w:rPr>
        <w:t>为防范特殊情况下的流动性风险，定期存款协议中应当约定提前支取条款。</w:t>
      </w:r>
    </w:p>
    <w:p w14:paraId="5C2BE9FB" w14:textId="77777777" w:rsidR="00974785" w:rsidRDefault="00974785" w:rsidP="00974785">
      <w:pPr>
        <w:snapToGrid w:val="0"/>
        <w:spacing w:line="360" w:lineRule="auto"/>
        <w:ind w:firstLineChars="200" w:firstLine="420"/>
      </w:pPr>
    </w:p>
    <w:p w14:paraId="1BBC2D42" w14:textId="77777777" w:rsidR="00974785" w:rsidRDefault="00974785" w:rsidP="00974785">
      <w:pPr>
        <w:snapToGrid w:val="0"/>
        <w:spacing w:line="360" w:lineRule="auto"/>
        <w:ind w:firstLineChars="200" w:firstLine="420"/>
      </w:pPr>
      <w:r>
        <w:rPr>
          <w:rFonts w:hint="eastAsia"/>
        </w:rPr>
        <w:t>（八）其他账户的开立和管理</w:t>
      </w:r>
    </w:p>
    <w:p w14:paraId="1D21061C" w14:textId="77777777" w:rsidR="00974785" w:rsidRDefault="00974785" w:rsidP="00974785">
      <w:pPr>
        <w:snapToGrid w:val="0"/>
        <w:spacing w:line="360" w:lineRule="auto"/>
        <w:ind w:firstLineChars="200" w:firstLine="420"/>
      </w:pPr>
      <w:r>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16F41E71" w14:textId="77777777" w:rsidR="00974785" w:rsidRDefault="00974785" w:rsidP="00974785">
      <w:pPr>
        <w:snapToGrid w:val="0"/>
        <w:spacing w:line="360" w:lineRule="auto"/>
        <w:ind w:firstLineChars="200" w:firstLine="420"/>
      </w:pPr>
    </w:p>
    <w:p w14:paraId="2E40865B" w14:textId="77777777" w:rsidR="00974785" w:rsidRDefault="00974785" w:rsidP="00974785">
      <w:pPr>
        <w:snapToGrid w:val="0"/>
        <w:spacing w:line="360" w:lineRule="auto"/>
        <w:ind w:firstLineChars="200" w:firstLine="420"/>
      </w:pPr>
      <w:r>
        <w:rPr>
          <w:rFonts w:hint="eastAsia"/>
        </w:rPr>
        <w:t>（九）基金财产投资的有关实物证券、银行存款定期存单等有价凭证的保管</w:t>
      </w:r>
    </w:p>
    <w:p w14:paraId="7C6F1876" w14:textId="77777777" w:rsidR="00974785" w:rsidRDefault="00974785" w:rsidP="00974785">
      <w:pPr>
        <w:snapToGrid w:val="0"/>
        <w:spacing w:line="360" w:lineRule="auto"/>
        <w:ind w:firstLineChars="200" w:firstLine="420"/>
      </w:pPr>
      <w:r>
        <w:rPr>
          <w:rFonts w:hint="eastAsia"/>
        </w:rPr>
        <w:t>实物证券由基金托管人存放于基金托管人的保管库。实物证券的购买和转让，由基金托管人根据基金管理人的指令办理。基金托管人对由基金托管人以外机构实际有效控制的本基金资产不承担保管责任。</w:t>
      </w:r>
    </w:p>
    <w:p w14:paraId="4D0A6B0A" w14:textId="77777777" w:rsidR="00974785" w:rsidRDefault="00974785" w:rsidP="00974785">
      <w:pPr>
        <w:snapToGrid w:val="0"/>
        <w:spacing w:line="360" w:lineRule="auto"/>
        <w:ind w:firstLineChars="200" w:firstLine="420"/>
      </w:pPr>
      <w:r>
        <w:rPr>
          <w:rFonts w:hint="eastAsia"/>
        </w:rPr>
        <w:t>银行存款定期存单等有价凭证由基金托管人负责保管。</w:t>
      </w:r>
    </w:p>
    <w:p w14:paraId="23B9485C" w14:textId="77777777" w:rsidR="00974785" w:rsidRDefault="00974785" w:rsidP="00974785">
      <w:pPr>
        <w:snapToGrid w:val="0"/>
        <w:spacing w:line="360" w:lineRule="auto"/>
        <w:ind w:firstLineChars="200" w:firstLine="420"/>
      </w:pPr>
      <w:r>
        <w:rPr>
          <w:rFonts w:hint="eastAsia"/>
        </w:rPr>
        <w:t>基金托管人只负责对存款证实书进行保管，不承担存款证实书对应存款的本金及收益的安全保管责任。</w:t>
      </w:r>
    </w:p>
    <w:p w14:paraId="1619B037" w14:textId="77777777" w:rsidR="00974785" w:rsidRDefault="00974785" w:rsidP="00974785">
      <w:pPr>
        <w:snapToGrid w:val="0"/>
        <w:spacing w:line="360" w:lineRule="auto"/>
        <w:ind w:firstLineChars="200" w:firstLine="420"/>
      </w:pPr>
    </w:p>
    <w:p w14:paraId="7289E9B2" w14:textId="77777777" w:rsidR="00974785" w:rsidRDefault="00974785" w:rsidP="00974785">
      <w:pPr>
        <w:snapToGrid w:val="0"/>
        <w:spacing w:line="360" w:lineRule="auto"/>
        <w:ind w:firstLineChars="200" w:firstLine="420"/>
      </w:pPr>
      <w:r>
        <w:rPr>
          <w:rFonts w:hint="eastAsia"/>
        </w:rPr>
        <w:t>（十）与基金财产有关的重大合同的保管</w:t>
      </w:r>
    </w:p>
    <w:p w14:paraId="2FD748F4" w14:textId="77777777" w:rsidR="00974785" w:rsidRDefault="00974785" w:rsidP="00974785">
      <w:pPr>
        <w:snapToGrid w:val="0"/>
        <w:spacing w:line="360" w:lineRule="auto"/>
        <w:ind w:firstLineChars="200" w:firstLine="420"/>
      </w:pPr>
      <w:r>
        <w:rPr>
          <w:rFonts w:hint="eastAsia"/>
        </w:rPr>
        <w:t>由基金管理人代表基金签署的与基金有关的重大合同的原件分别由基金托管人、基金管理人保管，相关业务程序另有限制除外。除本协议另有规定外，基金管理人在代表基金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6AA0593B" w14:textId="62D0B45A" w:rsidR="00E6455C" w:rsidRPr="00E6455C" w:rsidRDefault="00974785" w:rsidP="00E6455C">
      <w:pPr>
        <w:snapToGrid w:val="0"/>
        <w:spacing w:line="360" w:lineRule="auto"/>
        <w:ind w:firstLineChars="200" w:firstLine="420"/>
        <w:rPr>
          <w:kern w:val="0"/>
          <w:sz w:val="24"/>
        </w:rPr>
      </w:pPr>
      <w:r>
        <w:rPr>
          <w:rFonts w:hint="eastAsia"/>
        </w:rPr>
        <w:t>对于无法取得二份以上的正本的，基金管理人应向基金托管人提供加盖授权业务章的合同传真件，未经双方协商或未在合同约定范围内，合同原件不得转移。</w:t>
      </w:r>
    </w:p>
    <w:p w14:paraId="248C16C2" w14:textId="5B7B8B1C" w:rsidR="00E6455C" w:rsidRPr="009103E5" w:rsidRDefault="00E6455C" w:rsidP="009103E5">
      <w:pPr>
        <w:snapToGrid w:val="0"/>
        <w:spacing w:line="360" w:lineRule="auto"/>
        <w:ind w:firstLineChars="200" w:firstLine="420"/>
        <w:rPr>
          <w:rFonts w:ascii="宋体" w:hAnsi="宋体"/>
          <w:bCs/>
          <w:szCs w:val="21"/>
        </w:rPr>
      </w:pPr>
    </w:p>
    <w:p w14:paraId="2D51E0A7" w14:textId="3B404EBD"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五、基金资产净值计算和会计核算</w:t>
      </w:r>
    </w:p>
    <w:p w14:paraId="2E97E829" w14:textId="77777777" w:rsidR="00974785" w:rsidRPr="00974785" w:rsidRDefault="00974785" w:rsidP="00974785">
      <w:pPr>
        <w:adjustRightInd w:val="0"/>
        <w:snapToGrid w:val="0"/>
        <w:spacing w:line="360" w:lineRule="auto"/>
        <w:ind w:firstLineChars="200" w:firstLine="420"/>
        <w:rPr>
          <w:rFonts w:ascii="宋体" w:hAnsi="宋体" w:cs="Arial"/>
          <w:szCs w:val="21"/>
        </w:rPr>
      </w:pPr>
      <w:r w:rsidRPr="00974785">
        <w:rPr>
          <w:rFonts w:ascii="宋体" w:hAnsi="宋体" w:cs="Arial" w:hint="eastAsia"/>
          <w:szCs w:val="21"/>
        </w:rPr>
        <w:t>基金资产净值是指基金资产总值减去负债后的价值。</w:t>
      </w:r>
    </w:p>
    <w:p w14:paraId="3B16F794" w14:textId="1748D2C9" w:rsidR="009103E5" w:rsidRDefault="00974785" w:rsidP="00CA23C5">
      <w:pPr>
        <w:adjustRightInd w:val="0"/>
        <w:snapToGrid w:val="0"/>
        <w:spacing w:line="360" w:lineRule="auto"/>
        <w:ind w:firstLineChars="200" w:firstLine="420"/>
        <w:rPr>
          <w:rFonts w:ascii="宋体" w:hAnsi="宋体" w:cs="Arial"/>
          <w:szCs w:val="21"/>
        </w:rPr>
      </w:pPr>
      <w:r w:rsidRPr="00974785">
        <w:rPr>
          <w:rFonts w:ascii="宋体" w:hAnsi="宋体" w:cs="Arial" w:hint="eastAsia"/>
          <w:szCs w:val="21"/>
        </w:rPr>
        <w:t>基金管理人应每工作日对基金资产估值。估值原则应符合《基金合同》、《中国证监会关于证券投资基金估值业务的指导意见》及其他法律、法规的规定。基金资产净值和基金份额净值由基金管理人负责计算，基金托管人复核。基金管理人应于每个工作日交易结束后计算基金资产净值，以约定方式发送给基金托管人。基金托管人对净值计算结果复核后，将复核</w:t>
      </w:r>
      <w:r w:rsidRPr="00974785">
        <w:rPr>
          <w:rFonts w:ascii="宋体" w:hAnsi="宋体" w:cs="Arial" w:hint="eastAsia"/>
          <w:szCs w:val="21"/>
        </w:rPr>
        <w:lastRenderedPageBreak/>
        <w:t>结果反馈给基金管理人，由基金管理人对基金份额净值予以公布。</w:t>
      </w:r>
    </w:p>
    <w:p w14:paraId="7B24AD06" w14:textId="21A07420" w:rsidR="00CA23C5" w:rsidRPr="009103E5" w:rsidRDefault="00CA23C5" w:rsidP="00CA23C5">
      <w:pPr>
        <w:adjustRightInd w:val="0"/>
        <w:snapToGrid w:val="0"/>
        <w:spacing w:line="360" w:lineRule="auto"/>
        <w:ind w:firstLineChars="200" w:firstLine="420"/>
        <w:rPr>
          <w:rFonts w:ascii="宋体" w:hAnsi="宋体" w:cs="Arial"/>
          <w:szCs w:val="21"/>
        </w:rPr>
      </w:pPr>
    </w:p>
    <w:p w14:paraId="490EAB3A" w14:textId="7696780E"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六、基金份额持有人名册的保管</w:t>
      </w:r>
    </w:p>
    <w:p w14:paraId="3FA38B40" w14:textId="77777777" w:rsidR="00974785" w:rsidRPr="00974785" w:rsidRDefault="00974785" w:rsidP="00974785">
      <w:pPr>
        <w:adjustRightInd w:val="0"/>
        <w:snapToGrid w:val="0"/>
        <w:spacing w:line="360" w:lineRule="auto"/>
        <w:ind w:firstLineChars="200" w:firstLine="420"/>
        <w:rPr>
          <w:rFonts w:ascii="宋体" w:hAnsi="宋体"/>
          <w:szCs w:val="21"/>
        </w:rPr>
      </w:pPr>
      <w:r w:rsidRPr="00974785">
        <w:rPr>
          <w:rFonts w:ascii="宋体" w:hAnsi="宋体"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14:paraId="355FB34A" w14:textId="6AC83DA5" w:rsidR="00CA23C5" w:rsidRDefault="00974785" w:rsidP="00CA23C5">
      <w:pPr>
        <w:snapToGrid w:val="0"/>
        <w:spacing w:line="360" w:lineRule="auto"/>
        <w:ind w:firstLineChars="200" w:firstLine="420"/>
        <w:rPr>
          <w:rFonts w:ascii="宋体" w:hAnsi="宋体"/>
          <w:szCs w:val="21"/>
        </w:rPr>
      </w:pPr>
      <w:r w:rsidRPr="00974785">
        <w:rPr>
          <w:rFonts w:ascii="宋体" w:hAnsi="宋体" w:hint="eastAsia"/>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336DE73D" w14:textId="45232846" w:rsidR="00CA23C5" w:rsidRPr="009103E5" w:rsidRDefault="00CA23C5" w:rsidP="009103E5">
      <w:pPr>
        <w:snapToGrid w:val="0"/>
        <w:spacing w:line="360" w:lineRule="auto"/>
        <w:ind w:firstLineChars="200" w:firstLine="420"/>
        <w:rPr>
          <w:rFonts w:ascii="宋体" w:hAnsi="宋体"/>
          <w:szCs w:val="21"/>
        </w:rPr>
      </w:pPr>
    </w:p>
    <w:p w14:paraId="1A4CE255" w14:textId="7F2265C9"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七、争议解决方式</w:t>
      </w:r>
    </w:p>
    <w:p w14:paraId="556EA846" w14:textId="77777777" w:rsidR="00974785" w:rsidRPr="00974785" w:rsidRDefault="00974785" w:rsidP="00974785">
      <w:pPr>
        <w:adjustRightInd w:val="0"/>
        <w:snapToGrid w:val="0"/>
        <w:spacing w:line="360" w:lineRule="auto"/>
        <w:ind w:firstLineChars="200" w:firstLine="420"/>
        <w:rPr>
          <w:rFonts w:ascii="宋体" w:hAnsi="宋体"/>
          <w:szCs w:val="21"/>
        </w:rPr>
      </w:pPr>
      <w:r w:rsidRPr="00974785">
        <w:rPr>
          <w:rFonts w:ascii="宋体" w:hAnsi="宋体" w:hint="eastAsia"/>
          <w:szCs w:val="21"/>
        </w:rPr>
        <w:t>相关各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当时有效的仲裁规则进行仲裁，仲裁的地点在上海市，仲裁裁决是终局的，并对相关各方当事人均有约束力。除非仲裁裁决另有规定，仲裁费用由败诉方承担。</w:t>
      </w:r>
    </w:p>
    <w:p w14:paraId="113A5768" w14:textId="77777777" w:rsidR="00974785" w:rsidRPr="00974785" w:rsidRDefault="00974785" w:rsidP="00974785">
      <w:pPr>
        <w:adjustRightInd w:val="0"/>
        <w:snapToGrid w:val="0"/>
        <w:spacing w:line="360" w:lineRule="auto"/>
        <w:ind w:firstLineChars="200" w:firstLine="420"/>
        <w:rPr>
          <w:rFonts w:ascii="宋体" w:hAnsi="宋体"/>
          <w:szCs w:val="21"/>
        </w:rPr>
      </w:pPr>
      <w:r w:rsidRPr="00974785">
        <w:rPr>
          <w:rFonts w:ascii="宋体" w:hAnsi="宋体" w:hint="eastAsia"/>
          <w:szCs w:val="21"/>
        </w:rPr>
        <w:t>争议处理期间，相关各方当事人应恪守基金管理人和基金托管人职责，继续忠实、勤勉、尽责地履行《基金合同》和本协议规定的义务，维护基金份额持有人的合法权益。</w:t>
      </w:r>
    </w:p>
    <w:p w14:paraId="552DE68E" w14:textId="441FD34D" w:rsidR="00CA23C5" w:rsidRDefault="00974785" w:rsidP="00CA23C5">
      <w:pPr>
        <w:snapToGrid w:val="0"/>
        <w:spacing w:line="360" w:lineRule="auto"/>
        <w:ind w:firstLineChars="200" w:firstLine="420"/>
        <w:rPr>
          <w:rFonts w:ascii="宋体" w:hAnsi="宋体"/>
          <w:szCs w:val="21"/>
        </w:rPr>
      </w:pPr>
      <w:r w:rsidRPr="00974785">
        <w:rPr>
          <w:rFonts w:ascii="宋体" w:hAnsi="宋体" w:hint="eastAsia"/>
          <w:szCs w:val="21"/>
        </w:rPr>
        <w:t>本协议受中华人民共和国法律（为本协议之目的，在此不包括中国香港、中国澳门特别行政区和中国台湾地区法律）管辖。</w:t>
      </w:r>
    </w:p>
    <w:p w14:paraId="5CF2A7DB" w14:textId="25D151E9" w:rsidR="00CA23C5" w:rsidRPr="009103E5" w:rsidRDefault="00CA23C5" w:rsidP="00CA23C5">
      <w:pPr>
        <w:snapToGrid w:val="0"/>
        <w:spacing w:line="360" w:lineRule="auto"/>
        <w:ind w:firstLineChars="200" w:firstLine="420"/>
        <w:rPr>
          <w:rFonts w:ascii="宋体" w:hAnsi="宋体"/>
          <w:szCs w:val="21"/>
        </w:rPr>
      </w:pPr>
    </w:p>
    <w:p w14:paraId="641E6754" w14:textId="3B4718C3"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八、托管协议的变更和终止</w:t>
      </w:r>
    </w:p>
    <w:p w14:paraId="02A006C6"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（一）基金托管协议的变更</w:t>
      </w:r>
    </w:p>
    <w:p w14:paraId="503082EA"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本协议双方当事人经协商一致，可以对协议进行修改。修改后的新协议，其内容不得与《基金合同》的规定有任何冲突。修改后的新协议，应报中国证监会备案。</w:t>
      </w:r>
    </w:p>
    <w:p w14:paraId="701B328F" w14:textId="77777777" w:rsidR="00974785" w:rsidRPr="00974785" w:rsidRDefault="00974785" w:rsidP="00974785">
      <w:pPr>
        <w:adjustRightInd w:val="0"/>
        <w:snapToGrid w:val="0"/>
        <w:spacing w:line="360" w:lineRule="auto"/>
        <w:ind w:firstLineChars="200" w:firstLine="420"/>
        <w:rPr>
          <w:rFonts w:ascii="宋体" w:hAnsi="宋体"/>
          <w:bCs/>
        </w:rPr>
      </w:pPr>
    </w:p>
    <w:p w14:paraId="5E6F89D7"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（二）基金托管协议的终止</w:t>
      </w:r>
    </w:p>
    <w:p w14:paraId="7807DA8A"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（1）《基金合同》终止；</w:t>
      </w:r>
    </w:p>
    <w:p w14:paraId="6057CD60"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（2）基金托管人解散、依法被撤销、破产，被依法取消基金托管资格或因其他事由造成其他基金托管人接管基金财产；</w:t>
      </w:r>
    </w:p>
    <w:p w14:paraId="236ED5C9"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（3）基金管理人解散、依法被撤销、破产，被依法取消基金管理资格或因其他事由造成其他基金管理人接管基金管理权。</w:t>
      </w:r>
    </w:p>
    <w:p w14:paraId="6E0C47CC"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（4）发生《基金法》、《销售办法》、《运作办法》或其他法律法规规定的终止事项。</w:t>
      </w:r>
    </w:p>
    <w:p w14:paraId="682B5DC2" w14:textId="77777777" w:rsidR="00974785" w:rsidRPr="00974785" w:rsidRDefault="00974785" w:rsidP="00974785">
      <w:pPr>
        <w:adjustRightInd w:val="0"/>
        <w:snapToGrid w:val="0"/>
        <w:spacing w:line="360" w:lineRule="auto"/>
        <w:ind w:firstLineChars="200" w:firstLine="420"/>
        <w:rPr>
          <w:rFonts w:ascii="宋体" w:hAnsi="宋体"/>
          <w:bCs/>
        </w:rPr>
      </w:pPr>
    </w:p>
    <w:p w14:paraId="62B8D708"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（三）基金财产的清算</w:t>
      </w:r>
    </w:p>
    <w:p w14:paraId="681E3BE6"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（1）基金财产清算组</w:t>
      </w:r>
    </w:p>
    <w:p w14:paraId="6AECD945"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在基金财产清算组接管基金财产之前，基金管理人和基金托管人应按照《基金合同》和本协议的规定继续履行保护基金资产安全的职责。</w:t>
      </w:r>
    </w:p>
    <w:p w14:paraId="1B58096E"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1）基金财产清算小组：自出现《基金合同》终止事由之日起30个工作日内成立清算小组，基金管理人组织基金财产清算小组并在中国证监会的监督下进行基金清算。</w:t>
      </w:r>
    </w:p>
    <w:p w14:paraId="1B6E8107"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2）基金财产清算小组组成：基金财产清算小组成员由基金管理人、基金托管人、符合《证券法》规定的注册会计师、律师以及中国证监会指定的人员组成。基金财产清算小组可以聘用必要的工作人员。</w:t>
      </w:r>
    </w:p>
    <w:p w14:paraId="7958A8A1"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3）基金财产清算小组职责：基金财产清算小组负责基金财产的保管、清理、估价、变现和分配。基金财产清算小组可以依法进行必要的民事活动。</w:t>
      </w:r>
    </w:p>
    <w:p w14:paraId="594A2671"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（2）基金财产清算程序</w:t>
      </w:r>
    </w:p>
    <w:p w14:paraId="0CB1A3EE"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1）《基金合同》终止情形出现时，由基金财产清算小组统一接管基金；</w:t>
      </w:r>
    </w:p>
    <w:p w14:paraId="15EAA400"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2）对基金财产和债权债务进行清理和确认；</w:t>
      </w:r>
    </w:p>
    <w:p w14:paraId="65A252DD"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3）对基金财产进行估值和变现；</w:t>
      </w:r>
    </w:p>
    <w:p w14:paraId="1F51D156"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4）制作清算报告；</w:t>
      </w:r>
    </w:p>
    <w:p w14:paraId="20D89D0C"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5）聘请符合《证券法》规定的会计师事务所对清算报告进行外部审计，聘请律师事务所对清算报告出具法律意见书；</w:t>
      </w:r>
    </w:p>
    <w:p w14:paraId="310D8FCE"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6）将清算报告报中国证监会备案并公告；</w:t>
      </w:r>
    </w:p>
    <w:p w14:paraId="70529F62"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7）对基金剩余财产进行分配。</w:t>
      </w:r>
    </w:p>
    <w:p w14:paraId="2CB972BB"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基金财产清算的期限为6个月，但因本基金所持证券的流动性受到限制而不能及时变现的，清算期限相应顺延。</w:t>
      </w:r>
    </w:p>
    <w:p w14:paraId="61733AC9"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（3）清算费用</w:t>
      </w:r>
    </w:p>
    <w:p w14:paraId="1CA31C78"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清算费用是指基金财产清算小组在进行基金清算过程中发生的所有合理费用，清算费用由基金财产清算小组优先从基金财产中支付。</w:t>
      </w:r>
    </w:p>
    <w:p w14:paraId="3887ED34"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（4）基金剩余财产的分配</w:t>
      </w:r>
    </w:p>
    <w:p w14:paraId="51A3B3EA"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基金财产按如下顺序进行清偿</w:t>
      </w:r>
    </w:p>
    <w:p w14:paraId="1039F18D"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1）支付基金财产清算费用；</w:t>
      </w:r>
    </w:p>
    <w:p w14:paraId="19F46406"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2）缴纳基金所欠税款；</w:t>
      </w:r>
    </w:p>
    <w:p w14:paraId="4FADFDB0"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3）清偿基金债务；</w:t>
      </w:r>
    </w:p>
    <w:p w14:paraId="60EA3C07"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4）清算后如有余额，按基金份额持有人持有的基金份额比例进行分配。</w:t>
      </w:r>
    </w:p>
    <w:p w14:paraId="150DB263"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基金财产未按前款1）－3）项规定清偿前，不得分配给基金份额持有人。</w:t>
      </w:r>
    </w:p>
    <w:p w14:paraId="49812B46"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（5）基金财产清算的公告</w:t>
      </w:r>
    </w:p>
    <w:p w14:paraId="7B65F5D1"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lastRenderedPageBreak/>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1944784" w14:textId="77777777" w:rsidR="00974785" w:rsidRPr="00974785" w:rsidRDefault="00974785" w:rsidP="00974785">
      <w:pPr>
        <w:adjustRightInd w:val="0"/>
        <w:snapToGrid w:val="0"/>
        <w:spacing w:line="360" w:lineRule="auto"/>
        <w:ind w:firstLineChars="200" w:firstLine="420"/>
        <w:rPr>
          <w:rFonts w:ascii="宋体" w:hAnsi="宋体"/>
          <w:bCs/>
        </w:rPr>
      </w:pPr>
      <w:r w:rsidRPr="00974785">
        <w:rPr>
          <w:rFonts w:ascii="宋体" w:hAnsi="宋体" w:hint="eastAsia"/>
          <w:bCs/>
        </w:rPr>
        <w:t>（6）基金财产清算账册及文件的保存</w:t>
      </w:r>
    </w:p>
    <w:p w14:paraId="089AADDA" w14:textId="0CDBBD45" w:rsidR="00CA23C5" w:rsidRPr="009103E5" w:rsidRDefault="00974785" w:rsidP="00CA23C5">
      <w:pPr>
        <w:snapToGrid w:val="0"/>
        <w:spacing w:line="360" w:lineRule="auto"/>
        <w:ind w:firstLineChars="200" w:firstLine="420"/>
        <w:rPr>
          <w:rFonts w:ascii="宋体" w:hAnsi="宋体"/>
          <w:bCs/>
        </w:rPr>
      </w:pPr>
      <w:r w:rsidRPr="00974785">
        <w:rPr>
          <w:rFonts w:ascii="宋体" w:hAnsi="宋体" w:hint="eastAsia"/>
          <w:bCs/>
        </w:rPr>
        <w:t>基金财产清算账册及有关文件由基金托管人保存期限不少于20年。</w:t>
      </w:r>
    </w:p>
    <w:p w14:paraId="310C2697" w14:textId="77777777" w:rsidR="009103E5" w:rsidRPr="009103E5" w:rsidRDefault="009103E5" w:rsidP="00F05D2A">
      <w:pPr>
        <w:snapToGrid w:val="0"/>
        <w:spacing w:line="360" w:lineRule="auto"/>
        <w:rPr>
          <w:szCs w:val="21"/>
        </w:rPr>
      </w:pPr>
    </w:p>
    <w:p w14:paraId="3A3130A5" w14:textId="77777777" w:rsidR="002E3EC6" w:rsidRPr="004F5BE4" w:rsidRDefault="002E3EC6" w:rsidP="00F05D2A">
      <w:pPr>
        <w:widowControl/>
        <w:snapToGrid w:val="0"/>
        <w:spacing w:line="360" w:lineRule="auto"/>
        <w:jc w:val="left"/>
      </w:pPr>
      <w:bookmarkStart w:id="258" w:name="_Hlt88903033"/>
      <w:bookmarkStart w:id="259" w:name="_Hlt88902859"/>
      <w:bookmarkStart w:id="260" w:name="_Hlt112616834"/>
      <w:bookmarkEnd w:id="258"/>
      <w:bookmarkEnd w:id="259"/>
      <w:bookmarkEnd w:id="260"/>
      <w:r w:rsidRPr="004F5BE4">
        <w:br w:type="page"/>
      </w:r>
    </w:p>
    <w:p w14:paraId="0C23EFDA" w14:textId="77777777" w:rsidR="002E3EC6" w:rsidRPr="004F5BE4" w:rsidRDefault="002E3EC6" w:rsidP="00F05D2A">
      <w:pPr>
        <w:snapToGrid w:val="0"/>
        <w:spacing w:line="360" w:lineRule="auto"/>
        <w:ind w:firstLineChars="200" w:firstLine="420"/>
      </w:pPr>
    </w:p>
    <w:p w14:paraId="59B543BA" w14:textId="77777777" w:rsidR="002E3EC6" w:rsidRPr="004F5BE4" w:rsidRDefault="002E3EC6" w:rsidP="00F05D2A">
      <w:pPr>
        <w:pStyle w:val="21"/>
        <w:numPr>
          <w:ilvl w:val="0"/>
          <w:numId w:val="24"/>
        </w:numPr>
        <w:snapToGrid w:val="0"/>
        <w:spacing w:before="0" w:after="0" w:line="360" w:lineRule="auto"/>
        <w:jc w:val="left"/>
        <w:rPr>
          <w:b w:val="0"/>
        </w:rPr>
      </w:pPr>
      <w:bookmarkStart w:id="261" w:name="_Toc327902642"/>
      <w:bookmarkStart w:id="262" w:name="_Toc332013130"/>
      <w:bookmarkStart w:id="263" w:name="_Toc335899853"/>
      <w:bookmarkStart w:id="264" w:name="_Toc336606247"/>
      <w:bookmarkStart w:id="265" w:name="_Toc369510028"/>
      <w:bookmarkStart w:id="266" w:name="_Toc411503281"/>
      <w:bookmarkStart w:id="267" w:name="_Toc47384208"/>
      <w:r w:rsidRPr="004F5BE4">
        <w:rPr>
          <w:rFonts w:hint="eastAsia"/>
          <w:b w:val="0"/>
        </w:rPr>
        <w:t>基金份额持有人服务</w:t>
      </w:r>
      <w:bookmarkEnd w:id="261"/>
      <w:bookmarkEnd w:id="262"/>
      <w:bookmarkEnd w:id="263"/>
      <w:bookmarkEnd w:id="264"/>
      <w:bookmarkEnd w:id="265"/>
      <w:bookmarkEnd w:id="266"/>
      <w:bookmarkEnd w:id="267"/>
    </w:p>
    <w:p w14:paraId="19F425FE" w14:textId="77777777" w:rsidR="002E3EC6" w:rsidRPr="004F5BE4" w:rsidRDefault="002E3EC6" w:rsidP="00F05D2A">
      <w:pPr>
        <w:snapToGrid w:val="0"/>
        <w:spacing w:line="360" w:lineRule="auto"/>
        <w:ind w:firstLine="480"/>
      </w:pPr>
    </w:p>
    <w:p w14:paraId="5212E5FD"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如本招募说明书存在任何您</w:t>
      </w:r>
      <w:r w:rsidRPr="00AD1CF9">
        <w:rPr>
          <w:rFonts w:hint="eastAsia"/>
          <w:color w:val="000000"/>
          <w:szCs w:val="20"/>
        </w:rPr>
        <w:t>/</w:t>
      </w:r>
      <w:r w:rsidRPr="00AD1CF9">
        <w:rPr>
          <w:rFonts w:hint="eastAsia"/>
          <w:color w:val="000000"/>
          <w:szCs w:val="20"/>
        </w:rPr>
        <w:t>贵机构无法理解的内容，请及时通过下述方式联系基金管理人。请确保投资前，您</w:t>
      </w:r>
      <w:r w:rsidRPr="00AD1CF9">
        <w:rPr>
          <w:rFonts w:hint="eastAsia"/>
          <w:color w:val="000000"/>
          <w:szCs w:val="20"/>
        </w:rPr>
        <w:t>/</w:t>
      </w:r>
      <w:r w:rsidRPr="00AD1CF9">
        <w:rPr>
          <w:rFonts w:hint="eastAsia"/>
          <w:color w:val="000000"/>
          <w:szCs w:val="20"/>
        </w:rPr>
        <w:t>贵机构已经全面理解本招募说明书，并同意全部内容。</w:t>
      </w:r>
    </w:p>
    <w:p w14:paraId="3A0E0B61"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47D7545E"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若本基金包含在中国香港特别行政区销售的</w:t>
      </w:r>
      <w:r w:rsidRPr="00AD1CF9">
        <w:rPr>
          <w:rFonts w:hint="eastAsia"/>
          <w:color w:val="000000"/>
          <w:szCs w:val="20"/>
        </w:rPr>
        <w:t>H</w:t>
      </w:r>
      <w:r w:rsidRPr="00AD1CF9">
        <w:rPr>
          <w:rFonts w:hint="eastAsia"/>
          <w:color w:val="000000"/>
          <w:szCs w:val="20"/>
        </w:rPr>
        <w:t>类份额，则该</w:t>
      </w:r>
      <w:r w:rsidRPr="00AD1CF9">
        <w:rPr>
          <w:rFonts w:hint="eastAsia"/>
          <w:color w:val="000000"/>
          <w:szCs w:val="20"/>
        </w:rPr>
        <w:t>H</w:t>
      </w:r>
      <w:r w:rsidRPr="00AD1CF9">
        <w:rPr>
          <w:rFonts w:hint="eastAsia"/>
          <w:color w:val="000000"/>
          <w:szCs w:val="20"/>
        </w:rPr>
        <w:t>类份额持有人享有的服务项目一般情况下限于客户服务中心电话服务、投资人投诉及建议受理服务和网站资讯等服务。</w:t>
      </w:r>
    </w:p>
    <w:p w14:paraId="2ACC629B" w14:textId="77777777" w:rsidR="00AD1CF9" w:rsidRPr="00AD1CF9" w:rsidRDefault="00AD1CF9" w:rsidP="00AD1CF9">
      <w:pPr>
        <w:snapToGrid w:val="0"/>
        <w:spacing w:line="360" w:lineRule="auto"/>
        <w:ind w:firstLine="480"/>
        <w:rPr>
          <w:color w:val="000000"/>
          <w:szCs w:val="20"/>
        </w:rPr>
      </w:pPr>
    </w:p>
    <w:p w14:paraId="7DEFA095"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一、网上开户及交易服务</w:t>
      </w:r>
    </w:p>
    <w:p w14:paraId="6CF070E2"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机构投资者可通过基金管理人网站（</w:t>
      </w:r>
      <w:r w:rsidRPr="00AD1CF9">
        <w:rPr>
          <w:rFonts w:hint="eastAsia"/>
          <w:color w:val="000000"/>
          <w:szCs w:val="20"/>
        </w:rPr>
        <w:t>www.nffund.com</w:t>
      </w:r>
      <w:r w:rsidRPr="00AD1CF9">
        <w:rPr>
          <w:rFonts w:hint="eastAsia"/>
          <w:color w:val="000000"/>
          <w:szCs w:val="20"/>
        </w:rPr>
        <w:t>），个人投资者可通过基金管理人网站、微信公众号（可搜索“南方基金”或“</w:t>
      </w:r>
      <w:r w:rsidRPr="00AD1CF9">
        <w:rPr>
          <w:rFonts w:hint="eastAsia"/>
          <w:color w:val="000000"/>
          <w:szCs w:val="20"/>
        </w:rPr>
        <w:t>NF4008898899</w:t>
      </w:r>
      <w:r w:rsidRPr="00AD1CF9">
        <w:rPr>
          <w:rFonts w:hint="eastAsia"/>
          <w:color w:val="000000"/>
          <w:szCs w:val="20"/>
        </w:rPr>
        <w:t>”）或</w:t>
      </w:r>
      <w:r w:rsidRPr="00AD1CF9">
        <w:rPr>
          <w:rFonts w:hint="eastAsia"/>
          <w:color w:val="000000"/>
          <w:szCs w:val="20"/>
        </w:rPr>
        <w:t>APP</w:t>
      </w:r>
      <w:r w:rsidRPr="00AD1CF9">
        <w:rPr>
          <w:rFonts w:hint="eastAsia"/>
          <w:color w:val="000000"/>
          <w:szCs w:val="20"/>
        </w:rPr>
        <w:t>客户端办理开户、认购</w:t>
      </w:r>
      <w:r w:rsidRPr="00AD1CF9">
        <w:rPr>
          <w:rFonts w:hint="eastAsia"/>
          <w:color w:val="000000"/>
          <w:szCs w:val="20"/>
        </w:rPr>
        <w:t>/</w:t>
      </w:r>
      <w:r w:rsidRPr="00AD1CF9">
        <w:rPr>
          <w:rFonts w:hint="eastAsia"/>
          <w:color w:val="000000"/>
          <w:szCs w:val="20"/>
        </w:rPr>
        <w:t>申购、赎回及信息查询等业务。有关基金管理人电子直销具体规则请参见基金管理人网站相关公告和业务规则。</w:t>
      </w:r>
    </w:p>
    <w:p w14:paraId="5F277893" w14:textId="77777777" w:rsidR="00AD1CF9" w:rsidRPr="00AD1CF9" w:rsidRDefault="00AD1CF9" w:rsidP="00AD1CF9">
      <w:pPr>
        <w:snapToGrid w:val="0"/>
        <w:spacing w:line="360" w:lineRule="auto"/>
        <w:ind w:firstLine="480"/>
        <w:rPr>
          <w:color w:val="000000"/>
          <w:szCs w:val="20"/>
        </w:rPr>
      </w:pPr>
    </w:p>
    <w:p w14:paraId="08497D97"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二、账户及信息查询服务</w:t>
      </w:r>
    </w:p>
    <w:p w14:paraId="0663C9B3"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机构投资者通过基金管理人网站，个人投资者通过基金管理人网站、微信公众号或</w:t>
      </w:r>
      <w:r w:rsidRPr="00AD1CF9">
        <w:rPr>
          <w:rFonts w:hint="eastAsia"/>
          <w:color w:val="000000"/>
          <w:szCs w:val="20"/>
        </w:rPr>
        <w:t>APP</w:t>
      </w:r>
      <w:r w:rsidRPr="00AD1CF9">
        <w:rPr>
          <w:rFonts w:hint="eastAsia"/>
          <w:color w:val="000000"/>
          <w:szCs w:val="2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3D3D8236" w14:textId="77777777" w:rsidR="00AD1CF9" w:rsidRPr="00AD1CF9" w:rsidRDefault="00AD1CF9" w:rsidP="00AD1CF9">
      <w:pPr>
        <w:snapToGrid w:val="0"/>
        <w:spacing w:line="360" w:lineRule="auto"/>
        <w:ind w:firstLine="480"/>
        <w:rPr>
          <w:color w:val="000000"/>
          <w:szCs w:val="20"/>
        </w:rPr>
      </w:pPr>
    </w:p>
    <w:p w14:paraId="7BB93591"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三、账单及资讯服务</w:t>
      </w:r>
    </w:p>
    <w:p w14:paraId="0B4907B8"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（一）对账单服务</w:t>
      </w:r>
    </w:p>
    <w:p w14:paraId="0BB9E40E"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1</w:t>
      </w:r>
      <w:r w:rsidRPr="00AD1CF9">
        <w:rPr>
          <w:rFonts w:hint="eastAsia"/>
          <w:color w:val="000000"/>
          <w:szCs w:val="2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756EA820"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2</w:t>
      </w:r>
      <w:r w:rsidRPr="00AD1CF9">
        <w:rPr>
          <w:rFonts w:hint="eastAsia"/>
          <w:color w:val="000000"/>
          <w:szCs w:val="20"/>
        </w:rPr>
        <w:t>、基金管理人将通过微信公众号向关注并绑定账户的个人投资者定期发送场外交易微信对账单。微信未绑定账户或取消关注的除外。</w:t>
      </w:r>
    </w:p>
    <w:p w14:paraId="3134D8EC"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3</w:t>
      </w:r>
      <w:r w:rsidRPr="00AD1CF9">
        <w:rPr>
          <w:rFonts w:hint="eastAsia"/>
          <w:color w:val="000000"/>
          <w:szCs w:val="20"/>
        </w:rPr>
        <w:t>、注册登记机构和基金管理人不提供投资人的场内交易（本基金是否支持场内交易，</w:t>
      </w:r>
      <w:r w:rsidRPr="00AD1CF9">
        <w:rPr>
          <w:rFonts w:hint="eastAsia"/>
          <w:color w:val="000000"/>
          <w:szCs w:val="20"/>
        </w:rPr>
        <w:lastRenderedPageBreak/>
        <w:t>请以本基金基金合同和招募说明书相关条款为准）对账单服务，投资人可到交易网点打印或通过交易网点提供的自助、电话、网上服务等渠道查询。</w:t>
      </w:r>
    </w:p>
    <w:p w14:paraId="5372B4F8"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（二）资讯服务</w:t>
      </w:r>
    </w:p>
    <w:p w14:paraId="729562C3"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w:t>
      </w:r>
      <w:r w:rsidRPr="00AD1CF9">
        <w:rPr>
          <w:rFonts w:hint="eastAsia"/>
          <w:color w:val="000000"/>
          <w:szCs w:val="20"/>
        </w:rPr>
        <w:t>400-889-8899</w:t>
      </w:r>
      <w:r w:rsidRPr="00AD1CF9">
        <w:rPr>
          <w:rFonts w:hint="eastAsia"/>
          <w:color w:val="000000"/>
          <w:szCs w:val="20"/>
        </w:rPr>
        <w:t>、人工客服等人工服务方式退订。</w:t>
      </w:r>
    </w:p>
    <w:p w14:paraId="67FAB66B" w14:textId="77777777" w:rsidR="00AD1CF9" w:rsidRPr="00AD1CF9" w:rsidRDefault="00AD1CF9" w:rsidP="00AD1CF9">
      <w:pPr>
        <w:snapToGrid w:val="0"/>
        <w:spacing w:line="360" w:lineRule="auto"/>
        <w:ind w:firstLine="480"/>
        <w:rPr>
          <w:color w:val="000000"/>
          <w:szCs w:val="20"/>
        </w:rPr>
      </w:pPr>
    </w:p>
    <w:p w14:paraId="18351026"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四、客户服务中心电话及在线服务</w:t>
      </w:r>
    </w:p>
    <w:p w14:paraId="46B93D26"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（一）电话服务</w:t>
      </w:r>
    </w:p>
    <w:p w14:paraId="4B6BAF40"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投资人拨打基金管理人客户服务中心热线</w:t>
      </w:r>
      <w:r w:rsidRPr="00AD1CF9">
        <w:rPr>
          <w:rFonts w:hint="eastAsia"/>
          <w:color w:val="000000"/>
          <w:szCs w:val="20"/>
        </w:rPr>
        <w:t>400-889-8899</w:t>
      </w:r>
      <w:r w:rsidRPr="00AD1CF9">
        <w:rPr>
          <w:rFonts w:hint="eastAsia"/>
          <w:color w:val="000000"/>
          <w:szCs w:val="20"/>
        </w:rPr>
        <w:t>可享有如下服务：</w:t>
      </w:r>
    </w:p>
    <w:p w14:paraId="7D2EF8EC"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1</w:t>
      </w:r>
      <w:r w:rsidRPr="00AD1CF9">
        <w:rPr>
          <w:rFonts w:hint="eastAsia"/>
          <w:color w:val="000000"/>
          <w:szCs w:val="20"/>
        </w:rPr>
        <w:t>、自助语音服务（</w:t>
      </w:r>
      <w:r w:rsidRPr="00AD1CF9">
        <w:rPr>
          <w:rFonts w:hint="eastAsia"/>
          <w:color w:val="000000"/>
          <w:szCs w:val="20"/>
        </w:rPr>
        <w:t>7</w:t>
      </w:r>
      <w:r w:rsidRPr="00AD1CF9">
        <w:rPr>
          <w:rFonts w:hint="eastAsia"/>
          <w:color w:val="000000"/>
          <w:szCs w:val="20"/>
        </w:rPr>
        <w:t>×</w:t>
      </w:r>
      <w:r w:rsidRPr="00AD1CF9">
        <w:rPr>
          <w:rFonts w:hint="eastAsia"/>
          <w:color w:val="000000"/>
          <w:szCs w:val="20"/>
        </w:rPr>
        <w:t>24</w:t>
      </w:r>
      <w:r w:rsidRPr="00AD1CF9">
        <w:rPr>
          <w:rFonts w:hint="eastAsia"/>
          <w:color w:val="000000"/>
          <w:szCs w:val="20"/>
        </w:rPr>
        <w:t>小时）：提供基金净值信息、账户信息等自助查询服务。</w:t>
      </w:r>
    </w:p>
    <w:p w14:paraId="0E106B4D"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2</w:t>
      </w:r>
      <w:r w:rsidRPr="00AD1CF9">
        <w:rPr>
          <w:rFonts w:hint="eastAsia"/>
          <w:color w:val="000000"/>
          <w:szCs w:val="20"/>
        </w:rPr>
        <w:t>、人工服务：提供每周</w:t>
      </w:r>
      <w:r w:rsidRPr="00AD1CF9">
        <w:rPr>
          <w:rFonts w:hint="eastAsia"/>
          <w:color w:val="000000"/>
          <w:szCs w:val="20"/>
        </w:rPr>
        <w:t>7</w:t>
      </w:r>
      <w:r w:rsidRPr="00AD1CF9">
        <w:rPr>
          <w:rFonts w:hint="eastAsia"/>
          <w:color w:val="000000"/>
          <w:szCs w:val="20"/>
        </w:rPr>
        <w:t>天，每日不少于</w:t>
      </w:r>
      <w:r w:rsidRPr="00AD1CF9">
        <w:rPr>
          <w:rFonts w:hint="eastAsia"/>
          <w:color w:val="000000"/>
          <w:szCs w:val="20"/>
        </w:rPr>
        <w:t>8</w:t>
      </w:r>
      <w:r w:rsidRPr="00AD1CF9">
        <w:rPr>
          <w:rFonts w:hint="eastAsia"/>
          <w:color w:val="000000"/>
          <w:szCs w:val="20"/>
        </w:rPr>
        <w:t>小时的人工服务（法定节假日除外）。投资人可以通过该热线获得投资咨询、业务咨询、信息查询、服务投诉及建议、信息定制等专项服务。</w:t>
      </w:r>
    </w:p>
    <w:p w14:paraId="26F11C4D"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（二）在线服务</w:t>
      </w:r>
    </w:p>
    <w:p w14:paraId="0AD779B6"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投资人通过基金管理人网站、微信公众号或</w:t>
      </w:r>
      <w:r w:rsidRPr="00AD1CF9">
        <w:rPr>
          <w:rFonts w:hint="eastAsia"/>
          <w:color w:val="000000"/>
          <w:szCs w:val="20"/>
        </w:rPr>
        <w:t>APP</w:t>
      </w:r>
      <w:r w:rsidRPr="00AD1CF9">
        <w:rPr>
          <w:rFonts w:hint="eastAsia"/>
          <w:color w:val="000000"/>
          <w:szCs w:val="20"/>
        </w:rPr>
        <w:t>客户端可享有如下服务：</w:t>
      </w:r>
    </w:p>
    <w:p w14:paraId="0764F664"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1</w:t>
      </w:r>
      <w:r w:rsidRPr="00AD1CF9">
        <w:rPr>
          <w:rFonts w:hint="eastAsia"/>
          <w:color w:val="000000"/>
          <w:szCs w:val="20"/>
        </w:rPr>
        <w:t>、智能客服服务（</w:t>
      </w:r>
      <w:r w:rsidRPr="00AD1CF9">
        <w:rPr>
          <w:rFonts w:hint="eastAsia"/>
          <w:color w:val="000000"/>
          <w:szCs w:val="20"/>
        </w:rPr>
        <w:t>7</w:t>
      </w:r>
      <w:r w:rsidRPr="00AD1CF9">
        <w:rPr>
          <w:rFonts w:hint="eastAsia"/>
          <w:color w:val="000000"/>
          <w:szCs w:val="20"/>
        </w:rPr>
        <w:t>×</w:t>
      </w:r>
      <w:r w:rsidRPr="00AD1CF9">
        <w:rPr>
          <w:rFonts w:hint="eastAsia"/>
          <w:color w:val="000000"/>
          <w:szCs w:val="20"/>
        </w:rPr>
        <w:t>24</w:t>
      </w:r>
      <w:r w:rsidRPr="00AD1CF9">
        <w:rPr>
          <w:rFonts w:hint="eastAsia"/>
          <w:color w:val="000000"/>
          <w:szCs w:val="20"/>
        </w:rPr>
        <w:t>小时）：提供业务规则、净值信息等自助咨询服务。</w:t>
      </w:r>
    </w:p>
    <w:p w14:paraId="474D0171"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2</w:t>
      </w:r>
      <w:r w:rsidRPr="00AD1CF9">
        <w:rPr>
          <w:rFonts w:hint="eastAsia"/>
          <w:color w:val="000000"/>
          <w:szCs w:val="20"/>
        </w:rPr>
        <w:t>、人工服务：提供每周</w:t>
      </w:r>
      <w:r w:rsidRPr="00AD1CF9">
        <w:rPr>
          <w:rFonts w:hint="eastAsia"/>
          <w:color w:val="000000"/>
          <w:szCs w:val="20"/>
        </w:rPr>
        <w:t>7</w:t>
      </w:r>
      <w:r w:rsidRPr="00AD1CF9">
        <w:rPr>
          <w:rFonts w:hint="eastAsia"/>
          <w:color w:val="000000"/>
          <w:szCs w:val="20"/>
        </w:rPr>
        <w:t>天，每日不少于</w:t>
      </w:r>
      <w:r w:rsidRPr="00AD1CF9">
        <w:rPr>
          <w:rFonts w:hint="eastAsia"/>
          <w:color w:val="000000"/>
          <w:szCs w:val="20"/>
        </w:rPr>
        <w:t>8</w:t>
      </w:r>
      <w:r w:rsidRPr="00AD1CF9">
        <w:rPr>
          <w:rFonts w:hint="eastAsia"/>
          <w:color w:val="000000"/>
          <w:szCs w:val="20"/>
        </w:rPr>
        <w:t>小时的人工服务（法定节假日除外）。投资人可通过该方式获得投资咨询、业务咨询、信息查询、服务投诉及建议、信息定制等专项服务。</w:t>
      </w:r>
    </w:p>
    <w:p w14:paraId="703D1ED8" w14:textId="77777777" w:rsidR="00AD1CF9" w:rsidRPr="00AD1CF9" w:rsidRDefault="00AD1CF9" w:rsidP="00AD1CF9">
      <w:pPr>
        <w:snapToGrid w:val="0"/>
        <w:spacing w:line="360" w:lineRule="auto"/>
        <w:ind w:firstLine="480"/>
        <w:rPr>
          <w:color w:val="000000"/>
          <w:szCs w:val="20"/>
        </w:rPr>
      </w:pPr>
    </w:p>
    <w:p w14:paraId="73D539A7" w14:textId="77777777" w:rsidR="00AD1CF9" w:rsidRPr="00AD1CF9" w:rsidRDefault="00AD1CF9" w:rsidP="00AD1CF9">
      <w:pPr>
        <w:snapToGrid w:val="0"/>
        <w:spacing w:line="360" w:lineRule="auto"/>
        <w:ind w:firstLine="480"/>
        <w:rPr>
          <w:rFonts w:hint="eastAsia"/>
          <w:color w:val="000000"/>
          <w:szCs w:val="20"/>
        </w:rPr>
      </w:pPr>
      <w:r w:rsidRPr="00AD1CF9">
        <w:rPr>
          <w:rFonts w:hint="eastAsia"/>
          <w:color w:val="000000"/>
          <w:szCs w:val="20"/>
        </w:rPr>
        <w:t>五、投诉及建议受理服务</w:t>
      </w:r>
    </w:p>
    <w:p w14:paraId="1853A5B9" w14:textId="3E171974" w:rsidR="002E3EC6" w:rsidRPr="004F5BE4" w:rsidRDefault="00AD1CF9" w:rsidP="00F05D2A">
      <w:pPr>
        <w:pStyle w:val="a8"/>
        <w:spacing w:line="360" w:lineRule="auto"/>
        <w:ind w:firstLineChars="200"/>
      </w:pPr>
      <w:r w:rsidRPr="00AD1CF9">
        <w:rPr>
          <w:rFonts w:hint="eastAsia"/>
          <w:color w:val="000000"/>
        </w:rPr>
        <w:t>投资人可以通过基金管理人客户服务中心人工热线、在线客服、书信、电子邮件、短信及各销售机构网点柜台等不同的渠道对基金管理人和销售网点所提供的服务进行投诉或提出建议。</w:t>
      </w:r>
      <w:r w:rsidR="002E3EC6" w:rsidRPr="004F5BE4">
        <w:br w:type="page"/>
      </w:r>
    </w:p>
    <w:p w14:paraId="5C096DCA" w14:textId="77777777" w:rsidR="002E3EC6" w:rsidRPr="004F5BE4" w:rsidRDefault="002E3EC6" w:rsidP="00F05D2A">
      <w:pPr>
        <w:pStyle w:val="21"/>
        <w:numPr>
          <w:ilvl w:val="0"/>
          <w:numId w:val="24"/>
        </w:numPr>
        <w:snapToGrid w:val="0"/>
        <w:spacing w:before="0" w:after="0" w:line="360" w:lineRule="auto"/>
        <w:jc w:val="left"/>
        <w:rPr>
          <w:b w:val="0"/>
        </w:rPr>
      </w:pPr>
      <w:bookmarkStart w:id="268" w:name="_Toc327902643"/>
      <w:bookmarkStart w:id="269" w:name="_Toc332013131"/>
      <w:bookmarkStart w:id="270" w:name="_Toc335899854"/>
      <w:bookmarkStart w:id="271" w:name="_Toc336606248"/>
      <w:bookmarkStart w:id="272" w:name="_Toc369510029"/>
      <w:bookmarkStart w:id="273" w:name="_Toc411503282"/>
      <w:bookmarkStart w:id="274" w:name="_Toc47384209"/>
      <w:r w:rsidRPr="004F5BE4">
        <w:rPr>
          <w:rFonts w:hint="eastAsia"/>
          <w:b w:val="0"/>
        </w:rPr>
        <w:lastRenderedPageBreak/>
        <w:t>其他应披露事项</w:t>
      </w:r>
      <w:bookmarkEnd w:id="268"/>
      <w:bookmarkEnd w:id="269"/>
      <w:bookmarkEnd w:id="270"/>
      <w:bookmarkEnd w:id="271"/>
      <w:bookmarkEnd w:id="272"/>
      <w:bookmarkEnd w:id="273"/>
      <w:bookmarkEnd w:id="274"/>
    </w:p>
    <w:p w14:paraId="70C5D870" w14:textId="77777777" w:rsidR="002E3EC6" w:rsidRPr="004F5BE4" w:rsidRDefault="002E3EC6" w:rsidP="004F5BE4">
      <w:pPr>
        <w:adjustRightInd w:val="0"/>
        <w:snapToGrid w:val="0"/>
        <w:spacing w:line="360" w:lineRule="auto"/>
        <w:ind w:firstLineChars="200" w:firstLine="420"/>
        <w:rPr>
          <w:rFonts w:ascii="宋体"/>
          <w:bCs/>
        </w:rPr>
      </w:pPr>
    </w:p>
    <w:p w14:paraId="710D3CC4" w14:textId="77777777" w:rsidR="002E3EC6" w:rsidRPr="004F5BE4" w:rsidRDefault="002E3EC6" w:rsidP="00F05D2A">
      <w:pPr>
        <w:adjustRightInd w:val="0"/>
        <w:snapToGrid w:val="0"/>
        <w:spacing w:line="360" w:lineRule="auto"/>
        <w:ind w:firstLineChars="200" w:firstLine="420"/>
        <w:rPr>
          <w:szCs w:val="21"/>
        </w:rPr>
      </w:pPr>
      <w:r w:rsidRPr="004F5BE4">
        <w:rPr>
          <w:rFonts w:hint="eastAsia"/>
        </w:rPr>
        <w:t>本基金暂无其他应披露事项。</w:t>
      </w:r>
      <w:r w:rsidRPr="004F5BE4">
        <w:rPr>
          <w:rFonts w:hint="eastAsia"/>
          <w:szCs w:val="21"/>
        </w:rPr>
        <w:t>《基金合同》如有未尽事宜，由《基金合同》当事人各方按有关法律法规协商解决。</w:t>
      </w:r>
    </w:p>
    <w:p w14:paraId="23E1239D" w14:textId="77777777" w:rsidR="002E3EC6" w:rsidRPr="004F5BE4" w:rsidRDefault="002E3EC6" w:rsidP="00F05D2A">
      <w:pPr>
        <w:widowControl/>
        <w:snapToGrid w:val="0"/>
        <w:spacing w:line="360" w:lineRule="auto"/>
        <w:ind w:firstLineChars="200" w:firstLine="420"/>
      </w:pPr>
      <w:r w:rsidRPr="004F5BE4">
        <w:br w:type="page"/>
      </w:r>
    </w:p>
    <w:p w14:paraId="0F2013FB" w14:textId="77777777" w:rsidR="002E3EC6" w:rsidRPr="004F5BE4" w:rsidRDefault="002E3EC6" w:rsidP="00F05D2A">
      <w:pPr>
        <w:adjustRightInd w:val="0"/>
        <w:snapToGrid w:val="0"/>
        <w:spacing w:line="360" w:lineRule="auto"/>
        <w:ind w:firstLineChars="200" w:firstLine="420"/>
      </w:pPr>
    </w:p>
    <w:p w14:paraId="5CAB44C5" w14:textId="77777777" w:rsidR="002E3EC6" w:rsidRPr="004F5BE4" w:rsidRDefault="002E3EC6" w:rsidP="00F05D2A">
      <w:pPr>
        <w:pStyle w:val="21"/>
        <w:numPr>
          <w:ilvl w:val="0"/>
          <w:numId w:val="24"/>
        </w:numPr>
        <w:snapToGrid w:val="0"/>
        <w:spacing w:before="0" w:after="0" w:line="360" w:lineRule="auto"/>
        <w:jc w:val="left"/>
        <w:rPr>
          <w:b w:val="0"/>
        </w:rPr>
      </w:pPr>
      <w:bookmarkStart w:id="275" w:name="_Toc369509969"/>
      <w:bookmarkStart w:id="276" w:name="_Toc369510030"/>
      <w:bookmarkStart w:id="277" w:name="_Toc369510003"/>
      <w:bookmarkStart w:id="278" w:name="_Toc369510064"/>
      <w:bookmarkStart w:id="279" w:name="_Toc369510004"/>
      <w:bookmarkStart w:id="280" w:name="_Toc369510065"/>
      <w:bookmarkStart w:id="281" w:name="_Toc327902644"/>
      <w:bookmarkStart w:id="282" w:name="_Toc332013132"/>
      <w:bookmarkStart w:id="283" w:name="_Toc335899855"/>
      <w:bookmarkStart w:id="284" w:name="_Toc336606249"/>
      <w:bookmarkStart w:id="285" w:name="_Toc369510066"/>
      <w:bookmarkStart w:id="286" w:name="_Toc411503283"/>
      <w:bookmarkStart w:id="287" w:name="_Toc47384210"/>
      <w:bookmarkEnd w:id="275"/>
      <w:bookmarkEnd w:id="276"/>
      <w:bookmarkEnd w:id="277"/>
      <w:bookmarkEnd w:id="278"/>
      <w:bookmarkEnd w:id="279"/>
      <w:bookmarkEnd w:id="280"/>
      <w:r w:rsidRPr="004F5BE4">
        <w:rPr>
          <w:rFonts w:hint="eastAsia"/>
          <w:b w:val="0"/>
        </w:rPr>
        <w:t>招募说明书存放及其查阅方式</w:t>
      </w:r>
      <w:bookmarkEnd w:id="281"/>
      <w:bookmarkEnd w:id="282"/>
      <w:bookmarkEnd w:id="283"/>
      <w:bookmarkEnd w:id="284"/>
      <w:bookmarkEnd w:id="285"/>
      <w:bookmarkEnd w:id="286"/>
      <w:bookmarkEnd w:id="287"/>
    </w:p>
    <w:p w14:paraId="317A2970" w14:textId="77777777" w:rsidR="002E3EC6" w:rsidRPr="004F5BE4" w:rsidRDefault="002E3EC6" w:rsidP="00F05D2A">
      <w:pPr>
        <w:snapToGrid w:val="0"/>
        <w:spacing w:line="360" w:lineRule="auto"/>
        <w:ind w:firstLineChars="200" w:firstLine="420"/>
      </w:pPr>
    </w:p>
    <w:p w14:paraId="3694686F" w14:textId="77777777" w:rsidR="002E3EC6" w:rsidRPr="004F5BE4" w:rsidRDefault="002E3EC6" w:rsidP="00F05D2A">
      <w:pPr>
        <w:snapToGrid w:val="0"/>
        <w:spacing w:line="360" w:lineRule="auto"/>
        <w:ind w:firstLineChars="200" w:firstLine="420"/>
      </w:pPr>
      <w:r w:rsidRPr="004F5BE4">
        <w:rPr>
          <w:rFonts w:hint="eastAsia"/>
        </w:rPr>
        <w:t>本招募说明书存放在本基金管理人、基金托管人、基金销售机构的</w:t>
      </w:r>
      <w:r w:rsidRPr="004F5BE4">
        <w:rPr>
          <w:rFonts w:ascii="宋体" w:hAnsi="宋体" w:hint="eastAsia"/>
          <w:szCs w:val="21"/>
        </w:rPr>
        <w:t>住所</w:t>
      </w:r>
      <w:r w:rsidRPr="004F5BE4">
        <w:rPr>
          <w:rFonts w:hint="eastAsia"/>
        </w:rPr>
        <w:t>，投资人可在办公时间免费查阅；也可按工本费购买本招募说明书复制件或复印件，但应以招募说明书正本为准。</w:t>
      </w:r>
    </w:p>
    <w:p w14:paraId="76772D62" w14:textId="77777777" w:rsidR="002E3EC6" w:rsidRPr="004F5BE4" w:rsidRDefault="002E3EC6" w:rsidP="00F05D2A">
      <w:pPr>
        <w:snapToGrid w:val="0"/>
        <w:spacing w:line="360" w:lineRule="auto"/>
        <w:ind w:firstLineChars="200" w:firstLine="420"/>
      </w:pPr>
      <w:r w:rsidRPr="004F5BE4">
        <w:rPr>
          <w:rFonts w:hint="eastAsia"/>
        </w:rPr>
        <w:t>基金管理人和基金托管人保证文本的内容与所公告的内容完全一致。</w:t>
      </w:r>
    </w:p>
    <w:p w14:paraId="5514F83E" w14:textId="77777777" w:rsidR="002E3EC6" w:rsidRPr="004F5BE4" w:rsidRDefault="002E3EC6" w:rsidP="004F5BE4">
      <w:pPr>
        <w:snapToGrid w:val="0"/>
        <w:spacing w:line="360" w:lineRule="auto"/>
        <w:ind w:firstLineChars="200" w:firstLine="420"/>
        <w:rPr>
          <w:bCs/>
        </w:rPr>
      </w:pPr>
    </w:p>
    <w:p w14:paraId="2084553E" w14:textId="77777777" w:rsidR="002E3EC6" w:rsidRPr="006E581D" w:rsidRDefault="002E3EC6" w:rsidP="004F5BE4">
      <w:pPr>
        <w:snapToGrid w:val="0"/>
        <w:spacing w:line="360" w:lineRule="auto"/>
        <w:ind w:firstLineChars="200" w:firstLine="420"/>
        <w:rPr>
          <w:bCs/>
        </w:rPr>
      </w:pPr>
    </w:p>
    <w:p w14:paraId="0FC6E286" w14:textId="77777777" w:rsidR="002E3EC6" w:rsidRPr="004F5BE4" w:rsidRDefault="002E3EC6" w:rsidP="004F5BE4">
      <w:pPr>
        <w:snapToGrid w:val="0"/>
        <w:spacing w:line="360" w:lineRule="auto"/>
        <w:ind w:firstLineChars="200" w:firstLine="420"/>
        <w:rPr>
          <w:bCs/>
        </w:rPr>
      </w:pPr>
    </w:p>
    <w:p w14:paraId="5BECEE98" w14:textId="77777777" w:rsidR="002E3EC6" w:rsidRPr="004F5BE4" w:rsidRDefault="002E3EC6" w:rsidP="00F05D2A">
      <w:pPr>
        <w:pStyle w:val="a8"/>
        <w:snapToGrid w:val="0"/>
        <w:spacing w:line="360" w:lineRule="auto"/>
        <w:ind w:firstLine="422"/>
        <w:rPr>
          <w:bCs/>
          <w:szCs w:val="24"/>
        </w:rPr>
      </w:pPr>
      <w:r w:rsidRPr="004F5BE4">
        <w:rPr>
          <w:bCs/>
          <w:szCs w:val="24"/>
        </w:rPr>
        <w:br w:type="page"/>
      </w:r>
    </w:p>
    <w:p w14:paraId="2B8A14BD" w14:textId="77777777" w:rsidR="002E3EC6" w:rsidRPr="004F5BE4" w:rsidRDefault="002E3EC6" w:rsidP="00F05D2A">
      <w:pPr>
        <w:pStyle w:val="21"/>
        <w:numPr>
          <w:ilvl w:val="0"/>
          <w:numId w:val="24"/>
        </w:numPr>
        <w:snapToGrid w:val="0"/>
        <w:spacing w:before="0" w:after="0" w:line="360" w:lineRule="auto"/>
        <w:jc w:val="left"/>
        <w:rPr>
          <w:b w:val="0"/>
        </w:rPr>
      </w:pPr>
      <w:bookmarkStart w:id="288" w:name="_Toc327902645"/>
      <w:bookmarkStart w:id="289" w:name="_Toc332013133"/>
      <w:bookmarkStart w:id="290" w:name="_Toc335899856"/>
      <w:bookmarkStart w:id="291" w:name="_Toc336606250"/>
      <w:bookmarkStart w:id="292" w:name="_Toc369510067"/>
      <w:bookmarkStart w:id="293" w:name="_Toc411503284"/>
      <w:bookmarkStart w:id="294" w:name="_Toc47384211"/>
      <w:r w:rsidRPr="004F5BE4">
        <w:rPr>
          <w:rFonts w:hint="eastAsia"/>
          <w:b w:val="0"/>
        </w:rPr>
        <w:lastRenderedPageBreak/>
        <w:t>备查文件</w:t>
      </w:r>
      <w:bookmarkEnd w:id="288"/>
      <w:bookmarkEnd w:id="289"/>
      <w:bookmarkEnd w:id="290"/>
      <w:bookmarkEnd w:id="291"/>
      <w:bookmarkEnd w:id="292"/>
      <w:bookmarkEnd w:id="293"/>
      <w:bookmarkEnd w:id="294"/>
    </w:p>
    <w:p w14:paraId="6B4A5021" w14:textId="77777777" w:rsidR="002E3EC6" w:rsidRPr="004F5BE4" w:rsidRDefault="002E3EC6" w:rsidP="00F05D2A">
      <w:pPr>
        <w:tabs>
          <w:tab w:val="num" w:pos="720"/>
        </w:tabs>
        <w:snapToGrid w:val="0"/>
        <w:spacing w:line="360" w:lineRule="auto"/>
        <w:ind w:firstLineChars="416" w:firstLine="874"/>
      </w:pPr>
    </w:p>
    <w:p w14:paraId="1CF0E80B" w14:textId="77777777" w:rsidR="002E3EC6" w:rsidRPr="004F5BE4" w:rsidRDefault="002E3EC6" w:rsidP="00F05D2A">
      <w:pPr>
        <w:adjustRightInd w:val="0"/>
        <w:snapToGrid w:val="0"/>
        <w:spacing w:line="360" w:lineRule="auto"/>
        <w:ind w:firstLineChars="406" w:firstLine="853"/>
        <w:rPr>
          <w:rFonts w:ascii="宋体" w:hAnsi="宋体"/>
        </w:rPr>
      </w:pPr>
      <w:r w:rsidRPr="004F5BE4">
        <w:t>1</w:t>
      </w:r>
      <w:r w:rsidRPr="004F5BE4">
        <w:rPr>
          <w:rFonts w:hint="eastAsia"/>
        </w:rPr>
        <w:t>、</w:t>
      </w:r>
      <w:r w:rsidRPr="004F5BE4">
        <w:rPr>
          <w:rFonts w:ascii="宋体" w:hAnsi="宋体"/>
          <w:szCs w:val="21"/>
        </w:rPr>
        <w:t>中国证监会</w:t>
      </w:r>
      <w:r w:rsidRPr="004F5BE4">
        <w:rPr>
          <w:rFonts w:ascii="宋体" w:hAnsi="宋体" w:hint="eastAsia"/>
          <w:szCs w:val="21"/>
        </w:rPr>
        <w:t>准予</w:t>
      </w:r>
      <w:r w:rsidRPr="004F5BE4">
        <w:rPr>
          <w:rFonts w:ascii="宋体" w:hAnsi="宋体"/>
          <w:szCs w:val="21"/>
        </w:rPr>
        <w:t>本基金</w:t>
      </w:r>
      <w:r w:rsidRPr="004F5BE4">
        <w:rPr>
          <w:rFonts w:ascii="宋体" w:hAnsi="宋体" w:hint="eastAsia"/>
          <w:szCs w:val="21"/>
        </w:rPr>
        <w:t>注册</w:t>
      </w:r>
      <w:r w:rsidRPr="004F5BE4">
        <w:rPr>
          <w:rFonts w:ascii="宋体" w:hAnsi="宋体"/>
          <w:szCs w:val="21"/>
        </w:rPr>
        <w:t>的文件</w:t>
      </w:r>
      <w:r w:rsidRPr="004F5BE4">
        <w:rPr>
          <w:rFonts w:hint="eastAsia"/>
        </w:rPr>
        <w:t>；</w:t>
      </w:r>
    </w:p>
    <w:p w14:paraId="6102B0C1" w14:textId="4DB8C1F4"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2</w:t>
      </w:r>
      <w:r w:rsidRPr="004F5BE4">
        <w:rPr>
          <w:rFonts w:ascii="宋体" w:hAnsi="宋体" w:hint="eastAsia"/>
          <w:szCs w:val="21"/>
        </w:rPr>
        <w:t>、《</w:t>
      </w:r>
      <w:r w:rsidR="00C02FED">
        <w:rPr>
          <w:rFonts w:ascii="宋体" w:hAnsi="宋体" w:hint="eastAsia"/>
          <w:szCs w:val="21"/>
        </w:rPr>
        <w:t>南方行业领先混合型证券投资基金</w:t>
      </w:r>
      <w:r w:rsidRPr="004F5BE4">
        <w:rPr>
          <w:rFonts w:ascii="宋体" w:hAnsi="宋体" w:hint="eastAsia"/>
          <w:szCs w:val="21"/>
        </w:rPr>
        <w:t>基金合同》；</w:t>
      </w:r>
    </w:p>
    <w:p w14:paraId="3F43D63F" w14:textId="43F5927F"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3</w:t>
      </w:r>
      <w:r w:rsidRPr="004F5BE4">
        <w:rPr>
          <w:rFonts w:ascii="宋体" w:hAnsi="宋体" w:hint="eastAsia"/>
          <w:szCs w:val="21"/>
        </w:rPr>
        <w:t>、《</w:t>
      </w:r>
      <w:r w:rsidR="00C02FED">
        <w:rPr>
          <w:rFonts w:ascii="宋体" w:hAnsi="宋体" w:hint="eastAsia"/>
          <w:szCs w:val="21"/>
        </w:rPr>
        <w:t>南方行业领先混合型证券投资基金</w:t>
      </w:r>
      <w:r w:rsidRPr="004F5BE4">
        <w:rPr>
          <w:rFonts w:ascii="宋体" w:hAnsi="宋体" w:hint="eastAsia"/>
          <w:szCs w:val="21"/>
        </w:rPr>
        <w:t>托管协议》；</w:t>
      </w:r>
    </w:p>
    <w:p w14:paraId="287F0B93"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4</w:t>
      </w:r>
      <w:r w:rsidRPr="004F5BE4">
        <w:rPr>
          <w:rFonts w:ascii="宋体" w:hAnsi="宋体" w:hint="eastAsia"/>
          <w:szCs w:val="21"/>
        </w:rPr>
        <w:t>、法律意见书；</w:t>
      </w:r>
    </w:p>
    <w:p w14:paraId="2CEBD454"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5</w:t>
      </w:r>
      <w:r w:rsidRPr="004F5BE4">
        <w:rPr>
          <w:rFonts w:ascii="宋体" w:hAnsi="宋体" w:hint="eastAsia"/>
          <w:szCs w:val="21"/>
        </w:rPr>
        <w:t>、基金管理人业务资格批件、营业执照；</w:t>
      </w:r>
    </w:p>
    <w:p w14:paraId="6E3D70C1"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6</w:t>
      </w:r>
      <w:r w:rsidRPr="004F5BE4">
        <w:rPr>
          <w:rFonts w:ascii="宋体" w:hAnsi="宋体" w:hint="eastAsia"/>
          <w:szCs w:val="21"/>
        </w:rPr>
        <w:t>、基金托管人业务资格批件、营业执照；</w:t>
      </w:r>
    </w:p>
    <w:p w14:paraId="461B9EF0"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7</w:t>
      </w:r>
      <w:r w:rsidRPr="004F5BE4">
        <w:rPr>
          <w:rFonts w:ascii="宋体" w:hAnsi="宋体" w:hint="eastAsia"/>
          <w:szCs w:val="21"/>
        </w:rPr>
        <w:t>、《</w:t>
      </w:r>
      <w:r w:rsidR="002A3484">
        <w:rPr>
          <w:rFonts w:ascii="宋体" w:hAnsi="宋体" w:cs="宋体" w:hint="eastAsia"/>
          <w:kern w:val="0"/>
          <w:szCs w:val="21"/>
        </w:rPr>
        <w:t>南方基金管理股份</w:t>
      </w:r>
      <w:r w:rsidRPr="004F5BE4">
        <w:rPr>
          <w:rFonts w:ascii="宋体" w:hAnsi="宋体" w:cs="宋体" w:hint="eastAsia"/>
          <w:kern w:val="0"/>
          <w:szCs w:val="21"/>
        </w:rPr>
        <w:t>有限公司开放式基金业务规则</w:t>
      </w:r>
      <w:r w:rsidRPr="004F5BE4">
        <w:rPr>
          <w:rFonts w:ascii="宋体" w:hAnsi="宋体" w:hint="eastAsia"/>
          <w:szCs w:val="21"/>
        </w:rPr>
        <w:t>》；</w:t>
      </w:r>
    </w:p>
    <w:p w14:paraId="2CAD3CB9" w14:textId="77777777" w:rsidR="002E3EC6" w:rsidRPr="004F5BE4" w:rsidRDefault="002E3EC6" w:rsidP="00F05D2A">
      <w:pPr>
        <w:tabs>
          <w:tab w:val="num" w:pos="720"/>
        </w:tabs>
        <w:snapToGrid w:val="0"/>
        <w:spacing w:line="360" w:lineRule="auto"/>
        <w:ind w:firstLineChars="416" w:firstLine="874"/>
      </w:pPr>
      <w:r w:rsidRPr="004F5BE4">
        <w:rPr>
          <w:rFonts w:ascii="宋体" w:hAnsi="宋体"/>
          <w:szCs w:val="21"/>
        </w:rPr>
        <w:t>8</w:t>
      </w:r>
      <w:r w:rsidRPr="004F5BE4">
        <w:rPr>
          <w:rFonts w:ascii="宋体" w:hAnsi="宋体" w:hint="eastAsia"/>
          <w:szCs w:val="21"/>
        </w:rPr>
        <w:t>、中国证监会要求的其他文件</w:t>
      </w:r>
      <w:r w:rsidRPr="004F5BE4">
        <w:rPr>
          <w:rFonts w:hint="eastAsia"/>
        </w:rPr>
        <w:t>。</w:t>
      </w:r>
    </w:p>
    <w:p w14:paraId="0CFF4F64" w14:textId="77777777" w:rsidR="003B363B" w:rsidRPr="004F5BE4" w:rsidRDefault="003B363B">
      <w:pPr>
        <w:spacing w:line="360" w:lineRule="auto"/>
        <w:sectPr w:rsidR="003B363B" w:rsidRPr="004F5BE4" w:rsidSect="007B0871">
          <w:headerReference w:type="default" r:id="rId8"/>
          <w:footerReference w:type="default" r:id="rId9"/>
          <w:pgSz w:w="11906" w:h="16838"/>
          <w:pgMar w:top="1440" w:right="1800" w:bottom="1440" w:left="1800" w:header="851" w:footer="992" w:gutter="0"/>
          <w:pgNumType w:start="0"/>
          <w:cols w:space="425"/>
          <w:titlePg/>
          <w:docGrid w:type="lines" w:linePitch="312"/>
        </w:sectPr>
      </w:pPr>
    </w:p>
    <w:p w14:paraId="39955C10" w14:textId="77777777" w:rsidR="00515D15" w:rsidRPr="004F5BE4" w:rsidRDefault="00515D15" w:rsidP="00515D15">
      <w:pPr>
        <w:pStyle w:val="34"/>
        <w:snapToGrid w:val="0"/>
        <w:spacing w:line="360" w:lineRule="auto"/>
        <w:ind w:firstLine="0"/>
        <w:rPr>
          <w:rFonts w:hAnsi="宋体" w:hint="default"/>
          <w:color w:val="000000"/>
          <w:sz w:val="21"/>
        </w:rPr>
      </w:pPr>
    </w:p>
    <w:p w14:paraId="31F99626" w14:textId="44D58960" w:rsidR="00515D15" w:rsidRPr="00DB3C7F" w:rsidRDefault="00DB3C7F" w:rsidP="00515D15">
      <w:pPr>
        <w:pStyle w:val="34"/>
        <w:snapToGrid w:val="0"/>
        <w:spacing w:line="360" w:lineRule="auto"/>
        <w:ind w:firstLine="0"/>
        <w:rPr>
          <w:rFonts w:asciiTheme="minorEastAsia" w:eastAsiaTheme="minorEastAsia" w:hAnsiTheme="minorEastAsia" w:hint="default"/>
          <w:color w:val="000000"/>
          <w:sz w:val="21"/>
          <w:szCs w:val="21"/>
        </w:rPr>
      </w:pPr>
      <w:r w:rsidRPr="00DB3C7F">
        <w:rPr>
          <w:rFonts w:asciiTheme="minorEastAsia" w:eastAsiaTheme="minorEastAsia" w:hAnsiTheme="minorEastAsia"/>
          <w:color w:val="000000"/>
          <w:sz w:val="21"/>
          <w:szCs w:val="21"/>
        </w:rPr>
        <w:t>本页无正文，为《</w:t>
      </w:r>
      <w:r w:rsidR="00C02FED">
        <w:rPr>
          <w:rFonts w:asciiTheme="minorEastAsia" w:eastAsiaTheme="minorEastAsia" w:hAnsiTheme="minorEastAsia"/>
          <w:color w:val="000000"/>
          <w:sz w:val="21"/>
          <w:szCs w:val="21"/>
        </w:rPr>
        <w:t>南方行业领先混合型证券投资基金</w:t>
      </w:r>
      <w:r w:rsidRPr="00DB3C7F">
        <w:rPr>
          <w:rFonts w:asciiTheme="minorEastAsia" w:eastAsiaTheme="minorEastAsia" w:hAnsiTheme="minorEastAsia"/>
          <w:color w:val="000000"/>
          <w:sz w:val="21"/>
          <w:szCs w:val="21"/>
        </w:rPr>
        <w:t>招募说明书》盖章页</w:t>
      </w:r>
    </w:p>
    <w:p w14:paraId="4F01FC75" w14:textId="77777777" w:rsidR="00DB3C7F" w:rsidRDefault="00DB3C7F">
      <w:pPr>
        <w:spacing w:line="360" w:lineRule="auto"/>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 xml:space="preserve">                                                    </w:t>
      </w:r>
    </w:p>
    <w:p w14:paraId="1A3EE761" w14:textId="77777777" w:rsidR="00DB3C7F" w:rsidRPr="00DB3C7F" w:rsidRDefault="00DB3C7F">
      <w:pPr>
        <w:spacing w:line="360" w:lineRule="auto"/>
        <w:rPr>
          <w:rFonts w:asciiTheme="minorEastAsia" w:eastAsiaTheme="minorEastAsia" w:hAnsiTheme="minorEastAsia"/>
          <w:color w:val="000000"/>
          <w:szCs w:val="21"/>
        </w:rPr>
      </w:pPr>
    </w:p>
    <w:p w14:paraId="63483022" w14:textId="5C6852E0" w:rsidR="00961531" w:rsidRDefault="00DB3C7F" w:rsidP="006F2E14">
      <w:pPr>
        <w:spacing w:line="360" w:lineRule="auto"/>
        <w:ind w:firstLineChars="2400" w:firstLine="5040"/>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南方基金管理股份有限公司</w:t>
      </w:r>
    </w:p>
    <w:p w14:paraId="29404AB8" w14:textId="5F3752D0" w:rsidR="00EE7B65" w:rsidRPr="004F5BE4" w:rsidRDefault="00EE7B65" w:rsidP="006F2E14">
      <w:pPr>
        <w:spacing w:line="360" w:lineRule="auto"/>
        <w:ind w:firstLineChars="2400" w:firstLine="5040"/>
      </w:pPr>
      <w:r>
        <w:rPr>
          <w:rFonts w:asciiTheme="minorEastAsia" w:eastAsiaTheme="minorEastAsia" w:hAnsiTheme="minorEastAsia" w:hint="eastAsia"/>
          <w:color w:val="000000"/>
          <w:szCs w:val="21"/>
        </w:rPr>
        <w:t xml:space="preserve">    </w:t>
      </w:r>
    </w:p>
    <w:sectPr w:rsidR="00EE7B65" w:rsidRPr="004F5BE4" w:rsidSect="007B087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6DE70" w14:textId="77777777" w:rsidR="00D8689B" w:rsidRDefault="00D8689B" w:rsidP="00D862FE">
      <w:r>
        <w:separator/>
      </w:r>
    </w:p>
  </w:endnote>
  <w:endnote w:type="continuationSeparator" w:id="0">
    <w:p w14:paraId="6DCD21FA" w14:textId="77777777" w:rsidR="00D8689B" w:rsidRDefault="00D8689B" w:rsidP="00D8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031785"/>
      <w:docPartObj>
        <w:docPartGallery w:val="Page Numbers (Bottom of Page)"/>
        <w:docPartUnique/>
      </w:docPartObj>
    </w:sdtPr>
    <w:sdtContent>
      <w:p w14:paraId="38B1FFB5" w14:textId="3C84ABAF" w:rsidR="00002F83" w:rsidRDefault="00002F83">
        <w:pPr>
          <w:pStyle w:val="af"/>
          <w:jc w:val="center"/>
        </w:pPr>
        <w:r>
          <w:fldChar w:fldCharType="begin"/>
        </w:r>
        <w:r>
          <w:instrText xml:space="preserve"> PAGE   \* MERGEFORMAT </w:instrText>
        </w:r>
        <w:r>
          <w:fldChar w:fldCharType="separate"/>
        </w:r>
        <w:r w:rsidR="00AD1CF9" w:rsidRPr="00AD1CF9">
          <w:rPr>
            <w:noProof/>
            <w:lang w:val="zh-CN"/>
          </w:rPr>
          <w:t>2</w:t>
        </w:r>
        <w:r>
          <w:rPr>
            <w:noProof/>
            <w:lang w:val="zh-CN"/>
          </w:rPr>
          <w:fldChar w:fldCharType="end"/>
        </w:r>
      </w:p>
    </w:sdtContent>
  </w:sdt>
  <w:p w14:paraId="1FABA07E" w14:textId="77777777" w:rsidR="00002F83" w:rsidRDefault="00002F8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BBE82" w14:textId="77777777" w:rsidR="00D8689B" w:rsidRDefault="00D8689B" w:rsidP="00D862FE">
      <w:r>
        <w:separator/>
      </w:r>
    </w:p>
  </w:footnote>
  <w:footnote w:type="continuationSeparator" w:id="0">
    <w:p w14:paraId="5F448BFF" w14:textId="77777777" w:rsidR="00D8689B" w:rsidRDefault="00D8689B" w:rsidP="00D8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0547" w14:textId="77777777" w:rsidR="00002F83" w:rsidRDefault="00002F83" w:rsidP="00566964">
    <w:pPr>
      <w:pStyle w:val="ad"/>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10224DD"/>
    <w:multiLevelType w:val="hybridMultilevel"/>
    <w:tmpl w:val="9BEC19C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1E2E707D"/>
    <w:multiLevelType w:val="hybridMultilevel"/>
    <w:tmpl w:val="7C0EB3C4"/>
    <w:lvl w:ilvl="0" w:tplc="EFB23480">
      <w:start w:val="1"/>
      <w:numFmt w:val="bullet"/>
      <w:lvlText w:val=""/>
      <w:lvlJc w:val="left"/>
      <w:pPr>
        <w:ind w:left="900" w:hanging="420"/>
      </w:pPr>
      <w:rPr>
        <w:rFonts w:ascii="Wingdings" w:hAnsi="Wingdings" w:hint="default"/>
      </w:rPr>
    </w:lvl>
    <w:lvl w:ilvl="1" w:tplc="64709722">
      <w:start w:val="1"/>
      <w:numFmt w:val="bullet"/>
      <w:lvlText w:val=""/>
      <w:lvlJc w:val="left"/>
      <w:pPr>
        <w:ind w:left="1320" w:hanging="420"/>
      </w:pPr>
      <w:rPr>
        <w:rFonts w:ascii="Wingdings" w:hAnsi="Wingdings" w:hint="default"/>
      </w:rPr>
    </w:lvl>
    <w:lvl w:ilvl="2" w:tplc="6AF842A0">
      <w:start w:val="1"/>
      <w:numFmt w:val="bullet"/>
      <w:lvlText w:val=""/>
      <w:lvlJc w:val="left"/>
      <w:pPr>
        <w:ind w:left="1740" w:hanging="420"/>
      </w:pPr>
      <w:rPr>
        <w:rFonts w:ascii="Wingdings" w:hAnsi="Wingdings" w:hint="default"/>
      </w:rPr>
    </w:lvl>
    <w:lvl w:ilvl="3" w:tplc="5058A97A">
      <w:start w:val="1"/>
      <w:numFmt w:val="bullet"/>
      <w:lvlText w:val=""/>
      <w:lvlJc w:val="left"/>
      <w:pPr>
        <w:ind w:left="2160" w:hanging="420"/>
      </w:pPr>
      <w:rPr>
        <w:rFonts w:ascii="Wingdings" w:hAnsi="Wingdings" w:hint="default"/>
      </w:rPr>
    </w:lvl>
    <w:lvl w:ilvl="4" w:tplc="49164C44">
      <w:start w:val="1"/>
      <w:numFmt w:val="bullet"/>
      <w:lvlText w:val=""/>
      <w:lvlJc w:val="left"/>
      <w:pPr>
        <w:ind w:left="2580" w:hanging="420"/>
      </w:pPr>
      <w:rPr>
        <w:rFonts w:ascii="Wingdings" w:hAnsi="Wingdings" w:hint="default"/>
      </w:rPr>
    </w:lvl>
    <w:lvl w:ilvl="5" w:tplc="23C6AECA">
      <w:start w:val="1"/>
      <w:numFmt w:val="bullet"/>
      <w:lvlText w:val=""/>
      <w:lvlJc w:val="left"/>
      <w:pPr>
        <w:ind w:left="3000" w:hanging="420"/>
      </w:pPr>
      <w:rPr>
        <w:rFonts w:ascii="Wingdings" w:hAnsi="Wingdings" w:hint="default"/>
      </w:rPr>
    </w:lvl>
    <w:lvl w:ilvl="6" w:tplc="F84C1172">
      <w:start w:val="1"/>
      <w:numFmt w:val="bullet"/>
      <w:lvlText w:val=""/>
      <w:lvlJc w:val="left"/>
      <w:pPr>
        <w:ind w:left="3420" w:hanging="420"/>
      </w:pPr>
      <w:rPr>
        <w:rFonts w:ascii="Wingdings" w:hAnsi="Wingdings" w:hint="default"/>
      </w:rPr>
    </w:lvl>
    <w:lvl w:ilvl="7" w:tplc="8E96780E">
      <w:start w:val="1"/>
      <w:numFmt w:val="bullet"/>
      <w:lvlText w:val=""/>
      <w:lvlJc w:val="left"/>
      <w:pPr>
        <w:ind w:left="3840" w:hanging="420"/>
      </w:pPr>
      <w:rPr>
        <w:rFonts w:ascii="Wingdings" w:hAnsi="Wingdings" w:hint="default"/>
      </w:rPr>
    </w:lvl>
    <w:lvl w:ilvl="8" w:tplc="1268A1C4">
      <w:start w:val="1"/>
      <w:numFmt w:val="bullet"/>
      <w:lvlText w:val=""/>
      <w:lvlJc w:val="left"/>
      <w:pPr>
        <w:ind w:left="4260" w:hanging="420"/>
      </w:pPr>
      <w:rPr>
        <w:rFonts w:ascii="Wingdings" w:hAnsi="Wingdings" w:hint="default"/>
      </w:rPr>
    </w:lvl>
  </w:abstractNum>
  <w:abstractNum w:abstractNumId="9" w15:restartNumberingAfterBreak="0">
    <w:nsid w:val="22D03BC4"/>
    <w:multiLevelType w:val="hybridMultilevel"/>
    <w:tmpl w:val="046AD726"/>
    <w:lvl w:ilvl="0" w:tplc="64F0E5E0">
      <w:start w:val="1"/>
      <w:numFmt w:val="bullet"/>
      <w:lvlText w:val=""/>
      <w:lvlJc w:val="left"/>
      <w:pPr>
        <w:ind w:left="900" w:hanging="420"/>
      </w:pPr>
      <w:rPr>
        <w:rFonts w:ascii="Wingdings" w:hAnsi="Wingdings" w:hint="default"/>
      </w:rPr>
    </w:lvl>
    <w:lvl w:ilvl="1" w:tplc="63EE24BC">
      <w:start w:val="1"/>
      <w:numFmt w:val="bullet"/>
      <w:lvlText w:val=""/>
      <w:lvlJc w:val="left"/>
      <w:pPr>
        <w:ind w:left="1320" w:hanging="420"/>
      </w:pPr>
      <w:rPr>
        <w:rFonts w:ascii="Wingdings" w:hAnsi="Wingdings" w:hint="default"/>
      </w:rPr>
    </w:lvl>
    <w:lvl w:ilvl="2" w:tplc="82E2BD74">
      <w:start w:val="1"/>
      <w:numFmt w:val="bullet"/>
      <w:lvlText w:val=""/>
      <w:lvlJc w:val="left"/>
      <w:pPr>
        <w:ind w:left="1740" w:hanging="420"/>
      </w:pPr>
      <w:rPr>
        <w:rFonts w:ascii="Wingdings" w:hAnsi="Wingdings" w:hint="default"/>
      </w:rPr>
    </w:lvl>
    <w:lvl w:ilvl="3" w:tplc="9538F8D8">
      <w:start w:val="1"/>
      <w:numFmt w:val="bullet"/>
      <w:lvlText w:val=""/>
      <w:lvlJc w:val="left"/>
      <w:pPr>
        <w:ind w:left="2160" w:hanging="420"/>
      </w:pPr>
      <w:rPr>
        <w:rFonts w:ascii="Wingdings" w:hAnsi="Wingdings" w:hint="default"/>
      </w:rPr>
    </w:lvl>
    <w:lvl w:ilvl="4" w:tplc="16AADE1C">
      <w:start w:val="1"/>
      <w:numFmt w:val="bullet"/>
      <w:lvlText w:val=""/>
      <w:lvlJc w:val="left"/>
      <w:pPr>
        <w:ind w:left="2580" w:hanging="420"/>
      </w:pPr>
      <w:rPr>
        <w:rFonts w:ascii="Wingdings" w:hAnsi="Wingdings" w:hint="default"/>
      </w:rPr>
    </w:lvl>
    <w:lvl w:ilvl="5" w:tplc="657801B6">
      <w:start w:val="1"/>
      <w:numFmt w:val="bullet"/>
      <w:lvlText w:val=""/>
      <w:lvlJc w:val="left"/>
      <w:pPr>
        <w:ind w:left="3000" w:hanging="420"/>
      </w:pPr>
      <w:rPr>
        <w:rFonts w:ascii="Wingdings" w:hAnsi="Wingdings" w:hint="default"/>
      </w:rPr>
    </w:lvl>
    <w:lvl w:ilvl="6" w:tplc="E918C4B2">
      <w:start w:val="1"/>
      <w:numFmt w:val="bullet"/>
      <w:lvlText w:val=""/>
      <w:lvlJc w:val="left"/>
      <w:pPr>
        <w:ind w:left="3420" w:hanging="420"/>
      </w:pPr>
      <w:rPr>
        <w:rFonts w:ascii="Wingdings" w:hAnsi="Wingdings" w:hint="default"/>
      </w:rPr>
    </w:lvl>
    <w:lvl w:ilvl="7" w:tplc="7284A88C">
      <w:start w:val="1"/>
      <w:numFmt w:val="bullet"/>
      <w:lvlText w:val=""/>
      <w:lvlJc w:val="left"/>
      <w:pPr>
        <w:ind w:left="3840" w:hanging="420"/>
      </w:pPr>
      <w:rPr>
        <w:rFonts w:ascii="Wingdings" w:hAnsi="Wingdings" w:hint="default"/>
      </w:rPr>
    </w:lvl>
    <w:lvl w:ilvl="8" w:tplc="8B4695DC">
      <w:start w:val="1"/>
      <w:numFmt w:val="bullet"/>
      <w:lvlText w:val=""/>
      <w:lvlJc w:val="left"/>
      <w:pPr>
        <w:ind w:left="4260" w:hanging="420"/>
      </w:pPr>
      <w:rPr>
        <w:rFonts w:ascii="Wingdings" w:hAnsi="Wingdings" w:hint="default"/>
      </w:rPr>
    </w:lvl>
  </w:abstractNum>
  <w:abstractNum w:abstractNumId="10" w15:restartNumberingAfterBreak="0">
    <w:nsid w:val="286153D8"/>
    <w:multiLevelType w:val="hybridMultilevel"/>
    <w:tmpl w:val="B8AC20C4"/>
    <w:lvl w:ilvl="0" w:tplc="771CFF7E">
      <w:start w:val="4"/>
      <w:numFmt w:val="decimal"/>
      <w:suff w:val="nothing"/>
      <w:lvlText w:val="%1、"/>
      <w:lvlJc w:val="left"/>
    </w:lvl>
    <w:lvl w:ilvl="1" w:tplc="22CE9EF8">
      <w:start w:val="1"/>
      <w:numFmt w:val="bullet"/>
      <w:lvlText w:val="o"/>
      <w:lvlJc w:val="left"/>
      <w:pPr>
        <w:ind w:left="1440" w:hanging="360"/>
      </w:pPr>
      <w:rPr>
        <w:rFonts w:ascii="Courier New" w:eastAsia="Courier New" w:hAnsi="Courier New" w:cs="Courier New" w:hint="default"/>
      </w:rPr>
    </w:lvl>
    <w:lvl w:ilvl="2" w:tplc="257EB30E">
      <w:start w:val="1"/>
      <w:numFmt w:val="bullet"/>
      <w:lvlText w:val="§"/>
      <w:lvlJc w:val="left"/>
      <w:pPr>
        <w:ind w:left="2160" w:hanging="360"/>
      </w:pPr>
      <w:rPr>
        <w:rFonts w:ascii="Wingdings" w:eastAsia="Wingdings" w:hAnsi="Wingdings" w:cs="Wingdings" w:hint="default"/>
      </w:rPr>
    </w:lvl>
    <w:lvl w:ilvl="3" w:tplc="AA6C8C88">
      <w:start w:val="1"/>
      <w:numFmt w:val="bullet"/>
      <w:lvlText w:val="·"/>
      <w:lvlJc w:val="left"/>
      <w:pPr>
        <w:ind w:left="2880" w:hanging="360"/>
      </w:pPr>
      <w:rPr>
        <w:rFonts w:ascii="Symbol" w:eastAsia="Symbol" w:hAnsi="Symbol" w:cs="Symbol" w:hint="default"/>
      </w:rPr>
    </w:lvl>
    <w:lvl w:ilvl="4" w:tplc="E8DE1B64">
      <w:start w:val="1"/>
      <w:numFmt w:val="bullet"/>
      <w:lvlText w:val="o"/>
      <w:lvlJc w:val="left"/>
      <w:pPr>
        <w:ind w:left="3600" w:hanging="360"/>
      </w:pPr>
      <w:rPr>
        <w:rFonts w:ascii="Courier New" w:eastAsia="Courier New" w:hAnsi="Courier New" w:cs="Courier New" w:hint="default"/>
      </w:rPr>
    </w:lvl>
    <w:lvl w:ilvl="5" w:tplc="1BAE48A0">
      <w:start w:val="1"/>
      <w:numFmt w:val="bullet"/>
      <w:lvlText w:val="§"/>
      <w:lvlJc w:val="left"/>
      <w:pPr>
        <w:ind w:left="4320" w:hanging="360"/>
      </w:pPr>
      <w:rPr>
        <w:rFonts w:ascii="Wingdings" w:eastAsia="Wingdings" w:hAnsi="Wingdings" w:cs="Wingdings" w:hint="default"/>
      </w:rPr>
    </w:lvl>
    <w:lvl w:ilvl="6" w:tplc="7958B630">
      <w:start w:val="1"/>
      <w:numFmt w:val="bullet"/>
      <w:lvlText w:val="·"/>
      <w:lvlJc w:val="left"/>
      <w:pPr>
        <w:ind w:left="5040" w:hanging="360"/>
      </w:pPr>
      <w:rPr>
        <w:rFonts w:ascii="Symbol" w:eastAsia="Symbol" w:hAnsi="Symbol" w:cs="Symbol" w:hint="default"/>
      </w:rPr>
    </w:lvl>
    <w:lvl w:ilvl="7" w:tplc="D78A5460">
      <w:start w:val="1"/>
      <w:numFmt w:val="bullet"/>
      <w:lvlText w:val="o"/>
      <w:lvlJc w:val="left"/>
      <w:pPr>
        <w:ind w:left="5760" w:hanging="360"/>
      </w:pPr>
      <w:rPr>
        <w:rFonts w:ascii="Courier New" w:eastAsia="Courier New" w:hAnsi="Courier New" w:cs="Courier New" w:hint="default"/>
      </w:rPr>
    </w:lvl>
    <w:lvl w:ilvl="8" w:tplc="3BB8569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15:restartNumberingAfterBreak="0">
    <w:nsid w:val="38014636"/>
    <w:multiLevelType w:val="hybridMultilevel"/>
    <w:tmpl w:val="C962582A"/>
    <w:name w:val="AODoc222"/>
    <w:lvl w:ilvl="0" w:tplc="9BFC871A">
      <w:start w:val="1"/>
      <w:numFmt w:val="chineseCountingThousand"/>
      <w:lvlText w:val="第%1部分"/>
      <w:lvlJc w:val="left"/>
      <w:pPr>
        <w:tabs>
          <w:tab w:val="num" w:pos="420"/>
        </w:tabs>
        <w:ind w:left="420" w:hanging="420"/>
      </w:pPr>
      <w:rPr>
        <w:rFonts w:hint="eastAsia"/>
      </w:rPr>
    </w:lvl>
    <w:lvl w:ilvl="1" w:tplc="5FC0B60A" w:tentative="1">
      <w:start w:val="1"/>
      <w:numFmt w:val="lowerLetter"/>
      <w:lvlText w:val="%2)"/>
      <w:lvlJc w:val="left"/>
      <w:pPr>
        <w:tabs>
          <w:tab w:val="num" w:pos="840"/>
        </w:tabs>
        <w:ind w:left="840" w:hanging="420"/>
      </w:pPr>
    </w:lvl>
    <w:lvl w:ilvl="2" w:tplc="344A6B46" w:tentative="1">
      <w:start w:val="1"/>
      <w:numFmt w:val="lowerRoman"/>
      <w:lvlText w:val="%3."/>
      <w:lvlJc w:val="right"/>
      <w:pPr>
        <w:tabs>
          <w:tab w:val="num" w:pos="1260"/>
        </w:tabs>
        <w:ind w:left="1260" w:hanging="420"/>
      </w:pPr>
    </w:lvl>
    <w:lvl w:ilvl="3" w:tplc="E6F27FE8" w:tentative="1">
      <w:start w:val="1"/>
      <w:numFmt w:val="decimal"/>
      <w:lvlText w:val="%4."/>
      <w:lvlJc w:val="left"/>
      <w:pPr>
        <w:tabs>
          <w:tab w:val="num" w:pos="1680"/>
        </w:tabs>
        <w:ind w:left="1680" w:hanging="420"/>
      </w:pPr>
    </w:lvl>
    <w:lvl w:ilvl="4" w:tplc="50203F90" w:tentative="1">
      <w:start w:val="1"/>
      <w:numFmt w:val="lowerLetter"/>
      <w:lvlText w:val="%5)"/>
      <w:lvlJc w:val="left"/>
      <w:pPr>
        <w:tabs>
          <w:tab w:val="num" w:pos="2100"/>
        </w:tabs>
        <w:ind w:left="2100" w:hanging="420"/>
      </w:pPr>
    </w:lvl>
    <w:lvl w:ilvl="5" w:tplc="F98401D8" w:tentative="1">
      <w:start w:val="1"/>
      <w:numFmt w:val="lowerRoman"/>
      <w:lvlText w:val="%6."/>
      <w:lvlJc w:val="right"/>
      <w:pPr>
        <w:tabs>
          <w:tab w:val="num" w:pos="2520"/>
        </w:tabs>
        <w:ind w:left="2520" w:hanging="420"/>
      </w:pPr>
    </w:lvl>
    <w:lvl w:ilvl="6" w:tplc="3CC6FD10" w:tentative="1">
      <w:start w:val="1"/>
      <w:numFmt w:val="decimal"/>
      <w:lvlText w:val="%7."/>
      <w:lvlJc w:val="left"/>
      <w:pPr>
        <w:tabs>
          <w:tab w:val="num" w:pos="2940"/>
        </w:tabs>
        <w:ind w:left="2940" w:hanging="420"/>
      </w:pPr>
    </w:lvl>
    <w:lvl w:ilvl="7" w:tplc="F09E953E" w:tentative="1">
      <w:start w:val="1"/>
      <w:numFmt w:val="lowerLetter"/>
      <w:lvlText w:val="%8)"/>
      <w:lvlJc w:val="left"/>
      <w:pPr>
        <w:tabs>
          <w:tab w:val="num" w:pos="3360"/>
        </w:tabs>
        <w:ind w:left="3360" w:hanging="420"/>
      </w:pPr>
    </w:lvl>
    <w:lvl w:ilvl="8" w:tplc="FC947344" w:tentative="1">
      <w:start w:val="1"/>
      <w:numFmt w:val="lowerRoman"/>
      <w:lvlText w:val="%9."/>
      <w:lvlJc w:val="right"/>
      <w:pPr>
        <w:tabs>
          <w:tab w:val="num" w:pos="3780"/>
        </w:tabs>
        <w:ind w:left="3780" w:hanging="420"/>
      </w:pPr>
    </w:lvl>
  </w:abstractNum>
  <w:abstractNum w:abstractNumId="14" w15:restartNumberingAfterBreak="0">
    <w:nsid w:val="3AF62B5D"/>
    <w:multiLevelType w:val="hybridMultilevel"/>
    <w:tmpl w:val="4964EF1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7"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9" w15:restartNumberingAfterBreak="0">
    <w:nsid w:val="46E33CAB"/>
    <w:multiLevelType w:val="hybridMultilevel"/>
    <w:tmpl w:val="816456F2"/>
    <w:name w:val="AOTOC67"/>
    <w:lvl w:ilvl="0" w:tplc="4FE42C9A">
      <w:start w:val="1"/>
      <w:numFmt w:val="decimal"/>
      <w:lvlText w:val="%1)"/>
      <w:lvlJc w:val="left"/>
      <w:pPr>
        <w:ind w:left="845" w:hanging="420"/>
      </w:pPr>
    </w:lvl>
    <w:lvl w:ilvl="1" w:tplc="74AE9CEA" w:tentative="1">
      <w:start w:val="1"/>
      <w:numFmt w:val="lowerLetter"/>
      <w:lvlText w:val="%2)"/>
      <w:lvlJc w:val="left"/>
      <w:pPr>
        <w:ind w:left="1265" w:hanging="420"/>
      </w:pPr>
    </w:lvl>
    <w:lvl w:ilvl="2" w:tplc="626A087E" w:tentative="1">
      <w:start w:val="1"/>
      <w:numFmt w:val="lowerRoman"/>
      <w:lvlText w:val="%3."/>
      <w:lvlJc w:val="right"/>
      <w:pPr>
        <w:ind w:left="1685" w:hanging="420"/>
      </w:pPr>
    </w:lvl>
    <w:lvl w:ilvl="3" w:tplc="2A1CFA86" w:tentative="1">
      <w:start w:val="1"/>
      <w:numFmt w:val="decimal"/>
      <w:lvlText w:val="%4."/>
      <w:lvlJc w:val="left"/>
      <w:pPr>
        <w:ind w:left="2105" w:hanging="420"/>
      </w:pPr>
    </w:lvl>
    <w:lvl w:ilvl="4" w:tplc="B284E700" w:tentative="1">
      <w:start w:val="1"/>
      <w:numFmt w:val="lowerLetter"/>
      <w:lvlText w:val="%5)"/>
      <w:lvlJc w:val="left"/>
      <w:pPr>
        <w:ind w:left="2525" w:hanging="420"/>
      </w:pPr>
    </w:lvl>
    <w:lvl w:ilvl="5" w:tplc="8C344544" w:tentative="1">
      <w:start w:val="1"/>
      <w:numFmt w:val="lowerRoman"/>
      <w:lvlText w:val="%6."/>
      <w:lvlJc w:val="right"/>
      <w:pPr>
        <w:ind w:left="2945" w:hanging="420"/>
      </w:pPr>
    </w:lvl>
    <w:lvl w:ilvl="6" w:tplc="AF42209A" w:tentative="1">
      <w:start w:val="1"/>
      <w:numFmt w:val="decimal"/>
      <w:lvlText w:val="%7."/>
      <w:lvlJc w:val="left"/>
      <w:pPr>
        <w:ind w:left="3365" w:hanging="420"/>
      </w:pPr>
    </w:lvl>
    <w:lvl w:ilvl="7" w:tplc="12464A34" w:tentative="1">
      <w:start w:val="1"/>
      <w:numFmt w:val="lowerLetter"/>
      <w:lvlText w:val="%8)"/>
      <w:lvlJc w:val="left"/>
      <w:pPr>
        <w:ind w:left="3785" w:hanging="420"/>
      </w:pPr>
    </w:lvl>
    <w:lvl w:ilvl="8" w:tplc="0D68B278" w:tentative="1">
      <w:start w:val="1"/>
      <w:numFmt w:val="lowerRoman"/>
      <w:lvlText w:val="%9."/>
      <w:lvlJc w:val="right"/>
      <w:pPr>
        <w:ind w:left="4205" w:hanging="420"/>
      </w:pPr>
    </w:lvl>
  </w:abstractNum>
  <w:abstractNum w:abstractNumId="20" w15:restartNumberingAfterBreak="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90A36CC"/>
    <w:multiLevelType w:val="hybridMultilevel"/>
    <w:tmpl w:val="CE8E9776"/>
    <w:lvl w:ilvl="0" w:tplc="1FC89422">
      <w:start w:val="1"/>
      <w:numFmt w:val="bullet"/>
      <w:lvlText w:val=""/>
      <w:lvlJc w:val="left"/>
      <w:pPr>
        <w:tabs>
          <w:tab w:val="num" w:pos="360"/>
        </w:tabs>
        <w:ind w:left="360" w:hanging="360"/>
      </w:pPr>
      <w:rPr>
        <w:rFonts w:ascii="Symbol" w:hAnsi="Symbol" w:hint="default"/>
        <w:color w:val="auto"/>
      </w:rPr>
    </w:lvl>
    <w:lvl w:ilvl="1" w:tplc="54465E1A">
      <w:start w:val="1"/>
      <w:numFmt w:val="bullet"/>
      <w:lvlText w:val="o"/>
      <w:lvlJc w:val="left"/>
      <w:pPr>
        <w:ind w:left="1440" w:hanging="360"/>
      </w:pPr>
      <w:rPr>
        <w:rFonts w:ascii="Courier New" w:eastAsia="Courier New" w:hAnsi="Courier New" w:cs="Courier New" w:hint="default"/>
      </w:rPr>
    </w:lvl>
    <w:lvl w:ilvl="2" w:tplc="70502238">
      <w:start w:val="1"/>
      <w:numFmt w:val="bullet"/>
      <w:lvlText w:val="§"/>
      <w:lvlJc w:val="left"/>
      <w:pPr>
        <w:ind w:left="2160" w:hanging="360"/>
      </w:pPr>
      <w:rPr>
        <w:rFonts w:ascii="Wingdings" w:eastAsia="Wingdings" w:hAnsi="Wingdings" w:cs="Wingdings" w:hint="default"/>
      </w:rPr>
    </w:lvl>
    <w:lvl w:ilvl="3" w:tplc="1BAE3C86">
      <w:start w:val="1"/>
      <w:numFmt w:val="bullet"/>
      <w:lvlText w:val="·"/>
      <w:lvlJc w:val="left"/>
      <w:pPr>
        <w:ind w:left="2880" w:hanging="360"/>
      </w:pPr>
      <w:rPr>
        <w:rFonts w:ascii="Symbol" w:eastAsia="Symbol" w:hAnsi="Symbol" w:cs="Symbol" w:hint="default"/>
      </w:rPr>
    </w:lvl>
    <w:lvl w:ilvl="4" w:tplc="4E625860">
      <w:start w:val="1"/>
      <w:numFmt w:val="bullet"/>
      <w:lvlText w:val="o"/>
      <w:lvlJc w:val="left"/>
      <w:pPr>
        <w:ind w:left="3600" w:hanging="360"/>
      </w:pPr>
      <w:rPr>
        <w:rFonts w:ascii="Courier New" w:eastAsia="Courier New" w:hAnsi="Courier New" w:cs="Courier New" w:hint="default"/>
      </w:rPr>
    </w:lvl>
    <w:lvl w:ilvl="5" w:tplc="C576B1C0">
      <w:start w:val="1"/>
      <w:numFmt w:val="bullet"/>
      <w:lvlText w:val="§"/>
      <w:lvlJc w:val="left"/>
      <w:pPr>
        <w:ind w:left="4320" w:hanging="360"/>
      </w:pPr>
      <w:rPr>
        <w:rFonts w:ascii="Wingdings" w:eastAsia="Wingdings" w:hAnsi="Wingdings" w:cs="Wingdings" w:hint="default"/>
      </w:rPr>
    </w:lvl>
    <w:lvl w:ilvl="6" w:tplc="B4BE7C30">
      <w:start w:val="1"/>
      <w:numFmt w:val="bullet"/>
      <w:lvlText w:val="·"/>
      <w:lvlJc w:val="left"/>
      <w:pPr>
        <w:ind w:left="5040" w:hanging="360"/>
      </w:pPr>
      <w:rPr>
        <w:rFonts w:ascii="Symbol" w:eastAsia="Symbol" w:hAnsi="Symbol" w:cs="Symbol" w:hint="default"/>
      </w:rPr>
    </w:lvl>
    <w:lvl w:ilvl="7" w:tplc="DD547932">
      <w:start w:val="1"/>
      <w:numFmt w:val="bullet"/>
      <w:lvlText w:val="o"/>
      <w:lvlJc w:val="left"/>
      <w:pPr>
        <w:ind w:left="5760" w:hanging="360"/>
      </w:pPr>
      <w:rPr>
        <w:rFonts w:ascii="Courier New" w:eastAsia="Courier New" w:hAnsi="Courier New" w:cs="Courier New" w:hint="default"/>
      </w:rPr>
    </w:lvl>
    <w:lvl w:ilvl="8" w:tplc="D316803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9C66851"/>
    <w:multiLevelType w:val="multilevel"/>
    <w:tmpl w:val="62968DB0"/>
    <w:name w:val="AOBullet4"/>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D1A3004"/>
    <w:multiLevelType w:val="hybridMultilevel"/>
    <w:tmpl w:val="4C3E7F60"/>
    <w:name w:val="AOGen2"/>
    <w:lvl w:ilvl="0" w:tplc="808CFAC0">
      <w:start w:val="1"/>
      <w:numFmt w:val="decimal"/>
      <w:lvlText w:val="%1."/>
      <w:lvlJc w:val="left"/>
      <w:pPr>
        <w:ind w:left="900" w:hanging="420"/>
      </w:pPr>
      <w:rPr>
        <w:rFonts w:ascii="宋体" w:eastAsia="宋体" w:hAnsi="宋体"/>
      </w:rPr>
    </w:lvl>
    <w:lvl w:ilvl="1" w:tplc="4600D4C0" w:tentative="1">
      <w:start w:val="1"/>
      <w:numFmt w:val="lowerLetter"/>
      <w:lvlText w:val="%2)"/>
      <w:lvlJc w:val="left"/>
      <w:pPr>
        <w:ind w:left="1320" w:hanging="420"/>
      </w:pPr>
    </w:lvl>
    <w:lvl w:ilvl="2" w:tplc="8AD0E0CA" w:tentative="1">
      <w:start w:val="1"/>
      <w:numFmt w:val="lowerRoman"/>
      <w:lvlText w:val="%3."/>
      <w:lvlJc w:val="right"/>
      <w:pPr>
        <w:ind w:left="1740" w:hanging="420"/>
      </w:pPr>
    </w:lvl>
    <w:lvl w:ilvl="3" w:tplc="4424809C" w:tentative="1">
      <w:start w:val="1"/>
      <w:numFmt w:val="decimal"/>
      <w:lvlText w:val="%4."/>
      <w:lvlJc w:val="left"/>
      <w:pPr>
        <w:ind w:left="2160" w:hanging="420"/>
      </w:pPr>
    </w:lvl>
    <w:lvl w:ilvl="4" w:tplc="5F16342E" w:tentative="1">
      <w:start w:val="1"/>
      <w:numFmt w:val="lowerLetter"/>
      <w:lvlText w:val="%5)"/>
      <w:lvlJc w:val="left"/>
      <w:pPr>
        <w:ind w:left="2580" w:hanging="420"/>
      </w:pPr>
    </w:lvl>
    <w:lvl w:ilvl="5" w:tplc="1AE4DF00" w:tentative="1">
      <w:start w:val="1"/>
      <w:numFmt w:val="lowerRoman"/>
      <w:lvlText w:val="%6."/>
      <w:lvlJc w:val="right"/>
      <w:pPr>
        <w:ind w:left="3000" w:hanging="420"/>
      </w:pPr>
    </w:lvl>
    <w:lvl w:ilvl="6" w:tplc="AB567BE0" w:tentative="1">
      <w:start w:val="1"/>
      <w:numFmt w:val="decimal"/>
      <w:lvlText w:val="%7."/>
      <w:lvlJc w:val="left"/>
      <w:pPr>
        <w:ind w:left="3420" w:hanging="420"/>
      </w:pPr>
    </w:lvl>
    <w:lvl w:ilvl="7" w:tplc="AD6201C4" w:tentative="1">
      <w:start w:val="1"/>
      <w:numFmt w:val="lowerLetter"/>
      <w:lvlText w:val="%8)"/>
      <w:lvlJc w:val="left"/>
      <w:pPr>
        <w:ind w:left="3840" w:hanging="420"/>
      </w:pPr>
    </w:lvl>
    <w:lvl w:ilvl="8" w:tplc="139CB128" w:tentative="1">
      <w:start w:val="1"/>
      <w:numFmt w:val="lowerRoman"/>
      <w:lvlText w:val="%9."/>
      <w:lvlJc w:val="right"/>
      <w:pPr>
        <w:ind w:left="4260" w:hanging="420"/>
      </w:pPr>
    </w:lvl>
  </w:abstractNum>
  <w:abstractNum w:abstractNumId="26" w15:restartNumberingAfterBreak="0">
    <w:nsid w:val="4E4B4E3E"/>
    <w:multiLevelType w:val="multilevel"/>
    <w:tmpl w:val="EFA8A052"/>
    <w:name w:val="AODo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F786B9D"/>
    <w:multiLevelType w:val="hybridMultilevel"/>
    <w:tmpl w:val="6BEA7ACA"/>
    <w:lvl w:ilvl="0" w:tplc="FC666A9A">
      <w:start w:val="1"/>
      <w:numFmt w:val="bullet"/>
      <w:lvlText w:val=""/>
      <w:lvlJc w:val="left"/>
      <w:pPr>
        <w:ind w:left="900" w:hanging="420"/>
      </w:pPr>
      <w:rPr>
        <w:rFonts w:ascii="Wingdings" w:hAnsi="Wingdings" w:hint="default"/>
      </w:rPr>
    </w:lvl>
    <w:lvl w:ilvl="1" w:tplc="2B1646B6">
      <w:start w:val="1"/>
      <w:numFmt w:val="bullet"/>
      <w:lvlText w:val=""/>
      <w:lvlJc w:val="left"/>
      <w:pPr>
        <w:ind w:left="1320" w:hanging="420"/>
      </w:pPr>
      <w:rPr>
        <w:rFonts w:ascii="Wingdings" w:hAnsi="Wingdings" w:hint="default"/>
      </w:rPr>
    </w:lvl>
    <w:lvl w:ilvl="2" w:tplc="3982A2AE">
      <w:start w:val="1"/>
      <w:numFmt w:val="bullet"/>
      <w:lvlText w:val=""/>
      <w:lvlJc w:val="left"/>
      <w:pPr>
        <w:ind w:left="1740" w:hanging="420"/>
      </w:pPr>
      <w:rPr>
        <w:rFonts w:ascii="Wingdings" w:hAnsi="Wingdings" w:hint="default"/>
      </w:rPr>
    </w:lvl>
    <w:lvl w:ilvl="3" w:tplc="66B82FC2">
      <w:start w:val="1"/>
      <w:numFmt w:val="bullet"/>
      <w:lvlText w:val=""/>
      <w:lvlJc w:val="left"/>
      <w:pPr>
        <w:ind w:left="2160" w:hanging="420"/>
      </w:pPr>
      <w:rPr>
        <w:rFonts w:ascii="Wingdings" w:hAnsi="Wingdings" w:hint="default"/>
      </w:rPr>
    </w:lvl>
    <w:lvl w:ilvl="4" w:tplc="6D04C6F8">
      <w:start w:val="1"/>
      <w:numFmt w:val="bullet"/>
      <w:lvlText w:val=""/>
      <w:lvlJc w:val="left"/>
      <w:pPr>
        <w:ind w:left="2580" w:hanging="420"/>
      </w:pPr>
      <w:rPr>
        <w:rFonts w:ascii="Wingdings" w:hAnsi="Wingdings" w:hint="default"/>
      </w:rPr>
    </w:lvl>
    <w:lvl w:ilvl="5" w:tplc="B3404C1C">
      <w:start w:val="1"/>
      <w:numFmt w:val="bullet"/>
      <w:lvlText w:val=""/>
      <w:lvlJc w:val="left"/>
      <w:pPr>
        <w:ind w:left="3000" w:hanging="420"/>
      </w:pPr>
      <w:rPr>
        <w:rFonts w:ascii="Wingdings" w:hAnsi="Wingdings" w:hint="default"/>
      </w:rPr>
    </w:lvl>
    <w:lvl w:ilvl="6" w:tplc="5DFCE436">
      <w:start w:val="1"/>
      <w:numFmt w:val="bullet"/>
      <w:lvlText w:val=""/>
      <w:lvlJc w:val="left"/>
      <w:pPr>
        <w:ind w:left="3420" w:hanging="420"/>
      </w:pPr>
      <w:rPr>
        <w:rFonts w:ascii="Wingdings" w:hAnsi="Wingdings" w:hint="default"/>
      </w:rPr>
    </w:lvl>
    <w:lvl w:ilvl="7" w:tplc="6EB48F5E">
      <w:start w:val="1"/>
      <w:numFmt w:val="bullet"/>
      <w:lvlText w:val=""/>
      <w:lvlJc w:val="left"/>
      <w:pPr>
        <w:ind w:left="3840" w:hanging="420"/>
      </w:pPr>
      <w:rPr>
        <w:rFonts w:ascii="Wingdings" w:hAnsi="Wingdings" w:hint="default"/>
      </w:rPr>
    </w:lvl>
    <w:lvl w:ilvl="8" w:tplc="7A987C88">
      <w:start w:val="1"/>
      <w:numFmt w:val="bullet"/>
      <w:lvlText w:val=""/>
      <w:lvlJc w:val="left"/>
      <w:pPr>
        <w:ind w:left="4260" w:hanging="420"/>
      </w:pPr>
      <w:rPr>
        <w:rFonts w:ascii="Wingdings" w:hAnsi="Wingdings" w:hint="default"/>
      </w:rPr>
    </w:lvl>
  </w:abstractNum>
  <w:abstractNum w:abstractNumId="28" w15:restartNumberingAfterBreak="0">
    <w:nsid w:val="547D73EE"/>
    <w:multiLevelType w:val="multilevel"/>
    <w:tmpl w:val="D63AF10C"/>
    <w:name w:val="AOGen3"/>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5A7249B"/>
    <w:multiLevelType w:val="hybridMultilevel"/>
    <w:tmpl w:val="28DCFE28"/>
    <w:name w:val="AOAnx"/>
    <w:lvl w:ilvl="0" w:tplc="19A2C7F2">
      <w:start w:val="1"/>
      <w:numFmt w:val="decimal"/>
      <w:lvlText w:val="3.%1"/>
      <w:lvlJc w:val="left"/>
      <w:pPr>
        <w:ind w:left="1138" w:hanging="420"/>
      </w:pPr>
      <w:rPr>
        <w:rFonts w:ascii="黑体" w:eastAsia="黑体" w:hint="eastAsia"/>
        <w:sz w:val="32"/>
        <w:szCs w:val="32"/>
      </w:rPr>
    </w:lvl>
    <w:lvl w:ilvl="1" w:tplc="2B0CD83A" w:tentative="1">
      <w:start w:val="1"/>
      <w:numFmt w:val="lowerLetter"/>
      <w:lvlText w:val="%2)"/>
      <w:lvlJc w:val="left"/>
      <w:pPr>
        <w:ind w:left="1558" w:hanging="420"/>
      </w:pPr>
    </w:lvl>
    <w:lvl w:ilvl="2" w:tplc="BF98E400" w:tentative="1">
      <w:start w:val="1"/>
      <w:numFmt w:val="lowerRoman"/>
      <w:lvlText w:val="%3."/>
      <w:lvlJc w:val="right"/>
      <w:pPr>
        <w:ind w:left="1978" w:hanging="420"/>
      </w:pPr>
    </w:lvl>
    <w:lvl w:ilvl="3" w:tplc="80641638" w:tentative="1">
      <w:start w:val="1"/>
      <w:numFmt w:val="decimal"/>
      <w:lvlText w:val="%4."/>
      <w:lvlJc w:val="left"/>
      <w:pPr>
        <w:ind w:left="2398" w:hanging="420"/>
      </w:pPr>
    </w:lvl>
    <w:lvl w:ilvl="4" w:tplc="CE067A04" w:tentative="1">
      <w:start w:val="1"/>
      <w:numFmt w:val="lowerLetter"/>
      <w:lvlText w:val="%5)"/>
      <w:lvlJc w:val="left"/>
      <w:pPr>
        <w:ind w:left="2818" w:hanging="420"/>
      </w:pPr>
    </w:lvl>
    <w:lvl w:ilvl="5" w:tplc="5F94357E" w:tentative="1">
      <w:start w:val="1"/>
      <w:numFmt w:val="lowerRoman"/>
      <w:lvlText w:val="%6."/>
      <w:lvlJc w:val="right"/>
      <w:pPr>
        <w:ind w:left="3238" w:hanging="420"/>
      </w:pPr>
    </w:lvl>
    <w:lvl w:ilvl="6" w:tplc="A8D46E50" w:tentative="1">
      <w:start w:val="1"/>
      <w:numFmt w:val="decimal"/>
      <w:lvlText w:val="%7."/>
      <w:lvlJc w:val="left"/>
      <w:pPr>
        <w:ind w:left="3658" w:hanging="420"/>
      </w:pPr>
    </w:lvl>
    <w:lvl w:ilvl="7" w:tplc="7522310C" w:tentative="1">
      <w:start w:val="1"/>
      <w:numFmt w:val="lowerLetter"/>
      <w:lvlText w:val="%8)"/>
      <w:lvlJc w:val="left"/>
      <w:pPr>
        <w:ind w:left="4078" w:hanging="420"/>
      </w:pPr>
    </w:lvl>
    <w:lvl w:ilvl="8" w:tplc="DFDEF946" w:tentative="1">
      <w:start w:val="1"/>
      <w:numFmt w:val="lowerRoman"/>
      <w:lvlText w:val="%9."/>
      <w:lvlJc w:val="right"/>
      <w:pPr>
        <w:ind w:left="4498" w:hanging="420"/>
      </w:pPr>
    </w:lvl>
  </w:abstractNum>
  <w:abstractNum w:abstractNumId="30" w15:restartNumberingAfterBreak="0">
    <w:nsid w:val="5B28C0D8"/>
    <w:multiLevelType w:val="singleLevel"/>
    <w:tmpl w:val="5B28C0D8"/>
    <w:lvl w:ilvl="0">
      <w:start w:val="6"/>
      <w:numFmt w:val="chineseCounting"/>
      <w:suff w:val="nothing"/>
      <w:lvlText w:val="%1、"/>
      <w:lvlJc w:val="left"/>
    </w:lvl>
  </w:abstractNum>
  <w:abstractNum w:abstractNumId="31" w15:restartNumberingAfterBreak="0">
    <w:nsid w:val="5B82521C"/>
    <w:multiLevelType w:val="hybridMultilevel"/>
    <w:tmpl w:val="A4AA79F4"/>
    <w:lvl w:ilvl="0" w:tplc="1C647CE4">
      <w:start w:val="3"/>
      <w:numFmt w:val="decimal"/>
      <w:suff w:val="nothing"/>
      <w:lvlText w:val="%1、"/>
      <w:lvlJc w:val="left"/>
    </w:lvl>
    <w:lvl w:ilvl="1" w:tplc="BAC010C4">
      <w:start w:val="1"/>
      <w:numFmt w:val="bullet"/>
      <w:lvlText w:val="o"/>
      <w:lvlJc w:val="left"/>
      <w:pPr>
        <w:ind w:left="1440" w:hanging="360"/>
      </w:pPr>
      <w:rPr>
        <w:rFonts w:ascii="Courier New" w:eastAsia="Courier New" w:hAnsi="Courier New" w:cs="Courier New" w:hint="default"/>
      </w:rPr>
    </w:lvl>
    <w:lvl w:ilvl="2" w:tplc="71149652">
      <w:start w:val="1"/>
      <w:numFmt w:val="bullet"/>
      <w:lvlText w:val="§"/>
      <w:lvlJc w:val="left"/>
      <w:pPr>
        <w:ind w:left="2160" w:hanging="360"/>
      </w:pPr>
      <w:rPr>
        <w:rFonts w:ascii="Wingdings" w:eastAsia="Wingdings" w:hAnsi="Wingdings" w:cs="Wingdings" w:hint="default"/>
      </w:rPr>
    </w:lvl>
    <w:lvl w:ilvl="3" w:tplc="72D2869C">
      <w:start w:val="1"/>
      <w:numFmt w:val="bullet"/>
      <w:lvlText w:val="·"/>
      <w:lvlJc w:val="left"/>
      <w:pPr>
        <w:ind w:left="2880" w:hanging="360"/>
      </w:pPr>
      <w:rPr>
        <w:rFonts w:ascii="Symbol" w:eastAsia="Symbol" w:hAnsi="Symbol" w:cs="Symbol" w:hint="default"/>
      </w:rPr>
    </w:lvl>
    <w:lvl w:ilvl="4" w:tplc="811C782E">
      <w:start w:val="1"/>
      <w:numFmt w:val="bullet"/>
      <w:lvlText w:val="o"/>
      <w:lvlJc w:val="left"/>
      <w:pPr>
        <w:ind w:left="3600" w:hanging="360"/>
      </w:pPr>
      <w:rPr>
        <w:rFonts w:ascii="Courier New" w:eastAsia="Courier New" w:hAnsi="Courier New" w:cs="Courier New" w:hint="default"/>
      </w:rPr>
    </w:lvl>
    <w:lvl w:ilvl="5" w:tplc="FE0CD538">
      <w:start w:val="1"/>
      <w:numFmt w:val="bullet"/>
      <w:lvlText w:val="§"/>
      <w:lvlJc w:val="left"/>
      <w:pPr>
        <w:ind w:left="4320" w:hanging="360"/>
      </w:pPr>
      <w:rPr>
        <w:rFonts w:ascii="Wingdings" w:eastAsia="Wingdings" w:hAnsi="Wingdings" w:cs="Wingdings" w:hint="default"/>
      </w:rPr>
    </w:lvl>
    <w:lvl w:ilvl="6" w:tplc="5A4EBC9C">
      <w:start w:val="1"/>
      <w:numFmt w:val="bullet"/>
      <w:lvlText w:val="·"/>
      <w:lvlJc w:val="left"/>
      <w:pPr>
        <w:ind w:left="5040" w:hanging="360"/>
      </w:pPr>
      <w:rPr>
        <w:rFonts w:ascii="Symbol" w:eastAsia="Symbol" w:hAnsi="Symbol" w:cs="Symbol" w:hint="default"/>
      </w:rPr>
    </w:lvl>
    <w:lvl w:ilvl="7" w:tplc="56EAD31C">
      <w:start w:val="1"/>
      <w:numFmt w:val="bullet"/>
      <w:lvlText w:val="o"/>
      <w:lvlJc w:val="left"/>
      <w:pPr>
        <w:ind w:left="5760" w:hanging="360"/>
      </w:pPr>
      <w:rPr>
        <w:rFonts w:ascii="Courier New" w:eastAsia="Courier New" w:hAnsi="Courier New" w:cs="Courier New" w:hint="default"/>
      </w:rPr>
    </w:lvl>
    <w:lvl w:ilvl="8" w:tplc="92962992">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BD27EBD"/>
    <w:multiLevelType w:val="singleLevel"/>
    <w:tmpl w:val="5BD27EBD"/>
    <w:lvl w:ilvl="0">
      <w:start w:val="3"/>
      <w:numFmt w:val="chineseCounting"/>
      <w:suff w:val="nothing"/>
      <w:lvlText w:val="%1、"/>
      <w:lvlJc w:val="left"/>
    </w:lvl>
  </w:abstractNum>
  <w:abstractNum w:abstractNumId="33" w15:restartNumberingAfterBreak="0">
    <w:nsid w:val="5C3A78AA"/>
    <w:multiLevelType w:val="hybridMultilevel"/>
    <w:tmpl w:val="FC222B08"/>
    <w:lvl w:ilvl="0" w:tplc="C192B9D0">
      <w:start w:val="3"/>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5" w15:restartNumberingAfterBreak="0">
    <w:nsid w:val="62830D10"/>
    <w:multiLevelType w:val="multilevel"/>
    <w:tmpl w:val="8604AE3C"/>
    <w:name w:val="AO1"/>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7" w15:restartNumberingAfterBreak="0">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8" w15:restartNumberingAfterBreak="0">
    <w:nsid w:val="673F1FA2"/>
    <w:multiLevelType w:val="hybridMultilevel"/>
    <w:tmpl w:val="81DA2C36"/>
    <w:lvl w:ilvl="0" w:tplc="94808102">
      <w:start w:val="6"/>
      <w:numFmt w:val="decimal"/>
      <w:suff w:val="nothing"/>
      <w:lvlText w:val="%1、"/>
      <w:lvlJc w:val="left"/>
    </w:lvl>
    <w:lvl w:ilvl="1" w:tplc="C166ED14">
      <w:start w:val="1"/>
      <w:numFmt w:val="bullet"/>
      <w:lvlText w:val="o"/>
      <w:lvlJc w:val="left"/>
      <w:pPr>
        <w:ind w:left="1440" w:hanging="360"/>
      </w:pPr>
      <w:rPr>
        <w:rFonts w:ascii="Courier New" w:eastAsia="Courier New" w:hAnsi="Courier New" w:cs="Courier New" w:hint="default"/>
      </w:rPr>
    </w:lvl>
    <w:lvl w:ilvl="2" w:tplc="BE844F46">
      <w:start w:val="1"/>
      <w:numFmt w:val="bullet"/>
      <w:lvlText w:val="§"/>
      <w:lvlJc w:val="left"/>
      <w:pPr>
        <w:ind w:left="2160" w:hanging="360"/>
      </w:pPr>
      <w:rPr>
        <w:rFonts w:ascii="Wingdings" w:eastAsia="Wingdings" w:hAnsi="Wingdings" w:cs="Wingdings" w:hint="default"/>
      </w:rPr>
    </w:lvl>
    <w:lvl w:ilvl="3" w:tplc="9716B45E">
      <w:start w:val="1"/>
      <w:numFmt w:val="bullet"/>
      <w:lvlText w:val="·"/>
      <w:lvlJc w:val="left"/>
      <w:pPr>
        <w:ind w:left="2880" w:hanging="360"/>
      </w:pPr>
      <w:rPr>
        <w:rFonts w:ascii="Symbol" w:eastAsia="Symbol" w:hAnsi="Symbol" w:cs="Symbol" w:hint="default"/>
      </w:rPr>
    </w:lvl>
    <w:lvl w:ilvl="4" w:tplc="E6FE4A56">
      <w:start w:val="1"/>
      <w:numFmt w:val="bullet"/>
      <w:lvlText w:val="o"/>
      <w:lvlJc w:val="left"/>
      <w:pPr>
        <w:ind w:left="3600" w:hanging="360"/>
      </w:pPr>
      <w:rPr>
        <w:rFonts w:ascii="Courier New" w:eastAsia="Courier New" w:hAnsi="Courier New" w:cs="Courier New" w:hint="default"/>
      </w:rPr>
    </w:lvl>
    <w:lvl w:ilvl="5" w:tplc="3792350C">
      <w:start w:val="1"/>
      <w:numFmt w:val="bullet"/>
      <w:lvlText w:val="§"/>
      <w:lvlJc w:val="left"/>
      <w:pPr>
        <w:ind w:left="4320" w:hanging="360"/>
      </w:pPr>
      <w:rPr>
        <w:rFonts w:ascii="Wingdings" w:eastAsia="Wingdings" w:hAnsi="Wingdings" w:cs="Wingdings" w:hint="default"/>
      </w:rPr>
    </w:lvl>
    <w:lvl w:ilvl="6" w:tplc="73C4A1A8">
      <w:start w:val="1"/>
      <w:numFmt w:val="bullet"/>
      <w:lvlText w:val="·"/>
      <w:lvlJc w:val="left"/>
      <w:pPr>
        <w:ind w:left="5040" w:hanging="360"/>
      </w:pPr>
      <w:rPr>
        <w:rFonts w:ascii="Symbol" w:eastAsia="Symbol" w:hAnsi="Symbol" w:cs="Symbol" w:hint="default"/>
      </w:rPr>
    </w:lvl>
    <w:lvl w:ilvl="7" w:tplc="512EEA56">
      <w:start w:val="1"/>
      <w:numFmt w:val="bullet"/>
      <w:lvlText w:val="o"/>
      <w:lvlJc w:val="left"/>
      <w:pPr>
        <w:ind w:left="5760" w:hanging="360"/>
      </w:pPr>
      <w:rPr>
        <w:rFonts w:ascii="Courier New" w:eastAsia="Courier New" w:hAnsi="Courier New" w:cs="Courier New" w:hint="default"/>
      </w:rPr>
    </w:lvl>
    <w:lvl w:ilvl="8" w:tplc="7ACC4572">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9121881"/>
    <w:multiLevelType w:val="hybridMultilevel"/>
    <w:tmpl w:val="60B8F00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92E4BDC"/>
    <w:multiLevelType w:val="hybridMultilevel"/>
    <w:tmpl w:val="E536F448"/>
    <w:lvl w:ilvl="0" w:tplc="F138AC20">
      <w:start w:val="4"/>
      <w:numFmt w:val="decimal"/>
      <w:suff w:val="nothing"/>
      <w:lvlText w:val="%1、"/>
      <w:lvlJc w:val="left"/>
    </w:lvl>
    <w:lvl w:ilvl="1" w:tplc="E52C8214">
      <w:start w:val="1"/>
      <w:numFmt w:val="bullet"/>
      <w:lvlText w:val="o"/>
      <w:lvlJc w:val="left"/>
      <w:pPr>
        <w:ind w:left="1440" w:hanging="360"/>
      </w:pPr>
      <w:rPr>
        <w:rFonts w:ascii="Courier New" w:eastAsia="Courier New" w:hAnsi="Courier New" w:cs="Courier New" w:hint="default"/>
      </w:rPr>
    </w:lvl>
    <w:lvl w:ilvl="2" w:tplc="D02E34AC">
      <w:start w:val="1"/>
      <w:numFmt w:val="bullet"/>
      <w:lvlText w:val="§"/>
      <w:lvlJc w:val="left"/>
      <w:pPr>
        <w:ind w:left="2160" w:hanging="360"/>
      </w:pPr>
      <w:rPr>
        <w:rFonts w:ascii="Wingdings" w:eastAsia="Wingdings" w:hAnsi="Wingdings" w:cs="Wingdings" w:hint="default"/>
      </w:rPr>
    </w:lvl>
    <w:lvl w:ilvl="3" w:tplc="2B96807C">
      <w:start w:val="1"/>
      <w:numFmt w:val="bullet"/>
      <w:lvlText w:val="·"/>
      <w:lvlJc w:val="left"/>
      <w:pPr>
        <w:ind w:left="2880" w:hanging="360"/>
      </w:pPr>
      <w:rPr>
        <w:rFonts w:ascii="Symbol" w:eastAsia="Symbol" w:hAnsi="Symbol" w:cs="Symbol" w:hint="default"/>
      </w:rPr>
    </w:lvl>
    <w:lvl w:ilvl="4" w:tplc="8174E75A">
      <w:start w:val="1"/>
      <w:numFmt w:val="bullet"/>
      <w:lvlText w:val="o"/>
      <w:lvlJc w:val="left"/>
      <w:pPr>
        <w:ind w:left="3600" w:hanging="360"/>
      </w:pPr>
      <w:rPr>
        <w:rFonts w:ascii="Courier New" w:eastAsia="Courier New" w:hAnsi="Courier New" w:cs="Courier New" w:hint="default"/>
      </w:rPr>
    </w:lvl>
    <w:lvl w:ilvl="5" w:tplc="F632A114">
      <w:start w:val="1"/>
      <w:numFmt w:val="bullet"/>
      <w:lvlText w:val="§"/>
      <w:lvlJc w:val="left"/>
      <w:pPr>
        <w:ind w:left="4320" w:hanging="360"/>
      </w:pPr>
      <w:rPr>
        <w:rFonts w:ascii="Wingdings" w:eastAsia="Wingdings" w:hAnsi="Wingdings" w:cs="Wingdings" w:hint="default"/>
      </w:rPr>
    </w:lvl>
    <w:lvl w:ilvl="6" w:tplc="001ED532">
      <w:start w:val="1"/>
      <w:numFmt w:val="bullet"/>
      <w:lvlText w:val="·"/>
      <w:lvlJc w:val="left"/>
      <w:pPr>
        <w:ind w:left="5040" w:hanging="360"/>
      </w:pPr>
      <w:rPr>
        <w:rFonts w:ascii="Symbol" w:eastAsia="Symbol" w:hAnsi="Symbol" w:cs="Symbol" w:hint="default"/>
      </w:rPr>
    </w:lvl>
    <w:lvl w:ilvl="7" w:tplc="6486E226">
      <w:start w:val="1"/>
      <w:numFmt w:val="bullet"/>
      <w:lvlText w:val="o"/>
      <w:lvlJc w:val="left"/>
      <w:pPr>
        <w:ind w:left="5760" w:hanging="360"/>
      </w:pPr>
      <w:rPr>
        <w:rFonts w:ascii="Courier New" w:eastAsia="Courier New" w:hAnsi="Courier New" w:cs="Courier New" w:hint="default"/>
      </w:rPr>
    </w:lvl>
    <w:lvl w:ilvl="8" w:tplc="491C1D7C">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2"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43"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7"/>
  </w:num>
  <w:num w:numId="2">
    <w:abstractNumId w:val="16"/>
    <w:lvlOverride w:ilvl="0">
      <w:startOverride w:val="1"/>
    </w:lvlOverride>
  </w:num>
  <w:num w:numId="3">
    <w:abstractNumId w:val="2"/>
    <w:lvlOverride w:ilvl="0">
      <w:startOverride w:val="2"/>
    </w:lvlOverride>
  </w:num>
  <w:num w:numId="4">
    <w:abstractNumId w:val="11"/>
  </w:num>
  <w:num w:numId="5">
    <w:abstractNumId w:val="41"/>
  </w:num>
  <w:num w:numId="6">
    <w:abstractNumId w:val="24"/>
  </w:num>
  <w:num w:numId="7">
    <w:abstractNumId w:val="35"/>
  </w:num>
  <w:num w:numId="8">
    <w:abstractNumId w:val="23"/>
  </w:num>
  <w:num w:numId="9">
    <w:abstractNumId w:val="1"/>
  </w:num>
  <w:num w:numId="10">
    <w:abstractNumId w:val="15"/>
  </w:num>
  <w:num w:numId="11">
    <w:abstractNumId w:val="20"/>
  </w:num>
  <w:num w:numId="12">
    <w:abstractNumId w:val="43"/>
  </w:num>
  <w:num w:numId="13">
    <w:abstractNumId w:val="17"/>
  </w:num>
  <w:num w:numId="14">
    <w:abstractNumId w:val="21"/>
  </w:num>
  <w:num w:numId="15">
    <w:abstractNumId w:val="26"/>
  </w:num>
  <w:num w:numId="16">
    <w:abstractNumId w:val="4"/>
  </w:num>
  <w:num w:numId="17">
    <w:abstractNumId w:val="7"/>
  </w:num>
  <w:num w:numId="18">
    <w:abstractNumId w:val="42"/>
  </w:num>
  <w:num w:numId="19">
    <w:abstractNumId w:val="18"/>
  </w:num>
  <w:num w:numId="20">
    <w:abstractNumId w:val="12"/>
  </w:num>
  <w:num w:numId="21">
    <w:abstractNumId w:val="3"/>
  </w:num>
  <w:num w:numId="22">
    <w:abstractNumId w:val="6"/>
  </w:num>
  <w:num w:numId="23">
    <w:abstractNumId w:val="0"/>
  </w:num>
  <w:num w:numId="24">
    <w:abstractNumId w:val="13"/>
  </w:num>
  <w:num w:numId="25">
    <w:abstractNumId w:val="28"/>
  </w:num>
  <w:num w:numId="26">
    <w:abstractNumId w:val="32"/>
  </w:num>
  <w:num w:numId="27">
    <w:abstractNumId w:val="33"/>
  </w:num>
  <w:num w:numId="28">
    <w:abstractNumId w:val="34"/>
  </w:num>
  <w:num w:numId="29">
    <w:abstractNumId w:val="36"/>
  </w:num>
  <w:num w:numId="30">
    <w:abstractNumId w:val="30"/>
  </w:num>
  <w:num w:numId="31">
    <w:abstractNumId w:val="14"/>
  </w:num>
  <w:num w:numId="32">
    <w:abstractNumId w:val="5"/>
  </w:num>
  <w:num w:numId="33">
    <w:abstractNumId w:val="39"/>
  </w:num>
  <w:num w:numId="34">
    <w:abstractNumId w:val="37"/>
  </w:num>
  <w:num w:numId="35">
    <w:abstractNumId w:val="22"/>
  </w:num>
  <w:num w:numId="36">
    <w:abstractNumId w:val="40"/>
  </w:num>
  <w:num w:numId="37">
    <w:abstractNumId w:val="38"/>
  </w:num>
  <w:num w:numId="38">
    <w:abstractNumId w:val="31"/>
  </w:num>
  <w:num w:numId="39">
    <w:abstractNumId w:val="9"/>
  </w:num>
  <w:num w:numId="40">
    <w:abstractNumId w:val="27"/>
  </w:num>
  <w:num w:numId="41">
    <w:abstractNumId w:val="8"/>
  </w:num>
  <w:num w:numId="4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6"/>
    <w:rsid w:val="00002F83"/>
    <w:rsid w:val="00005C1A"/>
    <w:rsid w:val="00006001"/>
    <w:rsid w:val="00006493"/>
    <w:rsid w:val="000078AE"/>
    <w:rsid w:val="000112CA"/>
    <w:rsid w:val="0001434C"/>
    <w:rsid w:val="000157A8"/>
    <w:rsid w:val="00015AD8"/>
    <w:rsid w:val="00015D9F"/>
    <w:rsid w:val="00016401"/>
    <w:rsid w:val="000169A0"/>
    <w:rsid w:val="00017577"/>
    <w:rsid w:val="00020FC1"/>
    <w:rsid w:val="00023E8B"/>
    <w:rsid w:val="0002431B"/>
    <w:rsid w:val="00024E3D"/>
    <w:rsid w:val="000250A0"/>
    <w:rsid w:val="000260A1"/>
    <w:rsid w:val="000263F7"/>
    <w:rsid w:val="00026720"/>
    <w:rsid w:val="00027982"/>
    <w:rsid w:val="00031B7C"/>
    <w:rsid w:val="00034223"/>
    <w:rsid w:val="00034D38"/>
    <w:rsid w:val="0003504F"/>
    <w:rsid w:val="00036733"/>
    <w:rsid w:val="00041460"/>
    <w:rsid w:val="000474F9"/>
    <w:rsid w:val="00047C5D"/>
    <w:rsid w:val="00050832"/>
    <w:rsid w:val="00050EFB"/>
    <w:rsid w:val="0005255F"/>
    <w:rsid w:val="00053688"/>
    <w:rsid w:val="00053E6A"/>
    <w:rsid w:val="00054B65"/>
    <w:rsid w:val="00054D10"/>
    <w:rsid w:val="00055A0B"/>
    <w:rsid w:val="000568B4"/>
    <w:rsid w:val="00056975"/>
    <w:rsid w:val="0006315D"/>
    <w:rsid w:val="0006507B"/>
    <w:rsid w:val="00065953"/>
    <w:rsid w:val="000761B9"/>
    <w:rsid w:val="000814FF"/>
    <w:rsid w:val="00082A32"/>
    <w:rsid w:val="00082B62"/>
    <w:rsid w:val="000838E2"/>
    <w:rsid w:val="000869C2"/>
    <w:rsid w:val="00092B9F"/>
    <w:rsid w:val="00092FD5"/>
    <w:rsid w:val="00093B39"/>
    <w:rsid w:val="00094842"/>
    <w:rsid w:val="00095B40"/>
    <w:rsid w:val="0009724B"/>
    <w:rsid w:val="000A06EC"/>
    <w:rsid w:val="000A4395"/>
    <w:rsid w:val="000A68AC"/>
    <w:rsid w:val="000A69A8"/>
    <w:rsid w:val="000A6F74"/>
    <w:rsid w:val="000B04E0"/>
    <w:rsid w:val="000B22C2"/>
    <w:rsid w:val="000B28F5"/>
    <w:rsid w:val="000B29FE"/>
    <w:rsid w:val="000B4068"/>
    <w:rsid w:val="000B5B2C"/>
    <w:rsid w:val="000B741F"/>
    <w:rsid w:val="000B7E5A"/>
    <w:rsid w:val="000B7F10"/>
    <w:rsid w:val="000C46AB"/>
    <w:rsid w:val="000C711E"/>
    <w:rsid w:val="000D0B00"/>
    <w:rsid w:val="000D153E"/>
    <w:rsid w:val="000D3B0A"/>
    <w:rsid w:val="000D4257"/>
    <w:rsid w:val="000D7463"/>
    <w:rsid w:val="000E49DD"/>
    <w:rsid w:val="000E6195"/>
    <w:rsid w:val="000E67EB"/>
    <w:rsid w:val="000F0911"/>
    <w:rsid w:val="000F0B09"/>
    <w:rsid w:val="000F20DC"/>
    <w:rsid w:val="000F2353"/>
    <w:rsid w:val="000F5297"/>
    <w:rsid w:val="000F6652"/>
    <w:rsid w:val="001011DE"/>
    <w:rsid w:val="00102167"/>
    <w:rsid w:val="0010266B"/>
    <w:rsid w:val="001043D3"/>
    <w:rsid w:val="001059B0"/>
    <w:rsid w:val="00106DC4"/>
    <w:rsid w:val="0011064B"/>
    <w:rsid w:val="00111968"/>
    <w:rsid w:val="00113BE3"/>
    <w:rsid w:val="00115573"/>
    <w:rsid w:val="001206B9"/>
    <w:rsid w:val="00121DC8"/>
    <w:rsid w:val="001221D5"/>
    <w:rsid w:val="00122950"/>
    <w:rsid w:val="00122C44"/>
    <w:rsid w:val="00123BEF"/>
    <w:rsid w:val="00124F0C"/>
    <w:rsid w:val="0012602B"/>
    <w:rsid w:val="00130405"/>
    <w:rsid w:val="001325C4"/>
    <w:rsid w:val="00132CBC"/>
    <w:rsid w:val="0013452A"/>
    <w:rsid w:val="00137594"/>
    <w:rsid w:val="00137B7A"/>
    <w:rsid w:val="00143516"/>
    <w:rsid w:val="001465CE"/>
    <w:rsid w:val="00147370"/>
    <w:rsid w:val="00147FAB"/>
    <w:rsid w:val="00152171"/>
    <w:rsid w:val="00152D29"/>
    <w:rsid w:val="0015376D"/>
    <w:rsid w:val="001554C6"/>
    <w:rsid w:val="00157CEB"/>
    <w:rsid w:val="00163263"/>
    <w:rsid w:val="00163725"/>
    <w:rsid w:val="001637D7"/>
    <w:rsid w:val="00165879"/>
    <w:rsid w:val="00166084"/>
    <w:rsid w:val="00166902"/>
    <w:rsid w:val="0017211A"/>
    <w:rsid w:val="00174535"/>
    <w:rsid w:val="0017529C"/>
    <w:rsid w:val="0017728A"/>
    <w:rsid w:val="00177AFA"/>
    <w:rsid w:val="0018080F"/>
    <w:rsid w:val="00180D21"/>
    <w:rsid w:val="001833F7"/>
    <w:rsid w:val="00186EBB"/>
    <w:rsid w:val="001876BC"/>
    <w:rsid w:val="00187738"/>
    <w:rsid w:val="00196162"/>
    <w:rsid w:val="00196BE7"/>
    <w:rsid w:val="001A041A"/>
    <w:rsid w:val="001B14D3"/>
    <w:rsid w:val="001B195F"/>
    <w:rsid w:val="001B2B98"/>
    <w:rsid w:val="001B3BCD"/>
    <w:rsid w:val="001B699A"/>
    <w:rsid w:val="001B6EBF"/>
    <w:rsid w:val="001B6FEB"/>
    <w:rsid w:val="001C00DB"/>
    <w:rsid w:val="001C044D"/>
    <w:rsid w:val="001C2B16"/>
    <w:rsid w:val="001C316D"/>
    <w:rsid w:val="001C36DF"/>
    <w:rsid w:val="001C3D26"/>
    <w:rsid w:val="001C5C6F"/>
    <w:rsid w:val="001C6775"/>
    <w:rsid w:val="001C6C58"/>
    <w:rsid w:val="001C7CFE"/>
    <w:rsid w:val="001D05FA"/>
    <w:rsid w:val="001D34C9"/>
    <w:rsid w:val="001D45B7"/>
    <w:rsid w:val="001D4811"/>
    <w:rsid w:val="001E1D69"/>
    <w:rsid w:val="001E25A4"/>
    <w:rsid w:val="001E54AF"/>
    <w:rsid w:val="001E7AE6"/>
    <w:rsid w:val="001F1AE7"/>
    <w:rsid w:val="001F3CA0"/>
    <w:rsid w:val="001F5597"/>
    <w:rsid w:val="001F6A30"/>
    <w:rsid w:val="001F7D14"/>
    <w:rsid w:val="002002A9"/>
    <w:rsid w:val="002016C4"/>
    <w:rsid w:val="00201E38"/>
    <w:rsid w:val="002034B8"/>
    <w:rsid w:val="00203CE7"/>
    <w:rsid w:val="002044D5"/>
    <w:rsid w:val="00205B6F"/>
    <w:rsid w:val="002068A9"/>
    <w:rsid w:val="00206A4B"/>
    <w:rsid w:val="00207E1D"/>
    <w:rsid w:val="002108B6"/>
    <w:rsid w:val="00211067"/>
    <w:rsid w:val="00214A4C"/>
    <w:rsid w:val="00216971"/>
    <w:rsid w:val="00216AB5"/>
    <w:rsid w:val="00220449"/>
    <w:rsid w:val="0022235E"/>
    <w:rsid w:val="002248AD"/>
    <w:rsid w:val="00225526"/>
    <w:rsid w:val="00227D00"/>
    <w:rsid w:val="0023096F"/>
    <w:rsid w:val="00233658"/>
    <w:rsid w:val="00233787"/>
    <w:rsid w:val="00234082"/>
    <w:rsid w:val="002358B0"/>
    <w:rsid w:val="00236405"/>
    <w:rsid w:val="00245FFA"/>
    <w:rsid w:val="002468B0"/>
    <w:rsid w:val="00247E5F"/>
    <w:rsid w:val="0025036E"/>
    <w:rsid w:val="0025066C"/>
    <w:rsid w:val="00253F31"/>
    <w:rsid w:val="002545E0"/>
    <w:rsid w:val="00254A97"/>
    <w:rsid w:val="00254D15"/>
    <w:rsid w:val="00256137"/>
    <w:rsid w:val="002634EE"/>
    <w:rsid w:val="0026469A"/>
    <w:rsid w:val="00267BAF"/>
    <w:rsid w:val="00270106"/>
    <w:rsid w:val="00270E3E"/>
    <w:rsid w:val="00271A25"/>
    <w:rsid w:val="00271C2A"/>
    <w:rsid w:val="00273FBD"/>
    <w:rsid w:val="00287A4E"/>
    <w:rsid w:val="00291CE1"/>
    <w:rsid w:val="00293C37"/>
    <w:rsid w:val="00294EC9"/>
    <w:rsid w:val="002966E2"/>
    <w:rsid w:val="00296E9F"/>
    <w:rsid w:val="00297825"/>
    <w:rsid w:val="002A064A"/>
    <w:rsid w:val="002A0C91"/>
    <w:rsid w:val="002A1D62"/>
    <w:rsid w:val="002A3381"/>
    <w:rsid w:val="002A3484"/>
    <w:rsid w:val="002A3923"/>
    <w:rsid w:val="002A42F5"/>
    <w:rsid w:val="002A457E"/>
    <w:rsid w:val="002A4AE0"/>
    <w:rsid w:val="002A5A6E"/>
    <w:rsid w:val="002A7596"/>
    <w:rsid w:val="002B1687"/>
    <w:rsid w:val="002B1841"/>
    <w:rsid w:val="002B29EC"/>
    <w:rsid w:val="002B30B9"/>
    <w:rsid w:val="002B39E9"/>
    <w:rsid w:val="002B3BFA"/>
    <w:rsid w:val="002B4AE5"/>
    <w:rsid w:val="002B7B16"/>
    <w:rsid w:val="002C12EC"/>
    <w:rsid w:val="002C1B39"/>
    <w:rsid w:val="002C2CF6"/>
    <w:rsid w:val="002C42A9"/>
    <w:rsid w:val="002C6C7B"/>
    <w:rsid w:val="002D07CB"/>
    <w:rsid w:val="002D136E"/>
    <w:rsid w:val="002D166C"/>
    <w:rsid w:val="002D2545"/>
    <w:rsid w:val="002D383A"/>
    <w:rsid w:val="002D3BB2"/>
    <w:rsid w:val="002E144E"/>
    <w:rsid w:val="002E15D9"/>
    <w:rsid w:val="002E3EC6"/>
    <w:rsid w:val="002E44F5"/>
    <w:rsid w:val="002E68D7"/>
    <w:rsid w:val="002F10DD"/>
    <w:rsid w:val="002F3C44"/>
    <w:rsid w:val="002F5755"/>
    <w:rsid w:val="002F6131"/>
    <w:rsid w:val="00300D50"/>
    <w:rsid w:val="003011DE"/>
    <w:rsid w:val="00301836"/>
    <w:rsid w:val="00302B13"/>
    <w:rsid w:val="003031D7"/>
    <w:rsid w:val="00303C86"/>
    <w:rsid w:val="003069AB"/>
    <w:rsid w:val="003073FF"/>
    <w:rsid w:val="0030758A"/>
    <w:rsid w:val="003131C0"/>
    <w:rsid w:val="00316803"/>
    <w:rsid w:val="00316AFC"/>
    <w:rsid w:val="003205FF"/>
    <w:rsid w:val="00321987"/>
    <w:rsid w:val="00322506"/>
    <w:rsid w:val="00323914"/>
    <w:rsid w:val="003242BC"/>
    <w:rsid w:val="0032512C"/>
    <w:rsid w:val="003259CF"/>
    <w:rsid w:val="00332810"/>
    <w:rsid w:val="00332A2F"/>
    <w:rsid w:val="00333EC8"/>
    <w:rsid w:val="003345DD"/>
    <w:rsid w:val="00334CC8"/>
    <w:rsid w:val="00334D5D"/>
    <w:rsid w:val="0033738C"/>
    <w:rsid w:val="00340188"/>
    <w:rsid w:val="00341F99"/>
    <w:rsid w:val="0034255D"/>
    <w:rsid w:val="00343453"/>
    <w:rsid w:val="00345242"/>
    <w:rsid w:val="00346727"/>
    <w:rsid w:val="00347D48"/>
    <w:rsid w:val="003505D6"/>
    <w:rsid w:val="00351C26"/>
    <w:rsid w:val="00355354"/>
    <w:rsid w:val="00355A69"/>
    <w:rsid w:val="00356DAC"/>
    <w:rsid w:val="003601EF"/>
    <w:rsid w:val="003633C6"/>
    <w:rsid w:val="00363FA9"/>
    <w:rsid w:val="00364EAC"/>
    <w:rsid w:val="003703A7"/>
    <w:rsid w:val="00370418"/>
    <w:rsid w:val="003724EF"/>
    <w:rsid w:val="00374733"/>
    <w:rsid w:val="003748F7"/>
    <w:rsid w:val="00374C48"/>
    <w:rsid w:val="00375AED"/>
    <w:rsid w:val="00375C2A"/>
    <w:rsid w:val="0037648D"/>
    <w:rsid w:val="00382021"/>
    <w:rsid w:val="00383D81"/>
    <w:rsid w:val="003840B7"/>
    <w:rsid w:val="003843B1"/>
    <w:rsid w:val="0038441C"/>
    <w:rsid w:val="00384855"/>
    <w:rsid w:val="00385388"/>
    <w:rsid w:val="0038587C"/>
    <w:rsid w:val="003863E0"/>
    <w:rsid w:val="003872D4"/>
    <w:rsid w:val="003910F5"/>
    <w:rsid w:val="00391988"/>
    <w:rsid w:val="00391D4F"/>
    <w:rsid w:val="00393463"/>
    <w:rsid w:val="003948B3"/>
    <w:rsid w:val="00395CF4"/>
    <w:rsid w:val="0039766C"/>
    <w:rsid w:val="003A1660"/>
    <w:rsid w:val="003A22BB"/>
    <w:rsid w:val="003A2A45"/>
    <w:rsid w:val="003A2E20"/>
    <w:rsid w:val="003A2EFD"/>
    <w:rsid w:val="003A396C"/>
    <w:rsid w:val="003A4F01"/>
    <w:rsid w:val="003A5E9C"/>
    <w:rsid w:val="003A6496"/>
    <w:rsid w:val="003A6696"/>
    <w:rsid w:val="003A75A8"/>
    <w:rsid w:val="003B0CE5"/>
    <w:rsid w:val="003B0EC9"/>
    <w:rsid w:val="003B363B"/>
    <w:rsid w:val="003B56BB"/>
    <w:rsid w:val="003B7EDF"/>
    <w:rsid w:val="003C1906"/>
    <w:rsid w:val="003C27A8"/>
    <w:rsid w:val="003C3023"/>
    <w:rsid w:val="003C3708"/>
    <w:rsid w:val="003C542C"/>
    <w:rsid w:val="003C58F6"/>
    <w:rsid w:val="003D0CCC"/>
    <w:rsid w:val="003D6541"/>
    <w:rsid w:val="003D7C48"/>
    <w:rsid w:val="003E0034"/>
    <w:rsid w:val="003E4AE1"/>
    <w:rsid w:val="003E519A"/>
    <w:rsid w:val="003F1804"/>
    <w:rsid w:val="003F1C93"/>
    <w:rsid w:val="003F414A"/>
    <w:rsid w:val="003F668B"/>
    <w:rsid w:val="00400161"/>
    <w:rsid w:val="00402088"/>
    <w:rsid w:val="00402A1B"/>
    <w:rsid w:val="00406034"/>
    <w:rsid w:val="00407F92"/>
    <w:rsid w:val="0041565A"/>
    <w:rsid w:val="0041686B"/>
    <w:rsid w:val="00416EF9"/>
    <w:rsid w:val="00420A5A"/>
    <w:rsid w:val="00424DF8"/>
    <w:rsid w:val="00425C44"/>
    <w:rsid w:val="00426551"/>
    <w:rsid w:val="004341D0"/>
    <w:rsid w:val="004349A5"/>
    <w:rsid w:val="00437376"/>
    <w:rsid w:val="00440530"/>
    <w:rsid w:val="00441583"/>
    <w:rsid w:val="00446129"/>
    <w:rsid w:val="004506B3"/>
    <w:rsid w:val="00455324"/>
    <w:rsid w:val="00455623"/>
    <w:rsid w:val="00455FDA"/>
    <w:rsid w:val="004563AD"/>
    <w:rsid w:val="00457126"/>
    <w:rsid w:val="00460C16"/>
    <w:rsid w:val="00460F28"/>
    <w:rsid w:val="00460F9D"/>
    <w:rsid w:val="00464A78"/>
    <w:rsid w:val="00466128"/>
    <w:rsid w:val="0046621A"/>
    <w:rsid w:val="004677B7"/>
    <w:rsid w:val="0047022C"/>
    <w:rsid w:val="004715DD"/>
    <w:rsid w:val="00473E64"/>
    <w:rsid w:val="0047451C"/>
    <w:rsid w:val="00474819"/>
    <w:rsid w:val="00477BD0"/>
    <w:rsid w:val="00477C95"/>
    <w:rsid w:val="004834F4"/>
    <w:rsid w:val="00486652"/>
    <w:rsid w:val="00490CAF"/>
    <w:rsid w:val="00492A5C"/>
    <w:rsid w:val="0049303E"/>
    <w:rsid w:val="004931C9"/>
    <w:rsid w:val="004954BA"/>
    <w:rsid w:val="00495BDD"/>
    <w:rsid w:val="004974DE"/>
    <w:rsid w:val="004A171C"/>
    <w:rsid w:val="004A4081"/>
    <w:rsid w:val="004A469B"/>
    <w:rsid w:val="004A5F36"/>
    <w:rsid w:val="004A62CB"/>
    <w:rsid w:val="004B01F8"/>
    <w:rsid w:val="004B1863"/>
    <w:rsid w:val="004B2967"/>
    <w:rsid w:val="004B6A7A"/>
    <w:rsid w:val="004B6F60"/>
    <w:rsid w:val="004B7957"/>
    <w:rsid w:val="004C0182"/>
    <w:rsid w:val="004C25BB"/>
    <w:rsid w:val="004C2EC9"/>
    <w:rsid w:val="004C485A"/>
    <w:rsid w:val="004C547A"/>
    <w:rsid w:val="004C646A"/>
    <w:rsid w:val="004D397A"/>
    <w:rsid w:val="004D3F04"/>
    <w:rsid w:val="004D4605"/>
    <w:rsid w:val="004E327D"/>
    <w:rsid w:val="004E449D"/>
    <w:rsid w:val="004E5082"/>
    <w:rsid w:val="004E6858"/>
    <w:rsid w:val="004F09A1"/>
    <w:rsid w:val="004F33CF"/>
    <w:rsid w:val="004F488B"/>
    <w:rsid w:val="004F4DE6"/>
    <w:rsid w:val="004F5BE4"/>
    <w:rsid w:val="004F5C0C"/>
    <w:rsid w:val="00500A01"/>
    <w:rsid w:val="00500BFC"/>
    <w:rsid w:val="0050502B"/>
    <w:rsid w:val="005056C8"/>
    <w:rsid w:val="00510450"/>
    <w:rsid w:val="00513844"/>
    <w:rsid w:val="00515D15"/>
    <w:rsid w:val="00521E3D"/>
    <w:rsid w:val="0053084B"/>
    <w:rsid w:val="005315F0"/>
    <w:rsid w:val="005331C1"/>
    <w:rsid w:val="00533CC8"/>
    <w:rsid w:val="00534B33"/>
    <w:rsid w:val="005365AE"/>
    <w:rsid w:val="00537FCE"/>
    <w:rsid w:val="005406EF"/>
    <w:rsid w:val="0054160B"/>
    <w:rsid w:val="00544F6E"/>
    <w:rsid w:val="00544F88"/>
    <w:rsid w:val="0054564C"/>
    <w:rsid w:val="00545738"/>
    <w:rsid w:val="00550DA5"/>
    <w:rsid w:val="00554670"/>
    <w:rsid w:val="0055521A"/>
    <w:rsid w:val="00556CA3"/>
    <w:rsid w:val="0055779E"/>
    <w:rsid w:val="00560678"/>
    <w:rsid w:val="005620A1"/>
    <w:rsid w:val="0056496C"/>
    <w:rsid w:val="00564CE2"/>
    <w:rsid w:val="00564D44"/>
    <w:rsid w:val="0056605F"/>
    <w:rsid w:val="00566964"/>
    <w:rsid w:val="00566DB7"/>
    <w:rsid w:val="00571162"/>
    <w:rsid w:val="00571E24"/>
    <w:rsid w:val="00572FB5"/>
    <w:rsid w:val="00575F9E"/>
    <w:rsid w:val="00580D45"/>
    <w:rsid w:val="00582CF3"/>
    <w:rsid w:val="00585B1A"/>
    <w:rsid w:val="00586B95"/>
    <w:rsid w:val="00586FD5"/>
    <w:rsid w:val="00590880"/>
    <w:rsid w:val="00593235"/>
    <w:rsid w:val="0059390D"/>
    <w:rsid w:val="00593DD9"/>
    <w:rsid w:val="005979AD"/>
    <w:rsid w:val="00597C08"/>
    <w:rsid w:val="005A3675"/>
    <w:rsid w:val="005A5AD2"/>
    <w:rsid w:val="005A73AE"/>
    <w:rsid w:val="005B0C61"/>
    <w:rsid w:val="005B1649"/>
    <w:rsid w:val="005B405B"/>
    <w:rsid w:val="005B4845"/>
    <w:rsid w:val="005B50CC"/>
    <w:rsid w:val="005B5325"/>
    <w:rsid w:val="005B58AB"/>
    <w:rsid w:val="005C204A"/>
    <w:rsid w:val="005C207E"/>
    <w:rsid w:val="005C2AFF"/>
    <w:rsid w:val="005C5680"/>
    <w:rsid w:val="005D1201"/>
    <w:rsid w:val="005D27CB"/>
    <w:rsid w:val="005D3BBD"/>
    <w:rsid w:val="005D464A"/>
    <w:rsid w:val="005D597D"/>
    <w:rsid w:val="005D5EC3"/>
    <w:rsid w:val="005E03D6"/>
    <w:rsid w:val="005E059A"/>
    <w:rsid w:val="005E1041"/>
    <w:rsid w:val="005E2EB6"/>
    <w:rsid w:val="005E45F3"/>
    <w:rsid w:val="005E565E"/>
    <w:rsid w:val="005E7FD8"/>
    <w:rsid w:val="005F06AE"/>
    <w:rsid w:val="005F0D86"/>
    <w:rsid w:val="005F1F3F"/>
    <w:rsid w:val="005F4745"/>
    <w:rsid w:val="005F4C2C"/>
    <w:rsid w:val="005F740E"/>
    <w:rsid w:val="005F7FF1"/>
    <w:rsid w:val="00602592"/>
    <w:rsid w:val="00603413"/>
    <w:rsid w:val="00603C65"/>
    <w:rsid w:val="00605066"/>
    <w:rsid w:val="006079A0"/>
    <w:rsid w:val="0061081E"/>
    <w:rsid w:val="006148C9"/>
    <w:rsid w:val="00620545"/>
    <w:rsid w:val="00622980"/>
    <w:rsid w:val="00624734"/>
    <w:rsid w:val="00624B8B"/>
    <w:rsid w:val="00627C0D"/>
    <w:rsid w:val="00630C88"/>
    <w:rsid w:val="006312B3"/>
    <w:rsid w:val="006316DD"/>
    <w:rsid w:val="006343BE"/>
    <w:rsid w:val="006351EB"/>
    <w:rsid w:val="006358DA"/>
    <w:rsid w:val="0063664D"/>
    <w:rsid w:val="00636BB1"/>
    <w:rsid w:val="00642476"/>
    <w:rsid w:val="0064256F"/>
    <w:rsid w:val="00643CC6"/>
    <w:rsid w:val="006500F1"/>
    <w:rsid w:val="006512D0"/>
    <w:rsid w:val="0065150E"/>
    <w:rsid w:val="006524FD"/>
    <w:rsid w:val="006553ED"/>
    <w:rsid w:val="00657D3B"/>
    <w:rsid w:val="00661FCF"/>
    <w:rsid w:val="0066262F"/>
    <w:rsid w:val="00663E68"/>
    <w:rsid w:val="006640C9"/>
    <w:rsid w:val="00664A47"/>
    <w:rsid w:val="00665790"/>
    <w:rsid w:val="00666840"/>
    <w:rsid w:val="00666FE5"/>
    <w:rsid w:val="00670B49"/>
    <w:rsid w:val="0067118A"/>
    <w:rsid w:val="0067287D"/>
    <w:rsid w:val="006730DC"/>
    <w:rsid w:val="00677E1E"/>
    <w:rsid w:val="00680669"/>
    <w:rsid w:val="006808D8"/>
    <w:rsid w:val="006868A1"/>
    <w:rsid w:val="006876A1"/>
    <w:rsid w:val="00687AC2"/>
    <w:rsid w:val="0069076C"/>
    <w:rsid w:val="00690E7D"/>
    <w:rsid w:val="0069142F"/>
    <w:rsid w:val="00692037"/>
    <w:rsid w:val="00693C84"/>
    <w:rsid w:val="00693DB5"/>
    <w:rsid w:val="00693FD0"/>
    <w:rsid w:val="006966DA"/>
    <w:rsid w:val="006A164A"/>
    <w:rsid w:val="006A1D18"/>
    <w:rsid w:val="006B254C"/>
    <w:rsid w:val="006B348B"/>
    <w:rsid w:val="006B5834"/>
    <w:rsid w:val="006B59AA"/>
    <w:rsid w:val="006C0F94"/>
    <w:rsid w:val="006C1B13"/>
    <w:rsid w:val="006C2C6E"/>
    <w:rsid w:val="006C3539"/>
    <w:rsid w:val="006C3934"/>
    <w:rsid w:val="006C4668"/>
    <w:rsid w:val="006C4E37"/>
    <w:rsid w:val="006C66D2"/>
    <w:rsid w:val="006C69B0"/>
    <w:rsid w:val="006D3767"/>
    <w:rsid w:val="006D3857"/>
    <w:rsid w:val="006E0A43"/>
    <w:rsid w:val="006E166B"/>
    <w:rsid w:val="006E22EE"/>
    <w:rsid w:val="006E43AE"/>
    <w:rsid w:val="006E45E3"/>
    <w:rsid w:val="006E47BD"/>
    <w:rsid w:val="006E581D"/>
    <w:rsid w:val="006F0A81"/>
    <w:rsid w:val="006F2596"/>
    <w:rsid w:val="006F2E14"/>
    <w:rsid w:val="006F38ED"/>
    <w:rsid w:val="006F42AF"/>
    <w:rsid w:val="0070064D"/>
    <w:rsid w:val="00701EE7"/>
    <w:rsid w:val="00702B3E"/>
    <w:rsid w:val="0070353B"/>
    <w:rsid w:val="0070487A"/>
    <w:rsid w:val="007053D3"/>
    <w:rsid w:val="0070653C"/>
    <w:rsid w:val="00707090"/>
    <w:rsid w:val="007071AB"/>
    <w:rsid w:val="00710010"/>
    <w:rsid w:val="00711F91"/>
    <w:rsid w:val="00713A6C"/>
    <w:rsid w:val="00713D8D"/>
    <w:rsid w:val="00714C07"/>
    <w:rsid w:val="00714C91"/>
    <w:rsid w:val="0071561A"/>
    <w:rsid w:val="00716159"/>
    <w:rsid w:val="00717D91"/>
    <w:rsid w:val="00720BAF"/>
    <w:rsid w:val="0072161E"/>
    <w:rsid w:val="007233AE"/>
    <w:rsid w:val="00723EF3"/>
    <w:rsid w:val="0072789F"/>
    <w:rsid w:val="00731074"/>
    <w:rsid w:val="00733C55"/>
    <w:rsid w:val="00736045"/>
    <w:rsid w:val="007362D2"/>
    <w:rsid w:val="0073741B"/>
    <w:rsid w:val="00737711"/>
    <w:rsid w:val="0074040E"/>
    <w:rsid w:val="0074354A"/>
    <w:rsid w:val="007443E6"/>
    <w:rsid w:val="00747307"/>
    <w:rsid w:val="00747AF4"/>
    <w:rsid w:val="00747DA0"/>
    <w:rsid w:val="007513C2"/>
    <w:rsid w:val="0075289E"/>
    <w:rsid w:val="007542DB"/>
    <w:rsid w:val="00754543"/>
    <w:rsid w:val="007546F0"/>
    <w:rsid w:val="00754E1E"/>
    <w:rsid w:val="00762769"/>
    <w:rsid w:val="00764329"/>
    <w:rsid w:val="00766083"/>
    <w:rsid w:val="0076739A"/>
    <w:rsid w:val="007710AA"/>
    <w:rsid w:val="0077151E"/>
    <w:rsid w:val="0077153F"/>
    <w:rsid w:val="007739E1"/>
    <w:rsid w:val="00774605"/>
    <w:rsid w:val="007802D8"/>
    <w:rsid w:val="00780AAF"/>
    <w:rsid w:val="007874CA"/>
    <w:rsid w:val="00793BFC"/>
    <w:rsid w:val="007959F6"/>
    <w:rsid w:val="00795ACF"/>
    <w:rsid w:val="00797A87"/>
    <w:rsid w:val="007A1ADE"/>
    <w:rsid w:val="007A2118"/>
    <w:rsid w:val="007A5981"/>
    <w:rsid w:val="007A6246"/>
    <w:rsid w:val="007A703A"/>
    <w:rsid w:val="007A79D6"/>
    <w:rsid w:val="007B03E2"/>
    <w:rsid w:val="007B0871"/>
    <w:rsid w:val="007B0CF1"/>
    <w:rsid w:val="007B143B"/>
    <w:rsid w:val="007B4270"/>
    <w:rsid w:val="007B4C32"/>
    <w:rsid w:val="007B4FB8"/>
    <w:rsid w:val="007B569B"/>
    <w:rsid w:val="007B6FD1"/>
    <w:rsid w:val="007C2A99"/>
    <w:rsid w:val="007C2B7F"/>
    <w:rsid w:val="007C312E"/>
    <w:rsid w:val="007C4D4A"/>
    <w:rsid w:val="007C6365"/>
    <w:rsid w:val="007D2B49"/>
    <w:rsid w:val="007D3119"/>
    <w:rsid w:val="007D3408"/>
    <w:rsid w:val="007D4F47"/>
    <w:rsid w:val="007D7461"/>
    <w:rsid w:val="007D7CEB"/>
    <w:rsid w:val="007E315C"/>
    <w:rsid w:val="007E3CC1"/>
    <w:rsid w:val="007E5D8B"/>
    <w:rsid w:val="007E749D"/>
    <w:rsid w:val="007F085C"/>
    <w:rsid w:val="007F0DD1"/>
    <w:rsid w:val="007F1B0C"/>
    <w:rsid w:val="007F36D0"/>
    <w:rsid w:val="007F5FF9"/>
    <w:rsid w:val="007F7275"/>
    <w:rsid w:val="00801481"/>
    <w:rsid w:val="0080188F"/>
    <w:rsid w:val="00801BF1"/>
    <w:rsid w:val="0080316C"/>
    <w:rsid w:val="008041B8"/>
    <w:rsid w:val="00805F19"/>
    <w:rsid w:val="008102C4"/>
    <w:rsid w:val="00813216"/>
    <w:rsid w:val="00813527"/>
    <w:rsid w:val="00813C02"/>
    <w:rsid w:val="00814A56"/>
    <w:rsid w:val="00823945"/>
    <w:rsid w:val="00825079"/>
    <w:rsid w:val="00825271"/>
    <w:rsid w:val="00826EA8"/>
    <w:rsid w:val="00827270"/>
    <w:rsid w:val="0082755B"/>
    <w:rsid w:val="00827DA8"/>
    <w:rsid w:val="00830ABC"/>
    <w:rsid w:val="00830CD3"/>
    <w:rsid w:val="00830D48"/>
    <w:rsid w:val="008314AF"/>
    <w:rsid w:val="008317B5"/>
    <w:rsid w:val="008325AB"/>
    <w:rsid w:val="00836C30"/>
    <w:rsid w:val="00836E4C"/>
    <w:rsid w:val="008371CE"/>
    <w:rsid w:val="0083739B"/>
    <w:rsid w:val="008405EE"/>
    <w:rsid w:val="00840A8F"/>
    <w:rsid w:val="00840CA4"/>
    <w:rsid w:val="008458E7"/>
    <w:rsid w:val="008504FB"/>
    <w:rsid w:val="008522DD"/>
    <w:rsid w:val="008528A1"/>
    <w:rsid w:val="008532B5"/>
    <w:rsid w:val="008539E9"/>
    <w:rsid w:val="00853B25"/>
    <w:rsid w:val="00856B72"/>
    <w:rsid w:val="00857EC5"/>
    <w:rsid w:val="0086058A"/>
    <w:rsid w:val="008615AA"/>
    <w:rsid w:val="00862099"/>
    <w:rsid w:val="008627A0"/>
    <w:rsid w:val="00865ED7"/>
    <w:rsid w:val="0086613C"/>
    <w:rsid w:val="00872D9A"/>
    <w:rsid w:val="0087644C"/>
    <w:rsid w:val="0087691D"/>
    <w:rsid w:val="0088283E"/>
    <w:rsid w:val="00882877"/>
    <w:rsid w:val="008848B0"/>
    <w:rsid w:val="008902D8"/>
    <w:rsid w:val="0089065A"/>
    <w:rsid w:val="008908CA"/>
    <w:rsid w:val="00890F0E"/>
    <w:rsid w:val="00893DDE"/>
    <w:rsid w:val="008947F9"/>
    <w:rsid w:val="008966D1"/>
    <w:rsid w:val="008A05DA"/>
    <w:rsid w:val="008A1D45"/>
    <w:rsid w:val="008A46AA"/>
    <w:rsid w:val="008A5187"/>
    <w:rsid w:val="008A7A7A"/>
    <w:rsid w:val="008B6162"/>
    <w:rsid w:val="008C2024"/>
    <w:rsid w:val="008C3027"/>
    <w:rsid w:val="008C3C03"/>
    <w:rsid w:val="008D04E6"/>
    <w:rsid w:val="008D453C"/>
    <w:rsid w:val="008D4807"/>
    <w:rsid w:val="008D55EA"/>
    <w:rsid w:val="008D5C0C"/>
    <w:rsid w:val="008D78DD"/>
    <w:rsid w:val="008E0CF3"/>
    <w:rsid w:val="008E0D79"/>
    <w:rsid w:val="008E247B"/>
    <w:rsid w:val="008E4AD3"/>
    <w:rsid w:val="008E4D8A"/>
    <w:rsid w:val="008E4E88"/>
    <w:rsid w:val="008F0279"/>
    <w:rsid w:val="008F14F9"/>
    <w:rsid w:val="008F35F5"/>
    <w:rsid w:val="008F4997"/>
    <w:rsid w:val="008F5D58"/>
    <w:rsid w:val="009006B3"/>
    <w:rsid w:val="0090075E"/>
    <w:rsid w:val="00900C4E"/>
    <w:rsid w:val="00902576"/>
    <w:rsid w:val="00902ADA"/>
    <w:rsid w:val="0090405A"/>
    <w:rsid w:val="0090469A"/>
    <w:rsid w:val="009054C7"/>
    <w:rsid w:val="009055EA"/>
    <w:rsid w:val="009074DE"/>
    <w:rsid w:val="009103E5"/>
    <w:rsid w:val="00910A96"/>
    <w:rsid w:val="00910B07"/>
    <w:rsid w:val="00911146"/>
    <w:rsid w:val="00911549"/>
    <w:rsid w:val="009116EA"/>
    <w:rsid w:val="00912E10"/>
    <w:rsid w:val="009137FA"/>
    <w:rsid w:val="00915205"/>
    <w:rsid w:val="00915374"/>
    <w:rsid w:val="00915B75"/>
    <w:rsid w:val="00916D8E"/>
    <w:rsid w:val="00920C1B"/>
    <w:rsid w:val="00920DF1"/>
    <w:rsid w:val="00921BFF"/>
    <w:rsid w:val="00922832"/>
    <w:rsid w:val="00923F8B"/>
    <w:rsid w:val="0092464E"/>
    <w:rsid w:val="00930A38"/>
    <w:rsid w:val="009329AD"/>
    <w:rsid w:val="00933FEB"/>
    <w:rsid w:val="00934DF5"/>
    <w:rsid w:val="009351F2"/>
    <w:rsid w:val="009358DC"/>
    <w:rsid w:val="00937F4B"/>
    <w:rsid w:val="00943666"/>
    <w:rsid w:val="009514F0"/>
    <w:rsid w:val="00951BB2"/>
    <w:rsid w:val="00952A78"/>
    <w:rsid w:val="00952C38"/>
    <w:rsid w:val="0095408A"/>
    <w:rsid w:val="009543A2"/>
    <w:rsid w:val="00954F71"/>
    <w:rsid w:val="00957BEB"/>
    <w:rsid w:val="00961531"/>
    <w:rsid w:val="0096185E"/>
    <w:rsid w:val="00961F90"/>
    <w:rsid w:val="0096290D"/>
    <w:rsid w:val="00966CEA"/>
    <w:rsid w:val="00971647"/>
    <w:rsid w:val="00971835"/>
    <w:rsid w:val="00974785"/>
    <w:rsid w:val="009778DE"/>
    <w:rsid w:val="009839E1"/>
    <w:rsid w:val="009866D4"/>
    <w:rsid w:val="0098788F"/>
    <w:rsid w:val="00990C5B"/>
    <w:rsid w:val="00991609"/>
    <w:rsid w:val="009921A7"/>
    <w:rsid w:val="00993CD2"/>
    <w:rsid w:val="009941BB"/>
    <w:rsid w:val="009A00D3"/>
    <w:rsid w:val="009A1E51"/>
    <w:rsid w:val="009A2373"/>
    <w:rsid w:val="009A569C"/>
    <w:rsid w:val="009A5A19"/>
    <w:rsid w:val="009A676A"/>
    <w:rsid w:val="009A70E3"/>
    <w:rsid w:val="009A7501"/>
    <w:rsid w:val="009B0DBD"/>
    <w:rsid w:val="009B23AA"/>
    <w:rsid w:val="009B2455"/>
    <w:rsid w:val="009B2976"/>
    <w:rsid w:val="009B2A71"/>
    <w:rsid w:val="009B3409"/>
    <w:rsid w:val="009B3B9B"/>
    <w:rsid w:val="009B3C2E"/>
    <w:rsid w:val="009B426B"/>
    <w:rsid w:val="009B4A6C"/>
    <w:rsid w:val="009B5358"/>
    <w:rsid w:val="009B5F2F"/>
    <w:rsid w:val="009B7515"/>
    <w:rsid w:val="009C027D"/>
    <w:rsid w:val="009C2001"/>
    <w:rsid w:val="009C2C26"/>
    <w:rsid w:val="009C6808"/>
    <w:rsid w:val="009C6DDC"/>
    <w:rsid w:val="009C7831"/>
    <w:rsid w:val="009D0DDB"/>
    <w:rsid w:val="009D1349"/>
    <w:rsid w:val="009D1567"/>
    <w:rsid w:val="009D19A2"/>
    <w:rsid w:val="009D461F"/>
    <w:rsid w:val="009D7796"/>
    <w:rsid w:val="009E3F7A"/>
    <w:rsid w:val="009E5595"/>
    <w:rsid w:val="009F0372"/>
    <w:rsid w:val="009F0B3A"/>
    <w:rsid w:val="009F19DF"/>
    <w:rsid w:val="009F25F0"/>
    <w:rsid w:val="009F2AB1"/>
    <w:rsid w:val="009F547B"/>
    <w:rsid w:val="009F7037"/>
    <w:rsid w:val="009F773A"/>
    <w:rsid w:val="00A000B6"/>
    <w:rsid w:val="00A03C38"/>
    <w:rsid w:val="00A04D5E"/>
    <w:rsid w:val="00A05667"/>
    <w:rsid w:val="00A076B9"/>
    <w:rsid w:val="00A10353"/>
    <w:rsid w:val="00A10537"/>
    <w:rsid w:val="00A16ED5"/>
    <w:rsid w:val="00A1725F"/>
    <w:rsid w:val="00A21675"/>
    <w:rsid w:val="00A23FAC"/>
    <w:rsid w:val="00A258BB"/>
    <w:rsid w:val="00A27081"/>
    <w:rsid w:val="00A27C5D"/>
    <w:rsid w:val="00A30CC4"/>
    <w:rsid w:val="00A31362"/>
    <w:rsid w:val="00A315D5"/>
    <w:rsid w:val="00A3289B"/>
    <w:rsid w:val="00A331C3"/>
    <w:rsid w:val="00A35915"/>
    <w:rsid w:val="00A366D1"/>
    <w:rsid w:val="00A45803"/>
    <w:rsid w:val="00A4665B"/>
    <w:rsid w:val="00A503E7"/>
    <w:rsid w:val="00A52323"/>
    <w:rsid w:val="00A56B9B"/>
    <w:rsid w:val="00A60305"/>
    <w:rsid w:val="00A62C69"/>
    <w:rsid w:val="00A62E9D"/>
    <w:rsid w:val="00A64944"/>
    <w:rsid w:val="00A654EB"/>
    <w:rsid w:val="00A66CA0"/>
    <w:rsid w:val="00A701A1"/>
    <w:rsid w:val="00A72F9C"/>
    <w:rsid w:val="00A730A2"/>
    <w:rsid w:val="00A80430"/>
    <w:rsid w:val="00A80939"/>
    <w:rsid w:val="00A82C39"/>
    <w:rsid w:val="00A9035C"/>
    <w:rsid w:val="00A92022"/>
    <w:rsid w:val="00A931DC"/>
    <w:rsid w:val="00A93412"/>
    <w:rsid w:val="00A93AA0"/>
    <w:rsid w:val="00A94E48"/>
    <w:rsid w:val="00A95012"/>
    <w:rsid w:val="00A96B71"/>
    <w:rsid w:val="00AA0EF3"/>
    <w:rsid w:val="00AA0FB5"/>
    <w:rsid w:val="00AA101E"/>
    <w:rsid w:val="00AA15E3"/>
    <w:rsid w:val="00AA2C64"/>
    <w:rsid w:val="00AA2E9F"/>
    <w:rsid w:val="00AA4A44"/>
    <w:rsid w:val="00AA4ECE"/>
    <w:rsid w:val="00AA6067"/>
    <w:rsid w:val="00AB1969"/>
    <w:rsid w:val="00AB2918"/>
    <w:rsid w:val="00AB38BC"/>
    <w:rsid w:val="00AB5F5A"/>
    <w:rsid w:val="00AB6864"/>
    <w:rsid w:val="00AB69EF"/>
    <w:rsid w:val="00AB6EA7"/>
    <w:rsid w:val="00AB6F19"/>
    <w:rsid w:val="00AB796C"/>
    <w:rsid w:val="00AC0AA1"/>
    <w:rsid w:val="00AC108A"/>
    <w:rsid w:val="00AC24A9"/>
    <w:rsid w:val="00AC601A"/>
    <w:rsid w:val="00AC6618"/>
    <w:rsid w:val="00AC796C"/>
    <w:rsid w:val="00AD0E26"/>
    <w:rsid w:val="00AD1CF9"/>
    <w:rsid w:val="00AD3475"/>
    <w:rsid w:val="00AD3569"/>
    <w:rsid w:val="00AE1F09"/>
    <w:rsid w:val="00AE2810"/>
    <w:rsid w:val="00AE2ADA"/>
    <w:rsid w:val="00AE5A3B"/>
    <w:rsid w:val="00AF0886"/>
    <w:rsid w:val="00AF13E2"/>
    <w:rsid w:val="00AF286F"/>
    <w:rsid w:val="00AF360C"/>
    <w:rsid w:val="00AF3775"/>
    <w:rsid w:val="00AF6393"/>
    <w:rsid w:val="00B005CB"/>
    <w:rsid w:val="00B01083"/>
    <w:rsid w:val="00B0162C"/>
    <w:rsid w:val="00B01CFF"/>
    <w:rsid w:val="00B03E68"/>
    <w:rsid w:val="00B05CEC"/>
    <w:rsid w:val="00B12AD0"/>
    <w:rsid w:val="00B17311"/>
    <w:rsid w:val="00B20CA9"/>
    <w:rsid w:val="00B22740"/>
    <w:rsid w:val="00B22E09"/>
    <w:rsid w:val="00B23C30"/>
    <w:rsid w:val="00B23D05"/>
    <w:rsid w:val="00B26855"/>
    <w:rsid w:val="00B26A0B"/>
    <w:rsid w:val="00B277BE"/>
    <w:rsid w:val="00B31486"/>
    <w:rsid w:val="00B33B6E"/>
    <w:rsid w:val="00B34160"/>
    <w:rsid w:val="00B3466D"/>
    <w:rsid w:val="00B35D94"/>
    <w:rsid w:val="00B40972"/>
    <w:rsid w:val="00B506C2"/>
    <w:rsid w:val="00B51915"/>
    <w:rsid w:val="00B524E6"/>
    <w:rsid w:val="00B529D4"/>
    <w:rsid w:val="00B53CBD"/>
    <w:rsid w:val="00B5645A"/>
    <w:rsid w:val="00B56C1C"/>
    <w:rsid w:val="00B57CBF"/>
    <w:rsid w:val="00B6177F"/>
    <w:rsid w:val="00B62A40"/>
    <w:rsid w:val="00B64D7C"/>
    <w:rsid w:val="00B670EB"/>
    <w:rsid w:val="00B71540"/>
    <w:rsid w:val="00B72C2E"/>
    <w:rsid w:val="00B7321B"/>
    <w:rsid w:val="00B73CEA"/>
    <w:rsid w:val="00B7512D"/>
    <w:rsid w:val="00B76A19"/>
    <w:rsid w:val="00B76F72"/>
    <w:rsid w:val="00B77E1D"/>
    <w:rsid w:val="00B80A3C"/>
    <w:rsid w:val="00B83113"/>
    <w:rsid w:val="00B83544"/>
    <w:rsid w:val="00B83D0A"/>
    <w:rsid w:val="00B84A53"/>
    <w:rsid w:val="00B85D11"/>
    <w:rsid w:val="00B866BE"/>
    <w:rsid w:val="00B869E6"/>
    <w:rsid w:val="00B87DF5"/>
    <w:rsid w:val="00B91FEF"/>
    <w:rsid w:val="00B930DF"/>
    <w:rsid w:val="00B9315E"/>
    <w:rsid w:val="00B9333B"/>
    <w:rsid w:val="00B93A37"/>
    <w:rsid w:val="00B9455A"/>
    <w:rsid w:val="00B94AB5"/>
    <w:rsid w:val="00B95CA8"/>
    <w:rsid w:val="00B964A1"/>
    <w:rsid w:val="00B97A36"/>
    <w:rsid w:val="00BA0275"/>
    <w:rsid w:val="00BA14B5"/>
    <w:rsid w:val="00BA1797"/>
    <w:rsid w:val="00BA27F6"/>
    <w:rsid w:val="00BA388B"/>
    <w:rsid w:val="00BA4F44"/>
    <w:rsid w:val="00BB1F58"/>
    <w:rsid w:val="00BB26F0"/>
    <w:rsid w:val="00BB2E24"/>
    <w:rsid w:val="00BB424A"/>
    <w:rsid w:val="00BB4589"/>
    <w:rsid w:val="00BB527A"/>
    <w:rsid w:val="00BB6866"/>
    <w:rsid w:val="00BC22AF"/>
    <w:rsid w:val="00BC26CE"/>
    <w:rsid w:val="00BC418B"/>
    <w:rsid w:val="00BC58C9"/>
    <w:rsid w:val="00BD00DC"/>
    <w:rsid w:val="00BD0D80"/>
    <w:rsid w:val="00BD12C6"/>
    <w:rsid w:val="00BD2F11"/>
    <w:rsid w:val="00BD2F8A"/>
    <w:rsid w:val="00BD62D2"/>
    <w:rsid w:val="00BD79F9"/>
    <w:rsid w:val="00BE0068"/>
    <w:rsid w:val="00BE0F26"/>
    <w:rsid w:val="00BE24D3"/>
    <w:rsid w:val="00BE29DD"/>
    <w:rsid w:val="00BE32D6"/>
    <w:rsid w:val="00BE4A3E"/>
    <w:rsid w:val="00BE54A5"/>
    <w:rsid w:val="00BE593B"/>
    <w:rsid w:val="00BE5D3F"/>
    <w:rsid w:val="00BE7D0C"/>
    <w:rsid w:val="00BF47F6"/>
    <w:rsid w:val="00BF7759"/>
    <w:rsid w:val="00BF7BAC"/>
    <w:rsid w:val="00C0028D"/>
    <w:rsid w:val="00C00D19"/>
    <w:rsid w:val="00C02FED"/>
    <w:rsid w:val="00C044D3"/>
    <w:rsid w:val="00C05F27"/>
    <w:rsid w:val="00C0610D"/>
    <w:rsid w:val="00C06343"/>
    <w:rsid w:val="00C066F9"/>
    <w:rsid w:val="00C11866"/>
    <w:rsid w:val="00C121BA"/>
    <w:rsid w:val="00C12D5B"/>
    <w:rsid w:val="00C14847"/>
    <w:rsid w:val="00C15B82"/>
    <w:rsid w:val="00C21FFB"/>
    <w:rsid w:val="00C22D8B"/>
    <w:rsid w:val="00C2531A"/>
    <w:rsid w:val="00C256BB"/>
    <w:rsid w:val="00C26A0C"/>
    <w:rsid w:val="00C26B3D"/>
    <w:rsid w:val="00C26F89"/>
    <w:rsid w:val="00C300D1"/>
    <w:rsid w:val="00C31DAA"/>
    <w:rsid w:val="00C32A14"/>
    <w:rsid w:val="00C34239"/>
    <w:rsid w:val="00C34AE0"/>
    <w:rsid w:val="00C34CCE"/>
    <w:rsid w:val="00C34E47"/>
    <w:rsid w:val="00C3597A"/>
    <w:rsid w:val="00C3615A"/>
    <w:rsid w:val="00C36C5E"/>
    <w:rsid w:val="00C40439"/>
    <w:rsid w:val="00C4163A"/>
    <w:rsid w:val="00C41A2B"/>
    <w:rsid w:val="00C43A4F"/>
    <w:rsid w:val="00C43DAB"/>
    <w:rsid w:val="00C448E3"/>
    <w:rsid w:val="00C458E0"/>
    <w:rsid w:val="00C462C2"/>
    <w:rsid w:val="00C47F2B"/>
    <w:rsid w:val="00C47FDE"/>
    <w:rsid w:val="00C50093"/>
    <w:rsid w:val="00C555E8"/>
    <w:rsid w:val="00C620AC"/>
    <w:rsid w:val="00C622B8"/>
    <w:rsid w:val="00C631B2"/>
    <w:rsid w:val="00C6366B"/>
    <w:rsid w:val="00C63CB9"/>
    <w:rsid w:val="00C668CE"/>
    <w:rsid w:val="00C7094D"/>
    <w:rsid w:val="00C7178F"/>
    <w:rsid w:val="00C71A5F"/>
    <w:rsid w:val="00C71EEA"/>
    <w:rsid w:val="00C734B3"/>
    <w:rsid w:val="00C75C76"/>
    <w:rsid w:val="00C7727A"/>
    <w:rsid w:val="00C77B41"/>
    <w:rsid w:val="00C8122F"/>
    <w:rsid w:val="00C82A9C"/>
    <w:rsid w:val="00C843E7"/>
    <w:rsid w:val="00C903EA"/>
    <w:rsid w:val="00C9119A"/>
    <w:rsid w:val="00C91A6F"/>
    <w:rsid w:val="00C92B0D"/>
    <w:rsid w:val="00C9343D"/>
    <w:rsid w:val="00C95060"/>
    <w:rsid w:val="00C9683E"/>
    <w:rsid w:val="00CA04AE"/>
    <w:rsid w:val="00CA10D8"/>
    <w:rsid w:val="00CA23C5"/>
    <w:rsid w:val="00CA3A6D"/>
    <w:rsid w:val="00CA5863"/>
    <w:rsid w:val="00CA6300"/>
    <w:rsid w:val="00CA7A19"/>
    <w:rsid w:val="00CB0509"/>
    <w:rsid w:val="00CB0BCB"/>
    <w:rsid w:val="00CB21B9"/>
    <w:rsid w:val="00CB47C1"/>
    <w:rsid w:val="00CB4875"/>
    <w:rsid w:val="00CB4D27"/>
    <w:rsid w:val="00CC0CC8"/>
    <w:rsid w:val="00CC1496"/>
    <w:rsid w:val="00CC15A0"/>
    <w:rsid w:val="00CC64D1"/>
    <w:rsid w:val="00CC678F"/>
    <w:rsid w:val="00CC6BE4"/>
    <w:rsid w:val="00CD0CBC"/>
    <w:rsid w:val="00CD1809"/>
    <w:rsid w:val="00CD3C03"/>
    <w:rsid w:val="00CD5984"/>
    <w:rsid w:val="00CD761C"/>
    <w:rsid w:val="00CE1CA5"/>
    <w:rsid w:val="00CE4AEC"/>
    <w:rsid w:val="00CE57DE"/>
    <w:rsid w:val="00CE65B6"/>
    <w:rsid w:val="00CF2D89"/>
    <w:rsid w:val="00CF2F89"/>
    <w:rsid w:val="00CF3257"/>
    <w:rsid w:val="00CF4FE0"/>
    <w:rsid w:val="00CF61E2"/>
    <w:rsid w:val="00CF6CA6"/>
    <w:rsid w:val="00D014C5"/>
    <w:rsid w:val="00D04860"/>
    <w:rsid w:val="00D1037E"/>
    <w:rsid w:val="00D10FCD"/>
    <w:rsid w:val="00D13A6B"/>
    <w:rsid w:val="00D15F71"/>
    <w:rsid w:val="00D16BA1"/>
    <w:rsid w:val="00D17416"/>
    <w:rsid w:val="00D17982"/>
    <w:rsid w:val="00D17B56"/>
    <w:rsid w:val="00D21E06"/>
    <w:rsid w:val="00D24C8F"/>
    <w:rsid w:val="00D259DD"/>
    <w:rsid w:val="00D27551"/>
    <w:rsid w:val="00D3038C"/>
    <w:rsid w:val="00D35C5E"/>
    <w:rsid w:val="00D36A02"/>
    <w:rsid w:val="00D36A6A"/>
    <w:rsid w:val="00D374E0"/>
    <w:rsid w:val="00D41316"/>
    <w:rsid w:val="00D44623"/>
    <w:rsid w:val="00D44C0A"/>
    <w:rsid w:val="00D45F86"/>
    <w:rsid w:val="00D46082"/>
    <w:rsid w:val="00D4726B"/>
    <w:rsid w:val="00D47DF4"/>
    <w:rsid w:val="00D54596"/>
    <w:rsid w:val="00D61A88"/>
    <w:rsid w:val="00D62D43"/>
    <w:rsid w:val="00D66673"/>
    <w:rsid w:val="00D66833"/>
    <w:rsid w:val="00D6798D"/>
    <w:rsid w:val="00D67ABC"/>
    <w:rsid w:val="00D7066C"/>
    <w:rsid w:val="00D72728"/>
    <w:rsid w:val="00D740FC"/>
    <w:rsid w:val="00D80104"/>
    <w:rsid w:val="00D80BB3"/>
    <w:rsid w:val="00D81BA1"/>
    <w:rsid w:val="00D825B2"/>
    <w:rsid w:val="00D8382B"/>
    <w:rsid w:val="00D844B3"/>
    <w:rsid w:val="00D862FE"/>
    <w:rsid w:val="00D8689B"/>
    <w:rsid w:val="00D9413A"/>
    <w:rsid w:val="00D95ECA"/>
    <w:rsid w:val="00D96D75"/>
    <w:rsid w:val="00D972D6"/>
    <w:rsid w:val="00DA11FB"/>
    <w:rsid w:val="00DA1EC0"/>
    <w:rsid w:val="00DA20EC"/>
    <w:rsid w:val="00DA44D5"/>
    <w:rsid w:val="00DA4507"/>
    <w:rsid w:val="00DA451F"/>
    <w:rsid w:val="00DA4B34"/>
    <w:rsid w:val="00DA64A2"/>
    <w:rsid w:val="00DA64E2"/>
    <w:rsid w:val="00DA65BF"/>
    <w:rsid w:val="00DB0F23"/>
    <w:rsid w:val="00DB31FA"/>
    <w:rsid w:val="00DB3C7F"/>
    <w:rsid w:val="00DB5060"/>
    <w:rsid w:val="00DB506C"/>
    <w:rsid w:val="00DB755B"/>
    <w:rsid w:val="00DB7584"/>
    <w:rsid w:val="00DB79F9"/>
    <w:rsid w:val="00DC2275"/>
    <w:rsid w:val="00DC3586"/>
    <w:rsid w:val="00DC42C8"/>
    <w:rsid w:val="00DC5613"/>
    <w:rsid w:val="00DD1C78"/>
    <w:rsid w:val="00DD4F73"/>
    <w:rsid w:val="00DD57A1"/>
    <w:rsid w:val="00DD5B5E"/>
    <w:rsid w:val="00DE0287"/>
    <w:rsid w:val="00DE12E3"/>
    <w:rsid w:val="00DE22E5"/>
    <w:rsid w:val="00DE2DDB"/>
    <w:rsid w:val="00DE664B"/>
    <w:rsid w:val="00DF0608"/>
    <w:rsid w:val="00DF0C48"/>
    <w:rsid w:val="00DF1111"/>
    <w:rsid w:val="00DF18E5"/>
    <w:rsid w:val="00DF46D7"/>
    <w:rsid w:val="00DF4E83"/>
    <w:rsid w:val="00DF5193"/>
    <w:rsid w:val="00DF532B"/>
    <w:rsid w:val="00DF6D27"/>
    <w:rsid w:val="00E0009C"/>
    <w:rsid w:val="00E009B2"/>
    <w:rsid w:val="00E01E60"/>
    <w:rsid w:val="00E02D51"/>
    <w:rsid w:val="00E02F31"/>
    <w:rsid w:val="00E05202"/>
    <w:rsid w:val="00E11EA6"/>
    <w:rsid w:val="00E124A2"/>
    <w:rsid w:val="00E16DB7"/>
    <w:rsid w:val="00E20137"/>
    <w:rsid w:val="00E213BF"/>
    <w:rsid w:val="00E2250F"/>
    <w:rsid w:val="00E23AA9"/>
    <w:rsid w:val="00E25A98"/>
    <w:rsid w:val="00E2674C"/>
    <w:rsid w:val="00E31024"/>
    <w:rsid w:val="00E34593"/>
    <w:rsid w:val="00E37B08"/>
    <w:rsid w:val="00E425B5"/>
    <w:rsid w:val="00E429D1"/>
    <w:rsid w:val="00E43A95"/>
    <w:rsid w:val="00E4453C"/>
    <w:rsid w:val="00E45371"/>
    <w:rsid w:val="00E46741"/>
    <w:rsid w:val="00E51410"/>
    <w:rsid w:val="00E560D3"/>
    <w:rsid w:val="00E561DA"/>
    <w:rsid w:val="00E606B2"/>
    <w:rsid w:val="00E6218D"/>
    <w:rsid w:val="00E64312"/>
    <w:rsid w:val="00E6455C"/>
    <w:rsid w:val="00E65FC9"/>
    <w:rsid w:val="00E66041"/>
    <w:rsid w:val="00E668C3"/>
    <w:rsid w:val="00E71E65"/>
    <w:rsid w:val="00E74189"/>
    <w:rsid w:val="00E75DB7"/>
    <w:rsid w:val="00E765A4"/>
    <w:rsid w:val="00E803A6"/>
    <w:rsid w:val="00E80DB0"/>
    <w:rsid w:val="00E812A3"/>
    <w:rsid w:val="00E832C1"/>
    <w:rsid w:val="00E8494F"/>
    <w:rsid w:val="00E84B23"/>
    <w:rsid w:val="00E85F6B"/>
    <w:rsid w:val="00E920C7"/>
    <w:rsid w:val="00E93859"/>
    <w:rsid w:val="00E952DB"/>
    <w:rsid w:val="00E95ACC"/>
    <w:rsid w:val="00E96555"/>
    <w:rsid w:val="00E96891"/>
    <w:rsid w:val="00EA07C3"/>
    <w:rsid w:val="00EA4FB3"/>
    <w:rsid w:val="00EA5761"/>
    <w:rsid w:val="00EA7DAE"/>
    <w:rsid w:val="00EB324A"/>
    <w:rsid w:val="00EB6BC2"/>
    <w:rsid w:val="00EC00FE"/>
    <w:rsid w:val="00EC21C1"/>
    <w:rsid w:val="00EC6FA0"/>
    <w:rsid w:val="00ED0969"/>
    <w:rsid w:val="00ED214F"/>
    <w:rsid w:val="00ED3F85"/>
    <w:rsid w:val="00ED6604"/>
    <w:rsid w:val="00ED6797"/>
    <w:rsid w:val="00ED7946"/>
    <w:rsid w:val="00EE128C"/>
    <w:rsid w:val="00EE15DF"/>
    <w:rsid w:val="00EE1D95"/>
    <w:rsid w:val="00EE34A2"/>
    <w:rsid w:val="00EE685B"/>
    <w:rsid w:val="00EE6861"/>
    <w:rsid w:val="00EE68C4"/>
    <w:rsid w:val="00EE6A77"/>
    <w:rsid w:val="00EE7B65"/>
    <w:rsid w:val="00EF07AC"/>
    <w:rsid w:val="00EF1FC2"/>
    <w:rsid w:val="00EF3AE1"/>
    <w:rsid w:val="00EF43F2"/>
    <w:rsid w:val="00EF6525"/>
    <w:rsid w:val="00EF7B94"/>
    <w:rsid w:val="00F013D1"/>
    <w:rsid w:val="00F017F2"/>
    <w:rsid w:val="00F027F3"/>
    <w:rsid w:val="00F04270"/>
    <w:rsid w:val="00F048C7"/>
    <w:rsid w:val="00F05497"/>
    <w:rsid w:val="00F056F8"/>
    <w:rsid w:val="00F05AB5"/>
    <w:rsid w:val="00F05D2A"/>
    <w:rsid w:val="00F111B1"/>
    <w:rsid w:val="00F127ED"/>
    <w:rsid w:val="00F144B5"/>
    <w:rsid w:val="00F14C22"/>
    <w:rsid w:val="00F17C1A"/>
    <w:rsid w:val="00F22F7C"/>
    <w:rsid w:val="00F23F19"/>
    <w:rsid w:val="00F30FD6"/>
    <w:rsid w:val="00F31D48"/>
    <w:rsid w:val="00F322DA"/>
    <w:rsid w:val="00F34E64"/>
    <w:rsid w:val="00F363D8"/>
    <w:rsid w:val="00F41AB3"/>
    <w:rsid w:val="00F41AE6"/>
    <w:rsid w:val="00F44056"/>
    <w:rsid w:val="00F46253"/>
    <w:rsid w:val="00F463C3"/>
    <w:rsid w:val="00F5052F"/>
    <w:rsid w:val="00F50611"/>
    <w:rsid w:val="00F52B26"/>
    <w:rsid w:val="00F53147"/>
    <w:rsid w:val="00F570C5"/>
    <w:rsid w:val="00F57671"/>
    <w:rsid w:val="00F607BE"/>
    <w:rsid w:val="00F6090F"/>
    <w:rsid w:val="00F61238"/>
    <w:rsid w:val="00F62616"/>
    <w:rsid w:val="00F62960"/>
    <w:rsid w:val="00F62A06"/>
    <w:rsid w:val="00F650DB"/>
    <w:rsid w:val="00F67706"/>
    <w:rsid w:val="00F7045D"/>
    <w:rsid w:val="00F721E4"/>
    <w:rsid w:val="00F72502"/>
    <w:rsid w:val="00F72800"/>
    <w:rsid w:val="00F805D2"/>
    <w:rsid w:val="00F80F90"/>
    <w:rsid w:val="00F83986"/>
    <w:rsid w:val="00F85F19"/>
    <w:rsid w:val="00F861C3"/>
    <w:rsid w:val="00F9389C"/>
    <w:rsid w:val="00F944A0"/>
    <w:rsid w:val="00F955E3"/>
    <w:rsid w:val="00F959CB"/>
    <w:rsid w:val="00FA0284"/>
    <w:rsid w:val="00FA1799"/>
    <w:rsid w:val="00FA2155"/>
    <w:rsid w:val="00FA277B"/>
    <w:rsid w:val="00FA30DD"/>
    <w:rsid w:val="00FA36BE"/>
    <w:rsid w:val="00FA4C1C"/>
    <w:rsid w:val="00FA5FB6"/>
    <w:rsid w:val="00FA78A6"/>
    <w:rsid w:val="00FB14B0"/>
    <w:rsid w:val="00FB1B9A"/>
    <w:rsid w:val="00FB39B0"/>
    <w:rsid w:val="00FB45C8"/>
    <w:rsid w:val="00FB5262"/>
    <w:rsid w:val="00FB5A15"/>
    <w:rsid w:val="00FB6A02"/>
    <w:rsid w:val="00FB771C"/>
    <w:rsid w:val="00FB7EF9"/>
    <w:rsid w:val="00FB7F63"/>
    <w:rsid w:val="00FC190B"/>
    <w:rsid w:val="00FC1D7F"/>
    <w:rsid w:val="00FC1E00"/>
    <w:rsid w:val="00FC2F0D"/>
    <w:rsid w:val="00FC332D"/>
    <w:rsid w:val="00FC3547"/>
    <w:rsid w:val="00FC376F"/>
    <w:rsid w:val="00FC4EE5"/>
    <w:rsid w:val="00FC7094"/>
    <w:rsid w:val="00FD2B79"/>
    <w:rsid w:val="00FD3B18"/>
    <w:rsid w:val="00FD3F00"/>
    <w:rsid w:val="00FF1228"/>
    <w:rsid w:val="00FF30C2"/>
    <w:rsid w:val="00FF4A83"/>
    <w:rsid w:val="00FF59E0"/>
    <w:rsid w:val="00FF68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DFFDB46"/>
  <w15:docId w15:val="{61F84152-3861-409D-B32C-9B0D61C9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3EC6"/>
    <w:pPr>
      <w:widowControl w:val="0"/>
      <w:jc w:val="both"/>
    </w:pPr>
    <w:rPr>
      <w:rFonts w:ascii="Times New Roman" w:eastAsia="宋体" w:hAnsi="Times New Roman" w:cs="Times New Roman"/>
      <w:szCs w:val="24"/>
    </w:rPr>
  </w:style>
  <w:style w:type="paragraph" w:styleId="1">
    <w:name w:val="heading 1"/>
    <w:aliases w:val="H1,Heading 0"/>
    <w:basedOn w:val="a1"/>
    <w:next w:val="a1"/>
    <w:link w:val="10"/>
    <w:qFormat/>
    <w:rsid w:val="002E3EC6"/>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2E3EC6"/>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2E3EC6"/>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uiPriority w:val="9"/>
    <w:qFormat/>
    <w:rsid w:val="002E3EC6"/>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uiPriority w:val="9"/>
    <w:qFormat/>
    <w:rsid w:val="002E3EC6"/>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uiPriority w:val="9"/>
    <w:qFormat/>
    <w:rsid w:val="002E3EC6"/>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uiPriority w:val="9"/>
    <w:qFormat/>
    <w:rsid w:val="002E3EC6"/>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uiPriority w:val="9"/>
    <w:qFormat/>
    <w:rsid w:val="002E3EC6"/>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uiPriority w:val="9"/>
    <w:qFormat/>
    <w:rsid w:val="002E3EC6"/>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uiPriority w:val="9"/>
    <w:rsid w:val="002E3EC6"/>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uiPriority w:val="9"/>
    <w:rsid w:val="002E3EC6"/>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uiPriority w:val="9"/>
    <w:rsid w:val="002E3EC6"/>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uiPriority w:val="9"/>
    <w:rsid w:val="002E3EC6"/>
    <w:rPr>
      <w:rFonts w:ascii="Arial" w:eastAsia="黑体" w:hAnsi="Arial" w:cs="Times New Roman"/>
      <w:b/>
      <w:kern w:val="0"/>
      <w:sz w:val="28"/>
      <w:szCs w:val="20"/>
    </w:rPr>
  </w:style>
  <w:style w:type="character" w:customStyle="1" w:styleId="50">
    <w:name w:val="标题 5 字符"/>
    <w:basedOn w:val="a2"/>
    <w:link w:val="5"/>
    <w:uiPriority w:val="9"/>
    <w:rsid w:val="002E3EC6"/>
    <w:rPr>
      <w:rFonts w:ascii="宋体" w:eastAsia="宋体" w:hAnsi="Times New Roman" w:cs="Times New Roman"/>
      <w:b/>
      <w:kern w:val="0"/>
      <w:sz w:val="28"/>
      <w:szCs w:val="20"/>
    </w:rPr>
  </w:style>
  <w:style w:type="character" w:customStyle="1" w:styleId="60">
    <w:name w:val="标题 6 字符"/>
    <w:basedOn w:val="a2"/>
    <w:link w:val="6"/>
    <w:uiPriority w:val="9"/>
    <w:rsid w:val="002E3EC6"/>
    <w:rPr>
      <w:rFonts w:ascii="Arial" w:eastAsia="黑体" w:hAnsi="Arial" w:cs="Times New Roman"/>
      <w:b/>
      <w:kern w:val="0"/>
      <w:sz w:val="24"/>
      <w:szCs w:val="20"/>
    </w:rPr>
  </w:style>
  <w:style w:type="character" w:customStyle="1" w:styleId="70">
    <w:name w:val="标题 7 字符"/>
    <w:basedOn w:val="a2"/>
    <w:link w:val="7"/>
    <w:uiPriority w:val="9"/>
    <w:rsid w:val="002E3EC6"/>
    <w:rPr>
      <w:rFonts w:ascii="宋体" w:eastAsia="宋体" w:hAnsi="Times New Roman" w:cs="Times New Roman"/>
      <w:b/>
      <w:kern w:val="0"/>
      <w:sz w:val="24"/>
      <w:szCs w:val="20"/>
    </w:rPr>
  </w:style>
  <w:style w:type="character" w:customStyle="1" w:styleId="80">
    <w:name w:val="标题 8 字符"/>
    <w:basedOn w:val="a2"/>
    <w:link w:val="8"/>
    <w:uiPriority w:val="9"/>
    <w:rsid w:val="002E3EC6"/>
    <w:rPr>
      <w:rFonts w:ascii="Arial" w:eastAsia="黑体" w:hAnsi="Arial" w:cs="Times New Roman"/>
      <w:kern w:val="0"/>
      <w:sz w:val="24"/>
      <w:szCs w:val="20"/>
    </w:rPr>
  </w:style>
  <w:style w:type="character" w:customStyle="1" w:styleId="90">
    <w:name w:val="标题 9 字符"/>
    <w:basedOn w:val="a2"/>
    <w:link w:val="9"/>
    <w:uiPriority w:val="9"/>
    <w:rsid w:val="002E3EC6"/>
    <w:rPr>
      <w:rFonts w:ascii="Arial" w:eastAsia="黑体" w:hAnsi="Arial" w:cs="Times New Roman"/>
      <w:kern w:val="0"/>
      <w:szCs w:val="20"/>
    </w:rPr>
  </w:style>
  <w:style w:type="paragraph" w:customStyle="1" w:styleId="ParaChar">
    <w:name w:val="默认段落字体 Para Char"/>
    <w:basedOn w:val="a1"/>
    <w:autoRedefine/>
    <w:rsid w:val="002E3EC6"/>
    <w:pPr>
      <w:numPr>
        <w:numId w:val="3"/>
      </w:numPr>
    </w:pPr>
    <w:rPr>
      <w:sz w:val="24"/>
    </w:rPr>
  </w:style>
  <w:style w:type="character" w:styleId="a5">
    <w:name w:val="Hyperlink"/>
    <w:basedOn w:val="a2"/>
    <w:rsid w:val="002E3EC6"/>
    <w:rPr>
      <w:color w:val="0000FF"/>
      <w:u w:val="single"/>
    </w:rPr>
  </w:style>
  <w:style w:type="character" w:styleId="a6">
    <w:name w:val="FollowedHyperlink"/>
    <w:basedOn w:val="a2"/>
    <w:rsid w:val="002E3EC6"/>
    <w:rPr>
      <w:color w:val="800080"/>
      <w:u w:val="single"/>
    </w:rPr>
  </w:style>
  <w:style w:type="paragraph" w:styleId="a7">
    <w:name w:val="Normal (Web)"/>
    <w:basedOn w:val="a1"/>
    <w:rsid w:val="002E3EC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1">
    <w:name w:val="index 1"/>
    <w:basedOn w:val="a1"/>
    <w:next w:val="a1"/>
    <w:autoRedefine/>
    <w:rsid w:val="002E3EC6"/>
    <w:pPr>
      <w:spacing w:line="360" w:lineRule="auto"/>
      <w:ind w:firstLineChars="200" w:firstLine="422"/>
      <w:outlineLvl w:val="0"/>
    </w:pPr>
    <w:rPr>
      <w:rFonts w:ascii="宋体" w:hAnsi="宋体"/>
      <w:b/>
      <w:bCs/>
      <w:color w:val="000000"/>
      <w:kern w:val="0"/>
    </w:rPr>
  </w:style>
  <w:style w:type="paragraph" w:styleId="12">
    <w:name w:val="toc 1"/>
    <w:basedOn w:val="a1"/>
    <w:next w:val="a1"/>
    <w:autoRedefine/>
    <w:qFormat/>
    <w:rsid w:val="002E3EC6"/>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8E247B"/>
    <w:pPr>
      <w:tabs>
        <w:tab w:val="left" w:pos="840"/>
        <w:tab w:val="left" w:pos="1050"/>
        <w:tab w:val="left" w:pos="1080"/>
        <w:tab w:val="left" w:pos="1680"/>
        <w:tab w:val="right" w:leader="dot" w:pos="8296"/>
      </w:tabs>
      <w:spacing w:line="360" w:lineRule="auto"/>
      <w:ind w:left="210"/>
      <w:jc w:val="left"/>
    </w:pPr>
  </w:style>
  <w:style w:type="paragraph" w:styleId="31">
    <w:name w:val="toc 3"/>
    <w:basedOn w:val="a1"/>
    <w:next w:val="a1"/>
    <w:autoRedefine/>
    <w:qFormat/>
    <w:rsid w:val="002E3EC6"/>
    <w:pPr>
      <w:ind w:left="420"/>
      <w:jc w:val="left"/>
    </w:pPr>
    <w:rPr>
      <w:szCs w:val="21"/>
    </w:rPr>
  </w:style>
  <w:style w:type="paragraph" w:styleId="41">
    <w:name w:val="toc 4"/>
    <w:basedOn w:val="a1"/>
    <w:next w:val="a1"/>
    <w:autoRedefine/>
    <w:uiPriority w:val="39"/>
    <w:rsid w:val="002E3EC6"/>
    <w:pPr>
      <w:ind w:left="630"/>
      <w:jc w:val="left"/>
    </w:pPr>
    <w:rPr>
      <w:szCs w:val="21"/>
    </w:rPr>
  </w:style>
  <w:style w:type="paragraph" w:styleId="51">
    <w:name w:val="toc 5"/>
    <w:basedOn w:val="a1"/>
    <w:next w:val="a1"/>
    <w:autoRedefine/>
    <w:uiPriority w:val="39"/>
    <w:rsid w:val="002E3EC6"/>
    <w:pPr>
      <w:ind w:left="840"/>
      <w:jc w:val="left"/>
    </w:pPr>
    <w:rPr>
      <w:szCs w:val="21"/>
    </w:rPr>
  </w:style>
  <w:style w:type="paragraph" w:styleId="61">
    <w:name w:val="toc 6"/>
    <w:basedOn w:val="a1"/>
    <w:next w:val="a1"/>
    <w:autoRedefine/>
    <w:uiPriority w:val="39"/>
    <w:rsid w:val="002E3EC6"/>
    <w:pPr>
      <w:ind w:left="1050"/>
      <w:jc w:val="left"/>
    </w:pPr>
    <w:rPr>
      <w:szCs w:val="21"/>
    </w:rPr>
  </w:style>
  <w:style w:type="paragraph" w:styleId="71">
    <w:name w:val="toc 7"/>
    <w:basedOn w:val="a1"/>
    <w:next w:val="a1"/>
    <w:autoRedefine/>
    <w:uiPriority w:val="39"/>
    <w:rsid w:val="002E3EC6"/>
    <w:pPr>
      <w:ind w:left="1260"/>
      <w:jc w:val="left"/>
    </w:pPr>
    <w:rPr>
      <w:szCs w:val="21"/>
    </w:rPr>
  </w:style>
  <w:style w:type="paragraph" w:styleId="81">
    <w:name w:val="toc 8"/>
    <w:basedOn w:val="a1"/>
    <w:next w:val="a1"/>
    <w:autoRedefine/>
    <w:uiPriority w:val="39"/>
    <w:rsid w:val="002E3EC6"/>
    <w:pPr>
      <w:ind w:left="1470"/>
      <w:jc w:val="left"/>
    </w:pPr>
    <w:rPr>
      <w:szCs w:val="21"/>
    </w:rPr>
  </w:style>
  <w:style w:type="paragraph" w:styleId="91">
    <w:name w:val="toc 9"/>
    <w:basedOn w:val="a1"/>
    <w:next w:val="a1"/>
    <w:autoRedefine/>
    <w:uiPriority w:val="39"/>
    <w:rsid w:val="002E3EC6"/>
    <w:pPr>
      <w:ind w:left="1680"/>
      <w:jc w:val="left"/>
    </w:pPr>
    <w:rPr>
      <w:szCs w:val="21"/>
    </w:rPr>
  </w:style>
  <w:style w:type="paragraph" w:styleId="a8">
    <w:name w:val="Normal Indent"/>
    <w:aliases w:val="特点,表正文,正文非缩进,段1,正文缩进1,ALT+Z,no-step,缩进"/>
    <w:basedOn w:val="a1"/>
    <w:rsid w:val="002E3EC6"/>
    <w:pPr>
      <w:ind w:firstLine="420"/>
    </w:pPr>
    <w:rPr>
      <w:szCs w:val="20"/>
    </w:rPr>
  </w:style>
  <w:style w:type="paragraph" w:styleId="a9">
    <w:name w:val="footnote text"/>
    <w:basedOn w:val="a1"/>
    <w:link w:val="aa"/>
    <w:rsid w:val="002E3EC6"/>
    <w:pPr>
      <w:snapToGrid w:val="0"/>
      <w:jc w:val="left"/>
    </w:pPr>
    <w:rPr>
      <w:sz w:val="18"/>
      <w:szCs w:val="18"/>
    </w:rPr>
  </w:style>
  <w:style w:type="character" w:customStyle="1" w:styleId="aa">
    <w:name w:val="脚注文本 字符"/>
    <w:basedOn w:val="a2"/>
    <w:link w:val="a9"/>
    <w:uiPriority w:val="99"/>
    <w:rsid w:val="002E3EC6"/>
    <w:rPr>
      <w:rFonts w:ascii="Times New Roman" w:eastAsia="宋体" w:hAnsi="Times New Roman" w:cs="Times New Roman"/>
      <w:sz w:val="18"/>
      <w:szCs w:val="18"/>
    </w:rPr>
  </w:style>
  <w:style w:type="paragraph" w:styleId="ab">
    <w:name w:val="annotation text"/>
    <w:basedOn w:val="a1"/>
    <w:link w:val="ac"/>
    <w:rsid w:val="002E3EC6"/>
    <w:pPr>
      <w:jc w:val="left"/>
    </w:pPr>
    <w:rPr>
      <w:sz w:val="24"/>
      <w:szCs w:val="20"/>
    </w:rPr>
  </w:style>
  <w:style w:type="character" w:customStyle="1" w:styleId="ac">
    <w:name w:val="批注文字 字符"/>
    <w:basedOn w:val="a2"/>
    <w:link w:val="ab"/>
    <w:rsid w:val="002E3EC6"/>
    <w:rPr>
      <w:rFonts w:ascii="Times New Roman" w:eastAsia="宋体" w:hAnsi="Times New Roman" w:cs="Times New Roman"/>
      <w:sz w:val="24"/>
      <w:szCs w:val="20"/>
    </w:rPr>
  </w:style>
  <w:style w:type="paragraph" w:styleId="ad">
    <w:name w:val="header"/>
    <w:basedOn w:val="a1"/>
    <w:link w:val="ae"/>
    <w:rsid w:val="002E3EC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2"/>
    <w:link w:val="ad"/>
    <w:rsid w:val="002E3EC6"/>
    <w:rPr>
      <w:rFonts w:ascii="Times New Roman" w:eastAsia="宋体" w:hAnsi="Times New Roman" w:cs="Times New Roman"/>
      <w:sz w:val="18"/>
      <w:szCs w:val="18"/>
    </w:rPr>
  </w:style>
  <w:style w:type="paragraph" w:styleId="af">
    <w:name w:val="footer"/>
    <w:basedOn w:val="a1"/>
    <w:link w:val="af0"/>
    <w:rsid w:val="002E3EC6"/>
    <w:pPr>
      <w:tabs>
        <w:tab w:val="center" w:pos="4153"/>
        <w:tab w:val="right" w:pos="8306"/>
      </w:tabs>
      <w:snapToGrid w:val="0"/>
      <w:jc w:val="left"/>
    </w:pPr>
    <w:rPr>
      <w:sz w:val="18"/>
      <w:szCs w:val="18"/>
    </w:rPr>
  </w:style>
  <w:style w:type="character" w:customStyle="1" w:styleId="af0">
    <w:name w:val="页脚 字符"/>
    <w:basedOn w:val="a2"/>
    <w:link w:val="af"/>
    <w:uiPriority w:val="99"/>
    <w:rsid w:val="002E3EC6"/>
    <w:rPr>
      <w:rFonts w:ascii="Times New Roman" w:eastAsia="宋体" w:hAnsi="Times New Roman" w:cs="Times New Roman"/>
      <w:sz w:val="18"/>
      <w:szCs w:val="18"/>
    </w:rPr>
  </w:style>
  <w:style w:type="paragraph" w:styleId="af1">
    <w:name w:val="caption"/>
    <w:basedOn w:val="a1"/>
    <w:next w:val="a1"/>
    <w:qFormat/>
    <w:rsid w:val="002E3EC6"/>
    <w:pPr>
      <w:adjustRightInd w:val="0"/>
      <w:spacing w:before="152" w:after="160" w:line="360" w:lineRule="auto"/>
      <w:ind w:firstLineChars="200" w:firstLine="567"/>
    </w:pPr>
    <w:rPr>
      <w:rFonts w:ascii="Arial" w:eastAsia="黑体" w:hAnsi="Arial"/>
      <w:sz w:val="24"/>
      <w:szCs w:val="20"/>
    </w:rPr>
  </w:style>
  <w:style w:type="paragraph" w:styleId="af2">
    <w:name w:val="Title"/>
    <w:basedOn w:val="a1"/>
    <w:link w:val="af3"/>
    <w:qFormat/>
    <w:rsid w:val="002E3EC6"/>
    <w:pPr>
      <w:spacing w:before="240" w:after="60" w:line="360" w:lineRule="auto"/>
      <w:ind w:firstLine="425"/>
      <w:jc w:val="center"/>
      <w:outlineLvl w:val="0"/>
    </w:pPr>
    <w:rPr>
      <w:rFonts w:ascii="Arial" w:hAnsi="Arial"/>
      <w:b/>
      <w:sz w:val="32"/>
      <w:szCs w:val="20"/>
    </w:rPr>
  </w:style>
  <w:style w:type="character" w:customStyle="1" w:styleId="af3">
    <w:name w:val="标题 字符"/>
    <w:basedOn w:val="a2"/>
    <w:link w:val="af2"/>
    <w:rsid w:val="002E3EC6"/>
    <w:rPr>
      <w:rFonts w:ascii="Arial" w:eastAsia="宋体" w:hAnsi="Arial" w:cs="Times New Roman"/>
      <w:b/>
      <w:sz w:val="32"/>
      <w:szCs w:val="20"/>
    </w:rPr>
  </w:style>
  <w:style w:type="paragraph" w:styleId="af4">
    <w:name w:val="Body Text"/>
    <w:basedOn w:val="a1"/>
    <w:link w:val="af5"/>
    <w:rsid w:val="002E3EC6"/>
    <w:pPr>
      <w:spacing w:line="360" w:lineRule="auto"/>
    </w:pPr>
    <w:rPr>
      <w:sz w:val="24"/>
    </w:rPr>
  </w:style>
  <w:style w:type="character" w:customStyle="1" w:styleId="af5">
    <w:name w:val="正文文本 字符"/>
    <w:basedOn w:val="a2"/>
    <w:link w:val="af4"/>
    <w:rsid w:val="002E3EC6"/>
    <w:rPr>
      <w:rFonts w:ascii="Times New Roman" w:eastAsia="宋体" w:hAnsi="Times New Roman" w:cs="Times New Roman"/>
      <w:sz w:val="24"/>
      <w:szCs w:val="24"/>
    </w:rPr>
  </w:style>
  <w:style w:type="paragraph" w:styleId="af6">
    <w:name w:val="Body Text Indent"/>
    <w:basedOn w:val="a1"/>
    <w:link w:val="af7"/>
    <w:rsid w:val="002E3EC6"/>
    <w:pPr>
      <w:autoSpaceDE w:val="0"/>
      <w:autoSpaceDN w:val="0"/>
      <w:adjustRightInd w:val="0"/>
      <w:spacing w:after="120" w:line="440" w:lineRule="atLeast"/>
      <w:ind w:firstLine="539"/>
    </w:pPr>
    <w:rPr>
      <w:rFonts w:ascii="宋体" w:hint="eastAsia"/>
      <w:kern w:val="0"/>
      <w:sz w:val="24"/>
      <w:szCs w:val="20"/>
    </w:rPr>
  </w:style>
  <w:style w:type="character" w:customStyle="1" w:styleId="af7">
    <w:name w:val="正文文本缩进 字符"/>
    <w:basedOn w:val="a2"/>
    <w:link w:val="af6"/>
    <w:rsid w:val="002E3EC6"/>
    <w:rPr>
      <w:rFonts w:ascii="宋体" w:eastAsia="宋体" w:hAnsi="Times New Roman" w:cs="Times New Roman"/>
      <w:kern w:val="0"/>
      <w:sz w:val="24"/>
      <w:szCs w:val="20"/>
    </w:rPr>
  </w:style>
  <w:style w:type="paragraph" w:styleId="af8">
    <w:name w:val="Date"/>
    <w:basedOn w:val="a1"/>
    <w:next w:val="a1"/>
    <w:link w:val="af9"/>
    <w:rsid w:val="002E3EC6"/>
    <w:pPr>
      <w:ind w:leftChars="2500" w:left="2500"/>
    </w:pPr>
    <w:rPr>
      <w:rFonts w:ascii="宋体" w:eastAsia="仿宋_GB2312" w:hAnsi="宋体" w:hint="eastAsia"/>
      <w:sz w:val="28"/>
    </w:rPr>
  </w:style>
  <w:style w:type="character" w:customStyle="1" w:styleId="af9">
    <w:name w:val="日期 字符"/>
    <w:basedOn w:val="a2"/>
    <w:link w:val="af8"/>
    <w:rsid w:val="002E3EC6"/>
    <w:rPr>
      <w:rFonts w:ascii="宋体" w:eastAsia="仿宋_GB2312" w:hAnsi="宋体" w:cs="Times New Roman"/>
      <w:sz w:val="28"/>
      <w:szCs w:val="24"/>
    </w:rPr>
  </w:style>
  <w:style w:type="paragraph" w:styleId="24">
    <w:name w:val="Body Text 2"/>
    <w:basedOn w:val="a1"/>
    <w:link w:val="25"/>
    <w:rsid w:val="002E3EC6"/>
    <w:rPr>
      <w:sz w:val="28"/>
      <w:szCs w:val="20"/>
    </w:rPr>
  </w:style>
  <w:style w:type="character" w:customStyle="1" w:styleId="25">
    <w:name w:val="正文文本 2 字符"/>
    <w:basedOn w:val="a2"/>
    <w:link w:val="24"/>
    <w:rsid w:val="002E3EC6"/>
    <w:rPr>
      <w:rFonts w:ascii="Times New Roman" w:eastAsia="宋体" w:hAnsi="Times New Roman" w:cs="Times New Roman"/>
      <w:sz w:val="28"/>
      <w:szCs w:val="20"/>
    </w:rPr>
  </w:style>
  <w:style w:type="paragraph" w:styleId="32">
    <w:name w:val="Body Text 3"/>
    <w:basedOn w:val="a1"/>
    <w:link w:val="33"/>
    <w:rsid w:val="002E3EC6"/>
    <w:pPr>
      <w:autoSpaceDE w:val="0"/>
      <w:autoSpaceDN w:val="0"/>
      <w:adjustRightInd w:val="0"/>
      <w:spacing w:after="120" w:line="360" w:lineRule="auto"/>
    </w:pPr>
    <w:rPr>
      <w:kern w:val="0"/>
      <w:sz w:val="24"/>
      <w:szCs w:val="20"/>
      <w:u w:val="single"/>
    </w:rPr>
  </w:style>
  <w:style w:type="character" w:customStyle="1" w:styleId="33">
    <w:name w:val="正文文本 3 字符"/>
    <w:basedOn w:val="a2"/>
    <w:link w:val="32"/>
    <w:rsid w:val="002E3EC6"/>
    <w:rPr>
      <w:rFonts w:ascii="Times New Roman" w:eastAsia="宋体" w:hAnsi="Times New Roman" w:cs="Times New Roman"/>
      <w:kern w:val="0"/>
      <w:sz w:val="24"/>
      <w:szCs w:val="20"/>
      <w:u w:val="single"/>
    </w:rPr>
  </w:style>
  <w:style w:type="paragraph" w:styleId="26">
    <w:name w:val="Body Text Indent 2"/>
    <w:basedOn w:val="a1"/>
    <w:link w:val="27"/>
    <w:rsid w:val="002E3EC6"/>
    <w:pPr>
      <w:spacing w:line="360" w:lineRule="auto"/>
      <w:ind w:firstLineChars="200" w:firstLine="560"/>
    </w:pPr>
    <w:rPr>
      <w:rFonts w:eastAsia="仿宋_GB2312"/>
      <w:sz w:val="28"/>
    </w:rPr>
  </w:style>
  <w:style w:type="character" w:customStyle="1" w:styleId="27">
    <w:name w:val="正文文本缩进 2 字符"/>
    <w:basedOn w:val="a2"/>
    <w:link w:val="26"/>
    <w:rsid w:val="002E3EC6"/>
    <w:rPr>
      <w:rFonts w:ascii="Times New Roman" w:eastAsia="仿宋_GB2312" w:hAnsi="Times New Roman" w:cs="Times New Roman"/>
      <w:sz w:val="28"/>
      <w:szCs w:val="24"/>
    </w:rPr>
  </w:style>
  <w:style w:type="paragraph" w:styleId="34">
    <w:name w:val="Body Text Indent 3"/>
    <w:basedOn w:val="a1"/>
    <w:link w:val="35"/>
    <w:rsid w:val="002E3EC6"/>
    <w:pPr>
      <w:spacing w:line="400" w:lineRule="atLeast"/>
      <w:ind w:firstLine="600"/>
    </w:pPr>
    <w:rPr>
      <w:rFonts w:ascii="宋体" w:hint="eastAsia"/>
      <w:sz w:val="28"/>
      <w:szCs w:val="20"/>
    </w:rPr>
  </w:style>
  <w:style w:type="character" w:customStyle="1" w:styleId="35">
    <w:name w:val="正文文本缩进 3 字符"/>
    <w:basedOn w:val="a2"/>
    <w:link w:val="34"/>
    <w:rsid w:val="002E3EC6"/>
    <w:rPr>
      <w:rFonts w:ascii="宋体" w:eastAsia="宋体" w:hAnsi="Times New Roman" w:cs="Times New Roman"/>
      <w:sz w:val="28"/>
      <w:szCs w:val="20"/>
    </w:rPr>
  </w:style>
  <w:style w:type="paragraph" w:styleId="afa">
    <w:name w:val="Document Map"/>
    <w:basedOn w:val="a1"/>
    <w:link w:val="afb"/>
    <w:rsid w:val="002E3EC6"/>
    <w:pPr>
      <w:shd w:val="clear" w:color="auto" w:fill="000080"/>
    </w:pPr>
  </w:style>
  <w:style w:type="character" w:customStyle="1" w:styleId="afb">
    <w:name w:val="文档结构图 字符"/>
    <w:basedOn w:val="a2"/>
    <w:link w:val="afa"/>
    <w:rsid w:val="002E3EC6"/>
    <w:rPr>
      <w:rFonts w:ascii="Times New Roman" w:eastAsia="宋体" w:hAnsi="Times New Roman" w:cs="Times New Roman"/>
      <w:szCs w:val="24"/>
      <w:shd w:val="clear" w:color="auto" w:fill="000080"/>
    </w:rPr>
  </w:style>
  <w:style w:type="paragraph" w:styleId="afc">
    <w:name w:val="Plain Text"/>
    <w:basedOn w:val="a1"/>
    <w:link w:val="afd"/>
    <w:rsid w:val="002E3EC6"/>
    <w:rPr>
      <w:rFonts w:ascii="宋体" w:hAnsi="Courier New" w:hint="eastAsia"/>
      <w:szCs w:val="20"/>
    </w:rPr>
  </w:style>
  <w:style w:type="character" w:customStyle="1" w:styleId="afd">
    <w:name w:val="纯文本 字符"/>
    <w:basedOn w:val="a2"/>
    <w:link w:val="afc"/>
    <w:rsid w:val="002E3EC6"/>
    <w:rPr>
      <w:rFonts w:ascii="宋体" w:eastAsia="宋体" w:hAnsi="Courier New" w:cs="Times New Roman"/>
      <w:szCs w:val="20"/>
    </w:rPr>
  </w:style>
  <w:style w:type="paragraph" w:customStyle="1" w:styleId="font523908">
    <w:name w:val="font523908"/>
    <w:basedOn w:val="a1"/>
    <w:rsid w:val="002E3EC6"/>
    <w:pPr>
      <w:widowControl/>
      <w:spacing w:before="100" w:after="100"/>
      <w:jc w:val="left"/>
    </w:pPr>
    <w:rPr>
      <w:rFonts w:ascii="宋体" w:hAnsi="宋体" w:hint="eastAsia"/>
      <w:kern w:val="0"/>
      <w:sz w:val="18"/>
    </w:rPr>
  </w:style>
  <w:style w:type="paragraph" w:customStyle="1" w:styleId="font623908">
    <w:name w:val="font623908"/>
    <w:basedOn w:val="a1"/>
    <w:rsid w:val="002E3EC6"/>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3EC6"/>
    <w:pPr>
      <w:widowControl/>
      <w:spacing w:before="100" w:after="100"/>
      <w:jc w:val="center"/>
    </w:pPr>
    <w:rPr>
      <w:rFonts w:ascii="宋体" w:hAnsi="宋体" w:hint="eastAsia"/>
      <w:kern w:val="0"/>
      <w:sz w:val="24"/>
    </w:rPr>
  </w:style>
  <w:style w:type="paragraph" w:customStyle="1" w:styleId="xl2423908">
    <w:name w:val="xl2423908"/>
    <w:basedOn w:val="a1"/>
    <w:rsid w:val="002E3EC6"/>
    <w:pPr>
      <w:widowControl/>
      <w:spacing w:before="100" w:after="100"/>
      <w:jc w:val="left"/>
    </w:pPr>
    <w:rPr>
      <w:rFonts w:ascii="宋体" w:hAnsi="宋体" w:hint="eastAsia"/>
      <w:kern w:val="0"/>
      <w:sz w:val="24"/>
    </w:rPr>
  </w:style>
  <w:style w:type="paragraph" w:customStyle="1" w:styleId="xl2723908">
    <w:name w:val="xl2723908"/>
    <w:basedOn w:val="a1"/>
    <w:rsid w:val="002E3EC6"/>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3EC6"/>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3">
    <w:name w:val="列表1"/>
    <w:basedOn w:val="a1"/>
    <w:next w:val="a1"/>
    <w:rsid w:val="002E3EC6"/>
    <w:pPr>
      <w:tabs>
        <w:tab w:val="num" w:pos="644"/>
      </w:tabs>
      <w:spacing w:line="360" w:lineRule="auto"/>
      <w:ind w:left="567" w:hanging="283"/>
    </w:pPr>
    <w:rPr>
      <w:szCs w:val="20"/>
    </w:rPr>
  </w:style>
  <w:style w:type="paragraph" w:customStyle="1" w:styleId="20">
    <w:name w:val="列表2"/>
    <w:basedOn w:val="a1"/>
    <w:next w:val="af2"/>
    <w:rsid w:val="002E3EC6"/>
    <w:pPr>
      <w:numPr>
        <w:numId w:val="2"/>
      </w:numPr>
      <w:spacing w:line="360" w:lineRule="auto"/>
    </w:pPr>
    <w:rPr>
      <w:szCs w:val="20"/>
    </w:rPr>
  </w:style>
  <w:style w:type="paragraph" w:styleId="afe">
    <w:name w:val="Balloon Text"/>
    <w:basedOn w:val="a1"/>
    <w:link w:val="aff"/>
    <w:rsid w:val="002E3EC6"/>
    <w:rPr>
      <w:sz w:val="18"/>
      <w:szCs w:val="18"/>
    </w:rPr>
  </w:style>
  <w:style w:type="character" w:customStyle="1" w:styleId="aff">
    <w:name w:val="批注框文本 字符"/>
    <w:basedOn w:val="a2"/>
    <w:link w:val="afe"/>
    <w:rsid w:val="002E3EC6"/>
    <w:rPr>
      <w:rFonts w:ascii="Times New Roman" w:eastAsia="宋体" w:hAnsi="Times New Roman" w:cs="Times New Roman"/>
      <w:sz w:val="18"/>
      <w:szCs w:val="18"/>
    </w:rPr>
  </w:style>
  <w:style w:type="paragraph" w:customStyle="1" w:styleId="36">
    <w:name w:val="列表3"/>
    <w:basedOn w:val="a1"/>
    <w:rsid w:val="002E3EC6"/>
    <w:pPr>
      <w:spacing w:line="360" w:lineRule="auto"/>
    </w:pPr>
    <w:rPr>
      <w:rFonts w:ascii="宋体" w:hint="eastAsia"/>
      <w:szCs w:val="20"/>
    </w:rPr>
  </w:style>
  <w:style w:type="paragraph" w:customStyle="1" w:styleId="2211">
    <w:name w:val="样式 标题 2 + 首行缩进:  2 字符 段前: 1 行 段后: 1 行"/>
    <w:basedOn w:val="21"/>
    <w:rsid w:val="002E3EC6"/>
    <w:pPr>
      <w:tabs>
        <w:tab w:val="num" w:pos="1276"/>
      </w:tabs>
      <w:spacing w:before="100" w:after="100" w:line="240" w:lineRule="auto"/>
      <w:ind w:left="851"/>
    </w:pPr>
    <w:rPr>
      <w:rFonts w:eastAsia="宋体"/>
      <w:bCs w:val="0"/>
      <w:sz w:val="28"/>
      <w:szCs w:val="20"/>
    </w:rPr>
  </w:style>
  <w:style w:type="paragraph" w:styleId="aff0">
    <w:name w:val="annotation subject"/>
    <w:basedOn w:val="ab"/>
    <w:next w:val="ab"/>
    <w:link w:val="aff1"/>
    <w:rsid w:val="002E3EC6"/>
    <w:rPr>
      <w:b/>
      <w:bCs/>
      <w:sz w:val="21"/>
      <w:szCs w:val="24"/>
    </w:rPr>
  </w:style>
  <w:style w:type="character" w:customStyle="1" w:styleId="aff1">
    <w:name w:val="批注主题 字符"/>
    <w:basedOn w:val="ac"/>
    <w:link w:val="aff0"/>
    <w:rsid w:val="002E3EC6"/>
    <w:rPr>
      <w:rFonts w:ascii="Times New Roman" w:eastAsia="宋体" w:hAnsi="Times New Roman" w:cs="Times New Roman"/>
      <w:b/>
      <w:bCs/>
      <w:sz w:val="24"/>
      <w:szCs w:val="24"/>
    </w:rPr>
  </w:style>
  <w:style w:type="paragraph" w:customStyle="1" w:styleId="14">
    <w:name w:val="1"/>
    <w:basedOn w:val="a1"/>
    <w:rsid w:val="002E3EC6"/>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3EC6"/>
    <w:pPr>
      <w:spacing w:line="360" w:lineRule="auto"/>
    </w:pPr>
    <w:rPr>
      <w:rFonts w:ascii="宋体" w:hAnsi="宋体" w:hint="eastAsia"/>
      <w:sz w:val="24"/>
      <w:szCs w:val="20"/>
    </w:rPr>
  </w:style>
  <w:style w:type="paragraph" w:customStyle="1" w:styleId="aff2">
    <w:name w:val="正文正文"/>
    <w:basedOn w:val="a1"/>
    <w:rsid w:val="002E3EC6"/>
    <w:pPr>
      <w:spacing w:afterLines="25" w:line="360" w:lineRule="auto"/>
      <w:ind w:firstLineChars="200" w:firstLine="200"/>
    </w:pPr>
    <w:rPr>
      <w:sz w:val="24"/>
    </w:rPr>
  </w:style>
  <w:style w:type="paragraph" w:customStyle="1" w:styleId="unnamed1">
    <w:name w:val="unnamed1"/>
    <w:basedOn w:val="a1"/>
    <w:rsid w:val="002E3EC6"/>
    <w:pPr>
      <w:widowControl/>
      <w:spacing w:before="60" w:after="60"/>
      <w:ind w:left="15" w:right="15"/>
      <w:jc w:val="left"/>
    </w:pPr>
    <w:rPr>
      <w:rFonts w:ascii="宋体" w:hAnsi="宋体" w:hint="eastAsia"/>
      <w:color w:val="000000"/>
      <w:kern w:val="0"/>
      <w:sz w:val="18"/>
      <w:szCs w:val="18"/>
    </w:rPr>
  </w:style>
  <w:style w:type="paragraph" w:customStyle="1" w:styleId="aff3">
    <w:name w:val="第三级标题"/>
    <w:basedOn w:val="aff2"/>
    <w:next w:val="aff2"/>
    <w:rsid w:val="002E3EC6"/>
    <w:pPr>
      <w:keepNext/>
      <w:outlineLvl w:val="2"/>
    </w:pPr>
    <w:rPr>
      <w:b/>
    </w:rPr>
  </w:style>
  <w:style w:type="character" w:styleId="aff4">
    <w:name w:val="footnote reference"/>
    <w:basedOn w:val="a2"/>
    <w:rsid w:val="002E3EC6"/>
    <w:rPr>
      <w:vertAlign w:val="superscript"/>
    </w:rPr>
  </w:style>
  <w:style w:type="character" w:styleId="aff5">
    <w:name w:val="annotation reference"/>
    <w:basedOn w:val="a2"/>
    <w:rsid w:val="002E3EC6"/>
    <w:rPr>
      <w:sz w:val="21"/>
      <w:szCs w:val="21"/>
    </w:rPr>
  </w:style>
  <w:style w:type="character" w:customStyle="1" w:styleId="tt11">
    <w:name w:val="tt11"/>
    <w:basedOn w:val="a2"/>
    <w:rsid w:val="002E3EC6"/>
    <w:rPr>
      <w:spacing w:val="400"/>
      <w:sz w:val="22"/>
      <w:szCs w:val="22"/>
    </w:rPr>
  </w:style>
  <w:style w:type="character" w:customStyle="1" w:styleId="aff6">
    <w:name w:val="a"/>
    <w:basedOn w:val="a2"/>
    <w:rsid w:val="002E3EC6"/>
  </w:style>
  <w:style w:type="character" w:customStyle="1" w:styleId="md1">
    <w:name w:val="md1"/>
    <w:basedOn w:val="a2"/>
    <w:rsid w:val="002E3EC6"/>
    <w:rPr>
      <w:spacing w:val="360"/>
      <w:sz w:val="25"/>
      <w:szCs w:val="25"/>
    </w:rPr>
  </w:style>
  <w:style w:type="character" w:customStyle="1" w:styleId="style21">
    <w:name w:val="style21"/>
    <w:basedOn w:val="a2"/>
    <w:rsid w:val="002E3EC6"/>
    <w:rPr>
      <w:strike w:val="0"/>
      <w:dstrike w:val="0"/>
      <w:color w:val="006699"/>
      <w:spacing w:val="31680"/>
      <w:sz w:val="18"/>
      <w:szCs w:val="18"/>
      <w:u w:val="none"/>
      <w:effect w:val="none"/>
    </w:rPr>
  </w:style>
  <w:style w:type="character" w:customStyle="1" w:styleId="read">
    <w:name w:val="read"/>
    <w:basedOn w:val="a2"/>
    <w:rsid w:val="002E3EC6"/>
  </w:style>
  <w:style w:type="character" w:customStyle="1" w:styleId="big1">
    <w:name w:val="big1"/>
    <w:basedOn w:val="a2"/>
    <w:rsid w:val="002E3EC6"/>
    <w:rPr>
      <w:spacing w:val="360"/>
      <w:sz w:val="22"/>
      <w:szCs w:val="22"/>
    </w:rPr>
  </w:style>
  <w:style w:type="character" w:styleId="aff7">
    <w:name w:val="page number"/>
    <w:basedOn w:val="a2"/>
    <w:rsid w:val="002E3EC6"/>
  </w:style>
  <w:style w:type="character" w:styleId="aff8">
    <w:name w:val="Strong"/>
    <w:basedOn w:val="a2"/>
    <w:qFormat/>
    <w:rsid w:val="002E3EC6"/>
    <w:rPr>
      <w:b/>
      <w:bCs/>
    </w:rPr>
  </w:style>
  <w:style w:type="paragraph" w:customStyle="1" w:styleId="Default">
    <w:name w:val="Default"/>
    <w:rsid w:val="002E3EC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3EC6"/>
    <w:pPr>
      <w:tabs>
        <w:tab w:val="num" w:pos="360"/>
      </w:tabs>
    </w:pPr>
    <w:rPr>
      <w:sz w:val="24"/>
    </w:rPr>
  </w:style>
  <w:style w:type="paragraph" w:customStyle="1" w:styleId="AODocTxt">
    <w:name w:val="AODocTxt"/>
    <w:basedOn w:val="AOBodyTxt"/>
    <w:rsid w:val="002E3EC6"/>
    <w:pPr>
      <w:numPr>
        <w:numId w:val="11"/>
      </w:numPr>
    </w:pPr>
  </w:style>
  <w:style w:type="paragraph" w:customStyle="1" w:styleId="AOBodyTxt">
    <w:name w:val="AOBodyTxt"/>
    <w:basedOn w:val="AONormal"/>
    <w:next w:val="AODocTxt"/>
    <w:rsid w:val="002E3EC6"/>
    <w:pPr>
      <w:spacing w:before="240"/>
    </w:pPr>
  </w:style>
  <w:style w:type="paragraph" w:customStyle="1" w:styleId="AONormal">
    <w:name w:val="AONormal"/>
    <w:rsid w:val="002E3EC6"/>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3EC6"/>
    <w:pPr>
      <w:numPr>
        <w:numId w:val="4"/>
      </w:numPr>
      <w:tabs>
        <w:tab w:val="clear" w:pos="720"/>
      </w:tabs>
    </w:pPr>
  </w:style>
  <w:style w:type="paragraph" w:customStyle="1" w:styleId="AODefHead">
    <w:name w:val="AODefHead"/>
    <w:basedOn w:val="AOBodyTxt"/>
    <w:next w:val="AODefPara"/>
    <w:rsid w:val="002E3EC6"/>
    <w:pPr>
      <w:numPr>
        <w:numId w:val="5"/>
      </w:numPr>
      <w:outlineLvl w:val="5"/>
    </w:pPr>
  </w:style>
  <w:style w:type="paragraph" w:customStyle="1" w:styleId="AODefPara">
    <w:name w:val="AODefPara"/>
    <w:basedOn w:val="AODefHead"/>
    <w:rsid w:val="002E3EC6"/>
    <w:pPr>
      <w:numPr>
        <w:ilvl w:val="1"/>
      </w:numPr>
      <w:tabs>
        <w:tab w:val="num" w:pos="992"/>
      </w:tabs>
      <w:ind w:left="992" w:hanging="992"/>
      <w:outlineLvl w:val="6"/>
    </w:pPr>
  </w:style>
  <w:style w:type="paragraph" w:customStyle="1" w:styleId="AO1">
    <w:name w:val="AO(1)"/>
    <w:basedOn w:val="AOBodyTxt"/>
    <w:next w:val="AODocTxt"/>
    <w:rsid w:val="002E3EC6"/>
    <w:pPr>
      <w:numPr>
        <w:numId w:val="6"/>
      </w:numPr>
      <w:tabs>
        <w:tab w:val="clear" w:pos="720"/>
      </w:tabs>
    </w:pPr>
  </w:style>
  <w:style w:type="paragraph" w:customStyle="1" w:styleId="AOA">
    <w:name w:val="AO(A)"/>
    <w:basedOn w:val="AOBodyTxt"/>
    <w:next w:val="AODocTxt"/>
    <w:rsid w:val="002E3EC6"/>
    <w:pPr>
      <w:numPr>
        <w:numId w:val="7"/>
      </w:numPr>
      <w:tabs>
        <w:tab w:val="clear" w:pos="720"/>
      </w:tabs>
    </w:pPr>
  </w:style>
  <w:style w:type="paragraph" w:customStyle="1" w:styleId="AOAnxHead">
    <w:name w:val="AOAnxHead"/>
    <w:basedOn w:val="AOAttachments"/>
    <w:next w:val="AOAnxTitle"/>
    <w:rsid w:val="002E3EC6"/>
    <w:pPr>
      <w:pageBreakBefore/>
      <w:numPr>
        <w:numId w:val="8"/>
      </w:numPr>
      <w:outlineLvl w:val="0"/>
    </w:pPr>
  </w:style>
  <w:style w:type="paragraph" w:customStyle="1" w:styleId="AOAttachments">
    <w:name w:val="AOAttachments"/>
    <w:basedOn w:val="AOBodyTxt"/>
    <w:next w:val="AODocTxt"/>
    <w:rsid w:val="002E3EC6"/>
    <w:pPr>
      <w:jc w:val="center"/>
    </w:pPr>
    <w:rPr>
      <w:caps/>
    </w:rPr>
  </w:style>
  <w:style w:type="paragraph" w:customStyle="1" w:styleId="AOAnxTitle">
    <w:name w:val="AOAnxTitle"/>
    <w:basedOn w:val="AOAttachments"/>
    <w:next w:val="AODocTxt"/>
    <w:rsid w:val="002E3EC6"/>
    <w:pPr>
      <w:outlineLvl w:val="1"/>
    </w:pPr>
    <w:rPr>
      <w:b/>
    </w:rPr>
  </w:style>
  <w:style w:type="paragraph" w:customStyle="1" w:styleId="AOAnxPartHead">
    <w:name w:val="AOAnxPartHead"/>
    <w:basedOn w:val="AOAnxHead"/>
    <w:next w:val="AOAnxPartTitle"/>
    <w:rsid w:val="002E3EC6"/>
    <w:pPr>
      <w:pageBreakBefore w:val="0"/>
      <w:numPr>
        <w:ilvl w:val="1"/>
      </w:numPr>
      <w:tabs>
        <w:tab w:val="num" w:pos="1440"/>
      </w:tabs>
      <w:ind w:left="1440" w:hanging="360"/>
    </w:pPr>
  </w:style>
  <w:style w:type="paragraph" w:customStyle="1" w:styleId="AOAnxPartTitle">
    <w:name w:val="AOAnxPartTitle"/>
    <w:basedOn w:val="AOAnxTitle"/>
    <w:next w:val="AODocTxt"/>
    <w:rsid w:val="002E3EC6"/>
  </w:style>
  <w:style w:type="paragraph" w:customStyle="1" w:styleId="AOAppHead">
    <w:name w:val="AOAppHead"/>
    <w:basedOn w:val="AOAttachments"/>
    <w:next w:val="AOAppTitle"/>
    <w:rsid w:val="002E3EC6"/>
    <w:pPr>
      <w:pageBreakBefore/>
      <w:numPr>
        <w:numId w:val="9"/>
      </w:numPr>
      <w:outlineLvl w:val="0"/>
    </w:pPr>
  </w:style>
  <w:style w:type="paragraph" w:customStyle="1" w:styleId="AOAppTitle">
    <w:name w:val="AOAppTitle"/>
    <w:basedOn w:val="AOAttachments"/>
    <w:next w:val="AODocTxt"/>
    <w:rsid w:val="002E3EC6"/>
    <w:pPr>
      <w:outlineLvl w:val="1"/>
    </w:pPr>
    <w:rPr>
      <w:b/>
    </w:rPr>
  </w:style>
  <w:style w:type="paragraph" w:customStyle="1" w:styleId="AOAppPartHead">
    <w:name w:val="AOAppPartHead"/>
    <w:basedOn w:val="AOAppHead"/>
    <w:next w:val="AOAppPartTitle"/>
    <w:rsid w:val="002E3EC6"/>
    <w:pPr>
      <w:pageBreakBefore w:val="0"/>
      <w:numPr>
        <w:ilvl w:val="1"/>
      </w:numPr>
      <w:tabs>
        <w:tab w:val="num" w:pos="840"/>
      </w:tabs>
      <w:ind w:left="840" w:hanging="420"/>
    </w:pPr>
  </w:style>
  <w:style w:type="paragraph" w:customStyle="1" w:styleId="AOAppPartTitle">
    <w:name w:val="AOAppPartTitle"/>
    <w:basedOn w:val="AOAppTitle"/>
    <w:next w:val="AODocTxt"/>
    <w:rsid w:val="002E3EC6"/>
  </w:style>
  <w:style w:type="paragraph" w:customStyle="1" w:styleId="AOSchHead">
    <w:name w:val="AOSchHead"/>
    <w:basedOn w:val="AOAttachments"/>
    <w:next w:val="AOSchTitle"/>
    <w:rsid w:val="002E3EC6"/>
    <w:pPr>
      <w:pageBreakBefore/>
      <w:numPr>
        <w:numId w:val="10"/>
      </w:numPr>
      <w:outlineLvl w:val="0"/>
    </w:pPr>
  </w:style>
  <w:style w:type="paragraph" w:customStyle="1" w:styleId="AOSchTitle">
    <w:name w:val="AOSchTitle"/>
    <w:basedOn w:val="AOAttachments"/>
    <w:next w:val="AODocTxt"/>
    <w:rsid w:val="002E3EC6"/>
    <w:pPr>
      <w:outlineLvl w:val="1"/>
    </w:pPr>
    <w:rPr>
      <w:b/>
    </w:rPr>
  </w:style>
  <w:style w:type="paragraph" w:customStyle="1" w:styleId="AOSchPartHead">
    <w:name w:val="AOSchPartHead"/>
    <w:basedOn w:val="AOSchHead"/>
    <w:next w:val="AOSchPartTitle"/>
    <w:rsid w:val="002E3EC6"/>
    <w:pPr>
      <w:pageBreakBefore w:val="0"/>
      <w:numPr>
        <w:ilvl w:val="1"/>
      </w:numPr>
      <w:tabs>
        <w:tab w:val="num" w:pos="780"/>
      </w:tabs>
      <w:ind w:firstLine="420"/>
    </w:pPr>
  </w:style>
  <w:style w:type="paragraph" w:customStyle="1" w:styleId="AOSchPartTitle">
    <w:name w:val="AOSchPartTitle"/>
    <w:basedOn w:val="AOSchTitle"/>
    <w:next w:val="AODocTxt"/>
    <w:rsid w:val="002E3EC6"/>
  </w:style>
  <w:style w:type="paragraph" w:customStyle="1" w:styleId="AODocTxtL1">
    <w:name w:val="AODocTxtL1"/>
    <w:basedOn w:val="AODocTxt"/>
    <w:rsid w:val="002E3EC6"/>
    <w:pPr>
      <w:numPr>
        <w:ilvl w:val="1"/>
      </w:numPr>
      <w:tabs>
        <w:tab w:val="num" w:pos="780"/>
      </w:tabs>
      <w:ind w:left="0" w:firstLine="420"/>
    </w:pPr>
  </w:style>
  <w:style w:type="paragraph" w:customStyle="1" w:styleId="AODocTxtL2">
    <w:name w:val="AODocTxtL2"/>
    <w:basedOn w:val="AODocTxt"/>
    <w:rsid w:val="002E3EC6"/>
    <w:pPr>
      <w:numPr>
        <w:ilvl w:val="2"/>
      </w:numPr>
      <w:tabs>
        <w:tab w:val="num" w:pos="2160"/>
      </w:tabs>
      <w:ind w:left="2160" w:hanging="360"/>
    </w:pPr>
  </w:style>
  <w:style w:type="paragraph" w:customStyle="1" w:styleId="AODocTxtL3">
    <w:name w:val="AODocTxtL3"/>
    <w:basedOn w:val="AODocTxt"/>
    <w:rsid w:val="002E3EC6"/>
    <w:pPr>
      <w:numPr>
        <w:ilvl w:val="3"/>
      </w:numPr>
      <w:tabs>
        <w:tab w:val="num" w:pos="2880"/>
      </w:tabs>
      <w:ind w:left="2880" w:hanging="360"/>
    </w:pPr>
  </w:style>
  <w:style w:type="paragraph" w:customStyle="1" w:styleId="AODocTxtL4">
    <w:name w:val="AODocTxtL4"/>
    <w:basedOn w:val="AODocTxt"/>
    <w:rsid w:val="002E3EC6"/>
    <w:pPr>
      <w:numPr>
        <w:ilvl w:val="4"/>
      </w:numPr>
      <w:tabs>
        <w:tab w:val="num" w:pos="3600"/>
      </w:tabs>
      <w:ind w:left="3600" w:hanging="360"/>
    </w:pPr>
  </w:style>
  <w:style w:type="paragraph" w:customStyle="1" w:styleId="AODocTxtL5">
    <w:name w:val="AODocTxtL5"/>
    <w:basedOn w:val="AODocTxt"/>
    <w:rsid w:val="002E3EC6"/>
    <w:pPr>
      <w:numPr>
        <w:ilvl w:val="5"/>
      </w:numPr>
      <w:tabs>
        <w:tab w:val="num" w:pos="4320"/>
      </w:tabs>
      <w:ind w:left="4320" w:hanging="360"/>
    </w:pPr>
  </w:style>
  <w:style w:type="paragraph" w:customStyle="1" w:styleId="AODocTxtL6">
    <w:name w:val="AODocTxtL6"/>
    <w:basedOn w:val="AODocTxt"/>
    <w:rsid w:val="002E3EC6"/>
    <w:pPr>
      <w:numPr>
        <w:ilvl w:val="6"/>
      </w:numPr>
      <w:tabs>
        <w:tab w:val="num" w:pos="5040"/>
      </w:tabs>
      <w:ind w:left="5040" w:hanging="360"/>
    </w:pPr>
  </w:style>
  <w:style w:type="paragraph" w:customStyle="1" w:styleId="AODocTxtL7">
    <w:name w:val="AODocTxtL7"/>
    <w:basedOn w:val="AODocTxt"/>
    <w:rsid w:val="002E3EC6"/>
    <w:pPr>
      <w:numPr>
        <w:ilvl w:val="7"/>
      </w:numPr>
      <w:tabs>
        <w:tab w:val="num" w:pos="5760"/>
      </w:tabs>
      <w:ind w:left="5760" w:hanging="360"/>
    </w:pPr>
  </w:style>
  <w:style w:type="paragraph" w:customStyle="1" w:styleId="AODocTxtL8">
    <w:name w:val="AODocTxtL8"/>
    <w:basedOn w:val="AODocTxt"/>
    <w:rsid w:val="002E3EC6"/>
    <w:pPr>
      <w:numPr>
        <w:ilvl w:val="8"/>
      </w:numPr>
      <w:tabs>
        <w:tab w:val="num" w:pos="6480"/>
      </w:tabs>
      <w:ind w:left="6480" w:hanging="360"/>
    </w:pPr>
  </w:style>
  <w:style w:type="paragraph" w:customStyle="1" w:styleId="AOGenNum1">
    <w:name w:val="AOGenNum1"/>
    <w:basedOn w:val="AOBodyTxt"/>
    <w:next w:val="AOGenNum1Para"/>
    <w:rsid w:val="002E3EC6"/>
    <w:pPr>
      <w:keepNext/>
      <w:numPr>
        <w:numId w:val="12"/>
      </w:numPr>
    </w:pPr>
    <w:rPr>
      <w:b/>
      <w:caps/>
    </w:rPr>
  </w:style>
  <w:style w:type="paragraph" w:customStyle="1" w:styleId="AOGenNum1Para">
    <w:name w:val="AOGenNum1Para"/>
    <w:basedOn w:val="AOGenNum1"/>
    <w:next w:val="AOGenNum1List"/>
    <w:rsid w:val="002E3EC6"/>
    <w:pPr>
      <w:numPr>
        <w:ilvl w:val="1"/>
      </w:numPr>
      <w:tabs>
        <w:tab w:val="clear" w:pos="720"/>
        <w:tab w:val="num" w:pos="1588"/>
      </w:tabs>
      <w:ind w:left="1588" w:hanging="737"/>
    </w:pPr>
    <w:rPr>
      <w:caps w:val="0"/>
    </w:rPr>
  </w:style>
  <w:style w:type="paragraph" w:customStyle="1" w:styleId="AOGenNum1List">
    <w:name w:val="AOGenNum1List"/>
    <w:basedOn w:val="AOGenNum1"/>
    <w:rsid w:val="002E3EC6"/>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3EC6"/>
    <w:pPr>
      <w:keepNext/>
      <w:numPr>
        <w:numId w:val="13"/>
      </w:numPr>
    </w:pPr>
    <w:rPr>
      <w:b/>
    </w:rPr>
  </w:style>
  <w:style w:type="paragraph" w:customStyle="1" w:styleId="AOGenNum2Para">
    <w:name w:val="AOGenNum2Para"/>
    <w:basedOn w:val="AOGenNum2"/>
    <w:next w:val="AOGenNum2List"/>
    <w:rsid w:val="002E3EC6"/>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3EC6"/>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3EC6"/>
    <w:pPr>
      <w:numPr>
        <w:numId w:val="14"/>
      </w:numPr>
    </w:pPr>
  </w:style>
  <w:style w:type="paragraph" w:customStyle="1" w:styleId="AOGenNum3List">
    <w:name w:val="AOGenNum3List"/>
    <w:basedOn w:val="AOGenNum3"/>
    <w:rsid w:val="002E3EC6"/>
    <w:pPr>
      <w:numPr>
        <w:ilvl w:val="1"/>
      </w:numPr>
      <w:tabs>
        <w:tab w:val="clear" w:pos="720"/>
        <w:tab w:val="num" w:pos="840"/>
      </w:tabs>
      <w:ind w:left="840" w:hanging="420"/>
    </w:pPr>
  </w:style>
  <w:style w:type="paragraph" w:customStyle="1" w:styleId="AOHead1">
    <w:name w:val="AOHead1"/>
    <w:basedOn w:val="AOHeadings"/>
    <w:next w:val="AODocTxtL1"/>
    <w:rsid w:val="002E3EC6"/>
    <w:pPr>
      <w:keepNext/>
      <w:numPr>
        <w:numId w:val="15"/>
      </w:numPr>
      <w:outlineLvl w:val="0"/>
    </w:pPr>
    <w:rPr>
      <w:b/>
      <w:caps/>
      <w:kern w:val="28"/>
    </w:rPr>
  </w:style>
  <w:style w:type="paragraph" w:customStyle="1" w:styleId="AOHeadings">
    <w:name w:val="AOHeadings"/>
    <w:basedOn w:val="AOBodyTxt"/>
    <w:next w:val="AODocTxt"/>
    <w:rsid w:val="002E3EC6"/>
  </w:style>
  <w:style w:type="paragraph" w:customStyle="1" w:styleId="AOHead2">
    <w:name w:val="AOHead2"/>
    <w:basedOn w:val="AOHeadings"/>
    <w:next w:val="AODocTxtL1"/>
    <w:rsid w:val="002E3EC6"/>
    <w:pPr>
      <w:keepNext/>
      <w:numPr>
        <w:ilvl w:val="1"/>
        <w:numId w:val="15"/>
      </w:numPr>
      <w:outlineLvl w:val="1"/>
    </w:pPr>
    <w:rPr>
      <w:b/>
    </w:rPr>
  </w:style>
  <w:style w:type="paragraph" w:customStyle="1" w:styleId="AOHead3">
    <w:name w:val="AOHead3"/>
    <w:basedOn w:val="AOHeadings"/>
    <w:next w:val="AODocTxtL2"/>
    <w:rsid w:val="002E3EC6"/>
    <w:pPr>
      <w:numPr>
        <w:ilvl w:val="2"/>
        <w:numId w:val="15"/>
      </w:numPr>
      <w:outlineLvl w:val="2"/>
    </w:pPr>
  </w:style>
  <w:style w:type="paragraph" w:customStyle="1" w:styleId="AOHead4">
    <w:name w:val="AOHead4"/>
    <w:basedOn w:val="AOHeadings"/>
    <w:next w:val="AODocTxtL3"/>
    <w:rsid w:val="002E3EC6"/>
    <w:pPr>
      <w:numPr>
        <w:ilvl w:val="3"/>
        <w:numId w:val="15"/>
      </w:numPr>
      <w:outlineLvl w:val="3"/>
    </w:pPr>
  </w:style>
  <w:style w:type="paragraph" w:customStyle="1" w:styleId="AOHead5">
    <w:name w:val="AOHead5"/>
    <w:basedOn w:val="AOHeadings"/>
    <w:next w:val="AODocTxtL4"/>
    <w:rsid w:val="002E3EC6"/>
    <w:pPr>
      <w:numPr>
        <w:ilvl w:val="4"/>
        <w:numId w:val="15"/>
      </w:numPr>
      <w:outlineLvl w:val="4"/>
    </w:pPr>
  </w:style>
  <w:style w:type="paragraph" w:customStyle="1" w:styleId="AOHead6">
    <w:name w:val="AOHead6"/>
    <w:basedOn w:val="AOHeadings"/>
    <w:next w:val="AODocTxtL5"/>
    <w:rsid w:val="002E3EC6"/>
    <w:pPr>
      <w:numPr>
        <w:ilvl w:val="5"/>
        <w:numId w:val="15"/>
      </w:numPr>
      <w:outlineLvl w:val="5"/>
    </w:pPr>
  </w:style>
  <w:style w:type="paragraph" w:customStyle="1" w:styleId="AOAltHead1">
    <w:name w:val="AOAltHead1"/>
    <w:basedOn w:val="AOHead1"/>
    <w:next w:val="AODocTxtL1"/>
    <w:rsid w:val="002E3EC6"/>
    <w:pPr>
      <w:keepNext w:val="0"/>
      <w:tabs>
        <w:tab w:val="clear" w:pos="720"/>
      </w:tabs>
    </w:pPr>
    <w:rPr>
      <w:b w:val="0"/>
      <w:caps w:val="0"/>
    </w:rPr>
  </w:style>
  <w:style w:type="paragraph" w:customStyle="1" w:styleId="AOAltHead2">
    <w:name w:val="AOAltHead2"/>
    <w:basedOn w:val="AOHead2"/>
    <w:next w:val="AODocTxtL1"/>
    <w:rsid w:val="002E3EC6"/>
    <w:pPr>
      <w:keepNext w:val="0"/>
      <w:tabs>
        <w:tab w:val="clear" w:pos="720"/>
      </w:tabs>
    </w:pPr>
    <w:rPr>
      <w:b w:val="0"/>
    </w:rPr>
  </w:style>
  <w:style w:type="paragraph" w:customStyle="1" w:styleId="AOAltHead3">
    <w:name w:val="AOAltHead3"/>
    <w:basedOn w:val="AOHead3"/>
    <w:next w:val="AODocTxtL1"/>
    <w:rsid w:val="002E3EC6"/>
    <w:pPr>
      <w:tabs>
        <w:tab w:val="clear" w:pos="1440"/>
      </w:tabs>
      <w:ind w:left="720"/>
    </w:pPr>
  </w:style>
  <w:style w:type="paragraph" w:customStyle="1" w:styleId="AOAltHead4">
    <w:name w:val="AOAltHead4"/>
    <w:basedOn w:val="AOHead4"/>
    <w:next w:val="AODocTxtL2"/>
    <w:rsid w:val="002E3EC6"/>
    <w:pPr>
      <w:tabs>
        <w:tab w:val="clear" w:pos="2160"/>
      </w:tabs>
      <w:ind w:left="1440"/>
    </w:pPr>
  </w:style>
  <w:style w:type="paragraph" w:customStyle="1" w:styleId="AOAltHead5">
    <w:name w:val="AOAltHead5"/>
    <w:basedOn w:val="AOHead5"/>
    <w:next w:val="AODocTxtL3"/>
    <w:rsid w:val="002E3EC6"/>
    <w:pPr>
      <w:tabs>
        <w:tab w:val="clear" w:pos="2880"/>
      </w:tabs>
      <w:ind w:left="2160"/>
    </w:pPr>
  </w:style>
  <w:style w:type="paragraph" w:customStyle="1" w:styleId="AOAltHead6">
    <w:name w:val="AOAltHead6"/>
    <w:basedOn w:val="AOHead6"/>
    <w:next w:val="AODocTxtL4"/>
    <w:rsid w:val="002E3EC6"/>
    <w:pPr>
      <w:tabs>
        <w:tab w:val="clear" w:pos="3600"/>
      </w:tabs>
      <w:ind w:left="2880"/>
    </w:pPr>
  </w:style>
  <w:style w:type="paragraph" w:customStyle="1" w:styleId="AOListNumber">
    <w:name w:val="AOListNumber"/>
    <w:basedOn w:val="AOBodyTxt"/>
    <w:rsid w:val="002E3EC6"/>
    <w:pPr>
      <w:numPr>
        <w:numId w:val="16"/>
      </w:numPr>
      <w:tabs>
        <w:tab w:val="clear" w:pos="720"/>
      </w:tabs>
    </w:pPr>
  </w:style>
  <w:style w:type="paragraph" w:customStyle="1" w:styleId="AOBullet2">
    <w:name w:val="AOBullet2"/>
    <w:basedOn w:val="AOBullet"/>
    <w:rsid w:val="002E3EC6"/>
    <w:pPr>
      <w:numPr>
        <w:numId w:val="17"/>
      </w:numPr>
      <w:tabs>
        <w:tab w:val="clear" w:pos="720"/>
        <w:tab w:val="num" w:pos="1280"/>
      </w:tabs>
      <w:spacing w:before="120"/>
      <w:ind w:left="1280"/>
    </w:pPr>
  </w:style>
  <w:style w:type="paragraph" w:customStyle="1" w:styleId="AOBullet3">
    <w:name w:val="AOBullet3"/>
    <w:basedOn w:val="AOBodyTxt"/>
    <w:rsid w:val="002E3EC6"/>
    <w:pPr>
      <w:numPr>
        <w:numId w:val="18"/>
      </w:numPr>
      <w:tabs>
        <w:tab w:val="clear" w:pos="720"/>
      </w:tabs>
      <w:spacing w:before="120"/>
    </w:pPr>
  </w:style>
  <w:style w:type="paragraph" w:customStyle="1" w:styleId="AOBullet4">
    <w:name w:val="AOBullet4"/>
    <w:basedOn w:val="AOBodyTxt"/>
    <w:rsid w:val="002E3EC6"/>
    <w:pPr>
      <w:numPr>
        <w:numId w:val="19"/>
      </w:numPr>
      <w:spacing w:before="120"/>
    </w:pPr>
  </w:style>
  <w:style w:type="paragraph" w:styleId="a0">
    <w:name w:val="List Bullet"/>
    <w:basedOn w:val="aff9"/>
    <w:autoRedefine/>
    <w:rsid w:val="002E3EC6"/>
    <w:pPr>
      <w:numPr>
        <w:numId w:val="20"/>
      </w:numPr>
      <w:ind w:right="720"/>
    </w:pPr>
  </w:style>
  <w:style w:type="paragraph" w:styleId="aff9">
    <w:name w:val="List"/>
    <w:basedOn w:val="af4"/>
    <w:rsid w:val="002E3EC6"/>
    <w:pPr>
      <w:widowControl/>
      <w:spacing w:after="240" w:line="240" w:lineRule="atLeast"/>
      <w:ind w:left="720" w:hanging="360"/>
      <w:jc w:val="left"/>
    </w:pPr>
    <w:rPr>
      <w:rFonts w:eastAsia="PMingLiU"/>
      <w:kern w:val="0"/>
      <w:szCs w:val="20"/>
      <w:lang w:eastAsia="en-US"/>
    </w:rPr>
  </w:style>
  <w:style w:type="paragraph" w:styleId="a">
    <w:name w:val="List Number"/>
    <w:basedOn w:val="aff9"/>
    <w:rsid w:val="002E3EC6"/>
    <w:pPr>
      <w:numPr>
        <w:numId w:val="21"/>
      </w:numPr>
      <w:ind w:right="720"/>
    </w:pPr>
  </w:style>
  <w:style w:type="paragraph" w:customStyle="1" w:styleId="affa">
    <w:name w:val="正文所"/>
    <w:basedOn w:val="a1"/>
    <w:rsid w:val="002E3EC6"/>
    <w:pPr>
      <w:spacing w:line="360" w:lineRule="auto"/>
      <w:ind w:firstLineChars="200" w:firstLine="420"/>
    </w:pPr>
  </w:style>
  <w:style w:type="paragraph" w:customStyle="1" w:styleId="AOFPBP">
    <w:name w:val="AOFPBP"/>
    <w:basedOn w:val="AONormal"/>
    <w:next w:val="AOFPTxt"/>
    <w:rsid w:val="002E3EC6"/>
  </w:style>
  <w:style w:type="paragraph" w:customStyle="1" w:styleId="AOFPTxt">
    <w:name w:val="AOFPTxt"/>
    <w:basedOn w:val="AOFPBP"/>
    <w:rsid w:val="002E3EC6"/>
    <w:rPr>
      <w:b/>
    </w:rPr>
  </w:style>
  <w:style w:type="paragraph" w:customStyle="1" w:styleId="AOFPCopyright">
    <w:name w:val="AOFPCopyright"/>
    <w:basedOn w:val="AOFPTxt"/>
    <w:rsid w:val="002E3EC6"/>
    <w:rPr>
      <w:caps/>
    </w:rPr>
  </w:style>
  <w:style w:type="paragraph" w:customStyle="1" w:styleId="AOFPDate">
    <w:name w:val="AOFPDate"/>
    <w:basedOn w:val="AOFPTxt"/>
    <w:rsid w:val="002E3EC6"/>
    <w:rPr>
      <w:caps/>
    </w:rPr>
  </w:style>
  <w:style w:type="paragraph" w:customStyle="1" w:styleId="AOFPTitle">
    <w:name w:val="AOFPTitle"/>
    <w:basedOn w:val="AOFPTxt"/>
    <w:rsid w:val="002E3EC6"/>
    <w:rPr>
      <w:caps/>
      <w:sz w:val="32"/>
    </w:rPr>
  </w:style>
  <w:style w:type="paragraph" w:customStyle="1" w:styleId="AOFPTxtCaps">
    <w:name w:val="AOFPTxtCaps"/>
    <w:basedOn w:val="AOFPTxt"/>
    <w:rsid w:val="002E3EC6"/>
    <w:rPr>
      <w:caps/>
    </w:rPr>
  </w:style>
  <w:style w:type="character" w:customStyle="1" w:styleId="AOHidden">
    <w:name w:val="AOHidden"/>
    <w:basedOn w:val="a2"/>
    <w:rsid w:val="002E3EC6"/>
    <w:rPr>
      <w:vanish/>
      <w:color w:val="auto"/>
    </w:rPr>
  </w:style>
  <w:style w:type="paragraph" w:customStyle="1" w:styleId="AOLocation">
    <w:name w:val="AOLocation"/>
    <w:basedOn w:val="AOFPBP"/>
    <w:rsid w:val="002E3EC6"/>
    <w:pPr>
      <w:spacing w:before="160"/>
      <w:jc w:val="center"/>
    </w:pPr>
    <w:rPr>
      <w:b/>
      <w:caps/>
    </w:rPr>
  </w:style>
  <w:style w:type="paragraph" w:customStyle="1" w:styleId="AOSignatory">
    <w:name w:val="AOSignatory"/>
    <w:basedOn w:val="AOBodyTxt"/>
    <w:next w:val="AODocTxt"/>
    <w:rsid w:val="002E3EC6"/>
    <w:pPr>
      <w:pageBreakBefore/>
      <w:spacing w:after="240"/>
      <w:jc w:val="center"/>
    </w:pPr>
    <w:rPr>
      <w:b/>
      <w:caps/>
    </w:rPr>
  </w:style>
  <w:style w:type="paragraph" w:customStyle="1" w:styleId="AOTitle">
    <w:name w:val="AOTitle"/>
    <w:basedOn w:val="AOHeadings"/>
    <w:next w:val="AODocTxt"/>
    <w:rsid w:val="002E3EC6"/>
    <w:pPr>
      <w:jc w:val="center"/>
    </w:pPr>
    <w:rPr>
      <w:b/>
      <w:caps/>
    </w:rPr>
  </w:style>
  <w:style w:type="paragraph" w:customStyle="1" w:styleId="AOTOCHeading">
    <w:name w:val="AOTOCHeading"/>
    <w:basedOn w:val="AOHeadings"/>
    <w:next w:val="AODocTxt"/>
    <w:rsid w:val="002E3EC6"/>
    <w:pPr>
      <w:tabs>
        <w:tab w:val="right" w:pos="9000"/>
      </w:tabs>
      <w:spacing w:after="240"/>
    </w:pPr>
    <w:rPr>
      <w:b/>
    </w:rPr>
  </w:style>
  <w:style w:type="paragraph" w:customStyle="1" w:styleId="AOTOCs">
    <w:name w:val="AOTOCs"/>
    <w:basedOn w:val="AONormal"/>
    <w:next w:val="12"/>
    <w:rsid w:val="002E3EC6"/>
    <w:pPr>
      <w:jc w:val="both"/>
    </w:pPr>
  </w:style>
  <w:style w:type="paragraph" w:customStyle="1" w:styleId="AOTOCTitle">
    <w:name w:val="AOTOCTitle"/>
    <w:basedOn w:val="AOHeadings"/>
    <w:next w:val="AOTOCHeading"/>
    <w:rsid w:val="002E3EC6"/>
    <w:pPr>
      <w:jc w:val="center"/>
    </w:pPr>
    <w:rPr>
      <w:b/>
      <w:caps/>
    </w:rPr>
  </w:style>
  <w:style w:type="paragraph" w:styleId="affb">
    <w:name w:val="endnote text"/>
    <w:basedOn w:val="AONormal"/>
    <w:link w:val="affc"/>
    <w:rsid w:val="002E3EC6"/>
    <w:pPr>
      <w:spacing w:line="240" w:lineRule="auto"/>
      <w:ind w:left="720" w:hanging="720"/>
    </w:pPr>
    <w:rPr>
      <w:sz w:val="16"/>
    </w:rPr>
  </w:style>
  <w:style w:type="character" w:customStyle="1" w:styleId="affc">
    <w:name w:val="尾注文本 字符"/>
    <w:basedOn w:val="a2"/>
    <w:link w:val="affb"/>
    <w:rsid w:val="002E3EC6"/>
    <w:rPr>
      <w:rFonts w:ascii="Times New Roman" w:eastAsia="宋体" w:hAnsi="Times New Roman" w:cs="Times New Roman"/>
      <w:kern w:val="0"/>
      <w:sz w:val="16"/>
      <w:lang w:val="en-GB" w:eastAsia="en-US"/>
    </w:rPr>
  </w:style>
  <w:style w:type="paragraph" w:styleId="affd">
    <w:name w:val="table of authorities"/>
    <w:basedOn w:val="AONormal"/>
    <w:rsid w:val="002E3EC6"/>
    <w:pPr>
      <w:tabs>
        <w:tab w:val="right" w:leader="dot" w:pos="9490"/>
      </w:tabs>
      <w:spacing w:before="240" w:line="240" w:lineRule="auto"/>
      <w:ind w:left="720" w:hanging="720"/>
    </w:pPr>
  </w:style>
  <w:style w:type="paragraph" w:styleId="affe">
    <w:name w:val="toa heading"/>
    <w:basedOn w:val="AONormal"/>
    <w:next w:val="affd"/>
    <w:rsid w:val="002E3EC6"/>
    <w:pPr>
      <w:tabs>
        <w:tab w:val="right" w:pos="9490"/>
      </w:tabs>
      <w:spacing w:before="240" w:after="120" w:line="240" w:lineRule="auto"/>
    </w:pPr>
    <w:rPr>
      <w:b/>
    </w:rPr>
  </w:style>
  <w:style w:type="paragraph" w:customStyle="1" w:styleId="AOHeading1">
    <w:name w:val="AOHeading1"/>
    <w:basedOn w:val="AOHeadings"/>
    <w:next w:val="AODocTxt"/>
    <w:rsid w:val="002E3EC6"/>
    <w:pPr>
      <w:keepNext/>
      <w:outlineLvl w:val="0"/>
    </w:pPr>
    <w:rPr>
      <w:b/>
      <w:caps/>
      <w:kern w:val="28"/>
    </w:rPr>
  </w:style>
  <w:style w:type="paragraph" w:customStyle="1" w:styleId="AOHeading2">
    <w:name w:val="AOHeading2"/>
    <w:basedOn w:val="AOHeadings"/>
    <w:next w:val="AODocTxt"/>
    <w:rsid w:val="002E3EC6"/>
    <w:pPr>
      <w:keepNext/>
      <w:outlineLvl w:val="1"/>
    </w:pPr>
    <w:rPr>
      <w:b/>
    </w:rPr>
  </w:style>
  <w:style w:type="paragraph" w:customStyle="1" w:styleId="AOHeading3">
    <w:name w:val="AOHeading3"/>
    <w:basedOn w:val="AOHeadings"/>
    <w:next w:val="AODocTxtL1"/>
    <w:rsid w:val="002E3EC6"/>
    <w:pPr>
      <w:keepNext/>
      <w:ind w:left="720"/>
      <w:outlineLvl w:val="2"/>
    </w:pPr>
    <w:rPr>
      <w:b/>
    </w:rPr>
  </w:style>
  <w:style w:type="paragraph" w:customStyle="1" w:styleId="AOHeading4">
    <w:name w:val="AOHeading4"/>
    <w:basedOn w:val="AOHeadings"/>
    <w:next w:val="AODocTxt"/>
    <w:rsid w:val="002E3EC6"/>
    <w:pPr>
      <w:keepNext/>
      <w:outlineLvl w:val="3"/>
    </w:pPr>
    <w:rPr>
      <w:i/>
    </w:rPr>
  </w:style>
  <w:style w:type="paragraph" w:customStyle="1" w:styleId="AOHeading5">
    <w:name w:val="AOHeading5"/>
    <w:basedOn w:val="AOHeadings"/>
    <w:next w:val="AODocTxtL1"/>
    <w:rsid w:val="002E3EC6"/>
    <w:pPr>
      <w:keepNext/>
      <w:ind w:left="720"/>
      <w:outlineLvl w:val="4"/>
    </w:pPr>
    <w:rPr>
      <w:i/>
    </w:rPr>
  </w:style>
  <w:style w:type="paragraph" w:customStyle="1" w:styleId="AOHeading6">
    <w:name w:val="AOHeading6"/>
    <w:basedOn w:val="AOHeadings"/>
    <w:next w:val="AODocTxt"/>
    <w:rsid w:val="002E3EC6"/>
    <w:pPr>
      <w:keepNext/>
      <w:outlineLvl w:val="5"/>
    </w:pPr>
    <w:rPr>
      <w:b/>
      <w:i/>
    </w:rPr>
  </w:style>
  <w:style w:type="paragraph" w:customStyle="1" w:styleId="AOHeading7">
    <w:name w:val="AOHeading7"/>
    <w:basedOn w:val="AOHeadings"/>
    <w:next w:val="AODocTxtL1"/>
    <w:rsid w:val="002E3EC6"/>
    <w:pPr>
      <w:keepNext/>
      <w:ind w:left="720"/>
      <w:outlineLvl w:val="6"/>
    </w:pPr>
    <w:rPr>
      <w:b/>
      <w:i/>
    </w:rPr>
  </w:style>
  <w:style w:type="paragraph" w:customStyle="1" w:styleId="AONormal10">
    <w:name w:val="AONormal10"/>
    <w:basedOn w:val="AONormal"/>
    <w:rsid w:val="002E3EC6"/>
    <w:rPr>
      <w:sz w:val="20"/>
    </w:rPr>
  </w:style>
  <w:style w:type="paragraph" w:customStyle="1" w:styleId="AONormal8C">
    <w:name w:val="AONormal8C"/>
    <w:basedOn w:val="AONormal8L"/>
    <w:rsid w:val="002E3EC6"/>
    <w:pPr>
      <w:jc w:val="center"/>
    </w:pPr>
  </w:style>
  <w:style w:type="paragraph" w:customStyle="1" w:styleId="AONormal8L">
    <w:name w:val="AONormal8L"/>
    <w:basedOn w:val="AONormal"/>
    <w:rsid w:val="002E3EC6"/>
    <w:pPr>
      <w:spacing w:line="220" w:lineRule="atLeast"/>
    </w:pPr>
    <w:rPr>
      <w:rFonts w:ascii="Arial" w:hAnsi="Arial"/>
      <w:sz w:val="16"/>
    </w:rPr>
  </w:style>
  <w:style w:type="paragraph" w:customStyle="1" w:styleId="AONormal8R">
    <w:name w:val="AONormal8R"/>
    <w:basedOn w:val="AONormal8L"/>
    <w:rsid w:val="002E3EC6"/>
    <w:pPr>
      <w:jc w:val="right"/>
    </w:pPr>
  </w:style>
  <w:style w:type="paragraph" w:customStyle="1" w:styleId="AONormalBold">
    <w:name w:val="AONormalBold"/>
    <w:basedOn w:val="AONormal"/>
    <w:rsid w:val="002E3EC6"/>
    <w:rPr>
      <w:b/>
    </w:rPr>
  </w:style>
  <w:style w:type="paragraph" w:customStyle="1" w:styleId="AONormal6L">
    <w:name w:val="AONormal6L"/>
    <w:basedOn w:val="AONormal8L"/>
    <w:rsid w:val="002E3EC6"/>
    <w:pPr>
      <w:spacing w:line="160" w:lineRule="atLeast"/>
    </w:pPr>
    <w:rPr>
      <w:sz w:val="12"/>
    </w:rPr>
  </w:style>
  <w:style w:type="paragraph" w:customStyle="1" w:styleId="AOTitle18">
    <w:name w:val="AOTitle18"/>
    <w:basedOn w:val="AONormal"/>
    <w:rsid w:val="002E3EC6"/>
    <w:rPr>
      <w:b/>
      <w:sz w:val="36"/>
      <w:szCs w:val="36"/>
    </w:rPr>
  </w:style>
  <w:style w:type="paragraph" w:customStyle="1" w:styleId="AONormal8Ci">
    <w:name w:val="AONormal8Ci"/>
    <w:basedOn w:val="AONormal8C"/>
    <w:rsid w:val="002E3EC6"/>
    <w:pPr>
      <w:spacing w:after="120" w:line="240" w:lineRule="auto"/>
    </w:pPr>
    <w:rPr>
      <w:i/>
      <w:szCs w:val="16"/>
    </w:rPr>
  </w:style>
  <w:style w:type="paragraph" w:customStyle="1" w:styleId="AOBPTxtL">
    <w:name w:val="AOBPTxtL"/>
    <w:basedOn w:val="AOFPBP"/>
    <w:rsid w:val="002E3EC6"/>
  </w:style>
  <w:style w:type="paragraph" w:customStyle="1" w:styleId="AOBPTitle">
    <w:name w:val="AOBPTitle"/>
    <w:basedOn w:val="AOBPTxtL"/>
    <w:rsid w:val="002E3EC6"/>
    <w:rPr>
      <w:b/>
      <w:caps/>
    </w:rPr>
  </w:style>
  <w:style w:type="paragraph" w:customStyle="1" w:styleId="AOBPTxtC">
    <w:name w:val="AOBPTxtC"/>
    <w:basedOn w:val="AOBPTxtL"/>
    <w:rsid w:val="002E3EC6"/>
    <w:pPr>
      <w:jc w:val="center"/>
    </w:pPr>
  </w:style>
  <w:style w:type="paragraph" w:customStyle="1" w:styleId="AOBPTxtR">
    <w:name w:val="AOBPTxtR"/>
    <w:basedOn w:val="AOBPTxtL"/>
    <w:rsid w:val="002E3EC6"/>
    <w:pPr>
      <w:jc w:val="right"/>
    </w:pPr>
  </w:style>
  <w:style w:type="paragraph" w:customStyle="1" w:styleId="AOTOC1">
    <w:name w:val="AOTOC1"/>
    <w:basedOn w:val="AOTOCs"/>
    <w:rsid w:val="002E3EC6"/>
    <w:pPr>
      <w:tabs>
        <w:tab w:val="left" w:pos="720"/>
        <w:tab w:val="right" w:leader="dot" w:pos="9027"/>
      </w:tabs>
    </w:pPr>
    <w:rPr>
      <w:b/>
      <w:caps/>
    </w:rPr>
  </w:style>
  <w:style w:type="paragraph" w:customStyle="1" w:styleId="AOTOC2">
    <w:name w:val="AOTOC2"/>
    <w:basedOn w:val="AOTOCs"/>
    <w:rsid w:val="002E3EC6"/>
    <w:pPr>
      <w:tabs>
        <w:tab w:val="left" w:pos="720"/>
        <w:tab w:val="right" w:leader="dot" w:pos="9027"/>
      </w:tabs>
    </w:pPr>
  </w:style>
  <w:style w:type="paragraph" w:customStyle="1" w:styleId="AOTOC3">
    <w:name w:val="AOTOC3"/>
    <w:basedOn w:val="AOTOCs"/>
    <w:rsid w:val="002E3EC6"/>
    <w:pPr>
      <w:tabs>
        <w:tab w:val="right" w:leader="dot" w:pos="9027"/>
      </w:tabs>
      <w:ind w:left="720"/>
    </w:pPr>
    <w:rPr>
      <w:b/>
    </w:rPr>
  </w:style>
  <w:style w:type="paragraph" w:customStyle="1" w:styleId="AOTOC4">
    <w:name w:val="AOTOC4"/>
    <w:basedOn w:val="AOTOCs"/>
    <w:rsid w:val="002E3EC6"/>
    <w:pPr>
      <w:tabs>
        <w:tab w:val="right" w:leader="dot" w:pos="9027"/>
      </w:tabs>
      <w:ind w:left="720"/>
    </w:pPr>
  </w:style>
  <w:style w:type="paragraph" w:customStyle="1" w:styleId="AOTOC5">
    <w:name w:val="AOTOC5"/>
    <w:basedOn w:val="AOTOCs"/>
    <w:rsid w:val="002E3EC6"/>
    <w:pPr>
      <w:tabs>
        <w:tab w:val="right" w:leader="dot" w:pos="9027"/>
      </w:tabs>
      <w:ind w:left="720"/>
    </w:pPr>
    <w:rPr>
      <w:i/>
    </w:rPr>
  </w:style>
  <w:style w:type="paragraph" w:styleId="afff">
    <w:name w:val="envelope address"/>
    <w:basedOn w:val="a1"/>
    <w:rsid w:val="002E3EC6"/>
    <w:pPr>
      <w:framePr w:w="7920" w:h="1980" w:hRule="exact" w:hSpace="180" w:wrap="auto" w:hAnchor="page" w:xAlign="center" w:yAlign="bottom"/>
      <w:ind w:left="2880"/>
    </w:pPr>
    <w:rPr>
      <w:rFonts w:cs="Arial"/>
      <w:szCs w:val="22"/>
    </w:rPr>
  </w:style>
  <w:style w:type="paragraph" w:styleId="afff0">
    <w:name w:val="envelope return"/>
    <w:basedOn w:val="a1"/>
    <w:rsid w:val="002E3EC6"/>
    <w:rPr>
      <w:rFonts w:cs="Arial"/>
      <w:sz w:val="20"/>
    </w:rPr>
  </w:style>
  <w:style w:type="paragraph" w:customStyle="1" w:styleId="AONormal8LBold">
    <w:name w:val="AONormal8LBold"/>
    <w:basedOn w:val="AONormal8L"/>
    <w:rsid w:val="002E3EC6"/>
    <w:rPr>
      <w:b/>
    </w:rPr>
  </w:style>
  <w:style w:type="paragraph" w:customStyle="1" w:styleId="AONormal6R">
    <w:name w:val="AONormal6R"/>
    <w:basedOn w:val="AONormal6L"/>
    <w:rsid w:val="002E3EC6"/>
    <w:pPr>
      <w:jc w:val="right"/>
    </w:pPr>
  </w:style>
  <w:style w:type="paragraph" w:customStyle="1" w:styleId="AONormal6C">
    <w:name w:val="AONormal6C"/>
    <w:basedOn w:val="AONormal6L"/>
    <w:rsid w:val="002E3EC6"/>
    <w:pPr>
      <w:jc w:val="center"/>
    </w:pPr>
  </w:style>
  <w:style w:type="paragraph" w:customStyle="1" w:styleId="AOBodyJustified">
    <w:name w:val="AOBodyJustified"/>
    <w:basedOn w:val="AOBodyTxt"/>
    <w:rsid w:val="002E3EC6"/>
    <w:pPr>
      <w:jc w:val="both"/>
    </w:pPr>
  </w:style>
  <w:style w:type="paragraph" w:customStyle="1" w:styleId="16">
    <w:name w:val="批注框文本1"/>
    <w:basedOn w:val="a1"/>
    <w:semiHidden/>
    <w:rsid w:val="002E3EC6"/>
    <w:rPr>
      <w:rFonts w:ascii="Tahoma" w:hAnsi="Tahoma" w:cs="Tahoma"/>
      <w:sz w:val="16"/>
      <w:szCs w:val="16"/>
    </w:rPr>
  </w:style>
  <w:style w:type="character" w:customStyle="1" w:styleId="lan18">
    <w:name w:val="lan18"/>
    <w:basedOn w:val="a2"/>
    <w:rsid w:val="002E3EC6"/>
  </w:style>
  <w:style w:type="paragraph" w:styleId="HTML">
    <w:name w:val="HTML Preformatted"/>
    <w:basedOn w:val="a1"/>
    <w:link w:val="HTML0"/>
    <w:rsid w:val="002E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0">
    <w:name w:val="HTML 预设格式 字符"/>
    <w:basedOn w:val="a2"/>
    <w:link w:val="HTML"/>
    <w:rsid w:val="002E3EC6"/>
    <w:rPr>
      <w:rFonts w:ascii="Arial Unicode MS" w:eastAsia="Arial Unicode MS" w:hAnsi="Arial Unicode MS" w:cs="Arial Unicode MS"/>
      <w:kern w:val="0"/>
      <w:sz w:val="20"/>
      <w:szCs w:val="20"/>
    </w:rPr>
  </w:style>
  <w:style w:type="character" w:styleId="HTML1">
    <w:name w:val="HTML Typewriter"/>
    <w:basedOn w:val="a2"/>
    <w:rsid w:val="002E3EC6"/>
    <w:rPr>
      <w:rFonts w:ascii="Arial Unicode MS" w:eastAsia="Arial Unicode MS" w:hAnsi="Arial Unicode MS" w:cs="Arial Unicode MS"/>
      <w:sz w:val="20"/>
      <w:szCs w:val="20"/>
    </w:rPr>
  </w:style>
  <w:style w:type="paragraph" w:customStyle="1" w:styleId="Char2">
    <w:name w:val="Char2"/>
    <w:basedOn w:val="a1"/>
    <w:rsid w:val="002E3EC6"/>
  </w:style>
  <w:style w:type="paragraph" w:customStyle="1" w:styleId="afff1">
    <w:name w:val="中文文本"/>
    <w:basedOn w:val="a1"/>
    <w:rsid w:val="002E3EC6"/>
    <w:pPr>
      <w:adjustRightInd w:val="0"/>
      <w:spacing w:before="120" w:after="120" w:line="312" w:lineRule="atLeast"/>
      <w:textAlignment w:val="baseline"/>
    </w:pPr>
    <w:rPr>
      <w:kern w:val="0"/>
      <w:sz w:val="24"/>
      <w:szCs w:val="20"/>
    </w:rPr>
  </w:style>
  <w:style w:type="table" w:styleId="afff2">
    <w:name w:val="Table Grid"/>
    <w:basedOn w:val="a3"/>
    <w:uiPriority w:val="59"/>
    <w:rsid w:val="002E3EC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rsid w:val="002E3EC6"/>
    <w:pPr>
      <w:autoSpaceDE w:val="0"/>
      <w:autoSpaceDN w:val="0"/>
      <w:adjustRightInd w:val="0"/>
      <w:jc w:val="left"/>
      <w:textAlignment w:val="baseline"/>
    </w:pPr>
    <w:rPr>
      <w:rFonts w:ascii="宋体"/>
      <w:kern w:val="0"/>
      <w:sz w:val="34"/>
      <w:szCs w:val="20"/>
    </w:rPr>
  </w:style>
  <w:style w:type="paragraph" w:customStyle="1" w:styleId="Char">
    <w:name w:val="Char"/>
    <w:basedOn w:val="a1"/>
    <w:autoRedefine/>
    <w:rsid w:val="002E3EC6"/>
    <w:pPr>
      <w:tabs>
        <w:tab w:val="num" w:pos="360"/>
      </w:tabs>
      <w:spacing w:line="560" w:lineRule="exact"/>
    </w:pPr>
    <w:rPr>
      <w:rFonts w:ascii="方正黑体简体" w:eastAsia="方正黑体简体"/>
      <w:sz w:val="30"/>
      <w:szCs w:val="30"/>
    </w:rPr>
  </w:style>
  <w:style w:type="paragraph" w:styleId="afff3">
    <w:name w:val="Revision"/>
    <w:hidden/>
    <w:uiPriority w:val="99"/>
    <w:rsid w:val="002E3EC6"/>
    <w:rPr>
      <w:rFonts w:ascii="Times New Roman" w:eastAsia="宋体" w:hAnsi="Times New Roman" w:cs="Times New Roman"/>
      <w:szCs w:val="24"/>
    </w:rPr>
  </w:style>
  <w:style w:type="paragraph" w:customStyle="1" w:styleId="Style31">
    <w:name w:val="_Style 31"/>
    <w:basedOn w:val="a1"/>
    <w:rsid w:val="002E3EC6"/>
    <w:pPr>
      <w:tabs>
        <w:tab w:val="left" w:pos="420"/>
      </w:tabs>
      <w:ind w:left="420" w:hanging="420"/>
    </w:pPr>
    <w:rPr>
      <w:szCs w:val="20"/>
    </w:rPr>
  </w:style>
  <w:style w:type="paragraph" w:customStyle="1" w:styleId="Style39">
    <w:name w:val="_Style 39"/>
    <w:basedOn w:val="a1"/>
    <w:rsid w:val="002E3EC6"/>
    <w:pPr>
      <w:tabs>
        <w:tab w:val="left" w:pos="360"/>
      </w:tabs>
      <w:ind w:left="360" w:hanging="360"/>
    </w:pPr>
    <w:rPr>
      <w:szCs w:val="20"/>
    </w:rPr>
  </w:style>
  <w:style w:type="paragraph" w:styleId="TOC">
    <w:name w:val="TOC Heading"/>
    <w:basedOn w:val="1"/>
    <w:next w:val="a1"/>
    <w:uiPriority w:val="39"/>
    <w:qFormat/>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3EC6"/>
  </w:style>
  <w:style w:type="character" w:customStyle="1" w:styleId="da">
    <w:name w:val="da"/>
    <w:basedOn w:val="a2"/>
    <w:rsid w:val="002E3EC6"/>
  </w:style>
  <w:style w:type="paragraph" w:customStyle="1" w:styleId="afff4">
    <w:name w:val="项目标题"/>
    <w:basedOn w:val="a1"/>
    <w:rsid w:val="002E3EC6"/>
    <w:pPr>
      <w:autoSpaceDE w:val="0"/>
      <w:autoSpaceDN w:val="0"/>
      <w:adjustRightInd w:val="0"/>
      <w:spacing w:line="360" w:lineRule="auto"/>
      <w:textAlignment w:val="baseline"/>
    </w:pPr>
    <w:rPr>
      <w:rFonts w:ascii="黑体" w:eastAsia="黑体"/>
      <w:b/>
      <w:kern w:val="0"/>
      <w:sz w:val="24"/>
      <w:szCs w:val="20"/>
    </w:rPr>
  </w:style>
  <w:style w:type="paragraph" w:styleId="afff5">
    <w:name w:val="E-mail Signature"/>
    <w:basedOn w:val="a1"/>
    <w:link w:val="afff6"/>
    <w:rsid w:val="002E3EC6"/>
    <w:pPr>
      <w:widowControl/>
    </w:pPr>
    <w:rPr>
      <w:kern w:val="0"/>
      <w:szCs w:val="21"/>
    </w:rPr>
  </w:style>
  <w:style w:type="character" w:customStyle="1" w:styleId="afff6">
    <w:name w:val="电子邮件签名 字符"/>
    <w:basedOn w:val="a2"/>
    <w:link w:val="afff5"/>
    <w:rsid w:val="002E3EC6"/>
    <w:rPr>
      <w:rFonts w:ascii="Times New Roman" w:eastAsia="宋体" w:hAnsi="Times New Roman" w:cs="Times New Roman"/>
      <w:kern w:val="0"/>
      <w:szCs w:val="21"/>
    </w:rPr>
  </w:style>
  <w:style w:type="paragraph" w:customStyle="1" w:styleId="CharCharCharChar4">
    <w:name w:val="Char Char Char Char4"/>
    <w:basedOn w:val="a1"/>
    <w:autoRedefine/>
    <w:rsid w:val="002E3EC6"/>
    <w:pPr>
      <w:tabs>
        <w:tab w:val="num" w:pos="360"/>
      </w:tabs>
      <w:spacing w:before="312" w:after="312" w:line="360" w:lineRule="auto"/>
    </w:pPr>
    <w:rPr>
      <w:sz w:val="24"/>
    </w:rPr>
  </w:style>
  <w:style w:type="paragraph" w:customStyle="1" w:styleId="p0">
    <w:name w:val="p0"/>
    <w:basedOn w:val="a1"/>
    <w:rsid w:val="002E3EC6"/>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3EC6"/>
  </w:style>
  <w:style w:type="paragraph" w:customStyle="1" w:styleId="ParaCharCharCharCharCharChar">
    <w:name w:val="默认段落字体 Para Char Char Char Char Char Char"/>
    <w:basedOn w:val="a1"/>
    <w:autoRedefine/>
    <w:rsid w:val="002E3EC6"/>
    <w:pPr>
      <w:tabs>
        <w:tab w:val="num" w:pos="840"/>
      </w:tabs>
      <w:ind w:left="840" w:hanging="360"/>
    </w:pPr>
    <w:rPr>
      <w:sz w:val="24"/>
    </w:rPr>
  </w:style>
  <w:style w:type="character" w:customStyle="1" w:styleId="Char1">
    <w:name w:val="脚注文本 Char1"/>
    <w:basedOn w:val="a2"/>
    <w:uiPriority w:val="99"/>
    <w:semiHidden/>
    <w:rsid w:val="002E3EC6"/>
    <w:rPr>
      <w:sz w:val="18"/>
      <w:szCs w:val="18"/>
    </w:rPr>
  </w:style>
  <w:style w:type="character" w:customStyle="1" w:styleId="Char10">
    <w:name w:val="批注文字 Char1"/>
    <w:basedOn w:val="a2"/>
    <w:uiPriority w:val="99"/>
    <w:semiHidden/>
    <w:rsid w:val="002E3EC6"/>
    <w:rPr>
      <w:sz w:val="21"/>
    </w:rPr>
  </w:style>
  <w:style w:type="character" w:customStyle="1" w:styleId="Char11">
    <w:name w:val="日期 Char1"/>
    <w:basedOn w:val="a2"/>
    <w:uiPriority w:val="99"/>
    <w:semiHidden/>
    <w:rsid w:val="002E3EC6"/>
    <w:rPr>
      <w:sz w:val="21"/>
    </w:rPr>
  </w:style>
  <w:style w:type="character" w:customStyle="1" w:styleId="3Char1">
    <w:name w:val="正文文本 3 Char1"/>
    <w:basedOn w:val="a2"/>
    <w:uiPriority w:val="99"/>
    <w:semiHidden/>
    <w:rsid w:val="002E3EC6"/>
    <w:rPr>
      <w:sz w:val="16"/>
      <w:szCs w:val="16"/>
    </w:rPr>
  </w:style>
  <w:style w:type="character" w:customStyle="1" w:styleId="2Char1">
    <w:name w:val="正文文本缩进 2 Char1"/>
    <w:basedOn w:val="a2"/>
    <w:semiHidden/>
    <w:rsid w:val="002E3EC6"/>
    <w:rPr>
      <w:sz w:val="21"/>
    </w:rPr>
  </w:style>
  <w:style w:type="character" w:customStyle="1" w:styleId="Char12">
    <w:name w:val="批注主题 Char1"/>
    <w:basedOn w:val="Char10"/>
    <w:uiPriority w:val="99"/>
    <w:semiHidden/>
    <w:rsid w:val="002E3EC6"/>
    <w:rPr>
      <w:b/>
      <w:bCs/>
      <w:sz w:val="21"/>
    </w:rPr>
  </w:style>
  <w:style w:type="character" w:customStyle="1" w:styleId="afff7">
    <w:name w:val="正文首行缩进 字符"/>
    <w:basedOn w:val="af5"/>
    <w:link w:val="afff8"/>
    <w:rsid w:val="002E3EC6"/>
    <w:rPr>
      <w:rFonts w:ascii="Times New Roman" w:eastAsia="宋体" w:hAnsi="Times New Roman" w:cs="Times New Roman"/>
      <w:sz w:val="24"/>
      <w:szCs w:val="24"/>
    </w:rPr>
  </w:style>
  <w:style w:type="paragraph" w:styleId="afff8">
    <w:name w:val="Body Text First Indent"/>
    <w:basedOn w:val="af4"/>
    <w:link w:val="afff7"/>
    <w:rsid w:val="002E3EC6"/>
    <w:pPr>
      <w:spacing w:after="120" w:line="240" w:lineRule="auto"/>
      <w:ind w:firstLineChars="100" w:firstLine="420"/>
    </w:pPr>
  </w:style>
  <w:style w:type="character" w:customStyle="1" w:styleId="Char13">
    <w:name w:val="正文首行缩进 Char1"/>
    <w:basedOn w:val="af5"/>
    <w:uiPriority w:val="99"/>
    <w:rsid w:val="002E3EC6"/>
    <w:rPr>
      <w:rFonts w:ascii="Times New Roman" w:eastAsia="宋体" w:hAnsi="Times New Roman" w:cs="Times New Roman"/>
      <w:sz w:val="24"/>
      <w:szCs w:val="24"/>
    </w:rPr>
  </w:style>
  <w:style w:type="paragraph" w:customStyle="1" w:styleId="2">
    <w:name w:val="编号正文2"/>
    <w:basedOn w:val="a1"/>
    <w:rsid w:val="002E3EC6"/>
    <w:pPr>
      <w:numPr>
        <w:numId w:val="22"/>
      </w:numPr>
      <w:autoSpaceDE w:val="0"/>
      <w:autoSpaceDN w:val="0"/>
      <w:adjustRightInd w:val="0"/>
      <w:spacing w:after="120" w:line="300" w:lineRule="auto"/>
    </w:pPr>
    <w:rPr>
      <w:rFonts w:ascii="宋体"/>
      <w:kern w:val="0"/>
      <w:szCs w:val="20"/>
    </w:rPr>
  </w:style>
  <w:style w:type="paragraph" w:customStyle="1" w:styleId="c">
    <w:name w:val="c_"/>
    <w:rsid w:val="002E3EC6"/>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3EC6"/>
    <w:pPr>
      <w:widowControl/>
      <w:jc w:val="left"/>
    </w:pPr>
    <w:rPr>
      <w:rFonts w:ascii="Tahoma" w:hAnsi="Tahoma"/>
      <w:color w:val="000000"/>
      <w:kern w:val="0"/>
      <w:sz w:val="24"/>
      <w:szCs w:val="20"/>
    </w:rPr>
  </w:style>
  <w:style w:type="paragraph" w:styleId="afff9">
    <w:name w:val="List Paragraph"/>
    <w:basedOn w:val="a1"/>
    <w:uiPriority w:val="34"/>
    <w:qFormat/>
    <w:rsid w:val="002E3EC6"/>
    <w:pPr>
      <w:ind w:firstLineChars="200" w:firstLine="420"/>
    </w:pPr>
  </w:style>
  <w:style w:type="paragraph" w:customStyle="1" w:styleId="CharCharCharCharCharChar1CharCharChar2">
    <w:name w:val="Char Char Char Char Char Char1 Char Char Char2"/>
    <w:basedOn w:val="a1"/>
    <w:rsid w:val="002E3EC6"/>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2E3EC6"/>
    <w:rPr>
      <w:szCs w:val="20"/>
    </w:rPr>
  </w:style>
  <w:style w:type="paragraph" w:customStyle="1" w:styleId="CharCharCharChar1">
    <w:name w:val="Char Char Char Char1"/>
    <w:basedOn w:val="a1"/>
    <w:rsid w:val="002E3EC6"/>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3EC6"/>
    <w:pPr>
      <w:tabs>
        <w:tab w:val="left" w:pos="840"/>
      </w:tabs>
      <w:ind w:left="840" w:hanging="360"/>
    </w:pPr>
    <w:rPr>
      <w:szCs w:val="20"/>
    </w:rPr>
  </w:style>
  <w:style w:type="character" w:customStyle="1" w:styleId="unnamed11">
    <w:name w:val="unnamed11"/>
    <w:basedOn w:val="a2"/>
    <w:rsid w:val="002E3EC6"/>
    <w:rPr>
      <w:rFonts w:ascii="宋体" w:eastAsia="宋体" w:hAnsi="宋体" w:hint="eastAsia"/>
      <w:sz w:val="18"/>
    </w:rPr>
  </w:style>
  <w:style w:type="paragraph" w:customStyle="1" w:styleId="Listbullet">
    <w:name w:val="List_bullet"/>
    <w:basedOn w:val="a1"/>
    <w:rsid w:val="002E3EC6"/>
    <w:pPr>
      <w:widowControl/>
      <w:numPr>
        <w:numId w:val="23"/>
      </w:numPr>
      <w:tabs>
        <w:tab w:val="left" w:pos="360"/>
      </w:tabs>
      <w:jc w:val="left"/>
    </w:pPr>
    <w:rPr>
      <w:kern w:val="0"/>
      <w:sz w:val="24"/>
      <w:szCs w:val="20"/>
    </w:rPr>
  </w:style>
  <w:style w:type="paragraph" w:customStyle="1" w:styleId="msonormal1">
    <w:name w:val="msonormal1"/>
    <w:rsid w:val="002E3EC6"/>
    <w:pPr>
      <w:widowControl w:val="0"/>
      <w:jc w:val="both"/>
    </w:pPr>
    <w:rPr>
      <w:rFonts w:ascii="Times New Roman" w:eastAsia="宋体" w:hAnsi="Times New Roman" w:cs="Times New Roman"/>
      <w:szCs w:val="20"/>
    </w:rPr>
  </w:style>
  <w:style w:type="paragraph" w:customStyle="1" w:styleId="CharChar13">
    <w:name w:val="Char Char13"/>
    <w:basedOn w:val="a1"/>
    <w:rsid w:val="002E3EC6"/>
    <w:rPr>
      <w:szCs w:val="20"/>
    </w:rPr>
  </w:style>
  <w:style w:type="paragraph" w:customStyle="1" w:styleId="CharChar">
    <w:name w:val="Char Char"/>
    <w:basedOn w:val="a1"/>
    <w:rsid w:val="002E3EC6"/>
    <w:rPr>
      <w:szCs w:val="20"/>
    </w:rPr>
  </w:style>
  <w:style w:type="paragraph" w:customStyle="1" w:styleId="InfoBlue">
    <w:name w:val="InfoBlue"/>
    <w:basedOn w:val="a1"/>
    <w:next w:val="af4"/>
    <w:rsid w:val="002E3EC6"/>
    <w:pPr>
      <w:tabs>
        <w:tab w:val="left" w:pos="420"/>
      </w:tabs>
      <w:spacing w:after="120" w:line="240" w:lineRule="atLeast"/>
      <w:ind w:left="420" w:hanging="420"/>
      <w:jc w:val="left"/>
    </w:pPr>
    <w:rPr>
      <w:rFonts w:ascii="宋体" w:hAnsi="宋体"/>
      <w:szCs w:val="20"/>
    </w:rPr>
  </w:style>
  <w:style w:type="character" w:customStyle="1" w:styleId="Char14">
    <w:name w:val="标题 Char1"/>
    <w:basedOn w:val="a2"/>
    <w:uiPriority w:val="10"/>
    <w:rsid w:val="002E3EC6"/>
    <w:rPr>
      <w:rFonts w:ascii="Cambria" w:hAnsi="Cambria" w:cs="Times New Roman"/>
      <w:b/>
      <w:bCs/>
      <w:kern w:val="2"/>
      <w:sz w:val="32"/>
      <w:szCs w:val="32"/>
    </w:rPr>
  </w:style>
  <w:style w:type="character" w:customStyle="1" w:styleId="Char15">
    <w:name w:val="正文文本 Char1"/>
    <w:basedOn w:val="a2"/>
    <w:uiPriority w:val="99"/>
    <w:semiHidden/>
    <w:rsid w:val="002E3EC6"/>
    <w:rPr>
      <w:kern w:val="2"/>
      <w:sz w:val="21"/>
    </w:rPr>
  </w:style>
  <w:style w:type="paragraph" w:customStyle="1" w:styleId="CharCharChar">
    <w:name w:val="Char Char Char"/>
    <w:basedOn w:val="a1"/>
    <w:rsid w:val="002E3EC6"/>
    <w:rPr>
      <w:szCs w:val="20"/>
    </w:rPr>
  </w:style>
  <w:style w:type="paragraph" w:customStyle="1" w:styleId="CharCharCharCharCharChar1CharCharChar1">
    <w:name w:val="Char Char Char Char Char Char1 Char Char Char1"/>
    <w:basedOn w:val="a1"/>
    <w:rsid w:val="002E3EC6"/>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2E3EC6"/>
    <w:pPr>
      <w:tabs>
        <w:tab w:val="left" w:pos="360"/>
      </w:tabs>
    </w:pPr>
    <w:rPr>
      <w:rFonts w:cs="Arial Unicode MS"/>
      <w:szCs w:val="20"/>
      <w:lang w:bidi="bo-CN"/>
    </w:rPr>
  </w:style>
  <w:style w:type="paragraph" w:customStyle="1" w:styleId="wz1">
    <w:name w:val="wz1"/>
    <w:basedOn w:val="a1"/>
    <w:rsid w:val="002E3EC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
    <w:name w:val="Char5"/>
    <w:basedOn w:val="a1"/>
    <w:rsid w:val="002E3EC6"/>
  </w:style>
  <w:style w:type="paragraph" w:customStyle="1" w:styleId="Char16">
    <w:name w:val="Char1"/>
    <w:basedOn w:val="a1"/>
    <w:autoRedefine/>
    <w:rsid w:val="002E3EC6"/>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2E3EC6"/>
  </w:style>
  <w:style w:type="paragraph" w:customStyle="1" w:styleId="CharChar3">
    <w:name w:val="Char Char3"/>
    <w:basedOn w:val="a1"/>
    <w:rsid w:val="002E3EC6"/>
    <w:rPr>
      <w:szCs w:val="20"/>
    </w:rPr>
  </w:style>
  <w:style w:type="paragraph" w:customStyle="1" w:styleId="Char4">
    <w:name w:val="Char4"/>
    <w:basedOn w:val="a1"/>
    <w:rsid w:val="002E3EC6"/>
    <w:rPr>
      <w:szCs w:val="20"/>
    </w:rPr>
  </w:style>
  <w:style w:type="paragraph" w:customStyle="1" w:styleId="CharCharChar2">
    <w:name w:val="Char Char Char2"/>
    <w:basedOn w:val="a1"/>
    <w:rsid w:val="002E3EC6"/>
    <w:rPr>
      <w:szCs w:val="20"/>
    </w:rPr>
  </w:style>
  <w:style w:type="paragraph" w:customStyle="1" w:styleId="CharCharCharChar3">
    <w:name w:val="Char Char Char Char3"/>
    <w:basedOn w:val="a1"/>
    <w:rsid w:val="002E3EC6"/>
    <w:pPr>
      <w:tabs>
        <w:tab w:val="left" w:pos="360"/>
      </w:tabs>
    </w:pPr>
    <w:rPr>
      <w:szCs w:val="20"/>
    </w:rPr>
  </w:style>
  <w:style w:type="paragraph" w:customStyle="1" w:styleId="CharChar12">
    <w:name w:val="Char Char12"/>
    <w:basedOn w:val="a1"/>
    <w:rsid w:val="002E3EC6"/>
    <w:rPr>
      <w:szCs w:val="20"/>
    </w:rPr>
  </w:style>
  <w:style w:type="paragraph" w:styleId="afffa">
    <w:name w:val="Subtitle"/>
    <w:basedOn w:val="21"/>
    <w:next w:val="3"/>
    <w:link w:val="afffb"/>
    <w:autoRedefine/>
    <w:uiPriority w:val="11"/>
    <w:qFormat/>
    <w:rsid w:val="002E3EC6"/>
    <w:pPr>
      <w:numPr>
        <w:ilvl w:val="0"/>
        <w:numId w:val="0"/>
      </w:numPr>
      <w:spacing w:before="240" w:after="60" w:line="312" w:lineRule="auto"/>
      <w:jc w:val="left"/>
    </w:pPr>
    <w:rPr>
      <w:rFonts w:ascii="Cambria" w:eastAsia="宋体" w:hAnsi="Cambria"/>
      <w:bCs w:val="0"/>
      <w:kern w:val="28"/>
      <w:sz w:val="24"/>
    </w:rPr>
  </w:style>
  <w:style w:type="character" w:customStyle="1" w:styleId="afffb">
    <w:name w:val="副标题 字符"/>
    <w:basedOn w:val="a2"/>
    <w:link w:val="afffa"/>
    <w:uiPriority w:val="11"/>
    <w:rsid w:val="002E3EC6"/>
    <w:rPr>
      <w:rFonts w:ascii="Cambria" w:eastAsia="宋体" w:hAnsi="Cambria" w:cs="Times New Roman"/>
      <w:b/>
      <w:kern w:val="28"/>
      <w:sz w:val="24"/>
      <w:szCs w:val="32"/>
    </w:rPr>
  </w:style>
  <w:style w:type="paragraph" w:customStyle="1" w:styleId="afffc">
    <w:name w:val="次标题"/>
    <w:basedOn w:val="3"/>
    <w:next w:val="a1"/>
    <w:autoRedefine/>
    <w:qFormat/>
    <w:rsid w:val="002E3EC6"/>
    <w:pPr>
      <w:numPr>
        <w:ilvl w:val="0"/>
        <w:numId w:val="0"/>
      </w:numPr>
      <w:spacing w:line="416" w:lineRule="auto"/>
      <w:jc w:val="left"/>
    </w:pPr>
    <w:rPr>
      <w:rFonts w:ascii="宋体" w:hAnsi="宋体"/>
      <w:sz w:val="24"/>
      <w:szCs w:val="24"/>
    </w:rPr>
  </w:style>
  <w:style w:type="paragraph" w:customStyle="1" w:styleId="CharChar2">
    <w:name w:val="Char Char2"/>
    <w:basedOn w:val="a1"/>
    <w:rsid w:val="002E3EC6"/>
    <w:rPr>
      <w:szCs w:val="20"/>
    </w:rPr>
  </w:style>
  <w:style w:type="paragraph" w:customStyle="1" w:styleId="Char3">
    <w:name w:val="Char3"/>
    <w:basedOn w:val="a1"/>
    <w:rsid w:val="002E3EC6"/>
    <w:rPr>
      <w:szCs w:val="20"/>
    </w:rPr>
  </w:style>
  <w:style w:type="paragraph" w:customStyle="1" w:styleId="CharCharChar1">
    <w:name w:val="Char Char Char1"/>
    <w:basedOn w:val="a1"/>
    <w:rsid w:val="002E3EC6"/>
    <w:rPr>
      <w:szCs w:val="20"/>
    </w:rPr>
  </w:style>
  <w:style w:type="paragraph" w:customStyle="1" w:styleId="CharCharCharChar2">
    <w:name w:val="Char Char Char Char2"/>
    <w:basedOn w:val="a1"/>
    <w:rsid w:val="002E3EC6"/>
    <w:pPr>
      <w:tabs>
        <w:tab w:val="left" w:pos="360"/>
      </w:tabs>
    </w:pPr>
    <w:rPr>
      <w:szCs w:val="20"/>
    </w:rPr>
  </w:style>
  <w:style w:type="paragraph" w:customStyle="1" w:styleId="CharChar11">
    <w:name w:val="Char Char11"/>
    <w:basedOn w:val="a1"/>
    <w:rsid w:val="002E3EC6"/>
    <w:rPr>
      <w:szCs w:val="20"/>
    </w:rPr>
  </w:style>
  <w:style w:type="paragraph" w:customStyle="1" w:styleId="Char6">
    <w:name w:val="Char6"/>
    <w:basedOn w:val="a1"/>
    <w:rsid w:val="002E3EC6"/>
    <w:rPr>
      <w:szCs w:val="20"/>
    </w:rPr>
  </w:style>
  <w:style w:type="paragraph" w:customStyle="1" w:styleId="CharCharCharChar5">
    <w:name w:val="Char Char Char Char5"/>
    <w:basedOn w:val="a1"/>
    <w:rsid w:val="002E3EC6"/>
    <w:pPr>
      <w:tabs>
        <w:tab w:val="left" w:pos="360"/>
      </w:tabs>
    </w:pPr>
    <w:rPr>
      <w:szCs w:val="20"/>
    </w:rPr>
  </w:style>
  <w:style w:type="paragraph" w:customStyle="1" w:styleId="CharChar4">
    <w:name w:val="Char Char4"/>
    <w:basedOn w:val="a1"/>
    <w:rsid w:val="002E3EC6"/>
    <w:rPr>
      <w:szCs w:val="20"/>
    </w:rPr>
  </w:style>
  <w:style w:type="paragraph" w:customStyle="1" w:styleId="CharChar14">
    <w:name w:val="Char Char14"/>
    <w:basedOn w:val="a1"/>
    <w:rsid w:val="002E3EC6"/>
    <w:rPr>
      <w:szCs w:val="20"/>
    </w:rPr>
  </w:style>
  <w:style w:type="paragraph" w:customStyle="1" w:styleId="CharCharChar3">
    <w:name w:val="Char Char Char3"/>
    <w:basedOn w:val="a1"/>
    <w:rsid w:val="002E3EC6"/>
    <w:rPr>
      <w:szCs w:val="20"/>
    </w:rPr>
  </w:style>
  <w:style w:type="paragraph" w:customStyle="1" w:styleId="Char21">
    <w:name w:val="Char21"/>
    <w:basedOn w:val="a1"/>
    <w:rsid w:val="002E3EC6"/>
  </w:style>
  <w:style w:type="paragraph" w:customStyle="1" w:styleId="CharCharCharChar10">
    <w:name w:val="Char Char Char Char10"/>
    <w:basedOn w:val="a1"/>
    <w:rsid w:val="002E3EC6"/>
    <w:pPr>
      <w:tabs>
        <w:tab w:val="left" w:pos="360"/>
      </w:tabs>
    </w:pPr>
    <w:rPr>
      <w:szCs w:val="20"/>
    </w:rPr>
  </w:style>
  <w:style w:type="paragraph" w:customStyle="1" w:styleId="CharChar114">
    <w:name w:val="Char Char114"/>
    <w:basedOn w:val="a1"/>
    <w:rsid w:val="002E3EC6"/>
    <w:rPr>
      <w:szCs w:val="20"/>
    </w:rPr>
  </w:style>
  <w:style w:type="paragraph" w:customStyle="1" w:styleId="Char110">
    <w:name w:val="Char11"/>
    <w:basedOn w:val="a1"/>
    <w:rsid w:val="002E3EC6"/>
    <w:rPr>
      <w:szCs w:val="20"/>
    </w:rPr>
  </w:style>
  <w:style w:type="paragraph" w:customStyle="1" w:styleId="CharChar9">
    <w:name w:val="Char Char9"/>
    <w:basedOn w:val="a1"/>
    <w:rsid w:val="002E3EC6"/>
    <w:rPr>
      <w:szCs w:val="20"/>
    </w:rPr>
  </w:style>
  <w:style w:type="paragraph" w:customStyle="1" w:styleId="CharCharChar8">
    <w:name w:val="Char Char Char8"/>
    <w:basedOn w:val="a1"/>
    <w:rsid w:val="002E3EC6"/>
    <w:rPr>
      <w:szCs w:val="20"/>
    </w:rPr>
  </w:style>
  <w:style w:type="paragraph" w:customStyle="1" w:styleId="Char22">
    <w:name w:val="Char22"/>
    <w:basedOn w:val="a1"/>
    <w:rsid w:val="002E3EC6"/>
  </w:style>
  <w:style w:type="character" w:customStyle="1" w:styleId="f221">
    <w:name w:val="f221"/>
    <w:basedOn w:val="a2"/>
    <w:rsid w:val="002E3EC6"/>
    <w:rPr>
      <w:rFonts w:ascii="ˎ̥" w:hAnsi="ˎ̥" w:hint="default"/>
      <w:b/>
      <w:bCs/>
      <w:color w:val="07519A"/>
      <w:sz w:val="33"/>
      <w:szCs w:val="33"/>
    </w:rPr>
  </w:style>
  <w:style w:type="character" w:customStyle="1" w:styleId="hangju">
    <w:name w:val="hangju"/>
    <w:basedOn w:val="a2"/>
    <w:rsid w:val="002E3EC6"/>
  </w:style>
  <w:style w:type="paragraph" w:customStyle="1" w:styleId="CharCharCharCharChar1Char2">
    <w:name w:val="Char Char Char Char Char1 Char2"/>
    <w:basedOn w:val="a1"/>
    <w:rsid w:val="002E3EC6"/>
  </w:style>
  <w:style w:type="paragraph" w:styleId="z-">
    <w:name w:val="HTML Top of Form"/>
    <w:basedOn w:val="a1"/>
    <w:next w:val="a1"/>
    <w:link w:val="z-0"/>
    <w:hidden/>
    <w:uiPriority w:val="99"/>
    <w:rsid w:val="002E3EC6"/>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2"/>
    <w:link w:val="z-"/>
    <w:uiPriority w:val="99"/>
    <w:rsid w:val="002E3EC6"/>
    <w:rPr>
      <w:rFonts w:ascii="Arial" w:eastAsia="宋体" w:hAnsi="Arial" w:cs="Arial"/>
      <w:vanish/>
      <w:kern w:val="0"/>
      <w:sz w:val="16"/>
      <w:szCs w:val="16"/>
    </w:rPr>
  </w:style>
  <w:style w:type="paragraph" w:styleId="z-1">
    <w:name w:val="HTML Bottom of Form"/>
    <w:basedOn w:val="a1"/>
    <w:next w:val="a1"/>
    <w:link w:val="z-2"/>
    <w:hidden/>
    <w:uiPriority w:val="99"/>
    <w:rsid w:val="002E3EC6"/>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2"/>
    <w:link w:val="z-1"/>
    <w:uiPriority w:val="99"/>
    <w:rsid w:val="002E3EC6"/>
    <w:rPr>
      <w:rFonts w:ascii="Arial" w:eastAsia="宋体" w:hAnsi="Arial" w:cs="Arial"/>
      <w:vanish/>
      <w:kern w:val="0"/>
      <w:sz w:val="16"/>
      <w:szCs w:val="16"/>
    </w:rPr>
  </w:style>
  <w:style w:type="paragraph" w:customStyle="1" w:styleId="1Char">
    <w:name w:val="1 Char"/>
    <w:basedOn w:val="a1"/>
    <w:autoRedefine/>
    <w:semiHidden/>
    <w:rsid w:val="002E3EC6"/>
    <w:pPr>
      <w:tabs>
        <w:tab w:val="num" w:pos="360"/>
      </w:tabs>
    </w:pPr>
    <w:rPr>
      <w:sz w:val="24"/>
    </w:rPr>
  </w:style>
  <w:style w:type="paragraph" w:customStyle="1" w:styleId="17">
    <w:name w:val="字元 字元1"/>
    <w:basedOn w:val="a1"/>
    <w:rsid w:val="002E3EC6"/>
    <w:rPr>
      <w:rFonts w:ascii="Tahoma" w:hAnsi="Tahoma" w:cs="Tahoma"/>
      <w:sz w:val="24"/>
    </w:rPr>
  </w:style>
  <w:style w:type="character" w:styleId="afffd">
    <w:name w:val="Emphasis"/>
    <w:basedOn w:val="a2"/>
    <w:qFormat/>
    <w:rsid w:val="002E3EC6"/>
    <w:rPr>
      <w:i/>
      <w:iCs/>
    </w:rPr>
  </w:style>
  <w:style w:type="paragraph" w:styleId="afffe">
    <w:name w:val="No Spacing"/>
    <w:uiPriority w:val="1"/>
    <w:qFormat/>
    <w:rsid w:val="002E3EC6"/>
    <w:pPr>
      <w:widowControl w:val="0"/>
      <w:jc w:val="both"/>
    </w:pPr>
    <w:rPr>
      <w:rFonts w:ascii="Times New Roman" w:eastAsia="宋体" w:hAnsi="Times New Roman" w:cs="Times New Roman"/>
      <w:szCs w:val="24"/>
    </w:rPr>
  </w:style>
  <w:style w:type="character" w:styleId="affff">
    <w:name w:val="Subtle Emphasis"/>
    <w:basedOn w:val="a2"/>
    <w:uiPriority w:val="19"/>
    <w:qFormat/>
    <w:rsid w:val="002E3EC6"/>
    <w:rPr>
      <w:i/>
      <w:iCs/>
      <w:color w:val="808080"/>
    </w:rPr>
  </w:style>
  <w:style w:type="character" w:styleId="affff0">
    <w:name w:val="Intense Emphasis"/>
    <w:basedOn w:val="a2"/>
    <w:uiPriority w:val="21"/>
    <w:qFormat/>
    <w:rsid w:val="002E3EC6"/>
    <w:rPr>
      <w:b/>
      <w:bCs/>
      <w:i/>
      <w:iCs/>
      <w:color w:val="4F81BD"/>
    </w:rPr>
  </w:style>
  <w:style w:type="paragraph" w:customStyle="1" w:styleId="affff1">
    <w:name w:val="样式 宋体 居中"/>
    <w:basedOn w:val="a1"/>
    <w:rsid w:val="002E3EC6"/>
    <w:pPr>
      <w:jc w:val="center"/>
    </w:pPr>
    <w:rPr>
      <w:rFonts w:cs="宋体"/>
      <w:szCs w:val="20"/>
    </w:rPr>
  </w:style>
  <w:style w:type="character" w:customStyle="1" w:styleId="affff2">
    <w:name w:val="样式 宋体"/>
    <w:basedOn w:val="a2"/>
    <w:rsid w:val="002E3EC6"/>
    <w:rPr>
      <w:rFonts w:ascii="Times New Roman" w:eastAsia="宋体" w:hAnsi="Times New Roman"/>
    </w:rPr>
  </w:style>
  <w:style w:type="paragraph" w:customStyle="1" w:styleId="CharChar8">
    <w:name w:val="Char Char8"/>
    <w:basedOn w:val="a1"/>
    <w:rsid w:val="002E3EC6"/>
    <w:rPr>
      <w:szCs w:val="20"/>
    </w:rPr>
  </w:style>
  <w:style w:type="paragraph" w:customStyle="1" w:styleId="Char100">
    <w:name w:val="Char10"/>
    <w:basedOn w:val="a1"/>
    <w:rsid w:val="002E3EC6"/>
    <w:rPr>
      <w:szCs w:val="20"/>
    </w:rPr>
  </w:style>
  <w:style w:type="paragraph" w:customStyle="1" w:styleId="CharCharChar7">
    <w:name w:val="Char Char Char7"/>
    <w:basedOn w:val="a1"/>
    <w:rsid w:val="002E3EC6"/>
    <w:rPr>
      <w:szCs w:val="20"/>
    </w:rPr>
  </w:style>
  <w:style w:type="paragraph" w:customStyle="1" w:styleId="CharCharCharChar9">
    <w:name w:val="Char Char Char Char9"/>
    <w:basedOn w:val="a1"/>
    <w:rsid w:val="002E3EC6"/>
    <w:pPr>
      <w:tabs>
        <w:tab w:val="left" w:pos="360"/>
      </w:tabs>
    </w:pPr>
    <w:rPr>
      <w:szCs w:val="20"/>
    </w:rPr>
  </w:style>
  <w:style w:type="paragraph" w:customStyle="1" w:styleId="CharChar113">
    <w:name w:val="Char Char113"/>
    <w:basedOn w:val="a1"/>
    <w:rsid w:val="002E3EC6"/>
    <w:rPr>
      <w:szCs w:val="20"/>
    </w:rPr>
  </w:style>
  <w:style w:type="paragraph" w:customStyle="1" w:styleId="Char9">
    <w:name w:val="Char9"/>
    <w:basedOn w:val="a1"/>
    <w:rsid w:val="002E3EC6"/>
    <w:rPr>
      <w:szCs w:val="20"/>
    </w:rPr>
  </w:style>
  <w:style w:type="paragraph" w:customStyle="1" w:styleId="CharCharCharChar8">
    <w:name w:val="Char Char Char Char8"/>
    <w:basedOn w:val="a1"/>
    <w:rsid w:val="002E3EC6"/>
    <w:pPr>
      <w:tabs>
        <w:tab w:val="left" w:pos="360"/>
      </w:tabs>
    </w:pPr>
    <w:rPr>
      <w:szCs w:val="20"/>
    </w:rPr>
  </w:style>
  <w:style w:type="paragraph" w:customStyle="1" w:styleId="CharChar7">
    <w:name w:val="Char Char7"/>
    <w:basedOn w:val="a1"/>
    <w:rsid w:val="002E3EC6"/>
    <w:rPr>
      <w:szCs w:val="20"/>
    </w:rPr>
  </w:style>
  <w:style w:type="paragraph" w:customStyle="1" w:styleId="CharChar112">
    <w:name w:val="Char Char112"/>
    <w:basedOn w:val="a1"/>
    <w:rsid w:val="002E3EC6"/>
    <w:rPr>
      <w:szCs w:val="20"/>
    </w:rPr>
  </w:style>
  <w:style w:type="paragraph" w:customStyle="1" w:styleId="CharCharChar6">
    <w:name w:val="Char Char Char6"/>
    <w:basedOn w:val="a1"/>
    <w:rsid w:val="002E3EC6"/>
    <w:rPr>
      <w:szCs w:val="20"/>
    </w:rPr>
  </w:style>
  <w:style w:type="paragraph" w:customStyle="1" w:styleId="Style6">
    <w:name w:val="_Style 6"/>
    <w:basedOn w:val="a1"/>
    <w:next w:val="a1"/>
    <w:rsid w:val="002E3EC6"/>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2E3EC6"/>
    <w:rPr>
      <w:szCs w:val="20"/>
    </w:rPr>
  </w:style>
  <w:style w:type="paragraph" w:customStyle="1" w:styleId="CharCharChar5">
    <w:name w:val="Char Char Char5"/>
    <w:basedOn w:val="a1"/>
    <w:rsid w:val="002E3EC6"/>
    <w:rPr>
      <w:szCs w:val="20"/>
    </w:rPr>
  </w:style>
  <w:style w:type="paragraph" w:customStyle="1" w:styleId="CharChar111">
    <w:name w:val="Char Char111"/>
    <w:basedOn w:val="a1"/>
    <w:rsid w:val="002E3EC6"/>
    <w:rPr>
      <w:szCs w:val="20"/>
    </w:rPr>
  </w:style>
  <w:style w:type="paragraph" w:customStyle="1" w:styleId="Char8">
    <w:name w:val="Char8"/>
    <w:basedOn w:val="a1"/>
    <w:rsid w:val="002E3EC6"/>
    <w:rPr>
      <w:szCs w:val="20"/>
    </w:rPr>
  </w:style>
  <w:style w:type="paragraph" w:customStyle="1" w:styleId="CharCharChar12">
    <w:name w:val="Char Char Char12"/>
    <w:basedOn w:val="a1"/>
    <w:rsid w:val="002E3EC6"/>
    <w:rPr>
      <w:szCs w:val="20"/>
    </w:rPr>
  </w:style>
  <w:style w:type="paragraph" w:customStyle="1" w:styleId="28">
    <w:name w:val="2"/>
    <w:basedOn w:val="a1"/>
    <w:next w:val="34"/>
    <w:rsid w:val="002E3EC6"/>
    <w:pPr>
      <w:adjustRightInd w:val="0"/>
      <w:snapToGrid w:val="0"/>
      <w:ind w:firstLineChars="200" w:firstLine="480"/>
    </w:pPr>
    <w:rPr>
      <w:rFonts w:ascii="仿宋_GB2312" w:eastAsia="仿宋_GB2312" w:hAnsi="宋体"/>
      <w:color w:val="000000"/>
      <w:sz w:val="24"/>
      <w:szCs w:val="20"/>
    </w:rPr>
  </w:style>
  <w:style w:type="paragraph" w:customStyle="1" w:styleId="18">
    <w:name w:val="修订1"/>
    <w:hidden/>
    <w:semiHidden/>
    <w:rsid w:val="002E3EC6"/>
    <w:rPr>
      <w:rFonts w:ascii="Times New Roman" w:eastAsia="宋体" w:hAnsi="Times New Roman" w:cs="Times New Roman"/>
      <w:szCs w:val="24"/>
    </w:rPr>
  </w:style>
  <w:style w:type="paragraph" w:customStyle="1" w:styleId="TOC1">
    <w:name w:val="TOC 标题1"/>
    <w:basedOn w:val="1"/>
    <w:next w:val="a1"/>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列出段落1"/>
    <w:basedOn w:val="a1"/>
    <w:rsid w:val="002E3EC6"/>
    <w:pPr>
      <w:ind w:firstLineChars="200" w:firstLine="420"/>
    </w:pPr>
  </w:style>
  <w:style w:type="paragraph" w:customStyle="1" w:styleId="CharCharCharChar12">
    <w:name w:val="Char Char Char Char12"/>
    <w:basedOn w:val="a1"/>
    <w:rsid w:val="002E3EC6"/>
    <w:rPr>
      <w:szCs w:val="20"/>
    </w:rPr>
  </w:style>
  <w:style w:type="paragraph" w:customStyle="1" w:styleId="CharCharCharChar11">
    <w:name w:val="Char Char Char Char11"/>
    <w:basedOn w:val="a1"/>
    <w:rsid w:val="002E3EC6"/>
    <w:rPr>
      <w:szCs w:val="20"/>
    </w:rPr>
  </w:style>
  <w:style w:type="character" w:customStyle="1" w:styleId="heigh1801">
    <w:name w:val="heigh1801"/>
    <w:basedOn w:val="a2"/>
    <w:rsid w:val="002E3EC6"/>
    <w:rPr>
      <w:rFonts w:cs="Times New Roman"/>
    </w:rPr>
  </w:style>
  <w:style w:type="paragraph" w:customStyle="1" w:styleId="CM63">
    <w:name w:val="CM63"/>
    <w:basedOn w:val="a1"/>
    <w:next w:val="a1"/>
    <w:rsid w:val="002E3EC6"/>
    <w:pPr>
      <w:autoSpaceDE w:val="0"/>
      <w:autoSpaceDN w:val="0"/>
      <w:adjustRightInd w:val="0"/>
      <w:spacing w:after="150"/>
      <w:jc w:val="left"/>
    </w:pPr>
    <w:rPr>
      <w:rFonts w:ascii="宋体"/>
      <w:kern w:val="0"/>
      <w:sz w:val="24"/>
    </w:rPr>
  </w:style>
  <w:style w:type="paragraph" w:customStyle="1" w:styleId="CM9">
    <w:name w:val="CM9"/>
    <w:basedOn w:val="a1"/>
    <w:next w:val="a1"/>
    <w:rsid w:val="002E3EC6"/>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2E3EC6"/>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2E3EC6"/>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2E3EC6"/>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2E3EC6"/>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2E3EC6"/>
  </w:style>
  <w:style w:type="paragraph" w:styleId="affff3">
    <w:name w:val="Salutation"/>
    <w:basedOn w:val="a1"/>
    <w:next w:val="a1"/>
    <w:link w:val="affff4"/>
    <w:rsid w:val="002E3EC6"/>
  </w:style>
  <w:style w:type="character" w:customStyle="1" w:styleId="affff4">
    <w:name w:val="称呼 字符"/>
    <w:basedOn w:val="a2"/>
    <w:link w:val="affff3"/>
    <w:rsid w:val="002E3EC6"/>
    <w:rPr>
      <w:rFonts w:ascii="Times New Roman" w:eastAsia="宋体" w:hAnsi="Times New Roman" w:cs="Times New Roman"/>
      <w:szCs w:val="24"/>
    </w:rPr>
  </w:style>
  <w:style w:type="character" w:customStyle="1" w:styleId="CharChar19">
    <w:name w:val="Char Char19"/>
    <w:basedOn w:val="a2"/>
    <w:rsid w:val="002E3EC6"/>
    <w:rPr>
      <w:rFonts w:ascii="Times New Roman" w:hAnsi="Times New Roman" w:cs="Times New Roman"/>
      <w:b/>
      <w:kern w:val="44"/>
      <w:sz w:val="28"/>
    </w:rPr>
  </w:style>
  <w:style w:type="character" w:customStyle="1" w:styleId="CharChar18">
    <w:name w:val="Char Char18"/>
    <w:basedOn w:val="a2"/>
    <w:rsid w:val="002E3EC6"/>
    <w:rPr>
      <w:rFonts w:ascii="Arial" w:hAnsi="Arial" w:cs="Times New Roman"/>
      <w:kern w:val="2"/>
      <w:sz w:val="21"/>
    </w:rPr>
  </w:style>
  <w:style w:type="character" w:customStyle="1" w:styleId="CharChar17">
    <w:name w:val="Char Char17"/>
    <w:basedOn w:val="a2"/>
    <w:rsid w:val="002E3EC6"/>
    <w:rPr>
      <w:rFonts w:ascii="Times New Roman" w:hAnsi="Times New Roman" w:cs="Times New Roman"/>
      <w:kern w:val="2"/>
      <w:sz w:val="21"/>
    </w:rPr>
  </w:style>
  <w:style w:type="character" w:customStyle="1" w:styleId="CharChar16">
    <w:name w:val="Char Char16"/>
    <w:basedOn w:val="a2"/>
    <w:rsid w:val="002E3EC6"/>
    <w:rPr>
      <w:rFonts w:ascii="Arial" w:eastAsia="黑体" w:hAnsi="Arial" w:cs="Times New Roman"/>
      <w:b/>
      <w:kern w:val="2"/>
      <w:sz w:val="24"/>
    </w:rPr>
  </w:style>
  <w:style w:type="character" w:customStyle="1" w:styleId="CharChar15">
    <w:name w:val="Char Char15"/>
    <w:basedOn w:val="a2"/>
    <w:rsid w:val="002E3EC6"/>
    <w:rPr>
      <w:rFonts w:ascii="Times New Roman" w:hAnsi="Times New Roman" w:cs="Times New Roman"/>
      <w:b/>
      <w:kern w:val="2"/>
      <w:sz w:val="24"/>
    </w:rPr>
  </w:style>
  <w:style w:type="character" w:customStyle="1" w:styleId="CharChar22">
    <w:name w:val="Char Char22"/>
    <w:basedOn w:val="a2"/>
    <w:rsid w:val="002E3EC6"/>
    <w:rPr>
      <w:rFonts w:ascii="宋体" w:eastAsia="宋体" w:hAnsi="Times New Roman" w:cs="Times New Roman"/>
      <w:b/>
      <w:kern w:val="0"/>
      <w:sz w:val="20"/>
      <w:szCs w:val="20"/>
    </w:rPr>
  </w:style>
  <w:style w:type="character" w:customStyle="1" w:styleId="CharChar21">
    <w:name w:val="Char Char21"/>
    <w:basedOn w:val="a2"/>
    <w:rsid w:val="002E3EC6"/>
    <w:rPr>
      <w:rFonts w:ascii="Arial" w:eastAsia="黑体" w:hAnsi="Arial" w:cs="Times New Roman"/>
      <w:b/>
      <w:kern w:val="0"/>
      <w:sz w:val="20"/>
      <w:szCs w:val="20"/>
    </w:rPr>
  </w:style>
  <w:style w:type="character" w:customStyle="1" w:styleId="CharChar20">
    <w:name w:val="Char Char20"/>
    <w:basedOn w:val="a2"/>
    <w:rsid w:val="002E3EC6"/>
    <w:rPr>
      <w:rFonts w:ascii="宋体" w:eastAsia="宋体" w:hAnsi="Times New Roman" w:cs="Times New Roman"/>
      <w:b/>
      <w:kern w:val="0"/>
      <w:sz w:val="20"/>
      <w:szCs w:val="20"/>
    </w:rPr>
  </w:style>
  <w:style w:type="paragraph" w:customStyle="1" w:styleId="1a">
    <w:name w:val="无间隔1"/>
    <w:link w:val="NoSpacingChar"/>
    <w:rsid w:val="002E3EC6"/>
    <w:rPr>
      <w:rFonts w:ascii="Calibri" w:eastAsia="宋体" w:hAnsi="Calibri" w:cs="Times New Roman"/>
      <w:kern w:val="0"/>
      <w:sz w:val="22"/>
    </w:rPr>
  </w:style>
  <w:style w:type="character" w:customStyle="1" w:styleId="NoSpacingChar">
    <w:name w:val="No Spacing Char"/>
    <w:basedOn w:val="a2"/>
    <w:link w:val="1a"/>
    <w:locked/>
    <w:rsid w:val="002E3EC6"/>
    <w:rPr>
      <w:rFonts w:ascii="Calibri" w:eastAsia="宋体" w:hAnsi="Calibri" w:cs="Times New Roman"/>
      <w:kern w:val="0"/>
      <w:sz w:val="22"/>
    </w:rPr>
  </w:style>
  <w:style w:type="paragraph" w:customStyle="1" w:styleId="XBRLTitle1">
    <w:name w:val="XBRLTitle1"/>
    <w:basedOn w:val="1"/>
    <w:next w:val="21"/>
    <w:qFormat/>
    <w:rsid w:val="002E3EC6"/>
    <w:pPr>
      <w:numPr>
        <w:numId w:val="25"/>
      </w:numPr>
      <w:spacing w:beforeLines="50" w:afterLines="50" w:line="240" w:lineRule="auto"/>
      <w:jc w:val="center"/>
    </w:pPr>
    <w:rPr>
      <w:rFonts w:ascii="Cambria" w:hAnsi="Cambria"/>
      <w:sz w:val="28"/>
    </w:rPr>
  </w:style>
  <w:style w:type="paragraph" w:customStyle="1" w:styleId="XBRLTitle2">
    <w:name w:val="XBRLTitle2"/>
    <w:basedOn w:val="afffa"/>
    <w:next w:val="4"/>
    <w:qFormat/>
    <w:rsid w:val="002E3EC6"/>
    <w:pPr>
      <w:numPr>
        <w:ilvl w:val="1"/>
        <w:numId w:val="25"/>
      </w:numPr>
      <w:spacing w:beforeLines="50" w:afterLines="50" w:line="240" w:lineRule="auto"/>
    </w:pPr>
    <w:rPr>
      <w:bCs/>
    </w:rPr>
  </w:style>
  <w:style w:type="paragraph" w:customStyle="1" w:styleId="XBRLTitle3">
    <w:name w:val="XBRLTitle3"/>
    <w:basedOn w:val="afffa"/>
    <w:next w:val="4"/>
    <w:qFormat/>
    <w:rsid w:val="002E3EC6"/>
    <w:pPr>
      <w:numPr>
        <w:ilvl w:val="2"/>
        <w:numId w:val="25"/>
      </w:numPr>
      <w:spacing w:beforeLines="50" w:afterLines="50" w:line="240" w:lineRule="auto"/>
      <w:outlineLvl w:val="9"/>
    </w:pPr>
    <w:rPr>
      <w:bCs/>
    </w:rPr>
  </w:style>
  <w:style w:type="paragraph" w:customStyle="1" w:styleId="XBRLTitle4">
    <w:name w:val="XBRLTitle4"/>
    <w:basedOn w:val="afffa"/>
    <w:next w:val="4"/>
    <w:qFormat/>
    <w:rsid w:val="002E3EC6"/>
    <w:pPr>
      <w:numPr>
        <w:ilvl w:val="3"/>
        <w:numId w:val="25"/>
      </w:numPr>
      <w:spacing w:beforeLines="50" w:afterLines="50" w:line="240" w:lineRule="auto"/>
      <w:outlineLvl w:val="9"/>
    </w:pPr>
    <w:rPr>
      <w:bCs/>
    </w:rPr>
  </w:style>
  <w:style w:type="paragraph" w:customStyle="1" w:styleId="XBRLTitle5">
    <w:name w:val="XBRLTitle5"/>
    <w:basedOn w:val="afffa"/>
    <w:next w:val="4"/>
    <w:qFormat/>
    <w:rsid w:val="002E3EC6"/>
    <w:pPr>
      <w:numPr>
        <w:ilvl w:val="4"/>
        <w:numId w:val="25"/>
      </w:numPr>
      <w:spacing w:beforeLines="50" w:afterLines="50" w:line="240" w:lineRule="auto"/>
      <w:outlineLvl w:val="9"/>
    </w:pPr>
    <w:rPr>
      <w:bCs/>
    </w:rPr>
  </w:style>
  <w:style w:type="paragraph" w:customStyle="1" w:styleId="XBRLTitle6">
    <w:name w:val="XBRLTitle6"/>
    <w:basedOn w:val="afffa"/>
    <w:next w:val="4"/>
    <w:qFormat/>
    <w:rsid w:val="002E3EC6"/>
    <w:pPr>
      <w:numPr>
        <w:ilvl w:val="5"/>
        <w:numId w:val="25"/>
      </w:numPr>
      <w:spacing w:beforeLines="50" w:afterLines="50" w:line="240" w:lineRule="auto"/>
      <w:outlineLvl w:val="9"/>
    </w:pPr>
    <w:rPr>
      <w:bCs/>
    </w:rPr>
  </w:style>
  <w:style w:type="paragraph" w:customStyle="1" w:styleId="1b">
    <w:name w:val="纯文本1"/>
    <w:basedOn w:val="a1"/>
    <w:rsid w:val="002E3EC6"/>
    <w:rPr>
      <w:rFonts w:ascii="宋体" w:hAnsi="Courier New"/>
      <w:szCs w:val="20"/>
    </w:rPr>
  </w:style>
  <w:style w:type="paragraph" w:customStyle="1" w:styleId="CharCharCharChar7">
    <w:name w:val="Char Char Char Char7"/>
    <w:basedOn w:val="a1"/>
    <w:rsid w:val="002E3EC6"/>
    <w:pPr>
      <w:tabs>
        <w:tab w:val="left" w:pos="360"/>
      </w:tabs>
    </w:pPr>
    <w:rPr>
      <w:szCs w:val="20"/>
    </w:rPr>
  </w:style>
  <w:style w:type="paragraph" w:customStyle="1" w:styleId="CharChar110">
    <w:name w:val="Char Char110"/>
    <w:basedOn w:val="a1"/>
    <w:rsid w:val="002E3EC6"/>
    <w:rPr>
      <w:szCs w:val="20"/>
    </w:rPr>
  </w:style>
  <w:style w:type="paragraph" w:customStyle="1" w:styleId="Char7">
    <w:name w:val="Char7"/>
    <w:basedOn w:val="a1"/>
    <w:rsid w:val="002E3EC6"/>
    <w:rPr>
      <w:szCs w:val="20"/>
    </w:rPr>
  </w:style>
  <w:style w:type="paragraph" w:customStyle="1" w:styleId="CharChar5">
    <w:name w:val="Char Char5"/>
    <w:basedOn w:val="a1"/>
    <w:rsid w:val="002E3EC6"/>
    <w:rPr>
      <w:szCs w:val="20"/>
    </w:rPr>
  </w:style>
  <w:style w:type="paragraph" w:customStyle="1" w:styleId="CharCharChar4">
    <w:name w:val="Char Char Char4"/>
    <w:basedOn w:val="a1"/>
    <w:rsid w:val="002E3EC6"/>
    <w:rPr>
      <w:szCs w:val="20"/>
    </w:rPr>
  </w:style>
  <w:style w:type="paragraph" w:customStyle="1" w:styleId="CharCharCharChar6">
    <w:name w:val="Char Char Char Char6"/>
    <w:basedOn w:val="a1"/>
    <w:autoRedefine/>
    <w:rsid w:val="002E3EC6"/>
    <w:pPr>
      <w:tabs>
        <w:tab w:val="num" w:pos="360"/>
      </w:tabs>
    </w:pPr>
    <w:rPr>
      <w:sz w:val="24"/>
    </w:rPr>
  </w:style>
  <w:style w:type="paragraph" w:customStyle="1" w:styleId="CharCharCharChar13">
    <w:name w:val="Char Char Char Char13"/>
    <w:basedOn w:val="a1"/>
    <w:rsid w:val="002E3EC6"/>
    <w:rPr>
      <w:szCs w:val="20"/>
    </w:rPr>
  </w:style>
  <w:style w:type="character" w:customStyle="1" w:styleId="ask-title2">
    <w:name w:val="ask-title2"/>
    <w:basedOn w:val="a2"/>
    <w:rsid w:val="002E3EC6"/>
  </w:style>
  <w:style w:type="paragraph" w:customStyle="1" w:styleId="Web">
    <w:name w:val="普通 (Web)"/>
    <w:basedOn w:val="a1"/>
    <w:rsid w:val="002E3EC6"/>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rsid w:val="002E3EC6"/>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3EC6"/>
  </w:style>
  <w:style w:type="paragraph" w:customStyle="1" w:styleId="CharCharChar11">
    <w:name w:val="Char Char Char11"/>
    <w:basedOn w:val="a1"/>
    <w:rsid w:val="002E3EC6"/>
  </w:style>
  <w:style w:type="paragraph" w:customStyle="1" w:styleId="CharCharCharCharChar1Char1">
    <w:name w:val="Char Char Char Char Char1 Char1"/>
    <w:basedOn w:val="a1"/>
    <w:rsid w:val="002E3EC6"/>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3EC6"/>
  </w:style>
  <w:style w:type="paragraph" w:customStyle="1" w:styleId="29">
    <w:name w:val="列出段落2"/>
    <w:basedOn w:val="a1"/>
    <w:rsid w:val="002E3EC6"/>
    <w:pPr>
      <w:ind w:firstLineChars="200" w:firstLine="420"/>
    </w:pPr>
    <w:rPr>
      <w:rFonts w:ascii="Calibri" w:hAnsi="Calibri"/>
      <w:szCs w:val="22"/>
    </w:rPr>
  </w:style>
  <w:style w:type="character" w:customStyle="1" w:styleId="CharChar6">
    <w:name w:val="Char Char6"/>
    <w:basedOn w:val="a2"/>
    <w:rsid w:val="002E3EC6"/>
    <w:rPr>
      <w:rFonts w:ascii="Times New Roman" w:eastAsia="宋体" w:hAnsi="Times New Roman" w:cs="Times New Roman"/>
      <w:szCs w:val="24"/>
    </w:rPr>
  </w:style>
  <w:style w:type="paragraph" w:customStyle="1" w:styleId="CharCharChar9">
    <w:name w:val="Char Char Char9"/>
    <w:basedOn w:val="a1"/>
    <w:rsid w:val="00143516"/>
    <w:rPr>
      <w:szCs w:val="20"/>
    </w:rPr>
  </w:style>
  <w:style w:type="paragraph" w:customStyle="1" w:styleId="-">
    <w:name w:val="模板-正文"/>
    <w:basedOn w:val="a7"/>
    <w:link w:val="-Char"/>
    <w:qFormat/>
    <w:rsid w:val="00093B39"/>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zh-CN"/>
    </w:rPr>
  </w:style>
  <w:style w:type="character" w:customStyle="1" w:styleId="-Char">
    <w:name w:val="模板-正文 Char"/>
    <w:link w:val="-"/>
    <w:rsid w:val="00093B39"/>
    <w:rPr>
      <w:rFonts w:ascii="宋体" w:eastAsia="宋体" w:hAnsi="宋体" w:cs="Times New Roman"/>
      <w:color w:val="222222"/>
      <w:kern w:val="0"/>
      <w:szCs w:val="21"/>
      <w:shd w:val="clear" w:color="auto" w:fill="FFFFFF"/>
      <w:lang w:val="zh-CN"/>
    </w:rPr>
  </w:style>
  <w:style w:type="character" w:customStyle="1" w:styleId="TitleChar">
    <w:name w:val="Title Char"/>
    <w:basedOn w:val="a2"/>
    <w:uiPriority w:val="10"/>
    <w:rsid w:val="00E45371"/>
    <w:rPr>
      <w:sz w:val="48"/>
      <w:szCs w:val="48"/>
    </w:rPr>
  </w:style>
  <w:style w:type="paragraph" w:styleId="affff5">
    <w:name w:val="Quote"/>
    <w:basedOn w:val="a1"/>
    <w:next w:val="a1"/>
    <w:link w:val="affff6"/>
    <w:uiPriority w:val="29"/>
    <w:qFormat/>
    <w:rsid w:val="00E45371"/>
    <w:pPr>
      <w:pBdr>
        <w:top w:val="none" w:sz="4" w:space="0" w:color="000000"/>
        <w:left w:val="none" w:sz="4" w:space="0" w:color="000000"/>
        <w:bottom w:val="none" w:sz="4" w:space="0" w:color="000000"/>
        <w:right w:val="none" w:sz="4" w:space="0" w:color="000000"/>
        <w:between w:val="none" w:sz="4" w:space="0" w:color="000000"/>
      </w:pBdr>
      <w:ind w:left="720" w:right="720"/>
    </w:pPr>
    <w:rPr>
      <w:i/>
      <w:kern w:val="0"/>
      <w:szCs w:val="22"/>
    </w:rPr>
  </w:style>
  <w:style w:type="character" w:customStyle="1" w:styleId="affff6">
    <w:name w:val="引用 字符"/>
    <w:basedOn w:val="a2"/>
    <w:link w:val="affff5"/>
    <w:uiPriority w:val="29"/>
    <w:rsid w:val="00E45371"/>
    <w:rPr>
      <w:rFonts w:ascii="Times New Roman" w:eastAsia="宋体" w:hAnsi="Times New Roman" w:cs="Times New Roman"/>
      <w:i/>
      <w:kern w:val="0"/>
    </w:rPr>
  </w:style>
  <w:style w:type="paragraph" w:styleId="affff7">
    <w:name w:val="Intense Quote"/>
    <w:basedOn w:val="a1"/>
    <w:next w:val="a1"/>
    <w:link w:val="affff8"/>
    <w:uiPriority w:val="30"/>
    <w:qFormat/>
    <w:rsid w:val="00E45371"/>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kern w:val="0"/>
      <w:szCs w:val="22"/>
    </w:rPr>
  </w:style>
  <w:style w:type="character" w:customStyle="1" w:styleId="affff8">
    <w:name w:val="明显引用 字符"/>
    <w:basedOn w:val="a2"/>
    <w:link w:val="affff7"/>
    <w:uiPriority w:val="30"/>
    <w:rsid w:val="00E45371"/>
    <w:rPr>
      <w:rFonts w:ascii="Times New Roman" w:eastAsia="宋体" w:hAnsi="Times New Roman" w:cs="Times New Roman"/>
      <w:i/>
      <w:kern w:val="0"/>
      <w:shd w:val="clear" w:color="auto" w:fill="F2F2F2"/>
    </w:rPr>
  </w:style>
  <w:style w:type="character" w:customStyle="1" w:styleId="HeaderChar">
    <w:name w:val="Header Char"/>
    <w:basedOn w:val="a2"/>
    <w:uiPriority w:val="99"/>
    <w:rsid w:val="00E45371"/>
  </w:style>
  <w:style w:type="table" w:customStyle="1" w:styleId="TableGridLight">
    <w:name w:val="Table Grid Light"/>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c">
    <w:name w:val="Plain Table 1"/>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a">
    <w:name w:val="Plain Table 2"/>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7">
    <w:name w:val="Plain Table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Plain Table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Plain Table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d">
    <w:name w:val="Grid Table 1 Light"/>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b">
    <w:name w:val="Grid Table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8">
    <w:name w:val="Grid Table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Grid Table 4"/>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3"/>
    <w:uiPriority w:val="5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Grid Table 5 Dark"/>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Grid Table 6 Colorful"/>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Grid Table 7 Colorful"/>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e">
    <w:name w:val="List Table 1 Light"/>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c">
    <w:name w:val="List Table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9">
    <w:name w:val="List Table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4">
    <w:name w:val="List Table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4">
    <w:name w:val="List Table 5 Dark"/>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3">
    <w:name w:val="List Table 6 Colorful"/>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3">
    <w:name w:val="List Table 7 Colorful"/>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color w:val="404040"/>
      <w:kern w:val="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3"/>
    <w:uiPriority w:val="99"/>
    <w:rsid w:val="00E45371"/>
    <w:pPr>
      <w:pBdr>
        <w:top w:val="none" w:sz="4" w:space="0" w:color="000000"/>
        <w:left w:val="none" w:sz="4" w:space="0" w:color="000000"/>
        <w:bottom w:val="none" w:sz="4" w:space="0" w:color="000000"/>
        <w:right w:val="none" w:sz="4" w:space="0" w:color="000000"/>
        <w:between w:val="none" w:sz="4" w:space="0" w:color="000000"/>
      </w:pBdr>
    </w:pPr>
    <w:rPr>
      <w:rFonts w:ascii="Times New Roman" w:eastAsia="宋体" w:hAnsi="Times New Roman" w:cs="Times New Roman"/>
      <w:kern w:val="0"/>
      <w:sz w:val="20"/>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78952">
      <w:bodyDiv w:val="1"/>
      <w:marLeft w:val="0"/>
      <w:marRight w:val="0"/>
      <w:marTop w:val="0"/>
      <w:marBottom w:val="0"/>
      <w:divBdr>
        <w:top w:val="none" w:sz="0" w:space="0" w:color="auto"/>
        <w:left w:val="none" w:sz="0" w:space="0" w:color="auto"/>
        <w:bottom w:val="none" w:sz="0" w:space="0" w:color="auto"/>
        <w:right w:val="none" w:sz="0" w:space="0" w:color="auto"/>
      </w:divBdr>
    </w:div>
    <w:div w:id="1959335076">
      <w:bodyDiv w:val="1"/>
      <w:marLeft w:val="0"/>
      <w:marRight w:val="0"/>
      <w:marTop w:val="0"/>
      <w:marBottom w:val="0"/>
      <w:divBdr>
        <w:top w:val="none" w:sz="0" w:space="0" w:color="auto"/>
        <w:left w:val="none" w:sz="0" w:space="0" w:color="auto"/>
        <w:bottom w:val="none" w:sz="0" w:space="0" w:color="auto"/>
        <w:right w:val="none" w:sz="0" w:space="0" w:color="auto"/>
      </w:divBdr>
    </w:div>
    <w:div w:id="20832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5CFE-CD58-4E96-BD73-8FA209A2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115</Pages>
  <Words>13970</Words>
  <Characters>79635</Characters>
  <Application>Microsoft Office Word</Application>
  <DocSecurity>0</DocSecurity>
  <Lines>663</Lines>
  <Paragraphs>186</Paragraphs>
  <ScaleCrop>false</ScaleCrop>
  <Company/>
  <LinksUpToDate>false</LinksUpToDate>
  <CharactersWithSpaces>93419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陈艳群</dc:creator>
  <cp:keywords/>
  <dc:description/>
  <cp:lastModifiedBy>cmp0305</cp:lastModifiedBy>
  <cp:revision>52</cp:revision>
  <cp:lastPrinted>2021-04-09T05:29:00Z</cp:lastPrinted>
  <dcterms:created xsi:type="dcterms:W3CDTF">2020-12-10T09:30:00Z</dcterms:created>
  <dcterms:modified xsi:type="dcterms:W3CDTF">2021-06-24T01:21:00Z</dcterms:modified>
</cp:coreProperties>
</file>