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1FE1" w:rsidRDefault="006E1FE1">
      <w:pPr>
        <w:tabs>
          <w:tab w:val="left" w:pos="6660"/>
        </w:tabs>
        <w:adjustRightInd w:val="0"/>
        <w:snapToGrid w:val="0"/>
        <w:spacing w:line="360" w:lineRule="auto"/>
        <w:jc w:val="center"/>
        <w:rPr>
          <w:bCs/>
          <w:szCs w:val="21"/>
        </w:rPr>
      </w:pPr>
    </w:p>
    <w:p w:rsidR="006E1FE1" w:rsidRDefault="006E1FE1">
      <w:pPr>
        <w:adjustRightInd w:val="0"/>
        <w:snapToGrid w:val="0"/>
        <w:spacing w:line="360" w:lineRule="auto"/>
        <w:jc w:val="left"/>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rPr>
          <w:b/>
          <w:szCs w:val="21"/>
        </w:rPr>
      </w:pPr>
      <w:bookmarkStart w:id="0" w:name="_GoBack"/>
      <w:bookmarkEnd w:id="0"/>
    </w:p>
    <w:p w:rsidR="006E1FE1" w:rsidRDefault="006E1FE1">
      <w:pPr>
        <w:adjustRightInd w:val="0"/>
        <w:snapToGrid w:val="0"/>
        <w:spacing w:line="360" w:lineRule="auto"/>
        <w:jc w:val="center"/>
        <w:rPr>
          <w:b/>
          <w:szCs w:val="21"/>
        </w:rPr>
      </w:pPr>
    </w:p>
    <w:p w:rsidR="006E1FE1" w:rsidRDefault="00F51CE7">
      <w:pPr>
        <w:adjustRightInd w:val="0"/>
        <w:snapToGrid w:val="0"/>
        <w:spacing w:line="360" w:lineRule="auto"/>
        <w:jc w:val="center"/>
        <w:rPr>
          <w:b/>
          <w:sz w:val="48"/>
          <w:szCs w:val="48"/>
        </w:rPr>
      </w:pPr>
      <w:bookmarkStart w:id="1" w:name="_Toc123112223"/>
      <w:bookmarkStart w:id="2" w:name="_Toc123112262"/>
      <w:bookmarkStart w:id="3" w:name="_Toc123701382"/>
      <w:bookmarkStart w:id="4" w:name="_Toc139991725"/>
      <w:bookmarkStart w:id="5" w:name="_Toc139992300"/>
      <w:r>
        <w:rPr>
          <w:rFonts w:hint="eastAsia"/>
          <w:b/>
          <w:sz w:val="48"/>
          <w:szCs w:val="48"/>
        </w:rPr>
        <w:t>南方创业板</w:t>
      </w:r>
      <w:r>
        <w:rPr>
          <w:rFonts w:hint="eastAsia"/>
          <w:b/>
          <w:sz w:val="48"/>
          <w:szCs w:val="48"/>
        </w:rPr>
        <w:t>2</w:t>
      </w:r>
      <w:r>
        <w:rPr>
          <w:rFonts w:hint="eastAsia"/>
          <w:b/>
          <w:sz w:val="48"/>
          <w:szCs w:val="48"/>
        </w:rPr>
        <w:t>年定期开放混合型证券</w:t>
      </w:r>
    </w:p>
    <w:p w:rsidR="006E1FE1" w:rsidRDefault="00F51CE7">
      <w:pPr>
        <w:adjustRightInd w:val="0"/>
        <w:snapToGrid w:val="0"/>
        <w:spacing w:line="360" w:lineRule="auto"/>
        <w:jc w:val="center"/>
        <w:rPr>
          <w:b/>
          <w:sz w:val="48"/>
          <w:szCs w:val="48"/>
        </w:rPr>
      </w:pPr>
      <w:r>
        <w:rPr>
          <w:rFonts w:hint="eastAsia"/>
          <w:b/>
          <w:sz w:val="48"/>
          <w:szCs w:val="48"/>
        </w:rPr>
        <w:t>投资基金</w:t>
      </w:r>
      <w:r>
        <w:rPr>
          <w:b/>
          <w:sz w:val="48"/>
          <w:szCs w:val="48"/>
        </w:rPr>
        <w:t>基金合同</w:t>
      </w:r>
      <w:bookmarkEnd w:id="1"/>
      <w:bookmarkEnd w:id="2"/>
      <w:bookmarkEnd w:id="3"/>
      <w:bookmarkEnd w:id="4"/>
      <w:bookmarkEnd w:id="5"/>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jc w:val="center"/>
        <w:rPr>
          <w:b/>
          <w:szCs w:val="21"/>
        </w:rPr>
      </w:pPr>
    </w:p>
    <w:p w:rsidR="006E1FE1" w:rsidRDefault="006E1FE1">
      <w:pPr>
        <w:adjustRightInd w:val="0"/>
        <w:snapToGrid w:val="0"/>
        <w:spacing w:line="360" w:lineRule="auto"/>
        <w:rPr>
          <w:b/>
          <w:szCs w:val="21"/>
        </w:rPr>
      </w:pPr>
    </w:p>
    <w:p w:rsidR="006E1FE1" w:rsidRDefault="00F51CE7">
      <w:pPr>
        <w:adjustRightInd w:val="0"/>
        <w:snapToGrid w:val="0"/>
        <w:spacing w:line="360" w:lineRule="auto"/>
        <w:jc w:val="center"/>
        <w:rPr>
          <w:b/>
          <w:sz w:val="32"/>
          <w:szCs w:val="30"/>
        </w:rPr>
      </w:pPr>
      <w:bookmarkStart w:id="6" w:name="_Toc123701383"/>
      <w:bookmarkStart w:id="7" w:name="_Toc139992301"/>
      <w:bookmarkStart w:id="8" w:name="_Toc139991726"/>
      <w:bookmarkStart w:id="9" w:name="_Toc123112263"/>
      <w:bookmarkStart w:id="10" w:name="_Toc123112224"/>
      <w:r>
        <w:rPr>
          <w:b/>
          <w:sz w:val="32"/>
          <w:szCs w:val="30"/>
        </w:rPr>
        <w:t>基金管理人：</w:t>
      </w:r>
      <w:bookmarkEnd w:id="6"/>
      <w:bookmarkEnd w:id="7"/>
      <w:bookmarkEnd w:id="8"/>
      <w:bookmarkEnd w:id="9"/>
      <w:bookmarkEnd w:id="10"/>
      <w:r>
        <w:rPr>
          <w:rFonts w:hint="eastAsia"/>
          <w:b/>
          <w:sz w:val="32"/>
          <w:szCs w:val="30"/>
        </w:rPr>
        <w:t>南方基金管理股份有限公司</w:t>
      </w:r>
    </w:p>
    <w:p w:rsidR="006E1FE1" w:rsidRDefault="00F51CE7">
      <w:pPr>
        <w:adjustRightInd w:val="0"/>
        <w:snapToGrid w:val="0"/>
        <w:spacing w:line="360" w:lineRule="auto"/>
        <w:jc w:val="center"/>
        <w:rPr>
          <w:b/>
          <w:sz w:val="32"/>
          <w:szCs w:val="30"/>
        </w:rPr>
      </w:pPr>
      <w:bookmarkStart w:id="11" w:name="_Toc123112264"/>
      <w:bookmarkStart w:id="12" w:name="_Toc139991727"/>
      <w:bookmarkStart w:id="13" w:name="_Toc123112225"/>
      <w:bookmarkStart w:id="14" w:name="_Toc123701384"/>
      <w:bookmarkStart w:id="15" w:name="_Toc139992302"/>
      <w:r>
        <w:rPr>
          <w:b/>
          <w:sz w:val="32"/>
          <w:szCs w:val="30"/>
        </w:rPr>
        <w:t>基金托管人：</w:t>
      </w:r>
      <w:bookmarkEnd w:id="11"/>
      <w:bookmarkEnd w:id="12"/>
      <w:bookmarkEnd w:id="13"/>
      <w:bookmarkEnd w:id="14"/>
      <w:bookmarkEnd w:id="15"/>
      <w:r>
        <w:rPr>
          <w:rFonts w:hint="eastAsia"/>
          <w:b/>
          <w:sz w:val="32"/>
          <w:szCs w:val="30"/>
        </w:rPr>
        <w:t>中国农业银行股份有限公司</w:t>
      </w:r>
    </w:p>
    <w:p w:rsidR="006E1FE1" w:rsidRDefault="006E1FE1">
      <w:pPr>
        <w:adjustRightInd w:val="0"/>
        <w:snapToGrid w:val="0"/>
        <w:spacing w:line="360" w:lineRule="auto"/>
        <w:jc w:val="center"/>
        <w:rPr>
          <w:bCs/>
          <w:szCs w:val="21"/>
        </w:rPr>
      </w:pPr>
    </w:p>
    <w:p w:rsidR="006E1FE1" w:rsidRDefault="006E1FE1">
      <w:pPr>
        <w:adjustRightInd w:val="0"/>
        <w:snapToGrid w:val="0"/>
        <w:spacing w:line="360" w:lineRule="auto"/>
        <w:jc w:val="center"/>
        <w:rPr>
          <w:bCs/>
          <w:szCs w:val="21"/>
        </w:rPr>
      </w:pPr>
      <w:bookmarkStart w:id="16" w:name="_Toc123112266"/>
      <w:bookmarkStart w:id="17" w:name="_Toc139991729"/>
      <w:bookmarkStart w:id="18" w:name="_Toc123701386"/>
      <w:bookmarkStart w:id="19" w:name="_Toc123112227"/>
    </w:p>
    <w:p w:rsidR="006E1FE1" w:rsidRDefault="006E1FE1">
      <w:pPr>
        <w:adjustRightInd w:val="0"/>
        <w:snapToGrid w:val="0"/>
        <w:spacing w:line="360" w:lineRule="auto"/>
        <w:jc w:val="center"/>
        <w:rPr>
          <w:bCs/>
          <w:szCs w:val="21"/>
        </w:rPr>
        <w:sectPr w:rsidR="006E1FE1">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rsidR="006E1FE1" w:rsidRDefault="006E1FE1">
      <w:pPr>
        <w:adjustRightInd w:val="0"/>
        <w:snapToGrid w:val="0"/>
        <w:spacing w:line="360" w:lineRule="auto"/>
        <w:jc w:val="center"/>
        <w:rPr>
          <w:b/>
          <w:bCs/>
          <w:szCs w:val="21"/>
        </w:rPr>
      </w:pPr>
    </w:p>
    <w:p w:rsidR="006E1FE1" w:rsidRDefault="00F51CE7">
      <w:pPr>
        <w:adjustRightInd w:val="0"/>
        <w:snapToGrid w:val="0"/>
        <w:spacing w:line="360" w:lineRule="auto"/>
        <w:jc w:val="center"/>
        <w:rPr>
          <w:b/>
          <w:bCs/>
          <w:szCs w:val="21"/>
        </w:rPr>
      </w:pPr>
      <w:r>
        <w:rPr>
          <w:b/>
          <w:bCs/>
          <w:szCs w:val="21"/>
        </w:rPr>
        <w:t>目录</w:t>
      </w:r>
      <w:bookmarkEnd w:id="16"/>
      <w:bookmarkEnd w:id="17"/>
      <w:bookmarkEnd w:id="18"/>
      <w:bookmarkEnd w:id="19"/>
    </w:p>
    <w:p w:rsidR="006E1FE1" w:rsidRDefault="006E1FE1">
      <w:pPr>
        <w:adjustRightInd w:val="0"/>
        <w:snapToGrid w:val="0"/>
        <w:spacing w:line="360" w:lineRule="auto"/>
        <w:jc w:val="center"/>
        <w:rPr>
          <w:bCs/>
          <w:szCs w:val="21"/>
        </w:rPr>
      </w:pPr>
    </w:p>
    <w:p w:rsidR="006E1FE1" w:rsidRDefault="00F51CE7">
      <w:pPr>
        <w:pStyle w:val="10"/>
        <w:rPr>
          <w:rFonts w:asciiTheme="minorHAnsi" w:eastAsiaTheme="minorEastAsia" w:hAnsiTheme="minorHAnsi" w:cstheme="minorBidi"/>
          <w:szCs w:val="22"/>
        </w:rPr>
      </w:pPr>
      <w:r>
        <w:rPr>
          <w:bCs/>
          <w:szCs w:val="21"/>
        </w:rPr>
        <w:fldChar w:fldCharType="begin"/>
      </w:r>
      <w:r>
        <w:rPr>
          <w:bCs/>
          <w:szCs w:val="21"/>
        </w:rPr>
        <w:instrText xml:space="preserve"> TOC \o "1-1" \h \z \u </w:instrText>
      </w:r>
      <w:r>
        <w:rPr>
          <w:bCs/>
          <w:szCs w:val="21"/>
        </w:rPr>
        <w:fldChar w:fldCharType="separate"/>
      </w:r>
      <w:hyperlink w:anchor="_Toc516479978" w:history="1">
        <w:r>
          <w:rPr>
            <w:rStyle w:val="af5"/>
            <w:rFonts w:hint="eastAsia"/>
          </w:rPr>
          <w:t>第一部分</w:t>
        </w:r>
        <w:r>
          <w:rPr>
            <w:rStyle w:val="af5"/>
          </w:rPr>
          <w:t xml:space="preserve">  </w:t>
        </w:r>
        <w:r>
          <w:rPr>
            <w:rStyle w:val="af5"/>
            <w:rFonts w:hint="eastAsia"/>
          </w:rPr>
          <w:t>前言</w:t>
        </w:r>
        <w:r>
          <w:tab/>
        </w:r>
        <w:r>
          <w:fldChar w:fldCharType="begin"/>
        </w:r>
        <w:r>
          <w:instrText xml:space="preserve"> PAGEREF _Toc516479978 \h </w:instrText>
        </w:r>
        <w:r>
          <w:fldChar w:fldCharType="separate"/>
        </w:r>
        <w:r w:rsidR="000259F0">
          <w:rPr>
            <w:noProof/>
          </w:rPr>
          <w:t>2</w:t>
        </w:r>
        <w:r>
          <w:fldChar w:fldCharType="end"/>
        </w:r>
      </w:hyperlink>
    </w:p>
    <w:p w:rsidR="006E1FE1" w:rsidRDefault="00235FD8">
      <w:pPr>
        <w:pStyle w:val="10"/>
        <w:rPr>
          <w:rFonts w:asciiTheme="minorHAnsi" w:eastAsiaTheme="minorEastAsia" w:hAnsiTheme="minorHAnsi" w:cstheme="minorBidi"/>
          <w:szCs w:val="22"/>
        </w:rPr>
      </w:pPr>
      <w:hyperlink w:anchor="_Toc516479979" w:history="1">
        <w:r w:rsidR="00F51CE7">
          <w:rPr>
            <w:rStyle w:val="af5"/>
            <w:rFonts w:hint="eastAsia"/>
          </w:rPr>
          <w:t>第二部分</w:t>
        </w:r>
        <w:r w:rsidR="00F51CE7">
          <w:rPr>
            <w:rStyle w:val="af5"/>
          </w:rPr>
          <w:t xml:space="preserve">  </w:t>
        </w:r>
        <w:r w:rsidR="00F51CE7">
          <w:rPr>
            <w:rStyle w:val="af5"/>
            <w:rFonts w:hint="eastAsia"/>
          </w:rPr>
          <w:t>释义</w:t>
        </w:r>
        <w:r w:rsidR="00F51CE7">
          <w:tab/>
        </w:r>
        <w:r w:rsidR="00F51CE7">
          <w:fldChar w:fldCharType="begin"/>
        </w:r>
        <w:r w:rsidR="00F51CE7">
          <w:instrText xml:space="preserve"> PAGEREF _Toc516479979 \h </w:instrText>
        </w:r>
        <w:r w:rsidR="00F51CE7">
          <w:fldChar w:fldCharType="separate"/>
        </w:r>
        <w:r w:rsidR="000259F0">
          <w:rPr>
            <w:noProof/>
          </w:rPr>
          <w:t>4</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0" w:history="1">
        <w:r w:rsidR="00F51CE7">
          <w:rPr>
            <w:rStyle w:val="af5"/>
            <w:rFonts w:hint="eastAsia"/>
          </w:rPr>
          <w:t>第三部分</w:t>
        </w:r>
        <w:r w:rsidR="00F51CE7">
          <w:rPr>
            <w:rStyle w:val="af5"/>
          </w:rPr>
          <w:t xml:space="preserve">  </w:t>
        </w:r>
        <w:r w:rsidR="00F51CE7">
          <w:rPr>
            <w:rStyle w:val="af5"/>
            <w:rFonts w:hint="eastAsia"/>
          </w:rPr>
          <w:t>基金的基本情况</w:t>
        </w:r>
        <w:r w:rsidR="00F51CE7">
          <w:tab/>
        </w:r>
        <w:r w:rsidR="00F51CE7">
          <w:fldChar w:fldCharType="begin"/>
        </w:r>
        <w:r w:rsidR="00F51CE7">
          <w:instrText xml:space="preserve"> PAGEREF _Toc516479980 \h </w:instrText>
        </w:r>
        <w:r w:rsidR="00F51CE7">
          <w:fldChar w:fldCharType="separate"/>
        </w:r>
        <w:r w:rsidR="000259F0">
          <w:rPr>
            <w:noProof/>
          </w:rPr>
          <w:t>9</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1" w:history="1">
        <w:r w:rsidR="00F51CE7">
          <w:rPr>
            <w:rStyle w:val="af5"/>
            <w:rFonts w:hint="eastAsia"/>
          </w:rPr>
          <w:t>第四部分</w:t>
        </w:r>
        <w:r w:rsidR="00F51CE7">
          <w:rPr>
            <w:rStyle w:val="af5"/>
          </w:rPr>
          <w:t xml:space="preserve">  </w:t>
        </w:r>
        <w:r w:rsidR="00F51CE7">
          <w:rPr>
            <w:rStyle w:val="af5"/>
            <w:rFonts w:hint="eastAsia"/>
          </w:rPr>
          <w:t>基金份额的发售</w:t>
        </w:r>
        <w:r w:rsidR="00F51CE7">
          <w:tab/>
        </w:r>
        <w:r w:rsidR="00F51CE7">
          <w:fldChar w:fldCharType="begin"/>
        </w:r>
        <w:r w:rsidR="00F51CE7">
          <w:instrText xml:space="preserve"> PAGEREF _Toc516479981 \h </w:instrText>
        </w:r>
        <w:r w:rsidR="00F51CE7">
          <w:fldChar w:fldCharType="separate"/>
        </w:r>
        <w:r w:rsidR="000259F0">
          <w:rPr>
            <w:noProof/>
          </w:rPr>
          <w:t>11</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2" w:history="1">
        <w:r w:rsidR="00F51CE7">
          <w:rPr>
            <w:rStyle w:val="af5"/>
            <w:rFonts w:hint="eastAsia"/>
          </w:rPr>
          <w:t>第五部分</w:t>
        </w:r>
        <w:r w:rsidR="00F51CE7">
          <w:rPr>
            <w:rStyle w:val="af5"/>
          </w:rPr>
          <w:t xml:space="preserve">  </w:t>
        </w:r>
        <w:r w:rsidR="00F51CE7">
          <w:rPr>
            <w:rStyle w:val="af5"/>
            <w:rFonts w:hint="eastAsia"/>
          </w:rPr>
          <w:t>基金备案</w:t>
        </w:r>
        <w:r w:rsidR="00F51CE7">
          <w:tab/>
        </w:r>
        <w:r w:rsidR="00F51CE7">
          <w:fldChar w:fldCharType="begin"/>
        </w:r>
        <w:r w:rsidR="00F51CE7">
          <w:instrText xml:space="preserve"> PAGEREF _Toc516479982 \h </w:instrText>
        </w:r>
        <w:r w:rsidR="00F51CE7">
          <w:fldChar w:fldCharType="separate"/>
        </w:r>
        <w:r w:rsidR="000259F0">
          <w:rPr>
            <w:noProof/>
          </w:rPr>
          <w:t>13</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3" w:history="1">
        <w:r w:rsidR="00F51CE7">
          <w:rPr>
            <w:rStyle w:val="af5"/>
            <w:rFonts w:hint="eastAsia"/>
          </w:rPr>
          <w:t>第六部分</w:t>
        </w:r>
        <w:r w:rsidR="00F51CE7">
          <w:rPr>
            <w:rStyle w:val="af5"/>
          </w:rPr>
          <w:t xml:space="preserve">  </w:t>
        </w:r>
        <w:r w:rsidR="00F51CE7">
          <w:rPr>
            <w:rStyle w:val="af5"/>
            <w:rFonts w:hint="eastAsia"/>
          </w:rPr>
          <w:t>基金份额的上市与交易</w:t>
        </w:r>
        <w:r w:rsidR="00F51CE7">
          <w:tab/>
        </w:r>
        <w:r w:rsidR="00F51CE7">
          <w:fldChar w:fldCharType="begin"/>
        </w:r>
        <w:r w:rsidR="00F51CE7">
          <w:instrText xml:space="preserve"> PAGEREF _Toc516479983 \h </w:instrText>
        </w:r>
        <w:r w:rsidR="00F51CE7">
          <w:fldChar w:fldCharType="separate"/>
        </w:r>
        <w:r w:rsidR="000259F0">
          <w:rPr>
            <w:noProof/>
          </w:rPr>
          <w:t>14</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4" w:history="1">
        <w:r w:rsidR="00F51CE7">
          <w:rPr>
            <w:rStyle w:val="af5"/>
            <w:rFonts w:hint="eastAsia"/>
          </w:rPr>
          <w:t>第七部分</w:t>
        </w:r>
        <w:r w:rsidR="00F51CE7">
          <w:rPr>
            <w:rStyle w:val="af5"/>
          </w:rPr>
          <w:t xml:space="preserve">  </w:t>
        </w:r>
        <w:r w:rsidR="00F51CE7">
          <w:rPr>
            <w:rStyle w:val="af5"/>
            <w:rFonts w:hint="eastAsia"/>
          </w:rPr>
          <w:t>基金份额的申购与赎回</w:t>
        </w:r>
        <w:r w:rsidR="00F51CE7">
          <w:tab/>
        </w:r>
        <w:r w:rsidR="00F51CE7">
          <w:fldChar w:fldCharType="begin"/>
        </w:r>
        <w:r w:rsidR="00F51CE7">
          <w:instrText xml:space="preserve"> PAGEREF _Toc516479984 \h </w:instrText>
        </w:r>
        <w:r w:rsidR="00F51CE7">
          <w:fldChar w:fldCharType="separate"/>
        </w:r>
        <w:r w:rsidR="000259F0">
          <w:rPr>
            <w:noProof/>
          </w:rPr>
          <w:t>16</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5" w:history="1">
        <w:r w:rsidR="00F51CE7">
          <w:rPr>
            <w:rStyle w:val="af5"/>
            <w:rFonts w:hint="eastAsia"/>
          </w:rPr>
          <w:t>第八部分</w:t>
        </w:r>
        <w:r w:rsidR="00F51CE7">
          <w:rPr>
            <w:rStyle w:val="af5"/>
          </w:rPr>
          <w:t xml:space="preserve">  </w:t>
        </w:r>
        <w:r w:rsidR="00F51CE7">
          <w:rPr>
            <w:rStyle w:val="af5"/>
            <w:rFonts w:hint="eastAsia"/>
          </w:rPr>
          <w:t>基金合同当事人及权利义务</w:t>
        </w:r>
        <w:r w:rsidR="00F51CE7">
          <w:tab/>
        </w:r>
        <w:r w:rsidR="00F51CE7">
          <w:fldChar w:fldCharType="begin"/>
        </w:r>
        <w:r w:rsidR="00F51CE7">
          <w:instrText xml:space="preserve"> PAGEREF _Toc516479985 \h </w:instrText>
        </w:r>
        <w:r w:rsidR="00F51CE7">
          <w:fldChar w:fldCharType="separate"/>
        </w:r>
        <w:r w:rsidR="000259F0">
          <w:rPr>
            <w:noProof/>
          </w:rPr>
          <w:t>24</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6" w:history="1">
        <w:r w:rsidR="00F51CE7">
          <w:rPr>
            <w:rStyle w:val="af5"/>
            <w:rFonts w:hint="eastAsia"/>
          </w:rPr>
          <w:t>第九部分</w:t>
        </w:r>
        <w:r w:rsidR="00F51CE7">
          <w:rPr>
            <w:rStyle w:val="af5"/>
          </w:rPr>
          <w:t xml:space="preserve">  </w:t>
        </w:r>
        <w:r w:rsidR="00F51CE7">
          <w:rPr>
            <w:rStyle w:val="af5"/>
            <w:rFonts w:hint="eastAsia"/>
          </w:rPr>
          <w:t>基金份额持有人大会</w:t>
        </w:r>
        <w:r w:rsidR="00F51CE7">
          <w:tab/>
        </w:r>
        <w:r w:rsidR="00F51CE7">
          <w:fldChar w:fldCharType="begin"/>
        </w:r>
        <w:r w:rsidR="00F51CE7">
          <w:instrText xml:space="preserve"> PAGEREF _Toc516479986 \h </w:instrText>
        </w:r>
        <w:r w:rsidR="00F51CE7">
          <w:fldChar w:fldCharType="separate"/>
        </w:r>
        <w:r w:rsidR="000259F0">
          <w:rPr>
            <w:noProof/>
          </w:rPr>
          <w:t>30</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7" w:history="1">
        <w:r w:rsidR="00F51CE7">
          <w:rPr>
            <w:rStyle w:val="af5"/>
            <w:rFonts w:hint="eastAsia"/>
          </w:rPr>
          <w:t>第十部分</w:t>
        </w:r>
        <w:r w:rsidR="00F51CE7">
          <w:rPr>
            <w:rStyle w:val="af5"/>
          </w:rPr>
          <w:t xml:space="preserve">  </w:t>
        </w:r>
        <w:r w:rsidR="00F51CE7">
          <w:rPr>
            <w:rStyle w:val="af5"/>
            <w:rFonts w:hint="eastAsia"/>
          </w:rPr>
          <w:t>基金管理人、基金托管人的更换条件和程序</w:t>
        </w:r>
        <w:r w:rsidR="00F51CE7">
          <w:tab/>
        </w:r>
        <w:r w:rsidR="00F51CE7">
          <w:fldChar w:fldCharType="begin"/>
        </w:r>
        <w:r w:rsidR="00F51CE7">
          <w:instrText xml:space="preserve"> PAGEREF _Toc516479987 \h </w:instrText>
        </w:r>
        <w:r w:rsidR="00F51CE7">
          <w:fldChar w:fldCharType="separate"/>
        </w:r>
        <w:r w:rsidR="000259F0">
          <w:rPr>
            <w:noProof/>
          </w:rPr>
          <w:t>37</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8" w:history="1">
        <w:r w:rsidR="00F51CE7">
          <w:rPr>
            <w:rStyle w:val="af5"/>
            <w:rFonts w:hint="eastAsia"/>
          </w:rPr>
          <w:t>第十一部分</w:t>
        </w:r>
        <w:r w:rsidR="00F51CE7">
          <w:rPr>
            <w:rStyle w:val="af5"/>
          </w:rPr>
          <w:t xml:space="preserve">  </w:t>
        </w:r>
        <w:r w:rsidR="00F51CE7">
          <w:rPr>
            <w:rStyle w:val="af5"/>
            <w:rFonts w:hint="eastAsia"/>
          </w:rPr>
          <w:t>基金的托管</w:t>
        </w:r>
        <w:r w:rsidR="00F51CE7">
          <w:tab/>
        </w:r>
        <w:r w:rsidR="00F51CE7">
          <w:fldChar w:fldCharType="begin"/>
        </w:r>
        <w:r w:rsidR="00F51CE7">
          <w:instrText xml:space="preserve"> PAGEREF _Toc516479988 \h </w:instrText>
        </w:r>
        <w:r w:rsidR="00F51CE7">
          <w:fldChar w:fldCharType="separate"/>
        </w:r>
        <w:r w:rsidR="000259F0">
          <w:rPr>
            <w:noProof/>
          </w:rPr>
          <w:t>40</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89" w:history="1">
        <w:r w:rsidR="00F51CE7">
          <w:rPr>
            <w:rStyle w:val="af5"/>
            <w:rFonts w:hint="eastAsia"/>
          </w:rPr>
          <w:t>第十二部分</w:t>
        </w:r>
        <w:r w:rsidR="00F51CE7">
          <w:rPr>
            <w:rStyle w:val="af5"/>
          </w:rPr>
          <w:t xml:space="preserve">  </w:t>
        </w:r>
        <w:r w:rsidR="00F51CE7">
          <w:rPr>
            <w:rStyle w:val="af5"/>
            <w:rFonts w:hint="eastAsia"/>
          </w:rPr>
          <w:t>基金份额的登记</w:t>
        </w:r>
        <w:r w:rsidR="00F51CE7">
          <w:tab/>
        </w:r>
        <w:r w:rsidR="00F51CE7">
          <w:fldChar w:fldCharType="begin"/>
        </w:r>
        <w:r w:rsidR="00F51CE7">
          <w:instrText xml:space="preserve"> PAGEREF _Toc516479989 \h </w:instrText>
        </w:r>
        <w:r w:rsidR="00F51CE7">
          <w:fldChar w:fldCharType="separate"/>
        </w:r>
        <w:r w:rsidR="000259F0">
          <w:rPr>
            <w:noProof/>
          </w:rPr>
          <w:t>41</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0" w:history="1">
        <w:r w:rsidR="00F51CE7">
          <w:rPr>
            <w:rStyle w:val="af5"/>
            <w:rFonts w:hint="eastAsia"/>
          </w:rPr>
          <w:t>第十三部分</w:t>
        </w:r>
        <w:r w:rsidR="00F51CE7">
          <w:rPr>
            <w:rStyle w:val="af5"/>
          </w:rPr>
          <w:t xml:space="preserve">  </w:t>
        </w:r>
        <w:r w:rsidR="00F51CE7">
          <w:rPr>
            <w:rStyle w:val="af5"/>
            <w:rFonts w:hint="eastAsia"/>
          </w:rPr>
          <w:t>基金的投资</w:t>
        </w:r>
        <w:r w:rsidR="00F51CE7">
          <w:tab/>
        </w:r>
        <w:r w:rsidR="00F51CE7">
          <w:fldChar w:fldCharType="begin"/>
        </w:r>
        <w:r w:rsidR="00F51CE7">
          <w:instrText xml:space="preserve"> PAGEREF _Toc516479990 \h </w:instrText>
        </w:r>
        <w:r w:rsidR="00F51CE7">
          <w:fldChar w:fldCharType="separate"/>
        </w:r>
        <w:r w:rsidR="000259F0">
          <w:rPr>
            <w:noProof/>
          </w:rPr>
          <w:t>43</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1" w:history="1">
        <w:r w:rsidR="00F51CE7">
          <w:rPr>
            <w:rStyle w:val="af5"/>
            <w:rFonts w:hint="eastAsia"/>
          </w:rPr>
          <w:t>第十四部分</w:t>
        </w:r>
        <w:r w:rsidR="00F51CE7">
          <w:rPr>
            <w:rStyle w:val="af5"/>
          </w:rPr>
          <w:t xml:space="preserve">  </w:t>
        </w:r>
        <w:r w:rsidR="00F51CE7">
          <w:rPr>
            <w:rStyle w:val="af5"/>
            <w:rFonts w:hint="eastAsia"/>
          </w:rPr>
          <w:t>基金的财产</w:t>
        </w:r>
        <w:r w:rsidR="00F51CE7">
          <w:tab/>
        </w:r>
        <w:r w:rsidR="00F51CE7">
          <w:fldChar w:fldCharType="begin"/>
        </w:r>
        <w:r w:rsidR="00F51CE7">
          <w:instrText xml:space="preserve"> PAGEREF _Toc516479991 \h </w:instrText>
        </w:r>
        <w:r w:rsidR="00F51CE7">
          <w:fldChar w:fldCharType="separate"/>
        </w:r>
        <w:r w:rsidR="000259F0">
          <w:rPr>
            <w:noProof/>
          </w:rPr>
          <w:t>50</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2" w:history="1">
        <w:r w:rsidR="00F51CE7">
          <w:rPr>
            <w:rStyle w:val="af5"/>
            <w:rFonts w:hint="eastAsia"/>
          </w:rPr>
          <w:t>第十五部分</w:t>
        </w:r>
        <w:r w:rsidR="00F51CE7">
          <w:rPr>
            <w:rStyle w:val="af5"/>
          </w:rPr>
          <w:t xml:space="preserve">  </w:t>
        </w:r>
        <w:r w:rsidR="00F51CE7">
          <w:rPr>
            <w:rStyle w:val="af5"/>
            <w:rFonts w:hint="eastAsia"/>
          </w:rPr>
          <w:t>基金资产估值</w:t>
        </w:r>
        <w:r w:rsidR="00F51CE7">
          <w:tab/>
        </w:r>
        <w:r w:rsidR="00F51CE7">
          <w:fldChar w:fldCharType="begin"/>
        </w:r>
        <w:r w:rsidR="00F51CE7">
          <w:instrText xml:space="preserve"> PAGEREF _Toc516479992 \h </w:instrText>
        </w:r>
        <w:r w:rsidR="00F51CE7">
          <w:fldChar w:fldCharType="separate"/>
        </w:r>
        <w:r w:rsidR="000259F0">
          <w:rPr>
            <w:noProof/>
          </w:rPr>
          <w:t>51</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3" w:history="1">
        <w:r w:rsidR="00F51CE7">
          <w:rPr>
            <w:rStyle w:val="af5"/>
            <w:rFonts w:hint="eastAsia"/>
          </w:rPr>
          <w:t>第十六部分</w:t>
        </w:r>
        <w:r w:rsidR="00F51CE7">
          <w:rPr>
            <w:rStyle w:val="af5"/>
          </w:rPr>
          <w:t xml:space="preserve">  </w:t>
        </w:r>
        <w:r w:rsidR="00F51CE7">
          <w:rPr>
            <w:rStyle w:val="af5"/>
            <w:rFonts w:hint="eastAsia"/>
          </w:rPr>
          <w:t>基金费用与税收</w:t>
        </w:r>
        <w:r w:rsidR="00F51CE7">
          <w:tab/>
        </w:r>
        <w:r w:rsidR="00F51CE7">
          <w:fldChar w:fldCharType="begin"/>
        </w:r>
        <w:r w:rsidR="00F51CE7">
          <w:instrText xml:space="preserve"> PAGEREF _Toc516479993 \h </w:instrText>
        </w:r>
        <w:r w:rsidR="00F51CE7">
          <w:fldChar w:fldCharType="separate"/>
        </w:r>
        <w:r w:rsidR="000259F0">
          <w:rPr>
            <w:noProof/>
          </w:rPr>
          <w:t>57</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4" w:history="1">
        <w:r w:rsidR="00F51CE7">
          <w:rPr>
            <w:rStyle w:val="af5"/>
            <w:rFonts w:hint="eastAsia"/>
          </w:rPr>
          <w:t>第十七部分</w:t>
        </w:r>
        <w:r w:rsidR="00F51CE7">
          <w:rPr>
            <w:rStyle w:val="af5"/>
          </w:rPr>
          <w:t xml:space="preserve">  </w:t>
        </w:r>
        <w:r w:rsidR="00F51CE7">
          <w:rPr>
            <w:rStyle w:val="af5"/>
            <w:rFonts w:hint="eastAsia"/>
          </w:rPr>
          <w:t>基金的收益与分配</w:t>
        </w:r>
        <w:r w:rsidR="00F51CE7">
          <w:tab/>
        </w:r>
        <w:r w:rsidR="00F51CE7">
          <w:fldChar w:fldCharType="begin"/>
        </w:r>
        <w:r w:rsidR="00F51CE7">
          <w:instrText xml:space="preserve"> PAGEREF _Toc516479994 \h </w:instrText>
        </w:r>
        <w:r w:rsidR="00F51CE7">
          <w:fldChar w:fldCharType="separate"/>
        </w:r>
        <w:r w:rsidR="000259F0">
          <w:rPr>
            <w:noProof/>
          </w:rPr>
          <w:t>59</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5" w:history="1">
        <w:r w:rsidR="00F51CE7">
          <w:rPr>
            <w:rStyle w:val="af5"/>
            <w:rFonts w:hint="eastAsia"/>
          </w:rPr>
          <w:t>第十八部分</w:t>
        </w:r>
        <w:r w:rsidR="00F51CE7">
          <w:rPr>
            <w:rStyle w:val="af5"/>
          </w:rPr>
          <w:t xml:space="preserve">  </w:t>
        </w:r>
        <w:r w:rsidR="00F51CE7">
          <w:rPr>
            <w:rStyle w:val="af5"/>
            <w:rFonts w:hint="eastAsia"/>
          </w:rPr>
          <w:t>基金的会计与审计</w:t>
        </w:r>
        <w:r w:rsidR="00F51CE7">
          <w:tab/>
        </w:r>
        <w:r w:rsidR="00F51CE7">
          <w:fldChar w:fldCharType="begin"/>
        </w:r>
        <w:r w:rsidR="00F51CE7">
          <w:instrText xml:space="preserve"> PAGEREF _Toc516479995 \h </w:instrText>
        </w:r>
        <w:r w:rsidR="00F51CE7">
          <w:fldChar w:fldCharType="separate"/>
        </w:r>
        <w:r w:rsidR="000259F0">
          <w:rPr>
            <w:noProof/>
          </w:rPr>
          <w:t>61</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6" w:history="1">
        <w:r w:rsidR="00F51CE7">
          <w:rPr>
            <w:rStyle w:val="af5"/>
            <w:rFonts w:hint="eastAsia"/>
          </w:rPr>
          <w:t>第十九部分</w:t>
        </w:r>
        <w:r w:rsidR="00F51CE7">
          <w:rPr>
            <w:rStyle w:val="af5"/>
          </w:rPr>
          <w:t xml:space="preserve">  </w:t>
        </w:r>
        <w:r w:rsidR="00F51CE7">
          <w:rPr>
            <w:rStyle w:val="af5"/>
            <w:rFonts w:hint="eastAsia"/>
          </w:rPr>
          <w:t>基金的信息披露</w:t>
        </w:r>
        <w:r w:rsidR="00F51CE7">
          <w:tab/>
        </w:r>
        <w:r w:rsidR="00F51CE7">
          <w:fldChar w:fldCharType="begin"/>
        </w:r>
        <w:r w:rsidR="00F51CE7">
          <w:instrText xml:space="preserve"> PAGEREF _Toc516479996 \h </w:instrText>
        </w:r>
        <w:r w:rsidR="00F51CE7">
          <w:fldChar w:fldCharType="separate"/>
        </w:r>
        <w:r w:rsidR="000259F0">
          <w:rPr>
            <w:noProof/>
          </w:rPr>
          <w:t>62</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7" w:history="1">
        <w:r w:rsidR="00F51CE7">
          <w:rPr>
            <w:rStyle w:val="af5"/>
            <w:rFonts w:hint="eastAsia"/>
          </w:rPr>
          <w:t>第二十部分</w:t>
        </w:r>
        <w:r w:rsidR="00F51CE7">
          <w:rPr>
            <w:rStyle w:val="af5"/>
          </w:rPr>
          <w:t xml:space="preserve">  </w:t>
        </w:r>
        <w:r w:rsidR="00F51CE7">
          <w:rPr>
            <w:rStyle w:val="af5"/>
            <w:rFonts w:hint="eastAsia"/>
          </w:rPr>
          <w:t>基金合同的变更、终止与基金财产的清算</w:t>
        </w:r>
        <w:r w:rsidR="00F51CE7">
          <w:tab/>
        </w:r>
        <w:r w:rsidR="00F51CE7">
          <w:fldChar w:fldCharType="begin"/>
        </w:r>
        <w:r w:rsidR="00F51CE7">
          <w:instrText xml:space="preserve"> PAGEREF _Toc516479997 \h </w:instrText>
        </w:r>
        <w:r w:rsidR="00F51CE7">
          <w:fldChar w:fldCharType="separate"/>
        </w:r>
        <w:r w:rsidR="000259F0">
          <w:rPr>
            <w:noProof/>
          </w:rPr>
          <w:t>68</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8" w:history="1">
        <w:r w:rsidR="00F51CE7">
          <w:rPr>
            <w:rStyle w:val="af5"/>
            <w:rFonts w:hint="eastAsia"/>
          </w:rPr>
          <w:t>第二十一部分</w:t>
        </w:r>
        <w:r w:rsidR="00F51CE7">
          <w:rPr>
            <w:rStyle w:val="af5"/>
          </w:rPr>
          <w:t xml:space="preserve">  </w:t>
        </w:r>
        <w:r w:rsidR="00F51CE7">
          <w:rPr>
            <w:rStyle w:val="af5"/>
            <w:rFonts w:hint="eastAsia"/>
          </w:rPr>
          <w:t>违约责任</w:t>
        </w:r>
        <w:r w:rsidR="00F51CE7">
          <w:tab/>
        </w:r>
        <w:r w:rsidR="00F51CE7">
          <w:fldChar w:fldCharType="begin"/>
        </w:r>
        <w:r w:rsidR="00F51CE7">
          <w:instrText xml:space="preserve"> PAGEREF _Toc516479998 \h </w:instrText>
        </w:r>
        <w:r w:rsidR="00F51CE7">
          <w:fldChar w:fldCharType="separate"/>
        </w:r>
        <w:r w:rsidR="000259F0">
          <w:rPr>
            <w:noProof/>
          </w:rPr>
          <w:t>70</w:t>
        </w:r>
        <w:r w:rsidR="00F51CE7">
          <w:fldChar w:fldCharType="end"/>
        </w:r>
      </w:hyperlink>
    </w:p>
    <w:p w:rsidR="006E1FE1" w:rsidRDefault="00235FD8">
      <w:pPr>
        <w:pStyle w:val="10"/>
        <w:rPr>
          <w:rFonts w:asciiTheme="minorHAnsi" w:eastAsiaTheme="minorEastAsia" w:hAnsiTheme="minorHAnsi" w:cstheme="minorBidi"/>
          <w:szCs w:val="22"/>
        </w:rPr>
      </w:pPr>
      <w:hyperlink w:anchor="_Toc516479999" w:history="1">
        <w:r w:rsidR="00F51CE7">
          <w:rPr>
            <w:rStyle w:val="af5"/>
            <w:rFonts w:hint="eastAsia"/>
          </w:rPr>
          <w:t>第二十二部分</w:t>
        </w:r>
        <w:r w:rsidR="00F51CE7">
          <w:rPr>
            <w:rStyle w:val="af5"/>
          </w:rPr>
          <w:t xml:space="preserve">  </w:t>
        </w:r>
        <w:r w:rsidR="00F51CE7">
          <w:rPr>
            <w:rStyle w:val="af5"/>
            <w:rFonts w:hint="eastAsia"/>
          </w:rPr>
          <w:t>争议的处理和适用的法律</w:t>
        </w:r>
        <w:r w:rsidR="00F51CE7">
          <w:tab/>
        </w:r>
        <w:r w:rsidR="00F51CE7">
          <w:fldChar w:fldCharType="begin"/>
        </w:r>
        <w:r w:rsidR="00F51CE7">
          <w:instrText xml:space="preserve"> PAGEREF _Toc516479999 \h </w:instrText>
        </w:r>
        <w:r w:rsidR="00F51CE7">
          <w:fldChar w:fldCharType="separate"/>
        </w:r>
        <w:r w:rsidR="000259F0">
          <w:rPr>
            <w:noProof/>
          </w:rPr>
          <w:t>71</w:t>
        </w:r>
        <w:r w:rsidR="00F51CE7">
          <w:fldChar w:fldCharType="end"/>
        </w:r>
      </w:hyperlink>
    </w:p>
    <w:p w:rsidR="006E1FE1" w:rsidRDefault="00235FD8">
      <w:pPr>
        <w:pStyle w:val="10"/>
        <w:rPr>
          <w:rFonts w:asciiTheme="minorHAnsi" w:eastAsiaTheme="minorEastAsia" w:hAnsiTheme="minorHAnsi" w:cstheme="minorBidi"/>
          <w:szCs w:val="22"/>
        </w:rPr>
      </w:pPr>
      <w:hyperlink w:anchor="_Toc516480000" w:history="1">
        <w:r w:rsidR="00F51CE7">
          <w:rPr>
            <w:rStyle w:val="af5"/>
            <w:rFonts w:hint="eastAsia"/>
          </w:rPr>
          <w:t>第二十三部分</w:t>
        </w:r>
        <w:r w:rsidR="00F51CE7">
          <w:rPr>
            <w:rStyle w:val="af5"/>
          </w:rPr>
          <w:t xml:space="preserve">  </w:t>
        </w:r>
        <w:r w:rsidR="00F51CE7">
          <w:rPr>
            <w:rStyle w:val="af5"/>
            <w:rFonts w:hint="eastAsia"/>
          </w:rPr>
          <w:t>基金合同的效力</w:t>
        </w:r>
        <w:r w:rsidR="00F51CE7">
          <w:tab/>
        </w:r>
        <w:r w:rsidR="00F51CE7">
          <w:fldChar w:fldCharType="begin"/>
        </w:r>
        <w:r w:rsidR="00F51CE7">
          <w:instrText xml:space="preserve"> PAGEREF _Toc516480000 \h </w:instrText>
        </w:r>
        <w:r w:rsidR="00F51CE7">
          <w:fldChar w:fldCharType="separate"/>
        </w:r>
        <w:r w:rsidR="000259F0">
          <w:rPr>
            <w:noProof/>
          </w:rPr>
          <w:t>72</w:t>
        </w:r>
        <w:r w:rsidR="00F51CE7">
          <w:fldChar w:fldCharType="end"/>
        </w:r>
      </w:hyperlink>
    </w:p>
    <w:p w:rsidR="006E1FE1" w:rsidRDefault="00235FD8">
      <w:pPr>
        <w:pStyle w:val="10"/>
        <w:rPr>
          <w:rFonts w:asciiTheme="minorHAnsi" w:eastAsiaTheme="minorEastAsia" w:hAnsiTheme="minorHAnsi" w:cstheme="minorBidi"/>
          <w:szCs w:val="22"/>
        </w:rPr>
      </w:pPr>
      <w:hyperlink w:anchor="_Toc516480001" w:history="1">
        <w:r w:rsidR="00F51CE7">
          <w:rPr>
            <w:rStyle w:val="af5"/>
            <w:rFonts w:hint="eastAsia"/>
          </w:rPr>
          <w:t>第二十四部分</w:t>
        </w:r>
        <w:r w:rsidR="00F51CE7">
          <w:rPr>
            <w:rStyle w:val="af5"/>
          </w:rPr>
          <w:t xml:space="preserve">  </w:t>
        </w:r>
        <w:r w:rsidR="00F51CE7">
          <w:rPr>
            <w:rStyle w:val="af5"/>
            <w:rFonts w:hint="eastAsia"/>
          </w:rPr>
          <w:t>其他事项</w:t>
        </w:r>
        <w:r w:rsidR="00F51CE7">
          <w:tab/>
        </w:r>
        <w:r w:rsidR="00F51CE7">
          <w:fldChar w:fldCharType="begin"/>
        </w:r>
        <w:r w:rsidR="00F51CE7">
          <w:instrText xml:space="preserve"> PAGEREF _Toc516480001 \h </w:instrText>
        </w:r>
        <w:r w:rsidR="00F51CE7">
          <w:fldChar w:fldCharType="separate"/>
        </w:r>
        <w:r w:rsidR="000259F0">
          <w:rPr>
            <w:noProof/>
          </w:rPr>
          <w:t>73</w:t>
        </w:r>
        <w:r w:rsidR="00F51CE7">
          <w:fldChar w:fldCharType="end"/>
        </w:r>
      </w:hyperlink>
    </w:p>
    <w:p w:rsidR="006E1FE1" w:rsidRDefault="00235FD8">
      <w:pPr>
        <w:pStyle w:val="10"/>
        <w:rPr>
          <w:rFonts w:asciiTheme="minorHAnsi" w:eastAsiaTheme="minorEastAsia" w:hAnsiTheme="minorHAnsi" w:cstheme="minorBidi"/>
          <w:szCs w:val="22"/>
        </w:rPr>
      </w:pPr>
      <w:hyperlink w:anchor="_Toc516480002" w:history="1">
        <w:r w:rsidR="00F51CE7">
          <w:rPr>
            <w:rStyle w:val="af5"/>
            <w:rFonts w:hint="eastAsia"/>
          </w:rPr>
          <w:t>第二十五部分</w:t>
        </w:r>
        <w:r w:rsidR="00F51CE7">
          <w:rPr>
            <w:rStyle w:val="af5"/>
          </w:rPr>
          <w:t xml:space="preserve">  </w:t>
        </w:r>
        <w:r w:rsidR="00F51CE7">
          <w:rPr>
            <w:rStyle w:val="af5"/>
            <w:rFonts w:hint="eastAsia"/>
          </w:rPr>
          <w:t>基金合同内容摘要</w:t>
        </w:r>
        <w:r w:rsidR="00F51CE7">
          <w:tab/>
        </w:r>
        <w:r w:rsidR="00F51CE7">
          <w:fldChar w:fldCharType="begin"/>
        </w:r>
        <w:r w:rsidR="00F51CE7">
          <w:instrText xml:space="preserve"> PAGEREF _Toc516480002 \h </w:instrText>
        </w:r>
        <w:r w:rsidR="00F51CE7">
          <w:fldChar w:fldCharType="separate"/>
        </w:r>
        <w:r w:rsidR="000259F0">
          <w:rPr>
            <w:noProof/>
          </w:rPr>
          <w:t>74</w:t>
        </w:r>
        <w:r w:rsidR="00F51CE7">
          <w:fldChar w:fldCharType="end"/>
        </w:r>
      </w:hyperlink>
    </w:p>
    <w:p w:rsidR="006E1FE1" w:rsidRDefault="00F51CE7">
      <w:pPr>
        <w:adjustRightInd w:val="0"/>
        <w:snapToGrid w:val="0"/>
        <w:spacing w:line="360" w:lineRule="auto"/>
      </w:pPr>
      <w:r>
        <w:fldChar w:fldCharType="end"/>
      </w:r>
      <w:bookmarkStart w:id="20" w:name="_Toc26897"/>
      <w:bookmarkStart w:id="21" w:name="_Toc30935"/>
      <w:bookmarkStart w:id="22" w:name="_Toc4867"/>
      <w:bookmarkStart w:id="23" w:name="_Toc23386"/>
      <w:bookmarkStart w:id="24" w:name="_Toc15517"/>
      <w:bookmarkStart w:id="25" w:name="_Toc4966"/>
      <w:bookmarkStart w:id="26" w:name="_Toc32639"/>
      <w:bookmarkStart w:id="27" w:name="_Toc139991730"/>
      <w:bookmarkStart w:id="28" w:name="_Toc141703880"/>
      <w:bookmarkStart w:id="29" w:name="_Toc8727"/>
      <w:bookmarkStart w:id="30" w:name="_Toc6306"/>
      <w:bookmarkStart w:id="31" w:name="_Toc29629"/>
      <w:bookmarkStart w:id="32" w:name="_Toc123112268"/>
      <w:bookmarkStart w:id="33" w:name="_Toc123112229"/>
      <w:bookmarkStart w:id="34" w:name="_Toc123701389"/>
      <w:bookmarkStart w:id="35" w:name="_Toc233456271"/>
    </w:p>
    <w:p w:rsidR="006E1FE1" w:rsidRDefault="006E1FE1"/>
    <w:p w:rsidR="006E1FE1" w:rsidRDefault="006E1FE1">
      <w:pPr>
        <w:sectPr w:rsidR="006E1FE1">
          <w:headerReference w:type="default" r:id="rId11"/>
          <w:footerReference w:type="default" r:id="rId12"/>
          <w:pgSz w:w="11906" w:h="16838"/>
          <w:pgMar w:top="1440" w:right="1800" w:bottom="1440" w:left="1800" w:header="851" w:footer="992" w:gutter="0"/>
          <w:pgNumType w:start="1"/>
          <w:cols w:space="720"/>
          <w:docGrid w:type="lines" w:linePitch="312"/>
        </w:sectPr>
      </w:pPr>
    </w:p>
    <w:p w:rsidR="006E1FE1" w:rsidRDefault="00F51CE7">
      <w:pPr>
        <w:pStyle w:val="1"/>
        <w:adjustRightInd w:val="0"/>
        <w:snapToGrid w:val="0"/>
        <w:spacing w:before="0" w:after="0"/>
        <w:jc w:val="center"/>
        <w:rPr>
          <w:rFonts w:ascii="Times New Roman"/>
          <w:color w:val="auto"/>
          <w:sz w:val="32"/>
          <w:szCs w:val="21"/>
        </w:rPr>
      </w:pPr>
      <w:bookmarkStart w:id="36" w:name="_Toc11660"/>
      <w:bookmarkStart w:id="37" w:name="_Toc516479978"/>
      <w:r>
        <w:rPr>
          <w:rFonts w:ascii="Times New Roman"/>
          <w:color w:val="auto"/>
          <w:sz w:val="32"/>
          <w:szCs w:val="21"/>
        </w:rPr>
        <w:lastRenderedPageBreak/>
        <w:t>第一部分</w:t>
      </w:r>
      <w:r>
        <w:rPr>
          <w:rFonts w:ascii="Times New Roman" w:hint="eastAsia"/>
          <w:color w:val="auto"/>
          <w:sz w:val="32"/>
          <w:szCs w:val="21"/>
        </w:rPr>
        <w:t xml:space="preserve">  </w:t>
      </w:r>
      <w:r>
        <w:rPr>
          <w:rFonts w:ascii="Times New Roman"/>
          <w:color w:val="auto"/>
          <w:sz w:val="32"/>
          <w:szCs w:val="21"/>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rsidR="006E1FE1" w:rsidRDefault="006E1FE1">
      <w:pPr>
        <w:adjustRightInd w:val="0"/>
        <w:snapToGrid w:val="0"/>
        <w:spacing w:line="360" w:lineRule="auto"/>
        <w:ind w:firstLineChars="200" w:firstLine="420"/>
        <w:rPr>
          <w:bCs/>
          <w:szCs w:val="21"/>
        </w:rPr>
      </w:pPr>
      <w:bookmarkStart w:id="38" w:name="_Toc139991731"/>
    </w:p>
    <w:p w:rsidR="006E1FE1" w:rsidRDefault="00F51CE7">
      <w:pPr>
        <w:adjustRightInd w:val="0"/>
        <w:snapToGrid w:val="0"/>
        <w:spacing w:line="360" w:lineRule="auto"/>
        <w:ind w:firstLine="420"/>
        <w:rPr>
          <w:rFonts w:ascii="宋体" w:hAnsi="宋体"/>
          <w:szCs w:val="21"/>
        </w:rPr>
      </w:pPr>
      <w:bookmarkStart w:id="39" w:name="_Toc258829399"/>
      <w:bookmarkEnd w:id="32"/>
      <w:bookmarkEnd w:id="33"/>
      <w:bookmarkEnd w:id="34"/>
      <w:bookmarkEnd w:id="38"/>
      <w:r>
        <w:rPr>
          <w:rFonts w:ascii="宋体" w:hAnsi="宋体" w:hint="eastAsia"/>
          <w:szCs w:val="21"/>
        </w:rPr>
        <w:t>一、</w:t>
      </w:r>
      <w:r>
        <w:rPr>
          <w:rFonts w:ascii="宋体" w:hAnsi="宋体"/>
          <w:szCs w:val="21"/>
        </w:rPr>
        <w:t>订立本基金合同的目的、依据和原则</w:t>
      </w:r>
    </w:p>
    <w:p w:rsidR="006E1FE1" w:rsidRDefault="00F51CE7">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订立本基金合同的目的是保护投资人合法权益，明确基金合同当事人的权利义务，规范基金运作。</w:t>
      </w:r>
    </w:p>
    <w:p w:rsidR="006E1FE1" w:rsidRDefault="00F51CE7">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订立本基金合同的依据是《中华人民共和国合同法》(以下简称“《合同法》”)、《中华人民共和国证券投资基金法》(以下简称“《基金法》”)、《</w:t>
      </w:r>
      <w:r>
        <w:rPr>
          <w:rFonts w:ascii="宋体" w:hAnsi="宋体" w:hint="eastAsia"/>
          <w:szCs w:val="21"/>
        </w:rPr>
        <w:t>公开募集</w:t>
      </w:r>
      <w:r>
        <w:rPr>
          <w:rFonts w:ascii="宋体" w:hAnsi="宋体"/>
          <w:szCs w:val="21"/>
        </w:rPr>
        <w:t>证券投资基金运作管理办法》(以下简称“《运作办法》”)、《证券投资基金销售管理办法》(以下简称“《销售办法》”)、《公开募集证券投资基金信息披露管理办法》(以下简称“《信息披露办法》”)</w:t>
      </w:r>
      <w:r>
        <w:rPr>
          <w:rFonts w:ascii="宋体" w:hAnsi="宋体" w:hint="eastAsia"/>
          <w:szCs w:val="21"/>
        </w:rPr>
        <w:t>、《公开募集开放式证券投资基金流动性风险管理规定》</w:t>
      </w:r>
      <w:r>
        <w:rPr>
          <w:bCs/>
          <w:szCs w:val="21"/>
        </w:rPr>
        <w:t>（</w:t>
      </w:r>
      <w:r>
        <w:rPr>
          <w:rFonts w:ascii="宋体" w:hAnsi="宋体"/>
          <w:bCs/>
          <w:szCs w:val="21"/>
        </w:rPr>
        <w:t>以下简称“《</w:t>
      </w:r>
      <w:r>
        <w:rPr>
          <w:bCs/>
          <w:szCs w:val="21"/>
        </w:rPr>
        <w:t>流动性风险管理规定</w:t>
      </w:r>
      <w:r>
        <w:rPr>
          <w:rFonts w:ascii="宋体" w:hAnsi="宋体"/>
          <w:bCs/>
          <w:szCs w:val="21"/>
        </w:rPr>
        <w:t>》”</w:t>
      </w:r>
      <w:r>
        <w:rPr>
          <w:bCs/>
          <w:szCs w:val="21"/>
        </w:rPr>
        <w:t>）</w:t>
      </w:r>
      <w:r>
        <w:rPr>
          <w:rFonts w:ascii="宋体" w:hAnsi="宋体"/>
          <w:szCs w:val="21"/>
        </w:rPr>
        <w:t>和其他有关法律法规。</w:t>
      </w:r>
    </w:p>
    <w:p w:rsidR="006E1FE1" w:rsidRDefault="00F51CE7">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订立本基金合同的原则是平等自愿、诚实信用、充分保护投资人合法权益。</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二、</w:t>
      </w:r>
      <w:r>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6E1FE1" w:rsidRDefault="00F51CE7">
      <w:pPr>
        <w:adjustRightInd w:val="0"/>
        <w:snapToGrid w:val="0"/>
        <w:spacing w:line="360" w:lineRule="auto"/>
        <w:ind w:firstLine="420"/>
        <w:rPr>
          <w:rFonts w:ascii="宋体" w:hAnsi="宋体"/>
          <w:szCs w:val="21"/>
        </w:rPr>
      </w:pPr>
      <w:r>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三、南方创业板2年定期开放混合型证券投资基金</w:t>
      </w:r>
      <w:r>
        <w:rPr>
          <w:rFonts w:ascii="宋体" w:hAnsi="宋体"/>
          <w:szCs w:val="21"/>
        </w:rPr>
        <w:t>由基金管理人依照《基金法》、基金合同及其他有关规定募集，并经中国证券监督管理委员会(以下简称“中国证监会”)</w:t>
      </w:r>
      <w:r>
        <w:rPr>
          <w:rFonts w:ascii="宋体" w:hAnsi="宋体"/>
          <w:bCs/>
          <w:szCs w:val="21"/>
        </w:rPr>
        <w:t>注册</w:t>
      </w:r>
      <w:r>
        <w:rPr>
          <w:rFonts w:ascii="宋体" w:hAnsi="宋体"/>
          <w:szCs w:val="21"/>
        </w:rPr>
        <w:t>。</w:t>
      </w:r>
    </w:p>
    <w:p w:rsidR="006E1FE1" w:rsidRDefault="00F51CE7">
      <w:pPr>
        <w:adjustRightInd w:val="0"/>
        <w:snapToGrid w:val="0"/>
        <w:spacing w:line="360" w:lineRule="auto"/>
        <w:ind w:firstLine="420"/>
        <w:rPr>
          <w:rFonts w:ascii="宋体" w:hAnsi="宋体"/>
          <w:bCs/>
          <w:szCs w:val="21"/>
        </w:rPr>
      </w:pPr>
      <w:r>
        <w:rPr>
          <w:rFonts w:ascii="宋体" w:hAnsi="宋体"/>
          <w:szCs w:val="21"/>
        </w:rPr>
        <w:t>中国证监会对本基金募集的</w:t>
      </w:r>
      <w:r>
        <w:rPr>
          <w:rFonts w:ascii="宋体" w:hAnsi="宋体"/>
          <w:bCs/>
          <w:szCs w:val="21"/>
        </w:rPr>
        <w:t>注册</w:t>
      </w:r>
      <w:r>
        <w:rPr>
          <w:rFonts w:ascii="宋体" w:hAnsi="宋体"/>
          <w:szCs w:val="21"/>
        </w:rPr>
        <w:t>，并不表明其对本基金的价值和收益做出实质性判断或保证，也不表明投资于本基金没有风险。</w:t>
      </w:r>
      <w:r>
        <w:rPr>
          <w:rFonts w:ascii="宋体" w:hAnsi="宋体" w:hint="eastAsia"/>
          <w:bCs/>
          <w:szCs w:val="21"/>
        </w:rPr>
        <w:t>中国证监会不对基金的投资价值及市场前景等作出实质性判断或者保证。</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四、</w:t>
      </w:r>
      <w:r>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投资人应当认真阅读基金合同、基金招募说明书、基金产品资料概要等信息披露文件，自主判断基金的投资价值，自主做出投资决策，自行承担投资风险。</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基金管理人、基金托管人在本基金合同之外披露涉及本基金的信息，其内容涉及界定基金合同当事人之间权利义务关系的，如与基金合同有冲突，以基金合同为准。</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lastRenderedPageBreak/>
        <w:t>五、本基金按照中国法律法规成立并运作，若</w:t>
      </w:r>
      <w:r>
        <w:rPr>
          <w:rFonts w:ascii="宋体" w:hAnsi="宋体"/>
          <w:szCs w:val="21"/>
        </w:rPr>
        <w:t>基金合同的内容与届时有效的法律法规的强制性规定不一致，应当以届时有效的法律法规的规定为准。</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六、本基金投资内地与香港股票市场交易互联互通机制下港股通股票，将承担投资港股通股票的相关风险，包括但不限于以下内容：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七、本基金可根据投资策略需要或不同配置地市场环境的变化，选择将部分基金资产投资于港股通股票或选择不将基金资产投资于港股通股票，基金资产并非必然投资港股通股票。</w:t>
      </w:r>
    </w:p>
    <w:p w:rsidR="00AD6565" w:rsidRPr="00AD6565" w:rsidRDefault="00AD6565">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八、本基金股票资产主要投资于创业板，会面临创业板注册制下因投资标的、市场制度以及交易规则等变化带来的特有风险，包括退市风险、股价波动风险和投资战略配售股票风险等。一是退市风险。创业板注册制改革后，创业板的退市标准将比A股其他板块（除科创板）更加严格，且不设置暂停上市、恢复上市和重新上市等环节，因此上市公司退市风险更大，可能给基金净值带来不利影响。二是股价波动风险。创业板注册制改革后，创业板股票价格涨跌幅限制将调整为20%，涨跌幅限制大于A股其他板块（除科创板），可能给基金净值带来较大的波动风险。三是投资战略配售股票风险。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AD6565" w:rsidRDefault="00AD6565">
      <w:pPr>
        <w:adjustRightInd w:val="0"/>
        <w:snapToGrid w:val="0"/>
        <w:spacing w:line="360" w:lineRule="auto"/>
        <w:ind w:firstLine="420"/>
        <w:rPr>
          <w:rFonts w:ascii="宋体" w:hAnsi="宋体"/>
          <w:szCs w:val="21"/>
        </w:rPr>
      </w:pPr>
    </w:p>
    <w:p w:rsidR="00AD6565" w:rsidRDefault="00AD6565">
      <w:pPr>
        <w:adjustRightInd w:val="0"/>
        <w:snapToGrid w:val="0"/>
        <w:spacing w:line="360" w:lineRule="auto"/>
        <w:ind w:firstLine="420"/>
        <w:rPr>
          <w:rFonts w:ascii="宋体" w:hAnsi="宋体"/>
          <w:szCs w:val="21"/>
        </w:rPr>
      </w:pPr>
      <w:r>
        <w:rPr>
          <w:rFonts w:ascii="宋体" w:hAnsi="宋体" w:hint="eastAsia"/>
          <w:szCs w:val="21"/>
        </w:rPr>
        <w:t>九</w:t>
      </w:r>
      <w:r>
        <w:rPr>
          <w:rFonts w:ascii="宋体" w:hAnsi="宋体"/>
          <w:szCs w:val="21"/>
        </w:rPr>
        <w:t>、</w:t>
      </w:r>
      <w:r w:rsidRPr="00AD6565">
        <w:rPr>
          <w:rFonts w:ascii="宋体" w:hAnsi="宋体"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6E1FE1" w:rsidRDefault="006E1FE1">
      <w:pPr>
        <w:adjustRightInd w:val="0"/>
        <w:snapToGrid w:val="0"/>
        <w:spacing w:line="360" w:lineRule="auto"/>
        <w:ind w:firstLine="420"/>
        <w:rPr>
          <w:rFonts w:ascii="宋体" w:hAnsi="宋体"/>
          <w:szCs w:val="21"/>
        </w:rPr>
      </w:pP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40" w:name="_Toc13020"/>
      <w:bookmarkStart w:id="41" w:name="_Toc3224"/>
      <w:bookmarkStart w:id="42" w:name="_Toc6617"/>
      <w:bookmarkStart w:id="43" w:name="_Toc15067"/>
      <w:bookmarkStart w:id="44" w:name="_Toc19592"/>
      <w:bookmarkStart w:id="45" w:name="_Toc2465"/>
      <w:bookmarkStart w:id="46" w:name="_Toc819"/>
      <w:bookmarkStart w:id="47" w:name="_Toc31551"/>
      <w:bookmarkStart w:id="48" w:name="_Toc22864"/>
      <w:bookmarkStart w:id="49" w:name="_Toc24860"/>
      <w:bookmarkStart w:id="50" w:name="_Toc21301"/>
      <w:bookmarkStart w:id="51" w:name="_Toc516479979"/>
      <w:r>
        <w:rPr>
          <w:rFonts w:ascii="Times New Roman"/>
          <w:color w:val="auto"/>
          <w:sz w:val="32"/>
          <w:szCs w:val="21"/>
        </w:rPr>
        <w:lastRenderedPageBreak/>
        <w:t>第二部分</w:t>
      </w:r>
      <w:r>
        <w:rPr>
          <w:rFonts w:ascii="Times New Roman" w:hint="eastAsia"/>
          <w:color w:val="auto"/>
          <w:sz w:val="32"/>
          <w:szCs w:val="21"/>
        </w:rPr>
        <w:t xml:space="preserve">  </w:t>
      </w:r>
      <w:r>
        <w:rPr>
          <w:rFonts w:ascii="Times New Roman"/>
          <w:color w:val="auto"/>
          <w:sz w:val="32"/>
          <w:szCs w:val="21"/>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rsidR="006E1FE1" w:rsidRDefault="006E1FE1">
      <w:pPr>
        <w:adjustRightInd w:val="0"/>
        <w:snapToGrid w:val="0"/>
        <w:spacing w:line="360" w:lineRule="auto"/>
        <w:ind w:firstLineChars="201" w:firstLine="422"/>
        <w:rPr>
          <w:bCs/>
          <w:szCs w:val="21"/>
        </w:rPr>
      </w:pP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在本基金合同中，除非文意另有所指，下列词语或简称具有如下含义：</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1、基金或本基金：指</w:t>
      </w:r>
      <w:r>
        <w:rPr>
          <w:rFonts w:asciiTheme="minorEastAsia" w:eastAsiaTheme="minorEastAsia" w:hAnsiTheme="minorEastAsia" w:hint="eastAsia"/>
          <w:szCs w:val="21"/>
        </w:rPr>
        <w:t>南方创业板2年定期开放混合型证券投资基金</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2、基金管理人：指</w:t>
      </w:r>
      <w:r>
        <w:rPr>
          <w:rFonts w:asciiTheme="minorEastAsia" w:eastAsiaTheme="minorEastAsia" w:hAnsiTheme="minorEastAsia" w:hint="eastAsia"/>
          <w:szCs w:val="21"/>
        </w:rPr>
        <w:t>南方基金管理股份有限公司</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3、基金托管人：指</w:t>
      </w:r>
      <w:r>
        <w:rPr>
          <w:rFonts w:asciiTheme="minorEastAsia" w:eastAsiaTheme="minorEastAsia" w:hAnsiTheme="minorEastAsia" w:hint="eastAsia"/>
          <w:szCs w:val="21"/>
        </w:rPr>
        <w:t>中国农业银行股份有限公司</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4、基金合同或本基金合同：指《</w:t>
      </w:r>
      <w:r>
        <w:rPr>
          <w:rFonts w:asciiTheme="minorEastAsia" w:eastAsiaTheme="minorEastAsia" w:hAnsiTheme="minorEastAsia" w:hint="eastAsia"/>
          <w:szCs w:val="21"/>
        </w:rPr>
        <w:t>南方创业板2年定期开放混合型证券投资基金</w:t>
      </w:r>
      <w:r>
        <w:rPr>
          <w:rFonts w:asciiTheme="minorEastAsia" w:eastAsiaTheme="minorEastAsia" w:hAnsiTheme="minorEastAsia"/>
          <w:szCs w:val="21"/>
        </w:rPr>
        <w:t>基金合同》及对本基金合同的任何有效修订和补充</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5、托管协议：指基金管理人与基金托管人就本基金签订之《</w:t>
      </w:r>
      <w:r>
        <w:rPr>
          <w:rFonts w:asciiTheme="minorEastAsia" w:eastAsiaTheme="minorEastAsia" w:hAnsiTheme="minorEastAsia" w:hint="eastAsia"/>
          <w:szCs w:val="21"/>
        </w:rPr>
        <w:t>南方创业板2年定期开放混合型证券投资基金</w:t>
      </w:r>
      <w:r>
        <w:rPr>
          <w:rFonts w:asciiTheme="minorEastAsia" w:eastAsiaTheme="minorEastAsia" w:hAnsiTheme="minorEastAsia"/>
          <w:szCs w:val="21"/>
        </w:rPr>
        <w:t>托管协议》及对该托管协议的任何有效修订和补充</w:t>
      </w:r>
    </w:p>
    <w:p w:rsidR="006E1FE1" w:rsidRDefault="00F51CE7">
      <w:pPr>
        <w:adjustRightInd w:val="0"/>
        <w:snapToGrid w:val="0"/>
        <w:spacing w:line="360" w:lineRule="auto"/>
        <w:ind w:firstLineChars="201" w:firstLine="422"/>
        <w:rPr>
          <w:rFonts w:ascii="MS Gothic" w:eastAsia="MS Gothic" w:hAnsi="MS Gothic" w:cs="MS Gothic"/>
          <w:szCs w:val="21"/>
        </w:rPr>
      </w:pPr>
      <w:r>
        <w:rPr>
          <w:rFonts w:asciiTheme="minorEastAsia" w:eastAsiaTheme="minorEastAsia" w:hAnsiTheme="minorEastAsia"/>
          <w:szCs w:val="21"/>
        </w:rPr>
        <w:t>6、招募说明书：指《</w:t>
      </w:r>
      <w:r>
        <w:rPr>
          <w:rFonts w:asciiTheme="minorEastAsia" w:eastAsiaTheme="minorEastAsia" w:hAnsiTheme="minorEastAsia" w:hint="eastAsia"/>
          <w:szCs w:val="21"/>
        </w:rPr>
        <w:t>南方创业板2年定期开放混合型证券投资基金</w:t>
      </w:r>
      <w:r>
        <w:rPr>
          <w:rFonts w:asciiTheme="minorEastAsia" w:eastAsiaTheme="minorEastAsia" w:hAnsiTheme="minorEastAsia"/>
          <w:szCs w:val="21"/>
        </w:rPr>
        <w:t>招募说明书》及其更新</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7、基金产品资料概要：指《南方创业板2年定期开放混合型证券投资基金基金产品资料概要》及其更新</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8、基金份额发售公告：指《</w:t>
      </w:r>
      <w:r>
        <w:rPr>
          <w:rFonts w:asciiTheme="minorEastAsia" w:eastAsiaTheme="minorEastAsia" w:hAnsiTheme="minorEastAsia" w:hint="eastAsia"/>
          <w:szCs w:val="21"/>
        </w:rPr>
        <w:t>南方创业板2年定期开放混合型证券投资基金</w:t>
      </w:r>
      <w:r>
        <w:rPr>
          <w:rFonts w:asciiTheme="minorEastAsia" w:eastAsiaTheme="minorEastAsia" w:hAnsiTheme="minorEastAsia"/>
          <w:szCs w:val="21"/>
        </w:rPr>
        <w:t>基金份额发售公告》</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9、上市交易公告书：指《南方创业板2年定期开放混合型证券投资基金基金份额上市交易公告书》</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10、法律法规：指中国现行有效并公布实施的法律、行政法规、规范性文件、司法解释、行政规章以及其他对基金合同当事人有约束力的决定、决议、通知等</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11、《基金法》：指</w:t>
      </w:r>
      <w:r>
        <w:rPr>
          <w:rFonts w:asciiTheme="minorEastAsia" w:eastAsiaTheme="minorEastAsia" w:hAnsiTheme="minorEastAsia" w:hint="eastAsia"/>
          <w:szCs w:val="21"/>
        </w:rPr>
        <w:t>2003年10月28日经第十届全国人民代表大会常务委员会第五次会议通过，经</w:t>
      </w:r>
      <w:r>
        <w:rPr>
          <w:rFonts w:asciiTheme="minorEastAsia" w:eastAsiaTheme="minorEastAsia" w:hAnsiTheme="minorEastAsia"/>
          <w:szCs w:val="21"/>
        </w:rPr>
        <w:t>2012年12月28日第十一届全国人民代表大会常务委员会第三十次会议修订</w:t>
      </w:r>
      <w:r>
        <w:rPr>
          <w:rFonts w:asciiTheme="minorEastAsia" w:eastAsiaTheme="minorEastAsia" w:hAnsiTheme="minorEastAsia" w:hint="eastAsia"/>
          <w:szCs w:val="21"/>
        </w:rPr>
        <w:t>，自2013年6月1日起实施，并经2015年4月24日第十二届全国人民代表大会常务委员会第十四次会议《全国人民代表大会常务委员会关于修改&lt;中华人民共和国港口法&gt;等七部法律的决定》修正</w:t>
      </w:r>
      <w:r>
        <w:rPr>
          <w:rFonts w:asciiTheme="minorEastAsia" w:eastAsiaTheme="minorEastAsia" w:hAnsiTheme="minorEastAsia"/>
          <w:szCs w:val="21"/>
        </w:rPr>
        <w:t>的《中华人民共和国证券投资基金法》及颁布机关对其不时做出的修订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12、《销售办法》：指中国证监会201</w:t>
      </w:r>
      <w:r>
        <w:rPr>
          <w:rFonts w:asciiTheme="minorEastAsia" w:eastAsiaTheme="minorEastAsia" w:hAnsiTheme="minorEastAsia" w:hint="eastAsia"/>
          <w:szCs w:val="21"/>
        </w:rPr>
        <w:t>3</w:t>
      </w:r>
      <w:r>
        <w:rPr>
          <w:rFonts w:asciiTheme="minorEastAsia" w:eastAsiaTheme="minorEastAsia" w:hAnsiTheme="minorEastAsia"/>
          <w:szCs w:val="21"/>
        </w:rPr>
        <w:t>年</w:t>
      </w:r>
      <w:r>
        <w:rPr>
          <w:rFonts w:asciiTheme="minorEastAsia" w:eastAsiaTheme="minorEastAsia" w:hAnsiTheme="minorEastAsia" w:hint="eastAsia"/>
          <w:szCs w:val="21"/>
        </w:rPr>
        <w:t>3</w:t>
      </w:r>
      <w:r>
        <w:rPr>
          <w:rFonts w:asciiTheme="minorEastAsia" w:eastAsiaTheme="minorEastAsia" w:hAnsiTheme="minorEastAsia"/>
          <w:szCs w:val="21"/>
        </w:rPr>
        <w:t>月</w:t>
      </w:r>
      <w:r>
        <w:rPr>
          <w:rFonts w:asciiTheme="minorEastAsia" w:eastAsiaTheme="minorEastAsia" w:hAnsiTheme="minorEastAsia" w:hint="eastAsia"/>
          <w:szCs w:val="21"/>
        </w:rPr>
        <w:t>15</w:t>
      </w:r>
      <w:r>
        <w:rPr>
          <w:rFonts w:asciiTheme="minorEastAsia" w:eastAsiaTheme="minorEastAsia" w:hAnsiTheme="minorEastAsia"/>
          <w:szCs w:val="21"/>
        </w:rPr>
        <w:t>日颁布、同年</w:t>
      </w:r>
      <w:r>
        <w:rPr>
          <w:rFonts w:asciiTheme="minorEastAsia" w:eastAsiaTheme="minorEastAsia" w:hAnsiTheme="minorEastAsia" w:hint="eastAsia"/>
          <w:szCs w:val="21"/>
        </w:rPr>
        <w:t>6</w:t>
      </w:r>
      <w:r>
        <w:rPr>
          <w:rFonts w:asciiTheme="minorEastAsia" w:eastAsiaTheme="minorEastAsia" w:hAnsiTheme="minorEastAsia"/>
          <w:szCs w:val="21"/>
        </w:rPr>
        <w:t>月1日实施的《证券投资基金销售管理办法》及颁布机关对其不时做出的修订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13、《信息披露办法》：指中国证监会2019年7月26日颁布、同年9月1日实施</w:t>
      </w:r>
      <w:r>
        <w:rPr>
          <w:rFonts w:asciiTheme="minorEastAsia" w:eastAsiaTheme="minorEastAsia" w:hAnsiTheme="minorEastAsia" w:hint="eastAsia"/>
          <w:szCs w:val="21"/>
        </w:rPr>
        <w:t>，并经2020年3月20日中国证监会《关于修改部分证券期货规章的决定》修正</w:t>
      </w:r>
      <w:r>
        <w:rPr>
          <w:rFonts w:asciiTheme="minorEastAsia" w:eastAsiaTheme="minorEastAsia" w:hAnsiTheme="minorEastAsia"/>
          <w:szCs w:val="21"/>
        </w:rPr>
        <w:t>的《公开募集证券投资基金信息披露管理办法》及颁布机关对其不时做出的修订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14、《运作办法》：指中国证监会20</w:t>
      </w:r>
      <w:r>
        <w:rPr>
          <w:rFonts w:asciiTheme="minorEastAsia" w:eastAsiaTheme="minorEastAsia" w:hAnsiTheme="minorEastAsia" w:hint="eastAsia"/>
          <w:szCs w:val="21"/>
        </w:rPr>
        <w:t>1</w:t>
      </w:r>
      <w:r>
        <w:rPr>
          <w:rFonts w:asciiTheme="minorEastAsia" w:eastAsiaTheme="minorEastAsia" w:hAnsiTheme="minorEastAsia"/>
          <w:szCs w:val="21"/>
        </w:rPr>
        <w:t>4年</w:t>
      </w:r>
      <w:r>
        <w:rPr>
          <w:rFonts w:asciiTheme="minorEastAsia" w:eastAsiaTheme="minorEastAsia" w:hAnsiTheme="minorEastAsia" w:hint="eastAsia"/>
          <w:szCs w:val="21"/>
        </w:rPr>
        <w:t>7</w:t>
      </w:r>
      <w:r>
        <w:rPr>
          <w:rFonts w:asciiTheme="minorEastAsia" w:eastAsiaTheme="minorEastAsia" w:hAnsiTheme="minorEastAsia"/>
          <w:szCs w:val="21"/>
        </w:rPr>
        <w:t>月</w:t>
      </w:r>
      <w:r>
        <w:rPr>
          <w:rFonts w:asciiTheme="minorEastAsia" w:eastAsiaTheme="minorEastAsia" w:hAnsiTheme="minorEastAsia" w:hint="eastAsia"/>
          <w:szCs w:val="21"/>
        </w:rPr>
        <w:t>7</w:t>
      </w:r>
      <w:r>
        <w:rPr>
          <w:rFonts w:asciiTheme="minorEastAsia" w:eastAsiaTheme="minorEastAsia" w:hAnsiTheme="minorEastAsia"/>
          <w:szCs w:val="21"/>
        </w:rPr>
        <w:t>日颁布、同年</w:t>
      </w:r>
      <w:r>
        <w:rPr>
          <w:rFonts w:asciiTheme="minorEastAsia" w:eastAsiaTheme="minorEastAsia" w:hAnsiTheme="minorEastAsia" w:hint="eastAsia"/>
          <w:szCs w:val="21"/>
        </w:rPr>
        <w:t>8</w:t>
      </w:r>
      <w:r>
        <w:rPr>
          <w:rFonts w:asciiTheme="minorEastAsia" w:eastAsiaTheme="minorEastAsia" w:hAnsiTheme="minorEastAsia"/>
          <w:szCs w:val="21"/>
        </w:rPr>
        <w:t>月</w:t>
      </w:r>
      <w:r>
        <w:rPr>
          <w:rFonts w:asciiTheme="minorEastAsia" w:eastAsiaTheme="minorEastAsia" w:hAnsiTheme="minorEastAsia" w:hint="eastAsia"/>
          <w:szCs w:val="21"/>
        </w:rPr>
        <w:t>8</w:t>
      </w:r>
      <w:r>
        <w:rPr>
          <w:rFonts w:asciiTheme="minorEastAsia" w:eastAsiaTheme="minorEastAsia" w:hAnsiTheme="minorEastAsia"/>
          <w:szCs w:val="21"/>
        </w:rPr>
        <w:t>日实施的《</w:t>
      </w:r>
      <w:r>
        <w:rPr>
          <w:rFonts w:asciiTheme="minorEastAsia" w:eastAsiaTheme="minorEastAsia" w:hAnsiTheme="minorEastAsia" w:hint="eastAsia"/>
          <w:szCs w:val="21"/>
        </w:rPr>
        <w:t>公开募集</w:t>
      </w:r>
      <w:r>
        <w:rPr>
          <w:rFonts w:asciiTheme="minorEastAsia" w:eastAsiaTheme="minorEastAsia" w:hAnsiTheme="minorEastAsia"/>
          <w:szCs w:val="21"/>
        </w:rPr>
        <w:t>证券投资基金运作管理办法》及颁布机关对其不时做出的修订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5</w:t>
      </w:r>
      <w:r>
        <w:rPr>
          <w:rFonts w:asciiTheme="minorEastAsia" w:eastAsiaTheme="minorEastAsia" w:hAnsiTheme="minorEastAsia" w:hint="eastAsia"/>
          <w:szCs w:val="21"/>
        </w:rPr>
        <w:t>、《流动性风险管理规定》：指中国证监会2017年8月31日颁布、同年10月1日实施的《公开募集开放式证券投资基金流动性风险管理规定》及颁布机关对其不时做出的修订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lastRenderedPageBreak/>
        <w:t>16、中国证监会：指中国证券监督管理委员会</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17、银行业监督管理机构：指中国人民银行和/或</w:t>
      </w:r>
      <w:r>
        <w:rPr>
          <w:rFonts w:asciiTheme="minorEastAsia" w:hAnsiTheme="minorEastAsia" w:hint="eastAsia"/>
          <w:szCs w:val="21"/>
        </w:rPr>
        <w:t>中国银行保险监督管理委员会</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18、基金合同当事人：指受基金合同约束，根据基金合同享有权利并承担义务的法律主体，包括基金管理人、基金托管人和基金份额持有人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19、个人投资者：指依据有关法律法规规定可投资于证券投资基金的自然人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20、机构投资者：指依法可以投资证券投资基金的、在中华人民共和国境内合法登记并存续或经有关政府部门批准设立并存续的企业法人、事业法人、社会团体或其他组织</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r>
        <w:rPr>
          <w:rFonts w:asciiTheme="minorEastAsia" w:eastAsiaTheme="minorEastAsia" w:hAnsiTheme="minorEastAsia" w:hint="eastAsia"/>
          <w:szCs w:val="21"/>
        </w:rPr>
        <w:t>、特定机构投资者:</w:t>
      </w:r>
      <w:r>
        <w:rPr>
          <w:rFonts w:ascii="宋体" w:hAnsi="宋体" w:hint="eastAsia"/>
        </w:rPr>
        <w:t>指</w:t>
      </w:r>
      <w:r>
        <w:rPr>
          <w:rFonts w:ascii="宋体" w:hAnsi="宋体"/>
        </w:rPr>
        <w:t>全国社会保障基金、基本养老保险基金、企业年金基金</w:t>
      </w:r>
      <w:r>
        <w:rPr>
          <w:rFonts w:ascii="宋体" w:hAnsi="宋体" w:hint="eastAsia"/>
        </w:rPr>
        <w:t>和</w:t>
      </w:r>
      <w:r>
        <w:rPr>
          <w:rFonts w:ascii="宋体" w:hAnsi="宋体"/>
        </w:rPr>
        <w:t>职业年金基金</w:t>
      </w:r>
      <w:r>
        <w:rPr>
          <w:rFonts w:ascii="宋体" w:hAnsi="宋体" w:hint="eastAsia"/>
        </w:rPr>
        <w:t>等</w:t>
      </w:r>
      <w:r>
        <w:rPr>
          <w:rFonts w:ascii="宋体" w:hAnsi="宋体"/>
        </w:rPr>
        <w:t>机构投资者</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2</w:t>
      </w:r>
      <w:r>
        <w:rPr>
          <w:rFonts w:asciiTheme="minorEastAsia" w:eastAsiaTheme="minorEastAsia" w:hAnsiTheme="minorEastAsia" w:hint="eastAsia"/>
          <w:szCs w:val="21"/>
        </w:rPr>
        <w:t>、合格境外机构投资者：指符合《合格境外机构投资者境内证券投资管理办法》</w:t>
      </w:r>
      <w:r>
        <w:rPr>
          <w:rFonts w:asciiTheme="minorEastAsia" w:eastAsiaTheme="minorEastAsia" w:hAnsiTheme="minorEastAsia"/>
          <w:szCs w:val="21"/>
        </w:rPr>
        <w:t>（包括其不时修订</w:t>
      </w:r>
      <w:r>
        <w:rPr>
          <w:rFonts w:asciiTheme="minorEastAsia" w:eastAsiaTheme="minorEastAsia" w:hAnsiTheme="minorEastAsia" w:hint="eastAsia"/>
          <w:szCs w:val="21"/>
        </w:rPr>
        <w:t>）及相关法律法规规定可以投资于中国境内证券市场的中国境外的机构投资者</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3</w:t>
      </w:r>
      <w:r>
        <w:rPr>
          <w:rFonts w:asciiTheme="minorEastAsia" w:eastAsiaTheme="minorEastAsia" w:hAnsiTheme="minorEastAsia"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投资人：指个人投资者、机构投资者</w:t>
      </w:r>
      <w:r>
        <w:rPr>
          <w:rFonts w:asciiTheme="minorEastAsia" w:eastAsiaTheme="minorEastAsia" w:hAnsiTheme="minorEastAsia" w:hint="eastAsia"/>
          <w:szCs w:val="21"/>
        </w:rPr>
        <w:t>（含特定机构投资者）、</w:t>
      </w:r>
      <w:r>
        <w:rPr>
          <w:rFonts w:asciiTheme="minorEastAsia" w:eastAsiaTheme="minorEastAsia" w:hAnsiTheme="minorEastAsia"/>
          <w:szCs w:val="21"/>
        </w:rPr>
        <w:t>合格境外机构投资者</w:t>
      </w:r>
      <w:r>
        <w:rPr>
          <w:rFonts w:asciiTheme="minorEastAsia" w:eastAsiaTheme="minorEastAsia" w:hAnsiTheme="minorEastAsia" w:hint="eastAsia"/>
          <w:szCs w:val="21"/>
        </w:rPr>
        <w:t>和人民币合格境外机构投资者</w:t>
      </w:r>
      <w:r>
        <w:rPr>
          <w:rFonts w:asciiTheme="minorEastAsia" w:eastAsiaTheme="minorEastAsia" w:hAnsiTheme="minorEastAsia"/>
          <w:szCs w:val="21"/>
        </w:rPr>
        <w:t>以及法律法规或中国证监会允许购买证券投资基金的其他投资人的合称</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基金份额持有人：指依基金合同和招募说明书合法取得基金份额的投资人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基金销售业务：指基金管理人或销售机构宣传推介基金，发售基金份额，办理基金份额的申购、赎回、转换、转托管及</w:t>
      </w:r>
      <w:r>
        <w:rPr>
          <w:rFonts w:asciiTheme="minorEastAsia" w:eastAsiaTheme="minorEastAsia" w:hAnsiTheme="minorEastAsia" w:hint="eastAsia"/>
          <w:szCs w:val="21"/>
        </w:rPr>
        <w:t>定投</w:t>
      </w:r>
      <w:r>
        <w:rPr>
          <w:rFonts w:asciiTheme="minorEastAsia" w:eastAsiaTheme="minorEastAsia" w:hAnsiTheme="minorEastAsia"/>
          <w:szCs w:val="21"/>
        </w:rPr>
        <w:t>等业务</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7</w:t>
      </w:r>
      <w:r>
        <w:rPr>
          <w:rFonts w:asciiTheme="minorEastAsia" w:eastAsiaTheme="minorEastAsia" w:hAnsiTheme="minorEastAsia" w:hint="eastAsia"/>
          <w:bCs/>
          <w:szCs w:val="21"/>
        </w:rPr>
        <w:t>、</w:t>
      </w:r>
      <w:r>
        <w:rPr>
          <w:rFonts w:asciiTheme="minorEastAsia" w:eastAsiaTheme="minorEastAsia" w:hAnsiTheme="minorEastAsia"/>
          <w:bCs/>
          <w:szCs w:val="21"/>
        </w:rPr>
        <w:t>销售机构：指</w:t>
      </w:r>
      <w:r>
        <w:rPr>
          <w:rFonts w:asciiTheme="minorEastAsia" w:eastAsiaTheme="minorEastAsia" w:hAnsiTheme="minorEastAsia" w:hint="eastAsia"/>
          <w:bCs/>
          <w:szCs w:val="21"/>
        </w:rPr>
        <w:t>南方基金管理股份有限</w:t>
      </w:r>
      <w:r>
        <w:rPr>
          <w:rFonts w:asciiTheme="minorEastAsia" w:eastAsiaTheme="minorEastAsia" w:hAnsiTheme="minorEastAsia"/>
          <w:bCs/>
          <w:szCs w:val="21"/>
        </w:rPr>
        <w:t>公司以及符合《销售办法》和中国证监会规定的其他条件，取得基金</w:t>
      </w:r>
      <w:r>
        <w:rPr>
          <w:rFonts w:asciiTheme="minorEastAsia" w:eastAsiaTheme="minorEastAsia" w:hAnsiTheme="minorEastAsia" w:hint="eastAsia"/>
          <w:bCs/>
          <w:szCs w:val="21"/>
        </w:rPr>
        <w:t>销售</w:t>
      </w:r>
      <w:r>
        <w:rPr>
          <w:rFonts w:asciiTheme="minorEastAsia" w:eastAsiaTheme="minorEastAsia" w:hAnsiTheme="minorEastAsia"/>
          <w:bCs/>
          <w:szCs w:val="21"/>
        </w:rPr>
        <w:t>业务资格并与基金管理人签订了基金销售服务协议，办理基金销售业务的机构</w:t>
      </w:r>
      <w:r>
        <w:rPr>
          <w:rFonts w:asciiTheme="minorEastAsia" w:eastAsiaTheme="minorEastAsia" w:hAnsiTheme="minorEastAsia" w:hint="eastAsia"/>
          <w:bCs/>
          <w:szCs w:val="21"/>
        </w:rPr>
        <w:t>，以及可通过深圳证券交易所办理基金销售业务的会员单位。其中，可通过深圳证券交易所办理本基金销售业务的机构必须是具有基金销售业务资格、并经深圳证券交易所和中国证券登记结算有限责任公司认可的深圳证券交易所会员单位</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bCs/>
          <w:szCs w:val="21"/>
        </w:rPr>
        <w:t>28</w:t>
      </w:r>
      <w:r>
        <w:rPr>
          <w:rFonts w:asciiTheme="minorEastAsia" w:eastAsiaTheme="minorEastAsia" w:hAnsiTheme="minorEastAsia" w:hint="eastAsia"/>
          <w:bCs/>
          <w:szCs w:val="21"/>
        </w:rPr>
        <w:t>、场外：指通过深圳证券交易所外的销售机构进行基金份额认购、申购和赎回等业务的场所。通过该等场所办理基金份额的认购、申购、赎回也称为场外认购、场外申购、场外赎回</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9</w:t>
      </w:r>
      <w:r>
        <w:rPr>
          <w:rFonts w:asciiTheme="minorEastAsia" w:eastAsiaTheme="minorEastAsia" w:hAnsiTheme="minorEastAsia" w:hint="eastAsia"/>
          <w:bCs/>
          <w:szCs w:val="21"/>
        </w:rPr>
        <w:t>、场内：</w:t>
      </w:r>
      <w:r w:rsidR="00FA3CD7">
        <w:rPr>
          <w:rFonts w:asciiTheme="minorEastAsia" w:eastAsiaTheme="minorEastAsia" w:hAnsiTheme="minorEastAsia" w:hint="eastAsia"/>
          <w:bCs/>
          <w:szCs w:val="21"/>
        </w:rPr>
        <w:t>指通过深圳证券交易所内具有基金销售业务资格的会员单位通过深圳</w:t>
      </w:r>
      <w:r w:rsidR="00FA3CD7" w:rsidRPr="00FA3CD7">
        <w:rPr>
          <w:rFonts w:asciiTheme="minorEastAsia" w:eastAsiaTheme="minorEastAsia" w:hAnsiTheme="minorEastAsia" w:hint="eastAsia"/>
          <w:bCs/>
          <w:szCs w:val="21"/>
        </w:rPr>
        <w:t>证券交易所开放式基金销售系统进行基金份额认购、申购、赎回以及上市交易的场所。通过该等场所办理基金份额的认购、申购、赎回也称为场内认购、场内申购、场内赎回</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bCs/>
          <w:szCs w:val="21"/>
        </w:rPr>
        <w:t>30</w:t>
      </w:r>
      <w:r>
        <w:rPr>
          <w:rFonts w:asciiTheme="minorEastAsia" w:eastAsiaTheme="minorEastAsia" w:hAnsiTheme="minorEastAsia" w:hint="eastAsia"/>
          <w:bCs/>
          <w:szCs w:val="21"/>
        </w:rPr>
        <w:t>、</w:t>
      </w:r>
      <w:r>
        <w:rPr>
          <w:rFonts w:asciiTheme="minorEastAsia" w:eastAsiaTheme="minorEastAsia" w:hAnsiTheme="minorEastAsia"/>
          <w:bCs/>
          <w:szCs w:val="21"/>
        </w:rPr>
        <w:t>登记业务：</w:t>
      </w:r>
      <w:r>
        <w:rPr>
          <w:rFonts w:asciiTheme="minorEastAsia" w:eastAsiaTheme="minorEastAsia" w:hAnsiTheme="minorEastAsia" w:hint="eastAsia"/>
          <w:bCs/>
          <w:szCs w:val="21"/>
        </w:rPr>
        <w:t>指中国证券登记结算有限责任公司相关业务规则定义的基金份额的登记、存管、结算及相关业务，及其不时修订和补充</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登记机构：指办理登记业务的机构。基金的登记机构为</w:t>
      </w:r>
      <w:r>
        <w:rPr>
          <w:rFonts w:asciiTheme="minorEastAsia" w:eastAsiaTheme="minorEastAsia" w:hAnsiTheme="minorEastAsia" w:hint="eastAsia"/>
          <w:bCs/>
          <w:szCs w:val="21"/>
        </w:rPr>
        <w:t>南方基金管理股份有限公司</w:t>
      </w:r>
      <w:r>
        <w:rPr>
          <w:rFonts w:asciiTheme="minorEastAsia" w:eastAsiaTheme="minorEastAsia" w:hAnsiTheme="minorEastAsia"/>
          <w:bCs/>
          <w:szCs w:val="21"/>
        </w:rPr>
        <w:lastRenderedPageBreak/>
        <w:t>或接受</w:t>
      </w:r>
      <w:r>
        <w:rPr>
          <w:rFonts w:asciiTheme="minorEastAsia" w:eastAsiaTheme="minorEastAsia" w:hAnsiTheme="minorEastAsia" w:hint="eastAsia"/>
          <w:bCs/>
          <w:szCs w:val="21"/>
        </w:rPr>
        <w:t>南方基金管理股份有限公司</w:t>
      </w:r>
      <w:r>
        <w:rPr>
          <w:rFonts w:asciiTheme="minorEastAsia" w:eastAsiaTheme="minorEastAsia" w:hAnsiTheme="minorEastAsia"/>
          <w:bCs/>
          <w:szCs w:val="21"/>
        </w:rPr>
        <w:t>委托代为办理登记业务的机构</w:t>
      </w:r>
      <w:r>
        <w:rPr>
          <w:rFonts w:asciiTheme="minorEastAsia" w:eastAsiaTheme="minorEastAsia" w:hAnsiTheme="minorEastAsia" w:hint="eastAsia"/>
          <w:bCs/>
          <w:szCs w:val="21"/>
        </w:rPr>
        <w:t>，本基金的登记机构为中国证券登记结算有限责任公司</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2</w:t>
      </w:r>
      <w:r>
        <w:rPr>
          <w:rFonts w:asciiTheme="minorEastAsia" w:eastAsiaTheme="minorEastAsia" w:hAnsiTheme="minorEastAsia" w:hint="eastAsia"/>
          <w:bCs/>
          <w:szCs w:val="21"/>
        </w:rPr>
        <w:t>、登记结算系统：指中国证券登记结算有限责任公司开放式基金登记结算系统。投资人通过场外基金销售机构认购、申购所得的基金份额登记在本系统下</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3</w:t>
      </w:r>
      <w:r>
        <w:rPr>
          <w:rFonts w:asciiTheme="minorEastAsia" w:eastAsiaTheme="minorEastAsia" w:hAnsiTheme="minorEastAsia" w:hint="eastAsia"/>
          <w:bCs/>
          <w:szCs w:val="21"/>
        </w:rPr>
        <w:t>、证券登记系统：指中国证券登记结算有限责任公司深圳分公司证券登记系统。</w:t>
      </w:r>
      <w:r w:rsidR="007E7221" w:rsidRPr="007E7221">
        <w:rPr>
          <w:rFonts w:asciiTheme="minorEastAsia" w:eastAsiaTheme="minorEastAsia" w:hAnsiTheme="minorEastAsia" w:hint="eastAsia"/>
          <w:bCs/>
          <w:szCs w:val="21"/>
        </w:rPr>
        <w:t>投资人通过场内会员单位认购、申购或买入所得的基金份额登记在本系统下</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4</w:t>
      </w:r>
      <w:r>
        <w:rPr>
          <w:rFonts w:asciiTheme="minorEastAsia" w:eastAsiaTheme="minorEastAsia" w:hAnsiTheme="minorEastAsia" w:hint="eastAsia"/>
          <w:bCs/>
          <w:szCs w:val="21"/>
        </w:rPr>
        <w:t>、开放式基金账户：指投资人通过场外销售机构在中国证券登记结算有限责任公司注册的开放式基金账户，用于记录其持有的、基金管理人所管理的基金份额余额及其变动情况的账户</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5</w:t>
      </w:r>
      <w:r>
        <w:rPr>
          <w:rFonts w:asciiTheme="minorEastAsia" w:eastAsiaTheme="minorEastAsia" w:hAnsiTheme="minorEastAsia" w:hint="eastAsia"/>
          <w:bCs/>
          <w:szCs w:val="21"/>
        </w:rPr>
        <w:t>、</w:t>
      </w:r>
      <w:r>
        <w:rPr>
          <w:rFonts w:asciiTheme="minorEastAsia" w:eastAsiaTheme="minorEastAsia" w:hAnsiTheme="minorEastAsia"/>
          <w:bCs/>
          <w:szCs w:val="21"/>
        </w:rPr>
        <w:t>基金交易账户：指销售机构为投资人开立的、记录投资人通过该销售机构</w:t>
      </w:r>
      <w:r>
        <w:rPr>
          <w:rFonts w:asciiTheme="minorEastAsia" w:eastAsiaTheme="minorEastAsia" w:hAnsiTheme="minorEastAsia" w:hint="eastAsia"/>
          <w:bCs/>
          <w:szCs w:val="21"/>
        </w:rPr>
        <w:t>办理基金业务而引起</w:t>
      </w:r>
      <w:r>
        <w:rPr>
          <w:rFonts w:asciiTheme="minorEastAsia" w:eastAsiaTheme="minorEastAsia" w:hAnsiTheme="minorEastAsia"/>
          <w:bCs/>
          <w:szCs w:val="21"/>
        </w:rPr>
        <w:t>的基金份额变动及结余情况的账户</w:t>
      </w:r>
    </w:p>
    <w:p w:rsidR="006E1FE1" w:rsidRDefault="00F51CE7">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6</w:t>
      </w:r>
      <w:r>
        <w:rPr>
          <w:rFonts w:asciiTheme="minorEastAsia" w:eastAsiaTheme="minorEastAsia" w:hAnsiTheme="minorEastAsia" w:hint="eastAsia"/>
          <w:bCs/>
          <w:szCs w:val="21"/>
        </w:rPr>
        <w:t>、深圳证券账户：指投资人在中国证券登记结算有限责任公司深圳分公司开立的深圳证券交易所人民币普通股票账户（即A股账户）或证券投资基金账户</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基金合同生效日：指基金募集达到法律法规规定及基金合同规定的条件，基金管理人向中国证监会办理基金备案手续完毕，并获得中国证监会书面确认的日期</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基金合同终止日：指基金合同规定的基金合同终止事由出现后，基金财产清算完毕，清算结果报中国证监会备案并予以公告的日期</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基金募集期：指自基金份额发售之日起至发售结束之日止的期间，最长不得超过</w:t>
      </w:r>
      <w:r>
        <w:rPr>
          <w:rFonts w:asciiTheme="minorEastAsia" w:eastAsiaTheme="minorEastAsia" w:hAnsiTheme="minorEastAsia" w:hint="eastAsia"/>
          <w:szCs w:val="21"/>
        </w:rPr>
        <w:t>3</w:t>
      </w:r>
      <w:r>
        <w:rPr>
          <w:rFonts w:asciiTheme="minorEastAsia" w:eastAsiaTheme="minorEastAsia" w:hAnsiTheme="minorEastAsia"/>
          <w:szCs w:val="21"/>
        </w:rPr>
        <w:t>个月</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40</w:t>
      </w:r>
      <w:r>
        <w:rPr>
          <w:rFonts w:asciiTheme="minorEastAsia" w:eastAsiaTheme="minorEastAsia" w:hAnsiTheme="minorEastAsia" w:hint="eastAsia"/>
          <w:szCs w:val="21"/>
        </w:rPr>
        <w:t>、</w:t>
      </w:r>
      <w:r>
        <w:rPr>
          <w:rFonts w:asciiTheme="minorEastAsia" w:eastAsiaTheme="minorEastAsia" w:hAnsiTheme="minorEastAsia"/>
          <w:szCs w:val="21"/>
        </w:rPr>
        <w:t>存续期：指基金合同生效至终止之间的不定期期限</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工作日：指上海证券交易所</w:t>
      </w:r>
      <w:r>
        <w:rPr>
          <w:rFonts w:asciiTheme="minorEastAsia" w:eastAsiaTheme="minorEastAsia" w:hAnsiTheme="minorEastAsia" w:hint="eastAsia"/>
          <w:szCs w:val="21"/>
        </w:rPr>
        <w:t>、深圳证券交易所</w:t>
      </w:r>
      <w:r>
        <w:rPr>
          <w:rFonts w:asciiTheme="minorEastAsia" w:eastAsiaTheme="minorEastAsia" w:hAnsiTheme="minorEastAsia"/>
          <w:szCs w:val="21"/>
        </w:rPr>
        <w:t>的正常交易日</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T日：指销售机构在规定时间受理投资人申购、赎回或其他业务申请的开放日</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T+n日：指自T日起第n个工作日(不包含T日)</w:t>
      </w:r>
      <w:r>
        <w:rPr>
          <w:rFonts w:asciiTheme="minorEastAsia" w:eastAsiaTheme="minorEastAsia" w:hAnsiTheme="minorEastAsia" w:hint="eastAsia"/>
          <w:szCs w:val="21"/>
        </w:rPr>
        <w:t>，n为自然数</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44、定期开放：指本基金采取的在封闭期内封闭运作、封闭期与封闭期之间定期开放的运作模式</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45</w:t>
      </w:r>
      <w:r>
        <w:rPr>
          <w:rFonts w:asciiTheme="minorEastAsia" w:eastAsiaTheme="minorEastAsia" w:hAnsiTheme="minorEastAsia" w:hint="eastAsia"/>
          <w:szCs w:val="21"/>
        </w:rPr>
        <w:t>、开放期：本基金开放申购、赎回等业务的期间。本基金自基金合同生效后，每两年开放一次申购和赎回，每个开放期的起始日为基金合同生效日每两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6</w:t>
      </w:r>
      <w:r>
        <w:rPr>
          <w:rFonts w:asciiTheme="minorEastAsia" w:eastAsiaTheme="minorEastAsia" w:hAnsiTheme="minorEastAsia" w:hint="eastAsia"/>
          <w:szCs w:val="21"/>
        </w:rPr>
        <w:t>、封闭期：本基金首个封闭期为自基金合同生效日（含该日）起至第一个开放期的首日（不含该日）之间的期间，之后的封闭期为每相邻两个开放期之间的期间。本基金在封闭期内不办理申购与赎回业务</w:t>
      </w:r>
    </w:p>
    <w:p w:rsidR="006E1FE1" w:rsidRDefault="00F51CE7">
      <w:pPr>
        <w:adjustRightInd w:val="0"/>
        <w:snapToGrid w:val="0"/>
        <w:spacing w:line="360" w:lineRule="auto"/>
        <w:ind w:firstLineChars="200" w:firstLine="420"/>
        <w:rPr>
          <w:rFonts w:ascii="宋体" w:hAnsi="宋体"/>
          <w:bCs/>
          <w:szCs w:val="21"/>
        </w:rPr>
      </w:pPr>
      <w:r>
        <w:rPr>
          <w:rFonts w:asciiTheme="minorEastAsia" w:eastAsiaTheme="minorEastAsia" w:hAnsiTheme="minorEastAsia" w:hint="eastAsia"/>
          <w:szCs w:val="21"/>
        </w:rPr>
        <w:t>4</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宋体" w:hAnsi="宋体" w:hint="eastAsia"/>
          <w:bCs/>
          <w:szCs w:val="21"/>
        </w:rPr>
        <w:t>对日：</w:t>
      </w:r>
      <w:r>
        <w:rPr>
          <w:rFonts w:ascii="宋体" w:hAnsi="宋体" w:hint="eastAsia"/>
          <w:szCs w:val="21"/>
        </w:rPr>
        <w:t>指某一特定日期在后续日历年中的对应日期，如该对应日期为非工作日或无</w:t>
      </w:r>
      <w:r>
        <w:rPr>
          <w:rFonts w:ascii="宋体" w:hAnsi="宋体" w:hint="eastAsia"/>
          <w:szCs w:val="21"/>
        </w:rPr>
        <w:lastRenderedPageBreak/>
        <w:t>对应日期，则顺延至下一工作日</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8</w:t>
      </w:r>
      <w:r>
        <w:rPr>
          <w:rFonts w:asciiTheme="minorEastAsia" w:eastAsiaTheme="minorEastAsia" w:hAnsiTheme="minorEastAsia" w:hint="eastAsia"/>
          <w:szCs w:val="21"/>
        </w:rPr>
        <w:t>、开放日：指开放期内为投资人办理基金份额申购、赎回或其他业务的工作日（若该工作日为非港股通交易日，则本基金可不开放，具体以届时提前发布的公告为准）</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开放时间：指开放日基金接受申购、赎回或其他交易的时间段</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《业务规则》：</w:t>
      </w:r>
      <w:r>
        <w:rPr>
          <w:rFonts w:asciiTheme="minorEastAsia" w:eastAsiaTheme="minorEastAsia" w:hAnsiTheme="minorEastAsia" w:hint="eastAsia"/>
          <w:bCs/>
          <w:szCs w:val="21"/>
        </w:rPr>
        <w:t>指南方基金管理股份有限公司、深圳证券交易所、中国证券登记结算有限责任公司及销售机构的相关业务规则及对其不时做出的修订</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51</w:t>
      </w:r>
      <w:r>
        <w:rPr>
          <w:rFonts w:asciiTheme="minorEastAsia" w:eastAsiaTheme="minorEastAsia" w:hAnsiTheme="minorEastAsia" w:hint="eastAsia"/>
          <w:szCs w:val="21"/>
        </w:rPr>
        <w:t>、</w:t>
      </w:r>
      <w:r>
        <w:rPr>
          <w:rFonts w:asciiTheme="minorEastAsia" w:eastAsiaTheme="minorEastAsia" w:hAnsiTheme="minorEastAsia"/>
          <w:szCs w:val="21"/>
        </w:rPr>
        <w:t>认购：指在基金募集期内，投资人根据基金合同和招募说明书的规定申请购买基金份额的行为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52</w:t>
      </w:r>
      <w:r>
        <w:rPr>
          <w:rFonts w:asciiTheme="minorEastAsia" w:eastAsiaTheme="minorEastAsia" w:hAnsiTheme="minorEastAsia" w:hint="eastAsia"/>
          <w:szCs w:val="21"/>
        </w:rPr>
        <w:t>、</w:t>
      </w:r>
      <w:r>
        <w:rPr>
          <w:rFonts w:asciiTheme="minorEastAsia" w:eastAsiaTheme="minorEastAsia" w:hAnsiTheme="minorEastAsia"/>
          <w:szCs w:val="21"/>
        </w:rPr>
        <w:t>申购：</w:t>
      </w:r>
      <w:r>
        <w:rPr>
          <w:rFonts w:asciiTheme="minorEastAsia" w:eastAsiaTheme="minorEastAsia" w:hAnsiTheme="minorEastAsia" w:hint="eastAsia"/>
          <w:szCs w:val="21"/>
        </w:rPr>
        <w:t>指基金合同生效后的开放期内，投资人根据基金合同和招募说明书的规定申请购买基金份额的行为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w:t>
      </w:r>
      <w:r>
        <w:rPr>
          <w:rFonts w:asciiTheme="minorEastAsia" w:eastAsiaTheme="minorEastAsia" w:hAnsiTheme="minorEastAsia" w:hint="eastAsia"/>
          <w:szCs w:val="21"/>
        </w:rPr>
        <w:t>、赎回：指基金合同生效后的开放期内，基金份额持有人按基金合同和招募说明书规定的条件要求将基金份额兑换为现金的行为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基金转换：指基金份额持有人按照本基金合同和基金管理人届时有效公告规定的条件，申请将其持有基金管理人管理的、某一基金的基金份额转换为基金管理人管理的其他基金份额的行为</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转托管：指基金份额持有人在本基金的不同销售机构之间实施的变更所持基金份额销售机构的操作</w:t>
      </w:r>
      <w:r>
        <w:rPr>
          <w:rFonts w:asciiTheme="minorEastAsia" w:eastAsiaTheme="minorEastAsia" w:hAnsiTheme="minorEastAsia" w:hint="eastAsia"/>
          <w:szCs w:val="21"/>
        </w:rPr>
        <w:t>，包括系统内转托管和跨系统转托管</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56</w:t>
      </w:r>
      <w:r>
        <w:rPr>
          <w:rFonts w:asciiTheme="minorEastAsia" w:eastAsiaTheme="minorEastAsia" w:hAnsiTheme="minorEastAsia" w:hint="eastAsia"/>
          <w:szCs w:val="21"/>
        </w:rPr>
        <w:t>、定投计划：指投资人通过有关销售机构提出申请，约定每期申购日、扣款金额及扣款方式，由销售机构于每期约定扣款日在投资人指定银行账户内自动完成扣款及受理基金申购申请的一种投资方式</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57</w:t>
      </w:r>
      <w:r>
        <w:rPr>
          <w:rFonts w:asciiTheme="minorEastAsia" w:eastAsiaTheme="minorEastAsia" w:hAnsiTheme="minorEastAsia" w:hint="eastAsia"/>
          <w:szCs w:val="21"/>
        </w:rPr>
        <w:t>、巨额赎回：指本基金开放期内单个开放日，基金净赎回申请(赎回申请份额总数加上基金转换中转出申请份额总数后扣除申购申请份额总数及基金转换中转入申请份额总数后的余额)超过上一工作日基金总份额的20%</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元：指人民币元</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9</w:t>
      </w:r>
      <w:r>
        <w:rPr>
          <w:rFonts w:asciiTheme="minorEastAsia" w:eastAsiaTheme="minorEastAsia" w:hAnsiTheme="minorEastAsia" w:hint="eastAsia"/>
          <w:szCs w:val="21"/>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r>
        <w:rPr>
          <w:rFonts w:asciiTheme="minorEastAsia" w:eastAsiaTheme="minorEastAsia" w:hAnsiTheme="minorEastAsia"/>
          <w:szCs w:val="21"/>
        </w:rPr>
        <w:t>法律法规或中国证监会另有规定的，从其规定</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60</w:t>
      </w:r>
      <w:r>
        <w:rPr>
          <w:rFonts w:asciiTheme="minorEastAsia" w:eastAsiaTheme="minorEastAsia" w:hAnsiTheme="minorEastAsia"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61</w:t>
      </w:r>
      <w:r>
        <w:rPr>
          <w:rFonts w:asciiTheme="minorEastAsia" w:eastAsiaTheme="minorEastAsia" w:hAnsiTheme="minorEastAsia" w:hint="eastAsia"/>
          <w:szCs w:val="21"/>
        </w:rPr>
        <w:t>、</w:t>
      </w:r>
      <w:r>
        <w:rPr>
          <w:rFonts w:asciiTheme="minorEastAsia" w:eastAsiaTheme="minorEastAsia" w:hAnsiTheme="minorEastAsia"/>
          <w:szCs w:val="21"/>
        </w:rPr>
        <w:t>基金</w:t>
      </w:r>
      <w:r>
        <w:rPr>
          <w:rFonts w:asciiTheme="minorEastAsia" w:eastAsiaTheme="minorEastAsia" w:hAnsiTheme="minorEastAsia" w:hint="eastAsia"/>
          <w:szCs w:val="21"/>
        </w:rPr>
        <w:t>利润</w:t>
      </w:r>
      <w:r>
        <w:rPr>
          <w:rFonts w:asciiTheme="minorEastAsia" w:eastAsiaTheme="minorEastAsia" w:hAnsiTheme="minorEastAsia"/>
          <w:szCs w:val="21"/>
        </w:rPr>
        <w:t>：指基金</w:t>
      </w:r>
      <w:r>
        <w:rPr>
          <w:rFonts w:asciiTheme="minorEastAsia" w:eastAsiaTheme="minorEastAsia" w:hAnsiTheme="minorEastAsia" w:hint="eastAsia"/>
          <w:szCs w:val="21"/>
        </w:rPr>
        <w:t>利息收入、投资收益、公允价值变动收益和其他收入扣除相关费用后的余额</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lastRenderedPageBreak/>
        <w:t>62</w:t>
      </w:r>
      <w:r>
        <w:rPr>
          <w:rFonts w:asciiTheme="minorEastAsia" w:eastAsiaTheme="minorEastAsia" w:hAnsiTheme="minorEastAsia" w:hint="eastAsia"/>
          <w:szCs w:val="21"/>
        </w:rPr>
        <w:t>、</w:t>
      </w:r>
      <w:r>
        <w:rPr>
          <w:rFonts w:asciiTheme="minorEastAsia" w:eastAsiaTheme="minorEastAsia" w:hAnsiTheme="minorEastAsia"/>
          <w:szCs w:val="21"/>
        </w:rPr>
        <w:t>基金资产总值：指基金拥有的各类有价证券、银行存款本息、基金应收申购款及其他资产的价值总和</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基金资产净值：指基金资产总值减去基金负债后的价值</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基金份额净值：指计算日基金资产净值除以计算日基金份额总数</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基金资产估值：指计算评估基金资产和负债的价值，以确定基金资产净值和基金份额净值的过程</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规定媒介：</w:t>
      </w:r>
      <w:r>
        <w:rPr>
          <w:rFonts w:asciiTheme="minorEastAsia" w:eastAsiaTheme="minorEastAsia" w:hAnsiTheme="minorEastAsia" w:hint="eastAsia"/>
          <w:szCs w:val="21"/>
        </w:rPr>
        <w:t>指符合中国证监会</w:t>
      </w:r>
      <w:r>
        <w:rPr>
          <w:rFonts w:asciiTheme="minorEastAsia" w:eastAsiaTheme="minorEastAsia" w:hAnsiTheme="minorEastAsia"/>
          <w:szCs w:val="21"/>
        </w:rPr>
        <w:t>规定条件</w:t>
      </w:r>
      <w:r>
        <w:rPr>
          <w:rFonts w:asciiTheme="minorEastAsia" w:eastAsiaTheme="minorEastAsia" w:hAnsiTheme="minorEastAsia" w:hint="eastAsia"/>
          <w:szCs w:val="21"/>
        </w:rPr>
        <w:t>的用以进行信息披露的全国性报刊及</w:t>
      </w:r>
      <w:r>
        <w:rPr>
          <w:rFonts w:asciiTheme="minorEastAsia" w:eastAsiaTheme="minorEastAsia" w:hAnsiTheme="minorEastAsia" w:hint="eastAsia"/>
          <w:bCs/>
          <w:szCs w:val="21"/>
        </w:rPr>
        <w:t>《信息披露办法》规定的</w:t>
      </w:r>
      <w:r>
        <w:rPr>
          <w:rFonts w:asciiTheme="minorEastAsia" w:eastAsiaTheme="minorEastAsia" w:hAnsiTheme="minorEastAsia" w:hint="eastAsia"/>
          <w:szCs w:val="21"/>
        </w:rPr>
        <w:t>互联网网站（包括基金管理人网站、基金托管人网站、中国证监会基金电子披露网站）等媒介</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7</w:t>
      </w:r>
      <w:r>
        <w:rPr>
          <w:rFonts w:asciiTheme="minorEastAsia" w:eastAsiaTheme="minorEastAsia" w:hAnsiTheme="minorEastAsia" w:hint="eastAsia"/>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8</w:t>
      </w:r>
      <w:r>
        <w:rPr>
          <w:rFonts w:asciiTheme="minorEastAsia" w:eastAsiaTheme="minorEastAsia" w:hAnsiTheme="minorEastAsia" w:hint="eastAsia"/>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6E1FE1" w:rsidRDefault="00F51CE7">
      <w:pPr>
        <w:adjustRightInd w:val="0"/>
        <w:snapToGrid w:val="0"/>
        <w:spacing w:line="360" w:lineRule="auto"/>
        <w:ind w:firstLineChars="201" w:firstLine="422"/>
        <w:rPr>
          <w:rFonts w:ascii="MS Gothic" w:eastAsia="MS Gothic" w:hAnsi="MS Gothic" w:cs="MS Gothic"/>
          <w:szCs w:val="21"/>
        </w:rPr>
      </w:pPr>
      <w:r>
        <w:rPr>
          <w:rFonts w:asciiTheme="minorEastAsia" w:eastAsiaTheme="minorEastAsia" w:hAnsiTheme="minorEastAsia" w:hint="eastAsia"/>
          <w:szCs w:val="21"/>
        </w:rPr>
        <w:t>6</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不可抗力：指本</w:t>
      </w:r>
      <w:r>
        <w:rPr>
          <w:rFonts w:asciiTheme="minorEastAsia" w:eastAsiaTheme="minorEastAsia" w:hAnsiTheme="minorEastAsia" w:hint="eastAsia"/>
          <w:szCs w:val="21"/>
        </w:rPr>
        <w:t>基金</w:t>
      </w:r>
      <w:r>
        <w:rPr>
          <w:rFonts w:asciiTheme="minorEastAsia" w:eastAsiaTheme="minorEastAsia" w:hAnsiTheme="minorEastAsia"/>
          <w:szCs w:val="21"/>
        </w:rPr>
        <w:t>合同当事人不能预见、不能避免且不能克服的客观事件</w:t>
      </w:r>
    </w:p>
    <w:p w:rsidR="006E1FE1" w:rsidRDefault="00F51CE7">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以上释义中涉及法律法规、业务规则的内容，法律法规、业务规则修订后，如适用本基金，相关内容以修订后法律法规、业务规则为准。</w:t>
      </w:r>
    </w:p>
    <w:p w:rsidR="006E1FE1" w:rsidRDefault="006E1FE1">
      <w:pPr>
        <w:adjustRightInd w:val="0"/>
        <w:snapToGrid w:val="0"/>
        <w:spacing w:line="360" w:lineRule="auto"/>
        <w:rPr>
          <w:bCs/>
          <w:szCs w:val="21"/>
        </w:rPr>
      </w:pPr>
    </w:p>
    <w:p w:rsidR="006E1FE1" w:rsidRDefault="00F51CE7">
      <w:pPr>
        <w:widowControl/>
        <w:jc w:val="left"/>
        <w:rPr>
          <w:b/>
          <w:kern w:val="0"/>
          <w:sz w:val="32"/>
          <w:szCs w:val="21"/>
        </w:rPr>
      </w:pPr>
      <w:bookmarkStart w:id="52" w:name="_Toc20627"/>
      <w:bookmarkStart w:id="53" w:name="_Toc18631"/>
      <w:bookmarkStart w:id="54" w:name="_Toc733"/>
      <w:bookmarkStart w:id="55" w:name="_Toc20318"/>
      <w:bookmarkStart w:id="56" w:name="_Toc22708"/>
      <w:bookmarkStart w:id="57" w:name="_Toc6683"/>
      <w:bookmarkStart w:id="58" w:name="_Toc13288"/>
      <w:bookmarkStart w:id="59" w:name="_Toc6149"/>
      <w:bookmarkStart w:id="60" w:name="_Toc24571"/>
      <w:bookmarkStart w:id="61" w:name="_Toc545"/>
      <w:bookmarkStart w:id="62" w:name="_Toc516479980"/>
      <w:bookmarkStart w:id="63" w:name="_Toc5246"/>
      <w:bookmarkStart w:id="64" w:name="_Toc233456272"/>
      <w:bookmarkStart w:id="65" w:name="_Toc258829400"/>
      <w:r>
        <w:rPr>
          <w:sz w:val="32"/>
          <w:szCs w:val="21"/>
        </w:rPr>
        <w:br w:type="page"/>
      </w:r>
    </w:p>
    <w:p w:rsidR="006E1FE1" w:rsidRDefault="00F51CE7">
      <w:pPr>
        <w:pStyle w:val="1"/>
        <w:adjustRightInd w:val="0"/>
        <w:snapToGrid w:val="0"/>
        <w:spacing w:before="0" w:after="0"/>
        <w:jc w:val="center"/>
        <w:rPr>
          <w:rFonts w:ascii="Times New Roman"/>
          <w:color w:val="auto"/>
          <w:sz w:val="32"/>
          <w:szCs w:val="21"/>
        </w:rPr>
      </w:pPr>
      <w:r>
        <w:rPr>
          <w:rFonts w:ascii="Times New Roman"/>
          <w:color w:val="auto"/>
          <w:sz w:val="32"/>
          <w:szCs w:val="21"/>
        </w:rPr>
        <w:lastRenderedPageBreak/>
        <w:t>第三部分</w:t>
      </w:r>
      <w:r>
        <w:rPr>
          <w:rFonts w:ascii="Times New Roman" w:hint="eastAsia"/>
          <w:color w:val="auto"/>
          <w:sz w:val="32"/>
          <w:szCs w:val="21"/>
        </w:rPr>
        <w:t xml:space="preserve">  </w:t>
      </w:r>
      <w:r>
        <w:rPr>
          <w:rFonts w:ascii="Times New Roman"/>
          <w:color w:val="auto"/>
          <w:sz w:val="32"/>
          <w:szCs w:val="21"/>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rsidR="006E1FE1" w:rsidRDefault="006E1FE1">
      <w:pPr>
        <w:adjustRightInd w:val="0"/>
        <w:snapToGrid w:val="0"/>
        <w:spacing w:line="360" w:lineRule="auto"/>
        <w:ind w:firstLineChars="200" w:firstLine="420"/>
        <w:rPr>
          <w:bCs/>
          <w:szCs w:val="21"/>
        </w:rPr>
      </w:pPr>
      <w:bookmarkStart w:id="67" w:name="_Hlt88031774"/>
      <w:bookmarkStart w:id="68" w:name="_Hlt88031741"/>
      <w:bookmarkEnd w:id="67"/>
    </w:p>
    <w:bookmarkEnd w:id="66"/>
    <w:bookmarkEnd w:id="68"/>
    <w:p w:rsidR="006E1FE1" w:rsidRDefault="00F51CE7">
      <w:pPr>
        <w:adjustRightInd w:val="0"/>
        <w:snapToGrid w:val="0"/>
        <w:spacing w:line="360" w:lineRule="auto"/>
        <w:ind w:firstLine="420"/>
        <w:rPr>
          <w:rFonts w:ascii="宋体" w:hAnsi="宋体"/>
          <w:b/>
          <w:szCs w:val="21"/>
        </w:rPr>
      </w:pPr>
      <w:r>
        <w:rPr>
          <w:rFonts w:ascii="宋体" w:hAnsi="宋体"/>
          <w:b/>
          <w:szCs w:val="21"/>
        </w:rPr>
        <w:t>一、基金名称</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南方创业板2年定期开放混合型证券投资基金</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bookmarkStart w:id="69" w:name="_Toc79392574"/>
      <w:r>
        <w:rPr>
          <w:rFonts w:ascii="宋体" w:hAnsi="宋体"/>
          <w:b/>
          <w:szCs w:val="21"/>
        </w:rPr>
        <w:t>二、基金的类别</w:t>
      </w:r>
      <w:bookmarkEnd w:id="69"/>
    </w:p>
    <w:p w:rsidR="006E1FE1" w:rsidRDefault="00F51CE7">
      <w:pPr>
        <w:adjustRightInd w:val="0"/>
        <w:snapToGrid w:val="0"/>
        <w:spacing w:line="360" w:lineRule="auto"/>
        <w:ind w:firstLine="420"/>
        <w:rPr>
          <w:rFonts w:ascii="宋体" w:hAnsi="宋体"/>
          <w:szCs w:val="21"/>
        </w:rPr>
      </w:pPr>
      <w:r>
        <w:rPr>
          <w:rFonts w:ascii="宋体" w:hAnsi="宋体" w:hint="eastAsia"/>
          <w:szCs w:val="21"/>
        </w:rPr>
        <w:t>混合型</w:t>
      </w:r>
      <w:r>
        <w:rPr>
          <w:rFonts w:ascii="宋体" w:hAnsi="宋体"/>
          <w:szCs w:val="21"/>
        </w:rPr>
        <w:t>证券投资基金</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bookmarkStart w:id="70" w:name="_Toc79392575"/>
      <w:r>
        <w:rPr>
          <w:rFonts w:ascii="宋体" w:hAnsi="宋体"/>
          <w:b/>
          <w:szCs w:val="21"/>
        </w:rPr>
        <w:t>三、基金的运作方式</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契约型开放式</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本基金以定期开放方式运作，即采取在封闭期内封闭运作、封闭期与封闭期之间定期开放的运作方式。</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基金合同生效后，每两年开放一次申购和赎回，每个开放期的起始日为基金合同生效日每两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本基金首个封闭期为自基金合同生效日（含该日）起至第一个开放期的首日（不含该日）之间的期间，之后的封闭期为每相邻两个开放期之间的期间。本基金在封闭期内不办理申购与赎回业务。</w:t>
      </w:r>
    </w:p>
    <w:p w:rsidR="006E1FE1" w:rsidRDefault="00F51CE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6E1FE1" w:rsidRDefault="006E1FE1">
      <w:pPr>
        <w:adjustRightInd w:val="0"/>
        <w:snapToGrid w:val="0"/>
        <w:spacing w:line="360" w:lineRule="auto"/>
        <w:rPr>
          <w:rFonts w:ascii="宋体" w:hAnsi="宋体"/>
          <w:szCs w:val="21"/>
        </w:rPr>
      </w:pPr>
    </w:p>
    <w:p w:rsidR="006E1FE1" w:rsidRDefault="00F51CE7">
      <w:pPr>
        <w:adjustRightInd w:val="0"/>
        <w:snapToGrid w:val="0"/>
        <w:spacing w:line="360" w:lineRule="auto"/>
        <w:ind w:firstLine="420"/>
        <w:rPr>
          <w:rFonts w:ascii="宋体" w:hAnsi="宋体"/>
          <w:b/>
          <w:bCs/>
          <w:szCs w:val="21"/>
        </w:rPr>
      </w:pPr>
      <w:r>
        <w:rPr>
          <w:rFonts w:ascii="宋体" w:hAnsi="宋体"/>
          <w:b/>
          <w:szCs w:val="21"/>
        </w:rPr>
        <w:t>四、</w:t>
      </w:r>
      <w:r>
        <w:rPr>
          <w:rFonts w:ascii="宋体" w:hAnsi="宋体" w:hint="eastAsia"/>
          <w:b/>
          <w:bCs/>
          <w:szCs w:val="21"/>
        </w:rPr>
        <w:t>上市交易所</w:t>
      </w:r>
    </w:p>
    <w:p w:rsidR="006E1FE1" w:rsidRDefault="00F51CE7">
      <w:pPr>
        <w:adjustRightInd w:val="0"/>
        <w:snapToGrid w:val="0"/>
        <w:spacing w:line="360" w:lineRule="auto"/>
        <w:ind w:firstLine="420"/>
        <w:rPr>
          <w:bCs/>
          <w:szCs w:val="21"/>
        </w:rPr>
      </w:pPr>
      <w:r>
        <w:rPr>
          <w:rFonts w:hint="eastAsia"/>
          <w:bCs/>
          <w:szCs w:val="21"/>
        </w:rPr>
        <w:t>深圳证券交易所</w:t>
      </w:r>
    </w:p>
    <w:p w:rsidR="006E1FE1" w:rsidRDefault="006E1FE1">
      <w:pPr>
        <w:adjustRightInd w:val="0"/>
        <w:snapToGrid w:val="0"/>
        <w:spacing w:line="360" w:lineRule="auto"/>
        <w:ind w:firstLine="420"/>
        <w:rPr>
          <w:rFonts w:ascii="宋体" w:hAnsi="宋体"/>
          <w:b/>
          <w:szCs w:val="21"/>
        </w:rPr>
      </w:pPr>
    </w:p>
    <w:p w:rsidR="006E1FE1" w:rsidRDefault="00F51CE7">
      <w:pPr>
        <w:adjustRightInd w:val="0"/>
        <w:snapToGrid w:val="0"/>
        <w:spacing w:line="360" w:lineRule="auto"/>
        <w:ind w:firstLine="420"/>
        <w:rPr>
          <w:rFonts w:ascii="宋体" w:hAnsi="宋体"/>
          <w:b/>
          <w:szCs w:val="21"/>
        </w:rPr>
      </w:pPr>
      <w:r>
        <w:rPr>
          <w:rFonts w:ascii="宋体" w:hAnsi="宋体" w:hint="eastAsia"/>
          <w:b/>
          <w:szCs w:val="21"/>
        </w:rPr>
        <w:t>五、</w:t>
      </w:r>
      <w:r>
        <w:rPr>
          <w:rFonts w:ascii="宋体" w:hAnsi="宋体"/>
          <w:b/>
          <w:szCs w:val="21"/>
        </w:rPr>
        <w:t>基金的投资目标</w:t>
      </w:r>
      <w:bookmarkEnd w:id="70"/>
    </w:p>
    <w:p w:rsidR="006E1FE1" w:rsidRDefault="00F51CE7">
      <w:pPr>
        <w:adjustRightInd w:val="0"/>
        <w:snapToGrid w:val="0"/>
        <w:spacing w:line="360" w:lineRule="auto"/>
        <w:ind w:firstLine="420"/>
        <w:rPr>
          <w:szCs w:val="21"/>
        </w:rPr>
      </w:pPr>
      <w:r>
        <w:rPr>
          <w:rFonts w:hint="eastAsia"/>
          <w:szCs w:val="21"/>
        </w:rPr>
        <w:t>在严格控制风险的前提下，追求超越业绩比较基准的投资回报，力争实现基金资产的长期稳健增值。</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bookmarkStart w:id="71" w:name="_Toc79392576"/>
      <w:r>
        <w:rPr>
          <w:rFonts w:ascii="宋体" w:hAnsi="宋体" w:hint="eastAsia"/>
          <w:b/>
          <w:szCs w:val="21"/>
        </w:rPr>
        <w:t>六</w:t>
      </w:r>
      <w:r>
        <w:rPr>
          <w:rFonts w:ascii="宋体" w:hAnsi="宋体"/>
          <w:b/>
          <w:szCs w:val="21"/>
        </w:rPr>
        <w:t>、基金的最低募集份额总额</w:t>
      </w:r>
      <w:bookmarkEnd w:id="71"/>
      <w:r>
        <w:rPr>
          <w:rFonts w:ascii="宋体" w:hAnsi="宋体" w:hint="eastAsia"/>
          <w:b/>
          <w:szCs w:val="21"/>
        </w:rPr>
        <w:t>和金额</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本基金的最低募集份额总额为2亿份。</w:t>
      </w:r>
    </w:p>
    <w:p w:rsidR="006E1FE1" w:rsidRDefault="00F51CE7">
      <w:pPr>
        <w:snapToGrid w:val="0"/>
        <w:spacing w:line="360" w:lineRule="auto"/>
        <w:ind w:firstLine="420"/>
        <w:rPr>
          <w:rFonts w:ascii="宋体" w:hAnsi="宋体"/>
          <w:szCs w:val="21"/>
        </w:rPr>
      </w:pPr>
      <w:r>
        <w:rPr>
          <w:rFonts w:ascii="宋体" w:hAnsi="宋体" w:hint="eastAsia"/>
          <w:szCs w:val="21"/>
        </w:rPr>
        <w:t>基金募集金额不少于2亿元人民币。</w:t>
      </w:r>
    </w:p>
    <w:p w:rsidR="006E1FE1" w:rsidRDefault="00F51CE7">
      <w:pPr>
        <w:snapToGrid w:val="0"/>
        <w:spacing w:line="360" w:lineRule="auto"/>
        <w:ind w:firstLine="420"/>
        <w:rPr>
          <w:rFonts w:hAnsi="宋体"/>
          <w:szCs w:val="21"/>
        </w:rPr>
      </w:pPr>
      <w:r>
        <w:lastRenderedPageBreak/>
        <w:t>本基金可设置首次募集规模上限，具体募集上限及</w:t>
      </w:r>
      <w:r>
        <w:rPr>
          <w:rFonts w:hAnsi="宋体"/>
          <w:szCs w:val="21"/>
        </w:rPr>
        <w:t>规模控制的方案详见基金份额发售公告或</w:t>
      </w:r>
      <w:r>
        <w:rPr>
          <w:rFonts w:hAnsi="宋体" w:hint="eastAsia"/>
          <w:szCs w:val="21"/>
        </w:rPr>
        <w:t>基金管理人届时发布的相关</w:t>
      </w:r>
      <w:r>
        <w:rPr>
          <w:rFonts w:hAnsi="宋体"/>
          <w:szCs w:val="21"/>
        </w:rPr>
        <w:t>公告。</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bookmarkStart w:id="72" w:name="_Toc79392577"/>
      <w:r>
        <w:rPr>
          <w:rFonts w:ascii="宋体" w:hAnsi="宋体" w:hint="eastAsia"/>
          <w:b/>
          <w:szCs w:val="21"/>
        </w:rPr>
        <w:t>七</w:t>
      </w:r>
      <w:r>
        <w:rPr>
          <w:rFonts w:ascii="宋体" w:hAnsi="宋体"/>
          <w:b/>
          <w:szCs w:val="21"/>
        </w:rPr>
        <w:t>、基金份额</w:t>
      </w:r>
      <w:r>
        <w:rPr>
          <w:rFonts w:ascii="宋体" w:hAnsi="宋体" w:hint="eastAsia"/>
          <w:b/>
          <w:szCs w:val="21"/>
        </w:rPr>
        <w:t>发售</w:t>
      </w:r>
      <w:r>
        <w:rPr>
          <w:rFonts w:ascii="宋体" w:hAnsi="宋体"/>
          <w:b/>
          <w:szCs w:val="21"/>
        </w:rPr>
        <w:t>面值</w:t>
      </w:r>
      <w:bookmarkEnd w:id="72"/>
      <w:r>
        <w:rPr>
          <w:rFonts w:ascii="宋体" w:hAnsi="宋体"/>
          <w:b/>
          <w:szCs w:val="21"/>
        </w:rPr>
        <w:t>和认购费用</w:t>
      </w:r>
    </w:p>
    <w:p w:rsidR="006E1FE1" w:rsidRDefault="00F51CE7">
      <w:pPr>
        <w:adjustRightInd w:val="0"/>
        <w:snapToGrid w:val="0"/>
        <w:spacing w:line="360" w:lineRule="auto"/>
        <w:ind w:firstLine="420"/>
        <w:rPr>
          <w:rFonts w:ascii="宋体" w:hAnsi="宋体"/>
          <w:szCs w:val="21"/>
        </w:rPr>
      </w:pPr>
      <w:r>
        <w:rPr>
          <w:rFonts w:ascii="宋体" w:hAnsi="宋体"/>
          <w:szCs w:val="21"/>
        </w:rPr>
        <w:t>本基金基金份额发售面值为人民币</w:t>
      </w:r>
      <w:r>
        <w:rPr>
          <w:rFonts w:ascii="宋体" w:hAnsi="宋体" w:hint="eastAsia"/>
          <w:szCs w:val="21"/>
        </w:rPr>
        <w:t>1.00</w:t>
      </w:r>
      <w:r>
        <w:rPr>
          <w:rFonts w:ascii="宋体" w:hAnsi="宋体"/>
          <w:szCs w:val="21"/>
        </w:rPr>
        <w:t>元。</w:t>
      </w:r>
    </w:p>
    <w:p w:rsidR="006E1FE1" w:rsidRDefault="00F51CE7">
      <w:pPr>
        <w:adjustRightInd w:val="0"/>
        <w:snapToGrid w:val="0"/>
        <w:spacing w:line="360" w:lineRule="auto"/>
        <w:ind w:firstLine="420"/>
        <w:rPr>
          <w:rFonts w:ascii="宋体" w:hAnsi="宋体"/>
          <w:szCs w:val="21"/>
        </w:rPr>
      </w:pPr>
      <w:r>
        <w:rPr>
          <w:rFonts w:ascii="宋体" w:hAnsi="宋体"/>
          <w:szCs w:val="21"/>
        </w:rPr>
        <w:t>本基金具体</w:t>
      </w:r>
      <w:r>
        <w:rPr>
          <w:rFonts w:ascii="宋体" w:hAnsi="宋体" w:hint="eastAsia"/>
          <w:szCs w:val="21"/>
        </w:rPr>
        <w:t>认购</w:t>
      </w:r>
      <w:r>
        <w:rPr>
          <w:rFonts w:ascii="宋体" w:hAnsi="宋体"/>
          <w:szCs w:val="21"/>
        </w:rPr>
        <w:t>费率按招募说明书及基金产品资料概要的规定执行。</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bookmarkStart w:id="73" w:name="_Toc79392578"/>
      <w:r>
        <w:rPr>
          <w:rFonts w:ascii="宋体" w:hAnsi="宋体" w:hint="eastAsia"/>
          <w:b/>
          <w:szCs w:val="21"/>
        </w:rPr>
        <w:t>八</w:t>
      </w:r>
      <w:r>
        <w:rPr>
          <w:rFonts w:ascii="宋体" w:hAnsi="宋体"/>
          <w:b/>
          <w:szCs w:val="21"/>
        </w:rPr>
        <w:t>、基金存续期限</w:t>
      </w:r>
      <w:bookmarkEnd w:id="73"/>
    </w:p>
    <w:p w:rsidR="006E1FE1" w:rsidRDefault="00F51CE7">
      <w:pPr>
        <w:adjustRightInd w:val="0"/>
        <w:snapToGrid w:val="0"/>
        <w:spacing w:line="360" w:lineRule="auto"/>
        <w:ind w:firstLine="420"/>
        <w:rPr>
          <w:rFonts w:ascii="宋体" w:hAnsi="宋体"/>
          <w:szCs w:val="21"/>
        </w:rPr>
      </w:pPr>
      <w:r>
        <w:rPr>
          <w:rFonts w:ascii="宋体" w:hAnsi="宋体"/>
          <w:szCs w:val="21"/>
        </w:rPr>
        <w:t>不定期</w:t>
      </w:r>
    </w:p>
    <w:p w:rsidR="006E1FE1" w:rsidRDefault="006E1FE1">
      <w:pPr>
        <w:adjustRightInd w:val="0"/>
        <w:snapToGrid w:val="0"/>
        <w:spacing w:line="360" w:lineRule="auto"/>
        <w:ind w:firstLine="420"/>
        <w:rPr>
          <w:rFonts w:ascii="宋体" w:hAnsi="宋体"/>
          <w:szCs w:val="21"/>
        </w:rPr>
      </w:pP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rPr>
          <w:rFonts w:ascii="宋体" w:hAnsi="宋体"/>
          <w:b/>
          <w:szCs w:val="21"/>
        </w:rPr>
      </w:pPr>
      <w:r>
        <w:rPr>
          <w:rFonts w:ascii="宋体" w:hAnsi="宋体"/>
          <w:b/>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74" w:name="_Toc22074"/>
      <w:bookmarkStart w:id="75" w:name="_Toc27226"/>
      <w:bookmarkStart w:id="76" w:name="_Toc90742390"/>
      <w:bookmarkStart w:id="77" w:name="_Toc7151"/>
      <w:bookmarkStart w:id="78" w:name="_Toc16265"/>
      <w:bookmarkStart w:id="79" w:name="_Toc29784"/>
      <w:bookmarkStart w:id="80" w:name="_Toc3266"/>
      <w:bookmarkStart w:id="81" w:name="_Toc6714"/>
      <w:bookmarkStart w:id="82" w:name="_Toc27189"/>
      <w:bookmarkStart w:id="83" w:name="_Toc90742321"/>
      <w:bookmarkStart w:id="84" w:name="_Toc24682"/>
      <w:bookmarkStart w:id="85" w:name="_Toc15203"/>
      <w:bookmarkStart w:id="86" w:name="_Toc90742688"/>
      <w:bookmarkStart w:id="87" w:name="_Toc29948"/>
      <w:bookmarkStart w:id="88" w:name="_Toc516479981"/>
      <w:r>
        <w:rPr>
          <w:rFonts w:ascii="Times New Roman"/>
          <w:color w:val="auto"/>
          <w:sz w:val="32"/>
          <w:szCs w:val="21"/>
        </w:rPr>
        <w:lastRenderedPageBreak/>
        <w:t>第四部分</w:t>
      </w:r>
      <w:r>
        <w:rPr>
          <w:rFonts w:ascii="Times New Roman" w:hint="eastAsia"/>
          <w:color w:val="auto"/>
          <w:sz w:val="32"/>
          <w:szCs w:val="21"/>
        </w:rPr>
        <w:t xml:space="preserve">  </w:t>
      </w:r>
      <w:r>
        <w:rPr>
          <w:rFonts w:ascii="Times New Roman"/>
          <w:color w:val="auto"/>
          <w:sz w:val="32"/>
          <w:szCs w:val="21"/>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一、基金份额的发售时间、发售方式、发售对象</w:t>
      </w:r>
    </w:p>
    <w:p w:rsidR="006E1FE1" w:rsidRDefault="00F51CE7">
      <w:pPr>
        <w:adjustRightInd w:val="0"/>
        <w:snapToGrid w:val="0"/>
        <w:spacing w:line="360" w:lineRule="auto"/>
        <w:ind w:firstLine="422"/>
        <w:rPr>
          <w:rFonts w:ascii="宋体" w:hAnsi="宋体"/>
          <w:szCs w:val="21"/>
        </w:rPr>
      </w:pPr>
      <w:r>
        <w:rPr>
          <w:rFonts w:ascii="宋体" w:hAnsi="宋体"/>
          <w:szCs w:val="21"/>
        </w:rPr>
        <w:t>1、发售时间</w:t>
      </w:r>
    </w:p>
    <w:p w:rsidR="006E1FE1" w:rsidRDefault="00F51CE7">
      <w:pPr>
        <w:adjustRightInd w:val="0"/>
        <w:snapToGrid w:val="0"/>
        <w:spacing w:line="360" w:lineRule="auto"/>
        <w:ind w:firstLine="422"/>
        <w:rPr>
          <w:rFonts w:ascii="宋体" w:hAnsi="宋体"/>
          <w:szCs w:val="21"/>
        </w:rPr>
      </w:pPr>
      <w:r>
        <w:rPr>
          <w:rFonts w:ascii="宋体" w:hAnsi="宋体"/>
          <w:szCs w:val="21"/>
        </w:rPr>
        <w:t>自基金份额发售之日起最长不得超过</w:t>
      </w:r>
      <w:r>
        <w:rPr>
          <w:rFonts w:ascii="宋体" w:hAnsi="宋体" w:hint="eastAsia"/>
          <w:szCs w:val="21"/>
        </w:rPr>
        <w:t>3</w:t>
      </w:r>
      <w:r>
        <w:rPr>
          <w:rFonts w:ascii="宋体" w:hAnsi="宋体"/>
          <w:szCs w:val="21"/>
        </w:rPr>
        <w:t>个月，具体发售时间见基金份额发售公告。</w:t>
      </w:r>
    </w:p>
    <w:p w:rsidR="006E1FE1" w:rsidRDefault="00F51CE7">
      <w:pPr>
        <w:adjustRightInd w:val="0"/>
        <w:snapToGrid w:val="0"/>
        <w:spacing w:line="360" w:lineRule="auto"/>
        <w:ind w:firstLine="422"/>
        <w:rPr>
          <w:rFonts w:ascii="宋体" w:hAnsi="宋体"/>
          <w:szCs w:val="21"/>
        </w:rPr>
      </w:pPr>
      <w:r>
        <w:rPr>
          <w:rFonts w:ascii="宋体" w:hAnsi="宋体"/>
          <w:szCs w:val="21"/>
        </w:rPr>
        <w:t>2、发售方式</w:t>
      </w:r>
    </w:p>
    <w:p w:rsidR="004E129B" w:rsidRPr="004E129B" w:rsidRDefault="004E129B" w:rsidP="004E129B">
      <w:pPr>
        <w:adjustRightInd w:val="0"/>
        <w:snapToGrid w:val="0"/>
        <w:spacing w:line="360" w:lineRule="auto"/>
        <w:ind w:firstLine="422"/>
        <w:rPr>
          <w:rFonts w:ascii="宋体" w:hAnsi="宋体"/>
          <w:bCs/>
          <w:szCs w:val="21"/>
        </w:rPr>
      </w:pPr>
      <w:r w:rsidRPr="004E129B">
        <w:rPr>
          <w:rFonts w:ascii="宋体" w:hAnsi="宋体" w:hint="eastAsia"/>
          <w:bCs/>
          <w:szCs w:val="21"/>
        </w:rPr>
        <w:t>本基金通过场外、场内两种方式公开发售。场外将通过基金管理人的直销网点及基金场外销售机构的销售网点发售或按基金管理人、场外销售机构提供的其他方式办理公开发售（具体名单详见基金份额发售公告或相关业务公告）。场内将通过</w:t>
      </w:r>
      <w:r>
        <w:rPr>
          <w:rFonts w:ascii="宋体" w:hAnsi="宋体" w:hint="eastAsia"/>
          <w:bCs/>
          <w:szCs w:val="21"/>
        </w:rPr>
        <w:t>深圳</w:t>
      </w:r>
      <w:r w:rsidRPr="004E129B">
        <w:rPr>
          <w:rFonts w:ascii="宋体" w:hAnsi="宋体" w:hint="eastAsia"/>
          <w:bCs/>
          <w:szCs w:val="21"/>
        </w:rPr>
        <w:t>证券交易所内具有基金销售业务资格并经</w:t>
      </w:r>
      <w:r>
        <w:rPr>
          <w:rFonts w:ascii="宋体" w:hAnsi="宋体" w:hint="eastAsia"/>
          <w:bCs/>
          <w:szCs w:val="21"/>
        </w:rPr>
        <w:t>深圳</w:t>
      </w:r>
      <w:r w:rsidRPr="004E129B">
        <w:rPr>
          <w:rFonts w:ascii="宋体" w:hAnsi="宋体" w:hint="eastAsia"/>
          <w:bCs/>
          <w:szCs w:val="21"/>
        </w:rPr>
        <w:t>证券交易所和中国证券登记结算有限责任公司认可的会员单位发售（具体名单详见基金份额发售公告或相关业务公告）。</w:t>
      </w:r>
    </w:p>
    <w:p w:rsidR="006E1FE1" w:rsidRDefault="004E129B" w:rsidP="004E129B">
      <w:pPr>
        <w:adjustRightInd w:val="0"/>
        <w:snapToGrid w:val="0"/>
        <w:spacing w:line="360" w:lineRule="auto"/>
        <w:ind w:firstLine="422"/>
        <w:rPr>
          <w:rFonts w:ascii="宋体" w:hAnsi="宋体"/>
          <w:bCs/>
          <w:szCs w:val="21"/>
        </w:rPr>
      </w:pPr>
      <w:r>
        <w:rPr>
          <w:rFonts w:ascii="宋体" w:hAnsi="宋体" w:hint="eastAsia"/>
          <w:bCs/>
          <w:szCs w:val="21"/>
        </w:rPr>
        <w:t>通过场内认购的基金份额登记在证券登记系统投资人的深圳</w:t>
      </w:r>
      <w:r w:rsidRPr="004E129B">
        <w:rPr>
          <w:rFonts w:ascii="宋体" w:hAnsi="宋体" w:hint="eastAsia"/>
          <w:bCs/>
          <w:szCs w:val="21"/>
        </w:rPr>
        <w:t>证券账户下。通过场外认购</w:t>
      </w:r>
      <w:r>
        <w:rPr>
          <w:rFonts w:ascii="宋体" w:hAnsi="宋体" w:hint="eastAsia"/>
          <w:bCs/>
          <w:szCs w:val="21"/>
        </w:rPr>
        <w:t>的基金份额登记在登记结算系统投资人的开放式基金账户下。其中，深圳证券账户是指投资人在中国证券登记结算有限责任公司深圳分公司开立的深圳</w:t>
      </w:r>
      <w:r w:rsidRPr="004E129B">
        <w:rPr>
          <w:rFonts w:ascii="宋体" w:hAnsi="宋体" w:hint="eastAsia"/>
          <w:bCs/>
          <w:szCs w:val="21"/>
        </w:rPr>
        <w:t>证券交易所人民币普通股票账户或者证券投资基金账户。</w:t>
      </w:r>
    </w:p>
    <w:p w:rsidR="006E1FE1" w:rsidRDefault="00F51CE7">
      <w:pPr>
        <w:adjustRightInd w:val="0"/>
        <w:snapToGrid w:val="0"/>
        <w:spacing w:line="360" w:lineRule="auto"/>
        <w:ind w:firstLine="422"/>
        <w:rPr>
          <w:rFonts w:ascii="宋体" w:hAnsi="宋体"/>
          <w:szCs w:val="21"/>
        </w:rPr>
      </w:pPr>
      <w:r>
        <w:rPr>
          <w:rFonts w:ascii="宋体" w:hAnsi="宋体"/>
          <w:szCs w:val="21"/>
        </w:rPr>
        <w:t>3、发售对象</w:t>
      </w:r>
    </w:p>
    <w:p w:rsidR="006E1FE1" w:rsidRDefault="000B63D5">
      <w:pPr>
        <w:adjustRightInd w:val="0"/>
        <w:snapToGrid w:val="0"/>
        <w:spacing w:line="360" w:lineRule="auto"/>
        <w:ind w:firstLine="422"/>
        <w:rPr>
          <w:rFonts w:ascii="宋体" w:hAnsi="宋体"/>
          <w:szCs w:val="21"/>
        </w:rPr>
      </w:pPr>
      <w:r w:rsidRPr="000B63D5">
        <w:rPr>
          <w:rFonts w:ascii="宋体" w:hAnsi="宋体" w:hint="eastAsia"/>
          <w:szCs w:val="21"/>
        </w:rPr>
        <w:t>符合法律法规规定的可投资于证券投资基金的个人投资者、机构投资者、合格境外机构投资者和人民币合格境外机构投资者以及法律法规或中国证监会允许购买证券投资基金的其他投资人。</w:t>
      </w:r>
      <w:r w:rsidR="00F51CE7">
        <w:rPr>
          <w:rFonts w:ascii="宋体" w:hAnsi="宋体" w:hint="eastAsia"/>
          <w:szCs w:val="21"/>
        </w:rPr>
        <w:t>具体发售对象见基金份额发售公告以及基金管理人届时发布的相关公告。</w:t>
      </w:r>
    </w:p>
    <w:p w:rsidR="006E1FE1" w:rsidRDefault="006E1FE1">
      <w:pPr>
        <w:adjustRightInd w:val="0"/>
        <w:snapToGrid w:val="0"/>
        <w:spacing w:line="360" w:lineRule="auto"/>
        <w:ind w:firstLine="422"/>
        <w:rPr>
          <w:rFonts w:ascii="宋体" w:hAnsi="宋体"/>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二、基金份额的认购</w:t>
      </w:r>
    </w:p>
    <w:p w:rsidR="006E1FE1" w:rsidRDefault="00F51CE7">
      <w:pPr>
        <w:adjustRightInd w:val="0"/>
        <w:snapToGrid w:val="0"/>
        <w:spacing w:line="360" w:lineRule="auto"/>
        <w:ind w:firstLine="422"/>
        <w:rPr>
          <w:rFonts w:ascii="宋体" w:hAnsi="宋体"/>
          <w:szCs w:val="21"/>
        </w:rPr>
      </w:pPr>
      <w:r>
        <w:rPr>
          <w:rFonts w:ascii="宋体" w:hAnsi="宋体"/>
          <w:szCs w:val="21"/>
        </w:rPr>
        <w:t>1、认购费用</w:t>
      </w:r>
    </w:p>
    <w:p w:rsidR="006E1FE1" w:rsidRDefault="00F51CE7">
      <w:pPr>
        <w:adjustRightInd w:val="0"/>
        <w:snapToGrid w:val="0"/>
        <w:spacing w:line="360" w:lineRule="auto"/>
        <w:ind w:firstLine="422"/>
        <w:rPr>
          <w:rFonts w:ascii="宋体" w:hAnsi="宋体"/>
          <w:szCs w:val="21"/>
        </w:rPr>
      </w:pPr>
      <w:r>
        <w:rPr>
          <w:rFonts w:ascii="宋体" w:hAnsi="宋体"/>
          <w:szCs w:val="21"/>
        </w:rPr>
        <w:t>本基金的认购费率由基金管理人决定，并在招募说明书</w:t>
      </w:r>
      <w:r>
        <w:rPr>
          <w:rFonts w:ascii="宋体" w:hAnsi="宋体" w:hint="eastAsia"/>
          <w:szCs w:val="21"/>
        </w:rPr>
        <w:t>及</w:t>
      </w:r>
      <w:r>
        <w:rPr>
          <w:rFonts w:ascii="宋体" w:hAnsi="宋体"/>
          <w:szCs w:val="21"/>
        </w:rPr>
        <w:t>基金产品资料概要中列示。基金认购费用不列入基金财产。</w:t>
      </w:r>
    </w:p>
    <w:p w:rsidR="006E1FE1" w:rsidRDefault="00F51CE7">
      <w:pPr>
        <w:adjustRightInd w:val="0"/>
        <w:snapToGrid w:val="0"/>
        <w:spacing w:line="360" w:lineRule="auto"/>
        <w:ind w:firstLine="422"/>
        <w:rPr>
          <w:rFonts w:ascii="宋体" w:hAnsi="宋体"/>
          <w:szCs w:val="21"/>
        </w:rPr>
      </w:pPr>
      <w:r>
        <w:rPr>
          <w:rFonts w:ascii="宋体" w:hAnsi="宋体"/>
          <w:szCs w:val="21"/>
        </w:rPr>
        <w:t>2、募集期利息的处理方式</w:t>
      </w:r>
    </w:p>
    <w:p w:rsidR="006E1FE1" w:rsidRDefault="00F51CE7">
      <w:pPr>
        <w:adjustRightInd w:val="0"/>
        <w:snapToGrid w:val="0"/>
        <w:spacing w:line="360" w:lineRule="auto"/>
        <w:ind w:firstLine="422"/>
        <w:rPr>
          <w:rFonts w:ascii="宋体" w:hAnsi="宋体"/>
          <w:szCs w:val="21"/>
        </w:rPr>
      </w:pPr>
      <w:r>
        <w:rPr>
          <w:rFonts w:ascii="宋体" w:hAnsi="宋体"/>
          <w:szCs w:val="21"/>
        </w:rPr>
        <w:t>有效认购款项在募集期间产生的利息将折算为基金份额归基金份额持有人所有，其中利息转份额</w:t>
      </w:r>
      <w:r>
        <w:rPr>
          <w:rFonts w:ascii="宋体" w:hAnsi="宋体" w:hint="eastAsia"/>
          <w:szCs w:val="21"/>
        </w:rPr>
        <w:t>的具体数额</w:t>
      </w:r>
      <w:r>
        <w:rPr>
          <w:rFonts w:ascii="宋体" w:hAnsi="宋体"/>
          <w:szCs w:val="21"/>
        </w:rPr>
        <w:t>以登记机构的记录为准。</w:t>
      </w:r>
    </w:p>
    <w:p w:rsidR="006E1FE1" w:rsidRDefault="00F51CE7">
      <w:pPr>
        <w:adjustRightInd w:val="0"/>
        <w:snapToGrid w:val="0"/>
        <w:spacing w:line="360" w:lineRule="auto"/>
        <w:ind w:firstLine="422"/>
        <w:rPr>
          <w:rFonts w:ascii="宋体" w:hAnsi="宋体"/>
          <w:szCs w:val="21"/>
        </w:rPr>
      </w:pPr>
      <w:r>
        <w:rPr>
          <w:rFonts w:ascii="宋体" w:hAnsi="宋体"/>
          <w:szCs w:val="21"/>
        </w:rPr>
        <w:t>3、基金认购份额的计算</w:t>
      </w:r>
    </w:p>
    <w:p w:rsidR="006E1FE1" w:rsidRDefault="00F51CE7">
      <w:pPr>
        <w:adjustRightInd w:val="0"/>
        <w:snapToGrid w:val="0"/>
        <w:spacing w:line="360" w:lineRule="auto"/>
        <w:ind w:firstLine="422"/>
        <w:rPr>
          <w:rFonts w:ascii="宋体" w:hAnsi="宋体"/>
          <w:szCs w:val="21"/>
        </w:rPr>
      </w:pPr>
      <w:r>
        <w:rPr>
          <w:rFonts w:ascii="宋体" w:hAnsi="宋体"/>
          <w:szCs w:val="21"/>
        </w:rPr>
        <w:t>基金认购份额具体的计算方法在招募说明书中列示。</w:t>
      </w:r>
    </w:p>
    <w:p w:rsidR="006E1FE1" w:rsidRDefault="00F51CE7">
      <w:pPr>
        <w:adjustRightInd w:val="0"/>
        <w:snapToGrid w:val="0"/>
        <w:spacing w:line="360" w:lineRule="auto"/>
        <w:ind w:firstLine="422"/>
        <w:rPr>
          <w:rFonts w:ascii="宋体" w:hAnsi="宋体"/>
          <w:szCs w:val="21"/>
        </w:rPr>
      </w:pPr>
      <w:r>
        <w:rPr>
          <w:rFonts w:ascii="宋体" w:hAnsi="宋体"/>
          <w:szCs w:val="21"/>
        </w:rPr>
        <w:t>4</w:t>
      </w:r>
      <w:r>
        <w:rPr>
          <w:rFonts w:ascii="宋体" w:hAnsi="宋体" w:hint="eastAsia"/>
          <w:szCs w:val="21"/>
        </w:rPr>
        <w:t>、</w:t>
      </w:r>
      <w:r>
        <w:rPr>
          <w:rFonts w:ascii="宋体" w:hAnsi="宋体"/>
          <w:szCs w:val="21"/>
        </w:rPr>
        <w:t>认购份额余额的处理方式</w:t>
      </w:r>
    </w:p>
    <w:p w:rsidR="006E1FE1" w:rsidRDefault="00F51CE7">
      <w:pPr>
        <w:adjustRightInd w:val="0"/>
        <w:snapToGrid w:val="0"/>
        <w:spacing w:line="360" w:lineRule="auto"/>
        <w:ind w:firstLine="422"/>
        <w:rPr>
          <w:rFonts w:ascii="宋体" w:hAnsi="宋体"/>
          <w:szCs w:val="21"/>
        </w:rPr>
      </w:pPr>
      <w:r>
        <w:rPr>
          <w:rFonts w:ascii="宋体" w:hAnsi="宋体" w:hint="eastAsia"/>
          <w:szCs w:val="21"/>
        </w:rPr>
        <w:t>认购份额余额的处理方式在招募说明书中列示</w:t>
      </w:r>
      <w:r>
        <w:rPr>
          <w:rFonts w:ascii="宋体" w:hAnsi="宋体"/>
          <w:szCs w:val="21"/>
        </w:rPr>
        <w:t>。</w:t>
      </w:r>
    </w:p>
    <w:p w:rsidR="006E1FE1" w:rsidRDefault="00F51CE7">
      <w:pPr>
        <w:adjustRightInd w:val="0"/>
        <w:snapToGrid w:val="0"/>
        <w:spacing w:line="360" w:lineRule="auto"/>
        <w:ind w:firstLine="422"/>
        <w:rPr>
          <w:rFonts w:ascii="宋体" w:hAnsi="宋体"/>
          <w:szCs w:val="21"/>
        </w:rPr>
      </w:pPr>
      <w:r>
        <w:rPr>
          <w:rFonts w:ascii="宋体" w:hAnsi="宋体" w:hint="eastAsia"/>
          <w:szCs w:val="21"/>
        </w:rPr>
        <w:t>5、认购申请的确认</w:t>
      </w:r>
    </w:p>
    <w:p w:rsidR="006E1FE1" w:rsidRDefault="00F51CE7">
      <w:pPr>
        <w:adjustRightInd w:val="0"/>
        <w:snapToGrid w:val="0"/>
        <w:spacing w:line="360" w:lineRule="auto"/>
        <w:ind w:firstLine="422"/>
        <w:rPr>
          <w:rFonts w:ascii="宋体" w:hAnsi="宋体"/>
          <w:szCs w:val="21"/>
        </w:rPr>
      </w:pPr>
      <w:r>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w:t>
      </w:r>
      <w:r>
        <w:rPr>
          <w:rFonts w:ascii="宋体" w:hAnsi="宋体" w:hint="eastAsia"/>
          <w:szCs w:val="21"/>
        </w:rPr>
        <w:lastRenderedPageBreak/>
        <w:t>资人应及时查询并妥善行使合法权利。</w:t>
      </w:r>
    </w:p>
    <w:p w:rsidR="006E1FE1" w:rsidRDefault="006E1FE1">
      <w:pPr>
        <w:adjustRightInd w:val="0"/>
        <w:snapToGrid w:val="0"/>
        <w:spacing w:line="360" w:lineRule="auto"/>
        <w:ind w:firstLine="422"/>
        <w:rPr>
          <w:rFonts w:ascii="宋体" w:hAnsi="宋体"/>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三</w:t>
      </w:r>
      <w:r>
        <w:rPr>
          <w:rFonts w:ascii="宋体" w:hAnsi="宋体" w:hint="eastAsia"/>
          <w:b/>
          <w:szCs w:val="21"/>
        </w:rPr>
        <w:t>、</w:t>
      </w:r>
      <w:r>
        <w:rPr>
          <w:rFonts w:ascii="宋体" w:hAnsi="宋体"/>
          <w:b/>
          <w:szCs w:val="21"/>
        </w:rPr>
        <w:t>基金份额认购金额的限制</w:t>
      </w:r>
    </w:p>
    <w:p w:rsidR="006E1FE1" w:rsidRDefault="00F51CE7">
      <w:pPr>
        <w:adjustRightInd w:val="0"/>
        <w:snapToGrid w:val="0"/>
        <w:spacing w:line="360" w:lineRule="auto"/>
        <w:ind w:firstLine="422"/>
        <w:rPr>
          <w:rFonts w:ascii="宋体" w:hAnsi="宋体"/>
          <w:szCs w:val="21"/>
        </w:rPr>
      </w:pPr>
      <w:r>
        <w:rPr>
          <w:rFonts w:ascii="宋体" w:hAnsi="宋体"/>
          <w:szCs w:val="21"/>
        </w:rPr>
        <w:t>1</w:t>
      </w:r>
      <w:r>
        <w:rPr>
          <w:rFonts w:ascii="宋体" w:hAnsi="宋体" w:hint="eastAsia"/>
          <w:szCs w:val="21"/>
        </w:rPr>
        <w:t>、</w:t>
      </w:r>
      <w:r>
        <w:rPr>
          <w:rFonts w:ascii="宋体" w:hAnsi="宋体"/>
          <w:szCs w:val="21"/>
        </w:rPr>
        <w:t>投资人认购时，需按销售机构规定的方式全额缴款。</w:t>
      </w:r>
    </w:p>
    <w:p w:rsidR="006E1FE1" w:rsidRDefault="00F51CE7">
      <w:pPr>
        <w:adjustRightInd w:val="0"/>
        <w:snapToGrid w:val="0"/>
        <w:spacing w:line="360" w:lineRule="auto"/>
        <w:ind w:firstLine="422"/>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基金管理人可以对每个基金交易账户的单笔最低认购金额进行限制，具体限制请参看招募说明书</w:t>
      </w:r>
      <w:r>
        <w:rPr>
          <w:rFonts w:ascii="宋体" w:hAnsi="宋体" w:hint="eastAsia"/>
          <w:szCs w:val="21"/>
        </w:rPr>
        <w:t>或</w:t>
      </w:r>
      <w:r>
        <w:rPr>
          <w:rFonts w:ascii="宋体" w:hAnsi="宋体"/>
          <w:szCs w:val="21"/>
        </w:rPr>
        <w:t>相关公告。</w:t>
      </w:r>
    </w:p>
    <w:p w:rsidR="006E1FE1" w:rsidRDefault="00F51CE7">
      <w:pPr>
        <w:adjustRightInd w:val="0"/>
        <w:snapToGrid w:val="0"/>
        <w:spacing w:line="360" w:lineRule="auto"/>
        <w:ind w:firstLineChars="200" w:firstLine="420"/>
        <w:rPr>
          <w:bCs/>
          <w:szCs w:val="21"/>
        </w:rPr>
      </w:pPr>
      <w:r>
        <w:rPr>
          <w:rFonts w:ascii="宋体" w:hAnsi="宋体"/>
          <w:szCs w:val="21"/>
        </w:rPr>
        <w:t>3</w:t>
      </w:r>
      <w:r>
        <w:rPr>
          <w:rFonts w:ascii="宋体" w:hAnsi="宋体" w:hint="eastAsia"/>
          <w:szCs w:val="21"/>
        </w:rPr>
        <w:t>、</w:t>
      </w:r>
      <w:r>
        <w:rPr>
          <w:rFonts w:ascii="宋体" w:hAnsi="宋体"/>
          <w:szCs w:val="21"/>
        </w:rPr>
        <w:t>基金管理人可以对募集期间的单个投资人的累计认购</w:t>
      </w:r>
      <w:r>
        <w:rPr>
          <w:rFonts w:ascii="宋体" w:hAnsi="宋体" w:hint="eastAsia"/>
          <w:szCs w:val="21"/>
        </w:rPr>
        <w:t>规模</w:t>
      </w:r>
      <w:r>
        <w:rPr>
          <w:rFonts w:ascii="宋体" w:hAnsi="宋体"/>
          <w:szCs w:val="21"/>
        </w:rPr>
        <w:t>进行限制，具体限制和处理方法请参看招募说明书</w:t>
      </w:r>
      <w:r>
        <w:rPr>
          <w:rFonts w:ascii="宋体" w:hAnsi="宋体" w:hint="eastAsia"/>
          <w:szCs w:val="21"/>
        </w:rPr>
        <w:t>或</w:t>
      </w:r>
      <w:r>
        <w:rPr>
          <w:rFonts w:ascii="宋体" w:hAnsi="宋体"/>
          <w:szCs w:val="21"/>
        </w:rPr>
        <w:t>相关公告。</w:t>
      </w: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420"/>
        <w:rPr>
          <w:rFonts w:ascii="宋体" w:hAnsi="宋体"/>
          <w:b/>
          <w:szCs w:val="21"/>
        </w:rPr>
      </w:pPr>
      <w:r>
        <w:rPr>
          <w:rFonts w:ascii="宋体" w:hAnsi="宋体" w:hint="eastAsia"/>
          <w:b/>
          <w:szCs w:val="21"/>
        </w:rPr>
        <w:t>四</w:t>
      </w:r>
      <w:r>
        <w:rPr>
          <w:rFonts w:ascii="宋体" w:hAnsi="宋体"/>
          <w:b/>
          <w:szCs w:val="21"/>
        </w:rPr>
        <w:t>、基金的募集</w:t>
      </w:r>
      <w:r>
        <w:rPr>
          <w:rFonts w:ascii="宋体" w:hAnsi="宋体" w:hint="eastAsia"/>
          <w:b/>
          <w:szCs w:val="21"/>
        </w:rPr>
        <w:t>规模上限</w:t>
      </w:r>
    </w:p>
    <w:p w:rsidR="006E1FE1" w:rsidRDefault="00F51CE7">
      <w:pPr>
        <w:adjustRightInd w:val="0"/>
        <w:snapToGrid w:val="0"/>
        <w:spacing w:line="360" w:lineRule="auto"/>
        <w:ind w:firstLineChars="200" w:firstLine="420"/>
        <w:rPr>
          <w:bCs/>
          <w:szCs w:val="21"/>
        </w:rPr>
      </w:pPr>
      <w:r>
        <w:t>本基金可设置首次募集规模上限，具体募集上限及</w:t>
      </w:r>
      <w:r>
        <w:rPr>
          <w:rFonts w:hAnsi="宋体"/>
          <w:szCs w:val="21"/>
        </w:rPr>
        <w:t>规模控制的方案详见基金份额发售公告或</w:t>
      </w:r>
      <w:r>
        <w:rPr>
          <w:rFonts w:hAnsi="宋体" w:hint="eastAsia"/>
          <w:szCs w:val="21"/>
        </w:rPr>
        <w:t>基金管理人届时发布的相关</w:t>
      </w:r>
      <w:r>
        <w:rPr>
          <w:rFonts w:hAnsi="宋体"/>
          <w:szCs w:val="21"/>
        </w:rPr>
        <w:t>公告。</w:t>
      </w: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89" w:name="_Toc141703885"/>
      <w:bookmarkStart w:id="90" w:name="_Toc21988"/>
      <w:bookmarkStart w:id="91" w:name="_Toc26986"/>
      <w:bookmarkStart w:id="92" w:name="_Toc7848"/>
      <w:bookmarkStart w:id="93" w:name="_Toc14893"/>
      <w:bookmarkStart w:id="94" w:name="_Toc4741"/>
      <w:bookmarkStart w:id="95" w:name="_Toc18526"/>
      <w:bookmarkStart w:id="96" w:name="_Toc18797"/>
      <w:bookmarkStart w:id="97" w:name="_Toc139991735"/>
      <w:bookmarkStart w:id="98" w:name="_Toc17912"/>
      <w:bookmarkStart w:id="99" w:name="_Toc1823"/>
      <w:bookmarkStart w:id="100" w:name="_Toc6559"/>
      <w:bookmarkStart w:id="101" w:name="_Toc18329"/>
      <w:bookmarkStart w:id="102" w:name="_Toc516479982"/>
      <w:r>
        <w:rPr>
          <w:rFonts w:ascii="Times New Roman"/>
          <w:color w:val="auto"/>
          <w:sz w:val="32"/>
          <w:szCs w:val="21"/>
        </w:rPr>
        <w:lastRenderedPageBreak/>
        <w:t>第五部分</w:t>
      </w:r>
      <w:r>
        <w:rPr>
          <w:rFonts w:ascii="Times New Roman" w:hint="eastAsia"/>
          <w:color w:val="auto"/>
          <w:sz w:val="32"/>
          <w:szCs w:val="21"/>
        </w:rPr>
        <w:t xml:space="preserve">  </w:t>
      </w:r>
      <w:r>
        <w:rPr>
          <w:rFonts w:ascii="Times New Roman"/>
          <w:color w:val="auto"/>
          <w:sz w:val="32"/>
          <w:szCs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一、基金备案的条件</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二、基金合同不能生效时募集资金的处理方式</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如果募集期限届满，未满足基金备案条件，基金管理人应当承担下列责任：</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1、以其固有财产承担因募集行为而产生的债务和费用；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2、在基金募集期限届满后30日内返还投资者已缴纳的款项，并加计银行同期活期存款利息；</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3、如基金募集失败，基金管理人、基金托管人及销售机构不得请求报酬。基金管理人、基金托管人和销售机构为基金募集支付之一切费用应由各方各自承担。</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420"/>
        <w:rPr>
          <w:rFonts w:ascii="宋体" w:hAnsi="宋体"/>
          <w:b/>
          <w:szCs w:val="21"/>
        </w:rPr>
      </w:pPr>
      <w:r>
        <w:rPr>
          <w:rFonts w:ascii="宋体" w:hAnsi="宋体"/>
          <w:b/>
          <w:szCs w:val="21"/>
        </w:rPr>
        <w:t>三、基金存续期内的基金份额持有人数量和资产规模</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rsidR="006E1FE1" w:rsidRDefault="00F51CE7">
      <w:pPr>
        <w:widowControl/>
        <w:ind w:firstLineChars="200" w:firstLine="420"/>
        <w:jc w:val="left"/>
        <w:rPr>
          <w:bCs/>
          <w:szCs w:val="21"/>
        </w:rPr>
      </w:pPr>
      <w:r>
        <w:rPr>
          <w:rFonts w:ascii="宋体" w:hAnsi="宋体" w:hint="eastAsia"/>
          <w:szCs w:val="21"/>
        </w:rPr>
        <w:t>法律法规或中国证监会另有规定时，从其规定。</w:t>
      </w: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103" w:name="_Toc506216231"/>
      <w:bookmarkStart w:id="104" w:name="_Toc516479983"/>
      <w:r>
        <w:rPr>
          <w:rFonts w:ascii="Times New Roman" w:hint="eastAsia"/>
          <w:color w:val="auto"/>
          <w:sz w:val="32"/>
          <w:szCs w:val="21"/>
        </w:rPr>
        <w:lastRenderedPageBreak/>
        <w:t>第六部分</w:t>
      </w:r>
      <w:r>
        <w:rPr>
          <w:rFonts w:ascii="Times New Roman" w:hint="eastAsia"/>
          <w:color w:val="auto"/>
          <w:sz w:val="32"/>
          <w:szCs w:val="21"/>
        </w:rPr>
        <w:t xml:space="preserve">  </w:t>
      </w:r>
      <w:r>
        <w:rPr>
          <w:rFonts w:ascii="Times New Roman" w:hint="eastAsia"/>
          <w:color w:val="auto"/>
          <w:sz w:val="32"/>
          <w:szCs w:val="21"/>
        </w:rPr>
        <w:t>基金份额的上市与交易</w:t>
      </w:r>
      <w:bookmarkEnd w:id="103"/>
      <w:bookmarkEnd w:id="104"/>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一、</w:t>
      </w:r>
      <w:r>
        <w:rPr>
          <w:rFonts w:hint="eastAsia"/>
        </w:rPr>
        <w:t>基金份额的上市交易</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 xml:space="preserve">如基金具备下列条件，基金管理人可依据《深圳证券交易所证券投资基金上市规则》，向深圳证券交易所申请本基金基金份额的上市交易。 </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 xml:space="preserve">1、本基金场内资产净值不少于 2 亿元人民币； </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 xml:space="preserve">2、本基金场内份额持有人不少于 1000 人； </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3、《深圳证券交易所证券投资基金上市规则》规定的其他条件。</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在确定上市交易的时间后，基金管理人将依据法律法规的规定在指定媒介刊登基金份额上市交易公告书。</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二、上市交易的地点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深圳证券交易所</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三、上市交易的时间</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本基金基金合同生效满6个月后可申请在深圳证券交易所上市交易。</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四、上市交易的规则</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本基金基金份额在深圳证券交易所的上市交易需遵循《深圳证券交易所证券投资基金上市规则》、《深圳证券交易所交易规则》等有关规定。</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五、上市交易的费用</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基金份额上市交易的费用按照深圳证券交易所有关规定办理。</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六、上市交易的停复牌、暂停上市、恢复上市和终止上市</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上市基金份额的停复牌、暂停上市、恢复上市和终止上市等事项按照《基金法》相关规定和深圳证券交易所的相关规定执行。具体情况见基金管理人届时相关公告。</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若根据深圳证券交易所的相关规定，当基金发生深圳证券交易所证券相关业务规则规定的因不再具备上市条件而应当终止上市的情形时，本基金将变更为非上市基金，除此之外，本基金的基金名称，开放期和封闭运作期安排，基金费率，基金的投资范围和投资策略等均不变，无需召开基金份额持有人大会。</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七、上市交易的行情揭示</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基金份额在深圳证券交易所挂牌交易，交易行情通过行情发布系统揭示。行情发布系统</w:t>
      </w:r>
      <w:r>
        <w:rPr>
          <w:rFonts w:ascii="宋体" w:hAnsi="宋体" w:hint="eastAsia"/>
          <w:szCs w:val="21"/>
        </w:rPr>
        <w:lastRenderedPageBreak/>
        <w:t>同时揭示基金前一交易日的份额净值。</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八、其他</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1、相关法律法规、《业务规则》、中国证监会及深圳证券交易所对基金上市交易的规则等相关规定内容进行调整的，《基金合同》可相应予以修改，此事项无须召开基金份额持有人大会审议。</w:t>
      </w:r>
    </w:p>
    <w:p w:rsidR="006E1FE1" w:rsidRDefault="00F51CE7">
      <w:pPr>
        <w:adjustRightInd w:val="0"/>
        <w:snapToGrid w:val="0"/>
        <w:spacing w:line="360" w:lineRule="auto"/>
        <w:ind w:firstLineChars="200" w:firstLine="420"/>
        <w:rPr>
          <w:bCs/>
          <w:szCs w:val="21"/>
        </w:rPr>
      </w:pPr>
      <w:r>
        <w:rPr>
          <w:rFonts w:ascii="宋体" w:hAnsi="宋体" w:hint="eastAsia"/>
          <w:szCs w:val="21"/>
        </w:rPr>
        <w:t xml:space="preserve">2、若深圳证券交易所、登记结算机构增加了基金上市交易的新功能，本基金可以增加相应功能，无需召开基金份额持有人大会审议。  </w:t>
      </w: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105" w:name="_Toc610"/>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0733"/>
      <w:bookmarkStart w:id="122" w:name="_Toc7920"/>
      <w:bookmarkStart w:id="123" w:name="_Toc11081"/>
      <w:bookmarkStart w:id="124" w:name="_Toc516479984"/>
      <w:r>
        <w:rPr>
          <w:rFonts w:ascii="Times New Roman"/>
          <w:color w:val="auto"/>
          <w:sz w:val="32"/>
          <w:szCs w:val="21"/>
        </w:rPr>
        <w:lastRenderedPageBreak/>
        <w:t>第</w:t>
      </w:r>
      <w:r>
        <w:rPr>
          <w:rFonts w:ascii="Times New Roman" w:hint="eastAsia"/>
          <w:color w:val="auto"/>
          <w:sz w:val="32"/>
          <w:szCs w:val="21"/>
        </w:rPr>
        <w:t>七</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一、申购和赎回场所</w:t>
      </w:r>
    </w:p>
    <w:p w:rsidR="006E1FE1" w:rsidRDefault="00F51CE7">
      <w:pPr>
        <w:adjustRightInd w:val="0"/>
        <w:snapToGrid w:val="0"/>
        <w:spacing w:line="360" w:lineRule="auto"/>
        <w:ind w:firstLineChars="200" w:firstLine="420"/>
      </w:pPr>
      <w:r>
        <w:rPr>
          <w:rFonts w:hint="eastAsia"/>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二、申购和赎回的开放日及时间</w:t>
      </w:r>
    </w:p>
    <w:p w:rsidR="006E1FE1" w:rsidRDefault="00F51CE7">
      <w:pPr>
        <w:adjustRightInd w:val="0"/>
        <w:snapToGrid w:val="0"/>
        <w:spacing w:line="360" w:lineRule="auto"/>
        <w:ind w:firstLineChars="200" w:firstLine="420"/>
      </w:pPr>
      <w:r>
        <w:rPr>
          <w:rFonts w:hint="eastAsia"/>
        </w:rPr>
        <w:t>1</w:t>
      </w:r>
      <w:r>
        <w:rPr>
          <w:rFonts w:hint="eastAsia"/>
        </w:rPr>
        <w:t>、基金份额的开放期和封闭期</w:t>
      </w:r>
    </w:p>
    <w:p w:rsidR="006E1FE1" w:rsidRDefault="00F51CE7">
      <w:pPr>
        <w:adjustRightInd w:val="0"/>
        <w:snapToGrid w:val="0"/>
        <w:spacing w:line="360" w:lineRule="auto"/>
        <w:ind w:firstLineChars="200" w:firstLine="420"/>
      </w:pPr>
      <w:r>
        <w:rPr>
          <w:rFonts w:hint="eastAsia"/>
        </w:rPr>
        <w:t>本基金基金合同生效后，每两年开放一次申购和赎回，每个开放期的起始日为基金合同生效日的每两年的年度对日（如该日为非工作日或无对应日期，则顺延至下一工作日），开放期不少于</w:t>
      </w:r>
      <w:r>
        <w:rPr>
          <w:rFonts w:hint="eastAsia"/>
        </w:rPr>
        <w:t>5</w:t>
      </w:r>
      <w:r>
        <w:rPr>
          <w:rFonts w:hint="eastAsia"/>
        </w:rPr>
        <w:t>个工作日并且最长不超过</w:t>
      </w:r>
      <w:r>
        <w:rPr>
          <w:rFonts w:hint="eastAsia"/>
        </w:rPr>
        <w:t>20</w:t>
      </w:r>
      <w:r>
        <w:rPr>
          <w:rFonts w:hint="eastAsia"/>
        </w:rPr>
        <w:t>个工作日，具体时间以基金管理人届时公告为准。开放期内，投资人可以根据相关业务规则申购、赎回基金份额。</w:t>
      </w:r>
    </w:p>
    <w:p w:rsidR="006E1FE1" w:rsidRDefault="00F51CE7">
      <w:pPr>
        <w:adjustRightInd w:val="0"/>
        <w:snapToGrid w:val="0"/>
        <w:spacing w:line="360" w:lineRule="auto"/>
        <w:ind w:firstLineChars="200" w:firstLine="420"/>
      </w:pPr>
      <w:r>
        <w:rPr>
          <w:rFonts w:hint="eastAsia"/>
        </w:rPr>
        <w:t>本基金首个封闭期为自基金合同生效日起至第一个开放期的首日（不含该日）之间的期间，之后的封闭期为每相邻两个开放期之间的期间。本基金在封闭期内不办理申购与赎回业务。</w:t>
      </w:r>
    </w:p>
    <w:p w:rsidR="006E1FE1" w:rsidRDefault="00F51CE7">
      <w:pPr>
        <w:adjustRightInd w:val="0"/>
        <w:snapToGrid w:val="0"/>
        <w:spacing w:line="360" w:lineRule="auto"/>
        <w:ind w:firstLineChars="200"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6E1FE1" w:rsidRDefault="00F51CE7">
      <w:pPr>
        <w:adjustRightInd w:val="0"/>
        <w:snapToGrid w:val="0"/>
        <w:spacing w:line="360" w:lineRule="auto"/>
        <w:ind w:firstLineChars="200" w:firstLine="420"/>
      </w:pPr>
      <w:r>
        <w:rPr>
          <w:rFonts w:hint="eastAsia"/>
        </w:rPr>
        <w:t>2</w:t>
      </w:r>
      <w:r>
        <w:rPr>
          <w:rFonts w:hint="eastAsia"/>
        </w:rPr>
        <w:t>、开放日及开放时间</w:t>
      </w:r>
    </w:p>
    <w:p w:rsidR="006E1FE1" w:rsidRDefault="00F51CE7">
      <w:pPr>
        <w:adjustRightInd w:val="0"/>
        <w:snapToGrid w:val="0"/>
        <w:spacing w:line="360" w:lineRule="auto"/>
        <w:ind w:firstLineChars="200" w:firstLine="420"/>
      </w:pPr>
      <w:r>
        <w:rPr>
          <w:rFonts w:hint="eastAsia"/>
        </w:rPr>
        <w:t>基金管理人在开放日办理基金份额的申购和赎回，具体办理时间为开放期内上海证券交易所、深圳证券交易所的正常交易日（若该交易日为非港股通交易日，则本基金可不开放）的交易时间（基金销售机构另有规定的，可在上述范围内规定具体的交易时间），但基金管理人根据法律法规、中国证监会的要求或本基金合同的规定公告暂停申购、赎回时除外。开放日的具体业务办理时间在招募说明书或相关公告中载明。</w:t>
      </w:r>
    </w:p>
    <w:p w:rsidR="006E1FE1" w:rsidRDefault="00F51CE7">
      <w:pPr>
        <w:adjustRightInd w:val="0"/>
        <w:snapToGrid w:val="0"/>
        <w:spacing w:line="360" w:lineRule="auto"/>
        <w:ind w:firstLineChars="200"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期货交易所交易时间变更或其他特殊情况，基金管理人将视情况对前述开放日及开放时间进行相应的调整，但应在实施日前依照《信息披露办法》的有关规定在规定媒介上公告。</w:t>
      </w:r>
    </w:p>
    <w:p w:rsidR="006E1FE1" w:rsidRDefault="00F51CE7">
      <w:pPr>
        <w:adjustRightInd w:val="0"/>
        <w:snapToGrid w:val="0"/>
        <w:spacing w:line="360" w:lineRule="auto"/>
        <w:ind w:firstLineChars="200" w:firstLine="420"/>
      </w:pPr>
      <w:r>
        <w:rPr>
          <w:rFonts w:hint="eastAsia"/>
        </w:rPr>
        <w:t>3</w:t>
      </w:r>
      <w:r>
        <w:rPr>
          <w:rFonts w:hint="eastAsia"/>
        </w:rPr>
        <w:t>、申购、赎回开始日及业务办理时间</w:t>
      </w:r>
    </w:p>
    <w:p w:rsidR="006E1FE1" w:rsidRDefault="00F51CE7">
      <w:pPr>
        <w:adjustRightInd w:val="0"/>
        <w:snapToGrid w:val="0"/>
        <w:spacing w:line="360" w:lineRule="auto"/>
        <w:ind w:firstLineChars="200" w:firstLine="420"/>
      </w:pPr>
      <w:r>
        <w:rPr>
          <w:rFonts w:hint="eastAsia"/>
        </w:rPr>
        <w:lastRenderedPageBreak/>
        <w:t>在确定申购开始与赎回开始时间后，基金管理人应在申购、赎回开放日前依照《信息披露办法》的有关规定在规定媒介上公告申购与赎回的开始时间。</w:t>
      </w:r>
    </w:p>
    <w:p w:rsidR="006E1FE1" w:rsidRDefault="00F51CE7">
      <w:pPr>
        <w:adjustRightInd w:val="0"/>
        <w:snapToGrid w:val="0"/>
        <w:spacing w:line="360" w:lineRule="auto"/>
        <w:ind w:firstLineChars="200"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三、销售对象</w:t>
      </w:r>
    </w:p>
    <w:p w:rsidR="006E1FE1" w:rsidRDefault="00F51CE7">
      <w:pPr>
        <w:adjustRightInd w:val="0"/>
        <w:snapToGrid w:val="0"/>
        <w:spacing w:line="360" w:lineRule="auto"/>
        <w:ind w:firstLineChars="200" w:firstLine="420"/>
      </w:pPr>
      <w:r>
        <w:rPr>
          <w:rFonts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四、申购与赎回的原则</w:t>
      </w:r>
    </w:p>
    <w:p w:rsidR="006E1FE1" w:rsidRDefault="00F51CE7">
      <w:pPr>
        <w:adjustRightInd w:val="0"/>
        <w:snapToGrid w:val="0"/>
        <w:spacing w:line="360" w:lineRule="auto"/>
        <w:ind w:firstLineChars="200" w:firstLine="420"/>
      </w:pPr>
      <w:r>
        <w:rPr>
          <w:rFonts w:hint="eastAsia"/>
        </w:rPr>
        <w:t>1</w:t>
      </w:r>
      <w:r>
        <w:rPr>
          <w:rFonts w:hint="eastAsia"/>
        </w:rPr>
        <w:t>、“未知价”原则，即申购、赎回价格以申请当日收市后计算的基金份额净值为基准进行计算；</w:t>
      </w:r>
    </w:p>
    <w:p w:rsidR="006E1FE1" w:rsidRDefault="00F51CE7">
      <w:pPr>
        <w:adjustRightInd w:val="0"/>
        <w:snapToGrid w:val="0"/>
        <w:spacing w:line="360" w:lineRule="auto"/>
        <w:ind w:firstLineChars="200" w:firstLine="420"/>
      </w:pPr>
      <w:r>
        <w:rPr>
          <w:rFonts w:hint="eastAsia"/>
        </w:rPr>
        <w:t>2</w:t>
      </w:r>
      <w:r>
        <w:rPr>
          <w:rFonts w:hint="eastAsia"/>
        </w:rPr>
        <w:t>、“金额申购、份额赎回”原则，即申购以金额申请，赎回以份额申请；</w:t>
      </w:r>
    </w:p>
    <w:p w:rsidR="006E1FE1" w:rsidRDefault="00F51CE7">
      <w:pPr>
        <w:adjustRightInd w:val="0"/>
        <w:snapToGrid w:val="0"/>
        <w:spacing w:line="360" w:lineRule="auto"/>
        <w:ind w:firstLineChars="200" w:firstLine="420"/>
      </w:pPr>
      <w:r>
        <w:rPr>
          <w:rFonts w:hint="eastAsia"/>
        </w:rPr>
        <w:t>3</w:t>
      </w:r>
      <w:r>
        <w:rPr>
          <w:rFonts w:hint="eastAsia"/>
        </w:rPr>
        <w:t>、当日的场外申购与赎回申请可以在基金管理人规定的时间以内撤销；</w:t>
      </w:r>
    </w:p>
    <w:p w:rsidR="006E1FE1" w:rsidRDefault="00F51CE7">
      <w:pPr>
        <w:adjustRightInd w:val="0"/>
        <w:snapToGrid w:val="0"/>
        <w:spacing w:line="360" w:lineRule="auto"/>
        <w:ind w:firstLineChars="200" w:firstLine="420"/>
      </w:pPr>
      <w:r>
        <w:rPr>
          <w:rFonts w:hint="eastAsia"/>
        </w:rPr>
        <w:t>4</w:t>
      </w:r>
      <w:r>
        <w:rPr>
          <w:rFonts w:hint="eastAsia"/>
        </w:rPr>
        <w:t>、本基金场外赎回遵循“先进先出”原则，即基金份额持有人在场外销售机构赎回基金份额时，按照基金份额持有人场外认购、申购确认的先后次序进行顺序赎回；</w:t>
      </w:r>
    </w:p>
    <w:p w:rsidR="006E1FE1" w:rsidRDefault="00F51CE7">
      <w:pPr>
        <w:adjustRightInd w:val="0"/>
        <w:snapToGrid w:val="0"/>
        <w:spacing w:line="360" w:lineRule="auto"/>
        <w:ind w:firstLineChars="200" w:firstLine="420"/>
      </w:pPr>
      <w:r>
        <w:rPr>
          <w:rFonts w:hint="eastAsia"/>
        </w:rPr>
        <w:t>5</w:t>
      </w:r>
      <w:r>
        <w:rPr>
          <w:rFonts w:hint="eastAsia"/>
        </w:rPr>
        <w:t>、办理申购、赎回业务时，应当遵循基金份额持有人利益优先原则，确保投资者的合法权益不受损害并得到公平对待。</w:t>
      </w:r>
    </w:p>
    <w:p w:rsidR="006E1FE1" w:rsidRDefault="00F51CE7">
      <w:pPr>
        <w:adjustRightInd w:val="0"/>
        <w:snapToGrid w:val="0"/>
        <w:spacing w:line="360" w:lineRule="auto"/>
        <w:ind w:firstLineChars="200" w:firstLine="420"/>
      </w:pPr>
      <w:r>
        <w:t>6</w:t>
      </w:r>
      <w:r>
        <w:rPr>
          <w:rFonts w:hint="eastAsia"/>
        </w:rPr>
        <w:t>、本基金场内申购、赎回等业务，按照深圳证券交易所、中国证券登记结算有限责任公司的相关业务规则执行。若相关法律法规、中国证监会、深圳证券交易所或中国证券登记结算有限责任公司对场内申购、赎回业务等规则有新的规定，按新规定执行。</w:t>
      </w:r>
    </w:p>
    <w:p w:rsidR="006E1FE1" w:rsidRDefault="00F51CE7">
      <w:pPr>
        <w:adjustRightInd w:val="0"/>
        <w:snapToGrid w:val="0"/>
        <w:spacing w:line="360" w:lineRule="auto"/>
        <w:ind w:firstLineChars="200" w:firstLine="420"/>
      </w:pPr>
      <w:r>
        <w:rPr>
          <w:rFonts w:hint="eastAsia"/>
        </w:rPr>
        <w:t>基金管理人可在法律法规允许的情况下，对上述原则进行调整。基金管理人必须在新规则开始实施前依照《信息披露办法》的有关规定在规定媒介上公告。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五、申购与赎回的程序</w:t>
      </w:r>
    </w:p>
    <w:p w:rsidR="006E1FE1" w:rsidRDefault="00F51CE7">
      <w:pPr>
        <w:adjustRightInd w:val="0"/>
        <w:snapToGrid w:val="0"/>
        <w:spacing w:line="360" w:lineRule="auto"/>
        <w:ind w:firstLineChars="200" w:firstLine="420"/>
      </w:pPr>
      <w:r>
        <w:rPr>
          <w:rFonts w:hint="eastAsia"/>
        </w:rPr>
        <w:t>1</w:t>
      </w:r>
      <w:r>
        <w:rPr>
          <w:rFonts w:hint="eastAsia"/>
        </w:rPr>
        <w:t>、申购和赎回的申请方式</w:t>
      </w:r>
    </w:p>
    <w:p w:rsidR="006E1FE1" w:rsidRDefault="00F51CE7">
      <w:pPr>
        <w:adjustRightInd w:val="0"/>
        <w:snapToGrid w:val="0"/>
        <w:spacing w:line="360" w:lineRule="auto"/>
        <w:ind w:firstLineChars="200" w:firstLine="420"/>
      </w:pPr>
      <w:r>
        <w:rPr>
          <w:rFonts w:hint="eastAsia"/>
        </w:rPr>
        <w:t>投资人必须根据销售机构规定的程序，在开放日的具体业务办理时间内提出申购或赎回的申请。</w:t>
      </w:r>
    </w:p>
    <w:p w:rsidR="006E1FE1" w:rsidRDefault="00F51CE7">
      <w:pPr>
        <w:adjustRightInd w:val="0"/>
        <w:snapToGrid w:val="0"/>
        <w:spacing w:line="360" w:lineRule="auto"/>
        <w:ind w:firstLineChars="200" w:firstLine="420"/>
      </w:pPr>
      <w:r>
        <w:rPr>
          <w:rFonts w:hint="eastAsia"/>
        </w:rPr>
        <w:t>2</w:t>
      </w:r>
      <w:r>
        <w:rPr>
          <w:rFonts w:hint="eastAsia"/>
        </w:rPr>
        <w:t>、申购和赎回的款项支付</w:t>
      </w:r>
    </w:p>
    <w:p w:rsidR="006E1FE1" w:rsidRDefault="00F51CE7">
      <w:pPr>
        <w:adjustRightInd w:val="0"/>
        <w:snapToGrid w:val="0"/>
        <w:spacing w:line="360" w:lineRule="auto"/>
        <w:ind w:firstLineChars="200" w:firstLine="420"/>
      </w:pPr>
      <w:r>
        <w:rPr>
          <w:rFonts w:hint="eastAsia"/>
        </w:rPr>
        <w:lastRenderedPageBreak/>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E1FE1" w:rsidRDefault="00F51CE7">
      <w:pPr>
        <w:adjustRightInd w:val="0"/>
        <w:snapToGrid w:val="0"/>
        <w:spacing w:line="360" w:lineRule="auto"/>
        <w:ind w:firstLineChars="200" w:firstLine="420"/>
      </w:pPr>
      <w:r>
        <w:rPr>
          <w:rFonts w:hint="eastAsia"/>
        </w:rPr>
        <w:t>投资人赎回申请成功后，基金管理人将在</w:t>
      </w:r>
      <w:r>
        <w:rPr>
          <w:rFonts w:hint="eastAsia"/>
        </w:rPr>
        <w:t>T</w:t>
      </w:r>
      <w:r>
        <w:rPr>
          <w:rFonts w:hint="eastAsia"/>
        </w:rPr>
        <w:t>＋</w:t>
      </w:r>
      <w:r>
        <w:rPr>
          <w:rFonts w:hint="eastAsia"/>
        </w:rPr>
        <w:t>7</w:t>
      </w:r>
      <w:r>
        <w:rPr>
          <w:rFonts w:hint="eastAsia"/>
        </w:rPr>
        <w:t>日</w:t>
      </w:r>
      <w:r>
        <w:rPr>
          <w:rFonts w:hint="eastAsia"/>
        </w:rPr>
        <w:t>(</w:t>
      </w:r>
      <w:r>
        <w:rPr>
          <w:rFonts w:hint="eastAsia"/>
        </w:rPr>
        <w:t>包括该日</w:t>
      </w:r>
      <w:r>
        <w:rPr>
          <w:rFonts w:hint="eastAsia"/>
        </w:rPr>
        <w:t>)</w:t>
      </w:r>
      <w:r>
        <w:rPr>
          <w:rFonts w:hint="eastAsia"/>
        </w:rPr>
        <w:t>内支付赎回款项。在发生巨额赎回时或本基金合同载明的其他暂停赎回或延缓支付赎回款项的情形时，款项的支付办法参照本基金合同有关条款处理。如遇证券</w:t>
      </w:r>
      <w:r>
        <w:rPr>
          <w:rFonts w:hint="eastAsia"/>
        </w:rPr>
        <w:t>/</w:t>
      </w:r>
      <w:r>
        <w:rPr>
          <w:rFonts w:hint="eastAsia"/>
        </w:rPr>
        <w:t>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6E1FE1" w:rsidRDefault="00F51CE7">
      <w:pPr>
        <w:adjustRightInd w:val="0"/>
        <w:snapToGrid w:val="0"/>
        <w:spacing w:line="360" w:lineRule="auto"/>
        <w:ind w:firstLineChars="200" w:firstLine="420"/>
      </w:pPr>
      <w:r>
        <w:rPr>
          <w:rFonts w:hint="eastAsia"/>
        </w:rPr>
        <w:t>3</w:t>
      </w:r>
      <w:r>
        <w:rPr>
          <w:rFonts w:hint="eastAsia"/>
        </w:rPr>
        <w:t>、申购和赎回申请的确认</w:t>
      </w:r>
    </w:p>
    <w:p w:rsidR="006E1FE1" w:rsidRDefault="00F51CE7">
      <w:pPr>
        <w:adjustRightInd w:val="0"/>
        <w:snapToGrid w:val="0"/>
        <w:spacing w:line="360" w:lineRule="auto"/>
        <w:ind w:firstLineChars="200" w:firstLine="420"/>
      </w:pPr>
      <w:r>
        <w:rPr>
          <w:rFonts w:hint="eastAsia"/>
        </w:rPr>
        <w:t>基金管理人应以交易时间结束前受理有效申购和赎回申请的当天作为申购或赎回申请日</w:t>
      </w:r>
      <w:r>
        <w:rPr>
          <w:rFonts w:hint="eastAsia"/>
        </w:rPr>
        <w:t>(T</w:t>
      </w:r>
      <w:r>
        <w:rPr>
          <w:rFonts w:hint="eastAsia"/>
        </w:rPr>
        <w:t>日</w:t>
      </w:r>
      <w:r>
        <w:rPr>
          <w:rFonts w:hint="eastAsia"/>
        </w:rPr>
        <w:t>)</w:t>
      </w:r>
      <w:r>
        <w:rPr>
          <w:rFonts w:hint="eastAsia"/>
        </w:rPr>
        <w:t>，在正常情况下，本基金登记机构在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日提交的有效申请，投资人应在</w:t>
      </w:r>
      <w:r>
        <w:rPr>
          <w:rFonts w:hint="eastAsia"/>
        </w:rPr>
        <w:t>T+2</w:t>
      </w:r>
      <w:r>
        <w:rPr>
          <w:rFonts w:hint="eastAsia"/>
        </w:rPr>
        <w:t>日后</w:t>
      </w:r>
      <w:r>
        <w:rPr>
          <w:rFonts w:hint="eastAsia"/>
        </w:rPr>
        <w:t>(</w:t>
      </w:r>
      <w:r>
        <w:rPr>
          <w:rFonts w:hint="eastAsia"/>
        </w:rPr>
        <w:t>包括该日</w:t>
      </w:r>
      <w:r>
        <w:rPr>
          <w:rFonts w:hint="eastAsia"/>
        </w:rPr>
        <w:t>)</w:t>
      </w:r>
      <w:r>
        <w:rPr>
          <w:rFonts w:hint="eastAsia"/>
        </w:rPr>
        <w:t>及时到销售网点柜台或以销售机构规定的其他方式查询申请的确认情况。若申购不成功，则申购款项退还给投资人。</w:t>
      </w:r>
    </w:p>
    <w:p w:rsidR="006E1FE1" w:rsidRDefault="00F51CE7">
      <w:pPr>
        <w:adjustRightInd w:val="0"/>
        <w:snapToGrid w:val="0"/>
        <w:spacing w:line="360" w:lineRule="auto"/>
        <w:ind w:firstLineChars="200"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E1FE1" w:rsidRDefault="00F51CE7">
      <w:pPr>
        <w:adjustRightInd w:val="0"/>
        <w:snapToGrid w:val="0"/>
        <w:spacing w:line="360" w:lineRule="auto"/>
        <w:ind w:firstLineChars="200" w:firstLine="420"/>
      </w:pPr>
      <w:r>
        <w:rPr>
          <w:rFonts w:hint="eastAsia"/>
        </w:rPr>
        <w:t>基金管理人可在法律法规允许的范围内，依法对上述申购和赎回申请的确认时间进行调整，并必须在调整实施前按照《信息披露办法》的有关规定在规定媒介上公告。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六、申购和赎回的数量限制</w:t>
      </w:r>
    </w:p>
    <w:p w:rsidR="006E1FE1" w:rsidRDefault="00F51CE7">
      <w:pPr>
        <w:adjustRightInd w:val="0"/>
        <w:snapToGrid w:val="0"/>
        <w:spacing w:line="360" w:lineRule="auto"/>
        <w:ind w:firstLineChars="200" w:firstLine="420"/>
      </w:pPr>
      <w:r>
        <w:rPr>
          <w:rFonts w:hint="eastAsia"/>
        </w:rPr>
        <w:t>1</w:t>
      </w:r>
      <w:r>
        <w:rPr>
          <w:rFonts w:hint="eastAsia"/>
        </w:rPr>
        <w:t>、基金管理人可以规定投资人首次申购和每次申购的最低金额以及每次赎回的最低份额，具体规定请参见招募说明书或相关公告。</w:t>
      </w:r>
    </w:p>
    <w:p w:rsidR="006E1FE1" w:rsidRDefault="00F51CE7">
      <w:pPr>
        <w:adjustRightInd w:val="0"/>
        <w:snapToGrid w:val="0"/>
        <w:spacing w:line="360" w:lineRule="auto"/>
        <w:ind w:firstLineChars="200" w:firstLine="420"/>
      </w:pPr>
      <w:r>
        <w:rPr>
          <w:rFonts w:hint="eastAsia"/>
        </w:rPr>
        <w:t>2</w:t>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6E1FE1" w:rsidRDefault="00F51CE7">
      <w:pPr>
        <w:adjustRightInd w:val="0"/>
        <w:snapToGrid w:val="0"/>
        <w:spacing w:line="360" w:lineRule="auto"/>
        <w:ind w:firstLineChars="200" w:firstLine="420"/>
      </w:pPr>
      <w:r>
        <w:rPr>
          <w:rFonts w:hint="eastAsia"/>
        </w:rPr>
        <w:t>3</w:t>
      </w:r>
      <w:r>
        <w:rPr>
          <w:rFonts w:hint="eastAsia"/>
        </w:rPr>
        <w:t>、基金管理人可以规定投资人每个基金交易账户的最低基金份额余额，具体规定请参见招募说明书或相关公告。</w:t>
      </w:r>
    </w:p>
    <w:p w:rsidR="006E1FE1" w:rsidRDefault="00F51CE7">
      <w:pPr>
        <w:adjustRightInd w:val="0"/>
        <w:snapToGrid w:val="0"/>
        <w:spacing w:line="360" w:lineRule="auto"/>
        <w:ind w:firstLineChars="200" w:firstLine="420"/>
      </w:pPr>
      <w:r>
        <w:rPr>
          <w:rFonts w:hint="eastAsia"/>
        </w:rPr>
        <w:t>4</w:t>
      </w:r>
      <w:r>
        <w:rPr>
          <w:rFonts w:hint="eastAsia"/>
        </w:rPr>
        <w:t>、基金管理人可以规定单个投资人累计持有的基金份额上限，具体规定请参见招募说明书或相关公告。</w:t>
      </w:r>
    </w:p>
    <w:p w:rsidR="006E1FE1" w:rsidRDefault="00F51CE7">
      <w:pPr>
        <w:adjustRightInd w:val="0"/>
        <w:snapToGrid w:val="0"/>
        <w:spacing w:line="360" w:lineRule="auto"/>
        <w:ind w:firstLineChars="200" w:firstLine="420"/>
      </w:pPr>
      <w:r>
        <w:rPr>
          <w:rFonts w:hint="eastAsia"/>
        </w:rPr>
        <w:t>5</w:t>
      </w:r>
      <w:r>
        <w:rPr>
          <w:rFonts w:hint="eastAsia"/>
        </w:rPr>
        <w:t>、对于场内申购、赎回及持有场内份额的数量限制，深圳证券交易所和中国证券登记结算有限责任公司的相关业务规则有规定的，从其最新规定办理。</w:t>
      </w:r>
    </w:p>
    <w:p w:rsidR="006E1FE1" w:rsidRDefault="00F51CE7">
      <w:pPr>
        <w:adjustRightInd w:val="0"/>
        <w:snapToGrid w:val="0"/>
        <w:spacing w:line="360" w:lineRule="auto"/>
        <w:ind w:firstLineChars="200" w:firstLine="420"/>
      </w:pPr>
      <w:r>
        <w:rPr>
          <w:rFonts w:hint="eastAsia"/>
        </w:rPr>
        <w:t>6</w:t>
      </w:r>
      <w:r>
        <w:rPr>
          <w:rFonts w:hint="eastAsia"/>
        </w:rPr>
        <w:t>、基金管理人可在法律法规允许的情况下，调整上述规定申购金额和赎回份额的数量</w:t>
      </w:r>
      <w:r>
        <w:rPr>
          <w:rFonts w:hint="eastAsia"/>
        </w:rPr>
        <w:lastRenderedPageBreak/>
        <w:t>限制。基金管理人必须在调整实施前依照《信息披露办法》的有关规定在规定媒介上公告。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七、申购和赎回的价格、费用及其用途</w:t>
      </w:r>
    </w:p>
    <w:p w:rsidR="006E1FE1" w:rsidRDefault="00F51CE7">
      <w:pPr>
        <w:adjustRightInd w:val="0"/>
        <w:snapToGrid w:val="0"/>
        <w:spacing w:line="360" w:lineRule="auto"/>
        <w:ind w:firstLineChars="200" w:firstLine="420"/>
      </w:pPr>
      <w:r>
        <w:rPr>
          <w:rFonts w:hint="eastAsia"/>
        </w:rPr>
        <w:t>1</w:t>
      </w:r>
      <w:r>
        <w:rPr>
          <w:rFonts w:hint="eastAsia"/>
        </w:rPr>
        <w:t>、本基金份额净值的计算，保留到小数点后</w:t>
      </w:r>
      <w:r>
        <w:rPr>
          <w:rFonts w:hint="eastAsia"/>
        </w:rPr>
        <w:t>4</w:t>
      </w:r>
      <w:r>
        <w:rPr>
          <w:rFonts w:hint="eastAsia"/>
        </w:rPr>
        <w:t>位，小数点后第</w:t>
      </w:r>
      <w:r>
        <w:rPr>
          <w:rFonts w:hint="eastAsia"/>
        </w:rPr>
        <w:t>5</w:t>
      </w:r>
      <w:r>
        <w:rPr>
          <w:rFonts w:hint="eastAsia"/>
        </w:rPr>
        <w:t>位四舍五入，由此产生的收益或损失由基金财产承担。</w:t>
      </w:r>
      <w:r>
        <w:rPr>
          <w:rFonts w:hint="eastAsia"/>
        </w:rPr>
        <w:t>T</w:t>
      </w:r>
      <w:r>
        <w:rPr>
          <w:rFonts w:hint="eastAsia"/>
        </w:rPr>
        <w:t>日的基金份额净值在当天收市后计算，并按约定公告。遇特殊情况，经履行适当程序，可以适当延迟计算或公告。</w:t>
      </w:r>
    </w:p>
    <w:p w:rsidR="006E1FE1" w:rsidRDefault="00F51CE7">
      <w:pPr>
        <w:adjustRightInd w:val="0"/>
        <w:snapToGrid w:val="0"/>
        <w:spacing w:line="360" w:lineRule="auto"/>
        <w:ind w:firstLineChars="200" w:firstLine="420"/>
      </w:pPr>
      <w:r>
        <w:rPr>
          <w:rFonts w:hint="eastAsia"/>
        </w:rPr>
        <w:t>2</w:t>
      </w:r>
      <w:r>
        <w:rPr>
          <w:rFonts w:hint="eastAsia"/>
        </w:rPr>
        <w:t>、申购份额的计算及余额的处理方式：本基金申购份额、余额的计算方式及处理方式详见《招募说明书》。本基金的申购费率由基金管理人决定，并在招募说明书及基金产品资料概要中列示。</w:t>
      </w:r>
    </w:p>
    <w:p w:rsidR="006E1FE1" w:rsidRDefault="00F51CE7">
      <w:pPr>
        <w:adjustRightInd w:val="0"/>
        <w:snapToGrid w:val="0"/>
        <w:spacing w:line="360" w:lineRule="auto"/>
        <w:ind w:firstLineChars="200" w:firstLine="420"/>
      </w:pPr>
      <w:r>
        <w:rPr>
          <w:rFonts w:hint="eastAsia"/>
        </w:rPr>
        <w:t>3</w:t>
      </w:r>
      <w:r>
        <w:rPr>
          <w:rFonts w:hint="eastAsia"/>
        </w:rPr>
        <w:t>、赎回金额的计算及处理方式：本基金赎回金额、余额的计算方式及处理方式详见《招募说明书》，赎回金额单位为元。本基金的赎回费率由基金管理人决定，并在招募说明书及基金产品资料概要中列示。</w:t>
      </w:r>
    </w:p>
    <w:p w:rsidR="006E1FE1" w:rsidRDefault="00F51CE7">
      <w:pPr>
        <w:adjustRightInd w:val="0"/>
        <w:snapToGrid w:val="0"/>
        <w:spacing w:line="360" w:lineRule="auto"/>
        <w:ind w:firstLineChars="200" w:firstLine="420"/>
      </w:pPr>
      <w:r>
        <w:rPr>
          <w:rFonts w:hint="eastAsia"/>
        </w:rPr>
        <w:t>4</w:t>
      </w:r>
      <w:r>
        <w:rPr>
          <w:rFonts w:hint="eastAsia"/>
        </w:rPr>
        <w:t>、申购费用由投资人承担，不列入基金财产。</w:t>
      </w:r>
    </w:p>
    <w:p w:rsidR="006E1FE1" w:rsidRDefault="00F51CE7">
      <w:pPr>
        <w:adjustRightInd w:val="0"/>
        <w:snapToGrid w:val="0"/>
        <w:spacing w:line="360" w:lineRule="auto"/>
        <w:ind w:firstLineChars="200" w:firstLine="420"/>
      </w:pPr>
      <w:r>
        <w:rPr>
          <w:rFonts w:hint="eastAsia"/>
        </w:rPr>
        <w:t>5</w:t>
      </w:r>
      <w:r>
        <w:rPr>
          <w:rFonts w:hint="eastAsia"/>
        </w:rPr>
        <w:t>、赎回费用由赎回基金份额的基金份额持有人承担，在基金份额持有人赎回基金份额时收取。赎回费归入基金财产的比例依照相关法律法规设定，具体见招募说明书。对持续持有期少于</w:t>
      </w:r>
      <w:r>
        <w:rPr>
          <w:rFonts w:hint="eastAsia"/>
        </w:rPr>
        <w:t xml:space="preserve">7 </w:t>
      </w:r>
      <w:r>
        <w:rPr>
          <w:rFonts w:hint="eastAsia"/>
        </w:rPr>
        <w:t>日的投资者收取不低于</w:t>
      </w:r>
      <w:r>
        <w:rPr>
          <w:rFonts w:hint="eastAsia"/>
        </w:rPr>
        <w:t>1.5%</w:t>
      </w:r>
      <w:r>
        <w:rPr>
          <w:rFonts w:hint="eastAsia"/>
        </w:rPr>
        <w:t>的赎回费，并将上述赎回费全额计入基金财产。</w:t>
      </w:r>
    </w:p>
    <w:p w:rsidR="006E1FE1" w:rsidRDefault="00F51CE7">
      <w:pPr>
        <w:adjustRightInd w:val="0"/>
        <w:snapToGrid w:val="0"/>
        <w:spacing w:line="360" w:lineRule="auto"/>
        <w:ind w:firstLineChars="200" w:firstLine="420"/>
      </w:pPr>
      <w:r>
        <w:rPr>
          <w:rFonts w:hint="eastAsia"/>
        </w:rPr>
        <w:t>6</w:t>
      </w:r>
      <w:r>
        <w:rPr>
          <w:rFonts w:hint="eastAsia"/>
        </w:rPr>
        <w:t>、本基金的申购费率、申购份额具体的计算方法、赎回费率、赎回金额具体的计算方法和收费方式由基金管理人根据基金合同的规定确定，并在招募说明书中列示。基金管理人可以根据相关法律法规或在基金合同约定的范围内调整费率或收费方式，并最迟应于新的费率或收费方式实施日前依照《信息披露办法》的有关规定在规定媒介上公告。</w:t>
      </w:r>
    </w:p>
    <w:p w:rsidR="006E1FE1" w:rsidRDefault="00F51CE7">
      <w:pPr>
        <w:adjustRightInd w:val="0"/>
        <w:snapToGrid w:val="0"/>
        <w:spacing w:line="360" w:lineRule="auto"/>
        <w:ind w:firstLineChars="200" w:firstLine="420"/>
      </w:pPr>
      <w:r>
        <w:rPr>
          <w:rFonts w:hint="eastAsia"/>
        </w:rPr>
        <w:t>7</w:t>
      </w:r>
      <w:r>
        <w:rPr>
          <w:rFonts w:hint="eastAsia"/>
        </w:rPr>
        <w:t>、基金管理人及其他基金销售机构可以在不违背法律法规规定及《基金合同》约定、对基金份额持有人无实质性不利影响的前提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6E1FE1" w:rsidRDefault="00F51CE7">
      <w:pPr>
        <w:adjustRightInd w:val="0"/>
        <w:snapToGrid w:val="0"/>
        <w:spacing w:line="360" w:lineRule="auto"/>
        <w:ind w:firstLineChars="200" w:firstLine="420"/>
      </w:pPr>
      <w:r>
        <w:rPr>
          <w:rFonts w:hint="eastAsia"/>
        </w:rPr>
        <w:t>8</w:t>
      </w:r>
      <w:r>
        <w:rPr>
          <w:rFonts w:hint="eastAsia"/>
        </w:rPr>
        <w:t>、当发生大额申购或赎回情形时，基金管理人可以采用摆动定价机制，以确保基金估值的公平性，具体处理原则与操作规范遵循相关法律法规以及监管部门、自律规则的规定。</w:t>
      </w:r>
    </w:p>
    <w:p w:rsidR="006E1FE1" w:rsidRDefault="00F51CE7">
      <w:pPr>
        <w:adjustRightInd w:val="0"/>
        <w:snapToGrid w:val="0"/>
        <w:spacing w:line="360" w:lineRule="auto"/>
        <w:ind w:firstLineChars="200" w:firstLine="420"/>
      </w:pPr>
      <w:r>
        <w:rPr>
          <w:rFonts w:hint="eastAsia"/>
        </w:rPr>
        <w:t>9</w:t>
      </w:r>
      <w:r>
        <w:rPr>
          <w:rFonts w:hint="eastAsia"/>
        </w:rPr>
        <w:t>、办理场内申购、赎回业务应遵守深圳证券交易所及中国证券登记结算有限责任公司的有关业务规则。若相关法律法规、中国证监会、深圳证券交易所或中国证券登记结算有限责任公司对场内申购、赎回业务规则有新的规定，基金合同相应予以修改，并按照新规定执行，且此项修改无需召开基金份额持有人大会审议。</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八、拒绝或暂停申购的情形</w:t>
      </w:r>
    </w:p>
    <w:p w:rsidR="006E1FE1" w:rsidRDefault="00F51CE7">
      <w:pPr>
        <w:adjustRightInd w:val="0"/>
        <w:snapToGrid w:val="0"/>
        <w:spacing w:line="360" w:lineRule="auto"/>
        <w:ind w:firstLineChars="200" w:firstLine="420"/>
      </w:pPr>
      <w:r>
        <w:rPr>
          <w:rFonts w:hint="eastAsia"/>
        </w:rPr>
        <w:t>开放期内发生下列情况时，基金管理人可拒绝或暂停接受投资人的申购申请：</w:t>
      </w:r>
    </w:p>
    <w:p w:rsidR="006E1FE1" w:rsidRDefault="00F51CE7">
      <w:pPr>
        <w:adjustRightInd w:val="0"/>
        <w:snapToGrid w:val="0"/>
        <w:spacing w:line="360" w:lineRule="auto"/>
        <w:ind w:firstLineChars="200" w:firstLine="420"/>
      </w:pPr>
      <w:r>
        <w:rPr>
          <w:rFonts w:hint="eastAsia"/>
        </w:rPr>
        <w:t>1</w:t>
      </w:r>
      <w:r>
        <w:rPr>
          <w:rFonts w:hint="eastAsia"/>
        </w:rPr>
        <w:t>、因不可抗力导致基金无法正常运作。</w:t>
      </w:r>
    </w:p>
    <w:p w:rsidR="006E1FE1" w:rsidRDefault="00F51CE7">
      <w:pPr>
        <w:adjustRightInd w:val="0"/>
        <w:snapToGrid w:val="0"/>
        <w:spacing w:line="360" w:lineRule="auto"/>
        <w:ind w:firstLineChars="200" w:firstLine="420"/>
      </w:pPr>
      <w:r>
        <w:rPr>
          <w:rFonts w:hint="eastAsia"/>
        </w:rPr>
        <w:lastRenderedPageBreak/>
        <w:t>2</w:t>
      </w:r>
      <w:r>
        <w:rPr>
          <w:rFonts w:hint="eastAsia"/>
        </w:rPr>
        <w:t>、发生基金合同规定的暂停基金资产估值情况时，基金管理人可暂停接受投资人的申购申请。当前一估值日基金资产净值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以上的资产出现无可参考的活跃市场价格且采用估值技术仍导致公允价值存在重大不确定性时，经与基金托管人协商确认后，基金管理人应当暂停接受基金申购申请。</w:t>
      </w:r>
    </w:p>
    <w:p w:rsidR="006E1FE1" w:rsidRDefault="00F51CE7">
      <w:pPr>
        <w:adjustRightInd w:val="0"/>
        <w:snapToGrid w:val="0"/>
        <w:spacing w:line="360" w:lineRule="auto"/>
        <w:ind w:firstLineChars="200" w:firstLine="420"/>
      </w:pPr>
      <w:r>
        <w:rPr>
          <w:rFonts w:hint="eastAsia"/>
        </w:rPr>
        <w:t>3</w:t>
      </w:r>
      <w:r>
        <w:rPr>
          <w:rFonts w:hint="eastAsia"/>
        </w:rPr>
        <w:t>、证券</w:t>
      </w:r>
      <w:r>
        <w:rPr>
          <w:rFonts w:hint="eastAsia"/>
        </w:rPr>
        <w:t>/</w:t>
      </w:r>
      <w:r>
        <w:rPr>
          <w:rFonts w:hint="eastAsia"/>
        </w:rPr>
        <w:t>期货交易所交易时间非正常停市或港股通临时停市，导致基金管理人无法计算当日基金资产净值或者无法办理申购业务。</w:t>
      </w:r>
    </w:p>
    <w:p w:rsidR="006E1FE1" w:rsidRDefault="00F51CE7">
      <w:pPr>
        <w:adjustRightInd w:val="0"/>
        <w:snapToGrid w:val="0"/>
        <w:spacing w:line="360" w:lineRule="auto"/>
        <w:ind w:firstLineChars="200" w:firstLine="420"/>
      </w:pPr>
      <w:r>
        <w:rPr>
          <w:rFonts w:hint="eastAsia"/>
        </w:rPr>
        <w:t>4</w:t>
      </w:r>
      <w:r>
        <w:rPr>
          <w:rFonts w:hint="eastAsia"/>
        </w:rPr>
        <w:t>、接受某笔或某些申购申请可能会影响或损害现有基金份额持有人利益时。</w:t>
      </w:r>
    </w:p>
    <w:p w:rsidR="006E1FE1" w:rsidRDefault="00F51CE7">
      <w:pPr>
        <w:adjustRightInd w:val="0"/>
        <w:snapToGrid w:val="0"/>
        <w:spacing w:line="360" w:lineRule="auto"/>
        <w:ind w:firstLineChars="200" w:firstLine="420"/>
      </w:pPr>
      <w:r>
        <w:rPr>
          <w:rFonts w:hint="eastAsia"/>
        </w:rPr>
        <w:t>5</w:t>
      </w:r>
      <w:r>
        <w:rPr>
          <w:rFonts w:hint="eastAsia"/>
        </w:rPr>
        <w:t>、基金资产规模过大，使基金管理人无法找到合适的投资品种，或其他可能对基金业绩产生负面影响，或其他损害现有基金份额持有人利益的情形。</w:t>
      </w:r>
    </w:p>
    <w:p w:rsidR="006E1FE1" w:rsidRDefault="00F51CE7">
      <w:pPr>
        <w:adjustRightInd w:val="0"/>
        <w:snapToGrid w:val="0"/>
        <w:spacing w:line="360" w:lineRule="auto"/>
        <w:ind w:firstLineChars="200" w:firstLine="420"/>
      </w:pPr>
      <w:r>
        <w:rPr>
          <w:rFonts w:hint="eastAsia"/>
        </w:rPr>
        <w:t>6</w:t>
      </w:r>
      <w:r>
        <w:rPr>
          <w:rFonts w:hint="eastAsia"/>
        </w:rPr>
        <w:t>、基金管理人、基金托管人、基金销售机构或登记机构因技术故障或异常情况导致基金销售系统、基金登记系统、基金会计系统或证券登记结算系统无法正常运行时。</w:t>
      </w:r>
    </w:p>
    <w:p w:rsidR="006E1FE1" w:rsidRDefault="00F51CE7">
      <w:pPr>
        <w:adjustRightInd w:val="0"/>
        <w:snapToGrid w:val="0"/>
        <w:spacing w:line="360" w:lineRule="auto"/>
        <w:ind w:firstLineChars="200" w:firstLine="420"/>
      </w:pPr>
      <w:r>
        <w:rPr>
          <w:rFonts w:hint="eastAsia"/>
        </w:rPr>
        <w:t>7</w:t>
      </w:r>
      <w:r>
        <w:rPr>
          <w:rFonts w:hint="eastAsia"/>
        </w:rPr>
        <w:t>、基金管理人接受某笔或者某些申购申请有可能导致单一投资者持有基金份额的比例达到或者超过</w:t>
      </w:r>
      <w:r>
        <w:rPr>
          <w:rFonts w:hint="eastAsia"/>
        </w:rPr>
        <w:t>50%</w:t>
      </w:r>
      <w:r>
        <w:rPr>
          <w:rFonts w:hint="eastAsia"/>
        </w:rPr>
        <w:t>，或者变相规避</w:t>
      </w:r>
      <w:r>
        <w:rPr>
          <w:rFonts w:hint="eastAsia"/>
        </w:rPr>
        <w:t>50%</w:t>
      </w:r>
      <w:r>
        <w:rPr>
          <w:rFonts w:hint="eastAsia"/>
        </w:rPr>
        <w:t>集中度的情形时。</w:t>
      </w:r>
    </w:p>
    <w:p w:rsidR="006E1FE1" w:rsidRDefault="00F51CE7">
      <w:pPr>
        <w:adjustRightInd w:val="0"/>
        <w:snapToGrid w:val="0"/>
        <w:spacing w:line="360" w:lineRule="auto"/>
        <w:ind w:firstLineChars="200" w:firstLine="420"/>
      </w:pPr>
      <w:r>
        <w:rPr>
          <w:rFonts w:hint="eastAsia"/>
        </w:rPr>
        <w:t>8</w:t>
      </w:r>
      <w:r>
        <w:rPr>
          <w:rFonts w:hint="eastAsia"/>
        </w:rPr>
        <w:t>、港股通交易每日额度不足。</w:t>
      </w:r>
    </w:p>
    <w:p w:rsidR="006E1FE1" w:rsidRDefault="00F51CE7">
      <w:pPr>
        <w:adjustRightInd w:val="0"/>
        <w:snapToGrid w:val="0"/>
        <w:spacing w:line="360" w:lineRule="auto"/>
        <w:ind w:firstLineChars="200" w:firstLine="420"/>
      </w:pPr>
      <w:r>
        <w:t>9</w:t>
      </w:r>
      <w:r>
        <w:rPr>
          <w:rFonts w:hint="eastAsia"/>
        </w:rPr>
        <w:t>、法律法规规定或中国证监会认定的其他情形。</w:t>
      </w:r>
    </w:p>
    <w:p w:rsidR="006E1FE1" w:rsidRDefault="00F51CE7">
      <w:pPr>
        <w:adjustRightInd w:val="0"/>
        <w:snapToGrid w:val="0"/>
        <w:spacing w:line="360" w:lineRule="auto"/>
        <w:ind w:firstLineChars="200" w:firstLine="420"/>
      </w:pPr>
      <w:r>
        <w:rPr>
          <w:rFonts w:hint="eastAsia"/>
        </w:rPr>
        <w:t>发生上述第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9</w:t>
      </w:r>
      <w:r>
        <w:rPr>
          <w:rFonts w:hint="eastAsia"/>
        </w:rPr>
        <w:t>项暂停申购情形之一且基金管理人决定暂停申购时，基金管理人应当根据有关规定在规定媒介上刊登暂停申购公告。当发生上述第</w:t>
      </w:r>
      <w:r>
        <w:rPr>
          <w:rFonts w:hint="eastAsia"/>
        </w:rPr>
        <w:t>7</w:t>
      </w:r>
      <w:r>
        <w:rPr>
          <w:rFonts w:hint="eastAsia"/>
        </w:rPr>
        <w:t>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九、暂停赎回或延缓支付赎回款项的情形</w:t>
      </w:r>
    </w:p>
    <w:p w:rsidR="006E1FE1" w:rsidRDefault="00F51CE7">
      <w:pPr>
        <w:adjustRightInd w:val="0"/>
        <w:snapToGrid w:val="0"/>
        <w:spacing w:line="360" w:lineRule="auto"/>
        <w:ind w:firstLineChars="200" w:firstLine="420"/>
      </w:pPr>
      <w:r>
        <w:rPr>
          <w:rFonts w:hint="eastAsia"/>
        </w:rPr>
        <w:t>开放期内发生下列情形时，基金管理人可暂停接受投资人的赎回申请或延缓支付赎回款项：</w:t>
      </w:r>
    </w:p>
    <w:p w:rsidR="006E1FE1" w:rsidRDefault="00F51CE7">
      <w:pPr>
        <w:adjustRightInd w:val="0"/>
        <w:snapToGrid w:val="0"/>
        <w:spacing w:line="360" w:lineRule="auto"/>
        <w:ind w:firstLineChars="200" w:firstLine="420"/>
      </w:pPr>
      <w:r>
        <w:rPr>
          <w:rFonts w:hint="eastAsia"/>
        </w:rPr>
        <w:t>1</w:t>
      </w:r>
      <w:r>
        <w:rPr>
          <w:rFonts w:hint="eastAsia"/>
        </w:rPr>
        <w:t>、因不可抗力导致基金管理人不能支付赎回款项。</w:t>
      </w:r>
    </w:p>
    <w:p w:rsidR="006E1FE1" w:rsidRDefault="00F51CE7">
      <w:pPr>
        <w:adjustRightInd w:val="0"/>
        <w:snapToGrid w:val="0"/>
        <w:spacing w:line="360" w:lineRule="auto"/>
        <w:ind w:firstLineChars="200" w:firstLine="420"/>
      </w:pPr>
      <w:r>
        <w:rPr>
          <w:rFonts w:hint="eastAsia"/>
        </w:rPr>
        <w:t>2</w:t>
      </w:r>
      <w:r>
        <w:rPr>
          <w:rFonts w:hint="eastAsia"/>
        </w:rPr>
        <w:t>、发生基金合同规定的暂停基金资产估值情况时，基金管理人可暂停接受投资人的赎回申请或延缓支付赎回款项。当前一估值日基金资产净值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p>
    <w:p w:rsidR="006E1FE1" w:rsidRDefault="00F51CE7">
      <w:pPr>
        <w:adjustRightInd w:val="0"/>
        <w:snapToGrid w:val="0"/>
        <w:spacing w:line="360" w:lineRule="auto"/>
        <w:ind w:firstLineChars="200" w:firstLine="420"/>
      </w:pPr>
      <w:r>
        <w:rPr>
          <w:rFonts w:hint="eastAsia"/>
        </w:rPr>
        <w:t>3</w:t>
      </w:r>
      <w:r>
        <w:rPr>
          <w:rFonts w:hint="eastAsia"/>
        </w:rPr>
        <w:t>、证券</w:t>
      </w:r>
      <w:r>
        <w:rPr>
          <w:rFonts w:hint="eastAsia"/>
        </w:rPr>
        <w:t>/</w:t>
      </w:r>
      <w:r>
        <w:rPr>
          <w:rFonts w:hint="eastAsia"/>
        </w:rPr>
        <w:t>期货交易所交易时间非正常停市或港股通临时停市，导致基金管理人无法计算当日基金资产净值或者无法办理赎回业务。</w:t>
      </w:r>
    </w:p>
    <w:p w:rsidR="006E1FE1" w:rsidRDefault="00F51CE7">
      <w:pPr>
        <w:adjustRightInd w:val="0"/>
        <w:snapToGrid w:val="0"/>
        <w:spacing w:line="360" w:lineRule="auto"/>
        <w:ind w:firstLineChars="200" w:firstLine="420"/>
      </w:pPr>
      <w:r>
        <w:rPr>
          <w:rFonts w:hint="eastAsia"/>
        </w:rPr>
        <w:t>4</w:t>
      </w:r>
      <w:r>
        <w:rPr>
          <w:rFonts w:hint="eastAsia"/>
        </w:rPr>
        <w:t>、遵循基金份额持有人利益优先原则，发生损害持有人利益的情形时，可暂停接受投</w:t>
      </w:r>
      <w:r>
        <w:rPr>
          <w:rFonts w:hint="eastAsia"/>
        </w:rPr>
        <w:lastRenderedPageBreak/>
        <w:t>资人的赎回申请。</w:t>
      </w:r>
    </w:p>
    <w:p w:rsidR="006E1FE1" w:rsidRDefault="00F51CE7">
      <w:pPr>
        <w:adjustRightInd w:val="0"/>
        <w:snapToGrid w:val="0"/>
        <w:spacing w:line="360" w:lineRule="auto"/>
        <w:ind w:firstLineChars="200" w:firstLine="420"/>
      </w:pPr>
      <w:r>
        <w:rPr>
          <w:rFonts w:hint="eastAsia"/>
        </w:rPr>
        <w:t>5</w:t>
      </w:r>
      <w:r>
        <w:rPr>
          <w:rFonts w:hint="eastAsia"/>
        </w:rPr>
        <w:t>、法律法规规定或中国证监会认定的其他情形。</w:t>
      </w:r>
    </w:p>
    <w:p w:rsidR="006E1FE1" w:rsidRDefault="00F51CE7">
      <w:pPr>
        <w:adjustRightInd w:val="0"/>
        <w:snapToGrid w:val="0"/>
        <w:spacing w:line="360" w:lineRule="auto"/>
        <w:ind w:firstLineChars="200"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对于场外赎回申请，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开放期内因发生不可抗力等原因而发生暂停赎回情形的，开放期将按因不可抗力等原因而暂停赎回的时间相应延长。</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十、巨额赎回的情形及处理方式</w:t>
      </w:r>
    </w:p>
    <w:p w:rsidR="006E1FE1" w:rsidRDefault="00F51CE7">
      <w:pPr>
        <w:adjustRightInd w:val="0"/>
        <w:snapToGrid w:val="0"/>
        <w:spacing w:line="360" w:lineRule="auto"/>
        <w:ind w:firstLineChars="200" w:firstLine="420"/>
      </w:pPr>
      <w:r>
        <w:rPr>
          <w:rFonts w:hint="eastAsia"/>
        </w:rPr>
        <w:t>1</w:t>
      </w:r>
      <w:r>
        <w:rPr>
          <w:rFonts w:hint="eastAsia"/>
        </w:rPr>
        <w:t>、巨额赎回的认定</w:t>
      </w:r>
    </w:p>
    <w:p w:rsidR="006E1FE1" w:rsidRDefault="00F51CE7">
      <w:pPr>
        <w:adjustRightInd w:val="0"/>
        <w:snapToGrid w:val="0"/>
        <w:spacing w:line="360" w:lineRule="auto"/>
        <w:ind w:firstLineChars="200" w:firstLine="420"/>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6E1FE1" w:rsidRDefault="00F51CE7">
      <w:pPr>
        <w:adjustRightInd w:val="0"/>
        <w:snapToGrid w:val="0"/>
        <w:spacing w:line="360" w:lineRule="auto"/>
        <w:ind w:firstLineChars="200" w:firstLine="420"/>
      </w:pPr>
      <w:r>
        <w:rPr>
          <w:rFonts w:hint="eastAsia"/>
        </w:rPr>
        <w:t>2</w:t>
      </w:r>
      <w:r>
        <w:rPr>
          <w:rFonts w:hint="eastAsia"/>
        </w:rPr>
        <w:t>、巨额赎回的场外处理方式</w:t>
      </w:r>
    </w:p>
    <w:p w:rsidR="006E1FE1" w:rsidRDefault="00F51CE7">
      <w:pPr>
        <w:adjustRightInd w:val="0"/>
        <w:snapToGrid w:val="0"/>
        <w:spacing w:line="360" w:lineRule="auto"/>
        <w:ind w:firstLineChars="200" w:firstLine="420"/>
      </w:pPr>
      <w:r>
        <w:rPr>
          <w:rFonts w:hint="eastAsia"/>
        </w:rPr>
        <w:t>当基金出现巨额赎回时，基金管理人可以根据基金当时的资产组合状况决定全额赎回或延缓支付赎回款项。</w:t>
      </w:r>
    </w:p>
    <w:p w:rsidR="006E1FE1" w:rsidRDefault="00F51CE7">
      <w:pPr>
        <w:adjustRightInd w:val="0"/>
        <w:snapToGrid w:val="0"/>
        <w:spacing w:line="360" w:lineRule="auto"/>
        <w:ind w:firstLineChars="200" w:firstLine="420"/>
      </w:pPr>
      <w:r>
        <w:rPr>
          <w:rFonts w:hint="eastAsia"/>
        </w:rPr>
        <w:t>（</w:t>
      </w:r>
      <w:r>
        <w:rPr>
          <w:rFonts w:hint="eastAsia"/>
        </w:rPr>
        <w:t>1</w:t>
      </w:r>
      <w:r>
        <w:rPr>
          <w:rFonts w:hint="eastAsia"/>
        </w:rPr>
        <w:t>）全额赎回：当基金管理人认为有能力支付投资人的全部赎回申请时，按正常赎回程序执行。</w:t>
      </w:r>
    </w:p>
    <w:p w:rsidR="006E1FE1" w:rsidRDefault="00F51CE7">
      <w:pPr>
        <w:adjustRightInd w:val="0"/>
        <w:snapToGrid w:val="0"/>
        <w:spacing w:line="360" w:lineRule="auto"/>
        <w:ind w:firstLineChars="200" w:firstLine="420"/>
      </w:pPr>
      <w:r>
        <w:rPr>
          <w:rFonts w:hint="eastAsia"/>
        </w:rPr>
        <w:t>（</w:t>
      </w:r>
      <w:r>
        <w:rPr>
          <w:rFonts w:hint="eastAsia"/>
        </w:rPr>
        <w:t>2</w:t>
      </w:r>
      <w:r>
        <w:rPr>
          <w:rFonts w:hint="eastAsia"/>
        </w:rPr>
        <w:t>）延缓支付赎回款项：当基金管理人认为支付投资人的赎回款项有困难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余赎回申请可以延缓支付赎回款项，但延缓支付的期限不得超过二十个工作日，并应当在规定媒介上进行公告。</w:t>
      </w:r>
    </w:p>
    <w:p w:rsidR="006E1FE1" w:rsidRDefault="00F51CE7">
      <w:pPr>
        <w:adjustRightInd w:val="0"/>
        <w:snapToGrid w:val="0"/>
        <w:spacing w:line="360" w:lineRule="auto"/>
        <w:ind w:firstLineChars="200" w:firstLine="420"/>
      </w:pPr>
      <w:r>
        <w:rPr>
          <w:rFonts w:hint="eastAsia"/>
        </w:rPr>
        <w:t>（</w:t>
      </w:r>
      <w:r>
        <w:rPr>
          <w:rFonts w:hint="eastAsia"/>
        </w:rPr>
        <w:t>3</w:t>
      </w:r>
      <w:r>
        <w:rPr>
          <w:rFonts w:hint="eastAsia"/>
        </w:rPr>
        <w:t>）延期办理赎回申请：当基金发生巨额赎回，在单个基金份额持有人超过基金总份额</w:t>
      </w:r>
      <w:r>
        <w:rPr>
          <w:rFonts w:hint="eastAsia"/>
        </w:rPr>
        <w:t>30%</w:t>
      </w:r>
      <w:r>
        <w:rPr>
          <w:rFonts w:hint="eastAsia"/>
        </w:rPr>
        <w:t>以上的赎回申请情形下，基金管理人可以参照以下规则实施延期办理赎回申请：</w:t>
      </w:r>
    </w:p>
    <w:p w:rsidR="006E1FE1" w:rsidRDefault="00F51CE7">
      <w:pPr>
        <w:adjustRightInd w:val="0"/>
        <w:snapToGrid w:val="0"/>
        <w:spacing w:line="360" w:lineRule="auto"/>
        <w:ind w:firstLineChars="200" w:firstLine="420"/>
      </w:pPr>
      <w:r>
        <w:rPr>
          <w:rFonts w:hint="eastAsia"/>
        </w:rPr>
        <w:t>对单个基金份额持有人占基金总份额</w:t>
      </w:r>
      <w:r>
        <w:rPr>
          <w:rFonts w:hint="eastAsia"/>
        </w:rPr>
        <w:t>30%</w:t>
      </w:r>
      <w:r>
        <w:rPr>
          <w:rFonts w:hint="eastAsia"/>
        </w:rPr>
        <w:t>部分的赎回申请：可以接受作为当日有效赎回申请，根据前述“（</w:t>
      </w:r>
      <w:r>
        <w:rPr>
          <w:rFonts w:hint="eastAsia"/>
        </w:rPr>
        <w:t>1</w:t>
      </w:r>
      <w:r>
        <w:rPr>
          <w:rFonts w:hint="eastAsia"/>
        </w:rPr>
        <w:t>）全额赎回”或“（</w:t>
      </w:r>
      <w:r>
        <w:rPr>
          <w:rFonts w:hint="eastAsia"/>
        </w:rPr>
        <w:t>2</w:t>
      </w:r>
      <w:r>
        <w:rPr>
          <w:rFonts w:hint="eastAsia"/>
        </w:rPr>
        <w:t>）延缓支付赎回款项”的约定方式对该部分有效赎回申请与其他基金份额持有人的赎回申请一并办理。</w:t>
      </w:r>
    </w:p>
    <w:p w:rsidR="006E1FE1" w:rsidRDefault="00F51CE7">
      <w:pPr>
        <w:adjustRightInd w:val="0"/>
        <w:snapToGrid w:val="0"/>
        <w:spacing w:line="360" w:lineRule="auto"/>
        <w:ind w:firstLineChars="200" w:firstLine="420"/>
      </w:pPr>
      <w:r>
        <w:rPr>
          <w:rFonts w:hint="eastAsia"/>
        </w:rPr>
        <w:t>对单个基金份额持有人超过基金总份额</w:t>
      </w:r>
      <w:r>
        <w:rPr>
          <w:rFonts w:hint="eastAsia"/>
        </w:rPr>
        <w:t>30%</w:t>
      </w:r>
      <w:r>
        <w:rPr>
          <w:rFonts w:hint="eastAsia"/>
        </w:rPr>
        <w:t>以上的赎回申请：可以实施延期赎回，延期的赎回申请与下一开放日赎回申请一并处理，无优先权并以下一开放日的基金份额净值为基</w:t>
      </w:r>
      <w:r>
        <w:rPr>
          <w:rFonts w:hint="eastAsia"/>
        </w:rPr>
        <w:lastRenderedPageBreak/>
        <w:t>础计算赎回金额，以此类推；但若在开放期最后一日发生上述情形的，超过部分将视为无效赎回申请。</w:t>
      </w:r>
    </w:p>
    <w:p w:rsidR="006E1FE1" w:rsidRDefault="00F51CE7">
      <w:pPr>
        <w:adjustRightInd w:val="0"/>
        <w:snapToGrid w:val="0"/>
        <w:spacing w:line="360" w:lineRule="auto"/>
        <w:ind w:firstLineChars="200"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6E1FE1" w:rsidRDefault="00F51CE7">
      <w:pPr>
        <w:adjustRightInd w:val="0"/>
        <w:snapToGrid w:val="0"/>
        <w:spacing w:line="360" w:lineRule="auto"/>
        <w:ind w:firstLineChars="200"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6E1FE1" w:rsidRDefault="00F51CE7">
      <w:pPr>
        <w:adjustRightInd w:val="0"/>
        <w:snapToGrid w:val="0"/>
        <w:spacing w:line="360" w:lineRule="auto"/>
        <w:ind w:firstLineChars="200" w:firstLine="420"/>
      </w:pPr>
      <w:r>
        <w:rPr>
          <w:rFonts w:hint="eastAsia"/>
        </w:rPr>
        <w:t>3</w:t>
      </w:r>
      <w:r>
        <w:rPr>
          <w:rFonts w:hint="eastAsia"/>
        </w:rPr>
        <w:t>、巨额赎回的场内处理方式</w:t>
      </w:r>
    </w:p>
    <w:p w:rsidR="006E1FE1" w:rsidRDefault="00F51CE7">
      <w:pPr>
        <w:adjustRightInd w:val="0"/>
        <w:snapToGrid w:val="0"/>
        <w:spacing w:line="360" w:lineRule="auto"/>
        <w:ind w:firstLineChars="200" w:firstLine="420"/>
      </w:pPr>
      <w:r>
        <w:rPr>
          <w:rFonts w:hint="eastAsia"/>
        </w:rPr>
        <w:t>巨额赎回的场内处理按照深圳证券交易所及中国证券登记结算有限责任公司的有关规定办理。</w:t>
      </w:r>
    </w:p>
    <w:p w:rsidR="006E1FE1" w:rsidRDefault="00F51CE7">
      <w:pPr>
        <w:adjustRightInd w:val="0"/>
        <w:snapToGrid w:val="0"/>
        <w:spacing w:line="360" w:lineRule="auto"/>
        <w:ind w:firstLineChars="200" w:firstLine="420"/>
      </w:pPr>
      <w:r>
        <w:rPr>
          <w:rFonts w:hint="eastAsia"/>
        </w:rPr>
        <w:t>4</w:t>
      </w:r>
      <w:r>
        <w:rPr>
          <w:rFonts w:hint="eastAsia"/>
        </w:rPr>
        <w:t>、巨额赎回的公告</w:t>
      </w:r>
    </w:p>
    <w:p w:rsidR="006E1FE1" w:rsidRDefault="00F51CE7">
      <w:pPr>
        <w:adjustRightInd w:val="0"/>
        <w:snapToGrid w:val="0"/>
        <w:spacing w:line="360" w:lineRule="auto"/>
        <w:ind w:firstLineChars="200" w:firstLine="420"/>
      </w:pPr>
      <w:r>
        <w:rPr>
          <w:rFonts w:hint="eastAsia"/>
        </w:rPr>
        <w:t>当发生上述延期赎回并延缓支付赎回款项时，基金管理人应当通过邮寄、传真或者招募说明书规定的其他方式在</w:t>
      </w:r>
      <w:r>
        <w:rPr>
          <w:rFonts w:hint="eastAsia"/>
        </w:rPr>
        <w:t>3</w:t>
      </w:r>
      <w:r>
        <w:rPr>
          <w:rFonts w:hint="eastAsia"/>
        </w:rPr>
        <w:t>个交易日内通知基金份额持有人，说明有关处理方法，并在</w:t>
      </w:r>
      <w:r>
        <w:rPr>
          <w:rFonts w:hint="eastAsia"/>
        </w:rPr>
        <w:t>2</w:t>
      </w:r>
      <w:r>
        <w:rPr>
          <w:rFonts w:hint="eastAsia"/>
        </w:rPr>
        <w:t>日内在规定媒介上刊登公告。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十一、暂停申购或赎回的公告和重新开放申购或赎回的公告</w:t>
      </w:r>
    </w:p>
    <w:p w:rsidR="006E1FE1" w:rsidRDefault="00F51CE7">
      <w:pPr>
        <w:adjustRightInd w:val="0"/>
        <w:snapToGrid w:val="0"/>
        <w:spacing w:line="360" w:lineRule="auto"/>
        <w:ind w:firstLineChars="200" w:firstLine="420"/>
      </w:pPr>
      <w:r>
        <w:rPr>
          <w:rFonts w:hint="eastAsia"/>
        </w:rPr>
        <w:t>1</w:t>
      </w:r>
      <w:r>
        <w:rPr>
          <w:rFonts w:hint="eastAsia"/>
        </w:rPr>
        <w:t>、发生上述暂停申购或赎回情况的，基金管理人应在规定期限内在规定媒介上刊登暂停公告。</w:t>
      </w:r>
    </w:p>
    <w:p w:rsidR="006E1FE1" w:rsidRDefault="00F51CE7">
      <w:pPr>
        <w:adjustRightInd w:val="0"/>
        <w:snapToGrid w:val="0"/>
        <w:spacing w:line="360" w:lineRule="auto"/>
        <w:ind w:firstLineChars="200" w:firstLine="420"/>
      </w:pPr>
      <w:r>
        <w:rPr>
          <w:rFonts w:hint="eastAsia"/>
        </w:rPr>
        <w:t>2</w:t>
      </w:r>
      <w:r>
        <w:rPr>
          <w:rFonts w:hint="eastAsia"/>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十二、基金转换</w:t>
      </w:r>
    </w:p>
    <w:p w:rsidR="006E1FE1" w:rsidRDefault="00F51CE7">
      <w:pPr>
        <w:adjustRightInd w:val="0"/>
        <w:snapToGrid w:val="0"/>
        <w:spacing w:line="360" w:lineRule="auto"/>
        <w:ind w:firstLineChars="200"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十三、定投计划</w:t>
      </w:r>
    </w:p>
    <w:p w:rsidR="006E1FE1" w:rsidRDefault="00F51CE7">
      <w:pPr>
        <w:adjustRightInd w:val="0"/>
        <w:snapToGrid w:val="0"/>
        <w:spacing w:line="360" w:lineRule="auto"/>
        <w:ind w:firstLineChars="200"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lastRenderedPageBreak/>
        <w:t>十四、基金份额的转让</w:t>
      </w:r>
    </w:p>
    <w:p w:rsidR="006E1FE1" w:rsidRDefault="00F51CE7">
      <w:pPr>
        <w:adjustRightInd w:val="0"/>
        <w:snapToGrid w:val="0"/>
        <w:spacing w:line="360" w:lineRule="auto"/>
        <w:ind w:firstLineChars="200"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十五、基金份额的登记、转托管、非交易过户、冻结和解冻</w:t>
      </w:r>
    </w:p>
    <w:p w:rsidR="006E1FE1" w:rsidRDefault="00F51CE7">
      <w:pPr>
        <w:adjustRightInd w:val="0"/>
        <w:snapToGrid w:val="0"/>
        <w:spacing w:line="360" w:lineRule="auto"/>
        <w:ind w:firstLineChars="200" w:firstLine="420"/>
      </w:pPr>
      <w:r>
        <w:rPr>
          <w:rFonts w:hint="eastAsia"/>
        </w:rPr>
        <w:t>基金份额的登记、转托管、非交易过户、冻结和解冻等相关业务规则按照深圳证券交易所、中国证券登记结算有限责任公司的相关业务规则执行。若相关法律法规、中国证监会、深圳证券交易所或中国证券登记结算有限责任公司对基金份额的登记、转托管、非交易过户、冻结和解冻业务等规则有新的规定，按新规定执行。</w:t>
      </w:r>
    </w:p>
    <w:p w:rsidR="006E1FE1" w:rsidRDefault="006E1FE1">
      <w:pPr>
        <w:adjustRightInd w:val="0"/>
        <w:snapToGrid w:val="0"/>
        <w:spacing w:line="360" w:lineRule="auto"/>
        <w:ind w:firstLineChars="200" w:firstLine="420"/>
      </w:pPr>
    </w:p>
    <w:p w:rsidR="006E1FE1" w:rsidRDefault="00F51CE7">
      <w:pPr>
        <w:adjustRightInd w:val="0"/>
        <w:snapToGrid w:val="0"/>
        <w:spacing w:line="360" w:lineRule="auto"/>
        <w:ind w:firstLineChars="200" w:firstLine="420"/>
      </w:pPr>
      <w:r>
        <w:rPr>
          <w:rFonts w:hint="eastAsia"/>
        </w:rPr>
        <w:t>十六、其他业务</w:t>
      </w:r>
    </w:p>
    <w:p w:rsidR="006E1FE1" w:rsidRDefault="00F51CE7">
      <w:pPr>
        <w:adjustRightInd w:val="0"/>
        <w:snapToGrid w:val="0"/>
        <w:spacing w:line="360" w:lineRule="auto"/>
        <w:ind w:firstLine="420"/>
        <w:rPr>
          <w:bCs/>
          <w:szCs w:val="21"/>
        </w:rPr>
      </w:pPr>
      <w:r>
        <w:rPr>
          <w:rFonts w:hint="eastAsia"/>
        </w:rPr>
        <w:t>在相关法律法规允许的条件下，基金登记机构可依据其业务规则，受理基金份额质押等业务，并收取一定的手续费用。</w:t>
      </w:r>
      <w:bookmarkStart w:id="125" w:name="_Hlt70481650"/>
      <w:bookmarkEnd w:id="125"/>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31653"/>
      <w:bookmarkStart w:id="135" w:name="_Toc31235"/>
      <w:bookmarkStart w:id="136" w:name="_Toc12245"/>
      <w:bookmarkStart w:id="137" w:name="_Toc3601"/>
      <w:bookmarkStart w:id="138" w:name="_Toc15143"/>
      <w:bookmarkStart w:id="139" w:name="_Toc29251"/>
      <w:bookmarkStart w:id="140" w:name="_Toc26207"/>
      <w:bookmarkStart w:id="141" w:name="_Toc98560353"/>
      <w:bookmarkStart w:id="142" w:name="_Toc16859"/>
      <w:bookmarkStart w:id="143" w:name="_Toc516479985"/>
      <w:r>
        <w:rPr>
          <w:rFonts w:ascii="Times New Roman"/>
          <w:color w:val="auto"/>
          <w:sz w:val="32"/>
          <w:szCs w:val="21"/>
        </w:rPr>
        <w:lastRenderedPageBreak/>
        <w:t>第</w:t>
      </w:r>
      <w:r>
        <w:rPr>
          <w:rFonts w:ascii="Times New Roman" w:hint="eastAsia"/>
          <w:color w:val="auto"/>
          <w:sz w:val="32"/>
          <w:szCs w:val="21"/>
        </w:rPr>
        <w:t>八</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基金合同当事人及权利义务</w:t>
      </w:r>
      <w:bookmarkStart w:id="144" w:name="_Hlt55355235"/>
      <w:bookmarkStart w:id="145" w:name="_Toc523711668"/>
      <w:bookmarkStart w:id="146" w:name="_Toc15118234"/>
      <w:bookmarkStart w:id="147" w:name="_Toc79392580"/>
      <w:bookmarkStart w:id="148" w:name="_Toc5753023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6E1FE1" w:rsidRDefault="006E1FE1">
      <w:pPr>
        <w:adjustRightInd w:val="0"/>
        <w:snapToGrid w:val="0"/>
        <w:spacing w:line="360" w:lineRule="auto"/>
        <w:ind w:firstLineChars="200" w:firstLine="420"/>
        <w:rPr>
          <w:bCs/>
          <w:szCs w:val="21"/>
        </w:rPr>
      </w:pPr>
    </w:p>
    <w:bookmarkEnd w:id="145"/>
    <w:bookmarkEnd w:id="146"/>
    <w:bookmarkEnd w:id="147"/>
    <w:bookmarkEnd w:id="148"/>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一、基金管理人</w:t>
      </w:r>
    </w:p>
    <w:p w:rsidR="006E1FE1" w:rsidRDefault="00F51CE7">
      <w:pPr>
        <w:adjustRightInd w:val="0"/>
        <w:snapToGrid w:val="0"/>
        <w:spacing w:line="360" w:lineRule="auto"/>
        <w:ind w:firstLineChars="200" w:firstLine="420"/>
        <w:rPr>
          <w:rFonts w:ascii="宋体" w:hAnsi="宋体"/>
          <w:szCs w:val="21"/>
        </w:rPr>
      </w:pPr>
      <w:bookmarkStart w:id="149" w:name="_Toc15118235"/>
      <w:r>
        <w:rPr>
          <w:rFonts w:ascii="宋体" w:hAnsi="宋体"/>
          <w:szCs w:val="21"/>
        </w:rPr>
        <w:t>（一）基金管理人简况</w:t>
      </w:r>
      <w:bookmarkEnd w:id="149"/>
    </w:p>
    <w:p w:rsidR="006E1FE1" w:rsidRDefault="00F51CE7">
      <w:pPr>
        <w:adjustRightInd w:val="0"/>
        <w:snapToGrid w:val="0"/>
        <w:spacing w:line="360" w:lineRule="auto"/>
        <w:ind w:firstLineChars="200" w:firstLine="420"/>
        <w:rPr>
          <w:rFonts w:ascii="宋体" w:hAnsi="宋体"/>
          <w:szCs w:val="21"/>
        </w:rPr>
      </w:pPr>
      <w:bookmarkStart w:id="150" w:name="_Toc15118236"/>
      <w:bookmarkStart w:id="151" w:name="_Toc15118237"/>
      <w:r>
        <w:rPr>
          <w:rFonts w:ascii="宋体" w:hAnsi="宋体"/>
          <w:szCs w:val="21"/>
        </w:rPr>
        <w:t>名称：</w:t>
      </w:r>
      <w:bookmarkEnd w:id="150"/>
      <w:r>
        <w:rPr>
          <w:rFonts w:ascii="宋体" w:hAnsi="宋体" w:hint="eastAsia"/>
          <w:szCs w:val="21"/>
        </w:rPr>
        <w:t>南方基金管理股份有限公司</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住所：</w:t>
      </w:r>
      <w:r>
        <w:rPr>
          <w:rFonts w:ascii="宋体" w:hAnsi="宋体" w:hint="eastAsia"/>
          <w:szCs w:val="21"/>
        </w:rPr>
        <w:t>深圳市福田区莲花街道益田路5999号基金大厦32-42楼</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法定代表人：张海波</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设立日期：1998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组织形式：</w:t>
      </w:r>
      <w:r>
        <w:rPr>
          <w:rFonts w:ascii="宋体" w:hAnsi="宋体" w:hint="eastAsia"/>
          <w:szCs w:val="21"/>
        </w:rPr>
        <w:t>股份</w:t>
      </w:r>
      <w:r>
        <w:rPr>
          <w:rFonts w:ascii="宋体" w:hAnsi="宋体"/>
          <w:szCs w:val="21"/>
        </w:rPr>
        <w:t>有限</w:t>
      </w:r>
      <w:r>
        <w:rPr>
          <w:rFonts w:ascii="宋体" w:hAnsi="宋体" w:hint="eastAsia"/>
          <w:szCs w:val="21"/>
        </w:rPr>
        <w:t>公司</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注册资本：</w:t>
      </w:r>
      <w:r>
        <w:rPr>
          <w:rFonts w:ascii="宋体" w:hAnsi="宋体" w:hint="eastAsia"/>
          <w:szCs w:val="21"/>
        </w:rPr>
        <w:t>人民币3.6172亿元</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存续期限：</w:t>
      </w:r>
      <w:r>
        <w:rPr>
          <w:rFonts w:ascii="宋体" w:hAnsi="宋体" w:hint="eastAsia"/>
          <w:szCs w:val="21"/>
        </w:rPr>
        <w:t>持续经营</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联系电话：0755-82763888</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（二）基金管理人的权利与义务</w:t>
      </w:r>
      <w:bookmarkEnd w:id="151"/>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1、根据《基金法》、《运作办法》及其他有关规定，基金管理人的权利包括但不限于：</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（1）依法募集</w:t>
      </w:r>
      <w:r>
        <w:rPr>
          <w:rFonts w:ascii="宋体" w:hAnsi="宋体" w:hint="eastAsia"/>
          <w:szCs w:val="21"/>
        </w:rPr>
        <w:t>资金</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（2）自《基金合同》生效之日起，根据法律法规和《基金合同》独立运用并管理基金财产；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（3）依照《基金合同》收取基金管理费以及法律法规规定或中国证监会批准的其他费用；</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（4）销售基金份额；</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w:t>
      </w:r>
      <w:bookmarkStart w:id="152" w:name="_Hlt88896155"/>
      <w:r>
        <w:rPr>
          <w:rFonts w:ascii="宋体" w:hAnsi="宋体" w:hint="eastAsia"/>
          <w:bCs/>
          <w:szCs w:val="21"/>
        </w:rPr>
        <w:t>按照规定</w:t>
      </w:r>
      <w:r>
        <w:rPr>
          <w:rFonts w:ascii="宋体" w:hAnsi="宋体"/>
          <w:szCs w:val="21"/>
        </w:rPr>
        <w:t>召集</w:t>
      </w:r>
      <w:bookmarkEnd w:id="152"/>
      <w:r>
        <w:rPr>
          <w:rFonts w:ascii="宋体" w:hAnsi="宋体"/>
          <w:szCs w:val="21"/>
        </w:rPr>
        <w:t>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Pr>
          <w:rFonts w:ascii="宋体" w:hAnsi="宋体"/>
          <w:szCs w:val="21"/>
        </w:rPr>
        <w:t>的利益；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（7）在基金托管人更换时，提名新的基金托管人；</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 xml:space="preserve">（8）选择、更换基金销售机构，对基金销售机构的相关行为进行监督和处理； </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 xml:space="preserve">（9）担任或委托其他符合条件的机构担任基金登记机构办理基金登记业务； </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（10）依据《基金合同》及有关法律规定决定基金收益的分配方案；</w:t>
      </w:r>
      <w:r>
        <w:rPr>
          <w:rFonts w:ascii="宋体" w:hAnsi="宋体"/>
          <w:szCs w:val="21"/>
        </w:rPr>
        <w:tab/>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 xml:space="preserve">（11）在《基金合同》约定的范围内，拒绝或暂停受理申购与赎回申请； </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（12）依照法律法规为基金的利益对被投资公司行使权利，为基金的利益行使因基金财产投资于证券所产生的权利；</w:t>
      </w:r>
      <w:r>
        <w:rPr>
          <w:rFonts w:ascii="宋体" w:hAnsi="宋体"/>
          <w:szCs w:val="21"/>
        </w:rPr>
        <w:tab/>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 xml:space="preserve">（13）在法律法规允许的前提下，为基金的利益依法为基金进行融资； </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（14）以基金管理人的名义，代表基金份额持有人的利益行使诉讼权利或者实施其他法</w:t>
      </w:r>
      <w:r>
        <w:rPr>
          <w:rFonts w:ascii="宋体" w:hAnsi="宋体"/>
          <w:szCs w:val="21"/>
        </w:rPr>
        <w:lastRenderedPageBreak/>
        <w:t>律行为；</w:t>
      </w:r>
      <w:r>
        <w:rPr>
          <w:rFonts w:ascii="宋体" w:hAnsi="宋体"/>
          <w:szCs w:val="21"/>
        </w:rPr>
        <w:tab/>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）选择、更换律师事务所、会计师事务所、证券</w:t>
      </w:r>
      <w:r>
        <w:rPr>
          <w:rFonts w:ascii="宋体" w:hAnsi="宋体" w:hint="eastAsia"/>
          <w:szCs w:val="21"/>
        </w:rPr>
        <w:t>/期货</w:t>
      </w:r>
      <w:r>
        <w:rPr>
          <w:rFonts w:ascii="宋体" w:hAnsi="宋体"/>
          <w:szCs w:val="21"/>
        </w:rPr>
        <w:t>经纪商或其他为基金提供服务的外部机构；</w:t>
      </w:r>
      <w:r>
        <w:rPr>
          <w:rFonts w:ascii="宋体" w:hAnsi="宋体"/>
          <w:szCs w:val="21"/>
        </w:rPr>
        <w:tab/>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）在符合有关法律、法规的前提下，制订和调整有关基金认购、申购、赎回、转换</w:t>
      </w:r>
      <w:r>
        <w:rPr>
          <w:rFonts w:ascii="宋体" w:hAnsi="宋体" w:hint="eastAsia"/>
          <w:szCs w:val="21"/>
        </w:rPr>
        <w:t>、</w:t>
      </w:r>
      <w:r>
        <w:rPr>
          <w:rFonts w:ascii="宋体" w:hAnsi="宋体"/>
          <w:szCs w:val="21"/>
        </w:rPr>
        <w:t>非交易过户</w:t>
      </w:r>
      <w:r>
        <w:rPr>
          <w:rFonts w:ascii="宋体" w:hAnsi="宋体" w:hint="eastAsia"/>
          <w:szCs w:val="21"/>
        </w:rPr>
        <w:t>和定投等</w:t>
      </w:r>
      <w:r>
        <w:rPr>
          <w:rFonts w:ascii="宋体" w:hAnsi="宋体"/>
          <w:szCs w:val="21"/>
        </w:rPr>
        <w:t>业务规则</w:t>
      </w:r>
      <w:r>
        <w:rPr>
          <w:rFonts w:ascii="宋体" w:hAnsi="宋体" w:hint="eastAsia"/>
          <w:bCs/>
          <w:szCs w:val="21"/>
        </w:rPr>
        <w:t>，在法律法规和本基金合同规定的范围内决定和调整基金相关费率结构和收费方式</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（17）</w:t>
      </w:r>
      <w:r>
        <w:rPr>
          <w:rFonts w:ascii="宋体" w:hAnsi="宋体"/>
          <w:szCs w:val="21"/>
        </w:rPr>
        <w:t>法律法规及中国证监会规定的和《基金合同》约定的其他权利。</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2、根据《基金法》、《运作办法》及其他有关规定，基金管理人的义务包括但不限于：</w:t>
      </w:r>
    </w:p>
    <w:p w:rsidR="006E1FE1" w:rsidRDefault="00F51CE7">
      <w:pPr>
        <w:adjustRightInd w:val="0"/>
        <w:snapToGrid w:val="0"/>
        <w:spacing w:line="360" w:lineRule="auto"/>
        <w:ind w:firstLineChars="200" w:firstLine="420"/>
        <w:rPr>
          <w:rFonts w:ascii="宋体" w:hAnsi="宋体"/>
          <w:szCs w:val="21"/>
        </w:rPr>
      </w:pPr>
      <w:bookmarkStart w:id="153" w:name="_Toc523711669"/>
      <w:r>
        <w:rPr>
          <w:rFonts w:ascii="宋体" w:hAnsi="宋体"/>
          <w:szCs w:val="21"/>
        </w:rPr>
        <w:t>（1）依法募集</w:t>
      </w:r>
      <w:r>
        <w:rPr>
          <w:rFonts w:ascii="宋体" w:hAnsi="宋体" w:hint="eastAsia"/>
          <w:szCs w:val="21"/>
        </w:rPr>
        <w:t>资金</w:t>
      </w:r>
      <w:r>
        <w:rPr>
          <w:rFonts w:ascii="宋体" w:hAnsi="宋体"/>
          <w:szCs w:val="21"/>
        </w:rPr>
        <w:t>，办理或者委托经中国证监会认定的其他机构代为办理基金份额的发售、申购、赎回和登记事宜；</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（2）办理基金备案手续；</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（3）自《基金合同》生效之日起</w:t>
      </w:r>
      <w:r>
        <w:rPr>
          <w:rFonts w:ascii="宋体" w:hAnsi="宋体" w:hint="eastAsia"/>
          <w:szCs w:val="21"/>
        </w:rPr>
        <w:t>，</w:t>
      </w:r>
      <w:r>
        <w:rPr>
          <w:rFonts w:ascii="宋体" w:hAnsi="宋体"/>
          <w:szCs w:val="21"/>
        </w:rPr>
        <w:t>以诚实信用、谨慎勤勉的原则管理和运用基金财产；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（4）配备足够的具有专业资格的人员进行基金投资分析、决策，以专业化的经营方式管理和运作基金财产；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（6）除依据《基金法》、《基金合同》及其他有关规定外</w:t>
      </w:r>
      <w:r>
        <w:rPr>
          <w:rFonts w:ascii="宋体" w:hAnsi="宋体" w:hint="eastAsia"/>
          <w:szCs w:val="21"/>
        </w:rPr>
        <w:t>，</w:t>
      </w:r>
      <w:r>
        <w:rPr>
          <w:rFonts w:ascii="宋体" w:hAnsi="宋体"/>
          <w:szCs w:val="21"/>
        </w:rPr>
        <w:t>不得利用基金财产为自己及任何第三人谋取利益，不得委托第三人运作基金财产；</w:t>
      </w:r>
      <w:bookmarkStart w:id="154" w:name="_Hlt88897298"/>
      <w:bookmarkEnd w:id="154"/>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（7）依法接受基金托管人的监督；</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（8）采取适当合理的措施使计算基金份额认购、申购、赎回和注销价格的方法符合《基金合同》等法律文件的规定，按有关规定计算并披露基金净值信息，确定基金份额申购、赎回的价格；</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（9）进行基金会计核算并编制基金财务会计报告；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（10）编制季度报告、中期报告和年度报告；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（11）严格按照《基金法》、《基金合同》及其他有关规定，履行信息披露及报告义务；</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（12）保守基金商业秘密，不泄露基金投资计划、投资意向等。除《基金法》、《基金合同》及其他有关</w:t>
      </w:r>
      <w:r>
        <w:rPr>
          <w:rFonts w:ascii="宋体" w:hAnsi="宋体" w:hint="eastAsia"/>
          <w:szCs w:val="21"/>
        </w:rPr>
        <w:t>法律法规或监管机构</w:t>
      </w:r>
      <w:r>
        <w:rPr>
          <w:rFonts w:ascii="宋体" w:hAnsi="宋体"/>
          <w:szCs w:val="21"/>
        </w:rPr>
        <w:t>另有规定</w:t>
      </w:r>
      <w:r>
        <w:rPr>
          <w:rFonts w:ascii="宋体" w:hAnsi="宋体" w:hint="eastAsia"/>
          <w:szCs w:val="21"/>
        </w:rPr>
        <w:t>或要求</w:t>
      </w:r>
      <w:r>
        <w:rPr>
          <w:rFonts w:ascii="宋体" w:hAnsi="宋体"/>
          <w:szCs w:val="21"/>
        </w:rPr>
        <w:t>外，在基金信息公开披露前应予保密，不向他人泄露</w:t>
      </w:r>
      <w:r>
        <w:rPr>
          <w:rFonts w:ascii="宋体" w:hAnsi="宋体" w:hint="eastAsia"/>
          <w:szCs w:val="21"/>
        </w:rPr>
        <w:t>，但向监管机构、司法机构或因审计、法律等外部专业顾问提供服务而向其提供的情况除外</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（13）按《基金合同》的约定确定基金收益分配方案，及时向基金份额持有人分配基金收益；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（14）按规定受理申购与赎回申请，及时、足额支付赎回款项；</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（15）依据《基金法》、《基金合同》及其他有关规定召集基金份额持有人大会或配合基</w:t>
      </w:r>
      <w:r>
        <w:rPr>
          <w:rFonts w:ascii="宋体" w:hAnsi="宋体"/>
          <w:szCs w:val="21"/>
        </w:rPr>
        <w:lastRenderedPageBreak/>
        <w:t>金托管人、基金份额持有人依法召集基金份额持有人大会；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（16）按规定保存基金财产管理业务活动的会计账册、报表、记录和其他相关资料</w:t>
      </w:r>
      <w:r>
        <w:rPr>
          <w:rFonts w:ascii="宋体" w:hAnsi="宋体" w:hint="eastAsia"/>
          <w:szCs w:val="21"/>
        </w:rPr>
        <w:t>15</w:t>
      </w:r>
      <w:r>
        <w:rPr>
          <w:rFonts w:ascii="宋体" w:hAnsi="宋体"/>
          <w:szCs w:val="21"/>
        </w:rPr>
        <w:t>年以上；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（17）确保需要向基金投资</w:t>
      </w:r>
      <w:r>
        <w:rPr>
          <w:rFonts w:ascii="宋体" w:hAnsi="宋体" w:hint="eastAsia"/>
          <w:szCs w:val="21"/>
        </w:rPr>
        <w:t>人</w:t>
      </w:r>
      <w:r>
        <w:rPr>
          <w:rFonts w:ascii="宋体" w:hAnsi="宋体"/>
          <w:szCs w:val="21"/>
        </w:rPr>
        <w:t>提供的各项文件或资料在规定时间发出，并且保证投资</w:t>
      </w:r>
      <w:r>
        <w:rPr>
          <w:rFonts w:ascii="宋体" w:hAnsi="宋体" w:hint="eastAsia"/>
          <w:szCs w:val="21"/>
        </w:rPr>
        <w:t>人</w:t>
      </w:r>
      <w:r>
        <w:rPr>
          <w:rFonts w:ascii="宋体" w:hAnsi="宋体"/>
          <w:szCs w:val="21"/>
        </w:rPr>
        <w:t>能够按照《基金合同》规定的时间和方式，随时查阅到与基金有关的公开资料，并在支付合理成本的条件下得到有关资料的复印件；</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（18）组织并参加基金财产清算小组</w:t>
      </w:r>
      <w:r>
        <w:rPr>
          <w:rFonts w:ascii="宋体" w:hAnsi="宋体" w:hint="eastAsia"/>
          <w:szCs w:val="21"/>
        </w:rPr>
        <w:t>，</w:t>
      </w:r>
      <w:r>
        <w:rPr>
          <w:rFonts w:ascii="宋体" w:hAnsi="宋体"/>
          <w:szCs w:val="21"/>
        </w:rPr>
        <w:t>参与基金财产的保管、清理、估价、变现和分配；</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（19）面临解散、依法被撤销或者被依法宣告破产时，及时报告中国证监会并通知基金托管人；</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（20）因违反《基金合同》导致基金财产的损失或损害基金份额持有人合法权益时，应当承担赔偿责任，其赔偿责任不因其退任而免除；</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（22）当基金管理人将其义务委托第三方处理时，应当对第三方处理有关基金事务的行为承担责任；</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（23）以基金管理人名义，代表基金份额持有人利益行使诉讼权利或实施其他法律行为；</w:t>
      </w:r>
      <w:r>
        <w:rPr>
          <w:rFonts w:ascii="宋体" w:hAnsi="宋体"/>
          <w:szCs w:val="21"/>
        </w:rPr>
        <w:tab/>
        <w:t>（24）基金管理人在募集期间未能达到基金</w:t>
      </w:r>
      <w:bookmarkStart w:id="155" w:name="_Hlt88823209"/>
      <w:bookmarkEnd w:id="155"/>
      <w:r>
        <w:rPr>
          <w:rFonts w:ascii="宋体" w:hAnsi="宋体"/>
          <w:szCs w:val="21"/>
        </w:rPr>
        <w:t>的备案条件，《基金合同》不能生效，基金管理人承担全部募集费用，将已募集资金并加计银行同期</w:t>
      </w:r>
      <w:r>
        <w:rPr>
          <w:rFonts w:ascii="宋体" w:hAnsi="宋体" w:hint="eastAsia"/>
          <w:szCs w:val="21"/>
        </w:rPr>
        <w:t>活期</w:t>
      </w:r>
      <w:r>
        <w:rPr>
          <w:rFonts w:ascii="宋体" w:hAnsi="宋体"/>
          <w:szCs w:val="21"/>
        </w:rPr>
        <w:t>存款利息在基金募集期结束后</w:t>
      </w:r>
      <w:r>
        <w:rPr>
          <w:rFonts w:ascii="宋体" w:hAnsi="宋体" w:hint="eastAsia"/>
          <w:szCs w:val="21"/>
        </w:rPr>
        <w:t>30</w:t>
      </w:r>
      <w:r>
        <w:rPr>
          <w:rFonts w:ascii="宋体" w:hAnsi="宋体"/>
          <w:szCs w:val="21"/>
        </w:rPr>
        <w:t>日内退还基金认购人；</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（25）执行生效的基金份额持有人大会的</w:t>
      </w:r>
      <w:r>
        <w:rPr>
          <w:rFonts w:ascii="宋体" w:hAnsi="宋体" w:hint="eastAsia"/>
          <w:szCs w:val="21"/>
        </w:rPr>
        <w:t>决议</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（26）建立并保存基金份额持有人名册；</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（27）法律法规及中国证监会规定的和《基金合同》约定的其他义务。</w:t>
      </w:r>
    </w:p>
    <w:p w:rsidR="006E1FE1" w:rsidRDefault="006E1FE1">
      <w:pPr>
        <w:adjustRightInd w:val="0"/>
        <w:snapToGrid w:val="0"/>
        <w:spacing w:line="360" w:lineRule="auto"/>
        <w:ind w:firstLineChars="200" w:firstLine="420"/>
        <w:rPr>
          <w:rFonts w:ascii="宋体" w:hAnsi="宋体"/>
          <w:szCs w:val="21"/>
        </w:rPr>
      </w:pPr>
      <w:bookmarkStart w:id="156" w:name="_Toc79392581"/>
      <w:bookmarkStart w:id="157" w:name="_Toc15118238"/>
      <w:bookmarkStart w:id="158" w:name="_Toc57530240"/>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二、基金托管人</w:t>
      </w:r>
      <w:bookmarkEnd w:id="153"/>
      <w:bookmarkEnd w:id="156"/>
      <w:bookmarkEnd w:id="157"/>
      <w:bookmarkEnd w:id="158"/>
    </w:p>
    <w:p w:rsidR="006E1FE1" w:rsidRDefault="00F51CE7">
      <w:pPr>
        <w:adjustRightInd w:val="0"/>
        <w:snapToGrid w:val="0"/>
        <w:spacing w:line="360" w:lineRule="auto"/>
        <w:ind w:firstLineChars="200" w:firstLine="420"/>
        <w:rPr>
          <w:rFonts w:ascii="宋体" w:hAnsi="宋体"/>
          <w:szCs w:val="21"/>
        </w:rPr>
      </w:pPr>
      <w:bookmarkStart w:id="159" w:name="_Toc15118239"/>
      <w:r>
        <w:rPr>
          <w:rFonts w:ascii="宋体" w:hAnsi="宋体"/>
          <w:szCs w:val="21"/>
        </w:rPr>
        <w:t>（一）基金托管人简况</w:t>
      </w:r>
      <w:bookmarkEnd w:id="159"/>
    </w:p>
    <w:p w:rsidR="006E1FE1" w:rsidRDefault="00F51CE7">
      <w:pPr>
        <w:adjustRightInd w:val="0"/>
        <w:snapToGrid w:val="0"/>
        <w:spacing w:line="360" w:lineRule="auto"/>
        <w:ind w:firstLineChars="200" w:firstLine="420"/>
        <w:rPr>
          <w:rFonts w:ascii="宋体" w:hAnsi="宋体"/>
          <w:szCs w:val="21"/>
        </w:rPr>
      </w:pPr>
      <w:bookmarkStart w:id="160" w:name="_Toc15118240"/>
      <w:r>
        <w:rPr>
          <w:rFonts w:ascii="宋体" w:hAnsi="宋体" w:hint="eastAsia"/>
          <w:szCs w:val="21"/>
        </w:rPr>
        <w:t>名称：中国农业银行股份有限公司（简称中国农业银行）</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住所：北京市东城区建国门内大街69号</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办公地址：北京市西城区复兴门内大街28号凯晨世贸中心东座</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法定代表人：周慕冰</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成立日期：2009年1月15日</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批准设立机关和批准设立文号：中国银监会银监复[2009]13号</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组织形式：股份有限公司</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注册资本：34,998,303.4万元人民币</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lastRenderedPageBreak/>
        <w:t>存续期间：持续经营</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基金托管业务批准文号：中国证监会证监基字[1998]23号</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（二）基金托管人的权利与义务</w:t>
      </w:r>
      <w:bookmarkEnd w:id="160"/>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1、根据《基金法》、《运作办法》及其他有关规定，基金托管人的权利包括但不限于：</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（1）自《基金合同》生效之日起，依法律法规和《基金合同》的规定安全保管基金财产；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（2）依《基金合同》约定获得基金托管费以及法律法规规定或监管部门批准的其他费用；</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Pr>
          <w:rFonts w:ascii="宋体" w:hAnsi="宋体"/>
          <w:szCs w:val="21"/>
        </w:rPr>
        <w:t>的利益；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（4）根据相关市场规则，为基金开设证券</w:t>
      </w:r>
      <w:r>
        <w:rPr>
          <w:rFonts w:ascii="宋体" w:hAnsi="宋体" w:hint="eastAsia"/>
          <w:szCs w:val="21"/>
        </w:rPr>
        <w:t>账户、资金账户等投资所需账户</w:t>
      </w:r>
      <w:r>
        <w:rPr>
          <w:rFonts w:ascii="宋体" w:hAnsi="宋体"/>
          <w:szCs w:val="21"/>
        </w:rPr>
        <w:t>、为基金办理证券交易资金清算。</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（5）提议召开或召集基金份额持有人大会；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（6）在基金管理人更换时，提名新的基金管理人；</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法律法规及中国证监会规定的和《基金合同》约定的其他</w:t>
      </w:r>
      <w:r>
        <w:rPr>
          <w:rFonts w:ascii="宋体" w:hAnsi="宋体"/>
          <w:szCs w:val="21"/>
        </w:rPr>
        <w:t>权利。</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2、根据《基金法》、《运作办法》及其他有关规定，基金托管人的义务包括但不限于：</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（1）以诚实信用、勤勉尽责的原则持有并安全保管基金财产；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（2）设立专门的基金托管部门，具有符合要求的营业场所，配备足够的、合格的熟悉基金托管业务的专职人员，负责基金财产托管事宜；</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（4）除依据《基金法》、《基金合同》及其他有关规定外，不得利用基金财产为自己及任何第三人谋取利益，不得委托第三人托管基金财产；</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（5）保管由基金管理人代表基金签订的与基金有关的重大合同及有关凭证；</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（6）按规定开设基金财产的资金账户和证券账户</w:t>
      </w:r>
      <w:r>
        <w:rPr>
          <w:rFonts w:ascii="宋体" w:hAnsi="宋体" w:hint="eastAsia"/>
          <w:szCs w:val="21"/>
        </w:rPr>
        <w:t>等投资所需账户</w:t>
      </w:r>
      <w:r>
        <w:rPr>
          <w:rFonts w:ascii="宋体" w:hAnsi="宋体"/>
          <w:szCs w:val="21"/>
        </w:rPr>
        <w:t>,按照《基金合同》的约定，根据基金管理人的投资指令，及时办理清算、交割事宜；</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（7）保守基金商业秘密，除《基金法》、《基金合同》及其他有关</w:t>
      </w:r>
      <w:r>
        <w:rPr>
          <w:rFonts w:ascii="宋体" w:hAnsi="宋体" w:hint="eastAsia"/>
          <w:szCs w:val="21"/>
        </w:rPr>
        <w:t>法律法规或监管机构另有规定或要求外</w:t>
      </w:r>
      <w:r>
        <w:rPr>
          <w:rFonts w:ascii="宋体" w:hAnsi="宋体"/>
          <w:szCs w:val="21"/>
        </w:rPr>
        <w:t>，在基金信息公开披露前予以保密，不得向他人泄露</w:t>
      </w:r>
      <w:r>
        <w:rPr>
          <w:rFonts w:ascii="宋体" w:hAnsi="宋体" w:hint="eastAsia"/>
          <w:szCs w:val="21"/>
        </w:rPr>
        <w:t>，但向监管机构、司法机关或因审计、法律等外部专业顾问提供服务而向其提供的情况除外</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（8）复核、审查基金管理人计算的</w:t>
      </w:r>
      <w:r>
        <w:rPr>
          <w:rFonts w:ascii="宋体" w:hAnsi="宋体" w:hint="eastAsia"/>
          <w:szCs w:val="21"/>
        </w:rPr>
        <w:t>基金资产净值、</w:t>
      </w:r>
      <w:r>
        <w:rPr>
          <w:rFonts w:ascii="宋体" w:hAnsi="宋体"/>
          <w:szCs w:val="21"/>
        </w:rPr>
        <w:t>基金份额净值、基金份额申购、赎回价格；</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lastRenderedPageBreak/>
        <w:t>（9）办理与基金托管业务活动有关的信息披露事项；</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（10）对基金财务会计报告、</w:t>
      </w:r>
      <w:r>
        <w:rPr>
          <w:rFonts w:ascii="宋体" w:hAnsi="宋体" w:hint="eastAsia"/>
          <w:szCs w:val="21"/>
        </w:rPr>
        <w:t>季度报告、中期报告和年度报告出具意见</w:t>
      </w:r>
      <w:r>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（11）保存基金托管业务活动的记录、账册、报表和其他相关资料</w:t>
      </w:r>
      <w:r>
        <w:rPr>
          <w:rFonts w:ascii="宋体" w:hAnsi="宋体" w:hint="eastAsia"/>
          <w:szCs w:val="21"/>
        </w:rPr>
        <w:t>15</w:t>
      </w:r>
      <w:r>
        <w:rPr>
          <w:rFonts w:ascii="宋体" w:hAnsi="宋体"/>
          <w:szCs w:val="21"/>
        </w:rPr>
        <w:t>年以上；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（12）建立并保存基金份额持有人名册；</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（13）按规定制作相关账册并与基金管理人核对；</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（14）依据基金管理人的指令或有关规定向基金份额持有人支付基金收益和赎回款项；</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（15）依据《基金法》、《基金合同》及其他有关规定，召集基金份额持有人大会或配合</w:t>
      </w:r>
      <w:r>
        <w:rPr>
          <w:rFonts w:ascii="宋体" w:hAnsi="宋体" w:hint="eastAsia"/>
          <w:bCs/>
          <w:szCs w:val="21"/>
        </w:rPr>
        <w:t>基金管理人、</w:t>
      </w:r>
      <w:r>
        <w:rPr>
          <w:rFonts w:ascii="宋体" w:hAnsi="宋体"/>
          <w:szCs w:val="21"/>
        </w:rPr>
        <w:t>基金份额持有人依法召集基金份额持有人大会；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（16）按照法律法规</w:t>
      </w:r>
      <w:r>
        <w:rPr>
          <w:rFonts w:ascii="宋体" w:hAnsi="宋体" w:hint="eastAsia"/>
          <w:szCs w:val="21"/>
        </w:rPr>
        <w:t>、</w:t>
      </w:r>
      <w:r>
        <w:rPr>
          <w:rFonts w:ascii="宋体" w:hAnsi="宋体"/>
          <w:szCs w:val="21"/>
        </w:rPr>
        <w:t>《基金合同》的规定监督基金管理人的投资运作；</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（17）参加基金财产清算小组，参与基金财产的保管、清理、估价、变现和分配；</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（18）面临解散、依法被撤销或者被依法宣告破产时，及时报告中国证监会和银行</w:t>
      </w:r>
      <w:r>
        <w:rPr>
          <w:rFonts w:ascii="宋体" w:hAnsi="宋体" w:hint="eastAsia"/>
          <w:bCs/>
          <w:szCs w:val="21"/>
        </w:rPr>
        <w:t>业监督管理</w:t>
      </w:r>
      <w:r>
        <w:rPr>
          <w:rFonts w:ascii="宋体" w:hAnsi="宋体"/>
          <w:szCs w:val="21"/>
        </w:rPr>
        <w:t>机构，并通知基金管理人；</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（19）因违反《基金合同》导致基金财产损失时，应承担赔偿责任，其赔偿责任不因其退任而免除；</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（21）执行生效的基金份额持有人大会的</w:t>
      </w:r>
      <w:r>
        <w:rPr>
          <w:rFonts w:ascii="宋体" w:hAnsi="宋体" w:hint="eastAsia"/>
          <w:szCs w:val="21"/>
        </w:rPr>
        <w:t>决议</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（22）</w:t>
      </w:r>
      <w:bookmarkStart w:id="162" w:name="_Toc523711670"/>
      <w:r>
        <w:rPr>
          <w:rFonts w:ascii="宋体" w:hAnsi="宋体"/>
          <w:szCs w:val="21"/>
        </w:rPr>
        <w:t>法律法规及中国证监会规定的和《基金合同》约定的其他义务。</w:t>
      </w:r>
    </w:p>
    <w:p w:rsidR="006E1FE1" w:rsidRDefault="006E1FE1">
      <w:pPr>
        <w:adjustRightInd w:val="0"/>
        <w:snapToGrid w:val="0"/>
        <w:spacing w:line="360" w:lineRule="auto"/>
        <w:ind w:firstLineChars="200" w:firstLine="420"/>
        <w:rPr>
          <w:rFonts w:ascii="宋体" w:hAnsi="宋体"/>
          <w:bCs/>
          <w:szCs w:val="21"/>
        </w:rPr>
      </w:pPr>
      <w:bookmarkStart w:id="163" w:name="_Toc79392582"/>
      <w:bookmarkEnd w:id="162"/>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三、基金份额持有人</w:t>
      </w:r>
      <w:bookmarkEnd w:id="163"/>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基金投资</w:t>
      </w:r>
      <w:r>
        <w:rPr>
          <w:rFonts w:ascii="宋体" w:hAnsi="宋体" w:hint="eastAsia"/>
          <w:szCs w:val="21"/>
        </w:rPr>
        <w:t>人持有</w:t>
      </w:r>
      <w:r>
        <w:rPr>
          <w:rFonts w:ascii="宋体" w:hAnsi="宋体"/>
          <w:szCs w:val="21"/>
        </w:rPr>
        <w:t>本基金</w:t>
      </w:r>
      <w:bookmarkStart w:id="164" w:name="_Hlt88899909"/>
      <w:bookmarkEnd w:id="164"/>
      <w:r>
        <w:rPr>
          <w:rFonts w:ascii="宋体" w:hAnsi="宋体"/>
          <w:szCs w:val="21"/>
        </w:rPr>
        <w:t>基金份额的行为即视为对《基金合同》的承认和接受，基金投资</w:t>
      </w:r>
      <w:r>
        <w:rPr>
          <w:rFonts w:ascii="宋体" w:hAnsi="宋体" w:hint="eastAsia"/>
          <w:szCs w:val="21"/>
        </w:rPr>
        <w:t>人</w:t>
      </w:r>
      <w:r>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每份基金份额具有同等的合法权益。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1、根据《基金法》、《运作办法》及其他有关规定，基金份额持有人的权利包括但不限于：</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（1）分享基金财产收益；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（2）参与分配清算后的剩余基金财产；</w:t>
      </w:r>
      <w:bookmarkStart w:id="165" w:name="_Hlt88825574"/>
      <w:bookmarkEnd w:id="165"/>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（3）依法申请赎回</w:t>
      </w:r>
      <w:r>
        <w:rPr>
          <w:rFonts w:ascii="宋体" w:hAnsi="宋体" w:hint="eastAsia"/>
          <w:bCs/>
          <w:szCs w:val="21"/>
        </w:rPr>
        <w:t>或转让</w:t>
      </w:r>
      <w:r>
        <w:rPr>
          <w:rFonts w:ascii="宋体" w:hAnsi="宋体"/>
          <w:szCs w:val="21"/>
        </w:rPr>
        <w:t>其持有的基金份额；</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（4）按照规定要求召开基金份额持有人大会</w:t>
      </w:r>
      <w:r>
        <w:rPr>
          <w:rFonts w:ascii="宋体" w:hAnsi="宋体" w:hint="eastAsia"/>
          <w:bCs/>
          <w:szCs w:val="21"/>
        </w:rPr>
        <w:t>或者召集基金份额持有人大会</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（5）出席或者委派代表出席基金份额持有人大会，对基金份额持有人大会审议事项行</w:t>
      </w:r>
      <w:r>
        <w:rPr>
          <w:rFonts w:ascii="宋体" w:hAnsi="宋体"/>
          <w:szCs w:val="21"/>
        </w:rPr>
        <w:lastRenderedPageBreak/>
        <w:t>使表决权；</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（6）查阅或者复制公开披露的基金信息资料；</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（7）监督基金管理人的投资运作；</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（8）对基金管理人、基金托管人、基金</w:t>
      </w:r>
      <w:r>
        <w:rPr>
          <w:rFonts w:ascii="宋体" w:hAnsi="宋体" w:hint="eastAsia"/>
          <w:szCs w:val="21"/>
        </w:rPr>
        <w:t>服务</w:t>
      </w:r>
      <w:r>
        <w:rPr>
          <w:rFonts w:ascii="宋体" w:hAnsi="宋体"/>
          <w:szCs w:val="21"/>
        </w:rPr>
        <w:t>机构损害其合法权益的行为依法提起诉讼或仲裁；</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（9）法律法规及中国证监会规定的和《基金合同》约定的其他权利。</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2、根据《基金法》、《运作办法》及其他有关规定，基金份额持有人的义务包括但不限于：</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（1）认真阅读并遵守《基金合同》</w:t>
      </w:r>
      <w:r>
        <w:rPr>
          <w:rFonts w:ascii="宋体" w:hAnsi="宋体" w:hint="eastAsia"/>
          <w:szCs w:val="21"/>
        </w:rPr>
        <w:t>、</w:t>
      </w:r>
      <w:r>
        <w:rPr>
          <w:rFonts w:ascii="宋体" w:hAnsi="宋体" w:hint="eastAsia"/>
          <w:bCs/>
          <w:szCs w:val="21"/>
        </w:rPr>
        <w:t>招募说明书等信息披露文件</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（2）了解所投资基金产品，了解自身风险承受能力，</w:t>
      </w:r>
      <w:r>
        <w:rPr>
          <w:rFonts w:ascii="宋体" w:hAnsi="宋体" w:hint="eastAsia"/>
          <w:bCs/>
          <w:szCs w:val="21"/>
        </w:rPr>
        <w:t>自主判断基金的投资价值，自主做出投资决策，</w:t>
      </w:r>
      <w:r>
        <w:rPr>
          <w:rFonts w:ascii="宋体" w:hAnsi="宋体"/>
          <w:szCs w:val="21"/>
        </w:rPr>
        <w:t>自行承担投资风险；</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（3）关注基金信息披露，及时行使权利和履行义务；</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（4）缴纳基金认购、申购款项及法律法规和《基金合同》所规定的费用；</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（5）在其持有的基金份额范围内，承担基金亏损或者《基金合同》终止的有限责任；</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（6）不从事任何有损基金及其他《基金合同》当事人合法权益的活动；</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（7）执行生效的基金份额持有人大会的</w:t>
      </w:r>
      <w:r>
        <w:rPr>
          <w:rFonts w:ascii="宋体" w:hAnsi="宋体" w:hint="eastAsia"/>
          <w:szCs w:val="21"/>
        </w:rPr>
        <w:t>决议</w:t>
      </w:r>
      <w:r>
        <w:rPr>
          <w:rFonts w:ascii="宋体" w:hAnsi="宋体"/>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（8）返还在基金交易过程中因任何原因获得的不当得利；</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（9）法律法规及中国证监会规定的和《基金合同》约定的其他义务</w:t>
      </w:r>
      <w:r>
        <w:rPr>
          <w:rFonts w:ascii="宋体" w:hAnsi="宋体"/>
          <w:bCs/>
          <w:szCs w:val="21"/>
        </w:rPr>
        <w:t>。</w:t>
      </w:r>
    </w:p>
    <w:p w:rsidR="006E1FE1" w:rsidRDefault="006E1FE1">
      <w:pPr>
        <w:adjustRightInd w:val="0"/>
        <w:snapToGrid w:val="0"/>
        <w:spacing w:line="360" w:lineRule="auto"/>
        <w:ind w:firstLineChars="200" w:firstLine="420"/>
        <w:rPr>
          <w:bCs/>
          <w:szCs w:val="21"/>
        </w:rPr>
      </w:pP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141703888"/>
      <w:bookmarkStart w:id="177" w:name="_Toc3771"/>
      <w:bookmarkStart w:id="178" w:name="_Toc6447"/>
      <w:bookmarkStart w:id="179" w:name="_Toc123102455"/>
      <w:bookmarkStart w:id="180" w:name="_Toc11030"/>
      <w:bookmarkStart w:id="181" w:name="_Toc7058"/>
      <w:bookmarkStart w:id="182" w:name="_Toc3321"/>
      <w:bookmarkStart w:id="183" w:name="_Toc20768"/>
      <w:bookmarkStart w:id="184" w:name="_Toc516479986"/>
      <w:r>
        <w:rPr>
          <w:rFonts w:ascii="Times New Roman"/>
          <w:color w:val="auto"/>
          <w:sz w:val="32"/>
          <w:szCs w:val="21"/>
        </w:rPr>
        <w:lastRenderedPageBreak/>
        <w:t>第</w:t>
      </w:r>
      <w:r>
        <w:rPr>
          <w:rFonts w:ascii="Times New Roman" w:hint="eastAsia"/>
          <w:color w:val="auto"/>
          <w:sz w:val="32"/>
          <w:szCs w:val="21"/>
        </w:rPr>
        <w:t>九</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rFonts w:ascii="宋体" w:hAnsi="宋体"/>
          <w:szCs w:val="21"/>
        </w:rPr>
      </w:pPr>
      <w:bookmarkStart w:id="185" w:name="_Toc1745"/>
      <w:bookmarkStart w:id="186" w:name="_Toc3963"/>
      <w:r>
        <w:rPr>
          <w:rFonts w:ascii="宋体" w:hAnsi="宋体" w:hint="eastAsia"/>
          <w:szCs w:val="21"/>
        </w:rPr>
        <w:t>基金份额持有人大会由基金份额持有人组成，基金份额持有人的合法授权代表有权代表基金份额持有人出席会议并表决。基金份额持有人持有的每一基金份额拥有平等的投票权。</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本基金份额持有人大会不设日常机构。若将来法律法规对基金份额持有人大会另有规定的，以届时有效的法律法规为准。</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一、召开事由</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1、当出现或需要决定下列事由之一的，应当召开基金份额持有人大会，但法律法规、中国证监会另有规定的除外：</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（1）终止《基金合同》；</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（2）更换基金管理人；</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（3）更换基金托管人；</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（4）转换基金运作方式；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（5）调整基金管理人、基金托管人的报酬标准；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（6）变更基金类别；</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（7）本基金与其他基金的合并；</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（8）变更基金投资目标、范围或策略；</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（9）变更基金份额持有人大会程序；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（10）基金管理人或基金托管人要求召开基金份额持有人大会；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（11）终止基金上市，但因基金不再具备上市条件而被深圳证券交易所终止上市的除外；</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（12）单独或合计持有本基金总份额10%以上（含10%）基金份额的基金份额持有人（以基金管理人收到提议当日的基金份额计算，下同）就同一事项书面要求召开基金份额持有人大会；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（13）对基金合同当事人权利和义务产生重大影响的其他事项；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（14）法律法规、《基金合同》或中国证监会规定的其他应当召开基金份额持有人大会的事项。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2、在不违反法律法规、《基金合同》的规定以及对基金份额持有人利益无实质性不利影响的情况下，以下情况可由基金管理人和基金托管人协商一致后修改，不需召开基金份额持有人大会：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（1）法律法规要求增加的基金费用的收取和其他应由基金承担的费用；</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（2）在法律法规和《基金合同》规定的范围内调整本基金的申购费率、调低赎回费率或在对现有基金份额持有人利益无实质性不利影响的前提下变更收费方式；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（3）在不违反法律法规、《基金合同》的规定以及对基金份额持有人利益无实质性不利</w:t>
      </w:r>
      <w:r>
        <w:rPr>
          <w:rFonts w:ascii="宋体" w:hAnsi="宋体" w:hint="eastAsia"/>
          <w:szCs w:val="21"/>
        </w:rPr>
        <w:lastRenderedPageBreak/>
        <w:t>影响的情况下，调整有关基金认购、申购、赎回、转换、非交易过户、转托管等业务的规则；</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（4）在不违反法律法规、基金合同的约定以及对基金份额持有人利益无实质性不利影响的情况下，增加、减少或调整基金份额类别设置及对基金份额分类办法、规则进行调整；</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（5）因相应的法律法规发生变动而应当对《基金合同》进行修改；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（6）因相应的法律法规、深圳证券交易所或登记机构的相关业务规则发生变动而应当对《基金合同》进行修改；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（7）对《基金合同》的修改对基金份额持有人利益无实质性不利影响或修改不涉及《基金合同》当事人权利义务关系发生重大变化；</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（8）按照法律法规和《基金合同》规定不需召开基金份额持有人大会的其他情形。</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二、会议召集人及召集方式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1、除法律法规规定或《基金合同》另有约定外，基金份额持有人大会由基金管理人召集；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2、基金管理人未按规定召集或不能召集时，由基金托管人召集；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6、基金份额持有人会议的召集人负责选择确定开会时间、地点、方式和权益登记日。</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lastRenderedPageBreak/>
        <w:t>三、召开基金份额持有人大会的通知时间、通知内容、通知方式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1、召开基金份额持有人大会，召集人应于会议召开前30日，在规定媒介公告。基金份额持有人大会通知应至少载明以下内容：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（1）会议召开的时间、地点和会议形式；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（2）会议拟审议的事项、议事程序和表决方式；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（3）有权出席基金份额持有人大会的基金份额持有人的权益登记日；</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（4）授权委托证明的内容要求（包括但不限于代理人身份，代理权限和代理有效期限等）、送达时间和地点；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（5）会务常设联系人姓名及联系电话；</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（6）出席会议者必须准备的文件和必须履行的手续；</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（7）召集人需要通知的其他事项。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四、基金份额持有人出席会议的方式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基金份额持有人大会可通过现场开会方式、通讯开会方式或法律法规和监管机关允许的其他方式召开，会议的召开方式由会议召集人确定。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w:t>
      </w:r>
      <w:r>
        <w:rPr>
          <w:rFonts w:ascii="宋体" w:hAnsi="宋体" w:hint="eastAsia"/>
          <w:szCs w:val="21"/>
        </w:rPr>
        <w:lastRenderedPageBreak/>
        <w:t>集基金份额持有人大会。重新召集的基金份额持有人大会到会者在权益登记日代表的有效的基金份额应不少于本基金在权益登记日基金总份额的三分之一（含三分之一）。</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在同时符合以下条件时，通讯开会的方式视为有效：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（1）会议召集人按《基金合同》约定公布会议通知后，在2个工作日内连续公布相关提示性公告；</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五、议事内容与程序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1、议事内容及提案权</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lastRenderedPageBreak/>
        <w:t>基金份额持有人大会的召集人发出召集会议的通知后，对原有提案的修改应当在基金份额持有人大会召开前及时公告。</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基金份额持有人大会不得对未事先公告的议事内容进行表决。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2、议事程序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（1）现场开会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（2）通讯开会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六、表决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基金份额持有人所持每份基金份额有同等表决权。</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基金份额持有人大会决议分为一般决议和特别决议：</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基金份额持有人大会采取记名方式进行投票表决。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基金份额持有人大会的各项提案或同一项提案内并列的各项议题应当分开审议、逐项表</w:t>
      </w:r>
      <w:r>
        <w:rPr>
          <w:rFonts w:ascii="宋体" w:hAnsi="宋体" w:hint="eastAsia"/>
          <w:szCs w:val="21"/>
        </w:rPr>
        <w:lastRenderedPageBreak/>
        <w:t>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在上述规则的前提下，具体规则以召集人发布的基金份额持有人大会通知为准。</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七、计票</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1、现场开会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（2）监票人应当在基金份额持有人表决后立即进行清点并由大会主持人当场公布计票结果。</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（4）计票过程应由公证机关予以公证，基金管理人或基金托管人拒不出席大会的，不影响计票的效力。</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2、通讯开会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八、生效与公告</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基金份额持有人大会的决议，召集人应当自通过之日起5日内报中国证监会备案。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基金份额持有人大会的决议自表决通过之日起生效。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基金份额持有人大会决议自生效之日起2日内在规定媒介上公告。如果采用通讯方式进行表决，在公告基金份额持有人大会决议时，必须将公证书全文、公证机构、公证员姓名等一同公告。</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bCs/>
          <w:szCs w:val="21"/>
        </w:rPr>
      </w:pPr>
      <w:r>
        <w:rPr>
          <w:rFonts w:ascii="宋体" w:hAnsi="宋体" w:hint="eastAsia"/>
          <w:szCs w:val="21"/>
        </w:rPr>
        <w:lastRenderedPageBreak/>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187" w:name="_Toc18769"/>
    </w:p>
    <w:p w:rsidR="006E1FE1" w:rsidRDefault="006E1FE1">
      <w:pPr>
        <w:adjustRightInd w:val="0"/>
        <w:snapToGrid w:val="0"/>
        <w:spacing w:line="360" w:lineRule="auto"/>
        <w:rPr>
          <w:szCs w:val="21"/>
        </w:rPr>
      </w:pPr>
    </w:p>
    <w:p w:rsidR="006E1FE1" w:rsidRDefault="00F51CE7">
      <w:pPr>
        <w:adjustRightInd w:val="0"/>
        <w:snapToGrid w:val="0"/>
        <w:spacing w:line="360" w:lineRule="auto"/>
        <w:rPr>
          <w:szCs w:val="21"/>
        </w:rPr>
      </w:pPr>
      <w:r>
        <w:rPr>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188" w:name="_Toc725"/>
      <w:bookmarkStart w:id="189" w:name="_Toc18206"/>
      <w:bookmarkStart w:id="190" w:name="_Toc31821"/>
      <w:bookmarkStart w:id="191" w:name="_Toc3572"/>
      <w:bookmarkStart w:id="192" w:name="_Toc123112237"/>
      <w:bookmarkStart w:id="193" w:name="_Toc21735"/>
      <w:bookmarkStart w:id="194" w:name="_Toc98560355"/>
      <w:bookmarkStart w:id="195" w:name="_Toc10398"/>
      <w:bookmarkStart w:id="196" w:name="_Toc3080"/>
      <w:bookmarkStart w:id="197" w:name="_Toc16164"/>
      <w:bookmarkStart w:id="198" w:name="_Toc123102456"/>
      <w:bookmarkStart w:id="199" w:name="_Toc141703889"/>
      <w:bookmarkStart w:id="200" w:name="_Toc139991739"/>
      <w:bookmarkStart w:id="201" w:name="_Toc123051455"/>
      <w:bookmarkStart w:id="202" w:name="_Toc516479987"/>
      <w:r>
        <w:rPr>
          <w:rFonts w:ascii="Times New Roman"/>
          <w:color w:val="auto"/>
          <w:sz w:val="32"/>
          <w:szCs w:val="21"/>
        </w:rPr>
        <w:lastRenderedPageBreak/>
        <w:t>第</w:t>
      </w:r>
      <w:r>
        <w:rPr>
          <w:rFonts w:ascii="Times New Roman" w:hint="eastAsia"/>
          <w:color w:val="auto"/>
          <w:sz w:val="32"/>
          <w:szCs w:val="21"/>
        </w:rPr>
        <w:t>十</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基金管理人、基金托管人的更换条件和程序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E1FE1" w:rsidRDefault="006E1FE1">
      <w:pPr>
        <w:adjustRightInd w:val="0"/>
        <w:snapToGrid w:val="0"/>
        <w:spacing w:line="360" w:lineRule="auto"/>
        <w:ind w:firstLineChars="200" w:firstLine="420"/>
        <w:rPr>
          <w:bCs/>
          <w:szCs w:val="21"/>
        </w:rPr>
      </w:pPr>
      <w:bookmarkStart w:id="203" w:name="_Toc79392593"/>
      <w:bookmarkStart w:id="204" w:name="_Toc57530252"/>
      <w:bookmarkStart w:id="205" w:name="_Toc15118245"/>
    </w:p>
    <w:bookmarkEnd w:id="203"/>
    <w:bookmarkEnd w:id="204"/>
    <w:bookmarkEnd w:id="205"/>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一、基金管理人和基金托管人职责终止的情形</w:t>
      </w:r>
    </w:p>
    <w:p w:rsidR="006E1FE1" w:rsidRDefault="00F51CE7">
      <w:pPr>
        <w:adjustRightInd w:val="0"/>
        <w:snapToGrid w:val="0"/>
        <w:spacing w:line="360" w:lineRule="auto"/>
        <w:ind w:firstLine="420"/>
        <w:rPr>
          <w:rFonts w:ascii="宋体" w:hAnsi="宋体"/>
          <w:szCs w:val="21"/>
        </w:rPr>
      </w:pPr>
      <w:bookmarkStart w:id="206" w:name="_Toc22005971"/>
      <w:r>
        <w:rPr>
          <w:rFonts w:ascii="宋体" w:hAnsi="宋体"/>
          <w:szCs w:val="21"/>
        </w:rPr>
        <w:t>（一）基金管理人职责终止的情形</w:t>
      </w:r>
      <w:bookmarkEnd w:id="206"/>
    </w:p>
    <w:p w:rsidR="006E1FE1" w:rsidRDefault="00F51CE7">
      <w:pPr>
        <w:adjustRightInd w:val="0"/>
        <w:snapToGrid w:val="0"/>
        <w:spacing w:line="360" w:lineRule="auto"/>
        <w:ind w:firstLine="420"/>
        <w:rPr>
          <w:rFonts w:ascii="宋体" w:hAnsi="宋体"/>
          <w:szCs w:val="21"/>
        </w:rPr>
      </w:pPr>
      <w:r>
        <w:rPr>
          <w:rFonts w:ascii="宋体" w:hAnsi="宋体"/>
          <w:szCs w:val="21"/>
        </w:rPr>
        <w:t>有下列情形之一的，基金管理人职责终止：</w:t>
      </w:r>
    </w:p>
    <w:p w:rsidR="006E1FE1" w:rsidRDefault="00F51CE7">
      <w:pPr>
        <w:adjustRightInd w:val="0"/>
        <w:snapToGrid w:val="0"/>
        <w:spacing w:line="360" w:lineRule="auto"/>
        <w:ind w:firstLine="420"/>
        <w:rPr>
          <w:rFonts w:ascii="宋体" w:hAnsi="宋体"/>
          <w:szCs w:val="21"/>
        </w:rPr>
      </w:pPr>
      <w:r>
        <w:rPr>
          <w:rFonts w:ascii="宋体" w:hAnsi="宋体"/>
          <w:szCs w:val="21"/>
        </w:rPr>
        <w:t>1、被依法取消基金管理资格；</w:t>
      </w:r>
    </w:p>
    <w:p w:rsidR="006E1FE1" w:rsidRDefault="00F51CE7">
      <w:pPr>
        <w:adjustRightInd w:val="0"/>
        <w:snapToGrid w:val="0"/>
        <w:spacing w:line="360" w:lineRule="auto"/>
        <w:ind w:firstLine="420"/>
        <w:rPr>
          <w:rFonts w:ascii="宋体" w:hAnsi="宋体"/>
          <w:szCs w:val="21"/>
        </w:rPr>
      </w:pPr>
      <w:r>
        <w:rPr>
          <w:rFonts w:ascii="宋体" w:hAnsi="宋体"/>
          <w:szCs w:val="21"/>
        </w:rPr>
        <w:t>2、被基金份额持有人大会解任；</w:t>
      </w:r>
    </w:p>
    <w:p w:rsidR="006E1FE1" w:rsidRDefault="00F51CE7">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rsidR="006E1FE1" w:rsidRDefault="00F51CE7">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法律法规及中国证监会规定的和《基金合同》约定的其他</w:t>
      </w:r>
      <w:r>
        <w:rPr>
          <w:rFonts w:ascii="宋体" w:hAnsi="宋体"/>
          <w:szCs w:val="21"/>
        </w:rPr>
        <w:t>情形。</w:t>
      </w:r>
    </w:p>
    <w:p w:rsidR="006E1FE1" w:rsidRDefault="00F51CE7">
      <w:pPr>
        <w:adjustRightInd w:val="0"/>
        <w:snapToGrid w:val="0"/>
        <w:spacing w:line="360" w:lineRule="auto"/>
        <w:ind w:firstLine="420"/>
        <w:rPr>
          <w:rFonts w:ascii="宋体" w:hAnsi="宋体"/>
          <w:szCs w:val="21"/>
        </w:rPr>
      </w:pPr>
      <w:bookmarkStart w:id="207" w:name="_Toc22005972"/>
      <w:r>
        <w:rPr>
          <w:rFonts w:ascii="宋体" w:hAnsi="宋体"/>
          <w:szCs w:val="21"/>
        </w:rPr>
        <w:t>（二）基金托管人职责终止的情形</w:t>
      </w:r>
      <w:bookmarkEnd w:id="207"/>
    </w:p>
    <w:p w:rsidR="006E1FE1" w:rsidRDefault="00F51CE7">
      <w:pPr>
        <w:adjustRightInd w:val="0"/>
        <w:snapToGrid w:val="0"/>
        <w:spacing w:line="360" w:lineRule="auto"/>
        <w:ind w:firstLine="420"/>
        <w:rPr>
          <w:rFonts w:ascii="宋体" w:hAnsi="宋体"/>
          <w:szCs w:val="21"/>
        </w:rPr>
      </w:pPr>
      <w:r>
        <w:rPr>
          <w:rFonts w:ascii="宋体" w:hAnsi="宋体"/>
          <w:szCs w:val="21"/>
        </w:rPr>
        <w:t>有下列情形之一的，基金托管人职责终止：</w:t>
      </w:r>
    </w:p>
    <w:p w:rsidR="006E1FE1" w:rsidRDefault="00F51CE7">
      <w:pPr>
        <w:adjustRightInd w:val="0"/>
        <w:snapToGrid w:val="0"/>
        <w:spacing w:line="360" w:lineRule="auto"/>
        <w:ind w:firstLine="420"/>
        <w:rPr>
          <w:rFonts w:ascii="宋体" w:hAnsi="宋体"/>
          <w:szCs w:val="21"/>
        </w:rPr>
      </w:pPr>
      <w:r>
        <w:rPr>
          <w:rFonts w:ascii="宋体" w:hAnsi="宋体"/>
          <w:szCs w:val="21"/>
        </w:rPr>
        <w:t>1、被依法取消基金托管资格；</w:t>
      </w:r>
    </w:p>
    <w:p w:rsidR="006E1FE1" w:rsidRDefault="00F51CE7">
      <w:pPr>
        <w:adjustRightInd w:val="0"/>
        <w:snapToGrid w:val="0"/>
        <w:spacing w:line="360" w:lineRule="auto"/>
        <w:ind w:firstLine="420"/>
        <w:rPr>
          <w:rFonts w:ascii="宋体" w:hAnsi="宋体"/>
          <w:szCs w:val="21"/>
        </w:rPr>
      </w:pPr>
      <w:r>
        <w:rPr>
          <w:rFonts w:ascii="宋体" w:hAnsi="宋体"/>
          <w:szCs w:val="21"/>
        </w:rPr>
        <w:t>2、被基金份额持有人大会解任；</w:t>
      </w:r>
    </w:p>
    <w:p w:rsidR="006E1FE1" w:rsidRDefault="00F51CE7">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rsidR="006E1FE1" w:rsidRDefault="00F51CE7">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法律法规及中国证监会规定的和《基金合同》约定的其他</w:t>
      </w:r>
      <w:r>
        <w:rPr>
          <w:rFonts w:ascii="宋体" w:hAnsi="宋体"/>
          <w:szCs w:val="21"/>
        </w:rPr>
        <w:t>情形。</w:t>
      </w:r>
    </w:p>
    <w:p w:rsidR="006E1FE1" w:rsidRDefault="006E1FE1">
      <w:pPr>
        <w:adjustRightInd w:val="0"/>
        <w:snapToGrid w:val="0"/>
        <w:spacing w:line="360" w:lineRule="auto"/>
        <w:ind w:firstLine="420"/>
        <w:rPr>
          <w:rFonts w:ascii="宋体" w:hAnsi="宋体"/>
          <w:bCs/>
          <w:szCs w:val="21"/>
        </w:rPr>
      </w:pPr>
      <w:bookmarkStart w:id="208" w:name="_Toc79392594"/>
      <w:bookmarkStart w:id="209" w:name="_Toc57530253"/>
      <w:bookmarkStart w:id="210" w:name="_Toc15118246"/>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二、基金管理人和基金托管人的更换程序</w:t>
      </w:r>
      <w:bookmarkEnd w:id="208"/>
      <w:bookmarkEnd w:id="209"/>
      <w:bookmarkEnd w:id="210"/>
    </w:p>
    <w:p w:rsidR="006E1FE1" w:rsidRDefault="00F51CE7">
      <w:pPr>
        <w:adjustRightInd w:val="0"/>
        <w:snapToGrid w:val="0"/>
        <w:spacing w:line="360" w:lineRule="auto"/>
        <w:ind w:firstLine="420"/>
        <w:rPr>
          <w:rFonts w:ascii="宋体" w:hAnsi="宋体"/>
          <w:szCs w:val="21"/>
        </w:rPr>
      </w:pPr>
      <w:bookmarkStart w:id="211" w:name="_Toc22005974"/>
      <w:r>
        <w:rPr>
          <w:rFonts w:ascii="宋体" w:hAnsi="宋体"/>
          <w:szCs w:val="21"/>
        </w:rPr>
        <w:t>（一）基金管理人的更换程序</w:t>
      </w:r>
      <w:bookmarkEnd w:id="211"/>
    </w:p>
    <w:p w:rsidR="006E1FE1" w:rsidRDefault="00F51CE7">
      <w:pPr>
        <w:adjustRightInd w:val="0"/>
        <w:snapToGrid w:val="0"/>
        <w:spacing w:line="360" w:lineRule="auto"/>
        <w:ind w:firstLine="420"/>
        <w:rPr>
          <w:rFonts w:ascii="宋体" w:hAnsi="宋体"/>
          <w:szCs w:val="21"/>
        </w:rPr>
      </w:pPr>
      <w:r>
        <w:rPr>
          <w:rFonts w:ascii="宋体" w:hAnsi="宋体"/>
          <w:szCs w:val="21"/>
        </w:rPr>
        <w:t>1、提名：新任基金管理人由基金托管人或由单独或合计持有</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）基金份额的基金份额持有人提名；</w:t>
      </w:r>
    </w:p>
    <w:p w:rsidR="006E1FE1" w:rsidRDefault="00F51CE7">
      <w:pPr>
        <w:adjustRightInd w:val="0"/>
        <w:snapToGrid w:val="0"/>
        <w:spacing w:line="360" w:lineRule="auto"/>
        <w:ind w:firstLine="420"/>
        <w:rPr>
          <w:rFonts w:ascii="宋体" w:hAnsi="宋体"/>
          <w:szCs w:val="21"/>
        </w:rPr>
      </w:pPr>
      <w:r>
        <w:rPr>
          <w:rFonts w:ascii="宋体" w:hAnsi="宋体"/>
          <w:szCs w:val="21"/>
        </w:rPr>
        <w:t>2、决议：基金份额持有人大会在基金管理人职责终止后</w:t>
      </w:r>
      <w:r>
        <w:rPr>
          <w:rFonts w:ascii="宋体" w:hAnsi="宋体" w:hint="eastAsia"/>
          <w:szCs w:val="21"/>
        </w:rPr>
        <w:t>6</w:t>
      </w:r>
      <w:r>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Pr>
          <w:rFonts w:ascii="宋体" w:hAnsi="宋体"/>
          <w:szCs w:val="21"/>
        </w:rPr>
        <w:t>以上（含</w:t>
      </w:r>
      <w:r>
        <w:rPr>
          <w:rFonts w:ascii="宋体" w:hAnsi="宋体" w:hint="eastAsia"/>
          <w:szCs w:val="21"/>
        </w:rPr>
        <w:t>三分之二</w:t>
      </w:r>
      <w:r>
        <w:rPr>
          <w:rFonts w:ascii="宋体" w:hAnsi="宋体"/>
          <w:szCs w:val="21"/>
        </w:rPr>
        <w:t>）表决通过；</w:t>
      </w:r>
    </w:p>
    <w:p w:rsidR="006E1FE1" w:rsidRDefault="00F51CE7">
      <w:pPr>
        <w:adjustRightInd w:val="0"/>
        <w:snapToGrid w:val="0"/>
        <w:spacing w:line="360" w:lineRule="auto"/>
        <w:ind w:firstLine="420"/>
        <w:rPr>
          <w:rFonts w:ascii="宋体" w:hAnsi="宋体"/>
          <w:szCs w:val="21"/>
        </w:rPr>
      </w:pPr>
      <w:r>
        <w:rPr>
          <w:rFonts w:ascii="宋体" w:hAnsi="宋体"/>
          <w:szCs w:val="21"/>
        </w:rPr>
        <w:t>3、临时基金管理人：新任基金管理人产生之前，由中国证监会指定临时基金管理人；</w:t>
      </w:r>
    </w:p>
    <w:p w:rsidR="006E1FE1" w:rsidRDefault="00F51CE7">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备案</w:t>
      </w:r>
      <w:r>
        <w:rPr>
          <w:rFonts w:ascii="宋体" w:hAnsi="宋体"/>
          <w:szCs w:val="21"/>
        </w:rPr>
        <w:t>：基金份额持有人大会</w:t>
      </w:r>
      <w:r>
        <w:rPr>
          <w:rFonts w:ascii="宋体" w:hAnsi="宋体" w:hint="eastAsia"/>
          <w:szCs w:val="21"/>
        </w:rPr>
        <w:t>更换</w:t>
      </w:r>
      <w:r>
        <w:rPr>
          <w:rFonts w:ascii="宋体" w:hAnsi="宋体"/>
          <w:szCs w:val="21"/>
        </w:rPr>
        <w:t>基金管理人的决议须</w:t>
      </w:r>
      <w:r>
        <w:rPr>
          <w:rFonts w:ascii="宋体" w:hAnsi="宋体" w:hint="eastAsia"/>
          <w:szCs w:val="21"/>
        </w:rPr>
        <w:t>报</w:t>
      </w:r>
      <w:r>
        <w:rPr>
          <w:rFonts w:ascii="宋体" w:hAnsi="宋体"/>
          <w:szCs w:val="21"/>
        </w:rPr>
        <w:t>中国证监会</w:t>
      </w:r>
      <w:r>
        <w:rPr>
          <w:rFonts w:ascii="宋体" w:hAnsi="宋体" w:hint="eastAsia"/>
          <w:szCs w:val="21"/>
        </w:rPr>
        <w:t>备案</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5、公告：基金管理人更换后，由基金托管人在</w:t>
      </w:r>
      <w:r>
        <w:rPr>
          <w:rFonts w:ascii="宋体" w:hAnsi="宋体" w:hint="eastAsia"/>
          <w:szCs w:val="21"/>
        </w:rPr>
        <w:t>更换基金管理人的基金份额持有人大会决议生效后2日</w:t>
      </w:r>
      <w:r>
        <w:rPr>
          <w:rFonts w:ascii="宋体" w:hAnsi="宋体"/>
          <w:szCs w:val="21"/>
        </w:rPr>
        <w:t>内在</w:t>
      </w:r>
      <w:r>
        <w:rPr>
          <w:rFonts w:ascii="宋体" w:hAnsi="宋体" w:hint="eastAsia"/>
          <w:szCs w:val="21"/>
        </w:rPr>
        <w:t>规定媒介</w:t>
      </w:r>
      <w:r>
        <w:rPr>
          <w:rFonts w:ascii="宋体" w:hAnsi="宋体"/>
          <w:szCs w:val="21"/>
        </w:rPr>
        <w:t>公告。</w:t>
      </w:r>
    </w:p>
    <w:p w:rsidR="006E1FE1" w:rsidRDefault="00F51CE7">
      <w:pPr>
        <w:adjustRightInd w:val="0"/>
        <w:snapToGrid w:val="0"/>
        <w:spacing w:line="360" w:lineRule="auto"/>
        <w:ind w:firstLine="420"/>
        <w:rPr>
          <w:rFonts w:ascii="宋体" w:hAnsi="宋体"/>
          <w:szCs w:val="21"/>
        </w:rPr>
      </w:pPr>
      <w:r>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Pr>
          <w:rFonts w:ascii="宋体" w:hAnsi="宋体"/>
          <w:szCs w:val="21"/>
        </w:rPr>
        <w:t>新任基金管理人应与基金托管人核对基金资产总值；</w:t>
      </w:r>
    </w:p>
    <w:p w:rsidR="006E1FE1" w:rsidRDefault="00F51CE7">
      <w:pPr>
        <w:adjustRightInd w:val="0"/>
        <w:snapToGrid w:val="0"/>
        <w:spacing w:line="360" w:lineRule="auto"/>
        <w:ind w:firstLine="420"/>
        <w:rPr>
          <w:rFonts w:ascii="宋体" w:hAnsi="宋体"/>
          <w:szCs w:val="21"/>
        </w:rPr>
      </w:pPr>
      <w:r>
        <w:rPr>
          <w:rFonts w:ascii="宋体" w:hAnsi="宋体"/>
          <w:szCs w:val="21"/>
        </w:rPr>
        <w:t>7、审计：基金管理人职责终止的，应当按照法律法规规定聘请</w:t>
      </w:r>
      <w:r>
        <w:rPr>
          <w:rFonts w:ascii="宋体" w:hAnsi="宋体" w:hint="eastAsia"/>
          <w:szCs w:val="21"/>
        </w:rPr>
        <w:t>符合《中华人民共和国证券法》规定</w:t>
      </w:r>
      <w:r>
        <w:rPr>
          <w:rFonts w:ascii="宋体" w:hAnsi="宋体"/>
          <w:szCs w:val="21"/>
        </w:rPr>
        <w:t>的会计师事务所对基金财产进行审计，并将审计结果予以公告，同时报中国证监会备案</w:t>
      </w:r>
      <w:r>
        <w:rPr>
          <w:rFonts w:ascii="宋体" w:hAnsi="宋体" w:hint="eastAsia"/>
          <w:bCs/>
          <w:szCs w:val="21"/>
        </w:rPr>
        <w:t>，审计费用从基金财产中列支</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lastRenderedPageBreak/>
        <w:t>8、基金名称变更：基金管理人更换后，如果原任或新任基金管理人要求，应按其要求替换或删除基金名称中与原</w:t>
      </w:r>
      <w:r>
        <w:rPr>
          <w:rFonts w:ascii="宋体" w:hAnsi="宋体" w:hint="eastAsia"/>
          <w:szCs w:val="21"/>
        </w:rPr>
        <w:t>任</w:t>
      </w:r>
      <w:r>
        <w:rPr>
          <w:rFonts w:ascii="宋体" w:hAnsi="宋体"/>
          <w:szCs w:val="21"/>
        </w:rPr>
        <w:t>基金管理人有关的名称字样。</w:t>
      </w:r>
    </w:p>
    <w:p w:rsidR="006E1FE1" w:rsidRDefault="00F51CE7">
      <w:pPr>
        <w:adjustRightInd w:val="0"/>
        <w:snapToGrid w:val="0"/>
        <w:spacing w:line="360" w:lineRule="auto"/>
        <w:ind w:firstLine="420"/>
        <w:rPr>
          <w:rFonts w:ascii="宋体" w:hAnsi="宋体"/>
          <w:szCs w:val="21"/>
        </w:rPr>
      </w:pPr>
      <w:bookmarkStart w:id="212" w:name="_Toc22005975"/>
      <w:r>
        <w:rPr>
          <w:rFonts w:ascii="宋体" w:hAnsi="宋体"/>
          <w:szCs w:val="21"/>
        </w:rPr>
        <w:t>（二）基金托管人的更换程序</w:t>
      </w:r>
      <w:bookmarkEnd w:id="212"/>
    </w:p>
    <w:p w:rsidR="006E1FE1" w:rsidRDefault="00F51CE7">
      <w:pPr>
        <w:adjustRightInd w:val="0"/>
        <w:snapToGrid w:val="0"/>
        <w:spacing w:line="360" w:lineRule="auto"/>
        <w:ind w:firstLine="420"/>
        <w:rPr>
          <w:rFonts w:ascii="宋体" w:hAnsi="宋体"/>
          <w:szCs w:val="21"/>
        </w:rPr>
      </w:pPr>
      <w:r>
        <w:rPr>
          <w:rFonts w:ascii="宋体" w:hAnsi="宋体"/>
          <w:szCs w:val="21"/>
        </w:rPr>
        <w:t>1、提名：新任基金托管人由基金管理人或由单独或合计持有</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）基金份额的基金</w:t>
      </w:r>
      <w:r>
        <w:rPr>
          <w:rFonts w:ascii="宋体" w:hAnsi="宋体" w:hint="eastAsia"/>
          <w:szCs w:val="21"/>
        </w:rPr>
        <w:t>份额</w:t>
      </w:r>
      <w:r>
        <w:rPr>
          <w:rFonts w:ascii="宋体" w:hAnsi="宋体"/>
          <w:szCs w:val="21"/>
        </w:rPr>
        <w:t>持有人提名；</w:t>
      </w:r>
    </w:p>
    <w:p w:rsidR="006E1FE1" w:rsidRDefault="00F51CE7">
      <w:pPr>
        <w:adjustRightInd w:val="0"/>
        <w:snapToGrid w:val="0"/>
        <w:spacing w:line="360" w:lineRule="auto"/>
        <w:ind w:firstLine="420"/>
        <w:rPr>
          <w:rFonts w:ascii="宋体" w:hAnsi="宋体"/>
          <w:szCs w:val="21"/>
        </w:rPr>
      </w:pPr>
      <w:r>
        <w:rPr>
          <w:rFonts w:ascii="宋体" w:hAnsi="宋体"/>
          <w:szCs w:val="21"/>
        </w:rPr>
        <w:t>2、决议：基金份额持有人大会在基金托管人职责终止后</w:t>
      </w:r>
      <w:r>
        <w:rPr>
          <w:rFonts w:ascii="宋体" w:hAnsi="宋体" w:hint="eastAsia"/>
          <w:szCs w:val="21"/>
        </w:rPr>
        <w:t>6</w:t>
      </w:r>
      <w:r>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Pr>
          <w:rFonts w:ascii="宋体" w:hAnsi="宋体"/>
          <w:szCs w:val="21"/>
        </w:rPr>
        <w:t>以上（含</w:t>
      </w:r>
      <w:r>
        <w:rPr>
          <w:rFonts w:ascii="宋体" w:hAnsi="宋体" w:hint="eastAsia"/>
          <w:szCs w:val="21"/>
        </w:rPr>
        <w:t>三分之二</w:t>
      </w:r>
      <w:r>
        <w:rPr>
          <w:rFonts w:ascii="宋体" w:hAnsi="宋体"/>
          <w:szCs w:val="21"/>
        </w:rPr>
        <w:t>）表决通过；</w:t>
      </w:r>
    </w:p>
    <w:p w:rsidR="006E1FE1" w:rsidRDefault="00F51CE7">
      <w:pPr>
        <w:adjustRightInd w:val="0"/>
        <w:snapToGrid w:val="0"/>
        <w:spacing w:line="360" w:lineRule="auto"/>
        <w:ind w:firstLine="420"/>
        <w:rPr>
          <w:rFonts w:ascii="宋体" w:hAnsi="宋体"/>
          <w:szCs w:val="21"/>
        </w:rPr>
      </w:pPr>
      <w:r>
        <w:rPr>
          <w:rFonts w:ascii="宋体" w:hAnsi="宋体"/>
          <w:szCs w:val="21"/>
        </w:rPr>
        <w:t>3、临时基金托管人：新任基金托管人产生之前，由中国证监会指定临时基金托管人；</w:t>
      </w:r>
    </w:p>
    <w:p w:rsidR="006E1FE1" w:rsidRDefault="00F51CE7">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备案</w:t>
      </w:r>
      <w:r>
        <w:rPr>
          <w:rFonts w:ascii="宋体" w:hAnsi="宋体"/>
          <w:szCs w:val="21"/>
        </w:rPr>
        <w:t>：基金份额持有人大会更换基金托管人的决议须</w:t>
      </w:r>
      <w:r>
        <w:rPr>
          <w:rFonts w:ascii="宋体" w:hAnsi="宋体" w:hint="eastAsia"/>
          <w:szCs w:val="21"/>
        </w:rPr>
        <w:t>报</w:t>
      </w:r>
      <w:r>
        <w:rPr>
          <w:rFonts w:ascii="宋体" w:hAnsi="宋体"/>
          <w:szCs w:val="21"/>
        </w:rPr>
        <w:t>中国证监会</w:t>
      </w:r>
      <w:r>
        <w:rPr>
          <w:rFonts w:ascii="宋体" w:hAnsi="宋体" w:hint="eastAsia"/>
          <w:szCs w:val="21"/>
        </w:rPr>
        <w:t>备案</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5、公告：基金托管人更换后，由基金管理人在</w:t>
      </w:r>
      <w:r>
        <w:rPr>
          <w:rFonts w:ascii="宋体" w:hAnsi="宋体" w:hint="eastAsia"/>
          <w:szCs w:val="21"/>
        </w:rPr>
        <w:t>更换基金托管人的基金份额持有人大会决议生效后2日</w:t>
      </w:r>
      <w:r>
        <w:rPr>
          <w:rFonts w:ascii="宋体" w:hAnsi="宋体"/>
          <w:szCs w:val="21"/>
        </w:rPr>
        <w:t>内在</w:t>
      </w:r>
      <w:r>
        <w:rPr>
          <w:rFonts w:ascii="宋体" w:hAnsi="宋体" w:hint="eastAsia"/>
          <w:szCs w:val="21"/>
        </w:rPr>
        <w:t>规定媒介</w:t>
      </w:r>
      <w:r>
        <w:rPr>
          <w:rFonts w:ascii="宋体" w:hAnsi="宋体"/>
          <w:szCs w:val="21"/>
        </w:rPr>
        <w:t>公告。</w:t>
      </w:r>
    </w:p>
    <w:p w:rsidR="006E1FE1" w:rsidRDefault="00F51CE7">
      <w:pPr>
        <w:adjustRightInd w:val="0"/>
        <w:snapToGrid w:val="0"/>
        <w:spacing w:line="360" w:lineRule="auto"/>
        <w:ind w:firstLine="420"/>
        <w:rPr>
          <w:rFonts w:ascii="宋体" w:hAnsi="宋体"/>
          <w:szCs w:val="21"/>
        </w:rPr>
      </w:pPr>
      <w:r>
        <w:rPr>
          <w:rFonts w:ascii="宋体" w:hAnsi="宋体"/>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ascii="宋体" w:hAnsi="宋体" w:hint="eastAsia"/>
          <w:szCs w:val="21"/>
        </w:rPr>
        <w:t>或临时基金托管人应</w:t>
      </w:r>
      <w:r>
        <w:rPr>
          <w:rFonts w:ascii="宋体" w:hAnsi="宋体"/>
          <w:szCs w:val="21"/>
        </w:rPr>
        <w:t xml:space="preserve">与基金管理人核对基金资产总值； </w:t>
      </w:r>
    </w:p>
    <w:p w:rsidR="006E1FE1" w:rsidRDefault="00F51CE7">
      <w:pPr>
        <w:adjustRightInd w:val="0"/>
        <w:snapToGrid w:val="0"/>
        <w:spacing w:line="360" w:lineRule="auto"/>
        <w:ind w:firstLine="420"/>
        <w:rPr>
          <w:rFonts w:ascii="宋体" w:hAnsi="宋体"/>
          <w:szCs w:val="21"/>
        </w:rPr>
      </w:pPr>
      <w:r>
        <w:rPr>
          <w:rFonts w:ascii="宋体" w:hAnsi="宋体"/>
          <w:szCs w:val="21"/>
        </w:rPr>
        <w:t>7、审计：基金托管人职责终止的，应当按照法律法规规定聘请</w:t>
      </w:r>
      <w:r>
        <w:rPr>
          <w:rFonts w:ascii="宋体" w:hAnsi="宋体" w:hint="eastAsia"/>
          <w:szCs w:val="21"/>
        </w:rPr>
        <w:t>符合《中华人民共和国证券法》规定</w:t>
      </w:r>
      <w:r>
        <w:rPr>
          <w:rFonts w:ascii="宋体" w:hAnsi="宋体"/>
          <w:szCs w:val="21"/>
        </w:rPr>
        <w:t>的会计师事务所对基金财产进行审计，并将审计结果予以公告，同时报中国证监会备案</w:t>
      </w:r>
      <w:r>
        <w:rPr>
          <w:rFonts w:ascii="宋体" w:hAnsi="宋体" w:hint="eastAsia"/>
          <w:bCs/>
          <w:szCs w:val="21"/>
        </w:rPr>
        <w:t>，审计费用从基金财产中列支</w:t>
      </w:r>
      <w:r>
        <w:rPr>
          <w:rFonts w:ascii="宋体" w:hAnsi="宋体"/>
          <w:szCs w:val="21"/>
        </w:rPr>
        <w:t>。</w:t>
      </w:r>
    </w:p>
    <w:p w:rsidR="006E1FE1" w:rsidRDefault="00F51CE7">
      <w:pPr>
        <w:adjustRightInd w:val="0"/>
        <w:snapToGrid w:val="0"/>
        <w:spacing w:line="360" w:lineRule="auto"/>
        <w:ind w:firstLine="420"/>
        <w:rPr>
          <w:rFonts w:ascii="宋体" w:hAnsi="宋体"/>
          <w:szCs w:val="21"/>
        </w:rPr>
      </w:pPr>
      <w:bookmarkStart w:id="213" w:name="_Toc1357"/>
      <w:r>
        <w:rPr>
          <w:rFonts w:ascii="宋体" w:hAnsi="宋体"/>
          <w:szCs w:val="21"/>
        </w:rPr>
        <w:t>（三）基金管理人与基金托管人同时更换的条件和程序。</w:t>
      </w:r>
      <w:bookmarkEnd w:id="213"/>
    </w:p>
    <w:p w:rsidR="006E1FE1" w:rsidRDefault="00F51CE7">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提名：如果基金管理人和基金托管人同时更换，由单独或合计持有基金总份额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）的基金份额持有人提名新的基金管理人和基金托管人；</w:t>
      </w:r>
    </w:p>
    <w:p w:rsidR="006E1FE1" w:rsidRDefault="00F51CE7">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基金管理人和基金托管人的更换分别按上述程序进行；</w:t>
      </w:r>
    </w:p>
    <w:p w:rsidR="006E1FE1" w:rsidRDefault="00F51CE7">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公告：新任基金管理人和新任基金托管人应在更换基金管理人和基金托管人的基金份额持有人大会决议生效后2日内在规定媒介上联合公告。</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bCs/>
          <w:szCs w:val="21"/>
        </w:rPr>
        <w:t>三、</w:t>
      </w:r>
      <w:r>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0"/>
        <w:rPr>
          <w:bCs/>
          <w:szCs w:val="21"/>
        </w:rPr>
      </w:pPr>
      <w:r>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6E1FE1" w:rsidRDefault="00F51CE7">
      <w:pPr>
        <w:adjustRightInd w:val="0"/>
        <w:snapToGrid w:val="0"/>
        <w:spacing w:line="360" w:lineRule="auto"/>
        <w:ind w:firstLineChars="200" w:firstLine="420"/>
        <w:rPr>
          <w:bCs/>
          <w:szCs w:val="21"/>
        </w:rPr>
      </w:pPr>
      <w:r>
        <w:rPr>
          <w:bCs/>
          <w:szCs w:val="21"/>
        </w:rPr>
        <w:lastRenderedPageBreak/>
        <w:br w:type="page"/>
      </w:r>
    </w:p>
    <w:p w:rsidR="006E1FE1" w:rsidRDefault="00F51CE7">
      <w:pPr>
        <w:pStyle w:val="1"/>
        <w:adjustRightInd w:val="0"/>
        <w:snapToGrid w:val="0"/>
        <w:spacing w:before="0" w:after="0"/>
        <w:jc w:val="center"/>
        <w:rPr>
          <w:rFonts w:ascii="Times New Roman"/>
          <w:color w:val="auto"/>
          <w:sz w:val="32"/>
          <w:szCs w:val="21"/>
        </w:rPr>
      </w:pPr>
      <w:bookmarkStart w:id="214" w:name="_Toc8791"/>
      <w:bookmarkStart w:id="215" w:name="_Toc3329"/>
      <w:bookmarkStart w:id="216" w:name="_Toc123112238"/>
      <w:bookmarkStart w:id="217" w:name="_Toc123102457"/>
      <w:bookmarkStart w:id="218" w:name="_Toc139991740"/>
      <w:bookmarkStart w:id="219" w:name="_Toc141703890"/>
      <w:bookmarkStart w:id="220" w:name="_Toc5170"/>
      <w:bookmarkStart w:id="221" w:name="_Toc32584"/>
      <w:bookmarkStart w:id="222" w:name="_Toc79392622"/>
      <w:bookmarkStart w:id="223" w:name="_Toc48649708"/>
      <w:bookmarkStart w:id="224" w:name="_Toc98560356"/>
      <w:bookmarkStart w:id="225" w:name="_Toc123051456"/>
      <w:bookmarkStart w:id="226" w:name="_Toc21237"/>
      <w:bookmarkStart w:id="227" w:name="_Toc17198"/>
      <w:bookmarkStart w:id="228" w:name="_Toc17920"/>
      <w:bookmarkStart w:id="229" w:name="_Toc29408"/>
      <w:bookmarkStart w:id="230" w:name="_Toc739"/>
      <w:bookmarkStart w:id="231" w:name="_Toc32092"/>
      <w:bookmarkStart w:id="232" w:name="_Toc20976"/>
      <w:bookmarkStart w:id="233" w:name="_Toc516479988"/>
      <w:r>
        <w:rPr>
          <w:rFonts w:ascii="Times New Roman"/>
          <w:color w:val="auto"/>
          <w:sz w:val="32"/>
          <w:szCs w:val="21"/>
        </w:rPr>
        <w:lastRenderedPageBreak/>
        <w:t>第十</w:t>
      </w:r>
      <w:r>
        <w:rPr>
          <w:rFonts w:ascii="Times New Roman" w:hint="eastAsia"/>
          <w:color w:val="auto"/>
          <w:sz w:val="32"/>
          <w:szCs w:val="21"/>
        </w:rPr>
        <w:t>一</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基金的托管</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t>基金托管人和基金管理人按照《基金法》、《基金合同》及其他有关规定订立托管协议。</w:t>
      </w:r>
    </w:p>
    <w:p w:rsidR="006E1FE1" w:rsidRDefault="00F51CE7">
      <w:pPr>
        <w:adjustRightInd w:val="0"/>
        <w:snapToGrid w:val="0"/>
        <w:spacing w:line="360" w:lineRule="auto"/>
        <w:ind w:firstLineChars="200" w:firstLine="42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234" w:name="_Toc26152"/>
      <w:bookmarkStart w:id="235" w:name="_Toc21886"/>
      <w:bookmarkStart w:id="236" w:name="_Toc14725"/>
      <w:bookmarkStart w:id="237" w:name="_Toc16789"/>
      <w:bookmarkStart w:id="238" w:name="_Toc141703891"/>
      <w:bookmarkStart w:id="239" w:name="_Toc3244"/>
      <w:bookmarkStart w:id="240" w:name="_Toc22674"/>
      <w:bookmarkStart w:id="241" w:name="_Toc19520"/>
      <w:bookmarkStart w:id="242" w:name="_Toc26084"/>
      <w:bookmarkStart w:id="243" w:name="_Toc26383"/>
      <w:bookmarkStart w:id="244" w:name="_Toc2255"/>
      <w:bookmarkStart w:id="245" w:name="_Toc139991741"/>
      <w:bookmarkStart w:id="246" w:name="_Toc123112239"/>
      <w:bookmarkStart w:id="247" w:name="_Toc123102458"/>
      <w:bookmarkStart w:id="248" w:name="_Toc123051457"/>
      <w:bookmarkStart w:id="249" w:name="_Toc98560357"/>
      <w:bookmarkStart w:id="250" w:name="_Toc48649710"/>
      <w:bookmarkStart w:id="251" w:name="_Toc79392624"/>
      <w:bookmarkStart w:id="252" w:name="_Toc31469"/>
      <w:bookmarkStart w:id="253" w:name="_Toc516479989"/>
      <w:r>
        <w:rPr>
          <w:rFonts w:ascii="Times New Roman"/>
          <w:color w:val="auto"/>
          <w:sz w:val="32"/>
          <w:szCs w:val="21"/>
        </w:rPr>
        <w:lastRenderedPageBreak/>
        <w:t>第十</w:t>
      </w:r>
      <w:r>
        <w:rPr>
          <w:rFonts w:ascii="Times New Roman" w:hint="eastAsia"/>
          <w:color w:val="auto"/>
          <w:sz w:val="32"/>
          <w:szCs w:val="21"/>
        </w:rPr>
        <w:t>二</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基金份额的登记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一、基金份额</w:t>
      </w:r>
      <w:r>
        <w:rPr>
          <w:rFonts w:ascii="宋体" w:hAnsi="宋体" w:hint="eastAsia"/>
          <w:b/>
          <w:szCs w:val="21"/>
        </w:rPr>
        <w:t>的</w:t>
      </w:r>
      <w:r>
        <w:rPr>
          <w:rFonts w:ascii="宋体" w:hAnsi="宋体"/>
          <w:b/>
          <w:szCs w:val="21"/>
        </w:rPr>
        <w:t>登记业务</w:t>
      </w:r>
    </w:p>
    <w:p w:rsidR="006E1FE1" w:rsidRDefault="00F51CE7">
      <w:pPr>
        <w:adjustRightInd w:val="0"/>
        <w:snapToGrid w:val="0"/>
        <w:spacing w:line="360" w:lineRule="auto"/>
        <w:ind w:firstLine="420"/>
        <w:rPr>
          <w:rFonts w:ascii="宋体" w:hAnsi="宋体"/>
          <w:szCs w:val="21"/>
        </w:rPr>
      </w:pPr>
      <w:r>
        <w:rPr>
          <w:rFonts w:ascii="宋体" w:hAnsi="宋体"/>
          <w:szCs w:val="21"/>
        </w:rPr>
        <w:t>本基金的登记业务指本基金登记、存管、过户、清算和结算业务，具体内容包括投资人开放式基金账户和</w:t>
      </w:r>
      <w:r>
        <w:rPr>
          <w:rFonts w:ascii="宋体" w:hAnsi="宋体" w:hint="eastAsia"/>
          <w:szCs w:val="21"/>
        </w:rPr>
        <w:t>/或深圳证券账户</w:t>
      </w:r>
      <w:r>
        <w:rPr>
          <w:rFonts w:ascii="宋体" w:hAnsi="宋体"/>
          <w:szCs w:val="21"/>
        </w:rPr>
        <w:t>的建立和管理、基金份额登记、基金销售业务的确认、清算和结算、代理发放红利、建立并保管基金份额持有人名册</w:t>
      </w:r>
      <w:r>
        <w:rPr>
          <w:rFonts w:ascii="宋体" w:hAnsi="宋体" w:hint="eastAsia"/>
          <w:szCs w:val="21"/>
        </w:rPr>
        <w:t>和办理非交易过户</w:t>
      </w:r>
      <w:r>
        <w:rPr>
          <w:rFonts w:ascii="宋体" w:hAnsi="宋体"/>
          <w:szCs w:val="21"/>
        </w:rPr>
        <w:t>等</w:t>
      </w:r>
      <w:r>
        <w:rPr>
          <w:rFonts w:ascii="宋体" w:hAnsi="宋体" w:hint="eastAsia"/>
          <w:szCs w:val="21"/>
        </w:rPr>
        <w:t>。</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二、基金登记业务办理机构</w:t>
      </w:r>
    </w:p>
    <w:p w:rsidR="006E1FE1" w:rsidRDefault="00F51CE7">
      <w:pPr>
        <w:adjustRightInd w:val="0"/>
        <w:snapToGrid w:val="0"/>
        <w:spacing w:line="360" w:lineRule="auto"/>
        <w:ind w:firstLine="420"/>
        <w:rPr>
          <w:rFonts w:ascii="宋体" w:hAnsi="宋体"/>
          <w:szCs w:val="21"/>
        </w:rPr>
      </w:pPr>
      <w:r>
        <w:rPr>
          <w:rFonts w:ascii="宋体" w:hAnsi="宋体"/>
          <w:szCs w:val="21"/>
        </w:rPr>
        <w:t>本基金的登记业务由基金管理人或基金管理人委托的其他符合条件的机构办理</w:t>
      </w:r>
      <w:r>
        <w:rPr>
          <w:rFonts w:ascii="宋体" w:hAnsi="宋体" w:hint="eastAsia"/>
          <w:bCs/>
          <w:szCs w:val="21"/>
        </w:rPr>
        <w:t>，但基金管理人依法应当承担的责任不因委托而免除</w:t>
      </w:r>
      <w:r>
        <w:rPr>
          <w:rFonts w:ascii="宋体" w:hAnsi="宋体"/>
          <w:szCs w:val="21"/>
        </w:rPr>
        <w:t>。基金管理人委托其他机构办理本基金登记业务的，应与代理人签订委托代理协议，以明确基金管理人和代理机构在投资</w:t>
      </w:r>
      <w:r>
        <w:rPr>
          <w:rFonts w:ascii="宋体" w:hAnsi="宋体" w:hint="eastAsia"/>
          <w:szCs w:val="21"/>
        </w:rPr>
        <w:t>人</w:t>
      </w:r>
      <w:r>
        <w:rPr>
          <w:rFonts w:ascii="宋体" w:hAnsi="宋体"/>
          <w:szCs w:val="21"/>
        </w:rPr>
        <w:t>基金账户管理、基金份额登记、清算及基金交易确认、发放红利、建立并保管基金份额持有人名册等事宜中的权利和义务，保护基金份额持有人的合法权益。</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三、基金登记机构的权利</w:t>
      </w:r>
      <w:bookmarkStart w:id="254" w:name="_Hlt88820748"/>
      <w:bookmarkEnd w:id="254"/>
    </w:p>
    <w:p w:rsidR="006E1FE1" w:rsidRDefault="00F51CE7">
      <w:pPr>
        <w:adjustRightInd w:val="0"/>
        <w:snapToGrid w:val="0"/>
        <w:spacing w:line="360" w:lineRule="auto"/>
        <w:ind w:firstLine="420"/>
        <w:rPr>
          <w:rFonts w:ascii="宋体" w:hAnsi="宋体"/>
          <w:szCs w:val="21"/>
        </w:rPr>
      </w:pPr>
      <w:r>
        <w:rPr>
          <w:rFonts w:ascii="宋体" w:hAnsi="宋体"/>
          <w:szCs w:val="21"/>
        </w:rPr>
        <w:t>基金登记机构享有以下权利：</w:t>
      </w:r>
    </w:p>
    <w:p w:rsidR="006E1FE1" w:rsidRDefault="00F51CE7">
      <w:pPr>
        <w:adjustRightInd w:val="0"/>
        <w:snapToGrid w:val="0"/>
        <w:spacing w:line="360" w:lineRule="auto"/>
        <w:ind w:firstLine="420"/>
        <w:rPr>
          <w:rFonts w:ascii="宋体" w:hAnsi="宋体"/>
          <w:szCs w:val="21"/>
        </w:rPr>
      </w:pPr>
      <w:r>
        <w:rPr>
          <w:rFonts w:ascii="宋体" w:hAnsi="宋体"/>
          <w:szCs w:val="21"/>
        </w:rPr>
        <w:t>1、取得登记费；</w:t>
      </w:r>
    </w:p>
    <w:p w:rsidR="006E1FE1" w:rsidRDefault="00F51CE7">
      <w:pPr>
        <w:adjustRightInd w:val="0"/>
        <w:snapToGrid w:val="0"/>
        <w:spacing w:line="360" w:lineRule="auto"/>
        <w:ind w:firstLine="420"/>
        <w:rPr>
          <w:rFonts w:ascii="宋体" w:hAnsi="宋体"/>
          <w:szCs w:val="21"/>
        </w:rPr>
      </w:pPr>
      <w:r>
        <w:rPr>
          <w:rFonts w:ascii="宋体" w:hAnsi="宋体"/>
          <w:szCs w:val="21"/>
        </w:rPr>
        <w:t>2、建立和管理投资</w:t>
      </w:r>
      <w:r>
        <w:rPr>
          <w:rFonts w:ascii="宋体" w:hAnsi="宋体" w:hint="eastAsia"/>
          <w:szCs w:val="21"/>
        </w:rPr>
        <w:t>人</w:t>
      </w:r>
      <w:r>
        <w:rPr>
          <w:rFonts w:ascii="宋体" w:hAnsi="宋体"/>
          <w:szCs w:val="21"/>
        </w:rPr>
        <w:t>基金账户；</w:t>
      </w:r>
    </w:p>
    <w:p w:rsidR="006E1FE1" w:rsidRDefault="00F51CE7">
      <w:pPr>
        <w:adjustRightInd w:val="0"/>
        <w:snapToGrid w:val="0"/>
        <w:spacing w:line="360" w:lineRule="auto"/>
        <w:ind w:firstLine="420"/>
        <w:rPr>
          <w:rFonts w:ascii="宋体" w:hAnsi="宋体"/>
          <w:szCs w:val="21"/>
        </w:rPr>
      </w:pPr>
      <w:r>
        <w:rPr>
          <w:rFonts w:ascii="宋体" w:hAnsi="宋体"/>
          <w:szCs w:val="21"/>
        </w:rPr>
        <w:t>3、保管基金份额持有人开户资料、交易资料、基金份额持有人名册等；</w:t>
      </w:r>
    </w:p>
    <w:p w:rsidR="006E1FE1" w:rsidRDefault="00F51CE7">
      <w:pPr>
        <w:adjustRightInd w:val="0"/>
        <w:snapToGrid w:val="0"/>
        <w:spacing w:line="360" w:lineRule="auto"/>
        <w:ind w:firstLine="420"/>
        <w:rPr>
          <w:rFonts w:ascii="宋体" w:hAnsi="宋体"/>
          <w:szCs w:val="21"/>
        </w:rPr>
      </w:pPr>
      <w:r>
        <w:rPr>
          <w:rFonts w:ascii="宋体" w:hAnsi="宋体"/>
          <w:szCs w:val="21"/>
        </w:rPr>
        <w:t>4、在法律法规允许的范围内，对登记业务的</w:t>
      </w:r>
      <w:r>
        <w:rPr>
          <w:rFonts w:ascii="宋体" w:hAnsi="宋体" w:hint="eastAsia"/>
          <w:szCs w:val="21"/>
        </w:rPr>
        <w:t>规则</w:t>
      </w:r>
      <w:r>
        <w:rPr>
          <w:rFonts w:ascii="宋体" w:hAnsi="宋体"/>
          <w:szCs w:val="21"/>
        </w:rPr>
        <w:t>进行调整，并依照有关规定于开始实施前在规定媒介上公告；</w:t>
      </w:r>
    </w:p>
    <w:p w:rsidR="006E1FE1" w:rsidRDefault="00F51CE7">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法律法规及中国证监会规定的和《基金合同》约定的其他</w:t>
      </w:r>
      <w:r>
        <w:rPr>
          <w:rFonts w:ascii="宋体" w:hAnsi="宋体"/>
          <w:szCs w:val="21"/>
        </w:rPr>
        <w:t>权利。</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四、基金登记机构的义务</w:t>
      </w:r>
    </w:p>
    <w:p w:rsidR="006E1FE1" w:rsidRDefault="00F51CE7">
      <w:pPr>
        <w:adjustRightInd w:val="0"/>
        <w:snapToGrid w:val="0"/>
        <w:spacing w:line="360" w:lineRule="auto"/>
        <w:ind w:firstLine="420"/>
        <w:rPr>
          <w:rFonts w:ascii="宋体" w:hAnsi="宋体"/>
          <w:szCs w:val="21"/>
        </w:rPr>
      </w:pPr>
      <w:r>
        <w:rPr>
          <w:rFonts w:ascii="宋体" w:hAnsi="宋体"/>
          <w:szCs w:val="21"/>
        </w:rPr>
        <w:t>基金登记机构承担以下义务：</w:t>
      </w:r>
    </w:p>
    <w:p w:rsidR="006E1FE1" w:rsidRDefault="00F51CE7">
      <w:pPr>
        <w:adjustRightInd w:val="0"/>
        <w:snapToGrid w:val="0"/>
        <w:spacing w:line="360" w:lineRule="auto"/>
        <w:ind w:firstLine="420"/>
        <w:rPr>
          <w:rFonts w:ascii="宋体" w:hAnsi="宋体"/>
          <w:szCs w:val="21"/>
        </w:rPr>
      </w:pPr>
      <w:r>
        <w:rPr>
          <w:rFonts w:ascii="宋体" w:hAnsi="宋体"/>
          <w:szCs w:val="21"/>
        </w:rPr>
        <w:t>1、配备足够的专业人员办理本基金份额的登记业务；</w:t>
      </w:r>
    </w:p>
    <w:p w:rsidR="006E1FE1" w:rsidRDefault="00F51CE7">
      <w:pPr>
        <w:adjustRightInd w:val="0"/>
        <w:snapToGrid w:val="0"/>
        <w:spacing w:line="360" w:lineRule="auto"/>
        <w:ind w:firstLine="420"/>
        <w:rPr>
          <w:rFonts w:ascii="宋体" w:hAnsi="宋体"/>
          <w:szCs w:val="21"/>
        </w:rPr>
      </w:pPr>
      <w:r>
        <w:rPr>
          <w:rFonts w:ascii="宋体" w:hAnsi="宋体"/>
          <w:szCs w:val="21"/>
        </w:rPr>
        <w:t>2、严格按照法律法规和《基金合同》规定的条件办理本基金份额的登记业务；</w:t>
      </w:r>
    </w:p>
    <w:p w:rsidR="006E1FE1" w:rsidRDefault="00F51CE7">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4、对基金份额持有人的基金账户信息负有保密义务，因违反该保密义务对投资</w:t>
      </w:r>
      <w:r>
        <w:rPr>
          <w:rFonts w:ascii="宋体" w:hAnsi="宋体" w:hint="eastAsia"/>
          <w:szCs w:val="21"/>
        </w:rPr>
        <w:t>人</w:t>
      </w:r>
      <w:r>
        <w:rPr>
          <w:rFonts w:ascii="宋体" w:hAnsi="宋体"/>
          <w:szCs w:val="21"/>
        </w:rPr>
        <w:t>或基金带来的损失，须承担相应的赔偿责任，但司法强制检查情形及</w:t>
      </w:r>
      <w:r>
        <w:rPr>
          <w:rFonts w:ascii="宋体" w:hAnsi="宋体" w:hint="eastAsia"/>
          <w:szCs w:val="21"/>
        </w:rPr>
        <w:t>法律法规及中国证监会规定的和《基金合同》约定的其他</w:t>
      </w:r>
      <w:r>
        <w:rPr>
          <w:rFonts w:ascii="宋体" w:hAnsi="宋体"/>
          <w:szCs w:val="21"/>
        </w:rPr>
        <w:t>情形除外；</w:t>
      </w:r>
    </w:p>
    <w:p w:rsidR="006E1FE1" w:rsidRDefault="00F51CE7">
      <w:pPr>
        <w:adjustRightInd w:val="0"/>
        <w:snapToGrid w:val="0"/>
        <w:spacing w:line="360" w:lineRule="auto"/>
        <w:ind w:firstLine="420"/>
        <w:rPr>
          <w:rFonts w:ascii="宋体" w:hAnsi="宋体"/>
          <w:szCs w:val="21"/>
        </w:rPr>
      </w:pPr>
      <w:r>
        <w:rPr>
          <w:rFonts w:ascii="宋体" w:hAnsi="宋体"/>
          <w:szCs w:val="21"/>
        </w:rPr>
        <w:t>5、按《基金合同》及招募说明书规定为投资</w:t>
      </w:r>
      <w:r>
        <w:rPr>
          <w:rFonts w:ascii="宋体" w:hAnsi="宋体" w:hint="eastAsia"/>
          <w:szCs w:val="21"/>
        </w:rPr>
        <w:t>人</w:t>
      </w:r>
      <w:r>
        <w:rPr>
          <w:rFonts w:ascii="宋体" w:hAnsi="宋体"/>
          <w:szCs w:val="21"/>
        </w:rPr>
        <w:t>办理非交易过户业务、提供其他必要的服务；</w:t>
      </w:r>
    </w:p>
    <w:p w:rsidR="006E1FE1" w:rsidRDefault="00F51CE7">
      <w:pPr>
        <w:adjustRightInd w:val="0"/>
        <w:snapToGrid w:val="0"/>
        <w:spacing w:line="360" w:lineRule="auto"/>
        <w:ind w:firstLine="420"/>
        <w:rPr>
          <w:rFonts w:ascii="宋体" w:hAnsi="宋体"/>
          <w:szCs w:val="21"/>
        </w:rPr>
      </w:pPr>
      <w:r>
        <w:rPr>
          <w:rFonts w:ascii="宋体" w:hAnsi="宋体"/>
          <w:szCs w:val="21"/>
        </w:rPr>
        <w:lastRenderedPageBreak/>
        <w:t>6、接受基金管理人的监督；</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法律法规及中国证监会规定的和《基金合同》约定的其他</w:t>
      </w:r>
      <w:r>
        <w:rPr>
          <w:rFonts w:ascii="宋体" w:hAnsi="宋体"/>
          <w:szCs w:val="21"/>
        </w:rPr>
        <w:t>义务。</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255" w:name="_Toc3872"/>
      <w:bookmarkStart w:id="256" w:name="_Toc21917"/>
      <w:bookmarkStart w:id="257" w:name="_Toc2981"/>
      <w:bookmarkStart w:id="258" w:name="_Toc16437"/>
      <w:bookmarkStart w:id="259" w:name="_Toc11351"/>
      <w:bookmarkStart w:id="260" w:name="_Toc5477"/>
      <w:bookmarkStart w:id="261" w:name="_Toc22538"/>
      <w:bookmarkStart w:id="262" w:name="_Toc11395"/>
      <w:bookmarkStart w:id="263" w:name="_Toc801"/>
      <w:bookmarkStart w:id="264" w:name="_Toc578"/>
      <w:bookmarkStart w:id="265" w:name="_Toc13343"/>
      <w:bookmarkStart w:id="266" w:name="_Toc516479990"/>
      <w:r>
        <w:rPr>
          <w:rFonts w:ascii="Times New Roman"/>
          <w:color w:val="auto"/>
          <w:sz w:val="32"/>
          <w:szCs w:val="21"/>
        </w:rPr>
        <w:lastRenderedPageBreak/>
        <w:t>第十</w:t>
      </w:r>
      <w:r>
        <w:rPr>
          <w:rFonts w:ascii="Times New Roman" w:hint="eastAsia"/>
          <w:color w:val="auto"/>
          <w:sz w:val="32"/>
          <w:szCs w:val="21"/>
        </w:rPr>
        <w:t>三</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基金的投资</w:t>
      </w:r>
      <w:bookmarkEnd w:id="255"/>
      <w:bookmarkEnd w:id="256"/>
      <w:bookmarkEnd w:id="257"/>
      <w:bookmarkEnd w:id="258"/>
      <w:bookmarkEnd w:id="259"/>
      <w:bookmarkEnd w:id="260"/>
      <w:bookmarkEnd w:id="261"/>
      <w:bookmarkEnd w:id="262"/>
      <w:bookmarkEnd w:id="263"/>
      <w:bookmarkEnd w:id="264"/>
      <w:bookmarkEnd w:id="265"/>
      <w:bookmarkEnd w:id="266"/>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一、投资目标</w:t>
      </w:r>
    </w:p>
    <w:p w:rsidR="006E1FE1" w:rsidRDefault="00F51CE7">
      <w:pPr>
        <w:snapToGrid w:val="0"/>
        <w:spacing w:line="360" w:lineRule="auto"/>
        <w:ind w:firstLineChars="200" w:firstLine="420"/>
        <w:rPr>
          <w:bCs/>
          <w:szCs w:val="21"/>
        </w:rPr>
      </w:pPr>
      <w:r>
        <w:rPr>
          <w:rFonts w:hint="eastAsia"/>
          <w:bCs/>
          <w:szCs w:val="21"/>
        </w:rPr>
        <w:t>在严格控制风险的前提下，追求超越业绩比较基准的投资回报，力争实现基金资产的长期稳健增值。</w:t>
      </w:r>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二、投资范围</w:t>
      </w:r>
    </w:p>
    <w:p w:rsidR="006E1FE1" w:rsidRDefault="00F51CE7">
      <w:pPr>
        <w:snapToGrid w:val="0"/>
        <w:spacing w:line="360" w:lineRule="auto"/>
        <w:ind w:firstLineChars="200" w:firstLine="420"/>
        <w:rPr>
          <w:bCs/>
          <w:szCs w:val="21"/>
        </w:rPr>
      </w:pPr>
      <w:r>
        <w:rPr>
          <w:rFonts w:hint="eastAsia"/>
          <w:bCs/>
          <w:szCs w:val="21"/>
        </w:rPr>
        <w:t>本基金的投资范围包括国内依法发行上市的股票（包括主板、中小板、创业板及其他经中国证监会核准或注册上市的股票</w:t>
      </w:r>
      <w:r w:rsidR="005969D1" w:rsidRPr="005969D1">
        <w:rPr>
          <w:rFonts w:hint="eastAsia"/>
          <w:bCs/>
          <w:szCs w:val="21"/>
        </w:rPr>
        <w:t>以及存托凭证（下同）</w:t>
      </w:r>
      <w:r>
        <w:rPr>
          <w:rFonts w:hint="eastAsia"/>
          <w:bCs/>
          <w:szCs w:val="21"/>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6E1FE1" w:rsidRDefault="00F51CE7">
      <w:pPr>
        <w:snapToGrid w:val="0"/>
        <w:spacing w:line="360" w:lineRule="auto"/>
        <w:ind w:firstLineChars="200" w:firstLine="420"/>
        <w:rPr>
          <w:bCs/>
          <w:szCs w:val="21"/>
        </w:rPr>
      </w:pPr>
      <w:r>
        <w:rPr>
          <w:rFonts w:hint="eastAsia"/>
          <w:bCs/>
          <w:szCs w:val="21"/>
        </w:rPr>
        <w:t>基金的投资组合比例为：封闭期内，本基金股票</w:t>
      </w:r>
      <w:r w:rsidR="005969D1" w:rsidRPr="005969D1">
        <w:rPr>
          <w:rFonts w:hint="eastAsia"/>
          <w:bCs/>
          <w:szCs w:val="21"/>
        </w:rPr>
        <w:t>（含存托凭证）</w:t>
      </w:r>
      <w:r>
        <w:rPr>
          <w:rFonts w:hint="eastAsia"/>
          <w:bCs/>
          <w:szCs w:val="21"/>
        </w:rPr>
        <w:t>投资占基金资产的比例范围为</w:t>
      </w:r>
      <w:r>
        <w:rPr>
          <w:rFonts w:hint="eastAsia"/>
          <w:bCs/>
          <w:szCs w:val="21"/>
        </w:rPr>
        <w:t>60%-100%</w:t>
      </w:r>
      <w:r>
        <w:rPr>
          <w:rFonts w:hint="eastAsia"/>
          <w:bCs/>
          <w:szCs w:val="21"/>
        </w:rPr>
        <w:t>（其中港股通股票最高投资比例不得超过股票资产的</w:t>
      </w:r>
      <w:r>
        <w:rPr>
          <w:rFonts w:hint="eastAsia"/>
          <w:bCs/>
          <w:szCs w:val="21"/>
        </w:rPr>
        <w:t>50%</w:t>
      </w:r>
      <w:r>
        <w:rPr>
          <w:rFonts w:hint="eastAsia"/>
          <w:bCs/>
          <w:szCs w:val="21"/>
        </w:rPr>
        <w:t>），且基金投资于创业板的股票资产占非现金资产的比例不低于</w:t>
      </w:r>
      <w:r>
        <w:rPr>
          <w:rFonts w:hint="eastAsia"/>
          <w:bCs/>
          <w:szCs w:val="21"/>
        </w:rPr>
        <w:t>80%</w:t>
      </w:r>
      <w:r>
        <w:rPr>
          <w:rFonts w:hint="eastAsia"/>
          <w:bCs/>
          <w:szCs w:val="21"/>
        </w:rPr>
        <w:t>。应开放期流动性需要，为保护持有人利益，本基金在开放期、开放期开始前</w:t>
      </w:r>
      <w:r>
        <w:rPr>
          <w:rFonts w:hint="eastAsia"/>
          <w:bCs/>
          <w:szCs w:val="21"/>
        </w:rPr>
        <w:t>1</w:t>
      </w:r>
      <w:r>
        <w:rPr>
          <w:rFonts w:hint="eastAsia"/>
          <w:bCs/>
          <w:szCs w:val="21"/>
        </w:rPr>
        <w:t>个月以及开放期结束后</w:t>
      </w:r>
      <w:r>
        <w:rPr>
          <w:rFonts w:hint="eastAsia"/>
          <w:bCs/>
          <w:szCs w:val="21"/>
        </w:rPr>
        <w:t>1</w:t>
      </w:r>
      <w:r>
        <w:rPr>
          <w:rFonts w:hint="eastAsia"/>
          <w:bCs/>
          <w:szCs w:val="21"/>
        </w:rPr>
        <w:t>个月内，本基金的股票资产</w:t>
      </w:r>
      <w:r w:rsidR="00AF20D4" w:rsidRPr="00AF20D4">
        <w:rPr>
          <w:rFonts w:hint="eastAsia"/>
          <w:bCs/>
          <w:szCs w:val="21"/>
        </w:rPr>
        <w:t>（含存托凭证）</w:t>
      </w:r>
      <w:r>
        <w:rPr>
          <w:rFonts w:hint="eastAsia"/>
          <w:bCs/>
          <w:szCs w:val="21"/>
        </w:rPr>
        <w:t>投资比例可不受上述限制。</w:t>
      </w:r>
    </w:p>
    <w:p w:rsidR="006E1FE1" w:rsidRDefault="00F51CE7">
      <w:pPr>
        <w:snapToGrid w:val="0"/>
        <w:spacing w:line="360" w:lineRule="auto"/>
        <w:ind w:firstLineChars="200" w:firstLine="420"/>
        <w:rPr>
          <w:bCs/>
          <w:szCs w:val="21"/>
        </w:rPr>
      </w:pPr>
      <w:r>
        <w:rPr>
          <w:rFonts w:hint="eastAsia"/>
          <w:bCs/>
          <w:szCs w:val="21"/>
        </w:rPr>
        <w:t>开放期内，本基金每个交易日日终在扣除国债期货、股指期货、股票期权合约需缴纳的交易保证金后，应当保持不低于基金资产净值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的现金或者到期日在一年以内的政府债券，其中现金不包括结算备付金、存出保证金、应收申购款等。封闭期内，本基金不受上述</w:t>
      </w:r>
      <w:r>
        <w:rPr>
          <w:rFonts w:hint="eastAsia"/>
          <w:bCs/>
          <w:szCs w:val="21"/>
        </w:rPr>
        <w:t>5%</w:t>
      </w:r>
      <w:r>
        <w:rPr>
          <w:rFonts w:hint="eastAsia"/>
          <w:bCs/>
          <w:szCs w:val="21"/>
        </w:rPr>
        <w:t>的限制，但每个交易日日终在扣除国债期货、股指期货、股票期权合约需缴纳的交易保证金后，应当保持不低于交易保证金一倍的现金。</w:t>
      </w:r>
    </w:p>
    <w:p w:rsidR="006E1FE1" w:rsidRDefault="00F51CE7">
      <w:pPr>
        <w:snapToGrid w:val="0"/>
        <w:spacing w:line="360" w:lineRule="auto"/>
        <w:ind w:firstLineChars="200" w:firstLine="420"/>
        <w:rPr>
          <w:bCs/>
          <w:szCs w:val="21"/>
          <w:lang w:val="zh-CN"/>
        </w:rPr>
      </w:pPr>
      <w:r>
        <w:rPr>
          <w:rFonts w:hint="eastAsia"/>
          <w:bCs/>
          <w:szCs w:val="21"/>
          <w:lang w:val="zh-CN"/>
        </w:rPr>
        <w:t>如法律法规或监管机构以后允许基金投资其他品种，基金管理人在履行适当程序后，可以将其纳入投资范围。</w:t>
      </w:r>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三、投资策略</w:t>
      </w:r>
    </w:p>
    <w:p w:rsidR="006E1FE1" w:rsidRDefault="00F51CE7">
      <w:pPr>
        <w:snapToGrid w:val="0"/>
        <w:spacing w:line="360" w:lineRule="auto"/>
        <w:ind w:firstLineChars="200" w:firstLine="420"/>
        <w:rPr>
          <w:bCs/>
          <w:szCs w:val="21"/>
        </w:rPr>
      </w:pPr>
      <w:r>
        <w:rPr>
          <w:rFonts w:hint="eastAsia"/>
          <w:bCs/>
          <w:szCs w:val="21"/>
        </w:rPr>
        <w:t>1</w:t>
      </w:r>
      <w:r>
        <w:rPr>
          <w:rFonts w:hint="eastAsia"/>
          <w:bCs/>
          <w:szCs w:val="21"/>
        </w:rPr>
        <w:t>、资产配置策略</w:t>
      </w:r>
    </w:p>
    <w:p w:rsidR="006E1FE1" w:rsidRDefault="00F51CE7">
      <w:pPr>
        <w:snapToGrid w:val="0"/>
        <w:spacing w:line="360" w:lineRule="auto"/>
        <w:ind w:firstLineChars="200" w:firstLine="420"/>
        <w:rPr>
          <w:bCs/>
          <w:szCs w:val="21"/>
        </w:rPr>
      </w:pPr>
      <w:r>
        <w:rPr>
          <w:rFonts w:hint="eastAsia"/>
          <w:bCs/>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w:t>
      </w:r>
      <w:r>
        <w:rPr>
          <w:rFonts w:hint="eastAsia"/>
          <w:bCs/>
          <w:szCs w:val="21"/>
        </w:rPr>
        <w:lastRenderedPageBreak/>
        <w:t>在保持总体风险水平相对稳定的基础上，力争投资组合的稳定增值。此外，本基金将持续地进行定期与不定期的资产配置风险监控，适时地做出相应的调整。</w:t>
      </w:r>
    </w:p>
    <w:p w:rsidR="006E1FE1" w:rsidRDefault="00F51CE7">
      <w:pPr>
        <w:snapToGrid w:val="0"/>
        <w:spacing w:line="360" w:lineRule="auto"/>
        <w:ind w:firstLineChars="200" w:firstLine="420"/>
        <w:rPr>
          <w:bCs/>
          <w:szCs w:val="21"/>
        </w:rPr>
      </w:pPr>
      <w:r>
        <w:rPr>
          <w:rFonts w:hint="eastAsia"/>
          <w:bCs/>
          <w:szCs w:val="21"/>
        </w:rPr>
        <w:t>2</w:t>
      </w:r>
      <w:r>
        <w:rPr>
          <w:rFonts w:hint="eastAsia"/>
          <w:bCs/>
          <w:szCs w:val="21"/>
        </w:rPr>
        <w:t>、股票投资策略</w:t>
      </w:r>
    </w:p>
    <w:p w:rsidR="006E1FE1" w:rsidRDefault="00F51CE7">
      <w:pPr>
        <w:snapToGrid w:val="0"/>
        <w:spacing w:line="360" w:lineRule="auto"/>
        <w:ind w:firstLineChars="200" w:firstLine="420"/>
        <w:rPr>
          <w:bCs/>
          <w:szCs w:val="21"/>
        </w:rPr>
      </w:pPr>
      <w:r>
        <w:rPr>
          <w:rFonts w:hint="eastAsia"/>
          <w:bCs/>
          <w:szCs w:val="21"/>
        </w:rPr>
        <w:t>1</w:t>
      </w:r>
      <w:r>
        <w:rPr>
          <w:rFonts w:hint="eastAsia"/>
          <w:bCs/>
          <w:szCs w:val="21"/>
        </w:rPr>
        <w:t>）“创业板”范畴的界定</w:t>
      </w:r>
    </w:p>
    <w:p w:rsidR="006E1FE1" w:rsidRDefault="00F51CE7">
      <w:pPr>
        <w:snapToGrid w:val="0"/>
        <w:spacing w:line="360" w:lineRule="auto"/>
        <w:ind w:firstLineChars="200" w:firstLine="420"/>
        <w:rPr>
          <w:bCs/>
          <w:szCs w:val="21"/>
        </w:rPr>
      </w:pPr>
      <w:r>
        <w:rPr>
          <w:rFonts w:hint="eastAsia"/>
          <w:bCs/>
          <w:szCs w:val="21"/>
        </w:rPr>
        <w:t>在创业板上市的股票。</w:t>
      </w:r>
    </w:p>
    <w:p w:rsidR="006E1FE1" w:rsidRDefault="00F51CE7">
      <w:pPr>
        <w:snapToGrid w:val="0"/>
        <w:spacing w:line="360" w:lineRule="auto"/>
        <w:ind w:firstLineChars="200" w:firstLine="420"/>
        <w:rPr>
          <w:bCs/>
          <w:szCs w:val="21"/>
        </w:rPr>
      </w:pPr>
      <w:r>
        <w:rPr>
          <w:rFonts w:hint="eastAsia"/>
          <w:bCs/>
          <w:szCs w:val="21"/>
        </w:rPr>
        <w:t>2</w:t>
      </w:r>
      <w:r>
        <w:rPr>
          <w:rFonts w:hint="eastAsia"/>
          <w:bCs/>
          <w:szCs w:val="21"/>
        </w:rPr>
        <w:t>）定性分析</w:t>
      </w:r>
    </w:p>
    <w:p w:rsidR="006E1FE1" w:rsidRDefault="00F51CE7">
      <w:pPr>
        <w:snapToGrid w:val="0"/>
        <w:spacing w:line="360" w:lineRule="auto"/>
        <w:ind w:firstLineChars="200" w:firstLine="420"/>
        <w:rPr>
          <w:bCs/>
          <w:szCs w:val="21"/>
        </w:rPr>
      </w:pPr>
      <w:r>
        <w:rPr>
          <w:rFonts w:hint="eastAsia"/>
          <w:bCs/>
          <w:szCs w:val="21"/>
        </w:rPr>
        <w:t>在定性分析方面，本基金主要挑选全部或部分具备以下特征的上市公司：</w:t>
      </w:r>
    </w:p>
    <w:p w:rsidR="006E1FE1" w:rsidRDefault="00F51CE7">
      <w:pPr>
        <w:snapToGrid w:val="0"/>
        <w:spacing w:line="360" w:lineRule="auto"/>
        <w:ind w:firstLineChars="200" w:firstLine="420"/>
        <w:rPr>
          <w:bCs/>
          <w:szCs w:val="21"/>
        </w:rPr>
      </w:pPr>
      <w:r>
        <w:rPr>
          <w:rFonts w:hint="eastAsia"/>
          <w:bCs/>
          <w:szCs w:val="21"/>
        </w:rPr>
        <w:t>A</w:t>
      </w:r>
      <w:r>
        <w:rPr>
          <w:rFonts w:hint="eastAsia"/>
          <w:bCs/>
          <w:szCs w:val="21"/>
        </w:rPr>
        <w:t>、新经济体制下受益于改革，分享改革红利的优质企业；</w:t>
      </w:r>
    </w:p>
    <w:p w:rsidR="006E1FE1" w:rsidRDefault="00F51CE7">
      <w:pPr>
        <w:snapToGrid w:val="0"/>
        <w:spacing w:line="360" w:lineRule="auto"/>
        <w:ind w:firstLineChars="200" w:firstLine="420"/>
        <w:rPr>
          <w:bCs/>
          <w:szCs w:val="21"/>
        </w:rPr>
      </w:pPr>
      <w:r>
        <w:rPr>
          <w:rFonts w:hint="eastAsia"/>
          <w:bCs/>
          <w:szCs w:val="21"/>
        </w:rPr>
        <w:t>B</w:t>
      </w:r>
      <w:r>
        <w:rPr>
          <w:rFonts w:hint="eastAsia"/>
          <w:bCs/>
          <w:szCs w:val="21"/>
        </w:rPr>
        <w:t>、公司在所处行业中具有明显的竞争优势；</w:t>
      </w:r>
    </w:p>
    <w:p w:rsidR="006E1FE1" w:rsidRDefault="00F51CE7">
      <w:pPr>
        <w:snapToGrid w:val="0"/>
        <w:spacing w:line="360" w:lineRule="auto"/>
        <w:ind w:firstLineChars="200" w:firstLine="420"/>
        <w:rPr>
          <w:bCs/>
          <w:szCs w:val="21"/>
        </w:rPr>
      </w:pPr>
      <w:r>
        <w:rPr>
          <w:rFonts w:hint="eastAsia"/>
          <w:bCs/>
          <w:szCs w:val="21"/>
        </w:rPr>
        <w:t>C</w:t>
      </w:r>
      <w:r>
        <w:rPr>
          <w:rFonts w:hint="eastAsia"/>
          <w:bCs/>
          <w:szCs w:val="21"/>
        </w:rPr>
        <w:t>、具备一定竞争壁垒的核心竞争力；</w:t>
      </w:r>
    </w:p>
    <w:p w:rsidR="006E1FE1" w:rsidRDefault="00F51CE7">
      <w:pPr>
        <w:snapToGrid w:val="0"/>
        <w:spacing w:line="360" w:lineRule="auto"/>
        <w:ind w:firstLineChars="200" w:firstLine="420"/>
        <w:rPr>
          <w:bCs/>
          <w:szCs w:val="21"/>
        </w:rPr>
      </w:pPr>
      <w:r>
        <w:rPr>
          <w:rFonts w:hint="eastAsia"/>
          <w:bCs/>
          <w:szCs w:val="21"/>
        </w:rPr>
        <w:t>D</w:t>
      </w:r>
      <w:r>
        <w:rPr>
          <w:rFonts w:hint="eastAsia"/>
          <w:bCs/>
          <w:szCs w:val="21"/>
        </w:rPr>
        <w:t>、公司具有良好的治理结构，从大股东、管理层到中层业务骨干有良好的激励机制，并且企业的信息披露公开透明；</w:t>
      </w:r>
    </w:p>
    <w:p w:rsidR="006E1FE1" w:rsidRDefault="00F51CE7">
      <w:pPr>
        <w:snapToGrid w:val="0"/>
        <w:spacing w:line="360" w:lineRule="auto"/>
        <w:ind w:firstLineChars="200" w:firstLine="420"/>
        <w:rPr>
          <w:bCs/>
          <w:szCs w:val="21"/>
        </w:rPr>
      </w:pPr>
      <w:r>
        <w:rPr>
          <w:rFonts w:hint="eastAsia"/>
          <w:bCs/>
          <w:szCs w:val="21"/>
        </w:rPr>
        <w:t>E</w:t>
      </w:r>
      <w:r>
        <w:rPr>
          <w:rFonts w:hint="eastAsia"/>
          <w:bCs/>
          <w:szCs w:val="21"/>
        </w:rPr>
        <w:t>、公司具有良好的创新能力。</w:t>
      </w:r>
    </w:p>
    <w:p w:rsidR="006E1FE1" w:rsidRDefault="00F51CE7">
      <w:pPr>
        <w:snapToGrid w:val="0"/>
        <w:spacing w:line="360" w:lineRule="auto"/>
        <w:ind w:firstLineChars="200" w:firstLine="420"/>
        <w:rPr>
          <w:bCs/>
          <w:szCs w:val="21"/>
        </w:rPr>
      </w:pPr>
      <w:r>
        <w:rPr>
          <w:rFonts w:hint="eastAsia"/>
          <w:bCs/>
          <w:szCs w:val="21"/>
        </w:rPr>
        <w:t>3</w:t>
      </w:r>
      <w:r>
        <w:rPr>
          <w:rFonts w:hint="eastAsia"/>
          <w:bCs/>
          <w:szCs w:val="21"/>
        </w:rPr>
        <w:t>）定量分析</w:t>
      </w:r>
    </w:p>
    <w:p w:rsidR="006E1FE1" w:rsidRDefault="00F51CE7">
      <w:pPr>
        <w:snapToGrid w:val="0"/>
        <w:spacing w:line="360" w:lineRule="auto"/>
        <w:ind w:firstLineChars="200" w:firstLine="420"/>
        <w:rPr>
          <w:bCs/>
          <w:szCs w:val="21"/>
        </w:rPr>
      </w:pPr>
      <w:r>
        <w:rPr>
          <w:rFonts w:hint="eastAsia"/>
          <w:bCs/>
          <w:szCs w:val="21"/>
        </w:rPr>
        <w:t>本基金将对反映上市公司质量和增长潜力的成长性指标、财务指标和估值指标等进行定量分析，以挑选具有成长优势、财务优势和估值优势的个股。</w:t>
      </w:r>
    </w:p>
    <w:p w:rsidR="006E1FE1" w:rsidRDefault="00F51CE7">
      <w:pPr>
        <w:snapToGrid w:val="0"/>
        <w:spacing w:line="360" w:lineRule="auto"/>
        <w:ind w:firstLineChars="200" w:firstLine="420"/>
        <w:rPr>
          <w:bCs/>
          <w:szCs w:val="21"/>
        </w:rPr>
      </w:pPr>
      <w:r>
        <w:rPr>
          <w:rFonts w:hint="eastAsia"/>
          <w:bCs/>
          <w:szCs w:val="21"/>
        </w:rPr>
        <w:t>A</w:t>
      </w:r>
      <w:r>
        <w:rPr>
          <w:rFonts w:hint="eastAsia"/>
          <w:bCs/>
          <w:szCs w:val="21"/>
        </w:rPr>
        <w:t>、成长性指标：营业利润增长率、净利润增长率和收入增长率等；</w:t>
      </w:r>
    </w:p>
    <w:p w:rsidR="006E1FE1" w:rsidRDefault="00F51CE7">
      <w:pPr>
        <w:snapToGrid w:val="0"/>
        <w:spacing w:line="360" w:lineRule="auto"/>
        <w:ind w:firstLineChars="200" w:firstLine="420"/>
        <w:rPr>
          <w:bCs/>
          <w:szCs w:val="21"/>
        </w:rPr>
      </w:pPr>
      <w:r>
        <w:rPr>
          <w:rFonts w:hint="eastAsia"/>
          <w:bCs/>
          <w:szCs w:val="21"/>
        </w:rPr>
        <w:t>B</w:t>
      </w:r>
      <w:r>
        <w:rPr>
          <w:rFonts w:hint="eastAsia"/>
          <w:bCs/>
          <w:szCs w:val="21"/>
        </w:rPr>
        <w:t>、财务指标：毛利率、营业利润率、净资产收益率、净利率、经营活动净收益</w:t>
      </w:r>
      <w:r>
        <w:rPr>
          <w:rFonts w:hint="eastAsia"/>
          <w:bCs/>
          <w:szCs w:val="21"/>
        </w:rPr>
        <w:t>/</w:t>
      </w:r>
      <w:r>
        <w:rPr>
          <w:rFonts w:hint="eastAsia"/>
          <w:bCs/>
          <w:szCs w:val="21"/>
        </w:rPr>
        <w:t>利润总额等；</w:t>
      </w:r>
    </w:p>
    <w:p w:rsidR="006E1FE1" w:rsidRDefault="00F51CE7">
      <w:pPr>
        <w:snapToGrid w:val="0"/>
        <w:spacing w:line="360" w:lineRule="auto"/>
        <w:ind w:firstLineChars="200" w:firstLine="420"/>
        <w:rPr>
          <w:bCs/>
          <w:szCs w:val="21"/>
        </w:rPr>
      </w:pPr>
      <w:r>
        <w:rPr>
          <w:rFonts w:hint="eastAsia"/>
          <w:bCs/>
          <w:szCs w:val="21"/>
        </w:rPr>
        <w:t>C</w:t>
      </w:r>
      <w:r>
        <w:rPr>
          <w:rFonts w:hint="eastAsia"/>
          <w:bCs/>
          <w:szCs w:val="21"/>
        </w:rPr>
        <w:t>、估值指标：市盈率（</w:t>
      </w:r>
      <w:r>
        <w:rPr>
          <w:rFonts w:hint="eastAsia"/>
          <w:bCs/>
          <w:szCs w:val="21"/>
        </w:rPr>
        <w:t>PE</w:t>
      </w:r>
      <w:r>
        <w:rPr>
          <w:rFonts w:hint="eastAsia"/>
          <w:bCs/>
          <w:szCs w:val="21"/>
        </w:rPr>
        <w:t>）、市盈率相对盈利增长比率（</w:t>
      </w:r>
      <w:r>
        <w:rPr>
          <w:rFonts w:hint="eastAsia"/>
          <w:bCs/>
          <w:szCs w:val="21"/>
        </w:rPr>
        <w:t>PEG</w:t>
      </w:r>
      <w:r>
        <w:rPr>
          <w:rFonts w:hint="eastAsia"/>
          <w:bCs/>
          <w:szCs w:val="21"/>
        </w:rPr>
        <w:t>）、市销率（</w:t>
      </w:r>
      <w:r>
        <w:rPr>
          <w:rFonts w:hint="eastAsia"/>
          <w:bCs/>
          <w:szCs w:val="21"/>
        </w:rPr>
        <w:t>PS</w:t>
      </w:r>
      <w:r>
        <w:rPr>
          <w:rFonts w:hint="eastAsia"/>
          <w:bCs/>
          <w:szCs w:val="21"/>
        </w:rPr>
        <w:t>）和总市值。</w:t>
      </w:r>
    </w:p>
    <w:p w:rsidR="006E1FE1" w:rsidRDefault="00F51CE7">
      <w:pPr>
        <w:snapToGrid w:val="0"/>
        <w:spacing w:line="360" w:lineRule="auto"/>
        <w:ind w:firstLineChars="200" w:firstLine="420"/>
        <w:rPr>
          <w:bCs/>
          <w:szCs w:val="21"/>
        </w:rPr>
      </w:pPr>
      <w:r>
        <w:rPr>
          <w:rFonts w:hint="eastAsia"/>
          <w:bCs/>
          <w:szCs w:val="21"/>
        </w:rPr>
        <w:t>4</w:t>
      </w:r>
      <w:r>
        <w:rPr>
          <w:rFonts w:hint="eastAsia"/>
          <w:bCs/>
          <w:szCs w:val="21"/>
        </w:rPr>
        <w:t>）港股通股票投资策略</w:t>
      </w:r>
    </w:p>
    <w:p w:rsidR="006E1FE1" w:rsidRDefault="00F51CE7">
      <w:pPr>
        <w:snapToGrid w:val="0"/>
        <w:spacing w:line="360" w:lineRule="auto"/>
        <w:ind w:firstLineChars="200" w:firstLine="420"/>
        <w:rPr>
          <w:bCs/>
          <w:szCs w:val="21"/>
        </w:rPr>
      </w:pPr>
      <w:r>
        <w:rPr>
          <w:rFonts w:hint="eastAsia"/>
          <w:bCs/>
          <w:szCs w:val="21"/>
        </w:rPr>
        <w:t>本基金还将关注以下几类港股通股票：</w:t>
      </w:r>
    </w:p>
    <w:p w:rsidR="006E1FE1" w:rsidRDefault="00F51CE7">
      <w:pPr>
        <w:snapToGrid w:val="0"/>
        <w:spacing w:line="360" w:lineRule="auto"/>
        <w:ind w:firstLineChars="200" w:firstLine="420"/>
        <w:rPr>
          <w:bCs/>
          <w:szCs w:val="21"/>
        </w:rPr>
      </w:pPr>
      <w:r>
        <w:rPr>
          <w:rFonts w:hint="eastAsia"/>
          <w:bCs/>
          <w:szCs w:val="21"/>
        </w:rPr>
        <w:t>A</w:t>
      </w:r>
      <w:r>
        <w:rPr>
          <w:rFonts w:hint="eastAsia"/>
          <w:bCs/>
          <w:szCs w:val="21"/>
        </w:rPr>
        <w:t>、在港股市场上市、具有行业代表性的优质中资公司；</w:t>
      </w:r>
    </w:p>
    <w:p w:rsidR="006E1FE1" w:rsidRDefault="00F51CE7">
      <w:pPr>
        <w:snapToGrid w:val="0"/>
        <w:spacing w:line="360" w:lineRule="auto"/>
        <w:ind w:firstLineChars="200" w:firstLine="420"/>
        <w:rPr>
          <w:bCs/>
          <w:szCs w:val="21"/>
        </w:rPr>
      </w:pPr>
      <w:r>
        <w:rPr>
          <w:rFonts w:hint="eastAsia"/>
          <w:bCs/>
          <w:szCs w:val="21"/>
        </w:rPr>
        <w:t>B</w:t>
      </w:r>
      <w:r>
        <w:rPr>
          <w:rFonts w:hint="eastAsia"/>
          <w:bCs/>
          <w:szCs w:val="21"/>
        </w:rPr>
        <w:t>、具有行业稀缺性的香港本地和外资公司；</w:t>
      </w:r>
    </w:p>
    <w:p w:rsidR="006E1FE1" w:rsidRDefault="00F51CE7">
      <w:pPr>
        <w:snapToGrid w:val="0"/>
        <w:spacing w:line="360" w:lineRule="auto"/>
        <w:ind w:firstLineChars="200" w:firstLine="420"/>
        <w:rPr>
          <w:bCs/>
          <w:szCs w:val="21"/>
        </w:rPr>
      </w:pPr>
      <w:r>
        <w:rPr>
          <w:rFonts w:hint="eastAsia"/>
          <w:bCs/>
          <w:szCs w:val="21"/>
        </w:rPr>
        <w:t>C</w:t>
      </w:r>
      <w:r>
        <w:rPr>
          <w:rFonts w:hint="eastAsia"/>
          <w:bCs/>
          <w:szCs w:val="21"/>
        </w:rPr>
        <w:t>、港股市场在行业结构、估值、</w:t>
      </w:r>
      <w:r>
        <w:rPr>
          <w:rFonts w:hint="eastAsia"/>
          <w:bCs/>
          <w:szCs w:val="21"/>
        </w:rPr>
        <w:t xml:space="preserve">AH </w:t>
      </w:r>
      <w:r>
        <w:rPr>
          <w:rFonts w:hint="eastAsia"/>
          <w:bCs/>
          <w:szCs w:val="21"/>
        </w:rPr>
        <w:t>股折溢价、股息率等方面具有吸引力的投资标的。</w:t>
      </w:r>
    </w:p>
    <w:p w:rsidR="006E1FE1" w:rsidRDefault="00F51CE7">
      <w:pPr>
        <w:snapToGrid w:val="0"/>
        <w:spacing w:line="360" w:lineRule="auto"/>
        <w:ind w:firstLineChars="200" w:firstLine="420"/>
        <w:rPr>
          <w:bCs/>
          <w:szCs w:val="21"/>
        </w:rPr>
      </w:pPr>
      <w:r>
        <w:rPr>
          <w:rFonts w:hint="eastAsia"/>
          <w:bCs/>
          <w:szCs w:val="21"/>
        </w:rPr>
        <w:t>5</w:t>
      </w:r>
      <w:r>
        <w:rPr>
          <w:rFonts w:hint="eastAsia"/>
          <w:bCs/>
          <w:szCs w:val="21"/>
        </w:rPr>
        <w:t>）组合股票的投资吸引力评估分析</w:t>
      </w:r>
    </w:p>
    <w:p w:rsidR="006E1FE1" w:rsidRDefault="00F51CE7">
      <w:pPr>
        <w:snapToGrid w:val="0"/>
        <w:spacing w:line="360" w:lineRule="auto"/>
        <w:ind w:firstLineChars="200" w:firstLine="420"/>
        <w:rPr>
          <w:bCs/>
          <w:szCs w:val="21"/>
        </w:rPr>
      </w:pPr>
      <w:r>
        <w:rPr>
          <w:rFonts w:hint="eastAsia"/>
          <w:bCs/>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Pr>
          <w:rFonts w:hint="eastAsia"/>
          <w:bCs/>
          <w:szCs w:val="21"/>
        </w:rPr>
        <w:t>PEG</w:t>
      </w:r>
      <w:r>
        <w:rPr>
          <w:rFonts w:hint="eastAsia"/>
          <w:bCs/>
          <w:szCs w:val="21"/>
        </w:rPr>
        <w:t>、</w:t>
      </w:r>
      <w:r>
        <w:rPr>
          <w:rFonts w:hint="eastAsia"/>
          <w:bCs/>
          <w:szCs w:val="21"/>
        </w:rPr>
        <w:t>EV/EBITDA</w:t>
      </w:r>
      <w:r>
        <w:rPr>
          <w:rFonts w:hint="eastAsia"/>
          <w:bCs/>
          <w:szCs w:val="21"/>
        </w:rPr>
        <w:t>等估值方法。力争选择最具有投资吸引力的股票构建投资组合。</w:t>
      </w:r>
    </w:p>
    <w:p w:rsidR="006E1FE1" w:rsidRDefault="00F51CE7">
      <w:pPr>
        <w:snapToGrid w:val="0"/>
        <w:spacing w:line="360" w:lineRule="auto"/>
        <w:ind w:firstLineChars="200" w:firstLine="420"/>
        <w:rPr>
          <w:bCs/>
          <w:szCs w:val="21"/>
        </w:rPr>
      </w:pPr>
      <w:r>
        <w:rPr>
          <w:rFonts w:hint="eastAsia"/>
          <w:bCs/>
          <w:szCs w:val="21"/>
        </w:rPr>
        <w:t>6</w:t>
      </w:r>
      <w:r>
        <w:rPr>
          <w:rFonts w:hint="eastAsia"/>
          <w:bCs/>
          <w:szCs w:val="21"/>
        </w:rPr>
        <w:t>）投资组合构建与优化</w:t>
      </w:r>
    </w:p>
    <w:p w:rsidR="006E1FE1" w:rsidRDefault="00F51CE7">
      <w:pPr>
        <w:snapToGrid w:val="0"/>
        <w:spacing w:line="360" w:lineRule="auto"/>
        <w:ind w:firstLineChars="200" w:firstLine="420"/>
        <w:rPr>
          <w:bCs/>
          <w:szCs w:val="21"/>
        </w:rPr>
      </w:pPr>
      <w:r>
        <w:rPr>
          <w:rFonts w:hint="eastAsia"/>
          <w:bCs/>
          <w:szCs w:val="21"/>
        </w:rPr>
        <w:t>基于基金组合中单个证券的预期收益及风险特性，对组合进行优化，在合理风险水平下</w:t>
      </w:r>
      <w:r>
        <w:rPr>
          <w:rFonts w:hint="eastAsia"/>
          <w:bCs/>
          <w:szCs w:val="21"/>
        </w:rPr>
        <w:lastRenderedPageBreak/>
        <w:t>追求基金收益最大化，同时监控组合中证券的估值水平，在市场价格明显高于其内在合理价值时适时卖出证券。</w:t>
      </w:r>
    </w:p>
    <w:p w:rsidR="005969D1" w:rsidRPr="005969D1" w:rsidRDefault="005969D1" w:rsidP="005969D1">
      <w:pPr>
        <w:snapToGrid w:val="0"/>
        <w:spacing w:line="360" w:lineRule="auto"/>
        <w:ind w:firstLineChars="200" w:firstLine="420"/>
        <w:rPr>
          <w:bCs/>
          <w:szCs w:val="21"/>
        </w:rPr>
      </w:pPr>
      <w:r>
        <w:rPr>
          <w:rFonts w:hint="eastAsia"/>
          <w:bCs/>
          <w:szCs w:val="21"/>
        </w:rPr>
        <w:t>7</w:t>
      </w:r>
      <w:r>
        <w:rPr>
          <w:rFonts w:hint="eastAsia"/>
          <w:bCs/>
          <w:szCs w:val="21"/>
        </w:rPr>
        <w:t>）</w:t>
      </w:r>
      <w:r w:rsidRPr="005969D1">
        <w:rPr>
          <w:rFonts w:hint="eastAsia"/>
          <w:bCs/>
          <w:szCs w:val="21"/>
        </w:rPr>
        <w:t>存托凭证的投资策略</w:t>
      </w:r>
    </w:p>
    <w:p w:rsidR="005969D1" w:rsidRDefault="005969D1" w:rsidP="005969D1">
      <w:pPr>
        <w:snapToGrid w:val="0"/>
        <w:spacing w:line="360" w:lineRule="auto"/>
        <w:ind w:firstLineChars="200" w:firstLine="420"/>
        <w:rPr>
          <w:bCs/>
          <w:szCs w:val="21"/>
        </w:rPr>
      </w:pPr>
      <w:r w:rsidRPr="005969D1">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E1FE1" w:rsidRDefault="00F51CE7">
      <w:pPr>
        <w:snapToGrid w:val="0"/>
        <w:spacing w:line="360" w:lineRule="auto"/>
        <w:ind w:firstLineChars="200" w:firstLine="420"/>
        <w:rPr>
          <w:bCs/>
          <w:szCs w:val="21"/>
        </w:rPr>
      </w:pPr>
      <w:r>
        <w:rPr>
          <w:rFonts w:hint="eastAsia"/>
          <w:bCs/>
          <w:szCs w:val="21"/>
        </w:rPr>
        <w:t>3</w:t>
      </w:r>
      <w:r>
        <w:rPr>
          <w:rFonts w:hint="eastAsia"/>
          <w:bCs/>
          <w:szCs w:val="21"/>
        </w:rPr>
        <w:t>、债券投资策略</w:t>
      </w:r>
    </w:p>
    <w:p w:rsidR="006E1FE1" w:rsidRDefault="00F51CE7">
      <w:pPr>
        <w:snapToGrid w:val="0"/>
        <w:spacing w:line="360" w:lineRule="auto"/>
        <w:ind w:firstLineChars="200" w:firstLine="420"/>
        <w:rPr>
          <w:bCs/>
          <w:szCs w:val="21"/>
        </w:rPr>
      </w:pPr>
      <w:r>
        <w:rPr>
          <w:rFonts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6E1FE1" w:rsidRDefault="00F51CE7">
      <w:pPr>
        <w:snapToGrid w:val="0"/>
        <w:spacing w:line="360" w:lineRule="auto"/>
        <w:ind w:firstLineChars="200" w:firstLine="420"/>
        <w:rPr>
          <w:bCs/>
          <w:szCs w:val="21"/>
        </w:rPr>
      </w:pPr>
      <w:r>
        <w:rPr>
          <w:rFonts w:hint="eastAsia"/>
          <w:bCs/>
          <w:szCs w:val="21"/>
        </w:rPr>
        <w:t>4</w:t>
      </w:r>
      <w:r>
        <w:rPr>
          <w:rFonts w:hint="eastAsia"/>
          <w:bCs/>
          <w:szCs w:val="21"/>
        </w:rPr>
        <w:t>、股指期货投资策略</w:t>
      </w:r>
    </w:p>
    <w:p w:rsidR="006E1FE1" w:rsidRDefault="00F51CE7">
      <w:pPr>
        <w:snapToGrid w:val="0"/>
        <w:spacing w:line="360" w:lineRule="auto"/>
        <w:ind w:firstLineChars="200" w:firstLine="420"/>
        <w:rPr>
          <w:bCs/>
          <w:szCs w:val="21"/>
        </w:rPr>
      </w:pPr>
      <w:r>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E1FE1" w:rsidRDefault="00F51CE7">
      <w:pPr>
        <w:snapToGrid w:val="0"/>
        <w:spacing w:line="360" w:lineRule="auto"/>
        <w:ind w:firstLineChars="200" w:firstLine="420"/>
        <w:rPr>
          <w:bCs/>
          <w:szCs w:val="21"/>
        </w:rPr>
      </w:pPr>
      <w:r>
        <w:rPr>
          <w:rFonts w:hint="eastAsia"/>
          <w:bCs/>
          <w:szCs w:val="21"/>
        </w:rPr>
        <w:t>5</w:t>
      </w:r>
      <w:r>
        <w:rPr>
          <w:rFonts w:hint="eastAsia"/>
          <w:bCs/>
          <w:szCs w:val="21"/>
        </w:rPr>
        <w:t>、国债期货投资策略</w:t>
      </w:r>
    </w:p>
    <w:p w:rsidR="006E1FE1" w:rsidRDefault="00F51CE7">
      <w:pPr>
        <w:snapToGrid w:val="0"/>
        <w:spacing w:line="360" w:lineRule="auto"/>
        <w:ind w:firstLineChars="200" w:firstLine="420"/>
        <w:rPr>
          <w:bCs/>
          <w:szCs w:val="21"/>
        </w:rPr>
      </w:pPr>
      <w:r>
        <w:rPr>
          <w:rFonts w:hint="eastAsia"/>
          <w:bCs/>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6E1FE1" w:rsidRDefault="00F51CE7">
      <w:pPr>
        <w:snapToGrid w:val="0"/>
        <w:spacing w:line="360" w:lineRule="auto"/>
        <w:ind w:firstLineChars="200" w:firstLine="420"/>
        <w:rPr>
          <w:bCs/>
          <w:szCs w:val="21"/>
        </w:rPr>
      </w:pPr>
      <w:r>
        <w:rPr>
          <w:rFonts w:hint="eastAsia"/>
          <w:bCs/>
          <w:szCs w:val="21"/>
        </w:rPr>
        <w:t>6</w:t>
      </w:r>
      <w:r>
        <w:rPr>
          <w:rFonts w:hint="eastAsia"/>
          <w:bCs/>
          <w:szCs w:val="21"/>
        </w:rPr>
        <w:t>、资产支持证券投资策略</w:t>
      </w:r>
    </w:p>
    <w:p w:rsidR="006E1FE1" w:rsidRDefault="00F51CE7">
      <w:pPr>
        <w:snapToGrid w:val="0"/>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E1FE1" w:rsidRDefault="00F51CE7">
      <w:pPr>
        <w:snapToGrid w:val="0"/>
        <w:spacing w:line="360" w:lineRule="auto"/>
        <w:ind w:firstLineChars="200" w:firstLine="420"/>
        <w:rPr>
          <w:bCs/>
          <w:szCs w:val="21"/>
        </w:rPr>
      </w:pPr>
      <w:r>
        <w:rPr>
          <w:rFonts w:hint="eastAsia"/>
          <w:bCs/>
          <w:szCs w:val="21"/>
        </w:rPr>
        <w:t>7</w:t>
      </w:r>
      <w:r>
        <w:rPr>
          <w:rFonts w:hint="eastAsia"/>
          <w:bCs/>
          <w:szCs w:val="21"/>
        </w:rPr>
        <w:t>、股票期权投资策略</w:t>
      </w:r>
    </w:p>
    <w:p w:rsidR="006E1FE1" w:rsidRDefault="00F51CE7">
      <w:pPr>
        <w:snapToGrid w:val="0"/>
        <w:spacing w:line="360" w:lineRule="auto"/>
        <w:ind w:firstLineChars="200" w:firstLine="420"/>
        <w:rPr>
          <w:bCs/>
          <w:szCs w:val="21"/>
        </w:rPr>
      </w:pPr>
      <w:r>
        <w:rPr>
          <w:rFonts w:hint="eastAsia"/>
          <w:bCs/>
          <w:szCs w:val="21"/>
        </w:rPr>
        <w:t>本基金投资股票期权以套期保值为主要目的，将根据风险管理的原则，充分考虑股票期权的流动性和风险收益特征，在风险可控的前提下，采取备兑开仓、</w:t>
      </w:r>
      <w:r>
        <w:rPr>
          <w:rFonts w:hint="eastAsia"/>
          <w:bCs/>
          <w:szCs w:val="21"/>
        </w:rPr>
        <w:t xml:space="preserve">delta </w:t>
      </w:r>
      <w:r>
        <w:rPr>
          <w:rFonts w:hint="eastAsia"/>
          <w:bCs/>
          <w:szCs w:val="21"/>
        </w:rPr>
        <w:t>中性等策略适度</w:t>
      </w:r>
      <w:r>
        <w:rPr>
          <w:rFonts w:hint="eastAsia"/>
          <w:bCs/>
          <w:szCs w:val="21"/>
        </w:rPr>
        <w:lastRenderedPageBreak/>
        <w:t>参与股票期权投资。</w:t>
      </w:r>
    </w:p>
    <w:p w:rsidR="006E1FE1" w:rsidRDefault="00F51CE7">
      <w:pPr>
        <w:snapToGrid w:val="0"/>
        <w:spacing w:line="360" w:lineRule="auto"/>
        <w:ind w:firstLineChars="200" w:firstLine="420"/>
        <w:rPr>
          <w:bCs/>
          <w:szCs w:val="21"/>
        </w:rPr>
      </w:pPr>
      <w:r>
        <w:rPr>
          <w:rFonts w:hint="eastAsia"/>
          <w:bCs/>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6E1FE1" w:rsidRDefault="00F51CE7">
      <w:pPr>
        <w:pStyle w:val="-"/>
        <w:ind w:firstLine="420"/>
      </w:pPr>
      <w:r>
        <w:t>8</w:t>
      </w:r>
      <w:r>
        <w:rPr>
          <w:rFonts w:hint="eastAsia"/>
        </w:rPr>
        <w:t>、战略配售投资策略</w:t>
      </w:r>
    </w:p>
    <w:p w:rsidR="006E1FE1" w:rsidRDefault="00F51CE7">
      <w:pPr>
        <w:pStyle w:val="-"/>
        <w:ind w:firstLine="420"/>
      </w:pPr>
      <w:r>
        <w:rPr>
          <w:rFonts w:hint="eastAsia"/>
        </w:rPr>
        <w:t>本基金将积极关注、深入分析并论证战略配售股票的投资机会，通过综合分析行业景气度等多方面因素，结合未来市场走势判断，精选战略配售股票。</w:t>
      </w:r>
      <w:r w:rsidR="00460E64" w:rsidRPr="00CC1306">
        <w:rPr>
          <w:rFonts w:hint="eastAsia"/>
          <w:bCs/>
        </w:rPr>
        <w:t>本基金的剩余封闭期应长于获配股票的剩余锁定期</w:t>
      </w:r>
      <w:r w:rsidR="00460E64">
        <w:rPr>
          <w:rFonts w:hint="eastAsia"/>
          <w:bCs/>
        </w:rPr>
        <w:t>。</w:t>
      </w:r>
      <w:r w:rsidR="00460E64" w:rsidRPr="00F54CD2">
        <w:rPr>
          <w:rFonts w:hint="eastAsia"/>
          <w:bCs/>
        </w:rPr>
        <w:t>本基金管理人将根据投资策略需要或市场环境的变化，选择将部分基金资产投资于战略配置股票，基金资产并非必然投资于战略配置股票，本基金存在可能无法配售股票风险。</w:t>
      </w:r>
    </w:p>
    <w:p w:rsidR="006E1FE1" w:rsidRDefault="00F51CE7">
      <w:pPr>
        <w:snapToGrid w:val="0"/>
        <w:spacing w:line="360" w:lineRule="auto"/>
        <w:ind w:firstLineChars="200" w:firstLine="420"/>
        <w:rPr>
          <w:bCs/>
          <w:szCs w:val="21"/>
          <w:lang w:val="zh-CN"/>
        </w:rPr>
      </w:pPr>
      <w:r>
        <w:rPr>
          <w:bCs/>
          <w:szCs w:val="21"/>
          <w:lang w:val="zh-CN"/>
        </w:rPr>
        <w:t>9</w:t>
      </w:r>
      <w:r>
        <w:rPr>
          <w:rFonts w:hint="eastAsia"/>
          <w:bCs/>
          <w:szCs w:val="21"/>
          <w:lang w:val="zh-CN"/>
        </w:rPr>
        <w:t>、开放期投资策略</w:t>
      </w:r>
    </w:p>
    <w:p w:rsidR="006E1FE1" w:rsidRDefault="00F51CE7">
      <w:pPr>
        <w:snapToGrid w:val="0"/>
        <w:spacing w:line="360" w:lineRule="auto"/>
        <w:ind w:firstLineChars="200" w:firstLine="420"/>
        <w:rPr>
          <w:bCs/>
          <w:szCs w:val="21"/>
          <w:lang w:val="zh-CN"/>
        </w:rPr>
      </w:pPr>
      <w:r>
        <w:rPr>
          <w:rFonts w:hint="eastAsia"/>
          <w:bCs/>
          <w:szCs w:val="21"/>
          <w:lang w:val="zh-CN"/>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6E1FE1" w:rsidRDefault="00F51CE7">
      <w:pPr>
        <w:snapToGrid w:val="0"/>
        <w:spacing w:line="360" w:lineRule="auto"/>
        <w:ind w:firstLineChars="200" w:firstLine="420"/>
        <w:rPr>
          <w:bCs/>
          <w:szCs w:val="21"/>
          <w:lang w:val="zh-CN"/>
        </w:rPr>
      </w:pPr>
      <w:r>
        <w:rPr>
          <w:rFonts w:hint="eastAsia"/>
          <w:bCs/>
          <w:szCs w:val="21"/>
          <w:lang w:val="zh-CN"/>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四、投资限制</w:t>
      </w:r>
    </w:p>
    <w:p w:rsidR="006E1FE1" w:rsidRDefault="00F51CE7">
      <w:pPr>
        <w:snapToGrid w:val="0"/>
        <w:spacing w:line="360" w:lineRule="auto"/>
        <w:ind w:firstLineChars="200" w:firstLine="420"/>
        <w:rPr>
          <w:bCs/>
          <w:szCs w:val="21"/>
        </w:rPr>
      </w:pPr>
      <w:r>
        <w:rPr>
          <w:rFonts w:hint="eastAsia"/>
          <w:bCs/>
          <w:szCs w:val="21"/>
        </w:rPr>
        <w:t>1</w:t>
      </w:r>
      <w:r>
        <w:rPr>
          <w:rFonts w:hint="eastAsia"/>
          <w:bCs/>
          <w:szCs w:val="21"/>
        </w:rPr>
        <w:t>、组合限制</w:t>
      </w:r>
    </w:p>
    <w:p w:rsidR="006E1FE1" w:rsidRDefault="00F51CE7">
      <w:pPr>
        <w:snapToGrid w:val="0"/>
        <w:spacing w:line="360" w:lineRule="auto"/>
        <w:ind w:firstLineChars="200" w:firstLine="420"/>
        <w:rPr>
          <w:bCs/>
          <w:szCs w:val="21"/>
        </w:rPr>
      </w:pPr>
      <w:r>
        <w:rPr>
          <w:rFonts w:hint="eastAsia"/>
          <w:bCs/>
          <w:szCs w:val="21"/>
        </w:rPr>
        <w:t>基金的投资组合应遵循以下限制：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）封闭期内，本基金股票</w:t>
      </w:r>
      <w:r w:rsidR="001A6E72" w:rsidRPr="001A6E72">
        <w:rPr>
          <w:rFonts w:hint="eastAsia"/>
          <w:bCs/>
          <w:szCs w:val="21"/>
        </w:rPr>
        <w:t>（含存托凭证）</w:t>
      </w:r>
      <w:r>
        <w:rPr>
          <w:rFonts w:hint="eastAsia"/>
          <w:bCs/>
          <w:szCs w:val="21"/>
        </w:rPr>
        <w:t>投资占基金资产的比例范围为</w:t>
      </w:r>
      <w:r>
        <w:rPr>
          <w:rFonts w:hint="eastAsia"/>
          <w:bCs/>
          <w:szCs w:val="21"/>
        </w:rPr>
        <w:t>60%-100%</w:t>
      </w:r>
      <w:r>
        <w:rPr>
          <w:rFonts w:hint="eastAsia"/>
          <w:bCs/>
          <w:szCs w:val="21"/>
        </w:rPr>
        <w:t>（其中港股通股票最高投资比例不得超过股票资产的</w:t>
      </w:r>
      <w:r>
        <w:rPr>
          <w:rFonts w:hint="eastAsia"/>
          <w:bCs/>
          <w:szCs w:val="21"/>
        </w:rPr>
        <w:t>50%</w:t>
      </w:r>
      <w:r>
        <w:rPr>
          <w:rFonts w:hint="eastAsia"/>
          <w:bCs/>
          <w:szCs w:val="21"/>
        </w:rPr>
        <w:t>），且基金投资于创业板的股票资产占非现金资产的比例不低于</w:t>
      </w:r>
      <w:r>
        <w:rPr>
          <w:rFonts w:hint="eastAsia"/>
          <w:bCs/>
          <w:szCs w:val="21"/>
        </w:rPr>
        <w:t>80%</w:t>
      </w:r>
      <w:r>
        <w:rPr>
          <w:rFonts w:hint="eastAsia"/>
          <w:bCs/>
          <w:szCs w:val="21"/>
        </w:rPr>
        <w:t>。应开放期流动性需要，为保护持有人利益，本基金在开放期、开放期开始前</w:t>
      </w:r>
      <w:r>
        <w:rPr>
          <w:rFonts w:hint="eastAsia"/>
          <w:bCs/>
          <w:szCs w:val="21"/>
        </w:rPr>
        <w:t>1</w:t>
      </w:r>
      <w:r>
        <w:rPr>
          <w:rFonts w:hint="eastAsia"/>
          <w:bCs/>
          <w:szCs w:val="21"/>
        </w:rPr>
        <w:t>个月以及开放期结束后</w:t>
      </w:r>
      <w:r>
        <w:rPr>
          <w:rFonts w:hint="eastAsia"/>
          <w:bCs/>
          <w:szCs w:val="21"/>
        </w:rPr>
        <w:t>1</w:t>
      </w:r>
      <w:r>
        <w:rPr>
          <w:rFonts w:hint="eastAsia"/>
          <w:bCs/>
          <w:szCs w:val="21"/>
        </w:rPr>
        <w:t>个月内，本基金的股票资产</w:t>
      </w:r>
      <w:r w:rsidR="001A6E72" w:rsidRPr="001A6E72">
        <w:rPr>
          <w:rFonts w:hint="eastAsia"/>
          <w:bCs/>
          <w:szCs w:val="21"/>
        </w:rPr>
        <w:t>（含存托凭证）</w:t>
      </w:r>
      <w:r>
        <w:rPr>
          <w:rFonts w:hint="eastAsia"/>
          <w:bCs/>
          <w:szCs w:val="21"/>
        </w:rPr>
        <w:t>投资比例可不受上述限制；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）开放期内，本基金每个交易日日终在扣除国债期货、股指期货、股票期权合约需缴纳的交易保证金后，应当保持不低于基金资产净值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的现金或者到期日在一年以内的政府债券，其中现金不包括结算备付金、存出保证金、应收申购款等。封闭期内，本基金不受上述</w:t>
      </w:r>
      <w:r>
        <w:rPr>
          <w:rFonts w:hint="eastAsia"/>
          <w:bCs/>
          <w:szCs w:val="21"/>
        </w:rPr>
        <w:t>5%</w:t>
      </w:r>
      <w:r>
        <w:rPr>
          <w:rFonts w:hint="eastAsia"/>
          <w:bCs/>
          <w:szCs w:val="21"/>
        </w:rPr>
        <w:t>的限制，但每个交易日日终在扣除国债期货、股指期货、股票期权合约需缴纳的交易保证金后，应当保持不低于交易保证金一倍的现金；</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）本基金持有一家公司发行的证券（</w:t>
      </w:r>
      <w:r>
        <w:rPr>
          <w:rFonts w:hint="eastAsia"/>
          <w:bCs/>
          <w:szCs w:val="21"/>
        </w:rPr>
        <w:t>A</w:t>
      </w:r>
      <w:r>
        <w:rPr>
          <w:rFonts w:hint="eastAsia"/>
          <w:bCs/>
          <w:szCs w:val="21"/>
        </w:rPr>
        <w:t>股和</w:t>
      </w:r>
      <w:r>
        <w:rPr>
          <w:rFonts w:hint="eastAsia"/>
          <w:bCs/>
          <w:szCs w:val="21"/>
        </w:rPr>
        <w:t>H</w:t>
      </w:r>
      <w:r>
        <w:rPr>
          <w:rFonts w:hint="eastAsia"/>
          <w:bCs/>
          <w:szCs w:val="21"/>
        </w:rPr>
        <w:t>股合并计算），其市值不超过基金资产净值的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lastRenderedPageBreak/>
        <w:t>（</w:t>
      </w:r>
      <w:r>
        <w:rPr>
          <w:rFonts w:hint="eastAsia"/>
          <w:bCs/>
          <w:szCs w:val="21"/>
        </w:rPr>
        <w:t>4</w:t>
      </w:r>
      <w:r>
        <w:rPr>
          <w:rFonts w:hint="eastAsia"/>
          <w:bCs/>
          <w:szCs w:val="21"/>
        </w:rPr>
        <w:t>）本基金管理人管理的全部基金持有一家公司发行的证券（</w:t>
      </w:r>
      <w:r>
        <w:rPr>
          <w:rFonts w:hint="eastAsia"/>
          <w:bCs/>
          <w:szCs w:val="21"/>
        </w:rPr>
        <w:t>A</w:t>
      </w:r>
      <w:r>
        <w:rPr>
          <w:rFonts w:hint="eastAsia"/>
          <w:bCs/>
          <w:szCs w:val="21"/>
        </w:rPr>
        <w:t>股和</w:t>
      </w:r>
      <w:r>
        <w:rPr>
          <w:rFonts w:hint="eastAsia"/>
          <w:bCs/>
          <w:szCs w:val="21"/>
        </w:rPr>
        <w:t>H</w:t>
      </w:r>
      <w:r>
        <w:rPr>
          <w:rFonts w:hint="eastAsia"/>
          <w:bCs/>
          <w:szCs w:val="21"/>
        </w:rPr>
        <w:t>股合并计算），不超过该证券的</w:t>
      </w:r>
      <w:r>
        <w:rPr>
          <w:rFonts w:hint="eastAsia"/>
          <w:bCs/>
          <w:szCs w:val="21"/>
        </w:rPr>
        <w:t>10</w:t>
      </w:r>
      <w:r>
        <w:rPr>
          <w:rFonts w:hint="eastAsia"/>
          <w:bCs/>
          <w:szCs w:val="21"/>
        </w:rPr>
        <w:t>％，完全按照有关指数的构成比例进行证券投资的基金品种可以不受此条款规定的比例限制；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）本基金投资于同一原始权益人的各类资产支持证券的比例，不得超过基金资产净值的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）本基金持有的全部资产支持证券，其市值不得超过基金资产净值的</w:t>
      </w:r>
      <w:r>
        <w:rPr>
          <w:rFonts w:hint="eastAsia"/>
          <w:bCs/>
          <w:szCs w:val="21"/>
        </w:rPr>
        <w:t>20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）本基金持有的同一</w:t>
      </w:r>
      <w:r>
        <w:rPr>
          <w:rFonts w:hint="eastAsia"/>
          <w:bCs/>
          <w:szCs w:val="21"/>
        </w:rPr>
        <w:t>(</w:t>
      </w:r>
      <w:r>
        <w:rPr>
          <w:rFonts w:hint="eastAsia"/>
          <w:bCs/>
          <w:szCs w:val="21"/>
        </w:rPr>
        <w:t>指同一信用级别</w:t>
      </w:r>
      <w:r>
        <w:rPr>
          <w:rFonts w:hint="eastAsia"/>
          <w:bCs/>
          <w:szCs w:val="21"/>
        </w:rPr>
        <w:t>)</w:t>
      </w:r>
      <w:r>
        <w:rPr>
          <w:rFonts w:hint="eastAsia"/>
          <w:bCs/>
          <w:szCs w:val="21"/>
        </w:rPr>
        <w:t>资产支持证券的比例，不得超过该资产支持证券规模的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）本基金管理人管理的全部基金投资于同一原始权益人的各类资产支持证券，不得超过其各类资产支持证券合计规模的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）本基金应投资于信用级别评级为</w:t>
      </w:r>
      <w:r>
        <w:rPr>
          <w:rFonts w:hint="eastAsia"/>
          <w:bCs/>
          <w:szCs w:val="21"/>
        </w:rPr>
        <w:t>BBB</w:t>
      </w:r>
      <w:r>
        <w:rPr>
          <w:rFonts w:hint="eastAsia"/>
          <w:bCs/>
          <w:szCs w:val="21"/>
        </w:rPr>
        <w:t>以上</w:t>
      </w:r>
      <w:r>
        <w:rPr>
          <w:rFonts w:hint="eastAsia"/>
          <w:bCs/>
          <w:szCs w:val="21"/>
        </w:rPr>
        <w:t>(</w:t>
      </w:r>
      <w:r>
        <w:rPr>
          <w:rFonts w:hint="eastAsia"/>
          <w:bCs/>
          <w:szCs w:val="21"/>
        </w:rPr>
        <w:t>含</w:t>
      </w:r>
      <w:r>
        <w:rPr>
          <w:rFonts w:hint="eastAsia"/>
          <w:bCs/>
          <w:szCs w:val="21"/>
        </w:rPr>
        <w:t>BBB)</w:t>
      </w:r>
      <w:r>
        <w:rPr>
          <w:rFonts w:hint="eastAsia"/>
          <w:bCs/>
          <w:szCs w:val="21"/>
        </w:rPr>
        <w:t>的资产支持证券。基金持有资产支持证券期间，如果其信用等级下降、不再符合投资标准，应在评级报告发布之日起</w:t>
      </w:r>
      <w:r>
        <w:rPr>
          <w:rFonts w:hint="eastAsia"/>
          <w:bCs/>
          <w:szCs w:val="21"/>
        </w:rPr>
        <w:t>3</w:t>
      </w:r>
      <w:r>
        <w:rPr>
          <w:rFonts w:hint="eastAsia"/>
          <w:bCs/>
          <w:szCs w:val="21"/>
        </w:rPr>
        <w:t>个月内予以全部卖出；</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）基金财产参与股票发行申购，本基金所申报的金额不超过本基金的总资产，本基金所申报的股票数量不超过拟发行股票公司本次发行股票的总量；</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）本基金进入全国银行间同业市场进行债券回购的资金余额不得超过基金资产净值的</w:t>
      </w:r>
      <w:r>
        <w:rPr>
          <w:rFonts w:hint="eastAsia"/>
          <w:bCs/>
          <w:szCs w:val="21"/>
        </w:rPr>
        <w:t>40%</w:t>
      </w:r>
      <w:r>
        <w:rPr>
          <w:rFonts w:hint="eastAsia"/>
          <w:bCs/>
          <w:szCs w:val="21"/>
        </w:rPr>
        <w:t>，进入全国银行间同业市场进行债券回购的最长期限为</w:t>
      </w:r>
      <w:r>
        <w:rPr>
          <w:rFonts w:hint="eastAsia"/>
          <w:bCs/>
          <w:szCs w:val="21"/>
        </w:rPr>
        <w:t>1</w:t>
      </w:r>
      <w:r>
        <w:rPr>
          <w:rFonts w:hint="eastAsia"/>
          <w:bCs/>
          <w:szCs w:val="21"/>
        </w:rPr>
        <w:t>年，债券回购到期后不得展期；</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）本基金管理人管理的全部开放式基金持有一家上市公司发行的可流通股票，不得超过该上市公司可流通股票的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；完全按照有关指数的构成比例进行证券投资的开放式基金以及中国证监会认定的特殊投资组合可不受前述比例限制；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3</w:t>
      </w:r>
      <w:r>
        <w:rPr>
          <w:rFonts w:hint="eastAsia"/>
          <w:bCs/>
          <w:szCs w:val="21"/>
        </w:rPr>
        <w:t>）开放期内，本基金主动投资于流动性受限资产的市值合计不得超过该基金资产净值的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）本基金与私募类证券资管产品及中国证监会认定的其他主体为交易对手开展逆回购交易的，可接受质押品的资质要求应当与基金合同约定的投资范围保持一致；</w:t>
      </w:r>
    </w:p>
    <w:p w:rsidR="006E1FE1" w:rsidRDefault="00F51CE7">
      <w:pPr>
        <w:snapToGrid w:val="0"/>
        <w:spacing w:line="360" w:lineRule="auto"/>
        <w:ind w:firstLineChars="200" w:firstLine="420"/>
        <w:rPr>
          <w:bCs/>
          <w:szCs w:val="21"/>
          <w:highlight w:val="yellow"/>
        </w:rPr>
      </w:pPr>
      <w:r>
        <w:rPr>
          <w:rFonts w:hint="eastAsia"/>
          <w:bCs/>
          <w:szCs w:val="21"/>
        </w:rPr>
        <w:t>（</w:t>
      </w:r>
      <w:r>
        <w:rPr>
          <w:rFonts w:hint="eastAsia"/>
          <w:bCs/>
          <w:szCs w:val="21"/>
        </w:rPr>
        <w:t>1</w:t>
      </w:r>
      <w:r>
        <w:rPr>
          <w:bCs/>
          <w:szCs w:val="21"/>
        </w:rPr>
        <w:t>5</w:t>
      </w:r>
      <w:r>
        <w:rPr>
          <w:rFonts w:hint="eastAsia"/>
          <w:bCs/>
          <w:szCs w:val="21"/>
        </w:rPr>
        <w:t>）封闭期内，在任何交易日日终，持有的买入国债期货、股指期货和股票期权合约价值与有价证券市值之和，不得超过基金资产净值的</w:t>
      </w:r>
      <w:r>
        <w:rPr>
          <w:bCs/>
          <w:szCs w:val="21"/>
        </w:rPr>
        <w:t>100</w:t>
      </w:r>
      <w:r>
        <w:rPr>
          <w:rFonts w:hint="eastAsia"/>
          <w:bCs/>
          <w:szCs w:val="21"/>
        </w:rPr>
        <w:t>%</w:t>
      </w:r>
      <w:r>
        <w:rPr>
          <w:rFonts w:hint="eastAsia"/>
          <w:bCs/>
          <w:szCs w:val="21"/>
        </w:rPr>
        <w:t>；开放期内，在任何交易日日终，持有的买入国债期货、股指期货和股票期权合约价值与有价证券市值之和，不得超过基金资产净值的</w:t>
      </w:r>
      <w:r>
        <w:rPr>
          <w:bCs/>
          <w:szCs w:val="21"/>
        </w:rPr>
        <w:t>95</w:t>
      </w:r>
      <w:r>
        <w:rPr>
          <w:rFonts w:hint="eastAsia"/>
          <w:bCs/>
          <w:szCs w:val="21"/>
        </w:rPr>
        <w:t>%</w:t>
      </w:r>
      <w:r>
        <w:rPr>
          <w:rFonts w:hint="eastAsia"/>
          <w:bCs/>
          <w:szCs w:val="21"/>
        </w:rPr>
        <w:t>，其中，有价证券指股票、债券（不含到期日在一年以内的政府债券）、资产支持证券、买入返售金融资产（不含质押式回购）等；</w:t>
      </w:r>
    </w:p>
    <w:p w:rsidR="006E1FE1" w:rsidRDefault="00F51CE7">
      <w:pPr>
        <w:snapToGrid w:val="0"/>
        <w:spacing w:line="360" w:lineRule="auto"/>
        <w:ind w:firstLineChars="200" w:firstLine="420"/>
        <w:rPr>
          <w:bCs/>
          <w:szCs w:val="21"/>
          <w:highlight w:val="yellow"/>
        </w:rPr>
      </w:pPr>
      <w:r>
        <w:rPr>
          <w:rFonts w:hint="eastAsia"/>
          <w:bCs/>
          <w:szCs w:val="21"/>
        </w:rPr>
        <w:t>（</w:t>
      </w:r>
      <w:r>
        <w:rPr>
          <w:rFonts w:hint="eastAsia"/>
          <w:bCs/>
          <w:szCs w:val="21"/>
        </w:rPr>
        <w:t>1</w:t>
      </w:r>
      <w:r>
        <w:rPr>
          <w:bCs/>
          <w:szCs w:val="21"/>
        </w:rPr>
        <w:t>6</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；在任何交易日日终，持有的卖出股指期货合约价值不得超过基金持有的股票总市值的</w:t>
      </w:r>
      <w:r>
        <w:rPr>
          <w:rFonts w:hint="eastAsia"/>
          <w:bCs/>
          <w:szCs w:val="21"/>
        </w:rPr>
        <w:t>20%</w:t>
      </w:r>
      <w:r>
        <w:rPr>
          <w:rFonts w:hint="eastAsia"/>
          <w:bCs/>
          <w:szCs w:val="21"/>
        </w:rPr>
        <w:t>；</w:t>
      </w:r>
      <w:r>
        <w:rPr>
          <w:rFonts w:hint="eastAsia"/>
          <w:bCs/>
          <w:szCs w:val="21"/>
        </w:rPr>
        <w:lastRenderedPageBreak/>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Cs w:val="21"/>
        </w:rPr>
        <w:t>20%</w:t>
      </w:r>
      <w:r>
        <w:rPr>
          <w:rFonts w:hint="eastAsia"/>
          <w:bCs/>
          <w:szCs w:val="21"/>
        </w:rPr>
        <w:t>；</w:t>
      </w:r>
    </w:p>
    <w:p w:rsidR="006E1FE1" w:rsidRDefault="00F51CE7">
      <w:pPr>
        <w:snapToGrid w:val="0"/>
        <w:spacing w:line="360" w:lineRule="auto"/>
        <w:ind w:firstLineChars="200" w:firstLine="420"/>
        <w:rPr>
          <w:bCs/>
          <w:szCs w:val="21"/>
          <w:highlight w:val="yellow"/>
        </w:rPr>
      </w:pPr>
      <w:r>
        <w:rPr>
          <w:rFonts w:hint="eastAsia"/>
          <w:bCs/>
          <w:szCs w:val="21"/>
        </w:rPr>
        <w:t>（</w:t>
      </w:r>
      <w:r>
        <w:rPr>
          <w:bCs/>
          <w:szCs w:val="21"/>
        </w:rPr>
        <w:t>17</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Cs w:val="21"/>
        </w:rPr>
        <w:t>30%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8</w:t>
      </w:r>
      <w:r>
        <w:rPr>
          <w:rFonts w:hint="eastAsia"/>
          <w:bCs/>
          <w:szCs w:val="21"/>
        </w:rPr>
        <w:t>）基金因未平仓的股票期权合约支付和收取的权利金总额不得超过基金资产净值的</w:t>
      </w:r>
      <w:r>
        <w:rPr>
          <w:rFonts w:hint="eastAsia"/>
          <w:bCs/>
          <w:szCs w:val="21"/>
        </w:rPr>
        <w:t>10%</w:t>
      </w:r>
      <w:r>
        <w:rPr>
          <w:rFonts w:hint="eastAsia"/>
          <w:bCs/>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Cs w:val="21"/>
        </w:rPr>
        <w:t xml:space="preserve"> 20%</w:t>
      </w:r>
      <w:r>
        <w:rPr>
          <w:rFonts w:hint="eastAsia"/>
          <w:bCs/>
          <w:szCs w:val="21"/>
        </w:rPr>
        <w:t>。其中，合约面值按照行权价乘以合约乘数计算；</w:t>
      </w:r>
    </w:p>
    <w:p w:rsidR="006E1FE1" w:rsidRDefault="00F51CE7">
      <w:pPr>
        <w:snapToGrid w:val="0"/>
        <w:spacing w:line="360" w:lineRule="auto"/>
        <w:ind w:firstLineChars="200" w:firstLine="420"/>
        <w:rPr>
          <w:bCs/>
          <w:szCs w:val="21"/>
        </w:rPr>
      </w:pPr>
      <w:r>
        <w:rPr>
          <w:rFonts w:hint="eastAsia"/>
          <w:bCs/>
          <w:szCs w:val="21"/>
        </w:rPr>
        <w:t>（</w:t>
      </w:r>
      <w:r>
        <w:rPr>
          <w:bCs/>
          <w:szCs w:val="21"/>
        </w:rPr>
        <w:t>19</w:t>
      </w:r>
      <w:r>
        <w:rPr>
          <w:rFonts w:hint="eastAsia"/>
          <w:bCs/>
          <w:szCs w:val="21"/>
        </w:rPr>
        <w:t>）开放期内，基金总资产不得超过基金净资产的</w:t>
      </w:r>
      <w:r>
        <w:rPr>
          <w:rFonts w:hint="eastAsia"/>
          <w:bCs/>
          <w:szCs w:val="21"/>
        </w:rPr>
        <w:t>140%</w:t>
      </w:r>
      <w:r>
        <w:rPr>
          <w:rFonts w:hint="eastAsia"/>
          <w:bCs/>
          <w:szCs w:val="21"/>
        </w:rPr>
        <w:t>；封闭期内，本基金的基金总资产不得超过基金净资产的</w:t>
      </w:r>
      <w:r>
        <w:rPr>
          <w:rFonts w:hint="eastAsia"/>
          <w:bCs/>
          <w:szCs w:val="21"/>
        </w:rPr>
        <w:t>200%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bCs/>
          <w:szCs w:val="21"/>
        </w:rPr>
        <w:t>20</w:t>
      </w:r>
      <w:r>
        <w:rPr>
          <w:rFonts w:hint="eastAsia"/>
          <w:bCs/>
          <w:szCs w:val="21"/>
        </w:rPr>
        <w:t>）本基金投资同业存单的比例不超过基金资产的</w:t>
      </w:r>
      <w:r>
        <w:rPr>
          <w:rFonts w:hint="eastAsia"/>
          <w:bCs/>
          <w:szCs w:val="21"/>
        </w:rPr>
        <w:t>20%</w:t>
      </w:r>
      <w:r>
        <w:rPr>
          <w:rFonts w:hint="eastAsia"/>
          <w:bCs/>
          <w:szCs w:val="21"/>
        </w:rPr>
        <w:t>；</w:t>
      </w:r>
    </w:p>
    <w:p w:rsidR="005969D1" w:rsidRDefault="00F51CE7">
      <w:pPr>
        <w:snapToGrid w:val="0"/>
        <w:spacing w:line="360" w:lineRule="auto"/>
        <w:ind w:firstLineChars="200" w:firstLine="420"/>
        <w:rPr>
          <w:bCs/>
          <w:szCs w:val="21"/>
        </w:rPr>
      </w:pPr>
      <w:r>
        <w:rPr>
          <w:rFonts w:hint="eastAsia"/>
          <w:bCs/>
          <w:szCs w:val="21"/>
        </w:rPr>
        <w:t>（</w:t>
      </w:r>
      <w:r>
        <w:rPr>
          <w:bCs/>
          <w:szCs w:val="21"/>
        </w:rPr>
        <w:t>21</w:t>
      </w:r>
      <w:r>
        <w:rPr>
          <w:rFonts w:hint="eastAsia"/>
          <w:bCs/>
          <w:szCs w:val="21"/>
        </w:rPr>
        <w:t>）</w:t>
      </w:r>
      <w:r w:rsidR="005969D1" w:rsidRPr="005969D1">
        <w:rPr>
          <w:rFonts w:hint="eastAsia"/>
          <w:bCs/>
          <w:szCs w:val="21"/>
        </w:rPr>
        <w:t>本基金投资存托凭证的比例限制依照内地上市交易的股票执行。</w:t>
      </w:r>
    </w:p>
    <w:p w:rsidR="006E1FE1" w:rsidRDefault="005969D1">
      <w:pPr>
        <w:snapToGrid w:val="0"/>
        <w:spacing w:line="360" w:lineRule="auto"/>
        <w:ind w:firstLineChars="200" w:firstLine="420"/>
        <w:rPr>
          <w:bCs/>
          <w:szCs w:val="21"/>
        </w:rPr>
      </w:pPr>
      <w:r>
        <w:rPr>
          <w:rFonts w:hint="eastAsia"/>
          <w:bCs/>
          <w:szCs w:val="21"/>
        </w:rPr>
        <w:t>（</w:t>
      </w:r>
      <w:r>
        <w:rPr>
          <w:rFonts w:hint="eastAsia"/>
          <w:bCs/>
          <w:szCs w:val="21"/>
        </w:rPr>
        <w:t>22</w:t>
      </w:r>
      <w:r>
        <w:rPr>
          <w:rFonts w:hint="eastAsia"/>
          <w:bCs/>
          <w:szCs w:val="21"/>
        </w:rPr>
        <w:t>）</w:t>
      </w:r>
      <w:r w:rsidR="00F51CE7">
        <w:rPr>
          <w:rFonts w:hint="eastAsia"/>
          <w:bCs/>
          <w:szCs w:val="21"/>
        </w:rPr>
        <w:t>法律法规及中国证监会规定的和《基金合同》约定的其他投资限制。</w:t>
      </w:r>
    </w:p>
    <w:p w:rsidR="006E1FE1" w:rsidRDefault="00F51CE7">
      <w:pPr>
        <w:snapToGrid w:val="0"/>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w:t>
      </w:r>
      <w:r>
        <w:rPr>
          <w:bCs/>
          <w:szCs w:val="21"/>
        </w:rPr>
        <w:t>3</w:t>
      </w:r>
      <w:r>
        <w:rPr>
          <w:rFonts w:hint="eastAsia"/>
          <w:bCs/>
          <w:szCs w:val="21"/>
        </w:rPr>
        <w:t>）、（</w:t>
      </w:r>
      <w:r>
        <w:rPr>
          <w:rFonts w:hint="eastAsia"/>
          <w:bCs/>
          <w:szCs w:val="21"/>
        </w:rPr>
        <w:t>1</w:t>
      </w:r>
      <w:r>
        <w:rPr>
          <w:bCs/>
          <w:szCs w:val="21"/>
        </w:rPr>
        <w:t>4</w:t>
      </w:r>
      <w:r>
        <w:rPr>
          <w:rFonts w:hint="eastAsia"/>
          <w:bCs/>
          <w:szCs w:val="21"/>
        </w:rPr>
        <w:t>）项另有约定外，因证券</w:t>
      </w:r>
      <w:r>
        <w:rPr>
          <w:rFonts w:hint="eastAsia"/>
          <w:bCs/>
          <w:szCs w:val="21"/>
        </w:rPr>
        <w:t>/</w:t>
      </w:r>
      <w:r>
        <w:rPr>
          <w:rFonts w:hint="eastAsia"/>
          <w:bCs/>
          <w:szCs w:val="21"/>
        </w:rPr>
        <w:t>期货市场波动、证券发行人合并、基金规模变动等基金管理人之外的因素致使基金投资比例不符合上述规定投资比例的，基金管理人应当在</w:t>
      </w:r>
      <w:r>
        <w:rPr>
          <w:rFonts w:hint="eastAsia"/>
          <w:bCs/>
          <w:szCs w:val="21"/>
        </w:rPr>
        <w:t>10</w:t>
      </w:r>
      <w:r>
        <w:rPr>
          <w:rFonts w:hint="eastAsia"/>
          <w:bCs/>
          <w:szCs w:val="21"/>
        </w:rPr>
        <w:t>个交易日内进行调整，但中国证监会规定的特殊情形除外。</w:t>
      </w:r>
    </w:p>
    <w:p w:rsidR="006E1FE1" w:rsidRDefault="00F51CE7">
      <w:pPr>
        <w:snapToGrid w:val="0"/>
        <w:spacing w:line="360" w:lineRule="auto"/>
        <w:ind w:firstLineChars="200" w:firstLine="420"/>
        <w:rPr>
          <w:bCs/>
          <w:szCs w:val="21"/>
        </w:rPr>
      </w:pPr>
      <w:r>
        <w:rPr>
          <w:rFonts w:hint="eastAsia"/>
          <w:bCs/>
          <w:szCs w:val="21"/>
        </w:rPr>
        <w:t>基金管理人应当自基金合同生效之日起</w:t>
      </w:r>
      <w:r>
        <w:rPr>
          <w:rFonts w:hint="eastAsia"/>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6E1FE1" w:rsidRDefault="00F51CE7">
      <w:pPr>
        <w:snapToGrid w:val="0"/>
        <w:spacing w:line="360" w:lineRule="auto"/>
        <w:ind w:firstLineChars="200" w:firstLine="420"/>
        <w:rPr>
          <w:bCs/>
          <w:szCs w:val="21"/>
        </w:rPr>
      </w:pPr>
      <w:r>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6E1FE1" w:rsidRDefault="00F51CE7">
      <w:pPr>
        <w:snapToGrid w:val="0"/>
        <w:spacing w:line="360" w:lineRule="auto"/>
        <w:ind w:firstLineChars="200" w:firstLine="420"/>
        <w:rPr>
          <w:bCs/>
          <w:szCs w:val="21"/>
        </w:rPr>
      </w:pPr>
      <w:r>
        <w:rPr>
          <w:rFonts w:hint="eastAsia"/>
          <w:bCs/>
          <w:szCs w:val="21"/>
        </w:rPr>
        <w:t>2</w:t>
      </w:r>
      <w:r>
        <w:rPr>
          <w:rFonts w:hint="eastAsia"/>
          <w:bCs/>
          <w:szCs w:val="21"/>
        </w:rPr>
        <w:t>、禁止行为</w:t>
      </w:r>
    </w:p>
    <w:p w:rsidR="006E1FE1" w:rsidRDefault="00F51CE7">
      <w:pPr>
        <w:snapToGrid w:val="0"/>
        <w:spacing w:line="360" w:lineRule="auto"/>
        <w:ind w:firstLineChars="200" w:firstLine="420"/>
        <w:rPr>
          <w:bCs/>
          <w:szCs w:val="21"/>
        </w:rPr>
      </w:pPr>
      <w:r>
        <w:rPr>
          <w:rFonts w:hint="eastAsia"/>
          <w:bCs/>
          <w:szCs w:val="21"/>
        </w:rPr>
        <w:t>为维护基金份额持有人的合法权益，基金财产不得用于下列投资或者活动：</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）承销证券；</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）违反规定向他人贷款或者提供担保；</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）从事承担无限责任的投资；</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）买卖其他基金份额，但是中国证监会另有规定的除外；</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）向其基金管理人、基金托管人出资；</w:t>
      </w:r>
    </w:p>
    <w:p w:rsidR="006E1FE1" w:rsidRDefault="00F51CE7">
      <w:pPr>
        <w:snapToGrid w:val="0"/>
        <w:spacing w:line="360" w:lineRule="auto"/>
        <w:ind w:firstLineChars="200" w:firstLine="420"/>
        <w:rPr>
          <w:bCs/>
          <w:szCs w:val="21"/>
        </w:rPr>
      </w:pPr>
      <w:r>
        <w:rPr>
          <w:rFonts w:hint="eastAsia"/>
          <w:bCs/>
          <w:szCs w:val="21"/>
        </w:rPr>
        <w:lastRenderedPageBreak/>
        <w:t>（</w:t>
      </w:r>
      <w:r>
        <w:rPr>
          <w:rFonts w:hint="eastAsia"/>
          <w:bCs/>
          <w:szCs w:val="21"/>
        </w:rPr>
        <w:t>6</w:t>
      </w:r>
      <w:r>
        <w:rPr>
          <w:rFonts w:hint="eastAsia"/>
          <w:bCs/>
          <w:szCs w:val="21"/>
        </w:rPr>
        <w:t>）从事内幕交易、操纵证券交易价格及其他不正当的证券交易活动；</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）法律、行政法规和中国证监会规定禁止的其他活动。</w:t>
      </w:r>
    </w:p>
    <w:p w:rsidR="006E1FE1" w:rsidRDefault="00F51CE7">
      <w:pPr>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E1FE1" w:rsidRDefault="00F51CE7">
      <w:pPr>
        <w:snapToGrid w:val="0"/>
        <w:spacing w:line="360" w:lineRule="auto"/>
        <w:ind w:firstLineChars="200" w:firstLine="420"/>
        <w:rPr>
          <w:bCs/>
          <w:szCs w:val="21"/>
        </w:rPr>
      </w:pPr>
      <w:r>
        <w:rPr>
          <w:rFonts w:hint="eastAsia"/>
          <w:bCs/>
          <w:szCs w:val="21"/>
        </w:rPr>
        <w:t>如法律、行政法规或监管部门取消上述限制，如适用于本基金，则本基金投资不再受相关限制。</w:t>
      </w:r>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五、业绩比较基准</w:t>
      </w:r>
    </w:p>
    <w:p w:rsidR="006E1FE1" w:rsidRDefault="00F51CE7">
      <w:pPr>
        <w:snapToGrid w:val="0"/>
        <w:spacing w:line="360" w:lineRule="auto"/>
        <w:ind w:firstLineChars="200" w:firstLine="420"/>
        <w:rPr>
          <w:bCs/>
          <w:szCs w:val="21"/>
        </w:rPr>
      </w:pPr>
      <w:r>
        <w:rPr>
          <w:rFonts w:hint="eastAsia"/>
          <w:bCs/>
          <w:szCs w:val="21"/>
        </w:rPr>
        <w:t>创业板指数收益率</w:t>
      </w:r>
      <w:r>
        <w:rPr>
          <w:rFonts w:hint="eastAsia"/>
          <w:bCs/>
          <w:szCs w:val="21"/>
        </w:rPr>
        <w:t>*60%+</w:t>
      </w:r>
      <w:r>
        <w:rPr>
          <w:rFonts w:hint="eastAsia"/>
          <w:bCs/>
          <w:szCs w:val="21"/>
        </w:rPr>
        <w:t>中证港股通综合指数收益率</w:t>
      </w:r>
      <w:r>
        <w:rPr>
          <w:rFonts w:hint="eastAsia"/>
          <w:bCs/>
          <w:szCs w:val="21"/>
        </w:rPr>
        <w:t>*10%+</w:t>
      </w:r>
      <w:r>
        <w:rPr>
          <w:rFonts w:hint="eastAsia"/>
          <w:bCs/>
          <w:szCs w:val="21"/>
        </w:rPr>
        <w:t>中债总指数收益率</w:t>
      </w:r>
      <w:r>
        <w:rPr>
          <w:rFonts w:hint="eastAsia"/>
          <w:bCs/>
          <w:szCs w:val="21"/>
        </w:rPr>
        <w:t>*30%</w:t>
      </w:r>
    </w:p>
    <w:p w:rsidR="006E1FE1" w:rsidRDefault="00F51CE7">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6E1FE1" w:rsidRDefault="006E1FE1">
      <w:pPr>
        <w:snapToGrid w:val="0"/>
        <w:spacing w:line="360" w:lineRule="auto"/>
        <w:ind w:firstLineChars="200" w:firstLine="420"/>
        <w:rPr>
          <w:bCs/>
          <w:szCs w:val="21"/>
        </w:rPr>
      </w:pPr>
    </w:p>
    <w:p w:rsidR="006E1FE1" w:rsidRDefault="00F51CE7">
      <w:pPr>
        <w:snapToGrid w:val="0"/>
        <w:spacing w:line="360" w:lineRule="auto"/>
        <w:ind w:firstLineChars="200" w:firstLine="422"/>
        <w:rPr>
          <w:b/>
          <w:bCs/>
          <w:szCs w:val="21"/>
        </w:rPr>
      </w:pPr>
      <w:r>
        <w:rPr>
          <w:rFonts w:hint="eastAsia"/>
          <w:b/>
          <w:bCs/>
          <w:szCs w:val="21"/>
        </w:rPr>
        <w:t>六、风险收益特征</w:t>
      </w:r>
    </w:p>
    <w:p w:rsidR="006E1FE1" w:rsidRDefault="00F51CE7">
      <w:pPr>
        <w:adjustRightInd w:val="0"/>
        <w:snapToGrid w:val="0"/>
        <w:spacing w:line="360" w:lineRule="auto"/>
        <w:ind w:firstLine="420"/>
        <w:rPr>
          <w:rFonts w:ascii="宋体" w:hAnsi="宋体"/>
          <w:szCs w:val="21"/>
        </w:rPr>
      </w:pPr>
      <w:r>
        <w:rPr>
          <w:rFonts w:hint="eastAsia"/>
          <w:bCs/>
          <w:szCs w:val="21"/>
        </w:rPr>
        <w:t>本基金为混合型基金，一般而言，其长期平均风险和预期收益率低于股票型基金，高于债券型基金、货币市场基金。</w:t>
      </w:r>
      <w:r>
        <w:rPr>
          <w:rFonts w:ascii="宋体" w:hAnsi="宋体" w:hint="eastAsia"/>
          <w:szCs w:val="21"/>
        </w:rPr>
        <w:t>本基金股票资产主要投资于创业板，会面临创业板注册制下因投资标的、市场制度以及交易规则等变化带来的特有风险。</w:t>
      </w:r>
      <w:r>
        <w:rPr>
          <w:rFonts w:hint="eastAsia"/>
          <w:bCs/>
          <w:szCs w:val="21"/>
        </w:rPr>
        <w:t>本基金可投资港股通股票，除了需要承担与境内证券投资基金类似的市场波动风险等一般投资风险之外，本基金还面临汇率风险、香港市场风险等境外证券市场投资所面临的特别投资风险。</w:t>
      </w:r>
      <w:r>
        <w:rPr>
          <w:rFonts w:hint="eastAsia"/>
        </w:rPr>
        <w:t>本基金可选择投资战略配售股票，需参与并接受发行人战略配售股票，由此产生的投资风险与价格波动由投资者自行承担。</w:t>
      </w:r>
    </w:p>
    <w:p w:rsidR="006E1FE1" w:rsidRDefault="00F51CE7">
      <w:pPr>
        <w:adjustRightInd w:val="0"/>
        <w:snapToGrid w:val="0"/>
        <w:spacing w:line="360" w:lineRule="auto"/>
        <w:ind w:firstLineChars="200" w:firstLine="420"/>
        <w:rPr>
          <w:rFonts w:ascii="宋体" w:hAnsi="宋体"/>
          <w:bCs/>
          <w:szCs w:val="21"/>
        </w:rPr>
      </w:pPr>
      <w:r>
        <w:rPr>
          <w:rFonts w:ascii="宋体" w:hAnsi="宋体"/>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267" w:name="_Toc93226145"/>
      <w:bookmarkStart w:id="268" w:name="_Toc92662704"/>
      <w:bookmarkStart w:id="269" w:name="_Toc29561"/>
      <w:bookmarkStart w:id="270" w:name="_Toc24474"/>
      <w:bookmarkStart w:id="271" w:name="_Toc141703893"/>
      <w:bookmarkStart w:id="272" w:name="_Toc139991743"/>
      <w:bookmarkStart w:id="273" w:name="_Toc128310496"/>
      <w:bookmarkStart w:id="274" w:name="_Toc18000"/>
      <w:bookmarkStart w:id="275" w:name="_Toc31611"/>
      <w:bookmarkStart w:id="276" w:name="_Toc32030"/>
      <w:bookmarkStart w:id="277" w:name="_Toc20102"/>
      <w:bookmarkStart w:id="278" w:name="_Toc26114"/>
      <w:bookmarkStart w:id="279" w:name="_Toc21642"/>
      <w:bookmarkStart w:id="280" w:name="_Toc3054"/>
      <w:bookmarkStart w:id="281" w:name="_Toc20782"/>
      <w:bookmarkStart w:id="282" w:name="_Toc13819"/>
      <w:bookmarkStart w:id="283" w:name="_Toc516479991"/>
      <w:r>
        <w:rPr>
          <w:rFonts w:ascii="Times New Roman"/>
          <w:color w:val="auto"/>
          <w:sz w:val="32"/>
          <w:szCs w:val="21"/>
        </w:rPr>
        <w:lastRenderedPageBreak/>
        <w:t>第十</w:t>
      </w:r>
      <w:r>
        <w:rPr>
          <w:rFonts w:ascii="Times New Roman" w:hint="eastAsia"/>
          <w:color w:val="auto"/>
          <w:sz w:val="32"/>
          <w:szCs w:val="21"/>
        </w:rPr>
        <w:t>四</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w:t>
      </w:r>
      <w:bookmarkEnd w:id="267"/>
      <w:bookmarkEnd w:id="268"/>
      <w:r>
        <w:rPr>
          <w:rFonts w:ascii="Times New Roman"/>
          <w:color w:val="auto"/>
          <w:sz w:val="32"/>
          <w:szCs w:val="21"/>
        </w:rPr>
        <w:t>的财产</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一、基金资产总值</w:t>
      </w:r>
    </w:p>
    <w:p w:rsidR="006E1FE1" w:rsidRDefault="00F51CE7">
      <w:pPr>
        <w:adjustRightInd w:val="0"/>
        <w:snapToGrid w:val="0"/>
        <w:spacing w:line="360" w:lineRule="auto"/>
        <w:ind w:firstLine="420"/>
        <w:rPr>
          <w:rFonts w:ascii="宋体" w:hAnsi="宋体"/>
          <w:szCs w:val="21"/>
        </w:rPr>
      </w:pPr>
      <w:r>
        <w:rPr>
          <w:rFonts w:ascii="宋体" w:hAnsi="宋体"/>
          <w:szCs w:val="21"/>
        </w:rPr>
        <w:t>基金资产总值是指购买的各类证券及票据价值、银行存款本息和基金应收的申购基金款以及其他投资所形成的价值总和。</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二、基金资产净值</w:t>
      </w:r>
    </w:p>
    <w:p w:rsidR="006E1FE1" w:rsidRDefault="00F51CE7">
      <w:pPr>
        <w:adjustRightInd w:val="0"/>
        <w:snapToGrid w:val="0"/>
        <w:spacing w:line="360" w:lineRule="auto"/>
        <w:ind w:firstLine="420"/>
        <w:rPr>
          <w:rFonts w:ascii="宋体" w:hAnsi="宋体"/>
          <w:szCs w:val="21"/>
        </w:rPr>
      </w:pPr>
      <w:r>
        <w:rPr>
          <w:rFonts w:ascii="宋体" w:hAnsi="宋体"/>
          <w:szCs w:val="21"/>
        </w:rPr>
        <w:t>基金资产净值是指基金资产总值减去基金负债后的价值。</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三、基金财产的账户</w:t>
      </w:r>
    </w:p>
    <w:p w:rsidR="006E1FE1" w:rsidRDefault="00F51CE7">
      <w:pPr>
        <w:adjustRightInd w:val="0"/>
        <w:snapToGrid w:val="0"/>
        <w:spacing w:line="360" w:lineRule="auto"/>
        <w:ind w:firstLine="420"/>
        <w:rPr>
          <w:rFonts w:ascii="宋体" w:hAnsi="宋体"/>
          <w:szCs w:val="21"/>
        </w:rPr>
      </w:pPr>
      <w:r>
        <w:rPr>
          <w:rFonts w:ascii="宋体" w:hAnsi="宋体"/>
          <w:szCs w:val="21"/>
        </w:rPr>
        <w:t>基金托管人根据相关法律法规、规范性文件为本基金开立资金</w:t>
      </w:r>
      <w:r>
        <w:rPr>
          <w:rFonts w:ascii="宋体" w:hAnsi="宋体" w:hint="eastAsia"/>
          <w:szCs w:val="21"/>
        </w:rPr>
        <w:t>账户</w:t>
      </w:r>
      <w:r>
        <w:rPr>
          <w:rFonts w:ascii="宋体" w:hAnsi="宋体"/>
          <w:szCs w:val="21"/>
        </w:rPr>
        <w:t>、证券</w:t>
      </w:r>
      <w:r>
        <w:rPr>
          <w:rFonts w:ascii="宋体" w:hAnsi="宋体" w:hint="eastAsia"/>
          <w:szCs w:val="21"/>
        </w:rPr>
        <w:t>账户</w:t>
      </w:r>
      <w:r>
        <w:rPr>
          <w:rFonts w:ascii="宋体" w:hAnsi="宋体"/>
          <w:szCs w:val="21"/>
        </w:rPr>
        <w:t>以及投资所</w:t>
      </w:r>
      <w:bookmarkStart w:id="284" w:name="_Hlt88841837"/>
      <w:bookmarkEnd w:id="284"/>
      <w:r>
        <w:rPr>
          <w:rFonts w:ascii="宋体" w:hAnsi="宋体"/>
          <w:szCs w:val="21"/>
        </w:rPr>
        <w:t>需的其他专用</w:t>
      </w:r>
      <w:r>
        <w:rPr>
          <w:rFonts w:ascii="宋体" w:hAnsi="宋体" w:hint="eastAsia"/>
          <w:szCs w:val="21"/>
        </w:rPr>
        <w:t>账户</w:t>
      </w:r>
      <w:r>
        <w:rPr>
          <w:rFonts w:ascii="宋体" w:hAnsi="宋体"/>
          <w:szCs w:val="21"/>
        </w:rPr>
        <w:t>。开立的基金</w:t>
      </w:r>
      <w:bookmarkStart w:id="285" w:name="_Hlt88900062"/>
      <w:bookmarkEnd w:id="285"/>
      <w:r>
        <w:rPr>
          <w:rFonts w:ascii="宋体" w:hAnsi="宋体"/>
          <w:szCs w:val="21"/>
        </w:rPr>
        <w:t>专用账户与基金管理人、基金托管人、基金销售机构和基金登记机构自有的财产账户以及其他基金财产账户相独立。</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四、基金财产的保管和处分</w:t>
      </w:r>
    </w:p>
    <w:p w:rsidR="006E1FE1" w:rsidRDefault="00F51CE7">
      <w:pPr>
        <w:adjustRightInd w:val="0"/>
        <w:snapToGrid w:val="0"/>
        <w:spacing w:line="360" w:lineRule="auto"/>
        <w:ind w:firstLine="420"/>
        <w:rPr>
          <w:rFonts w:ascii="宋体" w:hAnsi="宋体"/>
          <w:szCs w:val="21"/>
        </w:rPr>
      </w:pPr>
      <w:r>
        <w:rPr>
          <w:rFonts w:ascii="宋体" w:hAnsi="宋体"/>
          <w:szCs w:val="21"/>
        </w:rPr>
        <w:t>本基金财产独立于基金管理人、基金托管人和基金</w:t>
      </w:r>
      <w:r>
        <w:rPr>
          <w:rFonts w:ascii="宋体" w:hAnsi="宋体" w:hint="eastAsia"/>
          <w:szCs w:val="21"/>
        </w:rPr>
        <w:t>销售</w:t>
      </w:r>
      <w:r>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E1FE1" w:rsidRDefault="00F51CE7">
      <w:pPr>
        <w:adjustRightInd w:val="0"/>
        <w:snapToGrid w:val="0"/>
        <w:spacing w:line="360" w:lineRule="auto"/>
        <w:ind w:firstLineChars="200" w:firstLine="420"/>
        <w:rPr>
          <w:rFonts w:ascii="宋体" w:hAnsi="宋体"/>
          <w:bCs/>
          <w:szCs w:val="21"/>
        </w:rPr>
      </w:pPr>
      <w:r>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6E1FE1" w:rsidRDefault="006E1FE1">
      <w:pPr>
        <w:adjustRightInd w:val="0"/>
        <w:snapToGrid w:val="0"/>
        <w:spacing w:line="360" w:lineRule="auto"/>
        <w:ind w:firstLineChars="200" w:firstLine="420"/>
        <w:rPr>
          <w:rFonts w:ascii="宋体" w:hAnsi="宋体"/>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286" w:name="_Toc17782"/>
      <w:bookmarkStart w:id="287" w:name="_Toc7802"/>
      <w:bookmarkStart w:id="288" w:name="_Toc19714"/>
      <w:bookmarkStart w:id="289" w:name="_Toc31917"/>
      <w:bookmarkStart w:id="290" w:name="_Toc27832"/>
      <w:bookmarkStart w:id="291" w:name="_Toc871"/>
      <w:bookmarkStart w:id="292" w:name="_Toc2623"/>
      <w:bookmarkStart w:id="293" w:name="_Toc516479992"/>
      <w:bookmarkStart w:id="294" w:name="_Toc139991744"/>
      <w:bookmarkStart w:id="295" w:name="_Toc141703894"/>
      <w:r>
        <w:rPr>
          <w:rFonts w:ascii="Times New Roman"/>
          <w:color w:val="auto"/>
          <w:sz w:val="32"/>
          <w:szCs w:val="21"/>
        </w:rPr>
        <w:lastRenderedPageBreak/>
        <w:t>第十</w:t>
      </w:r>
      <w:r>
        <w:rPr>
          <w:rFonts w:ascii="Times New Roman" w:hint="eastAsia"/>
          <w:color w:val="auto"/>
          <w:sz w:val="32"/>
          <w:szCs w:val="21"/>
        </w:rPr>
        <w:t>五</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基金资产估值</w:t>
      </w:r>
      <w:bookmarkEnd w:id="286"/>
      <w:bookmarkEnd w:id="287"/>
      <w:bookmarkEnd w:id="288"/>
      <w:bookmarkEnd w:id="289"/>
      <w:bookmarkEnd w:id="290"/>
      <w:bookmarkEnd w:id="291"/>
      <w:bookmarkEnd w:id="292"/>
      <w:bookmarkEnd w:id="293"/>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bookmarkStart w:id="296" w:name="_Toc141703895"/>
      <w:bookmarkStart w:id="297" w:name="_Toc32046"/>
      <w:bookmarkStart w:id="298" w:name="_Toc139991745"/>
      <w:bookmarkEnd w:id="294"/>
      <w:bookmarkEnd w:id="295"/>
      <w:r>
        <w:rPr>
          <w:rFonts w:ascii="宋体" w:hAnsi="宋体" w:hint="eastAsia"/>
          <w:b/>
          <w:szCs w:val="21"/>
        </w:rPr>
        <w:t>一、估值日</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本基金的估值日为本基金相关的证券交易场所的交易日以及国家法律法规规定需要对外披露基金净值的非交易日。</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二、估值对象</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基金所拥有的股票、债券、金融衍生品和其他投资等持续以公允价值计量的金融资产及负债。</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三、估值原则</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基金管理人在确定相关金融资产和金融负债的公允价值时，应符合《企业会计准则》、监管部门有关规定。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（三）如经济环境发生重大变化或证券发行人发生影响证券价格的重大事件，使潜在估值调整对前一估值日的基金资产净值的影响在0.25%以上的，应对估值进行调整并确定公允价值。</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四、估值方法</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1、证券交易所上市的有价证券的估值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（1）交易所上市的有价证券（包括股票等），以其估值日在证券交易所挂牌的市价（收盘价）估值；估值日无交易的，且最近交易日后经济环境未发生重大变化或证券发行机构未</w:t>
      </w:r>
      <w:r>
        <w:rPr>
          <w:rFonts w:ascii="宋体" w:hAnsi="宋体" w:hint="eastAsia"/>
          <w:szCs w:val="21"/>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（2）交易所上市交易或挂牌转让的不含权固定收益品种，选取估值日第三方估值机构提供的相应品种当日的估值净价进行估值；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（3）交易所上市交易或挂牌转让的含权固定收益品种，选取估值日第三方估值机构提供的相应品种当日的唯一估值净价或推荐估值净价进行估值；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（4）交易所上市交易的可转换债券以每日收盘价作为估值全价；</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（5）交易所上市不存在活跃市场的有价证券，采用估值技术确定公允价值。交易所市场挂牌转让的资产支持证券，采用估值技术确定公允价值；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2、处于未上市期间的有价证券应区分如下情况处理：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（1）送股、转增股、配股和公开增发的股票，按估值日在证券交易所挂牌的同一股票的估值方法估值；该日无交易的，以最近一日的市价（收盘价）估值；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（2）首次公开发行未上市或未挂牌转让的股票和债券，采用估值技术确定公允价值，在估值技术难以可靠计量公允价值的情况下，按成本估值；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4、同一证券同时在两个或两个以上市场交易的，按证券所处的市场分别估值。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5、本基金投资股指期货、国债期货、股票期权合约，按估值当日结算价进行估值，估值当日无结算价的，且最近交易日后经济环境未发生重大变化的，采用最近交易日结算价估值。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6、估值计算中涉及港币对人民币汇率的，将依据下列信息提供机构所提供的汇率为基</w:t>
      </w:r>
      <w:r>
        <w:rPr>
          <w:rFonts w:ascii="宋体" w:hAnsi="宋体" w:hint="eastAsia"/>
          <w:szCs w:val="21"/>
        </w:rPr>
        <w:lastRenderedPageBreak/>
        <w:t>准：当日中国人民银行或其授权机构公布的人民币与港币的中间价。</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7、如有确凿证据表明按原有方法进行估值不能客观反映上述资产或负债其公允价值的，基金管理人可根据具体情况与基金托管人商定后，按最能反映公允价值的价格估值。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8、当发生大额申购或赎回情形时，基金管理人可以采用摆动定价机制，以确保基金估值的公平性。</w:t>
      </w:r>
    </w:p>
    <w:p w:rsidR="005969D1" w:rsidRDefault="00F51CE7">
      <w:pPr>
        <w:adjustRightInd w:val="0"/>
        <w:snapToGrid w:val="0"/>
        <w:spacing w:line="360" w:lineRule="auto"/>
        <w:ind w:firstLineChars="200" w:firstLine="420"/>
        <w:rPr>
          <w:rFonts w:ascii="宋体" w:hAnsi="宋体"/>
          <w:szCs w:val="21"/>
        </w:rPr>
      </w:pPr>
      <w:r>
        <w:rPr>
          <w:rFonts w:ascii="宋体" w:hAnsi="宋体" w:hint="eastAsia"/>
          <w:szCs w:val="21"/>
        </w:rPr>
        <w:t>9、</w:t>
      </w:r>
      <w:r w:rsidR="00641700" w:rsidRPr="00641700">
        <w:rPr>
          <w:rFonts w:ascii="宋体" w:hAnsi="宋体" w:hint="eastAsia"/>
          <w:szCs w:val="21"/>
        </w:rPr>
        <w:t>本基金投资存托凭证的估值核算依照内地上市交易的股票执行。</w:t>
      </w:r>
    </w:p>
    <w:p w:rsidR="006E1FE1" w:rsidRDefault="005969D1">
      <w:pPr>
        <w:adjustRightInd w:val="0"/>
        <w:snapToGrid w:val="0"/>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sidR="00F51CE7">
        <w:rPr>
          <w:rFonts w:ascii="宋体" w:hAnsi="宋体" w:hint="eastAsia"/>
          <w:szCs w:val="21"/>
        </w:rPr>
        <w:t>相关法律法规以及监管部门、自律规则另有强制规定的，从其规定。如有新增事项，按国家最新规定估值。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五、估值程序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基金管理人应每个工作日计算基金资产净值及基金份额净值，并按规定披露。</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约定对外公布。</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六、估值错误的处理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基金管理人和基金托管人将采取必要、适当、合理的措施确保基金资产估值的准确性、及时性。当基金份额净值小数点后4位以内(含第4位)发生估值错误时，视为基金份额净值错误。</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本基金合同的当事人应按照以下约定处理：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1、估值错误类型</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w:t>
      </w:r>
      <w:r>
        <w:rPr>
          <w:rFonts w:ascii="宋体" w:hAnsi="宋体" w:hint="eastAsia"/>
          <w:szCs w:val="21"/>
        </w:rPr>
        <w:lastRenderedPageBreak/>
        <w:t>承担赔偿责任。</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2、估值错误处理原则</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（2）估值错误的责任方对有关当事人的直接损失负责，不对间接损失负责，并且仅对估值错误的有关直接当事人负责，不对第三方负责。</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（4）估值错误调整采用尽量恢复至假设未发生估值错误的正确情形的方式。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3、估值错误处理程序</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估值错误被发现后，有关的当事人应当及时进行处理，处理的程序如下：</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（1）查明估值错误发生的原因，列明所有的当事人，并根据估值错误发生的原因确定估值错误的责任方；</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（2）根据估值错误处理原则或当事人协商的方法对因估值错误造成的损失进行评估；</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（3）根据估值错误处理原则或当事人协商的方法由估值错误的责任方进行更正和赔偿损失；</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（4）根据估值错误处理的方法，需要修改基金登记机构交易数据的，由基金登记机构进行更正，并就估值错误的更正向有关当事人进行确认。</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4、基金份额净值估值错误处理的方法如下：</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（1）基金份额净值计算出现错误时，基金管理人应当立即予以纠正，通报基金托管人，</w:t>
      </w:r>
      <w:r>
        <w:rPr>
          <w:rFonts w:ascii="宋体" w:hAnsi="宋体" w:hint="eastAsia"/>
          <w:szCs w:val="21"/>
        </w:rPr>
        <w:lastRenderedPageBreak/>
        <w:t>并采取合理的措施防止损失进一步扩大。</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（2）错误偏差达到基金份额净值的0.25%时，基金管理人应当通报基金托管人并报中国证监会备案；错误偏差达到基金份额净值的0.5%时，基金管理人应当公告，并报中国证监会备案。</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（3）当基金份额净值计算差错给基金和基金份额持有人造成损失需要进行赔偿时，基金管理人和基金托管人应根据实际情况界定双方承担的责任，经确认后按以下条款进行赔偿：</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（4）前述内容如法律法规或监管机关另有规定的，从其规定处理。</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七、暂停估值的情形</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1、基金投资所涉及的证券/期货交易市场遇法定节假日或因其他原因暂停营业时；</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2、因不可抗力致使基金管理人、基金托管人无法准确评估基金资产价值时；</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3、当前一估值日基金资产净值 50%以上的资产出现无可参考的活跃市场价格且采用估值技术仍导致公允价值存在重大不确定性时，经与基金托管人协商确认后，基金管理人应当暂停估值；</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4、中国证监会和基金合同认定的其它情形。</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八、基金净值的确认</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基金资产净值和基金份额净值由基金管理人负责计算，基金托管人负责进行复核。基金管理人应于每个</w:t>
      </w:r>
      <w:r>
        <w:rPr>
          <w:rFonts w:ascii="宋体" w:hAnsi="宋体"/>
          <w:szCs w:val="21"/>
        </w:rPr>
        <w:t>工作</w:t>
      </w:r>
      <w:r>
        <w:rPr>
          <w:rFonts w:ascii="宋体" w:hAnsi="宋体" w:hint="eastAsia"/>
          <w:szCs w:val="21"/>
        </w:rPr>
        <w:t>日交易结束后计算当日的基金资产净值和基金份额净值并发送给基金托管人。基金托管人对净值计算结果复核确认后发送给基金管理人，由基金管理人对基金净值按约定予以公布。</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九、特殊情况的处理</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1、基金管理人或基金托管人按估值方法的第7项进行估值时，所造成的误差不作为基金资产估值错误处理。</w:t>
      </w:r>
    </w:p>
    <w:p w:rsidR="006E1FE1" w:rsidRDefault="00F51CE7">
      <w:pPr>
        <w:adjustRightInd w:val="0"/>
        <w:snapToGrid w:val="0"/>
        <w:spacing w:line="360" w:lineRule="auto"/>
        <w:ind w:firstLineChars="200" w:firstLine="420"/>
        <w:rPr>
          <w:bCs/>
          <w:szCs w:val="21"/>
        </w:rPr>
      </w:pPr>
      <w:r>
        <w:rPr>
          <w:rFonts w:ascii="宋体" w:hAnsi="宋体" w:hint="eastAsia"/>
          <w:szCs w:val="21"/>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299" w:name="_Toc24601"/>
      <w:bookmarkStart w:id="300" w:name="_Toc19706"/>
      <w:bookmarkStart w:id="301" w:name="_Toc6493"/>
      <w:bookmarkStart w:id="302" w:name="_Toc15779"/>
      <w:bookmarkStart w:id="303" w:name="_Toc32227"/>
      <w:bookmarkStart w:id="304" w:name="_Toc12105"/>
      <w:bookmarkStart w:id="305" w:name="_Toc13987"/>
      <w:bookmarkStart w:id="306" w:name="_Toc3365"/>
      <w:bookmarkStart w:id="307" w:name="_Toc516479993"/>
      <w:bookmarkStart w:id="308" w:name="_Toc32041"/>
      <w:bookmarkStart w:id="309" w:name="_Toc19752"/>
      <w:r>
        <w:rPr>
          <w:rFonts w:ascii="Times New Roman"/>
          <w:color w:val="auto"/>
          <w:sz w:val="32"/>
          <w:szCs w:val="21"/>
        </w:rPr>
        <w:lastRenderedPageBreak/>
        <w:t>第十</w:t>
      </w:r>
      <w:r>
        <w:rPr>
          <w:rFonts w:ascii="Times New Roman" w:hint="eastAsia"/>
          <w:color w:val="auto"/>
          <w:sz w:val="32"/>
          <w:szCs w:val="21"/>
        </w:rPr>
        <w:t>六</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基金费用与税收</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一、基金费用的种类</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基金费用的种类如下：</w:t>
      </w:r>
    </w:p>
    <w:p w:rsidR="006E1FE1" w:rsidRDefault="00F51CE7">
      <w:pPr>
        <w:adjustRightInd w:val="0"/>
        <w:snapToGrid w:val="0"/>
        <w:spacing w:line="360" w:lineRule="auto"/>
        <w:ind w:firstLine="420"/>
        <w:rPr>
          <w:rFonts w:ascii="宋体" w:hAnsi="宋体"/>
          <w:szCs w:val="21"/>
        </w:rPr>
      </w:pPr>
      <w:r>
        <w:rPr>
          <w:rFonts w:ascii="宋体" w:hAnsi="宋体"/>
          <w:szCs w:val="21"/>
        </w:rPr>
        <w:t>1、基金管理人的管理费；</w:t>
      </w:r>
    </w:p>
    <w:p w:rsidR="006E1FE1" w:rsidRDefault="00F51CE7">
      <w:pPr>
        <w:adjustRightInd w:val="0"/>
        <w:snapToGrid w:val="0"/>
        <w:spacing w:line="360" w:lineRule="auto"/>
        <w:ind w:firstLine="420"/>
        <w:rPr>
          <w:rFonts w:ascii="宋体" w:hAnsi="宋体"/>
          <w:szCs w:val="21"/>
        </w:rPr>
      </w:pPr>
      <w:r>
        <w:rPr>
          <w:rFonts w:ascii="宋体" w:hAnsi="宋体"/>
          <w:szCs w:val="21"/>
        </w:rPr>
        <w:t>2、基金托管人的托管费；</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3、基金上市费用及年费；</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、《基金合同》生效后与基金相关的信息披露费用；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5</w:t>
      </w:r>
      <w:r>
        <w:rPr>
          <w:rFonts w:ascii="宋体" w:hAnsi="宋体"/>
          <w:szCs w:val="21"/>
        </w:rPr>
        <w:t>、《基金合同》生效后与基金相关的会计师费、律师费</w:t>
      </w:r>
      <w:r>
        <w:rPr>
          <w:rFonts w:ascii="宋体" w:hAnsi="宋体" w:hint="eastAsia"/>
          <w:szCs w:val="21"/>
        </w:rPr>
        <w:t>、审计费、</w:t>
      </w:r>
      <w:r>
        <w:rPr>
          <w:rFonts w:ascii="宋体" w:hAnsi="宋体"/>
          <w:szCs w:val="21"/>
        </w:rPr>
        <w:t>诉讼费</w:t>
      </w:r>
      <w:r>
        <w:rPr>
          <w:rFonts w:ascii="宋体" w:hAnsi="宋体" w:hint="eastAsia"/>
          <w:szCs w:val="21"/>
        </w:rPr>
        <w:t>和仲裁费</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6</w:t>
      </w:r>
      <w:r>
        <w:rPr>
          <w:rFonts w:ascii="宋体" w:hAnsi="宋体"/>
          <w:szCs w:val="21"/>
        </w:rPr>
        <w:t>、基金份额持有人大会费用；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7</w:t>
      </w:r>
      <w:r>
        <w:rPr>
          <w:rFonts w:ascii="宋体" w:hAnsi="宋体"/>
          <w:szCs w:val="21"/>
        </w:rPr>
        <w:t>、基金的证券</w:t>
      </w:r>
      <w:r>
        <w:rPr>
          <w:rFonts w:ascii="宋体" w:hAnsi="宋体" w:hint="eastAsia"/>
          <w:szCs w:val="21"/>
        </w:rPr>
        <w:t>/期货</w:t>
      </w:r>
      <w:r>
        <w:rPr>
          <w:rFonts w:ascii="宋体" w:hAnsi="宋体"/>
          <w:szCs w:val="21"/>
        </w:rPr>
        <w:t>交易费用；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8</w:t>
      </w:r>
      <w:r>
        <w:rPr>
          <w:rFonts w:ascii="宋体" w:hAnsi="宋体"/>
          <w:szCs w:val="21"/>
        </w:rPr>
        <w:t>、基金的银行汇划费用；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9</w:t>
      </w:r>
      <w:r>
        <w:rPr>
          <w:rFonts w:ascii="宋体" w:hAnsi="宋体"/>
          <w:szCs w:val="21"/>
        </w:rPr>
        <w:t>、</w:t>
      </w:r>
      <w:r>
        <w:rPr>
          <w:rFonts w:ascii="宋体" w:hAnsi="宋体" w:hint="eastAsia"/>
          <w:szCs w:val="21"/>
        </w:rPr>
        <w:t>基金相关账户的开户及维护费用；</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、因投资港股通股票而产生的各项合理费用；</w:t>
      </w:r>
    </w:p>
    <w:p w:rsidR="006E1FE1" w:rsidRDefault="00F51CE7">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1、按照国家有关规定和《基金合同》约定，可以在基金财产中列支的其他费用。</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二、基金费用计提方法、计提标准和支付方式</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1、基金管理人的管理费 </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本基金的管理费按前一日基金资产净值的1</w:t>
      </w:r>
      <w:r>
        <w:rPr>
          <w:rFonts w:asciiTheme="minorEastAsia" w:eastAsiaTheme="minorEastAsia" w:hAnsiTheme="minorEastAsia" w:hint="eastAsia"/>
          <w:bCs/>
          <w:szCs w:val="21"/>
        </w:rPr>
        <w:t>.</w:t>
      </w:r>
      <w:r>
        <w:rPr>
          <w:rFonts w:asciiTheme="minorEastAsia" w:eastAsiaTheme="minorEastAsia" w:hAnsiTheme="minorEastAsia"/>
          <w:bCs/>
          <w:szCs w:val="21"/>
        </w:rPr>
        <w:t>5%年费率计提。管理费的计算方法如下：</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H＝E×</w:t>
      </w:r>
      <w:r>
        <w:rPr>
          <w:rFonts w:asciiTheme="minorEastAsia" w:eastAsiaTheme="minorEastAsia" w:hAnsiTheme="minorEastAsia" w:hint="eastAsia"/>
          <w:bCs/>
          <w:szCs w:val="21"/>
        </w:rPr>
        <w:t>年管理费率</w:t>
      </w:r>
      <w:r>
        <w:rPr>
          <w:rFonts w:asciiTheme="minorEastAsia" w:eastAsiaTheme="minorEastAsia" w:hAnsiTheme="minorEastAsia"/>
          <w:bCs/>
          <w:szCs w:val="21"/>
        </w:rPr>
        <w:t>÷当年天数</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H为每日应计提的基金管理费</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E为前一日的基金资产净值</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基金管理费每日</w:t>
      </w:r>
      <w:r>
        <w:rPr>
          <w:rFonts w:asciiTheme="minorEastAsia" w:eastAsiaTheme="minorEastAsia" w:hAnsiTheme="minorEastAsia" w:hint="eastAsia"/>
          <w:bCs/>
          <w:szCs w:val="21"/>
        </w:rPr>
        <w:t>计提</w:t>
      </w:r>
      <w:r>
        <w:rPr>
          <w:rFonts w:asciiTheme="minorEastAsia" w:eastAsiaTheme="minorEastAsia" w:hAnsiTheme="minorEastAsia"/>
          <w:bCs/>
          <w:szCs w:val="21"/>
        </w:rPr>
        <w:t>，逐日累计至每月月末，按月支付，</w:t>
      </w:r>
      <w:r>
        <w:rPr>
          <w:rFonts w:asciiTheme="minorEastAsia" w:eastAsiaTheme="minorEastAsia" w:hAnsiTheme="minorEastAsia" w:hint="eastAsia"/>
          <w:bCs/>
          <w:szCs w:val="21"/>
        </w:rPr>
        <w:t>经基金管理人与基金托管人双方核对无误后，基金托管人按照与基金管理人协商一致的方式于次月前5个工作日内从基金财产中一次性支付给基金管理人</w:t>
      </w:r>
      <w:r>
        <w:rPr>
          <w:rFonts w:asciiTheme="minorEastAsia" w:eastAsiaTheme="minorEastAsia" w:hAnsiTheme="minorEastAsia"/>
          <w:bCs/>
          <w:szCs w:val="21"/>
        </w:rPr>
        <w:t>。若遇法定节假日、公休</w:t>
      </w:r>
      <w:r>
        <w:rPr>
          <w:rFonts w:asciiTheme="minorEastAsia" w:eastAsiaTheme="minorEastAsia" w:hAnsiTheme="minorEastAsia" w:hint="eastAsia"/>
          <w:bCs/>
          <w:szCs w:val="21"/>
        </w:rPr>
        <w:t>日</w:t>
      </w:r>
      <w:r>
        <w:rPr>
          <w:rFonts w:asciiTheme="minorEastAsia" w:eastAsiaTheme="minorEastAsia" w:hAnsiTheme="minorEastAsia"/>
          <w:bCs/>
          <w:szCs w:val="21"/>
        </w:rPr>
        <w:t>等,支付日期顺延。</w:t>
      </w:r>
      <w:r>
        <w:rPr>
          <w:rFonts w:asciiTheme="minorEastAsia" w:eastAsiaTheme="minorEastAsia" w:hAnsiTheme="minorEastAsia" w:hint="eastAsia"/>
          <w:bCs/>
          <w:szCs w:val="21"/>
        </w:rPr>
        <w:t>费用扣划后，管理人应进行核对，如发现数据不符，及时联系托管人协商解决。</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2、基金托管人的托管费</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本基金的托管费按前一日基金资产净值的0</w:t>
      </w:r>
      <w:r>
        <w:rPr>
          <w:rFonts w:asciiTheme="minorEastAsia" w:eastAsiaTheme="minorEastAsia" w:hAnsiTheme="minorEastAsia" w:hint="eastAsia"/>
          <w:bCs/>
          <w:szCs w:val="21"/>
        </w:rPr>
        <w:t>.</w:t>
      </w:r>
      <w:r>
        <w:rPr>
          <w:rFonts w:asciiTheme="minorEastAsia" w:eastAsiaTheme="minorEastAsia" w:hAnsiTheme="minorEastAsia"/>
          <w:bCs/>
          <w:szCs w:val="21"/>
        </w:rPr>
        <w:t>25%的年费率计提。托管费的计算方法如下：</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H＝E×</w:t>
      </w:r>
      <w:r>
        <w:rPr>
          <w:rFonts w:asciiTheme="minorEastAsia" w:eastAsiaTheme="minorEastAsia" w:hAnsiTheme="minorEastAsia" w:hint="eastAsia"/>
          <w:bCs/>
          <w:szCs w:val="21"/>
        </w:rPr>
        <w:t>年托管费率</w:t>
      </w:r>
      <w:r>
        <w:rPr>
          <w:rFonts w:asciiTheme="minorEastAsia" w:eastAsiaTheme="minorEastAsia" w:hAnsiTheme="minorEastAsia"/>
          <w:bCs/>
          <w:szCs w:val="21"/>
        </w:rPr>
        <w:t>÷当年天数</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H为每日应计提的基金托管费</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E为前一日的基金资产净值</w:t>
      </w:r>
    </w:p>
    <w:p w:rsidR="006E1FE1" w:rsidRDefault="00F51CE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基金托管费每日</w:t>
      </w:r>
      <w:r>
        <w:rPr>
          <w:rFonts w:asciiTheme="minorEastAsia" w:eastAsiaTheme="minorEastAsia" w:hAnsiTheme="minorEastAsia" w:hint="eastAsia"/>
          <w:bCs/>
          <w:szCs w:val="21"/>
        </w:rPr>
        <w:t>计提</w:t>
      </w:r>
      <w:r>
        <w:rPr>
          <w:rFonts w:asciiTheme="minorEastAsia" w:eastAsiaTheme="minorEastAsia" w:hAnsiTheme="minorEastAsia"/>
          <w:bCs/>
          <w:szCs w:val="21"/>
        </w:rPr>
        <w:t>，逐日累计至每月月末，按月支付，</w:t>
      </w:r>
      <w:r>
        <w:rPr>
          <w:rFonts w:asciiTheme="minorEastAsia" w:eastAsiaTheme="minorEastAsia" w:hAnsiTheme="minorEastAsia" w:hint="eastAsia"/>
          <w:bCs/>
          <w:szCs w:val="21"/>
        </w:rPr>
        <w:t>经基金管理人与基金托管人双方核对无误后，基金托管人按照与基金管理人协商一致的方式于次月前5个工作日内从基金财产中一次性支取</w:t>
      </w:r>
      <w:r>
        <w:rPr>
          <w:rFonts w:asciiTheme="minorEastAsia" w:eastAsiaTheme="minorEastAsia" w:hAnsiTheme="minorEastAsia"/>
          <w:bCs/>
          <w:szCs w:val="21"/>
        </w:rPr>
        <w:t>。若遇法定节假日、公休日等,支付日期顺延。</w:t>
      </w:r>
      <w:r>
        <w:rPr>
          <w:rFonts w:asciiTheme="minorEastAsia" w:eastAsiaTheme="minorEastAsia" w:hAnsiTheme="minorEastAsia" w:hint="eastAsia"/>
          <w:bCs/>
          <w:szCs w:val="21"/>
        </w:rPr>
        <w:t>费用扣划后，管理人应进行核对，如发现数据不符，及时联系托管人协商解决。</w:t>
      </w:r>
    </w:p>
    <w:p w:rsidR="006E1FE1" w:rsidRDefault="00F51CE7">
      <w:pPr>
        <w:adjustRightInd w:val="0"/>
        <w:snapToGrid w:val="0"/>
        <w:spacing w:line="360" w:lineRule="auto"/>
        <w:ind w:firstLine="420"/>
        <w:rPr>
          <w:rFonts w:ascii="宋体" w:hAnsi="宋体"/>
          <w:szCs w:val="21"/>
        </w:rPr>
      </w:pPr>
      <w:r>
        <w:rPr>
          <w:rFonts w:ascii="宋体" w:hAnsi="宋体"/>
          <w:szCs w:val="21"/>
        </w:rPr>
        <w:t>上述“一、基金费用的种类</w:t>
      </w:r>
      <w:r>
        <w:rPr>
          <w:rFonts w:ascii="宋体" w:hAnsi="宋体" w:hint="eastAsia"/>
          <w:szCs w:val="21"/>
        </w:rPr>
        <w:t>”</w:t>
      </w:r>
      <w:r>
        <w:rPr>
          <w:rFonts w:ascii="宋体" w:hAnsi="宋体"/>
          <w:szCs w:val="21"/>
        </w:rPr>
        <w:t>中第3－</w:t>
      </w:r>
      <w:r>
        <w:rPr>
          <w:rFonts w:ascii="宋体" w:hAnsi="宋体" w:hint="eastAsia"/>
          <w:bCs/>
          <w:szCs w:val="21"/>
        </w:rPr>
        <w:t>11</w:t>
      </w:r>
      <w:r>
        <w:rPr>
          <w:rFonts w:ascii="宋体" w:hAnsi="宋体"/>
          <w:szCs w:val="21"/>
        </w:rPr>
        <w:t>项费用，根据有关法规及相应协议规定，按费用实际支出金额列入当期费用，由基金托管人从基金财产中支付。</w:t>
      </w:r>
    </w:p>
    <w:p w:rsidR="006E1FE1" w:rsidRDefault="006E1FE1">
      <w:pPr>
        <w:adjustRightInd w:val="0"/>
        <w:snapToGrid w:val="0"/>
        <w:spacing w:line="360" w:lineRule="auto"/>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三</w:t>
      </w:r>
      <w:r>
        <w:rPr>
          <w:rFonts w:ascii="宋体" w:hAnsi="宋体"/>
          <w:b/>
          <w:szCs w:val="21"/>
        </w:rPr>
        <w:t>、不列入基金费用的项目</w:t>
      </w:r>
    </w:p>
    <w:p w:rsidR="006E1FE1" w:rsidRDefault="00F51CE7">
      <w:pPr>
        <w:adjustRightInd w:val="0"/>
        <w:snapToGrid w:val="0"/>
        <w:spacing w:line="360" w:lineRule="auto"/>
        <w:ind w:firstLine="420"/>
        <w:rPr>
          <w:rFonts w:ascii="宋体" w:hAnsi="宋体"/>
          <w:szCs w:val="21"/>
        </w:rPr>
      </w:pPr>
      <w:r>
        <w:rPr>
          <w:rFonts w:ascii="宋体" w:hAnsi="宋体"/>
          <w:szCs w:val="21"/>
        </w:rPr>
        <w:t>下列费用不列入基金费用：</w:t>
      </w:r>
    </w:p>
    <w:p w:rsidR="006E1FE1" w:rsidRDefault="00F51CE7">
      <w:pPr>
        <w:adjustRightInd w:val="0"/>
        <w:snapToGrid w:val="0"/>
        <w:spacing w:line="360" w:lineRule="auto"/>
        <w:ind w:firstLine="420"/>
        <w:rPr>
          <w:rFonts w:ascii="宋体" w:hAnsi="宋体"/>
          <w:szCs w:val="21"/>
        </w:rPr>
      </w:pPr>
      <w:r>
        <w:rPr>
          <w:rFonts w:ascii="宋体" w:hAnsi="宋体"/>
          <w:szCs w:val="21"/>
        </w:rPr>
        <w:t>1、基金管理人和基金托管人因未履行或未完全履行义务导致的费用支出或基金财产的损失；</w:t>
      </w:r>
    </w:p>
    <w:p w:rsidR="006E1FE1" w:rsidRDefault="00F51CE7">
      <w:pPr>
        <w:adjustRightInd w:val="0"/>
        <w:snapToGrid w:val="0"/>
        <w:spacing w:line="360" w:lineRule="auto"/>
        <w:ind w:firstLine="420"/>
        <w:rPr>
          <w:rFonts w:ascii="宋体" w:hAnsi="宋体"/>
          <w:szCs w:val="21"/>
        </w:rPr>
      </w:pPr>
      <w:r>
        <w:rPr>
          <w:rFonts w:ascii="宋体" w:hAnsi="宋体"/>
          <w:szCs w:val="21"/>
        </w:rPr>
        <w:t>2、基金管理人和基金托管人处理与基金运作</w:t>
      </w:r>
      <w:bookmarkStart w:id="310" w:name="_Hlt88827255"/>
      <w:bookmarkEnd w:id="310"/>
      <w:r>
        <w:rPr>
          <w:rFonts w:ascii="宋体" w:hAnsi="宋体"/>
          <w:szCs w:val="21"/>
        </w:rPr>
        <w:t>无关的事项发生的费用；</w:t>
      </w:r>
    </w:p>
    <w:p w:rsidR="006E1FE1" w:rsidRDefault="00F51CE7">
      <w:pPr>
        <w:adjustRightInd w:val="0"/>
        <w:snapToGrid w:val="0"/>
        <w:spacing w:line="360" w:lineRule="auto"/>
        <w:ind w:firstLine="420"/>
        <w:rPr>
          <w:rFonts w:ascii="宋体" w:hAnsi="宋体"/>
          <w:szCs w:val="21"/>
        </w:rPr>
      </w:pPr>
      <w:r>
        <w:rPr>
          <w:rFonts w:ascii="宋体" w:hAnsi="宋体"/>
          <w:szCs w:val="21"/>
        </w:rPr>
        <w:t>3、《基金合同》生效前的相关费用；</w:t>
      </w:r>
    </w:p>
    <w:p w:rsidR="006E1FE1" w:rsidRDefault="00F51CE7">
      <w:pPr>
        <w:adjustRightInd w:val="0"/>
        <w:snapToGrid w:val="0"/>
        <w:spacing w:line="360" w:lineRule="auto"/>
        <w:ind w:firstLine="420"/>
        <w:rPr>
          <w:rFonts w:ascii="宋体" w:hAnsi="宋体"/>
          <w:szCs w:val="21"/>
        </w:rPr>
      </w:pPr>
      <w:r>
        <w:rPr>
          <w:rFonts w:ascii="宋体" w:hAnsi="宋体"/>
          <w:szCs w:val="21"/>
        </w:rPr>
        <w:t>4、其他根据相关法律法规及中国证监会的有关规定不得列入基金费用的项目。</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hint="eastAsia"/>
          <w:b/>
          <w:szCs w:val="21"/>
        </w:rPr>
        <w:t>四</w:t>
      </w:r>
      <w:r>
        <w:rPr>
          <w:rFonts w:ascii="宋体" w:hAnsi="宋体"/>
          <w:b/>
          <w:szCs w:val="21"/>
        </w:rPr>
        <w:t>、基金税收</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6E1FE1" w:rsidRDefault="00F51CE7">
      <w:pPr>
        <w:widowControl/>
        <w:jc w:val="left"/>
        <w:rPr>
          <w:rFonts w:ascii="宋体" w:hAnsi="宋体"/>
          <w:szCs w:val="21"/>
        </w:rPr>
      </w:pPr>
      <w:r>
        <w:rPr>
          <w:rFonts w:ascii="宋体" w:hAnsi="宋体"/>
          <w:szCs w:val="21"/>
        </w:rPr>
        <w:br w:type="page"/>
      </w:r>
    </w:p>
    <w:p w:rsidR="006E1FE1" w:rsidRDefault="006E1FE1">
      <w:pPr>
        <w:adjustRightInd w:val="0"/>
        <w:snapToGrid w:val="0"/>
        <w:spacing w:line="360" w:lineRule="auto"/>
        <w:ind w:firstLineChars="200" w:firstLine="420"/>
        <w:rPr>
          <w:bCs/>
          <w:szCs w:val="21"/>
        </w:rPr>
      </w:pPr>
    </w:p>
    <w:p w:rsidR="006E1FE1" w:rsidRDefault="00F51CE7">
      <w:pPr>
        <w:pStyle w:val="1"/>
        <w:adjustRightInd w:val="0"/>
        <w:snapToGrid w:val="0"/>
        <w:spacing w:before="0" w:after="0"/>
        <w:jc w:val="center"/>
        <w:rPr>
          <w:rFonts w:ascii="Times New Roman"/>
          <w:color w:val="auto"/>
          <w:sz w:val="32"/>
          <w:szCs w:val="21"/>
        </w:rPr>
      </w:pPr>
      <w:bookmarkStart w:id="311" w:name="_Toc93226149"/>
      <w:bookmarkStart w:id="312" w:name="_Toc92662707"/>
      <w:bookmarkStart w:id="313" w:name="_Toc19558"/>
      <w:bookmarkStart w:id="314" w:name="_Toc15525"/>
      <w:bookmarkStart w:id="315" w:name="_Toc3656"/>
      <w:bookmarkStart w:id="316" w:name="_Toc25883"/>
      <w:bookmarkStart w:id="317" w:name="_Toc20052"/>
      <w:bookmarkStart w:id="318" w:name="_Toc12761"/>
      <w:bookmarkStart w:id="319" w:name="_Toc178"/>
      <w:bookmarkStart w:id="320" w:name="_Toc1617"/>
      <w:bookmarkStart w:id="321" w:name="_Toc516479994"/>
      <w:bookmarkStart w:id="322" w:name="_Toc15351"/>
      <w:bookmarkStart w:id="323" w:name="_Toc21829"/>
      <w:bookmarkStart w:id="324" w:name="_Toc22552"/>
      <w:bookmarkStart w:id="325" w:name="_Toc141703896"/>
      <w:bookmarkStart w:id="326" w:name="_Toc128310499"/>
      <w:bookmarkStart w:id="327" w:name="_Toc139991746"/>
      <w:r>
        <w:rPr>
          <w:rFonts w:ascii="Times New Roman"/>
          <w:color w:val="auto"/>
          <w:sz w:val="32"/>
          <w:szCs w:val="21"/>
        </w:rPr>
        <w:t>第十</w:t>
      </w:r>
      <w:r>
        <w:rPr>
          <w:rFonts w:ascii="Times New Roman" w:hint="eastAsia"/>
          <w:color w:val="auto"/>
          <w:sz w:val="32"/>
          <w:szCs w:val="21"/>
        </w:rPr>
        <w:t>七</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w:t>
      </w:r>
      <w:bookmarkEnd w:id="311"/>
      <w:bookmarkEnd w:id="312"/>
      <w:r>
        <w:rPr>
          <w:rFonts w:ascii="Times New Roman"/>
          <w:color w:val="auto"/>
          <w:sz w:val="32"/>
          <w:szCs w:val="21"/>
        </w:rPr>
        <w:t>的收益与分配</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一、基金利润的构成</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基金利润指基金利息收入、投资收益、公允价值变动收益和其他收入扣除相关费用后的余额，基金已实现收益指基金利润减去公允价值变动收益后的余额。</w:t>
      </w:r>
    </w:p>
    <w:p w:rsidR="006E1FE1" w:rsidRDefault="006E1FE1">
      <w:pPr>
        <w:adjustRightInd w:val="0"/>
        <w:snapToGrid w:val="0"/>
        <w:spacing w:line="360" w:lineRule="auto"/>
        <w:ind w:firstLineChars="200"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二、基金可供分配利润</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基金可供分配利润指截至收益分配基准日基金未分配利润与未分配利润中已实现收益的孰低数。</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三、基金收益分配原则</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bCs/>
          <w:szCs w:val="21"/>
        </w:rPr>
        <w:t>在符合有关基金分红条件的前提下，</w:t>
      </w:r>
      <w:r>
        <w:rPr>
          <w:rFonts w:ascii="宋体" w:hint="eastAsia"/>
          <w:bCs/>
          <w:szCs w:val="21"/>
        </w:rPr>
        <w:t>基金管理人可以根据实际情况进行收益分配，具体分配方案详见届时基金管理人发布的公告</w:t>
      </w:r>
      <w:r>
        <w:rPr>
          <w:rFonts w:ascii="宋体"/>
          <w:bCs/>
          <w:szCs w:val="21"/>
        </w:rPr>
        <w:t>，若《基金合同》生效不满3个月可不进行收益分配；</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本基金收益分配方式分两种：现金分红与红利再投资，</w:t>
      </w:r>
      <w:r>
        <w:rPr>
          <w:rFonts w:ascii="宋体" w:hAnsi="宋体" w:hint="eastAsia"/>
          <w:szCs w:val="21"/>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4、每一基金份额享有同等分配权；</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5、法律法规或监管机关另有规定的，从其规定。</w:t>
      </w:r>
    </w:p>
    <w:p w:rsidR="006E1FE1" w:rsidRDefault="00F51CE7">
      <w:pPr>
        <w:snapToGrid w:val="0"/>
        <w:spacing w:line="360" w:lineRule="auto"/>
        <w:ind w:firstLineChars="200" w:firstLine="420"/>
        <w:rPr>
          <w:bCs/>
          <w:szCs w:val="21"/>
        </w:rPr>
      </w:pPr>
      <w:r>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四、收益分配方案</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基金收益分配方案中应载明截止收益分配基准日的可供分配利润、基金收益分配对象、分配时间、分配数额及比例、分配方式等内容。</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五、收益分配方案的确定、公告与实施</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本基金收益分配方案由基金管理人拟定，并由基金托管人复核，在2日内在规定媒介公</w:t>
      </w:r>
      <w:r>
        <w:rPr>
          <w:rFonts w:ascii="宋体" w:hAnsi="宋体"/>
          <w:szCs w:val="21"/>
        </w:rPr>
        <w:lastRenderedPageBreak/>
        <w:t>告。</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六、基金收益分配中发生的费用</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基金收益分配时所发生的银行转账或其他手续费用由投资</w:t>
      </w:r>
      <w:r>
        <w:rPr>
          <w:rFonts w:ascii="宋体" w:hAnsi="宋体" w:hint="eastAsia"/>
          <w:szCs w:val="21"/>
        </w:rPr>
        <w:t>人</w:t>
      </w:r>
      <w:r>
        <w:rPr>
          <w:rFonts w:ascii="宋体" w:hAnsi="宋体"/>
          <w:szCs w:val="21"/>
        </w:rPr>
        <w:t>自行承担。</w:t>
      </w:r>
      <w:r>
        <w:rPr>
          <w:rFonts w:ascii="宋体" w:hAnsi="宋体" w:hint="eastAsia"/>
          <w:szCs w:val="21"/>
        </w:rPr>
        <w:t>现金分红及红利再投资的计算方法等有关事项遵循深圳证券交易所及中国证券登记结算有限责任公司的相关规定。</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328" w:name="_Toc93226150"/>
      <w:bookmarkStart w:id="329" w:name="_Toc92662708"/>
      <w:bookmarkStart w:id="330" w:name="_Toc17499"/>
      <w:bookmarkStart w:id="331" w:name="_Toc516479995"/>
      <w:bookmarkStart w:id="332" w:name="_Toc28961"/>
      <w:bookmarkStart w:id="333" w:name="_Toc13255"/>
      <w:bookmarkStart w:id="334" w:name="_Toc10894"/>
      <w:bookmarkStart w:id="335" w:name="_Toc18007"/>
      <w:bookmarkStart w:id="336" w:name="_Toc23859"/>
      <w:bookmarkStart w:id="337" w:name="_Toc29695"/>
      <w:bookmarkStart w:id="338" w:name="_Toc139991747"/>
      <w:bookmarkStart w:id="339" w:name="_Toc128310500"/>
      <w:bookmarkStart w:id="340" w:name="_Toc141703897"/>
      <w:bookmarkStart w:id="341" w:name="_Toc18747"/>
      <w:bookmarkStart w:id="342" w:name="_Toc31736"/>
      <w:bookmarkStart w:id="343" w:name="_Toc1043"/>
      <w:bookmarkStart w:id="344" w:name="_Toc21206"/>
      <w:r>
        <w:rPr>
          <w:rFonts w:ascii="Times New Roman"/>
          <w:color w:val="auto"/>
          <w:sz w:val="32"/>
          <w:szCs w:val="21"/>
        </w:rPr>
        <w:lastRenderedPageBreak/>
        <w:t>第十</w:t>
      </w:r>
      <w:r>
        <w:rPr>
          <w:rFonts w:ascii="Times New Roman" w:hint="eastAsia"/>
          <w:color w:val="auto"/>
          <w:sz w:val="32"/>
          <w:szCs w:val="21"/>
        </w:rPr>
        <w:t>八</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w:t>
      </w:r>
      <w:bookmarkEnd w:id="328"/>
      <w:bookmarkEnd w:id="329"/>
      <w:r>
        <w:rPr>
          <w:rFonts w:ascii="Times New Roman"/>
          <w:color w:val="auto"/>
          <w:sz w:val="32"/>
          <w:szCs w:val="21"/>
        </w:rPr>
        <w:t>的会计与审计</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一、基金会计政策</w:t>
      </w:r>
    </w:p>
    <w:p w:rsidR="006E1FE1" w:rsidRDefault="00F51CE7">
      <w:pPr>
        <w:adjustRightInd w:val="0"/>
        <w:snapToGrid w:val="0"/>
        <w:spacing w:line="360" w:lineRule="auto"/>
        <w:ind w:firstLine="420"/>
        <w:rPr>
          <w:rFonts w:ascii="宋体" w:hAnsi="宋体"/>
          <w:szCs w:val="21"/>
        </w:rPr>
      </w:pPr>
      <w:r>
        <w:rPr>
          <w:rFonts w:ascii="宋体" w:hAnsi="宋体"/>
          <w:szCs w:val="21"/>
        </w:rPr>
        <w:t>1、基金管理人为本基金的基金会计责任方；</w:t>
      </w:r>
    </w:p>
    <w:p w:rsidR="006E1FE1" w:rsidRDefault="00F51CE7">
      <w:pPr>
        <w:adjustRightInd w:val="0"/>
        <w:snapToGrid w:val="0"/>
        <w:spacing w:line="360" w:lineRule="auto"/>
        <w:ind w:firstLine="420"/>
        <w:rPr>
          <w:rFonts w:ascii="宋体" w:hAnsi="宋体"/>
          <w:szCs w:val="21"/>
        </w:rPr>
      </w:pPr>
      <w:r>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3、基金核算以人民币为记账本位币，以人民币元为记账单位；</w:t>
      </w:r>
    </w:p>
    <w:p w:rsidR="006E1FE1" w:rsidRDefault="00F51CE7">
      <w:pPr>
        <w:adjustRightInd w:val="0"/>
        <w:snapToGrid w:val="0"/>
        <w:spacing w:line="360" w:lineRule="auto"/>
        <w:ind w:firstLine="420"/>
        <w:rPr>
          <w:rFonts w:ascii="宋体" w:hAnsi="宋体"/>
          <w:szCs w:val="21"/>
        </w:rPr>
      </w:pPr>
      <w:r>
        <w:rPr>
          <w:rFonts w:ascii="宋体" w:hAnsi="宋体"/>
          <w:szCs w:val="21"/>
        </w:rPr>
        <w:t>4、会计制度执行国家有关会计制度；</w:t>
      </w:r>
    </w:p>
    <w:p w:rsidR="006E1FE1" w:rsidRDefault="00F51CE7">
      <w:pPr>
        <w:adjustRightInd w:val="0"/>
        <w:snapToGrid w:val="0"/>
        <w:spacing w:line="360" w:lineRule="auto"/>
        <w:ind w:firstLine="420"/>
        <w:rPr>
          <w:rFonts w:ascii="宋体" w:hAnsi="宋体"/>
          <w:szCs w:val="21"/>
        </w:rPr>
      </w:pPr>
      <w:r>
        <w:rPr>
          <w:rFonts w:ascii="宋体" w:hAnsi="宋体"/>
          <w:szCs w:val="21"/>
        </w:rPr>
        <w:t>5、本基金独立建账、独立核算；</w:t>
      </w:r>
    </w:p>
    <w:p w:rsidR="006E1FE1" w:rsidRDefault="00F51CE7">
      <w:pPr>
        <w:adjustRightInd w:val="0"/>
        <w:snapToGrid w:val="0"/>
        <w:spacing w:line="360" w:lineRule="auto"/>
        <w:ind w:firstLine="420"/>
        <w:rPr>
          <w:rFonts w:ascii="宋体" w:hAnsi="宋体"/>
          <w:szCs w:val="21"/>
        </w:rPr>
      </w:pPr>
      <w:r>
        <w:rPr>
          <w:rFonts w:ascii="宋体" w:hAnsi="宋体"/>
          <w:szCs w:val="21"/>
        </w:rPr>
        <w:t>6、基金管理人及基金托管人各自保留完整的会计账目、凭证并进行日常的会计核算，按照有关规定编制基金会计报表；</w:t>
      </w:r>
    </w:p>
    <w:p w:rsidR="006E1FE1" w:rsidRDefault="00F51CE7">
      <w:pPr>
        <w:adjustRightInd w:val="0"/>
        <w:snapToGrid w:val="0"/>
        <w:spacing w:line="360" w:lineRule="auto"/>
        <w:ind w:firstLine="420"/>
        <w:rPr>
          <w:rFonts w:ascii="宋体" w:hAnsi="宋体"/>
          <w:szCs w:val="21"/>
        </w:rPr>
      </w:pPr>
      <w:r>
        <w:rPr>
          <w:rFonts w:ascii="宋体" w:hAnsi="宋体"/>
          <w:szCs w:val="21"/>
        </w:rPr>
        <w:t>7、基金托管人每月与基金管理人就基金的会计核算、报表编制等进行核对并以书面方式确认。</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二、基金的年度审计</w:t>
      </w:r>
    </w:p>
    <w:p w:rsidR="006E1FE1" w:rsidRDefault="00F51CE7">
      <w:pPr>
        <w:adjustRightInd w:val="0"/>
        <w:snapToGrid w:val="0"/>
        <w:spacing w:line="360" w:lineRule="auto"/>
        <w:ind w:firstLine="420"/>
        <w:rPr>
          <w:rFonts w:ascii="宋体" w:hAnsi="宋体"/>
          <w:szCs w:val="21"/>
        </w:rPr>
      </w:pPr>
      <w:r>
        <w:rPr>
          <w:rFonts w:ascii="宋体" w:hAnsi="宋体"/>
          <w:szCs w:val="21"/>
        </w:rPr>
        <w:t>1、基金管理人聘请与基金管理人、基金托管人相互独立的</w:t>
      </w:r>
      <w:r>
        <w:rPr>
          <w:rFonts w:ascii="宋体" w:hAnsi="宋体" w:hint="eastAsia"/>
          <w:szCs w:val="21"/>
        </w:rPr>
        <w:t>符合《中华人民共和国证券法》规定</w:t>
      </w:r>
      <w:bookmarkStart w:id="345" w:name="_Hlt4221115"/>
      <w:bookmarkEnd w:id="345"/>
      <w:r>
        <w:rPr>
          <w:rFonts w:ascii="宋体" w:hAnsi="宋体"/>
          <w:szCs w:val="21"/>
        </w:rPr>
        <w:t>的会计师事务所及其注册会计师对本基金的年度财务报表进行审计。</w:t>
      </w:r>
    </w:p>
    <w:p w:rsidR="006E1FE1" w:rsidRDefault="00F51CE7">
      <w:pPr>
        <w:adjustRightInd w:val="0"/>
        <w:snapToGrid w:val="0"/>
        <w:spacing w:line="360" w:lineRule="auto"/>
        <w:ind w:firstLine="420"/>
        <w:rPr>
          <w:rFonts w:ascii="宋体" w:hAnsi="宋体"/>
          <w:szCs w:val="21"/>
        </w:rPr>
      </w:pPr>
      <w:r>
        <w:rPr>
          <w:rFonts w:ascii="宋体" w:hAnsi="宋体"/>
          <w:szCs w:val="21"/>
        </w:rPr>
        <w:t>2、会计师事务所更换经办注册会计师，应事先征得基金管理人同意。</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3、基金管理人认为有充足理由更换会计师事务所，须通报基金托管人。更换会计师事务所需在2日内在规定媒介公告。</w:t>
      </w: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346" w:name="_Toc93226151"/>
      <w:bookmarkStart w:id="347" w:name="_Toc92662709"/>
      <w:bookmarkStart w:id="348" w:name="_Toc193"/>
      <w:bookmarkStart w:id="349" w:name="_Toc3056"/>
      <w:bookmarkStart w:id="350" w:name="_Toc11802"/>
      <w:bookmarkStart w:id="351" w:name="_Toc141703898"/>
      <w:bookmarkStart w:id="352" w:name="_Toc139991748"/>
      <w:bookmarkStart w:id="353" w:name="_Toc128310501"/>
      <w:bookmarkStart w:id="354" w:name="_Toc21351"/>
      <w:bookmarkStart w:id="355" w:name="_Toc1421"/>
      <w:bookmarkStart w:id="356" w:name="_Toc516479996"/>
      <w:bookmarkStart w:id="357" w:name="_Toc8512"/>
      <w:bookmarkStart w:id="358" w:name="_Toc11049"/>
      <w:bookmarkStart w:id="359" w:name="_Toc12028"/>
      <w:bookmarkStart w:id="360" w:name="_Toc1173"/>
      <w:bookmarkStart w:id="361" w:name="_Toc31866"/>
      <w:bookmarkStart w:id="362" w:name="_Toc29289"/>
      <w:r>
        <w:rPr>
          <w:rFonts w:ascii="Times New Roman"/>
          <w:color w:val="auto"/>
          <w:sz w:val="32"/>
          <w:szCs w:val="21"/>
        </w:rPr>
        <w:lastRenderedPageBreak/>
        <w:t>第十</w:t>
      </w:r>
      <w:r>
        <w:rPr>
          <w:rFonts w:ascii="Times New Roman" w:hint="eastAsia"/>
          <w:color w:val="auto"/>
          <w:sz w:val="32"/>
          <w:szCs w:val="21"/>
        </w:rPr>
        <w:t>九</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w:t>
      </w:r>
      <w:bookmarkEnd w:id="346"/>
      <w:bookmarkEnd w:id="347"/>
      <w:r>
        <w:rPr>
          <w:rFonts w:ascii="Times New Roman"/>
          <w:color w:val="auto"/>
          <w:sz w:val="32"/>
          <w:szCs w:val="21"/>
        </w:rPr>
        <w:t>的信息披露</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一、本基金的信息披露应符合《基金法》、《运作办法》、《信息披露办法》、《基金合同》及其他有关规定。</w:t>
      </w:r>
      <w:r>
        <w:rPr>
          <w:rFonts w:ascii="宋体" w:hAnsi="宋体" w:hint="eastAsia"/>
          <w:szCs w:val="21"/>
        </w:rPr>
        <w:t>相关法律法规关于信息披露的披露方式、披露内容、登载媒介、报备方式等规定发生变化时，本基金从其最新规定。</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二、信息披露义务人</w:t>
      </w:r>
    </w:p>
    <w:p w:rsidR="006E1FE1" w:rsidRDefault="00F51CE7">
      <w:pPr>
        <w:adjustRightInd w:val="0"/>
        <w:snapToGrid w:val="0"/>
        <w:spacing w:line="360" w:lineRule="auto"/>
        <w:ind w:firstLine="420"/>
        <w:rPr>
          <w:rFonts w:ascii="宋体" w:hAnsi="宋体"/>
          <w:szCs w:val="21"/>
        </w:rPr>
      </w:pPr>
      <w:r>
        <w:rPr>
          <w:rFonts w:ascii="宋体" w:hAnsi="宋体"/>
          <w:szCs w:val="21"/>
        </w:rPr>
        <w:t>本基金信息披露义务人包括基金管理人、基金托管人、召集基金份额持有人大会的基金份额持有人等法律法规和中国证监会规定的自然人、法人和非法人组织。</w:t>
      </w:r>
    </w:p>
    <w:p w:rsidR="006E1FE1" w:rsidRDefault="00F51CE7">
      <w:pPr>
        <w:adjustRightInd w:val="0"/>
        <w:snapToGrid w:val="0"/>
        <w:spacing w:line="360" w:lineRule="auto"/>
        <w:ind w:firstLine="420"/>
        <w:rPr>
          <w:rFonts w:ascii="宋体" w:hAnsi="宋体"/>
          <w:szCs w:val="21"/>
        </w:rPr>
      </w:pPr>
      <w:r>
        <w:rPr>
          <w:rFonts w:ascii="宋体" w:hAnsi="宋体"/>
          <w:szCs w:val="21"/>
        </w:rPr>
        <w:t>本基金信息披露义务人以保护基金份额持有人利益为根本出发点，按照法律法规和中国证监会的规定披露基金信息，并保证所披露信息的真实性、准确性、完整性、及时性、简明性和易得性。</w:t>
      </w:r>
    </w:p>
    <w:p w:rsidR="006E1FE1" w:rsidRDefault="00F51CE7">
      <w:pPr>
        <w:adjustRightInd w:val="0"/>
        <w:snapToGrid w:val="0"/>
        <w:spacing w:line="360" w:lineRule="auto"/>
        <w:ind w:firstLine="420"/>
        <w:rPr>
          <w:rFonts w:ascii="宋体" w:hAnsi="宋体"/>
          <w:szCs w:val="21"/>
        </w:rPr>
      </w:pPr>
      <w:r>
        <w:rPr>
          <w:rFonts w:ascii="宋体" w:hAnsi="宋体"/>
          <w:szCs w:val="21"/>
        </w:rPr>
        <w:t>本基金信息披露义务人应当在中国证监会规定时间内，将应予披露的基金信息通过中国证监会规定媒介披露，并保证基金投资</w:t>
      </w:r>
      <w:r>
        <w:rPr>
          <w:rFonts w:ascii="宋体" w:hAnsi="宋体" w:hint="eastAsia"/>
          <w:szCs w:val="21"/>
        </w:rPr>
        <w:t>人</w:t>
      </w:r>
      <w:r>
        <w:rPr>
          <w:rFonts w:ascii="宋体" w:hAnsi="宋体"/>
          <w:szCs w:val="21"/>
        </w:rPr>
        <w:t>能够按照《基金合同》约定的时间和方式查阅或者复制公开披露的信息资料。</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三、本基金信息披露义务人承诺公开披露的基金信息，不得有下列行为：</w:t>
      </w:r>
    </w:p>
    <w:p w:rsidR="006E1FE1" w:rsidRDefault="00F51CE7">
      <w:pPr>
        <w:adjustRightInd w:val="0"/>
        <w:snapToGrid w:val="0"/>
        <w:spacing w:line="360" w:lineRule="auto"/>
        <w:ind w:firstLine="420"/>
        <w:rPr>
          <w:rFonts w:ascii="宋体" w:hAnsi="宋体"/>
          <w:szCs w:val="21"/>
        </w:rPr>
      </w:pPr>
      <w:r>
        <w:rPr>
          <w:rFonts w:ascii="宋体" w:hAnsi="宋体"/>
          <w:szCs w:val="21"/>
        </w:rPr>
        <w:t>1、虚假记载、误导性陈述或者重大遗漏；</w:t>
      </w:r>
    </w:p>
    <w:p w:rsidR="006E1FE1" w:rsidRDefault="00F51CE7">
      <w:pPr>
        <w:adjustRightInd w:val="0"/>
        <w:snapToGrid w:val="0"/>
        <w:spacing w:line="360" w:lineRule="auto"/>
        <w:ind w:firstLine="420"/>
        <w:rPr>
          <w:rFonts w:ascii="宋体" w:hAnsi="宋体"/>
          <w:szCs w:val="21"/>
        </w:rPr>
      </w:pPr>
      <w:r>
        <w:rPr>
          <w:rFonts w:ascii="宋体" w:hAnsi="宋体"/>
          <w:szCs w:val="21"/>
        </w:rPr>
        <w:t>2、对证券投资业绩进行预测；</w:t>
      </w:r>
    </w:p>
    <w:p w:rsidR="006E1FE1" w:rsidRDefault="00F51CE7">
      <w:pPr>
        <w:adjustRightInd w:val="0"/>
        <w:snapToGrid w:val="0"/>
        <w:spacing w:line="360" w:lineRule="auto"/>
        <w:ind w:firstLine="420"/>
        <w:rPr>
          <w:rFonts w:ascii="宋体" w:hAnsi="宋体"/>
          <w:szCs w:val="21"/>
        </w:rPr>
      </w:pPr>
      <w:r>
        <w:rPr>
          <w:rFonts w:ascii="宋体" w:hAnsi="宋体"/>
          <w:szCs w:val="21"/>
        </w:rPr>
        <w:t>3、违规承诺收益或者承担损失；</w:t>
      </w:r>
    </w:p>
    <w:p w:rsidR="006E1FE1" w:rsidRDefault="00F51CE7">
      <w:pPr>
        <w:adjustRightInd w:val="0"/>
        <w:snapToGrid w:val="0"/>
        <w:spacing w:line="360" w:lineRule="auto"/>
        <w:ind w:firstLine="420"/>
        <w:rPr>
          <w:rFonts w:ascii="宋体" w:hAnsi="宋体"/>
          <w:szCs w:val="21"/>
        </w:rPr>
      </w:pPr>
      <w:r>
        <w:rPr>
          <w:rFonts w:ascii="宋体" w:hAnsi="宋体"/>
          <w:szCs w:val="21"/>
        </w:rPr>
        <w:t>4、诋毁其他基金管理人、基金托管人或者基金销售机构；</w:t>
      </w:r>
    </w:p>
    <w:p w:rsidR="006E1FE1" w:rsidRDefault="00F51CE7">
      <w:pPr>
        <w:adjustRightInd w:val="0"/>
        <w:snapToGrid w:val="0"/>
        <w:spacing w:line="360" w:lineRule="auto"/>
        <w:ind w:firstLine="420"/>
        <w:rPr>
          <w:rFonts w:ascii="宋体" w:hAnsi="宋体"/>
          <w:szCs w:val="21"/>
        </w:rPr>
      </w:pPr>
      <w:r>
        <w:rPr>
          <w:rFonts w:ascii="宋体" w:hAnsi="宋体"/>
          <w:szCs w:val="21"/>
        </w:rPr>
        <w:t>5、登载任何自然人、法人</w:t>
      </w:r>
      <w:r>
        <w:rPr>
          <w:rFonts w:ascii="宋体" w:hAnsi="宋体" w:hint="eastAsia"/>
          <w:szCs w:val="21"/>
        </w:rPr>
        <w:t>和</w:t>
      </w:r>
      <w:r>
        <w:rPr>
          <w:rFonts w:ascii="宋体" w:hAnsi="宋体"/>
          <w:szCs w:val="21"/>
        </w:rPr>
        <w:t>非法人组织的祝贺性、恭维性或推荐性的文字；</w:t>
      </w:r>
    </w:p>
    <w:p w:rsidR="006E1FE1" w:rsidRDefault="00F51CE7">
      <w:pPr>
        <w:adjustRightInd w:val="0"/>
        <w:snapToGrid w:val="0"/>
        <w:spacing w:line="360" w:lineRule="auto"/>
        <w:ind w:firstLine="420"/>
        <w:rPr>
          <w:rFonts w:ascii="宋体" w:hAnsi="宋体"/>
          <w:szCs w:val="21"/>
        </w:rPr>
      </w:pPr>
      <w:r>
        <w:rPr>
          <w:rFonts w:ascii="宋体" w:hAnsi="宋体"/>
          <w:szCs w:val="21"/>
        </w:rPr>
        <w:t>6、中国证监会禁止的其他行为。</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四、本基金公开披露的信息应采用中文文本。如同时采用外文文本的，基金信息披露义务人应保证不同文本的内容一致。不同文本发生歧义的，以中文文本为准。</w:t>
      </w:r>
    </w:p>
    <w:p w:rsidR="006E1FE1" w:rsidRDefault="00F51CE7">
      <w:pPr>
        <w:adjustRightInd w:val="0"/>
        <w:snapToGrid w:val="0"/>
        <w:spacing w:line="360" w:lineRule="auto"/>
        <w:ind w:firstLine="420"/>
        <w:rPr>
          <w:rFonts w:ascii="宋体" w:hAnsi="宋体"/>
          <w:szCs w:val="21"/>
        </w:rPr>
      </w:pPr>
      <w:r>
        <w:rPr>
          <w:rFonts w:ascii="宋体" w:hAnsi="宋体"/>
          <w:szCs w:val="21"/>
        </w:rPr>
        <w:t>本基金公开披露的信息采用阿拉伯数字；除特别说明外，货币单位为人民币元。</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五、公开披露的基金信息</w:t>
      </w:r>
    </w:p>
    <w:p w:rsidR="006E1FE1" w:rsidRDefault="00F51CE7">
      <w:pPr>
        <w:adjustRightInd w:val="0"/>
        <w:snapToGrid w:val="0"/>
        <w:spacing w:line="360" w:lineRule="auto"/>
        <w:ind w:firstLine="420"/>
        <w:rPr>
          <w:rFonts w:ascii="宋体" w:hAnsi="宋体"/>
          <w:szCs w:val="21"/>
        </w:rPr>
      </w:pPr>
      <w:r>
        <w:rPr>
          <w:rFonts w:ascii="宋体" w:hAnsi="宋体"/>
          <w:szCs w:val="21"/>
        </w:rPr>
        <w:t>公开披露的基金信息包括：</w:t>
      </w:r>
    </w:p>
    <w:p w:rsidR="006E1FE1" w:rsidRDefault="00F51CE7">
      <w:pPr>
        <w:adjustRightInd w:val="0"/>
        <w:snapToGrid w:val="0"/>
        <w:spacing w:line="360" w:lineRule="auto"/>
        <w:ind w:firstLine="420"/>
        <w:rPr>
          <w:rFonts w:ascii="宋体" w:hAnsi="宋体"/>
          <w:szCs w:val="21"/>
        </w:rPr>
      </w:pPr>
      <w:r>
        <w:rPr>
          <w:rFonts w:ascii="宋体" w:hAnsi="宋体"/>
          <w:szCs w:val="21"/>
        </w:rPr>
        <w:t>（一）基金招募说明书、《基金合同》、基金托管协议、基金产品资料概要</w:t>
      </w:r>
    </w:p>
    <w:p w:rsidR="006E1FE1" w:rsidRDefault="00F51CE7">
      <w:pPr>
        <w:adjustRightInd w:val="0"/>
        <w:snapToGrid w:val="0"/>
        <w:spacing w:line="360" w:lineRule="auto"/>
        <w:ind w:firstLine="420"/>
        <w:rPr>
          <w:rFonts w:ascii="宋体" w:hAnsi="宋体"/>
          <w:szCs w:val="21"/>
        </w:rPr>
      </w:pPr>
      <w:r>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Pr>
          <w:rFonts w:ascii="宋体" w:hAnsi="宋体"/>
          <w:szCs w:val="21"/>
        </w:rPr>
        <w:t>重大利益的事项的法律文件。</w:t>
      </w:r>
    </w:p>
    <w:p w:rsidR="006E1FE1" w:rsidRDefault="00F51CE7">
      <w:pPr>
        <w:adjustRightInd w:val="0"/>
        <w:snapToGrid w:val="0"/>
        <w:spacing w:line="360" w:lineRule="auto"/>
        <w:ind w:firstLine="420"/>
        <w:rPr>
          <w:rFonts w:ascii="宋体" w:hAnsi="宋体"/>
          <w:szCs w:val="21"/>
        </w:rPr>
      </w:pPr>
      <w:r>
        <w:rPr>
          <w:rFonts w:ascii="宋体" w:hAnsi="宋体"/>
          <w:szCs w:val="21"/>
        </w:rPr>
        <w:lastRenderedPageBreak/>
        <w:t>2、基金招募说明书应当最大限度地披露影响基金投资</w:t>
      </w:r>
      <w:r>
        <w:rPr>
          <w:rFonts w:ascii="宋体" w:hAnsi="宋体" w:hint="eastAsia"/>
          <w:szCs w:val="21"/>
        </w:rPr>
        <w:t>人</w:t>
      </w:r>
      <w:r>
        <w:rPr>
          <w:rFonts w:ascii="宋体" w:hAnsi="宋体"/>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hint="eastAsia"/>
          <w:szCs w:val="21"/>
        </w:rPr>
        <w:t>基金终止运作的，基金管理人不再更新招募说明书。</w:t>
      </w:r>
    </w:p>
    <w:p w:rsidR="006E1FE1" w:rsidRDefault="00F51CE7">
      <w:pPr>
        <w:snapToGrid w:val="0"/>
        <w:spacing w:line="360" w:lineRule="auto"/>
        <w:ind w:firstLineChars="200" w:firstLine="420"/>
        <w:rPr>
          <w:bCs/>
          <w:szCs w:val="21"/>
        </w:rPr>
      </w:pPr>
      <w:r>
        <w:rPr>
          <w:rFonts w:hint="eastAsia"/>
          <w:bCs/>
          <w:szCs w:val="21"/>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6E1FE1" w:rsidRDefault="00F51CE7">
      <w:pPr>
        <w:snapToGrid w:val="0"/>
        <w:spacing w:line="360" w:lineRule="auto"/>
        <w:ind w:firstLineChars="200" w:firstLine="420"/>
        <w:rPr>
          <w:bCs/>
          <w:szCs w:val="21"/>
        </w:rPr>
      </w:pPr>
      <w:r>
        <w:rPr>
          <w:rFonts w:hint="eastAsia"/>
          <w:bCs/>
          <w:szCs w:val="21"/>
        </w:rPr>
        <w:t>本基金在招募说明书（更新）等文件中披露</w:t>
      </w:r>
      <w:r>
        <w:rPr>
          <w:bCs/>
          <w:szCs w:val="21"/>
        </w:rPr>
        <w:t>参与股票期权交易的有关情况，包括投资政策、持仓情况、损益情况、风险指标、估值方法等，并充分揭示股票期权交易对基金总体风险的影响以及是否符合既定的投资政策和投资目标。</w:t>
      </w:r>
    </w:p>
    <w:p w:rsidR="006E1FE1" w:rsidRDefault="00F51CE7">
      <w:pPr>
        <w:snapToGrid w:val="0"/>
        <w:spacing w:line="360" w:lineRule="auto"/>
        <w:ind w:firstLineChars="200" w:firstLine="420"/>
        <w:rPr>
          <w:bCs/>
          <w:szCs w:val="21"/>
        </w:rPr>
      </w:pPr>
      <w:r>
        <w:rPr>
          <w:rFonts w:hint="eastAsia"/>
          <w:bCs/>
          <w:szCs w:val="21"/>
        </w:rPr>
        <w:t>本基金在招募说明书（更新）等文件中披露参与港股通交易的相关情况。</w:t>
      </w:r>
    </w:p>
    <w:p w:rsidR="006E1FE1" w:rsidRDefault="00F51CE7">
      <w:pPr>
        <w:adjustRightInd w:val="0"/>
        <w:snapToGrid w:val="0"/>
        <w:spacing w:line="360" w:lineRule="auto"/>
        <w:ind w:firstLine="420"/>
        <w:rPr>
          <w:rFonts w:ascii="MS Gothic" w:eastAsia="MS Gothic" w:hAnsi="MS Gothic" w:cs="MS Gothic"/>
          <w:szCs w:val="21"/>
        </w:rPr>
      </w:pPr>
      <w:r>
        <w:rPr>
          <w:rFonts w:ascii="宋体" w:hAnsi="宋体"/>
          <w:szCs w:val="21"/>
        </w:rPr>
        <w:t>3、基金托管协议是界定基金托管人和基金管理人在基金财产保管及基金运作监督等活动中的权利、义务关系的法律文件。</w:t>
      </w:r>
    </w:p>
    <w:p w:rsidR="006E1FE1" w:rsidRDefault="00F51CE7">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w:t>
      </w:r>
      <w:r>
        <w:rPr>
          <w:rFonts w:ascii="宋体" w:hAnsi="宋体" w:hint="eastAsia"/>
          <w:szCs w:val="21"/>
        </w:rPr>
        <w:t>基金终止运作的，基金管理人不再更新基金产品资料概要。</w:t>
      </w:r>
    </w:p>
    <w:p w:rsidR="006E1FE1" w:rsidRDefault="00F51CE7">
      <w:pPr>
        <w:adjustRightInd w:val="0"/>
        <w:snapToGrid w:val="0"/>
        <w:spacing w:line="360" w:lineRule="auto"/>
        <w:ind w:firstLine="420"/>
        <w:rPr>
          <w:rFonts w:ascii="宋体" w:hAnsi="宋体"/>
          <w:szCs w:val="21"/>
        </w:rPr>
      </w:pPr>
      <w:r>
        <w:rPr>
          <w:rFonts w:ascii="宋体" w:hAnsi="宋体"/>
          <w:szCs w:val="21"/>
        </w:rPr>
        <w:t>基金募集申请经中国证监会</w:t>
      </w:r>
      <w:r>
        <w:rPr>
          <w:rFonts w:ascii="宋体" w:hAnsi="宋体" w:hint="eastAsia"/>
          <w:szCs w:val="21"/>
        </w:rPr>
        <w:t>注册</w:t>
      </w:r>
      <w:r>
        <w:rPr>
          <w:rFonts w:ascii="宋体" w:hAnsi="宋体"/>
          <w:szCs w:val="21"/>
        </w:rPr>
        <w:t>后，基金管理人在基金份额发售的3日前，</w:t>
      </w:r>
      <w:r>
        <w:rPr>
          <w:rFonts w:ascii="宋体" w:hAnsi="宋体" w:hint="eastAsia"/>
          <w:szCs w:val="21"/>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w:t>
      </w:r>
      <w:r>
        <w:rPr>
          <w:rFonts w:ascii="宋体" w:hAnsi="宋体"/>
          <w:szCs w:val="21"/>
        </w:rPr>
        <w:t>；基金管理人、基金托管人应当将《基金合同》、基金托管协议登载在网站上。</w:t>
      </w:r>
    </w:p>
    <w:p w:rsidR="006E1FE1" w:rsidRDefault="00F51CE7">
      <w:pPr>
        <w:adjustRightInd w:val="0"/>
        <w:snapToGrid w:val="0"/>
        <w:spacing w:line="360" w:lineRule="auto"/>
        <w:ind w:firstLine="420"/>
        <w:rPr>
          <w:rFonts w:ascii="宋体" w:hAnsi="宋体"/>
          <w:szCs w:val="21"/>
        </w:rPr>
      </w:pPr>
      <w:r>
        <w:rPr>
          <w:rFonts w:ascii="宋体" w:hAnsi="宋体"/>
          <w:szCs w:val="21"/>
        </w:rPr>
        <w:t>（二）基金份额发售公告</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基金管理人应当就基金份额发售的具体事宜编制基金份额发售公告，并在披露招募说明书的当日登载于规定媒介上。</w:t>
      </w:r>
    </w:p>
    <w:p w:rsidR="006E1FE1" w:rsidRDefault="00F51CE7">
      <w:pPr>
        <w:adjustRightInd w:val="0"/>
        <w:snapToGrid w:val="0"/>
        <w:spacing w:line="360" w:lineRule="auto"/>
        <w:ind w:firstLine="420"/>
        <w:rPr>
          <w:rFonts w:ascii="宋体" w:hAnsi="宋体"/>
          <w:szCs w:val="21"/>
        </w:rPr>
      </w:pPr>
      <w:r>
        <w:rPr>
          <w:rFonts w:ascii="宋体" w:hAnsi="宋体"/>
          <w:szCs w:val="21"/>
        </w:rPr>
        <w:t>（三）《基金合同》生效公告</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基金管理人应当在收到中国证监会确认文件的次日在规定媒介上登载《基金合同》生效公告。</w:t>
      </w:r>
    </w:p>
    <w:p w:rsidR="006E1FE1" w:rsidRDefault="00F51CE7">
      <w:pPr>
        <w:snapToGrid w:val="0"/>
        <w:spacing w:line="360" w:lineRule="auto"/>
        <w:ind w:firstLineChars="200" w:firstLine="420"/>
        <w:rPr>
          <w:bCs/>
          <w:szCs w:val="21"/>
        </w:rPr>
      </w:pPr>
      <w:r>
        <w:rPr>
          <w:rFonts w:hint="eastAsia"/>
          <w:bCs/>
          <w:szCs w:val="21"/>
        </w:rPr>
        <w:t>（四）基金份额上市交易公告书</w:t>
      </w:r>
    </w:p>
    <w:p w:rsidR="006E1FE1" w:rsidRDefault="00F51CE7">
      <w:pPr>
        <w:adjustRightInd w:val="0"/>
        <w:snapToGrid w:val="0"/>
        <w:spacing w:line="360" w:lineRule="auto"/>
        <w:ind w:firstLine="420"/>
        <w:rPr>
          <w:rFonts w:ascii="宋体" w:hAnsi="宋体"/>
          <w:szCs w:val="21"/>
        </w:rPr>
      </w:pPr>
      <w:r>
        <w:rPr>
          <w:rFonts w:hint="eastAsia"/>
          <w:bCs/>
          <w:szCs w:val="21"/>
        </w:rPr>
        <w:t>基金份额获准在证券交易所上市交易的，基金管理人应当在基金上市日前至少</w:t>
      </w:r>
      <w:r>
        <w:rPr>
          <w:rFonts w:hint="eastAsia"/>
          <w:bCs/>
          <w:szCs w:val="21"/>
        </w:rPr>
        <w:t>3</w:t>
      </w:r>
      <w:r>
        <w:rPr>
          <w:rFonts w:hint="eastAsia"/>
          <w:bCs/>
          <w:szCs w:val="21"/>
        </w:rPr>
        <w:t>个工作日，将基金份额上市交易公告书登载在规定网站上，并将上市交易公告书提示性公告登载</w:t>
      </w:r>
      <w:r>
        <w:rPr>
          <w:rFonts w:hint="eastAsia"/>
          <w:bCs/>
          <w:szCs w:val="21"/>
        </w:rPr>
        <w:lastRenderedPageBreak/>
        <w:t>在规定报刊上。</w:t>
      </w:r>
    </w:p>
    <w:p w:rsidR="006E1FE1" w:rsidRDefault="00F51CE7">
      <w:pPr>
        <w:adjustRightInd w:val="0"/>
        <w:snapToGrid w:val="0"/>
        <w:spacing w:line="360" w:lineRule="auto"/>
        <w:ind w:firstLine="420"/>
        <w:rPr>
          <w:rFonts w:ascii="MS Gothic" w:eastAsia="MS Gothic" w:hAnsi="MS Gothic" w:cs="MS Gothic"/>
          <w:szCs w:val="21"/>
        </w:rPr>
      </w:pPr>
      <w:r>
        <w:rPr>
          <w:rFonts w:ascii="宋体" w:hAnsi="宋体"/>
          <w:szCs w:val="21"/>
        </w:rPr>
        <w:t>（</w:t>
      </w:r>
      <w:r>
        <w:rPr>
          <w:rFonts w:ascii="宋体" w:hAnsi="宋体" w:hint="eastAsia"/>
          <w:szCs w:val="21"/>
        </w:rPr>
        <w:t>五</w:t>
      </w:r>
      <w:r>
        <w:rPr>
          <w:rFonts w:ascii="宋体" w:hAnsi="宋体"/>
          <w:szCs w:val="21"/>
        </w:rPr>
        <w:t>）基金净值信息</w:t>
      </w:r>
    </w:p>
    <w:p w:rsidR="006E1FE1" w:rsidRDefault="00F51CE7">
      <w:pPr>
        <w:adjustRightInd w:val="0"/>
        <w:snapToGrid w:val="0"/>
        <w:spacing w:line="360" w:lineRule="auto"/>
        <w:ind w:firstLine="420"/>
        <w:rPr>
          <w:rFonts w:ascii="宋体" w:hAnsi="宋体"/>
          <w:bCs/>
          <w:szCs w:val="21"/>
        </w:rPr>
      </w:pPr>
      <w:r>
        <w:rPr>
          <w:rFonts w:ascii="宋体" w:hAnsi="宋体" w:hint="eastAsia"/>
          <w:bCs/>
          <w:szCs w:val="21"/>
        </w:rPr>
        <w:t>《基金合同》生效后，</w:t>
      </w:r>
      <w:r>
        <w:rPr>
          <w:rFonts w:hint="eastAsia"/>
        </w:rPr>
        <w:t>在开始办理基金份额上市交易或申购或赎回前</w:t>
      </w:r>
      <w:r>
        <w:rPr>
          <w:rFonts w:ascii="宋体" w:hAnsi="宋体" w:hint="eastAsia"/>
          <w:bCs/>
          <w:szCs w:val="21"/>
        </w:rPr>
        <w:t>，基金管理人应当至少每周在规定网站披露一次基金份额净值和基金份额累计净值。</w:t>
      </w:r>
    </w:p>
    <w:p w:rsidR="006E1FE1" w:rsidRDefault="00F51CE7">
      <w:pPr>
        <w:adjustRightInd w:val="0"/>
        <w:snapToGrid w:val="0"/>
        <w:spacing w:line="360" w:lineRule="auto"/>
        <w:ind w:firstLine="420"/>
        <w:rPr>
          <w:rFonts w:ascii="宋体" w:hAnsi="宋体"/>
          <w:bCs/>
          <w:szCs w:val="21"/>
        </w:rPr>
      </w:pPr>
      <w:r>
        <w:rPr>
          <w:rFonts w:hint="eastAsia"/>
        </w:rPr>
        <w:t>在开始办理基金份额上市交易或申购或赎回后</w:t>
      </w:r>
      <w:r>
        <w:rPr>
          <w:rFonts w:ascii="宋体" w:hAnsi="宋体" w:hint="eastAsia"/>
          <w:bCs/>
          <w:szCs w:val="21"/>
        </w:rPr>
        <w:t>，基金管理人应当在不晚于每个开放日的次日，通过</w:t>
      </w:r>
      <w:r w:rsidR="00AF6027">
        <w:rPr>
          <w:rFonts w:ascii="宋体" w:hAnsi="宋体" w:hint="eastAsia"/>
          <w:bCs/>
          <w:szCs w:val="21"/>
        </w:rPr>
        <w:t>规定</w:t>
      </w:r>
      <w:r>
        <w:rPr>
          <w:rFonts w:ascii="宋体" w:hAnsi="宋体" w:hint="eastAsia"/>
          <w:bCs/>
          <w:szCs w:val="21"/>
        </w:rPr>
        <w:t>网站、基金销售机构网站或者营业网点披露开放日的基金份额净值和基金份额累计净值。</w:t>
      </w:r>
    </w:p>
    <w:p w:rsidR="006E1FE1" w:rsidRDefault="00F51CE7">
      <w:pPr>
        <w:adjustRightInd w:val="0"/>
        <w:snapToGrid w:val="0"/>
        <w:spacing w:line="360" w:lineRule="auto"/>
        <w:ind w:firstLine="420"/>
        <w:rPr>
          <w:rFonts w:ascii="宋体" w:hAnsi="宋体"/>
          <w:bCs/>
          <w:szCs w:val="21"/>
        </w:rPr>
      </w:pPr>
      <w:r>
        <w:rPr>
          <w:rFonts w:ascii="宋体" w:hAnsi="宋体" w:hint="eastAsia"/>
          <w:bCs/>
          <w:szCs w:val="21"/>
        </w:rPr>
        <w:t>基金管理人应当在不晚于半年度和年度最后一日的次日，在规定网站披露半年度和年度最后一日的基金份额净值和基金份额累计净值。</w:t>
      </w:r>
    </w:p>
    <w:p w:rsidR="006E1FE1" w:rsidRDefault="00F51CE7">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六</w:t>
      </w:r>
      <w:r>
        <w:rPr>
          <w:rFonts w:ascii="宋体" w:hAnsi="宋体"/>
          <w:szCs w:val="21"/>
        </w:rPr>
        <w:t>）基金份额申购、赎回价格</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Pr>
          <w:rFonts w:ascii="宋体" w:hAnsi="宋体"/>
          <w:szCs w:val="21"/>
        </w:rPr>
        <w:t>能够在基金销售机构网站或营业网点查阅或者复制前述信息资料。</w:t>
      </w:r>
    </w:p>
    <w:p w:rsidR="006E1FE1" w:rsidRDefault="00F51CE7">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七</w:t>
      </w:r>
      <w:r>
        <w:rPr>
          <w:rFonts w:ascii="宋体" w:hAnsi="宋体"/>
          <w:szCs w:val="21"/>
        </w:rPr>
        <w:t>）基金定期报告，包括基金年度报告、基金中期报告和基金季度报告</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基金管理人应当在每年结束之日起三个月内，编制完成基金年度报告，将年度报告登载在规定网站上，并将年度报告提示性公告登载在规定报刊上。基金年度报告中的财务会计报告应当经过</w:t>
      </w:r>
      <w:r>
        <w:rPr>
          <w:rFonts w:ascii="宋体" w:hAnsi="宋体" w:hint="eastAsia"/>
          <w:szCs w:val="21"/>
        </w:rPr>
        <w:t>符合《中华人民共和国证券法》规定</w:t>
      </w:r>
      <w:r>
        <w:rPr>
          <w:rFonts w:ascii="宋体" w:hAnsi="宋体"/>
          <w:szCs w:val="21"/>
        </w:rPr>
        <w:t>的会计师事务所审计。</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基金管理人应当在上半年结束之日起两个月内，编制完成基金中期报告，将中期报告登载在规定网站上，并将中期报告提示性公告登载在规定报刊上。</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基金管理人应当在季度结束之日起15个工作日内，编制完成基金季度报告，将季度报告登载在规定网站上，并将季度报告提示性公告登载在规定报刊上。</w:t>
      </w:r>
    </w:p>
    <w:p w:rsidR="006E1FE1" w:rsidRDefault="00F51CE7">
      <w:pPr>
        <w:adjustRightInd w:val="0"/>
        <w:snapToGrid w:val="0"/>
        <w:spacing w:line="360" w:lineRule="auto"/>
        <w:ind w:firstLine="420"/>
        <w:rPr>
          <w:rFonts w:ascii="宋体" w:hAnsi="宋体"/>
          <w:szCs w:val="21"/>
        </w:rPr>
      </w:pPr>
      <w:r>
        <w:rPr>
          <w:rFonts w:ascii="宋体" w:hAnsi="宋体"/>
          <w:szCs w:val="21"/>
        </w:rPr>
        <w:t>《基金合同》生效不足2个月的，基金管理人可以不编制当期季度报告、中期报告或者年度报告。</w:t>
      </w:r>
    </w:p>
    <w:p w:rsidR="006E1FE1" w:rsidRDefault="00F51CE7">
      <w:pPr>
        <w:adjustRightInd w:val="0"/>
        <w:snapToGrid w:val="0"/>
        <w:spacing w:line="360" w:lineRule="auto"/>
        <w:ind w:firstLine="420"/>
        <w:rPr>
          <w:bCs/>
          <w:szCs w:val="21"/>
        </w:rPr>
      </w:pPr>
      <w:r>
        <w:rPr>
          <w:rFonts w:hint="eastAsia"/>
          <w:bCs/>
          <w:szCs w:val="21"/>
        </w:rPr>
        <w:t>本基金在季度报告、中期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6E1FE1" w:rsidRDefault="00F51CE7">
      <w:pPr>
        <w:adjustRightInd w:val="0"/>
        <w:snapToGrid w:val="0"/>
        <w:spacing w:line="360" w:lineRule="auto"/>
        <w:ind w:firstLine="420"/>
        <w:rPr>
          <w:bCs/>
          <w:szCs w:val="21"/>
        </w:rPr>
      </w:pPr>
      <w:r>
        <w:rPr>
          <w:rFonts w:hint="eastAsia"/>
          <w:bCs/>
          <w:szCs w:val="21"/>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本基金在季度报告、中期报告、年度报告等定期报告中披露参与港股通交易的相关情况。</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lastRenderedPageBreak/>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基金持续运作过程中，应当在基金年度报告和中期报告中披露基金组合资产情况及其流动性风险分析等。</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八</w:t>
      </w:r>
      <w:r>
        <w:rPr>
          <w:rFonts w:ascii="宋体" w:hAnsi="宋体"/>
          <w:szCs w:val="21"/>
        </w:rPr>
        <w:t>）临时报告</w:t>
      </w:r>
    </w:p>
    <w:p w:rsidR="006E1FE1" w:rsidRDefault="00F51CE7">
      <w:pPr>
        <w:adjustRightInd w:val="0"/>
        <w:snapToGrid w:val="0"/>
        <w:spacing w:line="360" w:lineRule="auto"/>
        <w:ind w:firstLine="420"/>
        <w:rPr>
          <w:rFonts w:ascii="宋体" w:hAnsi="宋体"/>
          <w:szCs w:val="21"/>
        </w:rPr>
      </w:pPr>
      <w:r>
        <w:rPr>
          <w:rFonts w:ascii="宋体" w:hAnsi="宋体"/>
          <w:szCs w:val="21"/>
        </w:rPr>
        <w:t>本基金发生重大事件，有关信息披露义务人应当在2日内编制临时报告书，并登载在规定报刊和规定网站上。</w:t>
      </w:r>
    </w:p>
    <w:p w:rsidR="006E1FE1" w:rsidRDefault="00F51CE7">
      <w:pPr>
        <w:adjustRightInd w:val="0"/>
        <w:snapToGrid w:val="0"/>
        <w:spacing w:line="360" w:lineRule="auto"/>
        <w:ind w:firstLine="420"/>
        <w:rPr>
          <w:rFonts w:ascii="宋体" w:hAnsi="宋体"/>
          <w:szCs w:val="21"/>
        </w:rPr>
      </w:pPr>
      <w:r>
        <w:rPr>
          <w:rFonts w:ascii="宋体" w:hAnsi="宋体"/>
          <w:szCs w:val="21"/>
        </w:rPr>
        <w:t>前款所称重大事件，是指可能对基金份额持有人权益或者基金份额的价格产生重大影响的下列事件：</w:t>
      </w:r>
    </w:p>
    <w:p w:rsidR="006E1FE1" w:rsidRDefault="00F51CE7">
      <w:pPr>
        <w:adjustRightInd w:val="0"/>
        <w:snapToGrid w:val="0"/>
        <w:spacing w:line="360" w:lineRule="auto"/>
        <w:ind w:firstLine="420"/>
        <w:rPr>
          <w:rFonts w:ascii="宋体" w:hAnsi="宋体"/>
          <w:szCs w:val="21"/>
        </w:rPr>
      </w:pPr>
      <w:r>
        <w:rPr>
          <w:rFonts w:ascii="宋体" w:hAnsi="宋体"/>
          <w:szCs w:val="21"/>
        </w:rPr>
        <w:t>1、基金份额持有人大会的召开及决定的事项；</w:t>
      </w:r>
    </w:p>
    <w:p w:rsidR="006E1FE1" w:rsidRDefault="00F51CE7">
      <w:pPr>
        <w:adjustRightInd w:val="0"/>
        <w:snapToGrid w:val="0"/>
        <w:spacing w:line="360" w:lineRule="auto"/>
        <w:ind w:firstLine="420"/>
        <w:rPr>
          <w:rFonts w:ascii="宋体" w:hAnsi="宋体"/>
          <w:szCs w:val="21"/>
        </w:rPr>
      </w:pPr>
      <w:r>
        <w:rPr>
          <w:rFonts w:ascii="宋体" w:hAnsi="宋体"/>
          <w:szCs w:val="21"/>
        </w:rPr>
        <w:t>2、终止《基金合同》、基金清算；</w:t>
      </w:r>
    </w:p>
    <w:p w:rsidR="006E1FE1" w:rsidRDefault="00F51CE7">
      <w:pPr>
        <w:adjustRightInd w:val="0"/>
        <w:snapToGrid w:val="0"/>
        <w:spacing w:line="360" w:lineRule="auto"/>
        <w:ind w:firstLine="420"/>
        <w:rPr>
          <w:rFonts w:ascii="宋体" w:hAnsi="宋体"/>
          <w:szCs w:val="21"/>
        </w:rPr>
      </w:pPr>
      <w:r>
        <w:rPr>
          <w:rFonts w:ascii="宋体" w:hAnsi="宋体"/>
          <w:szCs w:val="21"/>
        </w:rPr>
        <w:t>3、转换基金运作方式、基金合并；</w:t>
      </w:r>
    </w:p>
    <w:p w:rsidR="006E1FE1" w:rsidRDefault="00F51CE7">
      <w:pPr>
        <w:adjustRightInd w:val="0"/>
        <w:snapToGrid w:val="0"/>
        <w:spacing w:line="360" w:lineRule="auto"/>
        <w:ind w:firstLine="420"/>
        <w:rPr>
          <w:rFonts w:ascii="宋体" w:hAnsi="宋体"/>
          <w:szCs w:val="21"/>
        </w:rPr>
      </w:pPr>
      <w:r>
        <w:rPr>
          <w:rFonts w:ascii="宋体" w:hAnsi="宋体"/>
          <w:szCs w:val="21"/>
        </w:rPr>
        <w:t>4、更换基金管理人、基金托管人、基金份额登记机构，基金改聘会计师事务所；</w:t>
      </w:r>
    </w:p>
    <w:p w:rsidR="006E1FE1" w:rsidRDefault="00F51CE7">
      <w:pPr>
        <w:adjustRightInd w:val="0"/>
        <w:snapToGrid w:val="0"/>
        <w:spacing w:line="360" w:lineRule="auto"/>
        <w:ind w:firstLine="420"/>
        <w:rPr>
          <w:rFonts w:ascii="MS Gothic" w:eastAsia="MS Gothic" w:hAnsi="MS Gothic" w:cs="MS Gothic"/>
          <w:szCs w:val="21"/>
        </w:rPr>
      </w:pPr>
      <w:r>
        <w:rPr>
          <w:rFonts w:ascii="宋体" w:hAnsi="宋体"/>
          <w:szCs w:val="21"/>
        </w:rPr>
        <w:t>5、基金管理人委托基金服务机构代为办理基金的份额登记、核算、估值等事项，基金托管人委托基金服务机构代为办理基金的核算、估值、复核等事项；</w:t>
      </w:r>
    </w:p>
    <w:p w:rsidR="006E1FE1" w:rsidRDefault="00F51CE7">
      <w:pPr>
        <w:adjustRightInd w:val="0"/>
        <w:snapToGrid w:val="0"/>
        <w:spacing w:line="360" w:lineRule="auto"/>
        <w:ind w:firstLine="420"/>
        <w:rPr>
          <w:rFonts w:ascii="宋体" w:hAnsi="宋体"/>
          <w:szCs w:val="21"/>
        </w:rPr>
      </w:pPr>
      <w:r>
        <w:rPr>
          <w:rFonts w:ascii="宋体" w:hAnsi="宋体"/>
          <w:szCs w:val="21"/>
        </w:rPr>
        <w:t>6、基金管理人、基金托管人的法定名称、住所发生变更；</w:t>
      </w:r>
    </w:p>
    <w:p w:rsidR="006E1FE1" w:rsidRDefault="00F51CE7">
      <w:pPr>
        <w:adjustRightInd w:val="0"/>
        <w:snapToGrid w:val="0"/>
        <w:spacing w:line="360" w:lineRule="auto"/>
        <w:ind w:firstLine="420"/>
        <w:rPr>
          <w:rFonts w:ascii="宋体" w:hAnsi="宋体"/>
          <w:szCs w:val="21"/>
        </w:rPr>
      </w:pPr>
      <w:r>
        <w:rPr>
          <w:rFonts w:ascii="宋体" w:hAnsi="宋体"/>
          <w:szCs w:val="21"/>
        </w:rPr>
        <w:t>7、基金管理人变更持有百分之五以上股权的股东、基金管理人的实际控制人变更；</w:t>
      </w:r>
    </w:p>
    <w:p w:rsidR="006E1FE1" w:rsidRDefault="00F51CE7">
      <w:pPr>
        <w:adjustRightInd w:val="0"/>
        <w:snapToGrid w:val="0"/>
        <w:spacing w:line="360" w:lineRule="auto"/>
        <w:ind w:firstLine="420"/>
        <w:rPr>
          <w:rFonts w:ascii="宋体" w:hAnsi="宋体"/>
          <w:szCs w:val="21"/>
        </w:rPr>
      </w:pPr>
      <w:r>
        <w:rPr>
          <w:rFonts w:ascii="宋体" w:hAnsi="宋体"/>
          <w:szCs w:val="21"/>
        </w:rPr>
        <w:t>8、基金募集期延长或提前结束募集；</w:t>
      </w:r>
    </w:p>
    <w:p w:rsidR="006E1FE1" w:rsidRDefault="00F51CE7">
      <w:pPr>
        <w:adjustRightInd w:val="0"/>
        <w:snapToGrid w:val="0"/>
        <w:spacing w:line="360" w:lineRule="auto"/>
        <w:ind w:firstLine="420"/>
        <w:rPr>
          <w:rFonts w:ascii="宋体" w:hAnsi="宋体"/>
          <w:szCs w:val="21"/>
        </w:rPr>
      </w:pPr>
      <w:r>
        <w:rPr>
          <w:rFonts w:ascii="宋体" w:hAnsi="宋体"/>
          <w:szCs w:val="21"/>
        </w:rPr>
        <w:t>9、基金管理人的高级管理人员、基金经理和基金托管人专门基金托管部门负责人发生变动；</w:t>
      </w:r>
    </w:p>
    <w:p w:rsidR="006E1FE1" w:rsidRDefault="00F51CE7">
      <w:pPr>
        <w:adjustRightInd w:val="0"/>
        <w:snapToGrid w:val="0"/>
        <w:spacing w:line="360" w:lineRule="auto"/>
        <w:ind w:firstLine="420"/>
        <w:rPr>
          <w:rFonts w:ascii="宋体" w:hAnsi="宋体"/>
          <w:szCs w:val="21"/>
        </w:rPr>
      </w:pPr>
      <w:r>
        <w:rPr>
          <w:rFonts w:ascii="宋体" w:hAnsi="宋体"/>
          <w:szCs w:val="21"/>
        </w:rPr>
        <w:t>10、</w:t>
      </w:r>
      <w:r>
        <w:rPr>
          <w:rFonts w:ascii="宋体" w:hAnsi="宋体" w:hint="eastAsia"/>
          <w:szCs w:val="21"/>
        </w:rPr>
        <w:t>基金管理人的董事在最近12个月内变更超过百分之五十，基金管理人、基金托管人专门基金托管部门的主要业务人员在最近12个月内变动超过百分之三十</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11、涉及基金管理</w:t>
      </w:r>
      <w:r>
        <w:rPr>
          <w:rFonts w:ascii="宋体" w:hAnsi="宋体" w:hint="eastAsia"/>
          <w:szCs w:val="21"/>
        </w:rPr>
        <w:t>业务</w:t>
      </w:r>
      <w:r>
        <w:rPr>
          <w:rFonts w:ascii="宋体" w:hAnsi="宋体"/>
          <w:szCs w:val="21"/>
        </w:rPr>
        <w:t>、基金财产、基金托管业务的诉讼</w:t>
      </w:r>
      <w:r>
        <w:rPr>
          <w:rFonts w:ascii="宋体" w:hAnsi="宋体" w:hint="eastAsia"/>
          <w:szCs w:val="21"/>
        </w:rPr>
        <w:t>或仲裁</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12、</w:t>
      </w:r>
      <w:r>
        <w:rPr>
          <w:rFonts w:ascii="宋体" w:hAnsi="宋体"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6E1FE1" w:rsidRDefault="00F51CE7">
      <w:pPr>
        <w:adjustRightInd w:val="0"/>
        <w:snapToGrid w:val="0"/>
        <w:spacing w:line="360" w:lineRule="auto"/>
        <w:ind w:firstLine="420"/>
        <w:rPr>
          <w:rFonts w:ascii="宋体" w:hAnsi="宋体"/>
          <w:szCs w:val="21"/>
        </w:rPr>
      </w:pPr>
      <w:r>
        <w:rPr>
          <w:rFonts w:ascii="宋体" w:hAnsi="宋体"/>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E1FE1" w:rsidRDefault="00F51CE7">
      <w:pPr>
        <w:adjustRightInd w:val="0"/>
        <w:snapToGrid w:val="0"/>
        <w:spacing w:line="360" w:lineRule="auto"/>
        <w:ind w:firstLine="420"/>
        <w:rPr>
          <w:rFonts w:ascii="宋体" w:hAnsi="宋体"/>
          <w:szCs w:val="21"/>
        </w:rPr>
      </w:pPr>
      <w:r>
        <w:rPr>
          <w:rFonts w:ascii="宋体" w:hAnsi="宋体"/>
          <w:szCs w:val="21"/>
        </w:rPr>
        <w:t>14、基金收益分配事项；</w:t>
      </w:r>
    </w:p>
    <w:p w:rsidR="006E1FE1" w:rsidRDefault="00F51CE7">
      <w:pPr>
        <w:adjustRightInd w:val="0"/>
        <w:snapToGrid w:val="0"/>
        <w:spacing w:line="360" w:lineRule="auto"/>
        <w:ind w:firstLine="420"/>
        <w:rPr>
          <w:rFonts w:ascii="宋体" w:hAnsi="宋体"/>
          <w:szCs w:val="21"/>
        </w:rPr>
      </w:pPr>
      <w:r>
        <w:rPr>
          <w:rFonts w:ascii="宋体" w:hAnsi="宋体"/>
          <w:szCs w:val="21"/>
        </w:rPr>
        <w:t>15、管理费、托管费、申购费、赎回费等费用计提标准、计提方式和费率发生变更；</w:t>
      </w:r>
    </w:p>
    <w:p w:rsidR="006E1FE1" w:rsidRDefault="00F51CE7">
      <w:pPr>
        <w:adjustRightInd w:val="0"/>
        <w:snapToGrid w:val="0"/>
        <w:spacing w:line="360" w:lineRule="auto"/>
        <w:ind w:firstLine="420"/>
        <w:rPr>
          <w:rFonts w:ascii="宋体" w:hAnsi="宋体"/>
          <w:szCs w:val="21"/>
        </w:rPr>
      </w:pPr>
      <w:r>
        <w:rPr>
          <w:rFonts w:ascii="宋体" w:hAnsi="宋体"/>
          <w:szCs w:val="21"/>
        </w:rPr>
        <w:lastRenderedPageBreak/>
        <w:t>16、基金份额净值计价错误达基金份额净值百分之零点五；</w:t>
      </w:r>
    </w:p>
    <w:p w:rsidR="006E1FE1" w:rsidRDefault="00F51CE7">
      <w:pPr>
        <w:adjustRightInd w:val="0"/>
        <w:snapToGrid w:val="0"/>
        <w:spacing w:line="360" w:lineRule="auto"/>
        <w:ind w:firstLine="420"/>
        <w:rPr>
          <w:rFonts w:ascii="宋体" w:hAnsi="宋体"/>
          <w:szCs w:val="21"/>
        </w:rPr>
      </w:pPr>
      <w:r>
        <w:rPr>
          <w:rFonts w:ascii="宋体" w:hAnsi="宋体"/>
          <w:szCs w:val="21"/>
        </w:rPr>
        <w:t>17、本基金</w:t>
      </w:r>
      <w:r>
        <w:rPr>
          <w:rFonts w:ascii="宋体" w:hAnsi="宋体" w:hint="eastAsia"/>
          <w:szCs w:val="21"/>
        </w:rPr>
        <w:t>进入</w:t>
      </w:r>
      <w:r>
        <w:rPr>
          <w:rFonts w:ascii="宋体" w:hAnsi="宋体"/>
          <w:szCs w:val="21"/>
        </w:rPr>
        <w:t>开放期；</w:t>
      </w:r>
    </w:p>
    <w:p w:rsidR="006E1FE1" w:rsidRDefault="00F51CE7">
      <w:pPr>
        <w:adjustRightInd w:val="0"/>
        <w:snapToGrid w:val="0"/>
        <w:spacing w:line="360" w:lineRule="auto"/>
        <w:ind w:firstLine="420"/>
        <w:rPr>
          <w:rFonts w:ascii="宋体" w:hAnsi="宋体"/>
          <w:szCs w:val="21"/>
        </w:rPr>
      </w:pPr>
      <w:r>
        <w:rPr>
          <w:rFonts w:ascii="宋体" w:hAnsi="宋体"/>
          <w:szCs w:val="21"/>
        </w:rPr>
        <w:t>18、本基金发生巨额赎回并</w:t>
      </w:r>
      <w:r>
        <w:rPr>
          <w:rFonts w:ascii="宋体" w:hAnsi="宋体" w:hint="eastAsia"/>
          <w:szCs w:val="21"/>
        </w:rPr>
        <w:t>延缓支付</w:t>
      </w:r>
      <w:r>
        <w:rPr>
          <w:rFonts w:ascii="宋体" w:hAnsi="宋体"/>
          <w:szCs w:val="21"/>
        </w:rPr>
        <w:t>赎回款项</w:t>
      </w:r>
      <w:r>
        <w:rPr>
          <w:rFonts w:ascii="宋体" w:hAnsi="宋体" w:hint="eastAsia"/>
          <w:szCs w:val="21"/>
        </w:rPr>
        <w:t>或延期</w:t>
      </w:r>
      <w:r>
        <w:rPr>
          <w:rFonts w:ascii="宋体" w:hAnsi="宋体" w:hint="eastAsia"/>
          <w:bCs/>
          <w:szCs w:val="21"/>
        </w:rPr>
        <w:t>办理</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19、本基金暂停接受申购、赎回申请或重新接受申购、赎回申请；</w:t>
      </w:r>
    </w:p>
    <w:p w:rsidR="006E1FE1" w:rsidRDefault="00F51CE7">
      <w:pPr>
        <w:adjustRightInd w:val="0"/>
        <w:snapToGrid w:val="0"/>
        <w:spacing w:line="360" w:lineRule="auto"/>
        <w:ind w:firstLine="420"/>
        <w:rPr>
          <w:rFonts w:ascii="宋体" w:hAnsi="宋体"/>
          <w:szCs w:val="21"/>
        </w:rPr>
      </w:pPr>
      <w:r>
        <w:rPr>
          <w:rFonts w:ascii="宋体" w:hAnsi="宋体"/>
          <w:szCs w:val="21"/>
        </w:rPr>
        <w:t>20</w:t>
      </w:r>
      <w:r>
        <w:rPr>
          <w:rFonts w:ascii="宋体" w:hAnsi="宋体" w:hint="eastAsia"/>
          <w:szCs w:val="21"/>
        </w:rPr>
        <w:t>、发生涉及基金申购、赎回事项调整或潜在影响投资者赎回等重大事项时；</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、基金管理人采用摆动定价机制进行估值；</w:t>
      </w:r>
    </w:p>
    <w:p w:rsidR="006E1FE1" w:rsidRDefault="00F51CE7">
      <w:pPr>
        <w:adjustRightInd w:val="0"/>
        <w:snapToGrid w:val="0"/>
        <w:spacing w:line="360" w:lineRule="auto"/>
        <w:ind w:firstLine="420"/>
        <w:rPr>
          <w:rFonts w:ascii="宋体" w:hAnsi="宋体"/>
          <w:szCs w:val="21"/>
        </w:rPr>
      </w:pPr>
      <w:r>
        <w:rPr>
          <w:rFonts w:ascii="宋体" w:hAnsi="宋体"/>
          <w:szCs w:val="21"/>
        </w:rPr>
        <w:t>22</w:t>
      </w:r>
      <w:r>
        <w:rPr>
          <w:rFonts w:ascii="宋体" w:hAnsi="宋体" w:hint="eastAsia"/>
          <w:szCs w:val="21"/>
        </w:rPr>
        <w:t>、基金份额停复牌、暂停上市、恢复上市或终止上市；</w:t>
      </w:r>
    </w:p>
    <w:p w:rsidR="006E1FE1" w:rsidRDefault="00F51CE7">
      <w:pPr>
        <w:adjustRightInd w:val="0"/>
        <w:snapToGrid w:val="0"/>
        <w:spacing w:line="360" w:lineRule="auto"/>
        <w:ind w:firstLine="420"/>
        <w:rPr>
          <w:rFonts w:ascii="宋体" w:hAnsi="宋体"/>
          <w:szCs w:val="21"/>
        </w:rPr>
      </w:pPr>
      <w:r>
        <w:rPr>
          <w:rFonts w:ascii="宋体" w:hAnsi="宋体"/>
          <w:szCs w:val="21"/>
        </w:rPr>
        <w:t>23</w:t>
      </w:r>
      <w:r>
        <w:rPr>
          <w:rFonts w:ascii="宋体" w:hAnsi="宋体" w:hint="eastAsia"/>
          <w:szCs w:val="21"/>
        </w:rPr>
        <w:t>、</w:t>
      </w:r>
      <w:r>
        <w:rPr>
          <w:rFonts w:ascii="宋体" w:hAnsi="宋体"/>
          <w:szCs w:val="21"/>
        </w:rPr>
        <w:t>基金信息披露义务人认为可能对基金份额持有人权益或者基金份额的价格产生重大影响的其他事项或中国证监会规定和基金合同约定的其他事项。</w:t>
      </w:r>
    </w:p>
    <w:p w:rsidR="006E1FE1" w:rsidRDefault="00F51CE7">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九</w:t>
      </w:r>
      <w:r>
        <w:rPr>
          <w:rFonts w:ascii="宋体" w:hAnsi="宋体"/>
          <w:szCs w:val="21"/>
        </w:rPr>
        <w:t>）澄清公告</w:t>
      </w:r>
    </w:p>
    <w:p w:rsidR="006E1FE1" w:rsidRDefault="00F51CE7">
      <w:pPr>
        <w:adjustRightInd w:val="0"/>
        <w:snapToGrid w:val="0"/>
        <w:spacing w:line="360" w:lineRule="auto"/>
        <w:ind w:firstLine="420"/>
        <w:rPr>
          <w:rFonts w:ascii="宋体" w:hAnsi="宋体"/>
          <w:szCs w:val="21"/>
        </w:rPr>
      </w:pPr>
      <w:r>
        <w:rPr>
          <w:rFonts w:ascii="宋体" w:hAnsi="宋体"/>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Pr>
          <w:rFonts w:ascii="宋体" w:hAnsi="宋体" w:hint="eastAsia"/>
          <w:bCs/>
        </w:rPr>
        <w:t>、基金上市交易的证券交易所</w:t>
      </w:r>
      <w:r>
        <w:rPr>
          <w:rFonts w:ascii="宋体" w:hAnsi="宋体"/>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十</w:t>
      </w:r>
      <w:r>
        <w:rPr>
          <w:rFonts w:ascii="宋体" w:hAnsi="宋体"/>
          <w:szCs w:val="21"/>
        </w:rPr>
        <w:t>）基金份额持有人大会决议</w:t>
      </w:r>
    </w:p>
    <w:p w:rsidR="006E1FE1" w:rsidRDefault="00F51CE7">
      <w:pPr>
        <w:adjustRightInd w:val="0"/>
        <w:snapToGrid w:val="0"/>
        <w:spacing w:line="360" w:lineRule="auto"/>
        <w:ind w:firstLine="420"/>
        <w:rPr>
          <w:rFonts w:ascii="宋体" w:hAnsi="宋体"/>
          <w:szCs w:val="21"/>
        </w:rPr>
      </w:pPr>
      <w:r>
        <w:rPr>
          <w:rFonts w:ascii="宋体" w:hAnsi="宋体"/>
          <w:szCs w:val="21"/>
        </w:rPr>
        <w:t>基金份额持有人大会决定的事项，应当依法报</w:t>
      </w:r>
      <w:r>
        <w:rPr>
          <w:rFonts w:ascii="宋体" w:hAnsi="宋体" w:hint="eastAsia"/>
          <w:szCs w:val="21"/>
        </w:rPr>
        <w:t>中国证监会</w:t>
      </w:r>
      <w:r>
        <w:rPr>
          <w:rFonts w:ascii="宋体" w:hAnsi="宋体"/>
          <w:szCs w:val="21"/>
        </w:rPr>
        <w:t>备案，并予以公告。</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（十一）清算报告</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基金合同终止的，基金管理人应当组织基金财产清算小组对基金财产进行清算并作出清算报告。基金财产清算小组应当将清算报告登载在规定网站上，并将清算报告提示性公告登载在规定报刊上。</w:t>
      </w:r>
    </w:p>
    <w:p w:rsidR="006E1FE1" w:rsidRDefault="00F51CE7">
      <w:pPr>
        <w:adjustRightInd w:val="0"/>
        <w:snapToGrid w:val="0"/>
        <w:spacing w:line="360" w:lineRule="auto"/>
        <w:ind w:firstLine="420"/>
        <w:rPr>
          <w:rFonts w:ascii="宋体" w:hAnsi="宋体"/>
          <w:szCs w:val="21"/>
        </w:rPr>
      </w:pPr>
      <w:r>
        <w:rPr>
          <w:rFonts w:ascii="宋体" w:hAnsi="宋体"/>
          <w:szCs w:val="21"/>
        </w:rPr>
        <w:t>（十</w:t>
      </w:r>
      <w:r>
        <w:rPr>
          <w:rFonts w:ascii="宋体" w:hAnsi="宋体" w:hint="eastAsia"/>
          <w:szCs w:val="21"/>
        </w:rPr>
        <w:t>二</w:t>
      </w:r>
      <w:r>
        <w:rPr>
          <w:rFonts w:ascii="宋体" w:hAnsi="宋体"/>
          <w:szCs w:val="21"/>
        </w:rPr>
        <w:t>）</w:t>
      </w:r>
      <w:r>
        <w:rPr>
          <w:rFonts w:ascii="宋体" w:hAnsi="宋体" w:hint="eastAsia"/>
          <w:szCs w:val="21"/>
        </w:rPr>
        <w:t>基金管理公司应在</w:t>
      </w:r>
      <w:r>
        <w:rPr>
          <w:rFonts w:hint="eastAsia"/>
          <w:bCs/>
          <w:color w:val="000000"/>
          <w:szCs w:val="24"/>
        </w:rPr>
        <w:t>基金投资非公开发行股票</w:t>
      </w:r>
      <w:r>
        <w:rPr>
          <w:rFonts w:ascii="宋体" w:hAnsi="宋体" w:hint="eastAsia"/>
          <w:szCs w:val="21"/>
        </w:rPr>
        <w:t>后两个交易日内，在中国证监会规定媒介披露所投资非公开发行股票的名称、数量、总成本、账面价值，以及总成本和账面价值占基金资产净值的比例、锁定期等信息。</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（十三）基金管理人在投资关联交易后按照法规要求披露，披露内容包括但不限于交易事项概述、交易标的基本情况、交易数量、交易金额、交易定价依据、关联人名称、交易各方的关联关系等。</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（十四）</w:t>
      </w:r>
      <w:r>
        <w:rPr>
          <w:rFonts w:ascii="宋体" w:hAnsi="宋体"/>
          <w:szCs w:val="21"/>
        </w:rPr>
        <w:t>中国证监会规定的其他信息。</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六、信息披露事务管理</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基金管理人、基金托管人应当建立健全信息披露管理制度，指定专门部门及高级管理人员负责管理信息披露事务。</w:t>
      </w:r>
    </w:p>
    <w:p w:rsidR="006E1FE1" w:rsidRDefault="00F51CE7">
      <w:pPr>
        <w:adjustRightInd w:val="0"/>
        <w:snapToGrid w:val="0"/>
        <w:spacing w:line="360" w:lineRule="auto"/>
        <w:ind w:firstLine="420"/>
        <w:rPr>
          <w:rFonts w:ascii="宋体" w:hAnsi="宋体"/>
          <w:szCs w:val="21"/>
        </w:rPr>
      </w:pPr>
      <w:r>
        <w:rPr>
          <w:rFonts w:ascii="宋体" w:hAnsi="宋体"/>
          <w:szCs w:val="21"/>
        </w:rPr>
        <w:t>基金信息披露义务人公开披露基金信息，应当符合中国证监会相关基金信息披露内容与格式准则等法规的规定。</w:t>
      </w:r>
    </w:p>
    <w:p w:rsidR="006E1FE1" w:rsidRDefault="00F51CE7">
      <w:pPr>
        <w:adjustRightInd w:val="0"/>
        <w:snapToGrid w:val="0"/>
        <w:spacing w:line="360" w:lineRule="auto"/>
        <w:ind w:firstLine="420"/>
        <w:rPr>
          <w:rFonts w:ascii="宋体" w:hAnsi="宋体"/>
          <w:szCs w:val="21"/>
        </w:rPr>
      </w:pPr>
      <w:r>
        <w:rPr>
          <w:rFonts w:ascii="宋体" w:hAnsi="宋体"/>
          <w:szCs w:val="21"/>
        </w:rPr>
        <w:t>基金托管人应当按照相关法律法规、中国证监会的规定和《基金合同》的约定，对基金</w:t>
      </w:r>
      <w:r>
        <w:rPr>
          <w:rFonts w:ascii="宋体" w:hAnsi="宋体"/>
          <w:szCs w:val="21"/>
        </w:rPr>
        <w:lastRenderedPageBreak/>
        <w:t>管理人编制的基金资产净值、基金份额净值、基金份额申购赎回价格、基金定期报告、更新的招募说明书、基金产品资料概要、基金清算报告等相关基金信息进行复核、审查，</w:t>
      </w:r>
      <w:r>
        <w:rPr>
          <w:rFonts w:ascii="宋体" w:hAnsi="宋体" w:hint="eastAsia"/>
          <w:szCs w:val="21"/>
        </w:rPr>
        <w:t>并向基金管理人进行书面或电子确认。</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基金管理人、基金托管人应当在规定报刊中选择披露信息的报刊。基金管理人、基金托管人应当向中国证监会基金电子披露网站报送拟披露的基金信息，并保证相关报送信息的真实、准确、完整、及时。</w:t>
      </w:r>
    </w:p>
    <w:p w:rsidR="006E1FE1" w:rsidRDefault="00F51CE7">
      <w:pPr>
        <w:adjustRightInd w:val="0"/>
        <w:snapToGrid w:val="0"/>
        <w:spacing w:line="360" w:lineRule="auto"/>
        <w:ind w:firstLine="420"/>
        <w:rPr>
          <w:rFonts w:ascii="宋体" w:hAnsi="宋体"/>
          <w:szCs w:val="21"/>
        </w:rPr>
      </w:pPr>
      <w:r>
        <w:rPr>
          <w:rFonts w:ascii="宋体" w:hAnsi="宋体"/>
          <w:szCs w:val="21"/>
        </w:rPr>
        <w:t>基金管理人、基金托管人除依法在规定媒介上披露信息外，还可以根据需要在其他公共媒介披露信息，但是其他公共媒介不得早于规定媒介</w:t>
      </w:r>
      <w:r>
        <w:rPr>
          <w:rFonts w:ascii="宋体" w:hAnsi="宋体" w:hint="eastAsia"/>
          <w:bCs/>
        </w:rPr>
        <w:t>和基金上市交易的证券交易所网站</w:t>
      </w:r>
      <w:r>
        <w:rPr>
          <w:rFonts w:ascii="宋体" w:hAnsi="宋体"/>
          <w:szCs w:val="21"/>
        </w:rPr>
        <w:t>披露信息，并且在不同媒介上披露同一信息的内容应当一致。</w:t>
      </w:r>
    </w:p>
    <w:p w:rsidR="006E1FE1" w:rsidRDefault="00F51CE7">
      <w:pPr>
        <w:adjustRightInd w:val="0"/>
        <w:snapToGrid w:val="0"/>
        <w:spacing w:line="360" w:lineRule="auto"/>
        <w:ind w:firstLine="420"/>
        <w:rPr>
          <w:rFonts w:ascii="宋体" w:hAnsi="宋体"/>
          <w:szCs w:val="21"/>
        </w:rPr>
      </w:pPr>
      <w:r>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Pr>
          <w:rFonts w:ascii="宋体" w:hAnsi="宋体"/>
          <w:szCs w:val="21"/>
        </w:rPr>
        <w:t>年。</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七、信息披露文件的存放与查阅</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w:t>
      </w:r>
      <w:r>
        <w:rPr>
          <w:rFonts w:hint="eastAsia"/>
        </w:rPr>
        <w:t>、基金上市交易的证券交易所</w:t>
      </w:r>
      <w:r>
        <w:rPr>
          <w:rFonts w:ascii="宋体" w:hAnsi="宋体"/>
          <w:szCs w:val="21"/>
        </w:rPr>
        <w:t>，供社会公众查阅、复制。</w:t>
      </w:r>
    </w:p>
    <w:p w:rsidR="006E1FE1" w:rsidRDefault="006E1FE1">
      <w:pPr>
        <w:adjustRightInd w:val="0"/>
        <w:snapToGrid w:val="0"/>
        <w:spacing w:line="360" w:lineRule="auto"/>
        <w:rPr>
          <w:rFonts w:ascii="宋体" w:hAnsi="宋体"/>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363" w:name="_Toc139991749"/>
      <w:bookmarkStart w:id="364" w:name="_Toc25647"/>
      <w:bookmarkStart w:id="365" w:name="_Toc123102466"/>
      <w:bookmarkStart w:id="366" w:name="_Toc29891"/>
      <w:bookmarkStart w:id="367" w:name="_Toc10006"/>
      <w:bookmarkStart w:id="368" w:name="_Toc9005"/>
      <w:bookmarkStart w:id="369" w:name="_Toc141703899"/>
      <w:bookmarkStart w:id="370" w:name="_Toc8049"/>
      <w:bookmarkStart w:id="371" w:name="_Toc27464"/>
      <w:bookmarkStart w:id="372" w:name="_Toc123112247"/>
      <w:bookmarkStart w:id="373" w:name="_Toc6237"/>
      <w:bookmarkStart w:id="374" w:name="_Toc123051465"/>
      <w:bookmarkStart w:id="375" w:name="_Toc98560364"/>
      <w:bookmarkStart w:id="376" w:name="_Toc8059"/>
      <w:bookmarkStart w:id="377" w:name="_Toc22978"/>
      <w:bookmarkStart w:id="378" w:name="_Toc7170"/>
      <w:bookmarkStart w:id="379" w:name="_Toc11113"/>
      <w:bookmarkStart w:id="380" w:name="_Toc516479997"/>
      <w:r>
        <w:rPr>
          <w:rFonts w:ascii="Times New Roman"/>
          <w:color w:val="auto"/>
          <w:sz w:val="32"/>
          <w:szCs w:val="21"/>
        </w:rPr>
        <w:lastRenderedPageBreak/>
        <w:t>第</w:t>
      </w:r>
      <w:r>
        <w:rPr>
          <w:rFonts w:ascii="Times New Roman" w:hint="eastAsia"/>
          <w:color w:val="auto"/>
          <w:sz w:val="32"/>
          <w:szCs w:val="21"/>
        </w:rPr>
        <w:t>二十</w:t>
      </w:r>
      <w:r>
        <w:rPr>
          <w:rFonts w:ascii="Times New Roman"/>
          <w:color w:val="auto"/>
          <w:sz w:val="32"/>
          <w:szCs w:val="21"/>
        </w:rPr>
        <w:t>部分</w:t>
      </w:r>
      <w:bookmarkStart w:id="381" w:name="_Hlt88828593"/>
      <w:r>
        <w:rPr>
          <w:rFonts w:ascii="Times New Roman" w:hint="eastAsia"/>
          <w:color w:val="auto"/>
          <w:sz w:val="32"/>
          <w:szCs w:val="21"/>
        </w:rPr>
        <w:t xml:space="preserve">  </w:t>
      </w:r>
      <w:r>
        <w:rPr>
          <w:rFonts w:ascii="Times New Roman"/>
          <w:color w:val="auto"/>
          <w:sz w:val="32"/>
          <w:szCs w:val="21"/>
        </w:rPr>
        <w:t>基金合同</w:t>
      </w:r>
      <w:bookmarkEnd w:id="381"/>
      <w:r>
        <w:rPr>
          <w:rFonts w:ascii="Times New Roman"/>
          <w:color w:val="auto"/>
          <w:sz w:val="32"/>
          <w:szCs w:val="21"/>
        </w:rPr>
        <w:t>的变更、终止与基金财产的清算</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2"/>
        <w:rPr>
          <w:rFonts w:ascii="宋体" w:hAnsi="宋体"/>
          <w:b/>
          <w:szCs w:val="21"/>
        </w:rPr>
      </w:pPr>
      <w:bookmarkStart w:id="382" w:name="_Toc79392639"/>
      <w:r>
        <w:rPr>
          <w:rFonts w:ascii="宋体" w:hAnsi="宋体"/>
          <w:b/>
          <w:szCs w:val="21"/>
        </w:rPr>
        <w:t>一、《基金合同》的变更</w:t>
      </w:r>
      <w:bookmarkEnd w:id="382"/>
    </w:p>
    <w:p w:rsidR="006E1FE1" w:rsidRDefault="00F51CE7">
      <w:pPr>
        <w:adjustRightInd w:val="0"/>
        <w:snapToGrid w:val="0"/>
        <w:spacing w:line="360" w:lineRule="auto"/>
        <w:ind w:firstLine="420"/>
        <w:rPr>
          <w:rFonts w:ascii="宋体" w:hAnsi="宋体"/>
          <w:szCs w:val="21"/>
        </w:rPr>
      </w:pPr>
      <w:r>
        <w:rPr>
          <w:rFonts w:ascii="宋体" w:hAnsi="宋体"/>
          <w:szCs w:val="21"/>
        </w:rPr>
        <w:t>1、变更基金合同</w:t>
      </w:r>
      <w:r>
        <w:rPr>
          <w:rFonts w:ascii="宋体" w:hAnsi="宋体" w:hint="eastAsia"/>
          <w:szCs w:val="21"/>
        </w:rPr>
        <w:t>涉及</w:t>
      </w:r>
      <w:r>
        <w:rPr>
          <w:rFonts w:ascii="宋体" w:hAnsi="宋体"/>
          <w:szCs w:val="21"/>
        </w:rPr>
        <w:t>法律法规规定或本</w:t>
      </w:r>
      <w:r>
        <w:rPr>
          <w:rFonts w:ascii="宋体" w:hAnsi="宋体" w:hint="eastAsia"/>
          <w:szCs w:val="21"/>
        </w:rPr>
        <w:t>基金</w:t>
      </w:r>
      <w:r>
        <w:rPr>
          <w:rFonts w:ascii="宋体" w:hAnsi="宋体"/>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rFonts w:ascii="宋体" w:hAnsi="宋体"/>
          <w:szCs w:val="21"/>
        </w:rPr>
        <w:t>可不经基金份额持有人大会决议通过的事项，由基金管理人和基金托管人同意后变更并公告，并报中国证监会备案。</w:t>
      </w:r>
    </w:p>
    <w:p w:rsidR="006E1FE1" w:rsidRDefault="00F51CE7">
      <w:pPr>
        <w:adjustRightInd w:val="0"/>
        <w:snapToGrid w:val="0"/>
        <w:spacing w:line="360" w:lineRule="auto"/>
        <w:ind w:firstLine="420"/>
        <w:rPr>
          <w:rFonts w:ascii="宋体" w:hAnsi="宋体"/>
          <w:szCs w:val="21"/>
        </w:rPr>
      </w:pPr>
      <w:r>
        <w:rPr>
          <w:rFonts w:ascii="宋体" w:hAnsi="宋体"/>
          <w:szCs w:val="21"/>
        </w:rPr>
        <w:t>2、关于《基金合同》变更的基金份额持有人大会决议</w:t>
      </w:r>
      <w:r>
        <w:rPr>
          <w:rFonts w:ascii="宋体" w:hAnsi="宋体" w:hint="eastAsia"/>
          <w:szCs w:val="21"/>
        </w:rPr>
        <w:t>自</w:t>
      </w:r>
      <w:r>
        <w:rPr>
          <w:rFonts w:ascii="宋体" w:hAnsi="宋体"/>
          <w:szCs w:val="21"/>
        </w:rPr>
        <w:t>生效后方可执行，</w:t>
      </w:r>
      <w:r>
        <w:rPr>
          <w:rFonts w:ascii="宋体" w:hAnsi="宋体" w:hint="eastAsia"/>
          <w:szCs w:val="21"/>
        </w:rPr>
        <w:t>并</w:t>
      </w:r>
      <w:r>
        <w:rPr>
          <w:rFonts w:ascii="宋体" w:hAnsi="宋体"/>
          <w:szCs w:val="21"/>
        </w:rPr>
        <w:t>自决议生效后2日内在规定媒介公告。</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二、《基金合同》的终止事由</w:t>
      </w:r>
    </w:p>
    <w:p w:rsidR="006E1FE1" w:rsidRDefault="00F51CE7">
      <w:pPr>
        <w:adjustRightInd w:val="0"/>
        <w:snapToGrid w:val="0"/>
        <w:spacing w:line="360" w:lineRule="auto"/>
        <w:ind w:firstLine="420"/>
        <w:rPr>
          <w:rFonts w:ascii="宋体" w:hAnsi="宋体"/>
          <w:szCs w:val="21"/>
        </w:rPr>
      </w:pPr>
      <w:r>
        <w:rPr>
          <w:rFonts w:ascii="宋体" w:hAnsi="宋体"/>
          <w:szCs w:val="21"/>
        </w:rPr>
        <w:t>有下列情形之一的，</w:t>
      </w:r>
      <w:r>
        <w:rPr>
          <w:rFonts w:ascii="宋体" w:hAnsi="宋体" w:hint="eastAsia"/>
          <w:szCs w:val="21"/>
        </w:rPr>
        <w:t>经履行相关程序后，</w:t>
      </w:r>
      <w:r>
        <w:rPr>
          <w:rFonts w:ascii="宋体" w:hAnsi="宋体"/>
          <w:szCs w:val="21"/>
        </w:rPr>
        <w:t>《基金合同》应当终止：</w:t>
      </w:r>
    </w:p>
    <w:p w:rsidR="006E1FE1" w:rsidRDefault="00F51CE7">
      <w:pPr>
        <w:adjustRightInd w:val="0"/>
        <w:snapToGrid w:val="0"/>
        <w:spacing w:line="360" w:lineRule="auto"/>
        <w:ind w:firstLine="420"/>
        <w:rPr>
          <w:rFonts w:ascii="宋体" w:hAnsi="宋体"/>
          <w:szCs w:val="21"/>
        </w:rPr>
      </w:pPr>
      <w:r>
        <w:rPr>
          <w:rFonts w:ascii="宋体" w:hAnsi="宋体"/>
          <w:szCs w:val="21"/>
        </w:rPr>
        <w:t>1、基金份额持有人大会决定终止的；</w:t>
      </w:r>
    </w:p>
    <w:p w:rsidR="006E1FE1" w:rsidRDefault="00F51CE7">
      <w:pPr>
        <w:adjustRightInd w:val="0"/>
        <w:snapToGrid w:val="0"/>
        <w:spacing w:line="360" w:lineRule="auto"/>
        <w:ind w:firstLine="420"/>
        <w:rPr>
          <w:rFonts w:ascii="宋体" w:hAnsi="宋体"/>
          <w:szCs w:val="21"/>
        </w:rPr>
      </w:pPr>
      <w:r>
        <w:rPr>
          <w:rFonts w:ascii="宋体" w:hAnsi="宋体"/>
          <w:szCs w:val="21"/>
        </w:rPr>
        <w:t>2、基金管理人、基金托管人职责终止，在6个月内没有新基金管理人、新基金托管人承接的；</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、《基金合同》约定的其他情形；</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、相关法律法规和中国证监会规定的其他情况。</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三、基金财产的清算</w:t>
      </w:r>
    </w:p>
    <w:p w:rsidR="006E1FE1" w:rsidRDefault="00F51CE7">
      <w:pPr>
        <w:adjustRightInd w:val="0"/>
        <w:snapToGrid w:val="0"/>
        <w:spacing w:line="360" w:lineRule="auto"/>
        <w:ind w:firstLine="420"/>
        <w:rPr>
          <w:rFonts w:ascii="宋体" w:hAnsi="宋体"/>
          <w:szCs w:val="21"/>
        </w:rPr>
      </w:pPr>
      <w:r>
        <w:rPr>
          <w:rFonts w:ascii="宋体" w:hAnsi="宋体"/>
          <w:szCs w:val="21"/>
        </w:rPr>
        <w:t>1、基金财产清算小组：自出现《基金合同》终止事由之日起30个工作日内成立清算小组，基金管理人组织基金财产清算小组并在中国证监会的监督下进行基金清算。</w:t>
      </w:r>
    </w:p>
    <w:p w:rsidR="006E1FE1" w:rsidRDefault="00F51CE7">
      <w:pPr>
        <w:adjustRightInd w:val="0"/>
        <w:snapToGrid w:val="0"/>
        <w:spacing w:line="360" w:lineRule="auto"/>
        <w:ind w:firstLine="420"/>
        <w:rPr>
          <w:rFonts w:ascii="宋体" w:hAnsi="宋体"/>
          <w:szCs w:val="21"/>
        </w:rPr>
      </w:pPr>
      <w:r>
        <w:rPr>
          <w:rFonts w:ascii="宋体" w:hAnsi="宋体"/>
          <w:szCs w:val="21"/>
        </w:rPr>
        <w:t>2、基金财产清算小组组成：基金财产清算小组成员由基金管理人、基金托管人、</w:t>
      </w:r>
      <w:r>
        <w:rPr>
          <w:rFonts w:ascii="宋体" w:hAnsi="宋体" w:hint="eastAsia"/>
          <w:szCs w:val="21"/>
        </w:rPr>
        <w:t>符合《中华人民共和国证券法》规定</w:t>
      </w:r>
      <w:r>
        <w:rPr>
          <w:rFonts w:ascii="宋体" w:hAnsi="宋体"/>
          <w:szCs w:val="21"/>
        </w:rPr>
        <w:t>的注册会计师、律师以及中国证监会指定的人员组成。基金财产清算小组可以聘用必要的工作人员。</w:t>
      </w:r>
    </w:p>
    <w:p w:rsidR="006E1FE1" w:rsidRDefault="00F51CE7">
      <w:pPr>
        <w:adjustRightInd w:val="0"/>
        <w:snapToGrid w:val="0"/>
        <w:spacing w:line="360" w:lineRule="auto"/>
        <w:ind w:firstLine="420"/>
        <w:rPr>
          <w:rFonts w:ascii="宋体" w:hAnsi="宋体"/>
          <w:szCs w:val="21"/>
        </w:rPr>
      </w:pPr>
      <w:r>
        <w:rPr>
          <w:rFonts w:ascii="宋体" w:hAnsi="宋体"/>
          <w:szCs w:val="21"/>
        </w:rPr>
        <w:t>3、基金财产清算小组职责：基金财产清算小组负责基金财产的保管、清理、估价、变现和分配。基金财产清算小组可以依法进行必要的民事活动。</w:t>
      </w:r>
    </w:p>
    <w:p w:rsidR="006E1FE1" w:rsidRDefault="00F51CE7">
      <w:pPr>
        <w:adjustRightInd w:val="0"/>
        <w:snapToGrid w:val="0"/>
        <w:spacing w:line="360" w:lineRule="auto"/>
        <w:ind w:firstLine="420"/>
        <w:rPr>
          <w:rFonts w:ascii="宋体" w:hAnsi="宋体"/>
          <w:szCs w:val="21"/>
        </w:rPr>
      </w:pPr>
      <w:r>
        <w:rPr>
          <w:rFonts w:ascii="宋体" w:hAnsi="宋体"/>
          <w:szCs w:val="21"/>
        </w:rPr>
        <w:t>4、基金财产清算程序：</w:t>
      </w:r>
    </w:p>
    <w:p w:rsidR="006E1FE1" w:rsidRDefault="00F51CE7">
      <w:pPr>
        <w:adjustRightInd w:val="0"/>
        <w:snapToGrid w:val="0"/>
        <w:spacing w:line="360" w:lineRule="auto"/>
        <w:ind w:firstLine="420"/>
        <w:rPr>
          <w:rFonts w:ascii="宋体" w:hAnsi="宋体"/>
          <w:szCs w:val="21"/>
        </w:rPr>
      </w:pPr>
      <w:r>
        <w:rPr>
          <w:rFonts w:ascii="宋体" w:hAnsi="宋体"/>
          <w:szCs w:val="21"/>
        </w:rPr>
        <w:t>（1）《基金合同》终止情形出现时，由基金财产清算小组统一接管基金；</w:t>
      </w:r>
    </w:p>
    <w:p w:rsidR="006E1FE1" w:rsidRDefault="00F51CE7">
      <w:pPr>
        <w:adjustRightInd w:val="0"/>
        <w:snapToGrid w:val="0"/>
        <w:spacing w:line="360" w:lineRule="auto"/>
        <w:ind w:firstLine="420"/>
        <w:rPr>
          <w:rFonts w:ascii="宋体" w:hAnsi="宋体"/>
          <w:szCs w:val="21"/>
        </w:rPr>
      </w:pPr>
      <w:r>
        <w:rPr>
          <w:rFonts w:ascii="宋体" w:hAnsi="宋体"/>
          <w:szCs w:val="21"/>
        </w:rPr>
        <w:t>（2）对基金财产和债权债务进行清理和确认；</w:t>
      </w:r>
    </w:p>
    <w:p w:rsidR="006E1FE1" w:rsidRDefault="00F51CE7">
      <w:pPr>
        <w:adjustRightInd w:val="0"/>
        <w:snapToGrid w:val="0"/>
        <w:spacing w:line="360" w:lineRule="auto"/>
        <w:ind w:firstLine="420"/>
        <w:rPr>
          <w:rFonts w:ascii="宋体" w:hAnsi="宋体"/>
          <w:szCs w:val="21"/>
        </w:rPr>
      </w:pPr>
      <w:r>
        <w:rPr>
          <w:rFonts w:ascii="宋体" w:hAnsi="宋体"/>
          <w:szCs w:val="21"/>
        </w:rPr>
        <w:t>（3）对基金财产进行估值和变现；</w:t>
      </w:r>
    </w:p>
    <w:p w:rsidR="006E1FE1" w:rsidRDefault="00F51CE7">
      <w:pPr>
        <w:adjustRightInd w:val="0"/>
        <w:snapToGrid w:val="0"/>
        <w:spacing w:line="360" w:lineRule="auto"/>
        <w:ind w:firstLine="420"/>
        <w:rPr>
          <w:rFonts w:ascii="宋体" w:hAnsi="宋体"/>
          <w:szCs w:val="21"/>
        </w:rPr>
      </w:pPr>
      <w:r>
        <w:rPr>
          <w:rFonts w:ascii="宋体" w:hAnsi="宋体"/>
          <w:szCs w:val="21"/>
        </w:rPr>
        <w:t>（4）制作清算报告；</w:t>
      </w:r>
    </w:p>
    <w:p w:rsidR="006E1FE1" w:rsidRDefault="00F51CE7">
      <w:pPr>
        <w:adjustRightInd w:val="0"/>
        <w:snapToGrid w:val="0"/>
        <w:spacing w:line="360" w:lineRule="auto"/>
        <w:ind w:firstLine="420"/>
        <w:rPr>
          <w:rFonts w:ascii="宋体" w:hAnsi="宋体"/>
          <w:szCs w:val="21"/>
        </w:rPr>
      </w:pPr>
      <w:r>
        <w:rPr>
          <w:rFonts w:ascii="宋体" w:hAnsi="宋体"/>
          <w:szCs w:val="21"/>
        </w:rPr>
        <w:t>（5）聘请</w:t>
      </w:r>
      <w:r>
        <w:rPr>
          <w:rFonts w:ascii="宋体" w:hAnsi="宋体" w:hint="eastAsia"/>
          <w:szCs w:val="21"/>
        </w:rPr>
        <w:t>符合《中华人民共和国证券法》规定</w:t>
      </w:r>
      <w:r>
        <w:rPr>
          <w:rFonts w:ascii="宋体" w:hAnsi="宋体"/>
          <w:szCs w:val="21"/>
        </w:rPr>
        <w:t>的会计师事务所对清算报告进行外部审计，聘请律师事务所对清算报告出具法律意见书；</w:t>
      </w:r>
    </w:p>
    <w:p w:rsidR="006E1FE1" w:rsidRDefault="00F51CE7">
      <w:pPr>
        <w:adjustRightInd w:val="0"/>
        <w:snapToGrid w:val="0"/>
        <w:spacing w:line="360" w:lineRule="auto"/>
        <w:ind w:firstLine="420"/>
        <w:rPr>
          <w:rFonts w:ascii="宋体" w:hAnsi="宋体"/>
          <w:szCs w:val="21"/>
        </w:rPr>
      </w:pPr>
      <w:r>
        <w:rPr>
          <w:rFonts w:ascii="宋体" w:hAnsi="宋体"/>
          <w:szCs w:val="21"/>
        </w:rPr>
        <w:t>（6）将清算报告报中国证监会备案并公告</w:t>
      </w:r>
      <w:r>
        <w:rPr>
          <w:rFonts w:ascii="宋体" w:hAnsi="宋体" w:hint="eastAsia"/>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lastRenderedPageBreak/>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rsidR="006E1FE1" w:rsidRDefault="00F51CE7">
      <w:pPr>
        <w:adjustRightInd w:val="0"/>
        <w:snapToGrid w:val="0"/>
        <w:spacing w:line="360" w:lineRule="auto"/>
        <w:ind w:firstLine="420"/>
        <w:rPr>
          <w:rFonts w:ascii="宋体" w:hAnsi="宋体"/>
          <w:szCs w:val="21"/>
        </w:rPr>
      </w:pPr>
      <w:r>
        <w:rPr>
          <w:rFonts w:ascii="宋体" w:hAnsi="宋体"/>
          <w:szCs w:val="21"/>
        </w:rPr>
        <w:t>5、基金财产清算的期限为</w:t>
      </w:r>
      <w:r>
        <w:rPr>
          <w:rFonts w:ascii="宋体" w:hAnsi="宋体" w:hint="eastAsia"/>
          <w:szCs w:val="21"/>
        </w:rPr>
        <w:t>6</w:t>
      </w:r>
      <w:r>
        <w:rPr>
          <w:rFonts w:ascii="宋体" w:hAnsi="宋体"/>
          <w:szCs w:val="21"/>
        </w:rPr>
        <w:t>个月。</w:t>
      </w:r>
    </w:p>
    <w:p w:rsidR="006E1FE1" w:rsidRDefault="006E1FE1">
      <w:pPr>
        <w:adjustRightInd w:val="0"/>
        <w:snapToGrid w:val="0"/>
        <w:spacing w:line="360" w:lineRule="auto"/>
        <w:ind w:firstLine="420"/>
        <w:rPr>
          <w:rFonts w:ascii="宋体" w:hAnsi="宋体"/>
          <w:bCs/>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四、清算费用</w:t>
      </w:r>
    </w:p>
    <w:p w:rsidR="006E1FE1" w:rsidRDefault="00F51CE7">
      <w:pPr>
        <w:adjustRightInd w:val="0"/>
        <w:snapToGrid w:val="0"/>
        <w:spacing w:line="360" w:lineRule="auto"/>
        <w:ind w:firstLine="420"/>
        <w:rPr>
          <w:rFonts w:ascii="宋体" w:hAnsi="宋体"/>
          <w:szCs w:val="21"/>
        </w:rPr>
      </w:pPr>
      <w:r>
        <w:rPr>
          <w:rFonts w:ascii="宋体" w:hAnsi="宋体"/>
          <w:szCs w:val="21"/>
        </w:rPr>
        <w:t>清算费用是指基金财产清算小组在进行基金清算过程中发生的所有合理费用，清算费用由基金财产清算小组优先从基金财产中支付。</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五、基金财产清算剩余资产的分配</w:t>
      </w:r>
    </w:p>
    <w:p w:rsidR="006E1FE1" w:rsidRDefault="00F51CE7">
      <w:pPr>
        <w:adjustRightInd w:val="0"/>
        <w:snapToGrid w:val="0"/>
        <w:spacing w:line="360" w:lineRule="auto"/>
        <w:ind w:firstLine="420"/>
        <w:rPr>
          <w:rFonts w:ascii="宋体" w:hAnsi="宋体"/>
          <w:szCs w:val="21"/>
        </w:rPr>
      </w:pPr>
      <w:r>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六、基金财产清算的公告</w:t>
      </w:r>
    </w:p>
    <w:p w:rsidR="006E1FE1" w:rsidRDefault="00F51CE7">
      <w:pPr>
        <w:adjustRightInd w:val="0"/>
        <w:snapToGrid w:val="0"/>
        <w:spacing w:line="360" w:lineRule="auto"/>
        <w:ind w:firstLine="420"/>
        <w:rPr>
          <w:rFonts w:ascii="宋体" w:hAnsi="宋体"/>
          <w:szCs w:val="21"/>
        </w:rPr>
      </w:pPr>
      <w:r>
        <w:rPr>
          <w:rFonts w:ascii="宋体" w:hAnsi="宋体"/>
          <w:szCs w:val="21"/>
        </w:rPr>
        <w:t>清算过程中的有关重大事项须及时公告；基金财产清算报告经</w:t>
      </w:r>
      <w:r>
        <w:rPr>
          <w:rFonts w:ascii="宋体" w:hAnsi="宋体" w:hint="eastAsia"/>
          <w:bCs/>
          <w:szCs w:val="21"/>
        </w:rPr>
        <w:t>符合《中华人民共和国证券法》规定</w:t>
      </w:r>
      <w:r>
        <w:rPr>
          <w:rFonts w:ascii="宋体" w:hAnsi="宋体"/>
          <w:szCs w:val="21"/>
        </w:rPr>
        <w:t>的会计师事务所审计并由律师事务所出具法律意见书后报中国证监会备案并公告。基金财产清算公告于基金财产清算报告报中国证监会备案后</w:t>
      </w:r>
      <w:r>
        <w:rPr>
          <w:rFonts w:ascii="宋体" w:hAnsi="宋体" w:hint="eastAsia"/>
          <w:szCs w:val="21"/>
        </w:rPr>
        <w:t>5</w:t>
      </w:r>
      <w:r>
        <w:rPr>
          <w:rFonts w:ascii="宋体" w:hAnsi="宋体"/>
          <w:szCs w:val="21"/>
        </w:rPr>
        <w:t>个工作日内由基金财产清算小组进行公告，基金财产清算小组应当将清算报告登载在规定网站上，并将清算报告提示性公告登载在规定报刊上。</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Chars="200" w:firstLine="422"/>
        <w:rPr>
          <w:rFonts w:ascii="宋体" w:hAnsi="宋体"/>
          <w:b/>
          <w:szCs w:val="21"/>
        </w:rPr>
      </w:pPr>
      <w:r>
        <w:rPr>
          <w:rFonts w:ascii="宋体" w:hAnsi="宋体"/>
          <w:b/>
          <w:szCs w:val="21"/>
        </w:rPr>
        <w:t>七、基金财产清算账册及文件的保存</w:t>
      </w:r>
    </w:p>
    <w:p w:rsidR="006E1FE1" w:rsidRDefault="00F51CE7">
      <w:pPr>
        <w:adjustRightInd w:val="0"/>
        <w:snapToGrid w:val="0"/>
        <w:spacing w:line="360" w:lineRule="auto"/>
        <w:ind w:firstLineChars="200" w:firstLine="420"/>
        <w:rPr>
          <w:bCs/>
          <w:szCs w:val="21"/>
        </w:rPr>
      </w:pPr>
      <w:r>
        <w:rPr>
          <w:rFonts w:ascii="宋体" w:hAnsi="宋体"/>
          <w:szCs w:val="21"/>
        </w:rPr>
        <w:t>基金财产清算账册及有关文件由基金托管人保存</w:t>
      </w:r>
      <w:r>
        <w:rPr>
          <w:rFonts w:ascii="宋体" w:hAnsi="宋体" w:hint="eastAsia"/>
          <w:szCs w:val="21"/>
        </w:rPr>
        <w:t>15</w:t>
      </w:r>
      <w:r>
        <w:rPr>
          <w:rFonts w:ascii="宋体" w:hAnsi="宋体"/>
          <w:szCs w:val="21"/>
        </w:rPr>
        <w:t>年以上。</w:t>
      </w: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383" w:name="_Toc48649720"/>
      <w:bookmarkStart w:id="384" w:name="_Toc79392641"/>
      <w:bookmarkStart w:id="385" w:name="_Toc123112248"/>
      <w:bookmarkStart w:id="386" w:name="_Toc123051466"/>
      <w:bookmarkStart w:id="387" w:name="_Toc98560365"/>
      <w:bookmarkStart w:id="388" w:name="_Toc123102467"/>
      <w:bookmarkStart w:id="389" w:name="_Toc9708"/>
      <w:bookmarkStart w:id="390" w:name="_Toc139991750"/>
      <w:bookmarkStart w:id="391" w:name="_Toc13398"/>
      <w:bookmarkStart w:id="392" w:name="_Toc21240"/>
      <w:bookmarkStart w:id="393" w:name="_Toc30645"/>
      <w:bookmarkStart w:id="394" w:name="_Toc23022"/>
      <w:bookmarkStart w:id="395" w:name="_Toc12191"/>
      <w:bookmarkStart w:id="396" w:name="_Toc7367"/>
      <w:bookmarkStart w:id="397" w:name="_Toc28549"/>
      <w:bookmarkStart w:id="398" w:name="_Toc8710"/>
      <w:bookmarkStart w:id="399" w:name="_Toc141703901"/>
      <w:bookmarkStart w:id="400" w:name="_Toc27058"/>
      <w:bookmarkStart w:id="401" w:name="_Toc23166"/>
      <w:bookmarkStart w:id="402" w:name="_Toc516479998"/>
      <w:r>
        <w:rPr>
          <w:rFonts w:ascii="Times New Roman"/>
          <w:color w:val="auto"/>
          <w:sz w:val="32"/>
          <w:szCs w:val="21"/>
        </w:rPr>
        <w:lastRenderedPageBreak/>
        <w:t>第二十</w:t>
      </w:r>
      <w:r>
        <w:rPr>
          <w:rFonts w:ascii="Times New Roman" w:hint="eastAsia"/>
          <w:color w:val="auto"/>
          <w:sz w:val="32"/>
          <w:szCs w:val="21"/>
        </w:rPr>
        <w:t>一</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违约责任</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1、不可抗力；</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2、基金管理人、基金托管人按照当时有效的法律法规或中国证监会的规定作为或不作为而造成的损失等；</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3、基金管理人由于按照《基金合同》规定的投资原则投资或不投资造成的直接损失或潜在损失等。</w:t>
      </w:r>
    </w:p>
    <w:p w:rsidR="006E1FE1" w:rsidRDefault="006E1FE1">
      <w:pPr>
        <w:adjustRightInd w:val="0"/>
        <w:snapToGrid w:val="0"/>
        <w:spacing w:line="360" w:lineRule="auto"/>
        <w:ind w:firstLineChars="200" w:firstLine="420"/>
        <w:rPr>
          <w:rFonts w:ascii="宋体" w:hAnsi="宋体"/>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6E1FE1" w:rsidRDefault="006E1FE1">
      <w:pPr>
        <w:adjustRightInd w:val="0"/>
        <w:snapToGrid w:val="0"/>
        <w:spacing w:line="360" w:lineRule="auto"/>
        <w:ind w:firstLineChars="200" w:firstLine="420"/>
        <w:rPr>
          <w:rFonts w:ascii="宋体" w:hAnsi="宋体"/>
          <w:bCs/>
          <w:szCs w:val="21"/>
        </w:rPr>
      </w:pPr>
    </w:p>
    <w:p w:rsidR="006E1FE1" w:rsidRDefault="00F51CE7">
      <w:pPr>
        <w:adjustRightInd w:val="0"/>
        <w:snapToGrid w:val="0"/>
        <w:spacing w:line="360" w:lineRule="auto"/>
        <w:ind w:firstLineChars="200" w:firstLine="420"/>
        <w:rPr>
          <w:bCs/>
          <w:szCs w:val="21"/>
        </w:rPr>
      </w:pPr>
      <w:r>
        <w:rPr>
          <w:rFonts w:ascii="宋体" w:hAnsi="宋体"/>
          <w:szCs w:val="21"/>
        </w:rPr>
        <w:t>三、</w:t>
      </w:r>
      <w:r>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Pr>
          <w:rFonts w:ascii="宋体" w:hAnsi="宋体"/>
          <w:bCs/>
          <w:szCs w:val="21"/>
        </w:rPr>
        <w:t>由此造成的影响。</w:t>
      </w: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403" w:name="_Toc139991751"/>
      <w:bookmarkStart w:id="404" w:name="_Toc123112249"/>
      <w:bookmarkStart w:id="405" w:name="_Toc123102468"/>
      <w:bookmarkStart w:id="406" w:name="_Toc123051467"/>
      <w:bookmarkStart w:id="407" w:name="_Toc98560366"/>
      <w:bookmarkStart w:id="408" w:name="_Toc1790"/>
      <w:bookmarkStart w:id="409" w:name="_Toc25651"/>
      <w:bookmarkStart w:id="410" w:name="_Toc6202"/>
      <w:bookmarkStart w:id="411" w:name="_Toc8636"/>
      <w:bookmarkStart w:id="412" w:name="_Toc3319"/>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516479999"/>
      <w:r>
        <w:rPr>
          <w:rFonts w:ascii="Times New Roman"/>
          <w:color w:val="auto"/>
          <w:sz w:val="32"/>
          <w:szCs w:val="21"/>
        </w:rPr>
        <w:lastRenderedPageBreak/>
        <w:t>第二十</w:t>
      </w:r>
      <w:r>
        <w:rPr>
          <w:rFonts w:ascii="Times New Roman" w:hint="eastAsia"/>
          <w:color w:val="auto"/>
          <w:sz w:val="32"/>
          <w:szCs w:val="21"/>
        </w:rPr>
        <w:t>二</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争议的处理和适用的法律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各方当事人同意，因《基金合同》而产生的或与《基金合同》有关的一切争议，如经友好协商未能解决的，</w:t>
      </w:r>
      <w:r>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rsidR="006E1FE1" w:rsidRDefault="00F51CE7">
      <w:pPr>
        <w:adjustRightInd w:val="0"/>
        <w:snapToGrid w:val="0"/>
        <w:spacing w:line="360" w:lineRule="auto"/>
        <w:ind w:firstLineChars="200" w:firstLine="420"/>
        <w:rPr>
          <w:rFonts w:ascii="宋体" w:hAnsi="宋体"/>
          <w:szCs w:val="21"/>
        </w:rPr>
      </w:pPr>
      <w:r>
        <w:rPr>
          <w:rFonts w:ascii="宋体" w:hAnsi="宋体" w:hint="eastAsia"/>
          <w:szCs w:val="21"/>
        </w:rPr>
        <w:t>争议处理期间，基金合同当事人应恪守各自的职责，继续忠实、勤勉、尽责地履行基金合同规定的义务，维护基金份额持有人的合法权益。</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t>《基金合同》受中国法律管辖。</w:t>
      </w:r>
    </w:p>
    <w:p w:rsidR="006E1FE1" w:rsidRDefault="006E1FE1">
      <w:pPr>
        <w:adjustRightInd w:val="0"/>
        <w:snapToGrid w:val="0"/>
        <w:spacing w:line="360" w:lineRule="auto"/>
        <w:ind w:firstLineChars="200" w:firstLine="420"/>
        <w:rPr>
          <w:rFonts w:ascii="宋体" w:hAnsi="宋体"/>
          <w:szCs w:val="21"/>
        </w:rPr>
      </w:pPr>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421" w:name="_Toc123112250"/>
      <w:bookmarkStart w:id="422" w:name="_Toc2532"/>
      <w:bookmarkStart w:id="423" w:name="_Toc11618"/>
      <w:bookmarkStart w:id="424" w:name="_Toc484"/>
      <w:bookmarkStart w:id="425" w:name="_Toc23991"/>
      <w:bookmarkStart w:id="426" w:name="_Toc8703"/>
      <w:bookmarkStart w:id="427" w:name="_Toc31966"/>
      <w:bookmarkStart w:id="428" w:name="_Toc26461"/>
      <w:bookmarkStart w:id="429" w:name="_Toc29505"/>
      <w:bookmarkStart w:id="430" w:name="_Toc123051468"/>
      <w:bookmarkStart w:id="431" w:name="_Toc141703903"/>
      <w:bookmarkStart w:id="432" w:name="_Toc20350"/>
      <w:bookmarkStart w:id="433" w:name="_Toc8454"/>
      <w:bookmarkStart w:id="434" w:name="_Toc139991752"/>
      <w:bookmarkStart w:id="435" w:name="_Toc123102469"/>
      <w:bookmarkStart w:id="436" w:name="_Toc28690"/>
      <w:bookmarkStart w:id="437" w:name="_Toc516480000"/>
      <w:r>
        <w:rPr>
          <w:rFonts w:ascii="Times New Roman"/>
          <w:color w:val="auto"/>
          <w:sz w:val="32"/>
          <w:szCs w:val="21"/>
        </w:rPr>
        <w:lastRenderedPageBreak/>
        <w:t>第二十</w:t>
      </w:r>
      <w:r>
        <w:rPr>
          <w:rFonts w:ascii="Times New Roman" w:hint="eastAsia"/>
          <w:color w:val="auto"/>
          <w:sz w:val="32"/>
          <w:szCs w:val="21"/>
        </w:rPr>
        <w:t>三</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基金合同的效力</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420"/>
        <w:rPr>
          <w:rFonts w:ascii="宋体" w:hAnsi="宋体"/>
          <w:szCs w:val="21"/>
        </w:rPr>
      </w:pPr>
      <w:r>
        <w:rPr>
          <w:rFonts w:ascii="宋体" w:hAnsi="宋体"/>
          <w:szCs w:val="21"/>
        </w:rPr>
        <w:t>《基金合同》是约定基金</w:t>
      </w:r>
      <w:r>
        <w:rPr>
          <w:rFonts w:ascii="宋体" w:hAnsi="宋体" w:hint="eastAsia"/>
          <w:szCs w:val="21"/>
        </w:rPr>
        <w:t>合同</w:t>
      </w:r>
      <w:r>
        <w:rPr>
          <w:rFonts w:ascii="宋体" w:hAnsi="宋体"/>
          <w:szCs w:val="21"/>
        </w:rPr>
        <w:t>当事人之间权利义务关系的法律文件。</w:t>
      </w:r>
    </w:p>
    <w:p w:rsidR="006E1FE1" w:rsidRDefault="00F51CE7">
      <w:pPr>
        <w:adjustRightInd w:val="0"/>
        <w:snapToGrid w:val="0"/>
        <w:spacing w:line="360" w:lineRule="auto"/>
        <w:ind w:firstLine="420"/>
        <w:rPr>
          <w:rFonts w:ascii="宋体" w:hAnsi="宋体"/>
          <w:szCs w:val="21"/>
        </w:rPr>
      </w:pPr>
      <w:r>
        <w:rPr>
          <w:rFonts w:ascii="宋体" w:hAnsi="宋体"/>
          <w:szCs w:val="21"/>
        </w:rPr>
        <w:t>1、《基金合同》经基金管理人、基金托管人双方盖章以及双方法定代表人或授权代表签章并在募集结束后经基金管理人向中国证监会办理基金备案手续，并经中国证监会书面确认后生效。</w:t>
      </w:r>
    </w:p>
    <w:p w:rsidR="006E1FE1" w:rsidRDefault="00F51CE7">
      <w:pPr>
        <w:adjustRightInd w:val="0"/>
        <w:snapToGrid w:val="0"/>
        <w:spacing w:line="360" w:lineRule="auto"/>
        <w:ind w:firstLine="420"/>
        <w:rPr>
          <w:rFonts w:ascii="宋体" w:hAnsi="宋体"/>
          <w:szCs w:val="21"/>
        </w:rPr>
      </w:pPr>
      <w:r>
        <w:rPr>
          <w:rFonts w:ascii="宋体" w:hAnsi="宋体"/>
          <w:szCs w:val="21"/>
        </w:rPr>
        <w:t>2、《基金合同》的有效期自其生效之日起至基金财产清算结果报中国证监会</w:t>
      </w:r>
      <w:r>
        <w:rPr>
          <w:rFonts w:ascii="宋体" w:hAnsi="宋体" w:hint="eastAsia"/>
          <w:szCs w:val="21"/>
        </w:rPr>
        <w:t>备案</w:t>
      </w:r>
      <w:r>
        <w:rPr>
          <w:rFonts w:ascii="宋体" w:hAnsi="宋体"/>
          <w:szCs w:val="21"/>
        </w:rPr>
        <w:t>并公告之日止。</w:t>
      </w:r>
    </w:p>
    <w:p w:rsidR="006E1FE1" w:rsidRDefault="00F51CE7">
      <w:pPr>
        <w:adjustRightInd w:val="0"/>
        <w:snapToGrid w:val="0"/>
        <w:spacing w:line="360" w:lineRule="auto"/>
        <w:ind w:firstLine="420"/>
        <w:rPr>
          <w:rFonts w:ascii="宋体" w:hAnsi="宋体"/>
          <w:szCs w:val="21"/>
        </w:rPr>
      </w:pPr>
      <w:r>
        <w:rPr>
          <w:rFonts w:ascii="宋体" w:hAnsi="宋体"/>
          <w:szCs w:val="21"/>
        </w:rPr>
        <w:t>3、《基金合同》自生效之日起对包括基金管理人、基金托管人和基金份额持有人在内的《基金合同》各方当事人具有同等的法律约束力。</w:t>
      </w:r>
    </w:p>
    <w:p w:rsidR="006E1FE1" w:rsidRDefault="00F51CE7">
      <w:pPr>
        <w:adjustRightInd w:val="0"/>
        <w:snapToGrid w:val="0"/>
        <w:spacing w:line="360" w:lineRule="auto"/>
        <w:ind w:firstLine="420"/>
        <w:rPr>
          <w:rFonts w:ascii="宋体" w:hAnsi="宋体"/>
          <w:szCs w:val="21"/>
        </w:rPr>
      </w:pPr>
      <w:r>
        <w:rPr>
          <w:rFonts w:ascii="宋体" w:hAnsi="宋体"/>
          <w:szCs w:val="21"/>
        </w:rPr>
        <w:t>4、《基金合同》正本一式六份，除上报有关监管机构一式二份外，基金管理人、基金托管人各持有二份，每份具有同等的法律效力。</w:t>
      </w:r>
    </w:p>
    <w:p w:rsidR="006E1FE1" w:rsidRDefault="00F51CE7">
      <w:pPr>
        <w:adjustRightInd w:val="0"/>
        <w:snapToGrid w:val="0"/>
        <w:spacing w:line="360" w:lineRule="auto"/>
        <w:ind w:firstLine="420"/>
        <w:rPr>
          <w:rFonts w:ascii="宋体" w:hAnsi="宋体"/>
          <w:szCs w:val="21"/>
        </w:rPr>
      </w:pPr>
      <w:r>
        <w:rPr>
          <w:rFonts w:ascii="宋体" w:hAnsi="宋体"/>
          <w:szCs w:val="21"/>
        </w:rPr>
        <w:t>5、《基金合同》可印制成册，供投资</w:t>
      </w:r>
      <w:r>
        <w:rPr>
          <w:rFonts w:ascii="宋体" w:hAnsi="宋体" w:hint="eastAsia"/>
          <w:szCs w:val="21"/>
        </w:rPr>
        <w:t>人</w:t>
      </w:r>
      <w:r>
        <w:rPr>
          <w:rFonts w:ascii="宋体" w:hAnsi="宋体"/>
          <w:szCs w:val="21"/>
        </w:rPr>
        <w:t>在基金管理人、基金托管人、销售机构的办公场所和营业场所查阅。</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bCs/>
          <w:szCs w:val="21"/>
        </w:rPr>
      </w:pPr>
      <w:r>
        <w:rPr>
          <w:bCs/>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438" w:name="_Toc21726"/>
      <w:bookmarkStart w:id="439" w:name="_Toc9704"/>
      <w:bookmarkStart w:id="440" w:name="_Toc516480001"/>
      <w:r>
        <w:rPr>
          <w:rFonts w:ascii="Times New Roman" w:hint="eastAsia"/>
          <w:color w:val="auto"/>
          <w:sz w:val="32"/>
          <w:szCs w:val="21"/>
        </w:rPr>
        <w:lastRenderedPageBreak/>
        <w:t>第二十四部分</w:t>
      </w:r>
      <w:r>
        <w:rPr>
          <w:rFonts w:ascii="Times New Roman" w:hint="eastAsia"/>
          <w:color w:val="auto"/>
          <w:sz w:val="32"/>
          <w:szCs w:val="21"/>
        </w:rPr>
        <w:t xml:space="preserve">  </w:t>
      </w:r>
      <w:r>
        <w:rPr>
          <w:rFonts w:ascii="Times New Roman" w:hint="eastAsia"/>
          <w:color w:val="auto"/>
          <w:sz w:val="32"/>
          <w:szCs w:val="21"/>
        </w:rPr>
        <w:t>其他事项</w:t>
      </w:r>
      <w:bookmarkEnd w:id="438"/>
      <w:bookmarkEnd w:id="439"/>
      <w:bookmarkEnd w:id="440"/>
    </w:p>
    <w:p w:rsidR="006E1FE1" w:rsidRDefault="006E1FE1">
      <w:pPr>
        <w:adjustRightInd w:val="0"/>
        <w:snapToGrid w:val="0"/>
        <w:spacing w:line="360" w:lineRule="auto"/>
        <w:ind w:firstLineChars="200" w:firstLine="420"/>
        <w:rPr>
          <w:bCs/>
          <w:szCs w:val="21"/>
        </w:rPr>
      </w:pPr>
    </w:p>
    <w:p w:rsidR="006E1FE1" w:rsidRDefault="00F51CE7">
      <w:pPr>
        <w:adjustRightInd w:val="0"/>
        <w:snapToGrid w:val="0"/>
        <w:spacing w:line="360" w:lineRule="auto"/>
        <w:ind w:firstLineChars="200" w:firstLine="420"/>
        <w:rPr>
          <w:bCs/>
          <w:szCs w:val="21"/>
        </w:rPr>
      </w:pPr>
      <w:r>
        <w:rPr>
          <w:rFonts w:hint="eastAsia"/>
          <w:bCs/>
          <w:szCs w:val="21"/>
        </w:rPr>
        <w:t>《基金合同》如有未尽事宜，由《基金合同》当事人各方按有关法律法规协商解决。</w:t>
      </w:r>
    </w:p>
    <w:p w:rsidR="006E1FE1" w:rsidRDefault="00F51CE7">
      <w:pPr>
        <w:adjustRightInd w:val="0"/>
        <w:snapToGrid w:val="0"/>
        <w:spacing w:line="360" w:lineRule="auto"/>
        <w:ind w:firstLineChars="200" w:firstLine="420"/>
        <w:rPr>
          <w:rFonts w:ascii="宋体" w:hAnsi="宋体"/>
          <w:szCs w:val="21"/>
        </w:rPr>
      </w:pPr>
      <w:r>
        <w:rPr>
          <w:rFonts w:ascii="宋体" w:hAnsi="宋体"/>
          <w:szCs w:val="21"/>
        </w:rPr>
        <w:br w:type="page"/>
      </w:r>
    </w:p>
    <w:p w:rsidR="006E1FE1" w:rsidRDefault="00F51CE7">
      <w:pPr>
        <w:pStyle w:val="1"/>
        <w:adjustRightInd w:val="0"/>
        <w:snapToGrid w:val="0"/>
        <w:spacing w:before="0" w:after="0"/>
        <w:jc w:val="center"/>
        <w:rPr>
          <w:rFonts w:ascii="Times New Roman"/>
          <w:color w:val="auto"/>
          <w:sz w:val="32"/>
          <w:szCs w:val="21"/>
        </w:rPr>
      </w:pPr>
      <w:bookmarkStart w:id="441" w:name="_Toc141703905"/>
      <w:bookmarkStart w:id="442" w:name="_Toc9054"/>
      <w:bookmarkStart w:id="443" w:name="_Toc21122"/>
      <w:bookmarkStart w:id="444" w:name="_Toc17263"/>
      <w:bookmarkStart w:id="445" w:name="_Toc5108"/>
      <w:bookmarkStart w:id="446" w:name="_Toc32355"/>
      <w:bookmarkStart w:id="447" w:name="_Toc20098"/>
      <w:bookmarkStart w:id="448" w:name="_Toc1360"/>
      <w:bookmarkStart w:id="449" w:name="_Toc15664"/>
      <w:bookmarkStart w:id="450" w:name="_Toc12499"/>
      <w:bookmarkStart w:id="451" w:name="_Toc7437"/>
      <w:bookmarkStart w:id="452" w:name="_Toc15045"/>
      <w:bookmarkStart w:id="453" w:name="_Toc516480002"/>
      <w:r>
        <w:rPr>
          <w:rFonts w:ascii="Times New Roman"/>
          <w:color w:val="auto"/>
          <w:sz w:val="32"/>
          <w:szCs w:val="21"/>
        </w:rPr>
        <w:lastRenderedPageBreak/>
        <w:t>第二十</w:t>
      </w:r>
      <w:r>
        <w:rPr>
          <w:rFonts w:ascii="Times New Roman" w:hint="eastAsia"/>
          <w:color w:val="auto"/>
          <w:sz w:val="32"/>
          <w:szCs w:val="21"/>
        </w:rPr>
        <w:t>五</w:t>
      </w:r>
      <w:r>
        <w:rPr>
          <w:rFonts w:ascii="Times New Roman"/>
          <w:color w:val="auto"/>
          <w:sz w:val="32"/>
          <w:szCs w:val="21"/>
        </w:rPr>
        <w:t>部分</w:t>
      </w:r>
      <w:r>
        <w:rPr>
          <w:rFonts w:ascii="Times New Roman" w:hint="eastAsia"/>
          <w:color w:val="auto"/>
          <w:sz w:val="32"/>
          <w:szCs w:val="21"/>
        </w:rPr>
        <w:t xml:space="preserve">  </w:t>
      </w:r>
      <w:r>
        <w:rPr>
          <w:rFonts w:ascii="Times New Roman"/>
          <w:color w:val="auto"/>
          <w:sz w:val="32"/>
          <w:szCs w:val="21"/>
        </w:rPr>
        <w:t>基金合同内容摘要</w:t>
      </w:r>
      <w:bookmarkEnd w:id="64"/>
      <w:bookmarkEnd w:id="65"/>
      <w:bookmarkEnd w:id="441"/>
      <w:bookmarkEnd w:id="442"/>
      <w:bookmarkEnd w:id="443"/>
      <w:bookmarkEnd w:id="444"/>
      <w:bookmarkEnd w:id="445"/>
      <w:bookmarkEnd w:id="446"/>
      <w:bookmarkEnd w:id="447"/>
      <w:bookmarkEnd w:id="448"/>
      <w:bookmarkEnd w:id="449"/>
      <w:bookmarkEnd w:id="450"/>
      <w:bookmarkEnd w:id="451"/>
      <w:bookmarkEnd w:id="452"/>
      <w:bookmarkEnd w:id="453"/>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一</w:t>
      </w:r>
      <w:r>
        <w:rPr>
          <w:rFonts w:ascii="宋体" w:hAnsi="宋体"/>
          <w:szCs w:val="21"/>
        </w:rPr>
        <w:t>、</w:t>
      </w:r>
      <w:r>
        <w:rPr>
          <w:rFonts w:ascii="宋体" w:hAnsi="宋体" w:hint="eastAsia"/>
          <w:szCs w:val="21"/>
        </w:rPr>
        <w:t>基金管理人、基金托管人和基金份额持有人的权利、义务</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（一）基金</w:t>
      </w:r>
      <w:r>
        <w:rPr>
          <w:rFonts w:ascii="宋体" w:hAnsi="宋体"/>
          <w:szCs w:val="21"/>
        </w:rPr>
        <w:t>管理人的权利</w:t>
      </w:r>
      <w:r>
        <w:rPr>
          <w:rFonts w:ascii="宋体" w:hAnsi="宋体" w:hint="eastAsia"/>
          <w:szCs w:val="21"/>
        </w:rPr>
        <w:t>与</w:t>
      </w:r>
      <w:r>
        <w:rPr>
          <w:rFonts w:ascii="宋体" w:hAnsi="宋体"/>
          <w:szCs w:val="21"/>
        </w:rPr>
        <w:t>义务</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1、根据《基金法》、《运作办法》及其他有关规定，基金管理人的权利包括但不限于：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（1）依法募集资金；</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（2）自《基金合同》生效之日起，根据法律法规和《基金合同》独立运用并管理基金财产；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（3）依照《基金合同》收取基金管理费以及法律法规规定或中国证监会批准的其他费用；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（4）销售基金份额；</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（5）按照规定召集基金份额持有人大会；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（7）在基金托管人更换时，提名新的基金托管人；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 xml:space="preserve">（8）选择、更换基金销售机构，对基金销售机构的相关行为进行监督和处理； </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 xml:space="preserve">（9）担任或委托其他符合条件的机构担任基金登记机构办理基金登记业务； </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（10）依据《基金合同》及有关法律规定决定基金收益的分配方案；</w:t>
      </w:r>
      <w:r w:rsidRPr="00000B0A">
        <w:rPr>
          <w:rFonts w:ascii="宋体" w:hAnsi="宋体" w:hint="eastAsia"/>
          <w:szCs w:val="21"/>
        </w:rPr>
        <w:tab/>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 xml:space="preserve">（11）在《基金合同》约定的范围内，拒绝或暂停受理申购与赎回申请； </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（12）依照法律法规为基金的利益对被投资公司行使权利，为基金的利益行使因基金财产投资于证券所产生的权利；</w:t>
      </w:r>
      <w:r w:rsidRPr="00000B0A">
        <w:rPr>
          <w:rFonts w:ascii="宋体" w:hAnsi="宋体" w:hint="eastAsia"/>
          <w:szCs w:val="21"/>
        </w:rPr>
        <w:tab/>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 xml:space="preserve">（13）在法律法规允许的前提下，为基金的利益依法为基金进行融资； </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（14）以基金管理人的名义，代表基金份额持有人的利益行使诉讼权利或者实施其他法律行为；</w:t>
      </w:r>
      <w:r w:rsidRPr="00000B0A">
        <w:rPr>
          <w:rFonts w:ascii="宋体" w:hAnsi="宋体" w:hint="eastAsia"/>
          <w:szCs w:val="21"/>
        </w:rPr>
        <w:tab/>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（15）选择、更换律师事务所、会计师事务所、证券/期货经纪商或其他为基金提供服务的外部机构；</w:t>
      </w:r>
      <w:r w:rsidRPr="00000B0A">
        <w:rPr>
          <w:rFonts w:ascii="宋体" w:hAnsi="宋体" w:hint="eastAsia"/>
          <w:szCs w:val="21"/>
        </w:rPr>
        <w:tab/>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（16）在符合有关法律、法规的前提下，制订和调整有关基金认购、申购、赎回、转换、非交易过户和定投等业务规则，在法律法规和本基金合同规定的范围内决定和调整基金相关费率结构和收费方式；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（17）法律法规及中国证监会规定的和《基金合同》约定的其他权利。</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2、根据《基金法》、《运作办法》及其他有关规定，基金管理人的义务包括但不限于：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（1）依法募集资金，办理或者委托经中国证监会认定的其他机构代为办理基金份额的</w:t>
      </w:r>
      <w:r w:rsidRPr="00000B0A">
        <w:rPr>
          <w:rFonts w:ascii="宋体" w:hAnsi="宋体" w:hint="eastAsia"/>
          <w:szCs w:val="21"/>
        </w:rPr>
        <w:lastRenderedPageBreak/>
        <w:t>发售、申购、赎回和登记事宜；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（2）办理基金备案手续；</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（3）自《基金合同》生效之日起，以诚实信用、谨慎勤勉的原则管理和运用基金财产；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（4）配备足够的具有专业资格的人员进行基金投资分析、决策，以专业化的经营方式管理和运作基金财产；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（6）除依据《基金法》、《基金合同》及其他有关规定外，不得利用基金财产为自己及任何第三人谋取利益，不得委托第三人运作基金财产；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（7）依法接受基金托管人的监督；</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（8）采取适当合理的措施使计算基金份额认购、申购、赎回和注销价格的方法符合《基金合同》等法律文件的规定，按有关规定计算并披露基金净值信息，确定基金份额申购、赎回的价格；</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（9）进行基金会计核算并编制基金财务会计报告；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（10）编制季度报告、中期报告和年度报告；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（11）严格按照《基金法》、《基金合同》及其他有关规定，履行信息披露及报告义务；</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（13）按《基金合同》的约定确定基金收益分配方案，及时向基金份额持有人分配基金收益；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（14）按规定受理申购与赎回申请，及时、足额支付赎回款项；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（15）依据《基金法》、《基金合同》及其他有关规定召集基金份额持有人大会或配合基金托管人、基金份额持有人依法召集基金份额持有人大会；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（16）按规定保存基金财产管理业务活动的会计账册、报表、记录和其他相关资料15年以上；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（18）组织并参加基金财产清算小组，参与基金财产的保管、清理、估价、变现和分配；</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（19）面临解散、依法被撤销或者被依法宣告破产时，及时报告中国证监会并通知基金托管人；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lastRenderedPageBreak/>
        <w:t>（20）因违反《基金合同》导致基金财产的损失或损害基金份额持有人合法权益时，应当承担赔偿责任，其赔偿责任不因其退任而免除；</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（22）当基金管理人将其义务委托第三方处理时，应当对第三方处理有关基金事务的行为承担责任；</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（23）以基金管理人名义，代表基金份额持有人利益行使诉讼权利或实施其他法律行为；</w:t>
      </w:r>
      <w:r w:rsidRPr="00000B0A">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（25）执行生效的基金份额持有人大会的决议；</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（26）建立并保存基金份额持有人名册；</w:t>
      </w:r>
    </w:p>
    <w:p w:rsidR="006E1FE1" w:rsidRDefault="00000B0A">
      <w:pPr>
        <w:adjustRightInd w:val="0"/>
        <w:snapToGrid w:val="0"/>
        <w:spacing w:line="360" w:lineRule="auto"/>
        <w:ind w:firstLine="420"/>
        <w:rPr>
          <w:rFonts w:ascii="宋体" w:hAnsi="宋体"/>
          <w:szCs w:val="21"/>
        </w:rPr>
      </w:pPr>
      <w:r w:rsidRPr="00000B0A">
        <w:rPr>
          <w:rFonts w:ascii="宋体" w:hAnsi="宋体" w:hint="eastAsia"/>
          <w:szCs w:val="21"/>
        </w:rPr>
        <w:t>（27）法律法规及中国证监会规定的和《基金合同》约定的其他义务。</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（二）基金</w:t>
      </w:r>
      <w:r>
        <w:rPr>
          <w:rFonts w:ascii="宋体" w:hAnsi="宋体"/>
          <w:szCs w:val="21"/>
        </w:rPr>
        <w:t>托管人的</w:t>
      </w:r>
      <w:r>
        <w:rPr>
          <w:rFonts w:ascii="宋体" w:hAnsi="宋体" w:hint="eastAsia"/>
          <w:szCs w:val="21"/>
        </w:rPr>
        <w:t>权利</w:t>
      </w:r>
      <w:r>
        <w:rPr>
          <w:rFonts w:ascii="宋体" w:hAnsi="宋体"/>
          <w:szCs w:val="21"/>
        </w:rPr>
        <w:t>与义务</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1、根据《基金法》、《运作办法》及其他有关规定，基金托管人的权利包括但不限于：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（1）自《基金合同》生效之日起，依法律法规和《基金合同》的规定安全保管基金财产；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（2）依《基金合同》约定获得基金托管费以及法律法规规定或监管部门批准的其他费用；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（4）根据相关市场规则，为基金开设证券账户、资金账户等投资所需账户、为基金办理证券交易资金清算。</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（5）提议召开或召集基金份额持有人大会；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（6）在基金管理人更换时，提名新的基金管理人；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（7）法律法规及中国证监会规定的和《基金合同》约定的其他权利。</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2、根据《基金法》、《运作办法》及其他有关规定，基金托管人的义务包括但不限于：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（1）以诚实信用、勤勉尽责的原则持有并安全保管基金财产；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（2）设立专门的基金托管部门，具有符合要求的营业场所，配备足够的、合格的熟悉基金托管业务的专职人员，负责基金财产托管事宜；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w:t>
      </w:r>
      <w:r w:rsidRPr="00000B0A">
        <w:rPr>
          <w:rFonts w:ascii="宋体" w:hAnsi="宋体" w:hint="eastAsia"/>
          <w:szCs w:val="21"/>
        </w:rPr>
        <w:lastRenderedPageBreak/>
        <w:t>所托管的不同的基金分别设置账户，独立核算，分账管理，保证不同基金之间在账户设置、资金划拨、账册记录等方面相互独立；</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（4）除依据《基金法》、《基金合同》及其他有关规定外，不得利用基金财产为自己及任何第三人谋取利益，不得委托第三人托管基金财产；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（5）保管由基金管理人代表基金签订的与基金有关的重大合同及有关凭证；</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（6）按规定开设基金财产的资金账户和证券账户等投资所需账户,按照《基金合同》的约定，根据基金管理人的投资指令，及时办理清算、交割事宜；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（8）复核、审查基金管理人计算的基金资产净值、基金份额净值、基金份额申购、赎回价格；</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（9）办理与基金托管业务活动有关的信息披露事项；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（11）保存基金托管业务活动的记录、账册、报表和其他相关资料15年以上；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（12）建立并保存基金份额持有人名册；</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（13）按规定制作相关账册并与基金管理人核对；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（14）依据基金管理人的指令或有关规定向基金份额持有人支付基金收益和赎回款项；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（15）依据《基金法》、《基金合同》及其他有关规定，召集基金份额持有人大会或配合基金管理人、基金份额持有人依法召集基金份额持有人大会；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（16）按照法律法规、《基金合同》的规定监督基金管理人的投资运作；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（17）参加基金财产清算小组，参与基金财产的保管、清理、估价、变现和分配；</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（18）面临解散、依法被撤销或者被依法宣告破产时，及时报告中国证监会和银行业监督管理机构，并通知基金管理人；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（19）因违反《基金合同》导致基金财产损失时，应承担赔偿责任，其赔偿责任不因其退任而免除；</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（21）执行生效的基金份额持有人大会的决议；</w:t>
      </w:r>
    </w:p>
    <w:p w:rsidR="006E1FE1" w:rsidRDefault="00000B0A">
      <w:pPr>
        <w:adjustRightInd w:val="0"/>
        <w:snapToGrid w:val="0"/>
        <w:spacing w:line="360" w:lineRule="auto"/>
        <w:ind w:firstLine="420"/>
        <w:rPr>
          <w:rFonts w:ascii="宋体" w:hAnsi="宋体"/>
          <w:szCs w:val="21"/>
        </w:rPr>
      </w:pPr>
      <w:r w:rsidRPr="00000B0A">
        <w:rPr>
          <w:rFonts w:ascii="宋体" w:hAnsi="宋体" w:hint="eastAsia"/>
          <w:szCs w:val="21"/>
        </w:rPr>
        <w:t>（22）法律法规及中国证监会规定的和《基金合同》约定的其他义务。</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（三）基金</w:t>
      </w:r>
      <w:r>
        <w:rPr>
          <w:rFonts w:ascii="宋体" w:hAnsi="宋体"/>
          <w:szCs w:val="21"/>
        </w:rPr>
        <w:t>份额</w:t>
      </w:r>
      <w:r>
        <w:rPr>
          <w:rFonts w:ascii="宋体" w:hAnsi="宋体" w:hint="eastAsia"/>
          <w:szCs w:val="21"/>
        </w:rPr>
        <w:t>持有人</w:t>
      </w:r>
      <w:r>
        <w:rPr>
          <w:rFonts w:ascii="宋体" w:hAnsi="宋体"/>
          <w:szCs w:val="21"/>
        </w:rPr>
        <w:t>的权利和义务</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基金投资人持有本基金基金份额的行为即视为对《基金合同》的承认和接受，基金投资</w:t>
      </w:r>
      <w:r w:rsidRPr="00000B0A">
        <w:rPr>
          <w:rFonts w:ascii="宋体" w:hAnsi="宋体" w:hint="eastAsia"/>
          <w:szCs w:val="21"/>
        </w:rPr>
        <w:lastRenderedPageBreak/>
        <w:t>人自依据《基金合同》取得基金份额，即成为本基金份额持有人和《基金合同》的当事人，直至其不再持有本基金的基金份额。基金份额持有人作为《基金合同》当事人并不以在《基金合同》上书面签章或签字为必要条件。</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每份基金份额具有同等的合法权益。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1、根据《基金法》、《运作办法》及其他有关规定，基金份额持有人的权利包括但不限于：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（1）分享基金财产收益；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（2）参与分配清算后的剩余基金财产；</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（3）依法申请赎回或转让其持有的基金份额；</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（4）按照规定要求召开基金份额持有人大会或者召集基金份额持有人大会；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（5）出席或者委派代表出席基金份额持有人大会，对基金份额持有人大会审议事项行使表决权；</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（6）查阅或者复制公开披露的基金信息资料；</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（7）监督基金管理人的投资运作；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（8）对基金管理人、基金托管人、基金服务机构损害其合法权益的行为依法提起诉讼或仲裁；</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（9）法律法规及中国证监会规定的和《基金合同》约定的其他权利。</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2、根据《基金法》、《运作办法》及其他有关规定，基金份额持有人的义务包括但不限于：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（1）认真阅读并遵守《基金合同》、招募说明书等信息披露文件；</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（2）了解所投资基金产品，了解自身风险承受能力，自主判断基金的投资价值，自主做出投资决策，自行承担投资风险；</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（3）关注基金信息披露，及时行使权利和履行义务；</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（4）缴纳基金认购、申购款项及法律法规和《基金合同》所规定的费用；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（5）在其持有的基金份额范围内，承担基金亏损或者《基金合同》终止的有限责任；</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（6）不从事任何有损基金及其他《基金合同》当事人合法权益的活动；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（7）执行生效的基金份额持有人大会的决议；</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（8）返还在基金交易过程中因任何原因获得的不当得利；</w:t>
      </w:r>
    </w:p>
    <w:p w:rsidR="006E1FE1" w:rsidRDefault="00000B0A">
      <w:pPr>
        <w:adjustRightInd w:val="0"/>
        <w:snapToGrid w:val="0"/>
        <w:spacing w:line="360" w:lineRule="auto"/>
        <w:ind w:firstLine="420"/>
        <w:rPr>
          <w:rFonts w:ascii="宋体" w:hAnsi="宋体"/>
          <w:szCs w:val="21"/>
        </w:rPr>
      </w:pPr>
      <w:r w:rsidRPr="00000B0A">
        <w:rPr>
          <w:rFonts w:ascii="宋体" w:hAnsi="宋体" w:hint="eastAsia"/>
          <w:szCs w:val="21"/>
        </w:rPr>
        <w:t>（9）法律法规及中国证监会规定的和《基金合同》约定的其他义务。</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二、基金份额持有人大会召集、议事及表决的程序和规则</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基金份额持有人大会由基金份额持有人组成，基金份额持有人的合法授权代表有权代表基金份额持有人出席会议并表决。基金份额持有人持有的每一基金份额拥有平等的投票权。</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本基金份额持有人大会不设日常机构。若将来法律法规对基金份额持有人大会另有规定</w:t>
      </w:r>
      <w:r w:rsidRPr="00000B0A">
        <w:rPr>
          <w:rFonts w:ascii="宋体" w:hAnsi="宋体" w:hint="eastAsia"/>
          <w:szCs w:val="21"/>
        </w:rPr>
        <w:lastRenderedPageBreak/>
        <w:t>的，以届时有效的法律法规为准。</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（一）</w:t>
      </w:r>
      <w:r w:rsidRPr="00000B0A">
        <w:rPr>
          <w:rFonts w:ascii="宋体" w:hAnsi="宋体" w:hint="eastAsia"/>
          <w:szCs w:val="21"/>
        </w:rPr>
        <w:t>召开事由</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1、当出现或需要决定下列事由之一的，应当召开基金份额持有人大会，但法律法规、中国证监会另有规定的除外：</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（1）终止《基金合同》；</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（2）更换基金管理人；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（3）更换基金托管人；</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（4）转换基金运作方式；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（5）调整基金管理人、基金托管人的报酬标准；</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（6）变更基金类别；</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（7）本基金与其他基金的合并；</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（8）变更基金投资目标、范围或策略；</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（9）变更基金份额持有人大会程序；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（10）基金管理人或基金托管人要求召开基金份额持有人大会；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（11）终止基金上市，但因基金不再具备上市条件而被深圳证券交易所终止上市的除外；</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（12）单独或合计持有本基金总份额10%以上（含10%）基金份额的基金份额持有人（以基金管理人收到提议当日的基金份额计算，下同）就同一事项书面要求召开基金份额持有人大会；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（13）对基金合同当事人权利和义务产生重大影响的其他事项；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（14）法律法规、《基金合同》或中国证监会规定的其他应当召开基金份额持有人大会的事项。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2、在不违反法律法规、《基金合同》的规定以及对基金份额持有人利益无实质性不利影响的情况下，以下情况可由基金管理人和基金托管人协商一致后修改，不需召开基金份额持有人大会：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（1）法律法规要求增加的基金费用的收取和其他应由基金承担的费用；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（2）在法律法规和《基金合同》规定的范围内调整本基金的申购费率、调低赎回费率或在对现有基金份额持有人利益无实质性不利影响的前提下变更收费方式；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（3）在不违反法律法规、《基金合同》的规定以及对基金份额持有人利益无实质性不利影响的情况下，调整有关基金认购、申购、赎回、转换、非交易过户、转托管等业务的规则；</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（4）在不违反法律法规、基金合同的约定以及对基金份额持有人利益无实质性不利影响的情况下，增加、减少或调整基金份额类别设置及对基金份额分类办法、规则进行调整；</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（5）因相应的法律法规发生变动而应当对《基金合同》进行修改；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（6）因相应的法律法规、深圳证券交易所或登记机构的相关业务规则发生变动而应当对《基金合同》进行修改；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lastRenderedPageBreak/>
        <w:t>（7）对《基金合同》的修改对基金份额持有人利益无实质性不利影响或修改不涉及《基金合同》当事人权利义务关系发生重大变化；</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（8）按照法律法规和《基金合同》规定不需召开基金份额持有人大会的其他情形。</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（二）</w:t>
      </w:r>
      <w:r w:rsidRPr="00000B0A">
        <w:rPr>
          <w:rFonts w:ascii="宋体" w:hAnsi="宋体" w:hint="eastAsia"/>
          <w:szCs w:val="21"/>
        </w:rPr>
        <w:t>会议召集人及召集方式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1、除法律法规规定或《基金合同》另有约定外，基金份额持有人大会由基金管理人召集；</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2、基金管理人未按规定召集或不能召集时，由基金托管人召集；</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6、基金份额持有人会议的召集人负责选择确定开会时间、地点、方式和权益登记日。</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（三）</w:t>
      </w:r>
      <w:r w:rsidRPr="00000B0A">
        <w:rPr>
          <w:rFonts w:ascii="宋体" w:hAnsi="宋体" w:hint="eastAsia"/>
          <w:szCs w:val="21"/>
        </w:rPr>
        <w:t>召开基金份额持有人大会的通知时间、通知内容、通知方式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1、召开基金份额持有人大会，召集人应于会议召开前30日，在规定媒介公告。基金份额持有人大会通知应至少载明以下内容：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（1）会议召开的时间、地点和会议形式；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（2）会议拟审议的事项、议事程序和表决方式；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（3）有权出席基金份额持有人大会的基金份额持有人的权益登记日；</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（4）授权委托证明的内容要求（包括但不限于代理人身份，代理权限和代理有效期限等）、送达时间和地点；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lastRenderedPageBreak/>
        <w:t>（5）会务常设联系人姓名及联系电话；</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（6）出席会议者必须准备的文件和必须履行的手续；</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（7）召集人需要通知的其他事项。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（四）</w:t>
      </w:r>
      <w:r w:rsidRPr="00000B0A">
        <w:rPr>
          <w:rFonts w:ascii="宋体" w:hAnsi="宋体" w:hint="eastAsia"/>
          <w:szCs w:val="21"/>
        </w:rPr>
        <w:t>基金份额持有人出席会议的方式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基金份额持有人大会可通过现场开会方式、通讯开会方式或法律法规和监管机关允许的其他方式召开，会议的召开方式由会议召集人确定。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在同时符合以下条件时，通讯开会的方式视为有效：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（1）会议召集人按《基金合同》约定公布会议通知后，在2个工作日内连续公布相关提示性公告；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（2）召集人按基金合同约定通知基金托管人（如果基金托管人为召集人，则为基金管</w:t>
      </w:r>
      <w:r w:rsidRPr="00000B0A">
        <w:rPr>
          <w:rFonts w:ascii="宋体" w:hAnsi="宋体" w:hint="eastAsia"/>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（五）</w:t>
      </w:r>
      <w:r w:rsidRPr="00000B0A">
        <w:rPr>
          <w:rFonts w:ascii="宋体" w:hAnsi="宋体" w:hint="eastAsia"/>
          <w:szCs w:val="21"/>
        </w:rPr>
        <w:t>议事内容与程序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1、议事内容及提案权</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基金份额持有人大会的召集人发出召集会议的通知后，对原有提案的修改应当在基金份额持有人大会召开前及时公告。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基金份额持有人大会不得对未事先公告的议事内容进行表决。</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2、议事程序</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（1）现场开会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在现场开会的方式下，首先由大会主持人按照下列第</w:t>
      </w:r>
      <w:r>
        <w:rPr>
          <w:rFonts w:ascii="宋体" w:hAnsi="宋体" w:hint="eastAsia"/>
          <w:szCs w:val="21"/>
        </w:rPr>
        <w:t>（</w:t>
      </w:r>
      <w:r w:rsidRPr="00000B0A">
        <w:rPr>
          <w:rFonts w:ascii="宋体" w:hAnsi="宋体" w:hint="eastAsia"/>
          <w:szCs w:val="21"/>
        </w:rPr>
        <w:t>七</w:t>
      </w:r>
      <w:r>
        <w:rPr>
          <w:rFonts w:ascii="宋体" w:hAnsi="宋体" w:hint="eastAsia"/>
          <w:szCs w:val="21"/>
        </w:rPr>
        <w:t>）</w:t>
      </w:r>
      <w:r w:rsidRPr="00000B0A">
        <w:rPr>
          <w:rFonts w:ascii="宋体" w:hAnsi="宋体" w:hint="eastAsia"/>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w:t>
      </w:r>
      <w:r w:rsidRPr="00000B0A">
        <w:rPr>
          <w:rFonts w:ascii="宋体" w:hAnsi="宋体" w:hint="eastAsia"/>
          <w:szCs w:val="21"/>
        </w:rPr>
        <w:lastRenderedPageBreak/>
        <w:t>举产生一名基金份额持有人作为该次基金份额持有人大会的主持人。基金管理人和基金托管人拒不出席或主持基金份额持有人大会，不影响基金份额持有人大会作出的决议的效力。</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（2）通讯开会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（六）</w:t>
      </w:r>
      <w:r w:rsidRPr="00000B0A">
        <w:rPr>
          <w:rFonts w:ascii="宋体" w:hAnsi="宋体" w:hint="eastAsia"/>
          <w:szCs w:val="21"/>
        </w:rPr>
        <w:t>表决</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基金份额持有人所持每份基金份额有同等表决权。</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基金份额持有人大会决议分为一般决议和特别决议：</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基金份额持有人大会采取记名方式进行投票表决。</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基金份额持有人大会的各项提案或同一项提案内并列的各项议题应当分开审议、逐项表决。</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在上述规则的前提下，具体规则以召集人发布的基金份额持有人大会通知为准。</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（七）</w:t>
      </w:r>
      <w:r w:rsidRPr="00000B0A">
        <w:rPr>
          <w:rFonts w:ascii="宋体" w:hAnsi="宋体" w:hint="eastAsia"/>
          <w:szCs w:val="21"/>
        </w:rPr>
        <w:t>计票</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1、现场开会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（2）监票人应当在基金份额持有人表决后立即进行清点并由大会主持人当场公布计票</w:t>
      </w:r>
      <w:r w:rsidRPr="00000B0A">
        <w:rPr>
          <w:rFonts w:ascii="宋体" w:hAnsi="宋体" w:hint="eastAsia"/>
          <w:szCs w:val="21"/>
        </w:rPr>
        <w:lastRenderedPageBreak/>
        <w:t>结果。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（4）计票过程应由公证机关予以公证，基金管理人或基金托管人拒不出席大会的，不影响计票的效力。</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2、通讯开会</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00B0A" w:rsidRPr="00000B0A" w:rsidRDefault="00000B0A" w:rsidP="00000B0A">
      <w:pPr>
        <w:adjustRightInd w:val="0"/>
        <w:snapToGrid w:val="0"/>
        <w:spacing w:line="360" w:lineRule="auto"/>
        <w:ind w:firstLine="420"/>
        <w:rPr>
          <w:rFonts w:ascii="宋体" w:hAnsi="宋体"/>
          <w:szCs w:val="21"/>
        </w:rPr>
      </w:pPr>
      <w:r>
        <w:rPr>
          <w:rFonts w:ascii="宋体" w:hAnsi="宋体" w:hint="eastAsia"/>
          <w:szCs w:val="21"/>
        </w:rPr>
        <w:t>（八）</w:t>
      </w:r>
      <w:r w:rsidRPr="00000B0A">
        <w:rPr>
          <w:rFonts w:ascii="宋体" w:hAnsi="宋体" w:hint="eastAsia"/>
          <w:szCs w:val="21"/>
        </w:rPr>
        <w:t>生效与公告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基金份额持有人大会的决议，召集人应当自通过之日起5日内报中国证监会备案。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基金份额持有人大会的决议自表决通过之日起生效。</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基金份额持有人大会决议自生效之日起2日内在规定媒介上公告。如果采用通讯方式进行表决，在公告基金份额持有人大会决议时，必须将公证书全文、公证机构、公证员姓名等一同公告。</w:t>
      </w:r>
    </w:p>
    <w:p w:rsidR="00000B0A" w:rsidRPr="00000B0A" w:rsidRDefault="00000B0A" w:rsidP="00000B0A">
      <w:pPr>
        <w:adjustRightInd w:val="0"/>
        <w:snapToGrid w:val="0"/>
        <w:spacing w:line="360" w:lineRule="auto"/>
        <w:ind w:firstLine="420"/>
        <w:rPr>
          <w:rFonts w:ascii="宋体" w:hAnsi="宋体"/>
          <w:szCs w:val="21"/>
        </w:rPr>
      </w:pPr>
      <w:r w:rsidRPr="00000B0A">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6E1FE1" w:rsidRDefault="00000B0A">
      <w:pPr>
        <w:adjustRightInd w:val="0"/>
        <w:snapToGrid w:val="0"/>
        <w:spacing w:line="360" w:lineRule="auto"/>
        <w:ind w:firstLine="420"/>
        <w:rPr>
          <w:rFonts w:ascii="宋体" w:hAnsi="宋体"/>
          <w:szCs w:val="21"/>
        </w:rPr>
      </w:pPr>
      <w:r>
        <w:rPr>
          <w:rFonts w:ascii="宋体" w:hAnsi="宋体" w:hint="eastAsia"/>
          <w:szCs w:val="21"/>
        </w:rPr>
        <w:t>（九）</w:t>
      </w:r>
      <w:r w:rsidRPr="00000B0A">
        <w:rPr>
          <w:rFonts w:ascii="宋体" w:hAnsi="宋体" w:hint="eastAsia"/>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6E1FE1" w:rsidRDefault="006E1FE1">
      <w:pPr>
        <w:adjustRightInd w:val="0"/>
        <w:snapToGrid w:val="0"/>
        <w:spacing w:line="360" w:lineRule="auto"/>
        <w:ind w:firstLine="420"/>
        <w:rPr>
          <w:rFonts w:ascii="宋体" w:hAnsi="宋体"/>
          <w:szCs w:val="21"/>
        </w:rPr>
      </w:pP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三、基金收益分配原则、执行方式</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（一）基金利润的构成</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（二）基金可供分配利润</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基金可供分配利润指截至收益分配基准日基金未分配利润与未分配利润中已实现收益的孰低数。</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（三）基金收益分配原则</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1、在符合有关基金分红条件的前提下，基金管理人可以根据实际情况进行收益分配，</w:t>
      </w:r>
      <w:r>
        <w:rPr>
          <w:rFonts w:ascii="宋体" w:hAnsi="宋体" w:hint="eastAsia"/>
          <w:szCs w:val="21"/>
        </w:rPr>
        <w:lastRenderedPageBreak/>
        <w:t>具体分配方案详见届时基金管理人发布的公告，若《基金合同》生效不满3个月可不进行收益分配；</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3、基金收益分配后基金份额净值不能低于面值；即基金收益分配基准日的基金份额净值减去每单位基金份额收益分配金额后不能低于面值；</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4、每一基金份额享有同等分配权；</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5、法律法规或监管机关另有规定的，从其规定。</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（四）收益分配方案</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基金收益分配方案中应载明截止收益分配基准日的可供分配利润、基金收益分配对象、分配时间、分配数额及比例、分配方式等内容。</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（五）收益分配方案的确定、公告与实施</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本基金收益分配方案由基金管理人拟定，并由基金托管人复核，在2日内在规定媒介公告。</w:t>
      </w:r>
    </w:p>
    <w:p w:rsidR="006E1FE1" w:rsidRDefault="00F51CE7">
      <w:pPr>
        <w:adjustRightInd w:val="0"/>
        <w:snapToGrid w:val="0"/>
        <w:spacing w:line="360" w:lineRule="auto"/>
        <w:ind w:firstLine="420"/>
        <w:rPr>
          <w:rFonts w:ascii="宋体" w:hAnsi="宋体"/>
          <w:szCs w:val="21"/>
        </w:rPr>
      </w:pPr>
      <w:r>
        <w:rPr>
          <w:rFonts w:ascii="宋体" w:hAnsi="宋体" w:hint="eastAsia"/>
          <w:szCs w:val="21"/>
        </w:rPr>
        <w:t>（六）基金收益分配中发生的费用</w:t>
      </w:r>
    </w:p>
    <w:p w:rsidR="006E1FE1" w:rsidRDefault="00F51CE7">
      <w:pPr>
        <w:adjustRightInd w:val="0"/>
        <w:snapToGrid w:val="0"/>
        <w:spacing w:line="360" w:lineRule="auto"/>
        <w:ind w:firstLine="420"/>
        <w:rPr>
          <w:rFonts w:ascii="宋体" w:hAnsi="宋体"/>
        </w:rPr>
      </w:pPr>
      <w:r>
        <w:rPr>
          <w:rFonts w:ascii="宋体" w:hAnsi="宋体" w:hint="eastAsia"/>
          <w:szCs w:val="21"/>
        </w:rPr>
        <w:t>基金收益分配时所发生的银行转账或其他手续费用由投资人自行承担。现金分红及红利再投资的计算方法等有关事项</w:t>
      </w:r>
      <w:r>
        <w:rPr>
          <w:rFonts w:ascii="宋体" w:hAnsi="宋体" w:hint="eastAsia"/>
        </w:rPr>
        <w:t>遵循深圳证券交易所及中国证券登记结算有限责任公司的相关规定。</w:t>
      </w:r>
    </w:p>
    <w:p w:rsidR="006E1FE1" w:rsidRDefault="006E1FE1">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四、与基金财产管理、运作有关费用的提取、支付方式与比例</w:t>
      </w:r>
    </w:p>
    <w:p w:rsidR="00C75D9D" w:rsidRPr="00C75D9D" w:rsidRDefault="00C75D9D" w:rsidP="00C75D9D">
      <w:pPr>
        <w:adjustRightInd w:val="0"/>
        <w:snapToGrid w:val="0"/>
        <w:spacing w:line="360" w:lineRule="auto"/>
        <w:ind w:firstLine="420"/>
        <w:rPr>
          <w:rFonts w:ascii="宋体" w:hAnsi="宋体"/>
        </w:rPr>
      </w:pPr>
      <w:r>
        <w:rPr>
          <w:rFonts w:ascii="宋体" w:hAnsi="宋体" w:hint="eastAsia"/>
        </w:rPr>
        <w:t>（一）</w:t>
      </w:r>
      <w:r w:rsidRPr="00C75D9D">
        <w:rPr>
          <w:rFonts w:ascii="宋体" w:hAnsi="宋体" w:hint="eastAsia"/>
        </w:rPr>
        <w:t>基金费用的种类</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基金费用的种类如下：</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1、基金管理人的管理费；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2、基金托管人的托管费；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3、基金上市费用及年费；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4、《基金合同》生效后与基金相关的信息披露费用；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5、《基金合同》生效后与基金相关的会计师费、律师费、审计费、诉讼费和仲裁费；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6、基金份额持有人大会费用；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lastRenderedPageBreak/>
        <w:t>7、基金的证券/期货交易费用；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8、基金的银行汇划费用；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9、基金相关账户的开户及维护费用；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10、因投资港股通股票而产生的各项合理费用；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11、按照国家有关规定和《基金合同》约定，可以在基金财产中列支的其他费用。</w:t>
      </w:r>
    </w:p>
    <w:p w:rsidR="00C75D9D" w:rsidRPr="00C75D9D" w:rsidRDefault="00C75D9D" w:rsidP="00C75D9D">
      <w:pPr>
        <w:adjustRightInd w:val="0"/>
        <w:snapToGrid w:val="0"/>
        <w:spacing w:line="360" w:lineRule="auto"/>
        <w:ind w:firstLine="420"/>
        <w:rPr>
          <w:rFonts w:ascii="宋体" w:hAnsi="宋体"/>
        </w:rPr>
      </w:pPr>
      <w:r>
        <w:rPr>
          <w:rFonts w:ascii="宋体" w:hAnsi="宋体" w:hint="eastAsia"/>
        </w:rPr>
        <w:t>（二）</w:t>
      </w:r>
      <w:r w:rsidRPr="00C75D9D">
        <w:rPr>
          <w:rFonts w:ascii="宋体" w:hAnsi="宋体" w:hint="eastAsia"/>
        </w:rPr>
        <w:t>基金费用计提方法、计提标准和支付方式</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 xml:space="preserve">1、基金管理人的管理费 </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本基金的管理费按前一日基金资产净值的1.5%年费率计提。管理费的计算方法如下：</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H＝E×年管理费率÷当年天数</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H为每日应计提的基金管理费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E为前一日的基金资产净值</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2、基金托管人的托管费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本基金的托管费按前一日基金资产净值的0.25%的年费率计提。托管费的计算方法如下：</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H＝E×年托管费率÷当年天数</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H为每日应计提的基金托管费</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E为前一日的基金资产净值</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上述“一、基金费用的种类”中第3－11项费用，根据有关法规及相应协议规定，按费用实际支出金额列入当期费用，由基金托管人从基金财产中支付。</w:t>
      </w:r>
    </w:p>
    <w:p w:rsidR="00C75D9D" w:rsidRPr="00C75D9D" w:rsidRDefault="00C75D9D" w:rsidP="00C75D9D">
      <w:pPr>
        <w:adjustRightInd w:val="0"/>
        <w:snapToGrid w:val="0"/>
        <w:spacing w:line="360" w:lineRule="auto"/>
        <w:ind w:firstLine="420"/>
        <w:rPr>
          <w:rFonts w:ascii="宋体" w:hAnsi="宋体"/>
        </w:rPr>
      </w:pPr>
      <w:r>
        <w:rPr>
          <w:rFonts w:ascii="宋体" w:hAnsi="宋体" w:hint="eastAsia"/>
        </w:rPr>
        <w:t>（三）</w:t>
      </w:r>
      <w:r w:rsidRPr="00C75D9D">
        <w:rPr>
          <w:rFonts w:ascii="宋体" w:hAnsi="宋体" w:hint="eastAsia"/>
        </w:rPr>
        <w:t>不列入基金费用的项目</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下列费用不列入基金费用：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1、基金管理人和基金托管人因未履行或未完全履行义务导致的费用支出或基金财产的损失；</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2、基金管理人和基金托管人处理与基金运作无关的事项发生的费用；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3、《基金合同》生效前的相关费用；</w:t>
      </w:r>
    </w:p>
    <w:p w:rsidR="00C75D9D" w:rsidRPr="00C75D9D" w:rsidRDefault="00C75D9D" w:rsidP="00C75D9D">
      <w:pPr>
        <w:adjustRightInd w:val="0"/>
        <w:snapToGrid w:val="0"/>
        <w:spacing w:line="360" w:lineRule="auto"/>
        <w:ind w:firstLine="420"/>
        <w:rPr>
          <w:rFonts w:ascii="宋体" w:hAnsi="宋体"/>
        </w:rPr>
      </w:pPr>
      <w:r w:rsidRPr="00C75D9D">
        <w:rPr>
          <w:rFonts w:ascii="宋体" w:hAnsi="宋体" w:hint="eastAsia"/>
        </w:rPr>
        <w:t>4、其他根据相关法律法规及中国证监会的有关规定不得列入基金费用的项目。</w:t>
      </w:r>
    </w:p>
    <w:p w:rsidR="00C75D9D" w:rsidRPr="00C75D9D" w:rsidRDefault="00C75D9D" w:rsidP="00C75D9D">
      <w:pPr>
        <w:adjustRightInd w:val="0"/>
        <w:snapToGrid w:val="0"/>
        <w:spacing w:line="360" w:lineRule="auto"/>
        <w:ind w:firstLine="420"/>
        <w:rPr>
          <w:rFonts w:ascii="宋体" w:hAnsi="宋体"/>
        </w:rPr>
      </w:pPr>
      <w:r>
        <w:rPr>
          <w:rFonts w:ascii="宋体" w:hAnsi="宋体" w:hint="eastAsia"/>
        </w:rPr>
        <w:t>（四）</w:t>
      </w:r>
      <w:r w:rsidRPr="00C75D9D">
        <w:rPr>
          <w:rFonts w:ascii="宋体" w:hAnsi="宋体" w:hint="eastAsia"/>
        </w:rPr>
        <w:t>基金税收</w:t>
      </w:r>
    </w:p>
    <w:p w:rsidR="006E1FE1" w:rsidRDefault="00C75D9D">
      <w:pPr>
        <w:adjustRightInd w:val="0"/>
        <w:snapToGrid w:val="0"/>
        <w:spacing w:line="360" w:lineRule="auto"/>
        <w:ind w:firstLine="420"/>
        <w:rPr>
          <w:rFonts w:ascii="宋体" w:hAnsi="宋体"/>
        </w:rPr>
      </w:pPr>
      <w:r w:rsidRPr="00C75D9D">
        <w:rPr>
          <w:rFonts w:ascii="宋体" w:hAnsi="宋体"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BA144D" w:rsidRDefault="00BA144D">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五、基金财产的投资方向和投资限制</w:t>
      </w:r>
    </w:p>
    <w:p w:rsidR="006E1FE1" w:rsidRDefault="00F51CE7">
      <w:pPr>
        <w:adjustRightInd w:val="0"/>
        <w:snapToGrid w:val="0"/>
        <w:spacing w:line="360" w:lineRule="auto"/>
        <w:ind w:firstLine="420"/>
        <w:rPr>
          <w:rFonts w:ascii="宋体" w:hAnsi="宋体"/>
        </w:rPr>
      </w:pPr>
      <w:r>
        <w:rPr>
          <w:rFonts w:ascii="宋体" w:hAnsi="宋体" w:hint="eastAsia"/>
        </w:rPr>
        <w:t>（一）投资范围</w:t>
      </w:r>
    </w:p>
    <w:p w:rsidR="006E1FE1" w:rsidRDefault="00F51CE7">
      <w:pPr>
        <w:adjustRightInd w:val="0"/>
        <w:snapToGrid w:val="0"/>
        <w:spacing w:line="360" w:lineRule="auto"/>
        <w:ind w:firstLine="420"/>
        <w:rPr>
          <w:rFonts w:ascii="宋体" w:hAnsi="宋体"/>
        </w:rPr>
      </w:pPr>
      <w:r>
        <w:rPr>
          <w:rFonts w:ascii="宋体" w:hAnsi="宋体" w:hint="eastAsia"/>
        </w:rPr>
        <w:t>本基金的投资范围包括国内依法发行上市的股票（包括主板、中小板、创业板及其他经中国证监会核准或注册上市的股票</w:t>
      </w:r>
      <w:r w:rsidR="00641700" w:rsidRPr="00641700">
        <w:rPr>
          <w:rFonts w:ascii="宋体" w:hAnsi="宋体" w:hint="eastAsia"/>
        </w:rPr>
        <w:t>以及存托凭证（下同）</w:t>
      </w:r>
      <w:r>
        <w:rPr>
          <w:rFonts w:ascii="宋体" w:hAnsi="宋体" w:hint="eastAsia"/>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6E1FE1" w:rsidRDefault="00F51CE7">
      <w:pPr>
        <w:snapToGrid w:val="0"/>
        <w:spacing w:line="360" w:lineRule="auto"/>
        <w:ind w:firstLineChars="200" w:firstLine="420"/>
        <w:rPr>
          <w:bCs/>
          <w:szCs w:val="21"/>
        </w:rPr>
      </w:pPr>
      <w:r>
        <w:rPr>
          <w:rFonts w:hint="eastAsia"/>
          <w:bCs/>
          <w:szCs w:val="21"/>
        </w:rPr>
        <w:t>基金的投资组合比例为：封闭期内，本基金股票</w:t>
      </w:r>
      <w:r w:rsidR="00641700" w:rsidRPr="00641700">
        <w:rPr>
          <w:rFonts w:hint="eastAsia"/>
          <w:bCs/>
          <w:szCs w:val="21"/>
        </w:rPr>
        <w:t>（含存托凭证）</w:t>
      </w:r>
      <w:r>
        <w:rPr>
          <w:rFonts w:hint="eastAsia"/>
          <w:bCs/>
          <w:szCs w:val="21"/>
        </w:rPr>
        <w:t>投资占基金资产的比例范围为</w:t>
      </w:r>
      <w:r>
        <w:rPr>
          <w:rFonts w:hint="eastAsia"/>
          <w:bCs/>
          <w:szCs w:val="21"/>
        </w:rPr>
        <w:t>60%-100%</w:t>
      </w:r>
      <w:r>
        <w:rPr>
          <w:rFonts w:hint="eastAsia"/>
          <w:bCs/>
          <w:szCs w:val="21"/>
        </w:rPr>
        <w:t>（其中港股通股票最高投资比例不得超过股票资产的</w:t>
      </w:r>
      <w:r>
        <w:rPr>
          <w:rFonts w:hint="eastAsia"/>
          <w:bCs/>
          <w:szCs w:val="21"/>
        </w:rPr>
        <w:t>50%</w:t>
      </w:r>
      <w:r>
        <w:rPr>
          <w:rFonts w:hint="eastAsia"/>
          <w:bCs/>
          <w:szCs w:val="21"/>
        </w:rPr>
        <w:t>），且基金投资于创业板的股票资产占非现金资产的比例不低于</w:t>
      </w:r>
      <w:r>
        <w:rPr>
          <w:rFonts w:hint="eastAsia"/>
          <w:bCs/>
          <w:szCs w:val="21"/>
        </w:rPr>
        <w:t>80%</w:t>
      </w:r>
      <w:r>
        <w:rPr>
          <w:rFonts w:hint="eastAsia"/>
          <w:bCs/>
          <w:szCs w:val="21"/>
        </w:rPr>
        <w:t>。应开放期流动性需要，为保护持有人利益，本基金在开放期、开放期开始前</w:t>
      </w:r>
      <w:r>
        <w:rPr>
          <w:rFonts w:hint="eastAsia"/>
          <w:bCs/>
          <w:szCs w:val="21"/>
        </w:rPr>
        <w:t>1</w:t>
      </w:r>
      <w:r>
        <w:rPr>
          <w:rFonts w:hint="eastAsia"/>
          <w:bCs/>
          <w:szCs w:val="21"/>
        </w:rPr>
        <w:t>个月以及开放期结束后</w:t>
      </w:r>
      <w:r>
        <w:rPr>
          <w:rFonts w:hint="eastAsia"/>
          <w:bCs/>
          <w:szCs w:val="21"/>
        </w:rPr>
        <w:t>1</w:t>
      </w:r>
      <w:r>
        <w:rPr>
          <w:rFonts w:hint="eastAsia"/>
          <w:bCs/>
          <w:szCs w:val="21"/>
        </w:rPr>
        <w:t>个月内，本基金的股票资产</w:t>
      </w:r>
      <w:r w:rsidR="00AF20D4" w:rsidRPr="00AF20D4">
        <w:rPr>
          <w:rFonts w:hint="eastAsia"/>
          <w:bCs/>
          <w:szCs w:val="21"/>
        </w:rPr>
        <w:t>（含存托凭证）</w:t>
      </w:r>
      <w:r>
        <w:rPr>
          <w:rFonts w:hint="eastAsia"/>
          <w:bCs/>
          <w:szCs w:val="21"/>
        </w:rPr>
        <w:t>投资比例可不受上述限制。</w:t>
      </w:r>
    </w:p>
    <w:p w:rsidR="006E1FE1" w:rsidRDefault="00F51CE7">
      <w:pPr>
        <w:snapToGrid w:val="0"/>
        <w:spacing w:line="360" w:lineRule="auto"/>
        <w:ind w:firstLineChars="200" w:firstLine="420"/>
        <w:rPr>
          <w:bCs/>
          <w:szCs w:val="21"/>
        </w:rPr>
      </w:pPr>
      <w:r>
        <w:rPr>
          <w:rFonts w:hint="eastAsia"/>
          <w:bCs/>
          <w:szCs w:val="21"/>
        </w:rPr>
        <w:t>开放期内，本基金每个交易日日终在扣除国债期货、股指期货、股票期权合约需缴纳的交易保证金后，应当保持不低于基金资产净值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的现金或者到期日在一年以内的政府债券，其中现金不包括结算备付金、存出保证金、应收申购款等。封闭期内，本基金不受上述</w:t>
      </w:r>
      <w:r>
        <w:rPr>
          <w:rFonts w:hint="eastAsia"/>
          <w:bCs/>
          <w:szCs w:val="21"/>
        </w:rPr>
        <w:t>5%</w:t>
      </w:r>
      <w:r>
        <w:rPr>
          <w:rFonts w:hint="eastAsia"/>
          <w:bCs/>
          <w:szCs w:val="21"/>
        </w:rPr>
        <w:t>的限制，但每个交易日日终在扣除国债期货、股指期货、股票期权合约需缴纳的交易保证金后，应当保持不低于交易保证金一倍的现金。</w:t>
      </w:r>
    </w:p>
    <w:p w:rsidR="006E1FE1" w:rsidRDefault="00F51CE7">
      <w:pPr>
        <w:adjustRightInd w:val="0"/>
        <w:snapToGrid w:val="0"/>
        <w:spacing w:line="360" w:lineRule="auto"/>
        <w:ind w:firstLine="420"/>
        <w:rPr>
          <w:rFonts w:ascii="宋体" w:hAnsi="宋体"/>
        </w:rPr>
      </w:pPr>
      <w:r>
        <w:rPr>
          <w:rFonts w:ascii="宋体" w:hAnsi="宋体" w:hint="eastAsia"/>
        </w:rPr>
        <w:t>如法律法规或监管机构以后允许基金投资其他品种，基金管理人在履行适当程序后，可以将其纳入投资范围。</w:t>
      </w:r>
    </w:p>
    <w:p w:rsidR="006E1FE1" w:rsidRDefault="00F51CE7">
      <w:pPr>
        <w:adjustRightInd w:val="0"/>
        <w:snapToGrid w:val="0"/>
        <w:spacing w:line="360" w:lineRule="auto"/>
        <w:ind w:firstLine="420"/>
        <w:rPr>
          <w:rFonts w:ascii="宋体" w:hAnsi="宋体"/>
        </w:rPr>
      </w:pPr>
      <w:r>
        <w:rPr>
          <w:rFonts w:ascii="宋体" w:hAnsi="宋体" w:hint="eastAsia"/>
        </w:rPr>
        <w:t>（二）投资限制</w:t>
      </w:r>
    </w:p>
    <w:p w:rsidR="006E1FE1" w:rsidRDefault="00F51CE7">
      <w:pPr>
        <w:adjustRightInd w:val="0"/>
        <w:snapToGrid w:val="0"/>
        <w:spacing w:line="360" w:lineRule="auto"/>
        <w:ind w:firstLine="420"/>
        <w:rPr>
          <w:rFonts w:ascii="宋体" w:hAnsi="宋体"/>
        </w:rPr>
      </w:pPr>
      <w:r>
        <w:rPr>
          <w:rFonts w:ascii="宋体" w:hAnsi="宋体" w:hint="eastAsia"/>
        </w:rPr>
        <w:t>1、组合限制</w:t>
      </w:r>
    </w:p>
    <w:p w:rsidR="006E1FE1" w:rsidRDefault="00F51CE7">
      <w:pPr>
        <w:snapToGrid w:val="0"/>
        <w:spacing w:line="360" w:lineRule="auto"/>
        <w:ind w:firstLineChars="200" w:firstLine="420"/>
        <w:rPr>
          <w:bCs/>
          <w:szCs w:val="21"/>
        </w:rPr>
      </w:pPr>
      <w:r>
        <w:rPr>
          <w:rFonts w:hint="eastAsia"/>
          <w:bCs/>
          <w:szCs w:val="21"/>
        </w:rPr>
        <w:t>基金的投资组合应遵循以下限制：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）封闭期内，本基金股票</w:t>
      </w:r>
      <w:r w:rsidR="001A6E72" w:rsidRPr="001A6E72">
        <w:rPr>
          <w:rFonts w:hint="eastAsia"/>
          <w:bCs/>
          <w:szCs w:val="21"/>
        </w:rPr>
        <w:t>（含存托凭证）</w:t>
      </w:r>
      <w:r>
        <w:rPr>
          <w:rFonts w:hint="eastAsia"/>
          <w:bCs/>
          <w:szCs w:val="21"/>
        </w:rPr>
        <w:t>投资占基金资产的比例范围为</w:t>
      </w:r>
      <w:r>
        <w:rPr>
          <w:rFonts w:hint="eastAsia"/>
          <w:bCs/>
          <w:szCs w:val="21"/>
        </w:rPr>
        <w:t>60%-100%</w:t>
      </w:r>
      <w:r>
        <w:rPr>
          <w:rFonts w:hint="eastAsia"/>
          <w:bCs/>
          <w:szCs w:val="21"/>
        </w:rPr>
        <w:t>（其中港股通股票最高投资比例不得超过股票资产的</w:t>
      </w:r>
      <w:r>
        <w:rPr>
          <w:rFonts w:hint="eastAsia"/>
          <w:bCs/>
          <w:szCs w:val="21"/>
        </w:rPr>
        <w:t>50%</w:t>
      </w:r>
      <w:r>
        <w:rPr>
          <w:rFonts w:hint="eastAsia"/>
          <w:bCs/>
          <w:szCs w:val="21"/>
        </w:rPr>
        <w:t>），且基金投资于创业板的股票资产占非现金资产的比例不低于</w:t>
      </w:r>
      <w:r>
        <w:rPr>
          <w:rFonts w:hint="eastAsia"/>
          <w:bCs/>
          <w:szCs w:val="21"/>
        </w:rPr>
        <w:t>80%</w:t>
      </w:r>
      <w:r>
        <w:rPr>
          <w:rFonts w:hint="eastAsia"/>
          <w:bCs/>
          <w:szCs w:val="21"/>
        </w:rPr>
        <w:t>。应开放期流动性需要，为保护持有人利益，本基金在开放期、开放期开始前</w:t>
      </w:r>
      <w:r>
        <w:rPr>
          <w:rFonts w:hint="eastAsia"/>
          <w:bCs/>
          <w:szCs w:val="21"/>
        </w:rPr>
        <w:t>1</w:t>
      </w:r>
      <w:r>
        <w:rPr>
          <w:rFonts w:hint="eastAsia"/>
          <w:bCs/>
          <w:szCs w:val="21"/>
        </w:rPr>
        <w:t>个月以及开放期结束后</w:t>
      </w:r>
      <w:r>
        <w:rPr>
          <w:rFonts w:hint="eastAsia"/>
          <w:bCs/>
          <w:szCs w:val="21"/>
        </w:rPr>
        <w:t>1</w:t>
      </w:r>
      <w:r>
        <w:rPr>
          <w:rFonts w:hint="eastAsia"/>
          <w:bCs/>
          <w:szCs w:val="21"/>
        </w:rPr>
        <w:t>个月内，本基金的股票资产</w:t>
      </w:r>
      <w:r w:rsidR="001A6E72" w:rsidRPr="001A6E72">
        <w:rPr>
          <w:rFonts w:hint="eastAsia"/>
          <w:bCs/>
          <w:szCs w:val="21"/>
        </w:rPr>
        <w:t>（含存托凭证）</w:t>
      </w:r>
      <w:r>
        <w:rPr>
          <w:rFonts w:hint="eastAsia"/>
          <w:bCs/>
          <w:szCs w:val="21"/>
        </w:rPr>
        <w:lastRenderedPageBreak/>
        <w:t>投资比例可不受上述限制；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）开放期内，本基金每个交易日日终在扣除国债期货、股指期货、股票期权合约需缴纳的交易保证金后，应当保持不低于基金资产净值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的现金或者到期日在一年以内的政府债券，其中现金不包括结算备付金、存出保证金、应收申购款等。封闭期内，本基金不受上述</w:t>
      </w:r>
      <w:r>
        <w:rPr>
          <w:rFonts w:hint="eastAsia"/>
          <w:bCs/>
          <w:szCs w:val="21"/>
        </w:rPr>
        <w:t>5%</w:t>
      </w:r>
      <w:r>
        <w:rPr>
          <w:rFonts w:hint="eastAsia"/>
          <w:bCs/>
          <w:szCs w:val="21"/>
        </w:rPr>
        <w:t>的限制，但每个交易日日终在扣除国债期货、股指期货、股票期权合约需缴纳的交易保证金后，应当保持不低于交易保证金一倍的现金；</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）本基金持有一家公司发行的证券（</w:t>
      </w:r>
      <w:r>
        <w:rPr>
          <w:rFonts w:hint="eastAsia"/>
          <w:bCs/>
          <w:szCs w:val="21"/>
        </w:rPr>
        <w:t>A</w:t>
      </w:r>
      <w:r>
        <w:rPr>
          <w:rFonts w:hint="eastAsia"/>
          <w:bCs/>
          <w:szCs w:val="21"/>
        </w:rPr>
        <w:t>股和</w:t>
      </w:r>
      <w:r>
        <w:rPr>
          <w:rFonts w:hint="eastAsia"/>
          <w:bCs/>
          <w:szCs w:val="21"/>
        </w:rPr>
        <w:t>H</w:t>
      </w:r>
      <w:r>
        <w:rPr>
          <w:rFonts w:hint="eastAsia"/>
          <w:bCs/>
          <w:szCs w:val="21"/>
        </w:rPr>
        <w:t>股合并计算），其市值不超过基金资产净值的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）本基金管理人管理的全部基金持有一家公司发行的证券（</w:t>
      </w:r>
      <w:r>
        <w:rPr>
          <w:rFonts w:hint="eastAsia"/>
          <w:bCs/>
          <w:szCs w:val="21"/>
        </w:rPr>
        <w:t>A</w:t>
      </w:r>
      <w:r>
        <w:rPr>
          <w:rFonts w:hint="eastAsia"/>
          <w:bCs/>
          <w:szCs w:val="21"/>
        </w:rPr>
        <w:t>股和</w:t>
      </w:r>
      <w:r>
        <w:rPr>
          <w:rFonts w:hint="eastAsia"/>
          <w:bCs/>
          <w:szCs w:val="21"/>
        </w:rPr>
        <w:t>H</w:t>
      </w:r>
      <w:r>
        <w:rPr>
          <w:rFonts w:hint="eastAsia"/>
          <w:bCs/>
          <w:szCs w:val="21"/>
        </w:rPr>
        <w:t>股合并计算），不超过该证券的</w:t>
      </w:r>
      <w:r>
        <w:rPr>
          <w:rFonts w:hint="eastAsia"/>
          <w:bCs/>
          <w:szCs w:val="21"/>
        </w:rPr>
        <w:t>10</w:t>
      </w:r>
      <w:r>
        <w:rPr>
          <w:rFonts w:hint="eastAsia"/>
          <w:bCs/>
          <w:szCs w:val="21"/>
        </w:rPr>
        <w:t>％，完全按照有关指数的构成比例进行证券投资的基金品种可以不受此条款规定的比例限制；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）本基金投资于同一原始权益人的各类资产支持证券的比例，不得超过基金资产净值的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）本基金持有的全部资产支持证券，其市值不得超过基金资产净值的</w:t>
      </w:r>
      <w:r>
        <w:rPr>
          <w:rFonts w:hint="eastAsia"/>
          <w:bCs/>
          <w:szCs w:val="21"/>
        </w:rPr>
        <w:t>20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）本基金持有的同一</w:t>
      </w:r>
      <w:r>
        <w:rPr>
          <w:rFonts w:hint="eastAsia"/>
          <w:bCs/>
          <w:szCs w:val="21"/>
        </w:rPr>
        <w:t>(</w:t>
      </w:r>
      <w:r>
        <w:rPr>
          <w:rFonts w:hint="eastAsia"/>
          <w:bCs/>
          <w:szCs w:val="21"/>
        </w:rPr>
        <w:t>指同一信用级别</w:t>
      </w:r>
      <w:r>
        <w:rPr>
          <w:rFonts w:hint="eastAsia"/>
          <w:bCs/>
          <w:szCs w:val="21"/>
        </w:rPr>
        <w:t>)</w:t>
      </w:r>
      <w:r>
        <w:rPr>
          <w:rFonts w:hint="eastAsia"/>
          <w:bCs/>
          <w:szCs w:val="21"/>
        </w:rPr>
        <w:t>资产支持证券的比例，不得超过该资产支持证券规模的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）本基金管理人管理的全部基金投资于同一原始权益人的各类资产支持证券，不得超过其各类资产支持证券合计规模的</w:t>
      </w:r>
      <w:r>
        <w:rPr>
          <w:rFonts w:hint="eastAsia"/>
          <w:bCs/>
          <w:szCs w:val="21"/>
        </w:rPr>
        <w:t>10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）本基金应投资于信用级别评级为</w:t>
      </w:r>
      <w:r>
        <w:rPr>
          <w:rFonts w:hint="eastAsia"/>
          <w:bCs/>
          <w:szCs w:val="21"/>
        </w:rPr>
        <w:t>BBB</w:t>
      </w:r>
      <w:r>
        <w:rPr>
          <w:rFonts w:hint="eastAsia"/>
          <w:bCs/>
          <w:szCs w:val="21"/>
        </w:rPr>
        <w:t>以上</w:t>
      </w:r>
      <w:r>
        <w:rPr>
          <w:rFonts w:hint="eastAsia"/>
          <w:bCs/>
          <w:szCs w:val="21"/>
        </w:rPr>
        <w:t>(</w:t>
      </w:r>
      <w:r>
        <w:rPr>
          <w:rFonts w:hint="eastAsia"/>
          <w:bCs/>
          <w:szCs w:val="21"/>
        </w:rPr>
        <w:t>含</w:t>
      </w:r>
      <w:r>
        <w:rPr>
          <w:rFonts w:hint="eastAsia"/>
          <w:bCs/>
          <w:szCs w:val="21"/>
        </w:rPr>
        <w:t>BBB)</w:t>
      </w:r>
      <w:r>
        <w:rPr>
          <w:rFonts w:hint="eastAsia"/>
          <w:bCs/>
          <w:szCs w:val="21"/>
        </w:rPr>
        <w:t>的资产支持证券。基金持有资产支持证券期间，如果其信用等级下降、不再符合投资标准，应在评级报告发布之日起</w:t>
      </w:r>
      <w:r>
        <w:rPr>
          <w:rFonts w:hint="eastAsia"/>
          <w:bCs/>
          <w:szCs w:val="21"/>
        </w:rPr>
        <w:t>3</w:t>
      </w:r>
      <w:r>
        <w:rPr>
          <w:rFonts w:hint="eastAsia"/>
          <w:bCs/>
          <w:szCs w:val="21"/>
        </w:rPr>
        <w:t>个月内予以全部卖出；</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）基金财产参与股票发行申购，本基金所申报的金额不超过本基金的总资产，本基金所申报的股票数量不超过拟发行股票公司本次发行股票的总量；</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）本基金进入全国银行间同业市场进行债券回购的资金余额不得超过基金资产净值的</w:t>
      </w:r>
      <w:r>
        <w:rPr>
          <w:rFonts w:hint="eastAsia"/>
          <w:bCs/>
          <w:szCs w:val="21"/>
        </w:rPr>
        <w:t>40%</w:t>
      </w:r>
      <w:r>
        <w:rPr>
          <w:rFonts w:hint="eastAsia"/>
          <w:bCs/>
          <w:szCs w:val="21"/>
        </w:rPr>
        <w:t>，进入全国银行间同业市场进行债券回购的最长期限为</w:t>
      </w:r>
      <w:r>
        <w:rPr>
          <w:rFonts w:hint="eastAsia"/>
          <w:bCs/>
          <w:szCs w:val="21"/>
        </w:rPr>
        <w:t>1</w:t>
      </w:r>
      <w:r>
        <w:rPr>
          <w:rFonts w:hint="eastAsia"/>
          <w:bCs/>
          <w:szCs w:val="21"/>
        </w:rPr>
        <w:t>年，债券回购到期后不得展期；</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）本基金管理人管理的全部开放式基金持有一家上市公司发行的可流通股票，不得超过该上市公司可流通股票的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；完全按照有关指数的构成比例进行证券投资的开放式基金以及中国证监会认定的特殊投资组合可不受前述比例限制；</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3</w:t>
      </w:r>
      <w:r>
        <w:rPr>
          <w:rFonts w:hint="eastAsia"/>
          <w:bCs/>
          <w:szCs w:val="21"/>
        </w:rPr>
        <w:t>）开放期内，本基金主动投资于流动性受限资产的市值合计不得超过该基金资产净值的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）本基金与私募类证券资管产品及中国证监会认定的其他主体为交易对手开展逆回</w:t>
      </w:r>
      <w:r>
        <w:rPr>
          <w:rFonts w:hint="eastAsia"/>
          <w:bCs/>
          <w:szCs w:val="21"/>
        </w:rPr>
        <w:lastRenderedPageBreak/>
        <w:t>购交易的，可接受质押品的资质要求应当与基金合同约定的投资范围保持一致；</w:t>
      </w:r>
    </w:p>
    <w:p w:rsidR="006E1FE1" w:rsidRDefault="00F51CE7">
      <w:pPr>
        <w:snapToGrid w:val="0"/>
        <w:spacing w:line="360" w:lineRule="auto"/>
        <w:ind w:firstLineChars="200" w:firstLine="420"/>
        <w:rPr>
          <w:bCs/>
          <w:szCs w:val="21"/>
          <w:highlight w:val="yellow"/>
        </w:rPr>
      </w:pPr>
      <w:r>
        <w:rPr>
          <w:rFonts w:hint="eastAsia"/>
          <w:bCs/>
          <w:szCs w:val="21"/>
        </w:rPr>
        <w:t>（</w:t>
      </w:r>
      <w:r>
        <w:rPr>
          <w:rFonts w:hint="eastAsia"/>
          <w:bCs/>
          <w:szCs w:val="21"/>
        </w:rPr>
        <w:t>1</w:t>
      </w:r>
      <w:r>
        <w:rPr>
          <w:bCs/>
          <w:szCs w:val="21"/>
        </w:rPr>
        <w:t>5</w:t>
      </w:r>
      <w:r>
        <w:rPr>
          <w:rFonts w:hint="eastAsia"/>
          <w:bCs/>
          <w:szCs w:val="21"/>
        </w:rPr>
        <w:t>）封闭期内，在任何交易日日终，持有的买入国债期货、股指期货和股票期权合约价值与有价证券市值之和，不得超过基金资产净值的</w:t>
      </w:r>
      <w:r>
        <w:rPr>
          <w:bCs/>
          <w:szCs w:val="21"/>
        </w:rPr>
        <w:t>100</w:t>
      </w:r>
      <w:r>
        <w:rPr>
          <w:rFonts w:hint="eastAsia"/>
          <w:bCs/>
          <w:szCs w:val="21"/>
        </w:rPr>
        <w:t>%</w:t>
      </w:r>
      <w:r>
        <w:rPr>
          <w:rFonts w:hint="eastAsia"/>
          <w:bCs/>
          <w:szCs w:val="21"/>
        </w:rPr>
        <w:t>；开放期内，在任何交易日日终，持有的买入国债期货、股指期货和股票期权合约价值与有价证券市值之和，不得超过基金资产净值的</w:t>
      </w:r>
      <w:r>
        <w:rPr>
          <w:bCs/>
          <w:szCs w:val="21"/>
        </w:rPr>
        <w:t>95</w:t>
      </w:r>
      <w:r>
        <w:rPr>
          <w:rFonts w:hint="eastAsia"/>
          <w:bCs/>
          <w:szCs w:val="21"/>
        </w:rPr>
        <w:t>%</w:t>
      </w:r>
      <w:r>
        <w:rPr>
          <w:rFonts w:hint="eastAsia"/>
          <w:bCs/>
          <w:szCs w:val="21"/>
        </w:rPr>
        <w:t>，其中，有价证券指股票、债券（不含到期日在一年以内的政府债券）、资产支持证券、买入返售金融资产（不含质押式回购）等；</w:t>
      </w:r>
    </w:p>
    <w:p w:rsidR="006E1FE1" w:rsidRDefault="00F51CE7">
      <w:pPr>
        <w:snapToGrid w:val="0"/>
        <w:spacing w:line="360" w:lineRule="auto"/>
        <w:ind w:firstLineChars="200" w:firstLine="420"/>
        <w:rPr>
          <w:bCs/>
          <w:szCs w:val="21"/>
          <w:highlight w:val="yellow"/>
        </w:rPr>
      </w:pPr>
      <w:r>
        <w:rPr>
          <w:rFonts w:hint="eastAsia"/>
          <w:bCs/>
          <w:szCs w:val="21"/>
        </w:rPr>
        <w:t>（</w:t>
      </w:r>
      <w:r>
        <w:rPr>
          <w:rFonts w:hint="eastAsia"/>
          <w:bCs/>
          <w:szCs w:val="21"/>
        </w:rPr>
        <w:t>1</w:t>
      </w:r>
      <w:r>
        <w:rPr>
          <w:bCs/>
          <w:szCs w:val="21"/>
        </w:rPr>
        <w:t>6</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；在任何交易日日终，持有的卖出股指期货合约价值不得超过基金持有的股票总市值的</w:t>
      </w:r>
      <w:r>
        <w:rPr>
          <w:rFonts w:hint="eastAsia"/>
          <w:bCs/>
          <w:szCs w:val="21"/>
        </w:rPr>
        <w:t>20%</w:t>
      </w:r>
      <w:r>
        <w:rPr>
          <w:rFonts w:hint="eastAsia"/>
          <w:bCs/>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Cs w:val="21"/>
        </w:rPr>
        <w:t>20%</w:t>
      </w:r>
      <w:r>
        <w:rPr>
          <w:rFonts w:hint="eastAsia"/>
          <w:bCs/>
          <w:szCs w:val="21"/>
        </w:rPr>
        <w:t>；</w:t>
      </w:r>
    </w:p>
    <w:p w:rsidR="006E1FE1" w:rsidRDefault="00F51CE7">
      <w:pPr>
        <w:snapToGrid w:val="0"/>
        <w:spacing w:line="360" w:lineRule="auto"/>
        <w:ind w:firstLineChars="200" w:firstLine="420"/>
        <w:rPr>
          <w:bCs/>
          <w:szCs w:val="21"/>
          <w:highlight w:val="yellow"/>
        </w:rPr>
      </w:pPr>
      <w:r>
        <w:rPr>
          <w:rFonts w:hint="eastAsia"/>
          <w:bCs/>
          <w:szCs w:val="21"/>
        </w:rPr>
        <w:t>（</w:t>
      </w:r>
      <w:r>
        <w:rPr>
          <w:bCs/>
          <w:szCs w:val="21"/>
        </w:rPr>
        <w:t>17</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Cs w:val="21"/>
        </w:rPr>
        <w:t>30%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rFonts w:hint="eastAsia"/>
          <w:bCs/>
          <w:szCs w:val="21"/>
        </w:rPr>
        <w:t>1</w:t>
      </w:r>
      <w:r>
        <w:rPr>
          <w:bCs/>
          <w:szCs w:val="21"/>
        </w:rPr>
        <w:t>8</w:t>
      </w:r>
      <w:r>
        <w:rPr>
          <w:rFonts w:hint="eastAsia"/>
          <w:bCs/>
          <w:szCs w:val="21"/>
        </w:rPr>
        <w:t>）基金因未平仓的股票期权合约支付和收取的权利金总额不得超过基金资产净值的</w:t>
      </w:r>
      <w:r>
        <w:rPr>
          <w:rFonts w:hint="eastAsia"/>
          <w:bCs/>
          <w:szCs w:val="21"/>
        </w:rPr>
        <w:t>10%</w:t>
      </w:r>
      <w:r>
        <w:rPr>
          <w:rFonts w:hint="eastAsia"/>
          <w:bCs/>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Cs w:val="21"/>
        </w:rPr>
        <w:t xml:space="preserve"> 20%</w:t>
      </w:r>
      <w:r>
        <w:rPr>
          <w:rFonts w:hint="eastAsia"/>
          <w:bCs/>
          <w:szCs w:val="21"/>
        </w:rPr>
        <w:t>。其中，合约面值按照行权价乘以合约乘数计算；</w:t>
      </w:r>
    </w:p>
    <w:p w:rsidR="006E1FE1" w:rsidRDefault="00F51CE7">
      <w:pPr>
        <w:snapToGrid w:val="0"/>
        <w:spacing w:line="360" w:lineRule="auto"/>
        <w:ind w:firstLineChars="200" w:firstLine="420"/>
        <w:rPr>
          <w:bCs/>
          <w:szCs w:val="21"/>
        </w:rPr>
      </w:pPr>
      <w:r>
        <w:rPr>
          <w:rFonts w:hint="eastAsia"/>
          <w:bCs/>
          <w:szCs w:val="21"/>
        </w:rPr>
        <w:t>（</w:t>
      </w:r>
      <w:r>
        <w:rPr>
          <w:bCs/>
          <w:szCs w:val="21"/>
        </w:rPr>
        <w:t>19</w:t>
      </w:r>
      <w:r>
        <w:rPr>
          <w:rFonts w:hint="eastAsia"/>
          <w:bCs/>
          <w:szCs w:val="21"/>
        </w:rPr>
        <w:t>）开放期内，基金总资产不得超过基金净资产的</w:t>
      </w:r>
      <w:r>
        <w:rPr>
          <w:rFonts w:hint="eastAsia"/>
          <w:bCs/>
          <w:szCs w:val="21"/>
        </w:rPr>
        <w:t>140%</w:t>
      </w:r>
      <w:r>
        <w:rPr>
          <w:rFonts w:hint="eastAsia"/>
          <w:bCs/>
          <w:szCs w:val="21"/>
        </w:rPr>
        <w:t>；封闭期内，本基金的基金总资产不得超过基金净资产的</w:t>
      </w:r>
      <w:r>
        <w:rPr>
          <w:rFonts w:hint="eastAsia"/>
          <w:bCs/>
          <w:szCs w:val="21"/>
        </w:rPr>
        <w:t>200%</w:t>
      </w:r>
      <w:r>
        <w:rPr>
          <w:rFonts w:hint="eastAsia"/>
          <w:bCs/>
          <w:szCs w:val="21"/>
        </w:rPr>
        <w:t>；</w:t>
      </w:r>
    </w:p>
    <w:p w:rsidR="006E1FE1" w:rsidRDefault="00F51CE7">
      <w:pPr>
        <w:snapToGrid w:val="0"/>
        <w:spacing w:line="360" w:lineRule="auto"/>
        <w:ind w:firstLineChars="200" w:firstLine="420"/>
        <w:rPr>
          <w:bCs/>
          <w:szCs w:val="21"/>
        </w:rPr>
      </w:pPr>
      <w:r>
        <w:rPr>
          <w:rFonts w:hint="eastAsia"/>
          <w:bCs/>
          <w:szCs w:val="21"/>
        </w:rPr>
        <w:t>（</w:t>
      </w:r>
      <w:r>
        <w:rPr>
          <w:bCs/>
          <w:szCs w:val="21"/>
        </w:rPr>
        <w:t>20</w:t>
      </w:r>
      <w:r>
        <w:rPr>
          <w:rFonts w:hint="eastAsia"/>
          <w:bCs/>
          <w:szCs w:val="21"/>
        </w:rPr>
        <w:t>）本基金投资同业存单的比例不超过基金资产的</w:t>
      </w:r>
      <w:r>
        <w:rPr>
          <w:rFonts w:hint="eastAsia"/>
          <w:bCs/>
          <w:szCs w:val="21"/>
        </w:rPr>
        <w:t>20%</w:t>
      </w:r>
      <w:r>
        <w:rPr>
          <w:rFonts w:hint="eastAsia"/>
          <w:bCs/>
          <w:szCs w:val="21"/>
        </w:rPr>
        <w:t>；</w:t>
      </w:r>
    </w:p>
    <w:p w:rsidR="00641700" w:rsidRDefault="00F51CE7">
      <w:pPr>
        <w:snapToGrid w:val="0"/>
        <w:spacing w:line="360" w:lineRule="auto"/>
        <w:ind w:firstLineChars="200" w:firstLine="420"/>
        <w:rPr>
          <w:bCs/>
          <w:szCs w:val="21"/>
        </w:rPr>
      </w:pPr>
      <w:r>
        <w:rPr>
          <w:rFonts w:hint="eastAsia"/>
          <w:bCs/>
          <w:szCs w:val="21"/>
        </w:rPr>
        <w:t>（</w:t>
      </w:r>
      <w:r>
        <w:rPr>
          <w:bCs/>
          <w:szCs w:val="21"/>
        </w:rPr>
        <w:t>21</w:t>
      </w:r>
      <w:r>
        <w:rPr>
          <w:rFonts w:hint="eastAsia"/>
          <w:bCs/>
          <w:szCs w:val="21"/>
        </w:rPr>
        <w:t>）</w:t>
      </w:r>
      <w:r w:rsidR="00641700" w:rsidRPr="00641700">
        <w:rPr>
          <w:rFonts w:hint="eastAsia"/>
          <w:bCs/>
          <w:szCs w:val="21"/>
        </w:rPr>
        <w:t>本基金投资存托凭证的比例限制依照内</w:t>
      </w:r>
      <w:r w:rsidR="00641700">
        <w:rPr>
          <w:rFonts w:hint="eastAsia"/>
          <w:bCs/>
          <w:szCs w:val="21"/>
        </w:rPr>
        <w:t>地上市交易的股票执行；</w:t>
      </w:r>
    </w:p>
    <w:p w:rsidR="006E1FE1" w:rsidRDefault="00641700">
      <w:pPr>
        <w:snapToGrid w:val="0"/>
        <w:spacing w:line="360" w:lineRule="auto"/>
        <w:ind w:firstLineChars="200" w:firstLine="420"/>
        <w:rPr>
          <w:bCs/>
          <w:szCs w:val="21"/>
        </w:rPr>
      </w:pPr>
      <w:r>
        <w:rPr>
          <w:rFonts w:hint="eastAsia"/>
          <w:bCs/>
          <w:szCs w:val="21"/>
        </w:rPr>
        <w:t>（</w:t>
      </w:r>
      <w:r>
        <w:rPr>
          <w:rFonts w:hint="eastAsia"/>
          <w:bCs/>
          <w:szCs w:val="21"/>
        </w:rPr>
        <w:t>22</w:t>
      </w:r>
      <w:r>
        <w:rPr>
          <w:rFonts w:hint="eastAsia"/>
          <w:bCs/>
          <w:szCs w:val="21"/>
        </w:rPr>
        <w:t>）</w:t>
      </w:r>
      <w:r w:rsidR="00F51CE7">
        <w:rPr>
          <w:rFonts w:hint="eastAsia"/>
          <w:bCs/>
          <w:szCs w:val="21"/>
        </w:rPr>
        <w:t>法律法规及中国证监会规定的和《基金合同》约定的其他投资限制。</w:t>
      </w:r>
    </w:p>
    <w:p w:rsidR="006E1FE1" w:rsidRDefault="00F51CE7">
      <w:pPr>
        <w:snapToGrid w:val="0"/>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w:t>
      </w:r>
      <w:r>
        <w:rPr>
          <w:bCs/>
          <w:szCs w:val="21"/>
        </w:rPr>
        <w:t>3</w:t>
      </w:r>
      <w:r>
        <w:rPr>
          <w:rFonts w:hint="eastAsia"/>
          <w:bCs/>
          <w:szCs w:val="21"/>
        </w:rPr>
        <w:t>）、（</w:t>
      </w:r>
      <w:r>
        <w:rPr>
          <w:rFonts w:hint="eastAsia"/>
          <w:bCs/>
          <w:szCs w:val="21"/>
        </w:rPr>
        <w:t>1</w:t>
      </w:r>
      <w:r>
        <w:rPr>
          <w:bCs/>
          <w:szCs w:val="21"/>
        </w:rPr>
        <w:t>4</w:t>
      </w:r>
      <w:r>
        <w:rPr>
          <w:rFonts w:hint="eastAsia"/>
          <w:bCs/>
          <w:szCs w:val="21"/>
        </w:rPr>
        <w:t>）项另有约定外，因证券</w:t>
      </w:r>
      <w:r>
        <w:rPr>
          <w:rFonts w:hint="eastAsia"/>
          <w:bCs/>
          <w:szCs w:val="21"/>
        </w:rPr>
        <w:t>/</w:t>
      </w:r>
      <w:r>
        <w:rPr>
          <w:rFonts w:hint="eastAsia"/>
          <w:bCs/>
          <w:szCs w:val="21"/>
        </w:rPr>
        <w:t>期货市场波动、证券发行人合并、基金规模变动等基金管理人之外的因素致使基金投资比例不符合上述规定投资比例的，基金管理人应当在</w:t>
      </w:r>
      <w:r>
        <w:rPr>
          <w:rFonts w:hint="eastAsia"/>
          <w:bCs/>
          <w:szCs w:val="21"/>
        </w:rPr>
        <w:t>10</w:t>
      </w:r>
      <w:r>
        <w:rPr>
          <w:rFonts w:hint="eastAsia"/>
          <w:bCs/>
          <w:szCs w:val="21"/>
        </w:rPr>
        <w:t>个交易日内进行调整，但中国证监会规定的特殊情形除外。</w:t>
      </w:r>
    </w:p>
    <w:p w:rsidR="006E1FE1" w:rsidRDefault="00F51CE7">
      <w:pPr>
        <w:snapToGrid w:val="0"/>
        <w:spacing w:line="360" w:lineRule="auto"/>
        <w:ind w:firstLineChars="200" w:firstLine="420"/>
        <w:rPr>
          <w:bCs/>
          <w:szCs w:val="21"/>
        </w:rPr>
      </w:pPr>
      <w:r>
        <w:rPr>
          <w:rFonts w:hint="eastAsia"/>
          <w:bCs/>
          <w:szCs w:val="21"/>
        </w:rPr>
        <w:t>基金管理人应当自基金合同生效之日起</w:t>
      </w:r>
      <w:r>
        <w:rPr>
          <w:rFonts w:hint="eastAsia"/>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6E1FE1" w:rsidRDefault="00F51CE7">
      <w:pPr>
        <w:snapToGrid w:val="0"/>
        <w:spacing w:line="360" w:lineRule="auto"/>
        <w:ind w:firstLineChars="200" w:firstLine="420"/>
        <w:rPr>
          <w:bCs/>
          <w:szCs w:val="21"/>
        </w:rPr>
      </w:pPr>
      <w:r>
        <w:rPr>
          <w:rFonts w:hint="eastAsia"/>
          <w:bCs/>
          <w:szCs w:val="21"/>
        </w:rPr>
        <w:t>如果法律法规或监管部门对上述投资组合比例限制进行变更的，以变更后的规定为准。法律法规或监管部门取消上述限制，如适用于本基金，基金管理人在履行适当程序后，则本</w:t>
      </w:r>
      <w:r>
        <w:rPr>
          <w:rFonts w:hint="eastAsia"/>
          <w:bCs/>
          <w:szCs w:val="21"/>
        </w:rPr>
        <w:lastRenderedPageBreak/>
        <w:t>基金投资不再受相关限制。</w:t>
      </w:r>
    </w:p>
    <w:p w:rsidR="006E1FE1" w:rsidRDefault="00F51CE7">
      <w:pPr>
        <w:adjustRightInd w:val="0"/>
        <w:snapToGrid w:val="0"/>
        <w:spacing w:line="360" w:lineRule="auto"/>
        <w:ind w:firstLine="420"/>
        <w:rPr>
          <w:rFonts w:ascii="宋体" w:hAnsi="宋体"/>
        </w:rPr>
      </w:pPr>
      <w:r>
        <w:rPr>
          <w:rFonts w:ascii="宋体" w:hAnsi="宋体" w:hint="eastAsia"/>
        </w:rPr>
        <w:t>2、禁止行为</w:t>
      </w:r>
    </w:p>
    <w:p w:rsidR="006E1FE1" w:rsidRDefault="00F51CE7">
      <w:pPr>
        <w:adjustRightInd w:val="0"/>
        <w:snapToGrid w:val="0"/>
        <w:spacing w:line="360" w:lineRule="auto"/>
        <w:ind w:firstLine="420"/>
        <w:rPr>
          <w:rFonts w:ascii="宋体" w:hAnsi="宋体"/>
        </w:rPr>
      </w:pPr>
      <w:r>
        <w:rPr>
          <w:rFonts w:ascii="宋体" w:hAnsi="宋体" w:hint="eastAsia"/>
        </w:rPr>
        <w:t>为维护基金份额持有人的合法权益，基金财产不得用于下列投资或者活动：</w:t>
      </w:r>
    </w:p>
    <w:p w:rsidR="006E1FE1" w:rsidRDefault="00F51CE7">
      <w:pPr>
        <w:adjustRightInd w:val="0"/>
        <w:snapToGrid w:val="0"/>
        <w:spacing w:line="360" w:lineRule="auto"/>
        <w:ind w:firstLine="420"/>
        <w:rPr>
          <w:rFonts w:ascii="宋体" w:hAnsi="宋体"/>
        </w:rPr>
      </w:pPr>
      <w:r>
        <w:rPr>
          <w:rFonts w:ascii="宋体" w:hAnsi="宋体" w:hint="eastAsia"/>
        </w:rPr>
        <w:t>（1）承销证券；</w:t>
      </w:r>
    </w:p>
    <w:p w:rsidR="006E1FE1" w:rsidRDefault="00F51CE7">
      <w:pPr>
        <w:adjustRightInd w:val="0"/>
        <w:snapToGrid w:val="0"/>
        <w:spacing w:line="360" w:lineRule="auto"/>
        <w:ind w:firstLine="420"/>
        <w:rPr>
          <w:rFonts w:ascii="宋体" w:hAnsi="宋体"/>
        </w:rPr>
      </w:pPr>
      <w:r>
        <w:rPr>
          <w:rFonts w:ascii="宋体" w:hAnsi="宋体" w:hint="eastAsia"/>
        </w:rPr>
        <w:t>（2）违反规定向他人贷款或者提供担保；</w:t>
      </w:r>
    </w:p>
    <w:p w:rsidR="006E1FE1" w:rsidRDefault="00F51CE7">
      <w:pPr>
        <w:adjustRightInd w:val="0"/>
        <w:snapToGrid w:val="0"/>
        <w:spacing w:line="360" w:lineRule="auto"/>
        <w:ind w:firstLine="420"/>
        <w:rPr>
          <w:rFonts w:ascii="宋体" w:hAnsi="宋体"/>
        </w:rPr>
      </w:pPr>
      <w:r>
        <w:rPr>
          <w:rFonts w:ascii="宋体" w:hAnsi="宋体" w:hint="eastAsia"/>
        </w:rPr>
        <w:t>（3）从事承担无限责任的投资；</w:t>
      </w:r>
    </w:p>
    <w:p w:rsidR="006E1FE1" w:rsidRDefault="00F51CE7">
      <w:pPr>
        <w:adjustRightInd w:val="0"/>
        <w:snapToGrid w:val="0"/>
        <w:spacing w:line="360" w:lineRule="auto"/>
        <w:ind w:firstLine="420"/>
        <w:rPr>
          <w:rFonts w:ascii="宋体" w:hAnsi="宋体"/>
        </w:rPr>
      </w:pPr>
      <w:r>
        <w:rPr>
          <w:rFonts w:ascii="宋体" w:hAnsi="宋体" w:hint="eastAsia"/>
        </w:rPr>
        <w:t>（4）买卖其他基金份额，但是中国证监会另有规定的除外；</w:t>
      </w:r>
    </w:p>
    <w:p w:rsidR="006E1FE1" w:rsidRDefault="00F51CE7">
      <w:pPr>
        <w:adjustRightInd w:val="0"/>
        <w:snapToGrid w:val="0"/>
        <w:spacing w:line="360" w:lineRule="auto"/>
        <w:ind w:firstLine="420"/>
        <w:rPr>
          <w:rFonts w:ascii="宋体" w:hAnsi="宋体"/>
        </w:rPr>
      </w:pPr>
      <w:r>
        <w:rPr>
          <w:rFonts w:ascii="宋体" w:hAnsi="宋体" w:hint="eastAsia"/>
        </w:rPr>
        <w:t>（5）向其基金管理人、基金托管人出资；</w:t>
      </w:r>
    </w:p>
    <w:p w:rsidR="006E1FE1" w:rsidRDefault="00F51CE7">
      <w:pPr>
        <w:adjustRightInd w:val="0"/>
        <w:snapToGrid w:val="0"/>
        <w:spacing w:line="360" w:lineRule="auto"/>
        <w:ind w:firstLine="420"/>
        <w:rPr>
          <w:rFonts w:ascii="宋体" w:hAnsi="宋体"/>
        </w:rPr>
      </w:pPr>
      <w:r>
        <w:rPr>
          <w:rFonts w:ascii="宋体" w:hAnsi="宋体" w:hint="eastAsia"/>
        </w:rPr>
        <w:t>（6）从事内幕交易、操纵证券交易价格及其他不正当的证券交易活动；</w:t>
      </w:r>
    </w:p>
    <w:p w:rsidR="006E1FE1" w:rsidRDefault="00F51CE7">
      <w:pPr>
        <w:adjustRightInd w:val="0"/>
        <w:snapToGrid w:val="0"/>
        <w:spacing w:line="360" w:lineRule="auto"/>
        <w:ind w:firstLine="420"/>
        <w:rPr>
          <w:rFonts w:ascii="宋体" w:hAnsi="宋体"/>
        </w:rPr>
      </w:pPr>
      <w:r>
        <w:rPr>
          <w:rFonts w:ascii="宋体" w:hAnsi="宋体" w:hint="eastAsia"/>
        </w:rPr>
        <w:t>（7）法律、行政法规和中国证监会规定禁止的其他活动。</w:t>
      </w:r>
    </w:p>
    <w:p w:rsidR="006E1FE1" w:rsidRDefault="00F51CE7">
      <w:pPr>
        <w:adjustRightInd w:val="0"/>
        <w:snapToGrid w:val="0"/>
        <w:spacing w:line="360" w:lineRule="auto"/>
        <w:ind w:firstLine="420"/>
        <w:rPr>
          <w:rFonts w:ascii="宋体" w:hAnsi="宋体"/>
        </w:rPr>
      </w:pPr>
      <w:r>
        <w:rPr>
          <w:rFonts w:ascii="宋体" w:hAnsi="宋体"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E1FE1" w:rsidRDefault="00F51CE7">
      <w:pPr>
        <w:adjustRightInd w:val="0"/>
        <w:snapToGrid w:val="0"/>
        <w:spacing w:line="360" w:lineRule="auto"/>
        <w:ind w:firstLine="420"/>
        <w:rPr>
          <w:rFonts w:ascii="宋体" w:hAnsi="宋体"/>
        </w:rPr>
      </w:pPr>
      <w:r>
        <w:rPr>
          <w:rFonts w:ascii="宋体" w:hAnsi="宋体" w:hint="eastAsia"/>
        </w:rPr>
        <w:t>如法律、行政法规或监管部门取消上述限制，如适用于本基金，则本基金投资不再受相关限制。</w:t>
      </w:r>
    </w:p>
    <w:p w:rsidR="006E1FE1" w:rsidRDefault="006E1FE1">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六、基金资产净值的计算方法和公告方式</w:t>
      </w:r>
    </w:p>
    <w:p w:rsidR="006E1FE1" w:rsidRDefault="00F51CE7">
      <w:pPr>
        <w:adjustRightInd w:val="0"/>
        <w:snapToGrid w:val="0"/>
        <w:spacing w:line="360" w:lineRule="auto"/>
        <w:ind w:firstLine="420"/>
        <w:rPr>
          <w:rFonts w:ascii="宋体" w:hAnsi="宋体"/>
        </w:rPr>
      </w:pPr>
      <w:r>
        <w:rPr>
          <w:rFonts w:ascii="宋体" w:hAnsi="宋体"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6E1FE1" w:rsidRDefault="00F51CE7">
      <w:pPr>
        <w:adjustRightInd w:val="0"/>
        <w:snapToGrid w:val="0"/>
        <w:spacing w:line="360" w:lineRule="auto"/>
        <w:ind w:firstLine="420"/>
        <w:rPr>
          <w:rFonts w:ascii="宋体" w:hAnsi="宋体"/>
        </w:rPr>
      </w:pPr>
      <w:r>
        <w:rPr>
          <w:rFonts w:ascii="宋体" w:hAnsi="宋体" w:hint="eastAsia"/>
        </w:rPr>
        <w:t>基金管理人应每个工作日计算基金资产净值及基金份额净值，并按规定披露。</w:t>
      </w:r>
    </w:p>
    <w:p w:rsidR="006E1FE1" w:rsidRDefault="00F51CE7">
      <w:pPr>
        <w:adjustRightInd w:val="0"/>
        <w:snapToGrid w:val="0"/>
        <w:spacing w:line="360" w:lineRule="auto"/>
        <w:ind w:firstLine="420"/>
        <w:rPr>
          <w:rFonts w:ascii="宋体" w:hAnsi="宋体"/>
        </w:rPr>
      </w:pPr>
      <w:r>
        <w:rPr>
          <w:rFonts w:ascii="宋体" w:hAnsi="宋体"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约定对外公布。</w:t>
      </w:r>
    </w:p>
    <w:p w:rsidR="006E1FE1" w:rsidRDefault="006E1FE1">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七、基金合同解除和终止的事由、程序以及基金财产的清算方式</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（一）</w:t>
      </w:r>
      <w:r w:rsidRPr="00DC2B10">
        <w:rPr>
          <w:rFonts w:ascii="宋体" w:hAnsi="宋体" w:hint="eastAsia"/>
        </w:rPr>
        <w:t>《基金合同》的变更</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w:t>
      </w:r>
      <w:r w:rsidRPr="00DC2B10">
        <w:rPr>
          <w:rFonts w:ascii="宋体" w:hAnsi="宋体" w:hint="eastAsia"/>
        </w:rPr>
        <w:lastRenderedPageBreak/>
        <w:t>报中国证监会备案。</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2、关于《基金合同》变更的基金份额持有人大会决议自生效后方可执行，并自决议生效后2日内在规定媒介公告。</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（二）</w:t>
      </w:r>
      <w:r w:rsidRPr="00DC2B10">
        <w:rPr>
          <w:rFonts w:ascii="宋体" w:hAnsi="宋体" w:hint="eastAsia"/>
        </w:rPr>
        <w:t>《基金合同》的终止事由</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有下列情形之一的，经履行相关程序后，《基金合同》应当终止：</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1、基金份额持有人大会决定终止的；</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2、基金管理人、基金托管人职责终止，在6个月内没有新基金管理人、新基金托管人承接的；</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3、《基金合同》约定的其他情形；</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4、相关法律法规和中国证监会规定的其他情况。</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（三）</w:t>
      </w:r>
      <w:r w:rsidRPr="00DC2B10">
        <w:rPr>
          <w:rFonts w:ascii="宋体" w:hAnsi="宋体" w:hint="eastAsia"/>
        </w:rPr>
        <w:t>基金财产的清算</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1、基金财产清算小组：自出现《基金合同》终止事由之日起30个工作日内成立清算小组，基金管理人组织基金财产清算小组并在中国证监会的监督下进行基金清算。</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3、基金财产清算小组职责：基金财产清算小组负责基金财产的保管、清理、估价、变现和分配。基金财产清算小组可以依法进行必要的民事活动。</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4、基金财产清算程序：</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（1）《基金合同》终止情形出现时，由基金财产清算小组统一接管基金；</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（2）对基金财产和债权债务进行清理和确认；</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（3）对基金财产进行估值和变现；</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（4）制作清算报告；</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（5）聘请符合《中华人民共和国证券法》规定的会计师事务所对清算报告进行外部审计，聘请律师事务所对清算报告出具法律意见书；</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（6）将清算报告报中国证监会备案并公告；</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（7）对基金剩余财产进行分配。</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5、基金财产清算的期限为6个月。</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（四）</w:t>
      </w:r>
      <w:r w:rsidRPr="00DC2B10">
        <w:rPr>
          <w:rFonts w:ascii="宋体" w:hAnsi="宋体" w:hint="eastAsia"/>
        </w:rPr>
        <w:t>清算费用</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清算费用是指基金财产清算小组在进行基金清算过程中发生的所有合理费用，清算费用由基金财产清算小组优先从基金财产中支付。</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（五）</w:t>
      </w:r>
      <w:r w:rsidRPr="00DC2B10">
        <w:rPr>
          <w:rFonts w:ascii="宋体" w:hAnsi="宋体" w:hint="eastAsia"/>
        </w:rPr>
        <w:t>基金财产清算剩余资产的分配</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依据基金财产清算的分配方案，将基金财产清算后的全部剩余资产扣除基金财产清算费用、交纳所欠税款并清偿基金债务后，按基金份额持有人持有的基金份额比例进行分配。</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lastRenderedPageBreak/>
        <w:t>（六）</w:t>
      </w:r>
      <w:r w:rsidRPr="00DC2B10">
        <w:rPr>
          <w:rFonts w:ascii="宋体" w:hAnsi="宋体" w:hint="eastAsia"/>
        </w:rPr>
        <w:t>基金财产清算的公告</w:t>
      </w:r>
    </w:p>
    <w:p w:rsidR="00DC2B10" w:rsidRPr="00DC2B10" w:rsidRDefault="00DC2B10" w:rsidP="00DC2B10">
      <w:pPr>
        <w:adjustRightInd w:val="0"/>
        <w:snapToGrid w:val="0"/>
        <w:spacing w:line="360" w:lineRule="auto"/>
        <w:ind w:firstLine="420"/>
        <w:rPr>
          <w:rFonts w:ascii="宋体" w:hAnsi="宋体"/>
        </w:rPr>
      </w:pPr>
      <w:r w:rsidRPr="00DC2B10">
        <w:rPr>
          <w:rFonts w:ascii="宋体" w:hAnsi="宋体"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C2B10" w:rsidRPr="00DC2B10" w:rsidRDefault="00DC2B10" w:rsidP="00DC2B10">
      <w:pPr>
        <w:adjustRightInd w:val="0"/>
        <w:snapToGrid w:val="0"/>
        <w:spacing w:line="360" w:lineRule="auto"/>
        <w:ind w:firstLine="420"/>
        <w:rPr>
          <w:rFonts w:ascii="宋体" w:hAnsi="宋体"/>
        </w:rPr>
      </w:pPr>
      <w:r>
        <w:rPr>
          <w:rFonts w:ascii="宋体" w:hAnsi="宋体" w:hint="eastAsia"/>
        </w:rPr>
        <w:t>（七）</w:t>
      </w:r>
      <w:r w:rsidRPr="00DC2B10">
        <w:rPr>
          <w:rFonts w:ascii="宋体" w:hAnsi="宋体" w:hint="eastAsia"/>
        </w:rPr>
        <w:t>基金财产清算账册及文件的保存</w:t>
      </w:r>
    </w:p>
    <w:p w:rsidR="006E1FE1" w:rsidRDefault="00DC2B10">
      <w:pPr>
        <w:adjustRightInd w:val="0"/>
        <w:snapToGrid w:val="0"/>
        <w:spacing w:line="360" w:lineRule="auto"/>
        <w:ind w:firstLine="420"/>
        <w:rPr>
          <w:rFonts w:ascii="宋体" w:hAnsi="宋体"/>
        </w:rPr>
      </w:pPr>
      <w:r w:rsidRPr="00DC2B10">
        <w:rPr>
          <w:rFonts w:ascii="宋体" w:hAnsi="宋体" w:hint="eastAsia"/>
        </w:rPr>
        <w:t>基金财产清算账册及有关文件由基金托管人保存15年以上。</w:t>
      </w:r>
    </w:p>
    <w:p w:rsidR="00BA144D" w:rsidRDefault="00BA144D">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八、争议解决方式</w:t>
      </w:r>
    </w:p>
    <w:p w:rsidR="006E1FE1" w:rsidRDefault="00F51CE7">
      <w:pPr>
        <w:adjustRightInd w:val="0"/>
        <w:snapToGrid w:val="0"/>
        <w:spacing w:line="360" w:lineRule="auto"/>
        <w:ind w:firstLine="420"/>
        <w:rPr>
          <w:rFonts w:ascii="宋体" w:hAnsi="宋体"/>
        </w:rPr>
      </w:pPr>
      <w:r>
        <w:rPr>
          <w:rFonts w:ascii="宋体" w:hAnsi="宋体"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E1FE1" w:rsidRDefault="00F51CE7">
      <w:pPr>
        <w:adjustRightInd w:val="0"/>
        <w:snapToGrid w:val="0"/>
        <w:spacing w:line="360" w:lineRule="auto"/>
        <w:ind w:firstLine="420"/>
        <w:rPr>
          <w:rFonts w:ascii="宋体" w:hAnsi="宋体"/>
        </w:rPr>
      </w:pPr>
      <w:r>
        <w:rPr>
          <w:rFonts w:ascii="宋体" w:hAnsi="宋体" w:hint="eastAsia"/>
        </w:rPr>
        <w:t>争议处理期间，基金合同当事人应恪守各自的职责，继续忠实、勤勉、尽责地履行基金合同规定的义务，维护基金份额持有人的合法权益。</w:t>
      </w:r>
    </w:p>
    <w:p w:rsidR="006E1FE1" w:rsidRDefault="00F51CE7">
      <w:pPr>
        <w:adjustRightInd w:val="0"/>
        <w:snapToGrid w:val="0"/>
        <w:spacing w:line="360" w:lineRule="auto"/>
        <w:ind w:firstLine="420"/>
        <w:rPr>
          <w:rFonts w:ascii="宋体" w:hAnsi="宋体"/>
        </w:rPr>
      </w:pPr>
      <w:r>
        <w:rPr>
          <w:rFonts w:ascii="宋体" w:hAnsi="宋体" w:hint="eastAsia"/>
        </w:rPr>
        <w:t>《基金合同》受中国法律管辖。</w:t>
      </w:r>
    </w:p>
    <w:p w:rsidR="006E1FE1" w:rsidRDefault="006E1FE1">
      <w:pPr>
        <w:adjustRightInd w:val="0"/>
        <w:snapToGrid w:val="0"/>
        <w:spacing w:line="360" w:lineRule="auto"/>
        <w:ind w:firstLine="420"/>
        <w:rPr>
          <w:rFonts w:ascii="宋体" w:hAnsi="宋体"/>
        </w:rPr>
      </w:pPr>
    </w:p>
    <w:p w:rsidR="006E1FE1" w:rsidRDefault="00F51CE7">
      <w:pPr>
        <w:adjustRightInd w:val="0"/>
        <w:snapToGrid w:val="0"/>
        <w:spacing w:line="360" w:lineRule="auto"/>
        <w:ind w:firstLine="420"/>
        <w:rPr>
          <w:rFonts w:ascii="宋体" w:hAnsi="宋体"/>
        </w:rPr>
      </w:pPr>
      <w:r>
        <w:rPr>
          <w:rFonts w:ascii="宋体" w:hAnsi="宋体" w:hint="eastAsia"/>
        </w:rPr>
        <w:t>九、基金合同存放地和投资人取得合同的方式</w:t>
      </w:r>
    </w:p>
    <w:p w:rsidR="006E1FE1" w:rsidRPr="00DC2B10" w:rsidRDefault="00DC2B10" w:rsidP="00DC2B10">
      <w:pPr>
        <w:adjustRightInd w:val="0"/>
        <w:snapToGrid w:val="0"/>
        <w:spacing w:line="360" w:lineRule="auto"/>
        <w:ind w:firstLine="420"/>
        <w:rPr>
          <w:rFonts w:ascii="宋体" w:hAnsi="宋体"/>
        </w:rPr>
        <w:sectPr w:rsidR="006E1FE1" w:rsidRPr="00DC2B10">
          <w:headerReference w:type="default" r:id="rId13"/>
          <w:pgSz w:w="11906" w:h="16838"/>
          <w:pgMar w:top="1440" w:right="1800" w:bottom="1440" w:left="1800" w:header="851" w:footer="992" w:gutter="0"/>
          <w:pgNumType w:start="2"/>
          <w:cols w:space="720"/>
          <w:docGrid w:type="lines" w:linePitch="312"/>
        </w:sectPr>
      </w:pPr>
      <w:r w:rsidRPr="00DC2B10">
        <w:rPr>
          <w:rFonts w:ascii="宋体" w:hAnsi="宋体" w:hint="eastAsia"/>
        </w:rPr>
        <w:t>《基金合同》可印制成册，供投资人在基金管理人、基金托管人、销售机构的办公场所和营业场所查阅。</w:t>
      </w:r>
      <w:r w:rsidR="00F51CE7" w:rsidRPr="00DC2B10">
        <w:rPr>
          <w:rFonts w:ascii="宋体" w:hAnsi="宋体"/>
        </w:rPr>
        <w:br w:type="page"/>
      </w:r>
    </w:p>
    <w:p w:rsidR="006E1FE1" w:rsidRDefault="00F51CE7">
      <w:pPr>
        <w:autoSpaceDE w:val="0"/>
        <w:autoSpaceDN w:val="0"/>
        <w:adjustRightInd w:val="0"/>
        <w:snapToGrid w:val="0"/>
        <w:spacing w:line="360" w:lineRule="auto"/>
        <w:jc w:val="left"/>
        <w:rPr>
          <w:bCs/>
          <w:szCs w:val="21"/>
        </w:rPr>
      </w:pPr>
      <w:r>
        <w:rPr>
          <w:rFonts w:hint="eastAsia"/>
          <w:bCs/>
          <w:szCs w:val="21"/>
        </w:rPr>
        <w:lastRenderedPageBreak/>
        <w:t>（</w:t>
      </w:r>
      <w:r>
        <w:rPr>
          <w:bCs/>
          <w:szCs w:val="21"/>
        </w:rPr>
        <w:t>本页</w:t>
      </w:r>
      <w:r>
        <w:rPr>
          <w:rFonts w:hint="eastAsia"/>
          <w:bCs/>
          <w:szCs w:val="21"/>
        </w:rPr>
        <w:t>为《</w:t>
      </w:r>
      <w:r>
        <w:rPr>
          <w:rFonts w:ascii="宋体" w:hAnsi="宋体" w:hint="eastAsia"/>
          <w:bCs/>
          <w:szCs w:val="21"/>
        </w:rPr>
        <w:t>南方创业板2年定期开放混合型证券投资基金</w:t>
      </w:r>
      <w:r w:rsidR="00FC5935">
        <w:rPr>
          <w:rFonts w:hint="eastAsia"/>
          <w:bCs/>
          <w:szCs w:val="21"/>
        </w:rPr>
        <w:t>基金合同</w:t>
      </w:r>
      <w:r>
        <w:rPr>
          <w:rFonts w:hint="eastAsia"/>
          <w:bCs/>
          <w:szCs w:val="21"/>
        </w:rPr>
        <w:t>》签署页，无正文）</w:t>
      </w:r>
    </w:p>
    <w:p w:rsidR="006E1FE1" w:rsidRDefault="006E1FE1">
      <w:pPr>
        <w:autoSpaceDE w:val="0"/>
        <w:autoSpaceDN w:val="0"/>
        <w:adjustRightInd w:val="0"/>
        <w:snapToGrid w:val="0"/>
        <w:spacing w:line="360" w:lineRule="auto"/>
        <w:jc w:val="left"/>
        <w:rPr>
          <w:b/>
          <w:bCs/>
          <w:szCs w:val="21"/>
        </w:rPr>
      </w:pPr>
    </w:p>
    <w:p w:rsidR="006E1FE1" w:rsidRDefault="006E1FE1">
      <w:pPr>
        <w:autoSpaceDE w:val="0"/>
        <w:autoSpaceDN w:val="0"/>
        <w:adjustRightInd w:val="0"/>
        <w:snapToGrid w:val="0"/>
        <w:spacing w:line="360" w:lineRule="auto"/>
        <w:jc w:val="left"/>
        <w:rPr>
          <w:b/>
          <w:bCs/>
          <w:szCs w:val="21"/>
        </w:rPr>
      </w:pPr>
    </w:p>
    <w:p w:rsidR="006E1FE1" w:rsidRDefault="006E1FE1">
      <w:pPr>
        <w:autoSpaceDE w:val="0"/>
        <w:autoSpaceDN w:val="0"/>
        <w:adjustRightInd w:val="0"/>
        <w:snapToGrid w:val="0"/>
        <w:spacing w:line="360" w:lineRule="auto"/>
        <w:jc w:val="left"/>
        <w:rPr>
          <w:b/>
          <w:bCs/>
          <w:szCs w:val="21"/>
        </w:rPr>
      </w:pPr>
    </w:p>
    <w:p w:rsidR="006E1FE1" w:rsidRDefault="006E1FE1">
      <w:pPr>
        <w:autoSpaceDE w:val="0"/>
        <w:autoSpaceDN w:val="0"/>
        <w:adjustRightInd w:val="0"/>
        <w:snapToGrid w:val="0"/>
        <w:spacing w:line="360" w:lineRule="auto"/>
        <w:jc w:val="left"/>
        <w:rPr>
          <w:bCs/>
          <w:szCs w:val="21"/>
        </w:rPr>
      </w:pPr>
    </w:p>
    <w:p w:rsidR="006E1FE1" w:rsidRDefault="00F51CE7">
      <w:pPr>
        <w:autoSpaceDE w:val="0"/>
        <w:autoSpaceDN w:val="0"/>
        <w:adjustRightInd w:val="0"/>
        <w:snapToGrid w:val="0"/>
        <w:spacing w:line="360" w:lineRule="auto"/>
        <w:jc w:val="left"/>
        <w:rPr>
          <w:bCs/>
          <w:szCs w:val="21"/>
        </w:rPr>
      </w:pPr>
      <w:r>
        <w:rPr>
          <w:bCs/>
          <w:szCs w:val="21"/>
        </w:rPr>
        <w:t>基金管理人：</w:t>
      </w:r>
      <w:r>
        <w:rPr>
          <w:rFonts w:hint="eastAsia"/>
          <w:bCs/>
          <w:szCs w:val="21"/>
        </w:rPr>
        <w:t>南方基金管理股份有限公司</w:t>
      </w: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F51CE7">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F51CE7">
      <w:pPr>
        <w:autoSpaceDE w:val="0"/>
        <w:autoSpaceDN w:val="0"/>
        <w:adjustRightInd w:val="0"/>
        <w:snapToGrid w:val="0"/>
        <w:spacing w:line="360" w:lineRule="auto"/>
        <w:jc w:val="left"/>
        <w:rPr>
          <w:bCs/>
          <w:szCs w:val="21"/>
        </w:rPr>
      </w:pPr>
      <w:r>
        <w:rPr>
          <w:bCs/>
          <w:szCs w:val="21"/>
        </w:rPr>
        <w:t>基金托管人</w:t>
      </w:r>
      <w:r>
        <w:rPr>
          <w:rFonts w:hint="eastAsia"/>
          <w:bCs/>
          <w:szCs w:val="21"/>
        </w:rPr>
        <w:t>：中国农业银行股份有限公司</w:t>
      </w: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F51CE7">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utoSpaceDE w:val="0"/>
        <w:autoSpaceDN w:val="0"/>
        <w:adjustRightInd w:val="0"/>
        <w:snapToGrid w:val="0"/>
        <w:spacing w:line="360" w:lineRule="auto"/>
        <w:jc w:val="left"/>
        <w:rPr>
          <w:bCs/>
          <w:szCs w:val="21"/>
        </w:rPr>
      </w:pPr>
    </w:p>
    <w:p w:rsidR="006E1FE1" w:rsidRDefault="006E1FE1">
      <w:pPr>
        <w:adjustRightInd w:val="0"/>
        <w:snapToGrid w:val="0"/>
        <w:spacing w:line="360" w:lineRule="auto"/>
        <w:rPr>
          <w:szCs w:val="21"/>
        </w:rPr>
      </w:pPr>
    </w:p>
    <w:p w:rsidR="006E1FE1" w:rsidRDefault="006E1FE1">
      <w:pPr>
        <w:adjustRightInd w:val="0"/>
        <w:snapToGrid w:val="0"/>
        <w:spacing w:line="360" w:lineRule="auto"/>
        <w:rPr>
          <w:szCs w:val="21"/>
        </w:rPr>
      </w:pPr>
    </w:p>
    <w:p w:rsidR="006E1FE1" w:rsidRDefault="006E1FE1">
      <w:pPr>
        <w:adjustRightInd w:val="0"/>
        <w:snapToGrid w:val="0"/>
        <w:spacing w:line="360" w:lineRule="auto"/>
        <w:rPr>
          <w:szCs w:val="21"/>
        </w:rPr>
      </w:pPr>
    </w:p>
    <w:p w:rsidR="006E1FE1" w:rsidRDefault="00F51CE7">
      <w:pPr>
        <w:adjustRightInd w:val="0"/>
        <w:snapToGrid w:val="0"/>
        <w:spacing w:line="360" w:lineRule="auto"/>
        <w:rPr>
          <w:bCs/>
          <w:szCs w:val="21"/>
        </w:rPr>
      </w:pPr>
      <w:r>
        <w:rPr>
          <w:rFonts w:hint="eastAsia"/>
          <w:bCs/>
          <w:szCs w:val="21"/>
        </w:rPr>
        <w:t>签订地点：中国北京</w:t>
      </w:r>
    </w:p>
    <w:p w:rsidR="006E1FE1" w:rsidRDefault="00F51CE7">
      <w:pPr>
        <w:adjustRightInd w:val="0"/>
        <w:snapToGrid w:val="0"/>
        <w:spacing w:line="360" w:lineRule="auto"/>
        <w:rPr>
          <w:szCs w:val="21"/>
        </w:rPr>
      </w:pPr>
      <w:r>
        <w:rPr>
          <w:rFonts w:hint="eastAsia"/>
          <w:bCs/>
          <w:szCs w:val="21"/>
        </w:rPr>
        <w:t>签订日期：</w:t>
      </w:r>
      <w:r w:rsidR="003F7BEA">
        <w:rPr>
          <w:rFonts w:hint="eastAsia"/>
          <w:bCs/>
          <w:szCs w:val="21"/>
        </w:rPr>
        <w:t xml:space="preserve">  </w:t>
      </w:r>
      <w:r w:rsidR="00BA16BF">
        <w:rPr>
          <w:rFonts w:hint="eastAsia"/>
          <w:bCs/>
          <w:szCs w:val="21"/>
        </w:rPr>
        <w:t xml:space="preserve">   </w:t>
      </w:r>
      <w:r>
        <w:rPr>
          <w:rFonts w:hint="eastAsia"/>
          <w:bCs/>
          <w:szCs w:val="21"/>
        </w:rPr>
        <w:t>年</w:t>
      </w:r>
      <w:r w:rsidR="00BA16BF">
        <w:rPr>
          <w:rFonts w:hint="eastAsia"/>
          <w:bCs/>
          <w:szCs w:val="21"/>
        </w:rPr>
        <w:t xml:space="preserve">   </w:t>
      </w:r>
      <w:r>
        <w:rPr>
          <w:rFonts w:hint="eastAsia"/>
          <w:bCs/>
          <w:szCs w:val="21"/>
        </w:rPr>
        <w:t>月</w:t>
      </w:r>
      <w:r w:rsidR="00BA16BF">
        <w:rPr>
          <w:rFonts w:hint="eastAsia"/>
          <w:bCs/>
          <w:szCs w:val="21"/>
        </w:rPr>
        <w:t xml:space="preserve">   </w:t>
      </w:r>
      <w:r>
        <w:rPr>
          <w:rFonts w:hint="eastAsia"/>
          <w:bCs/>
          <w:szCs w:val="21"/>
        </w:rPr>
        <w:t>日</w:t>
      </w:r>
    </w:p>
    <w:p w:rsidR="006E1FE1" w:rsidRDefault="006E1FE1">
      <w:pPr>
        <w:adjustRightInd w:val="0"/>
        <w:snapToGrid w:val="0"/>
        <w:spacing w:line="360" w:lineRule="auto"/>
        <w:ind w:firstLineChars="200" w:firstLine="420"/>
        <w:rPr>
          <w:bCs/>
          <w:szCs w:val="21"/>
        </w:rPr>
      </w:pPr>
    </w:p>
    <w:sectPr w:rsidR="006E1FE1">
      <w:headerReference w:type="default" r:id="rId14"/>
      <w:footerReference w:type="default" r:id="rId15"/>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D8" w:rsidRDefault="00235FD8">
      <w:r>
        <w:separator/>
      </w:r>
    </w:p>
  </w:endnote>
  <w:endnote w:type="continuationSeparator" w:id="0">
    <w:p w:rsidR="00235FD8" w:rsidRDefault="0023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c"/>
      <w:jc w:val="center"/>
    </w:pPr>
    <w:r>
      <w:rPr>
        <w:rFonts w:hint="eastAsia"/>
      </w:rPr>
      <w:t>4-</w:t>
    </w:r>
    <w:r>
      <w:fldChar w:fldCharType="begin"/>
    </w:r>
    <w:r>
      <w:instrText xml:space="preserve"> PAGE   \* MERGEFORMAT </w:instrText>
    </w:r>
    <w:r>
      <w:fldChar w:fldCharType="separate"/>
    </w:r>
    <w:r>
      <w:rPr>
        <w:lang w:val="zh-CN"/>
      </w:rPr>
      <w:t>2</w:t>
    </w:r>
    <w:r>
      <w:rPr>
        <w:lang w:val="zh-CN"/>
      </w:rPr>
      <w:fldChar w:fldCharType="end"/>
    </w:r>
  </w:p>
  <w:p w:rsidR="001A6E72" w:rsidRDefault="001A6E72">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c"/>
      <w:pBdr>
        <w:between w:val="none" w:sz="50" w:space="0" w:color="auto"/>
      </w:pBdr>
    </w:pPr>
  </w:p>
  <w:p w:rsidR="001A6E72" w:rsidRDefault="001A6E72">
    <w:pPr>
      <w:pStyle w:val="ac"/>
      <w:pBdr>
        <w:between w:val="none" w:sz="50" w:space="0" w:color="auto"/>
      </w:pBdr>
    </w:pPr>
  </w:p>
  <w:p w:rsidR="001A6E72" w:rsidRDefault="001A6E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c"/>
      <w:jc w:val="center"/>
    </w:pPr>
    <w:r>
      <w:fldChar w:fldCharType="begin"/>
    </w:r>
    <w:r>
      <w:instrText xml:space="preserve"> PAGE   \* MERGEFORMAT </w:instrText>
    </w:r>
    <w:r>
      <w:fldChar w:fldCharType="separate"/>
    </w:r>
    <w:r w:rsidR="006E3D59" w:rsidRPr="006E3D59">
      <w:rPr>
        <w:noProof/>
        <w:lang w:val="zh-CN"/>
      </w:rPr>
      <w:t>20</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D8" w:rsidRDefault="00235FD8">
      <w:r>
        <w:separator/>
      </w:r>
    </w:p>
  </w:footnote>
  <w:footnote w:type="continuationSeparator" w:id="0">
    <w:p w:rsidR="00235FD8" w:rsidRDefault="0023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e"/>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e"/>
      <w:pBdr>
        <w:bottom w:val="single" w:sz="6" w:space="1" w:color="auto"/>
      </w:pBdr>
      <w:tabs>
        <w:tab w:val="clear" w:pos="8280"/>
      </w:tabs>
      <w:wordWrap/>
      <w:adjustRightInd/>
    </w:pPr>
    <w:r>
      <w:rPr>
        <w:rFonts w:hint="eastAsia"/>
      </w:rPr>
      <w:t>南方创业板</w:t>
    </w:r>
    <w:r>
      <w:rPr>
        <w:rFonts w:hint="eastAsia"/>
      </w:rPr>
      <w:t>2</w:t>
    </w:r>
    <w:r>
      <w:rPr>
        <w:rFonts w:hint="eastAsia"/>
      </w:rPr>
      <w:t>年定期开放混合型证券投资基金基金合同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pPr>
      <w:pStyle w:val="ae"/>
      <w:pBdr>
        <w:bottom w:val="single" w:sz="6" w:space="1" w:color="auto"/>
      </w:pBdr>
      <w:tabs>
        <w:tab w:val="clear" w:pos="8280"/>
      </w:tabs>
      <w:wordWrap/>
      <w:adjustRightInd/>
    </w:pPr>
    <w:r>
      <w:rPr>
        <w:rFonts w:hint="eastAsia"/>
      </w:rPr>
      <w:t>南方创业板</w:t>
    </w:r>
    <w:r>
      <w:rPr>
        <w:rFonts w:hint="eastAsia"/>
      </w:rPr>
      <w:t>2</w:t>
    </w:r>
    <w:r>
      <w:rPr>
        <w:rFonts w:hint="eastAsia"/>
      </w:rPr>
      <w:t>年定期开放混合型证券投资基金基金合同</w:t>
    </w:r>
  </w:p>
  <w:p w:rsidR="001A6E72" w:rsidRDefault="001A6E72">
    <w:pPr>
      <w:pStyle w:val="ae"/>
      <w:pBdr>
        <w:bottom w:val="single" w:sz="6" w:space="1" w:color="auto"/>
      </w:pBdr>
      <w:tabs>
        <w:tab w:val="clear" w:pos="8280"/>
      </w:tabs>
      <w:wordWrap/>
      <w:adjustRightIn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1A6E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A"/>
    <w:rsid w:val="0000123A"/>
    <w:rsid w:val="000038CD"/>
    <w:rsid w:val="00003D1E"/>
    <w:rsid w:val="000042AE"/>
    <w:rsid w:val="000043C1"/>
    <w:rsid w:val="00005EFA"/>
    <w:rsid w:val="000073FF"/>
    <w:rsid w:val="000075FB"/>
    <w:rsid w:val="0001055E"/>
    <w:rsid w:val="00010FEF"/>
    <w:rsid w:val="000126A7"/>
    <w:rsid w:val="00012A6C"/>
    <w:rsid w:val="0001381D"/>
    <w:rsid w:val="00017435"/>
    <w:rsid w:val="000177D8"/>
    <w:rsid w:val="0002021D"/>
    <w:rsid w:val="00020341"/>
    <w:rsid w:val="00020572"/>
    <w:rsid w:val="00020CEF"/>
    <w:rsid w:val="00022423"/>
    <w:rsid w:val="000225AE"/>
    <w:rsid w:val="00022AC7"/>
    <w:rsid w:val="000241FD"/>
    <w:rsid w:val="00025008"/>
    <w:rsid w:val="00025060"/>
    <w:rsid w:val="000259F0"/>
    <w:rsid w:val="0002733A"/>
    <w:rsid w:val="00032AEC"/>
    <w:rsid w:val="00034E7E"/>
    <w:rsid w:val="00035DBE"/>
    <w:rsid w:val="0003681F"/>
    <w:rsid w:val="00036951"/>
    <w:rsid w:val="000370AE"/>
    <w:rsid w:val="00037AB2"/>
    <w:rsid w:val="0004067D"/>
    <w:rsid w:val="00040A5F"/>
    <w:rsid w:val="00041E0D"/>
    <w:rsid w:val="000422C9"/>
    <w:rsid w:val="00042D82"/>
    <w:rsid w:val="00045FD5"/>
    <w:rsid w:val="00051B35"/>
    <w:rsid w:val="00051CD0"/>
    <w:rsid w:val="000525B7"/>
    <w:rsid w:val="00053475"/>
    <w:rsid w:val="000538DF"/>
    <w:rsid w:val="00054B31"/>
    <w:rsid w:val="000551AA"/>
    <w:rsid w:val="000560C9"/>
    <w:rsid w:val="000568EF"/>
    <w:rsid w:val="0005754F"/>
    <w:rsid w:val="0006083B"/>
    <w:rsid w:val="00060B7C"/>
    <w:rsid w:val="0006350B"/>
    <w:rsid w:val="0006365F"/>
    <w:rsid w:val="000639B5"/>
    <w:rsid w:val="000640E0"/>
    <w:rsid w:val="000661F7"/>
    <w:rsid w:val="000665EC"/>
    <w:rsid w:val="00070819"/>
    <w:rsid w:val="00070DEA"/>
    <w:rsid w:val="000714B5"/>
    <w:rsid w:val="00072517"/>
    <w:rsid w:val="00075826"/>
    <w:rsid w:val="00076E2A"/>
    <w:rsid w:val="000821BD"/>
    <w:rsid w:val="00084751"/>
    <w:rsid w:val="00085197"/>
    <w:rsid w:val="00091726"/>
    <w:rsid w:val="00092938"/>
    <w:rsid w:val="000948AC"/>
    <w:rsid w:val="00094A60"/>
    <w:rsid w:val="000953BE"/>
    <w:rsid w:val="000A0122"/>
    <w:rsid w:val="000A052F"/>
    <w:rsid w:val="000A0C45"/>
    <w:rsid w:val="000A14EF"/>
    <w:rsid w:val="000A1979"/>
    <w:rsid w:val="000A2A13"/>
    <w:rsid w:val="000A4609"/>
    <w:rsid w:val="000A5C51"/>
    <w:rsid w:val="000A5C87"/>
    <w:rsid w:val="000A5EBC"/>
    <w:rsid w:val="000B3CA7"/>
    <w:rsid w:val="000B4702"/>
    <w:rsid w:val="000B5980"/>
    <w:rsid w:val="000B5C9B"/>
    <w:rsid w:val="000B63D5"/>
    <w:rsid w:val="000B689C"/>
    <w:rsid w:val="000B75D4"/>
    <w:rsid w:val="000C13BC"/>
    <w:rsid w:val="000C2447"/>
    <w:rsid w:val="000C421D"/>
    <w:rsid w:val="000C48BB"/>
    <w:rsid w:val="000C4CF7"/>
    <w:rsid w:val="000C68B7"/>
    <w:rsid w:val="000C69E0"/>
    <w:rsid w:val="000C75DC"/>
    <w:rsid w:val="000D0633"/>
    <w:rsid w:val="000E0262"/>
    <w:rsid w:val="000E1292"/>
    <w:rsid w:val="000E1303"/>
    <w:rsid w:val="000E2F85"/>
    <w:rsid w:val="000E3A5B"/>
    <w:rsid w:val="000E431C"/>
    <w:rsid w:val="000E57A5"/>
    <w:rsid w:val="000E656F"/>
    <w:rsid w:val="000E680E"/>
    <w:rsid w:val="000E7066"/>
    <w:rsid w:val="000F0E31"/>
    <w:rsid w:val="000F2F5A"/>
    <w:rsid w:val="000F303F"/>
    <w:rsid w:val="000F650C"/>
    <w:rsid w:val="000F7E5B"/>
    <w:rsid w:val="0010186E"/>
    <w:rsid w:val="001043A0"/>
    <w:rsid w:val="001049C0"/>
    <w:rsid w:val="001056EA"/>
    <w:rsid w:val="00107924"/>
    <w:rsid w:val="00110DEE"/>
    <w:rsid w:val="00111475"/>
    <w:rsid w:val="0011486E"/>
    <w:rsid w:val="00114AA1"/>
    <w:rsid w:val="0011505F"/>
    <w:rsid w:val="00116D44"/>
    <w:rsid w:val="00117887"/>
    <w:rsid w:val="00120D5C"/>
    <w:rsid w:val="001213C6"/>
    <w:rsid w:val="0012264F"/>
    <w:rsid w:val="00122B06"/>
    <w:rsid w:val="0012375B"/>
    <w:rsid w:val="00123963"/>
    <w:rsid w:val="00124DBA"/>
    <w:rsid w:val="00125784"/>
    <w:rsid w:val="001257DC"/>
    <w:rsid w:val="00125FE8"/>
    <w:rsid w:val="00126667"/>
    <w:rsid w:val="00130392"/>
    <w:rsid w:val="0013043F"/>
    <w:rsid w:val="00130DB2"/>
    <w:rsid w:val="001333A1"/>
    <w:rsid w:val="00133EC4"/>
    <w:rsid w:val="00134864"/>
    <w:rsid w:val="001350E4"/>
    <w:rsid w:val="0013515A"/>
    <w:rsid w:val="00135187"/>
    <w:rsid w:val="001361D7"/>
    <w:rsid w:val="0013620C"/>
    <w:rsid w:val="00140DE6"/>
    <w:rsid w:val="001432E8"/>
    <w:rsid w:val="00144C9F"/>
    <w:rsid w:val="001462E0"/>
    <w:rsid w:val="00146C72"/>
    <w:rsid w:val="0014762E"/>
    <w:rsid w:val="0014774D"/>
    <w:rsid w:val="00147ED0"/>
    <w:rsid w:val="00151331"/>
    <w:rsid w:val="00153559"/>
    <w:rsid w:val="001578F3"/>
    <w:rsid w:val="001615FF"/>
    <w:rsid w:val="00162F0B"/>
    <w:rsid w:val="00163062"/>
    <w:rsid w:val="001637B8"/>
    <w:rsid w:val="001675A7"/>
    <w:rsid w:val="001679A3"/>
    <w:rsid w:val="00170916"/>
    <w:rsid w:val="00170DDC"/>
    <w:rsid w:val="00170E91"/>
    <w:rsid w:val="00172471"/>
    <w:rsid w:val="00172980"/>
    <w:rsid w:val="00172A27"/>
    <w:rsid w:val="00172FC9"/>
    <w:rsid w:val="0017469C"/>
    <w:rsid w:val="00176156"/>
    <w:rsid w:val="00176554"/>
    <w:rsid w:val="00176BB4"/>
    <w:rsid w:val="00176C38"/>
    <w:rsid w:val="00177627"/>
    <w:rsid w:val="00181B22"/>
    <w:rsid w:val="00182D5F"/>
    <w:rsid w:val="001838CA"/>
    <w:rsid w:val="00183EDF"/>
    <w:rsid w:val="00185904"/>
    <w:rsid w:val="00187DCD"/>
    <w:rsid w:val="00191A8D"/>
    <w:rsid w:val="00192761"/>
    <w:rsid w:val="00192B37"/>
    <w:rsid w:val="00193568"/>
    <w:rsid w:val="0019466A"/>
    <w:rsid w:val="00195279"/>
    <w:rsid w:val="00195BB9"/>
    <w:rsid w:val="00196487"/>
    <w:rsid w:val="0019671E"/>
    <w:rsid w:val="00196837"/>
    <w:rsid w:val="00197B8C"/>
    <w:rsid w:val="001A30DB"/>
    <w:rsid w:val="001A4A6C"/>
    <w:rsid w:val="001A6E72"/>
    <w:rsid w:val="001A78A1"/>
    <w:rsid w:val="001B04BD"/>
    <w:rsid w:val="001B0519"/>
    <w:rsid w:val="001B0A2B"/>
    <w:rsid w:val="001B0FF6"/>
    <w:rsid w:val="001B1F1A"/>
    <w:rsid w:val="001B5A0A"/>
    <w:rsid w:val="001B7E29"/>
    <w:rsid w:val="001C2102"/>
    <w:rsid w:val="001C2FD5"/>
    <w:rsid w:val="001C35AB"/>
    <w:rsid w:val="001C5D06"/>
    <w:rsid w:val="001D0165"/>
    <w:rsid w:val="001D0C77"/>
    <w:rsid w:val="001D417F"/>
    <w:rsid w:val="001D451A"/>
    <w:rsid w:val="001D4551"/>
    <w:rsid w:val="001D5ED2"/>
    <w:rsid w:val="001D621D"/>
    <w:rsid w:val="001D6410"/>
    <w:rsid w:val="001D739E"/>
    <w:rsid w:val="001E0FB3"/>
    <w:rsid w:val="001E2C2F"/>
    <w:rsid w:val="001E2C55"/>
    <w:rsid w:val="001E69F3"/>
    <w:rsid w:val="001E6B4F"/>
    <w:rsid w:val="001E6CF5"/>
    <w:rsid w:val="001F027E"/>
    <w:rsid w:val="001F03E0"/>
    <w:rsid w:val="001F264B"/>
    <w:rsid w:val="001F27FF"/>
    <w:rsid w:val="001F3C20"/>
    <w:rsid w:val="001F46F1"/>
    <w:rsid w:val="001F4B31"/>
    <w:rsid w:val="001F5A18"/>
    <w:rsid w:val="001F5B04"/>
    <w:rsid w:val="001F6395"/>
    <w:rsid w:val="001F65DB"/>
    <w:rsid w:val="001F687E"/>
    <w:rsid w:val="001F6B86"/>
    <w:rsid w:val="002042BC"/>
    <w:rsid w:val="00205185"/>
    <w:rsid w:val="0020605F"/>
    <w:rsid w:val="00207AD1"/>
    <w:rsid w:val="00210B24"/>
    <w:rsid w:val="00210F38"/>
    <w:rsid w:val="002140E3"/>
    <w:rsid w:val="002141B1"/>
    <w:rsid w:val="00220001"/>
    <w:rsid w:val="00222536"/>
    <w:rsid w:val="00222869"/>
    <w:rsid w:val="00222EBB"/>
    <w:rsid w:val="0023075F"/>
    <w:rsid w:val="00231248"/>
    <w:rsid w:val="0023130A"/>
    <w:rsid w:val="00231BE4"/>
    <w:rsid w:val="0023421C"/>
    <w:rsid w:val="002347DD"/>
    <w:rsid w:val="00234A5F"/>
    <w:rsid w:val="00235FD8"/>
    <w:rsid w:val="00240242"/>
    <w:rsid w:val="0024081B"/>
    <w:rsid w:val="00240FF0"/>
    <w:rsid w:val="002417D5"/>
    <w:rsid w:val="00241DD6"/>
    <w:rsid w:val="00242CB3"/>
    <w:rsid w:val="00242FCE"/>
    <w:rsid w:val="00244EEE"/>
    <w:rsid w:val="00245FB2"/>
    <w:rsid w:val="0024638E"/>
    <w:rsid w:val="0024735E"/>
    <w:rsid w:val="00252C83"/>
    <w:rsid w:val="00254E64"/>
    <w:rsid w:val="00255D7F"/>
    <w:rsid w:val="00257F04"/>
    <w:rsid w:val="00260173"/>
    <w:rsid w:val="002627D1"/>
    <w:rsid w:val="00262BF2"/>
    <w:rsid w:val="00264E6F"/>
    <w:rsid w:val="002676B7"/>
    <w:rsid w:val="002701EE"/>
    <w:rsid w:val="002702CA"/>
    <w:rsid w:val="00275887"/>
    <w:rsid w:val="00276495"/>
    <w:rsid w:val="0027667A"/>
    <w:rsid w:val="0027737B"/>
    <w:rsid w:val="00280043"/>
    <w:rsid w:val="0028005B"/>
    <w:rsid w:val="00280E23"/>
    <w:rsid w:val="00281DD7"/>
    <w:rsid w:val="00282D21"/>
    <w:rsid w:val="00283647"/>
    <w:rsid w:val="00284BA3"/>
    <w:rsid w:val="00287069"/>
    <w:rsid w:val="00293EE2"/>
    <w:rsid w:val="00294606"/>
    <w:rsid w:val="00295A97"/>
    <w:rsid w:val="002966A9"/>
    <w:rsid w:val="002A0306"/>
    <w:rsid w:val="002A0EB6"/>
    <w:rsid w:val="002A2993"/>
    <w:rsid w:val="002A3F46"/>
    <w:rsid w:val="002A4168"/>
    <w:rsid w:val="002A4205"/>
    <w:rsid w:val="002A666F"/>
    <w:rsid w:val="002B0DB5"/>
    <w:rsid w:val="002B2864"/>
    <w:rsid w:val="002B2FA4"/>
    <w:rsid w:val="002B385C"/>
    <w:rsid w:val="002B3A18"/>
    <w:rsid w:val="002B41C8"/>
    <w:rsid w:val="002B42AE"/>
    <w:rsid w:val="002B44AE"/>
    <w:rsid w:val="002C295C"/>
    <w:rsid w:val="002C3885"/>
    <w:rsid w:val="002C4742"/>
    <w:rsid w:val="002C4B8E"/>
    <w:rsid w:val="002C5005"/>
    <w:rsid w:val="002C6692"/>
    <w:rsid w:val="002C684A"/>
    <w:rsid w:val="002C68C2"/>
    <w:rsid w:val="002C69D0"/>
    <w:rsid w:val="002C7457"/>
    <w:rsid w:val="002C7C57"/>
    <w:rsid w:val="002D1761"/>
    <w:rsid w:val="002D1B40"/>
    <w:rsid w:val="002D3623"/>
    <w:rsid w:val="002D5269"/>
    <w:rsid w:val="002D52E2"/>
    <w:rsid w:val="002D6E34"/>
    <w:rsid w:val="002D796C"/>
    <w:rsid w:val="002D7BA1"/>
    <w:rsid w:val="002E0F04"/>
    <w:rsid w:val="002E1B13"/>
    <w:rsid w:val="002E3B1B"/>
    <w:rsid w:val="002E538F"/>
    <w:rsid w:val="002E7697"/>
    <w:rsid w:val="002E79CE"/>
    <w:rsid w:val="002F1C9A"/>
    <w:rsid w:val="002F3313"/>
    <w:rsid w:val="002F7A77"/>
    <w:rsid w:val="00300DDF"/>
    <w:rsid w:val="00300F32"/>
    <w:rsid w:val="00302169"/>
    <w:rsid w:val="00302A80"/>
    <w:rsid w:val="003030F0"/>
    <w:rsid w:val="0030596A"/>
    <w:rsid w:val="00305985"/>
    <w:rsid w:val="003104B6"/>
    <w:rsid w:val="00311F7E"/>
    <w:rsid w:val="00313711"/>
    <w:rsid w:val="00313890"/>
    <w:rsid w:val="00314389"/>
    <w:rsid w:val="00314547"/>
    <w:rsid w:val="00314F9E"/>
    <w:rsid w:val="003152BB"/>
    <w:rsid w:val="00316B46"/>
    <w:rsid w:val="003209FE"/>
    <w:rsid w:val="00321310"/>
    <w:rsid w:val="003220D9"/>
    <w:rsid w:val="00322C29"/>
    <w:rsid w:val="0032794D"/>
    <w:rsid w:val="003300D1"/>
    <w:rsid w:val="0033083F"/>
    <w:rsid w:val="0033094E"/>
    <w:rsid w:val="00331E9D"/>
    <w:rsid w:val="00332256"/>
    <w:rsid w:val="00333867"/>
    <w:rsid w:val="00333A69"/>
    <w:rsid w:val="00334CF0"/>
    <w:rsid w:val="00335C7B"/>
    <w:rsid w:val="0033707B"/>
    <w:rsid w:val="003410DA"/>
    <w:rsid w:val="00343540"/>
    <w:rsid w:val="0034695B"/>
    <w:rsid w:val="0034714C"/>
    <w:rsid w:val="003474CA"/>
    <w:rsid w:val="0034774B"/>
    <w:rsid w:val="003515CF"/>
    <w:rsid w:val="00351D3D"/>
    <w:rsid w:val="00353049"/>
    <w:rsid w:val="003530A3"/>
    <w:rsid w:val="00353983"/>
    <w:rsid w:val="00353E06"/>
    <w:rsid w:val="00355FA5"/>
    <w:rsid w:val="00356558"/>
    <w:rsid w:val="0035748C"/>
    <w:rsid w:val="0036040A"/>
    <w:rsid w:val="00360E6A"/>
    <w:rsid w:val="00361283"/>
    <w:rsid w:val="00362350"/>
    <w:rsid w:val="003646F6"/>
    <w:rsid w:val="0036479F"/>
    <w:rsid w:val="00364C49"/>
    <w:rsid w:val="003659BA"/>
    <w:rsid w:val="00367417"/>
    <w:rsid w:val="0037096A"/>
    <w:rsid w:val="00371593"/>
    <w:rsid w:val="0037208B"/>
    <w:rsid w:val="00372A9B"/>
    <w:rsid w:val="00373FE9"/>
    <w:rsid w:val="0037432A"/>
    <w:rsid w:val="00374B83"/>
    <w:rsid w:val="003801EF"/>
    <w:rsid w:val="003818D8"/>
    <w:rsid w:val="0038368C"/>
    <w:rsid w:val="00383F62"/>
    <w:rsid w:val="003846D4"/>
    <w:rsid w:val="003852D2"/>
    <w:rsid w:val="00390329"/>
    <w:rsid w:val="00390B11"/>
    <w:rsid w:val="00394A60"/>
    <w:rsid w:val="00395F7C"/>
    <w:rsid w:val="00396DCA"/>
    <w:rsid w:val="00397DE0"/>
    <w:rsid w:val="003A19B1"/>
    <w:rsid w:val="003A4FDD"/>
    <w:rsid w:val="003A5622"/>
    <w:rsid w:val="003A5A96"/>
    <w:rsid w:val="003A5EC5"/>
    <w:rsid w:val="003A5F31"/>
    <w:rsid w:val="003A7170"/>
    <w:rsid w:val="003A72C3"/>
    <w:rsid w:val="003B14AD"/>
    <w:rsid w:val="003B2933"/>
    <w:rsid w:val="003B2E9B"/>
    <w:rsid w:val="003B2EBF"/>
    <w:rsid w:val="003B2F94"/>
    <w:rsid w:val="003B4094"/>
    <w:rsid w:val="003B4179"/>
    <w:rsid w:val="003B5926"/>
    <w:rsid w:val="003B5973"/>
    <w:rsid w:val="003B6462"/>
    <w:rsid w:val="003B73E7"/>
    <w:rsid w:val="003C0322"/>
    <w:rsid w:val="003C080E"/>
    <w:rsid w:val="003C08D7"/>
    <w:rsid w:val="003C0D31"/>
    <w:rsid w:val="003C0E07"/>
    <w:rsid w:val="003C18A8"/>
    <w:rsid w:val="003C1F4F"/>
    <w:rsid w:val="003C21B0"/>
    <w:rsid w:val="003C24D4"/>
    <w:rsid w:val="003D0E2D"/>
    <w:rsid w:val="003D3119"/>
    <w:rsid w:val="003D342A"/>
    <w:rsid w:val="003D3EF2"/>
    <w:rsid w:val="003D45C2"/>
    <w:rsid w:val="003D4928"/>
    <w:rsid w:val="003D6DB6"/>
    <w:rsid w:val="003D6FCD"/>
    <w:rsid w:val="003D77BB"/>
    <w:rsid w:val="003D7963"/>
    <w:rsid w:val="003D7DA6"/>
    <w:rsid w:val="003E0410"/>
    <w:rsid w:val="003E07F3"/>
    <w:rsid w:val="003E1D52"/>
    <w:rsid w:val="003E2A6C"/>
    <w:rsid w:val="003E2BA1"/>
    <w:rsid w:val="003E5908"/>
    <w:rsid w:val="003E597C"/>
    <w:rsid w:val="003F10AD"/>
    <w:rsid w:val="003F3437"/>
    <w:rsid w:val="003F419C"/>
    <w:rsid w:val="003F443E"/>
    <w:rsid w:val="003F4BF5"/>
    <w:rsid w:val="003F635F"/>
    <w:rsid w:val="003F6AE4"/>
    <w:rsid w:val="003F6D12"/>
    <w:rsid w:val="003F7BEA"/>
    <w:rsid w:val="004000B3"/>
    <w:rsid w:val="004019D3"/>
    <w:rsid w:val="00401F32"/>
    <w:rsid w:val="004029BA"/>
    <w:rsid w:val="00403AC3"/>
    <w:rsid w:val="00405767"/>
    <w:rsid w:val="00410FE9"/>
    <w:rsid w:val="00411144"/>
    <w:rsid w:val="00411DEA"/>
    <w:rsid w:val="00412179"/>
    <w:rsid w:val="00412A98"/>
    <w:rsid w:val="00412CFE"/>
    <w:rsid w:val="0041323B"/>
    <w:rsid w:val="00415CFC"/>
    <w:rsid w:val="00416131"/>
    <w:rsid w:val="004167AD"/>
    <w:rsid w:val="00417CCF"/>
    <w:rsid w:val="004234B1"/>
    <w:rsid w:val="00424B64"/>
    <w:rsid w:val="00424D23"/>
    <w:rsid w:val="00424E92"/>
    <w:rsid w:val="00425064"/>
    <w:rsid w:val="00425157"/>
    <w:rsid w:val="00425500"/>
    <w:rsid w:val="004256E2"/>
    <w:rsid w:val="004265CC"/>
    <w:rsid w:val="00426B81"/>
    <w:rsid w:val="00426CF6"/>
    <w:rsid w:val="004272B1"/>
    <w:rsid w:val="00427347"/>
    <w:rsid w:val="00427C41"/>
    <w:rsid w:val="00432A7D"/>
    <w:rsid w:val="00434F56"/>
    <w:rsid w:val="0043674B"/>
    <w:rsid w:val="00436DF3"/>
    <w:rsid w:val="00440919"/>
    <w:rsid w:val="00442EF3"/>
    <w:rsid w:val="00443727"/>
    <w:rsid w:val="00443B15"/>
    <w:rsid w:val="00443D03"/>
    <w:rsid w:val="00445B9F"/>
    <w:rsid w:val="004464C0"/>
    <w:rsid w:val="00447A40"/>
    <w:rsid w:val="00447CB8"/>
    <w:rsid w:val="004501F8"/>
    <w:rsid w:val="004510A3"/>
    <w:rsid w:val="004523A8"/>
    <w:rsid w:val="0045362D"/>
    <w:rsid w:val="00453A3B"/>
    <w:rsid w:val="00455109"/>
    <w:rsid w:val="00456608"/>
    <w:rsid w:val="00457082"/>
    <w:rsid w:val="00457A89"/>
    <w:rsid w:val="00460289"/>
    <w:rsid w:val="004605FD"/>
    <w:rsid w:val="00460E64"/>
    <w:rsid w:val="004625EA"/>
    <w:rsid w:val="00463A26"/>
    <w:rsid w:val="0046453A"/>
    <w:rsid w:val="00464580"/>
    <w:rsid w:val="00464884"/>
    <w:rsid w:val="00464991"/>
    <w:rsid w:val="00464E7B"/>
    <w:rsid w:val="004650EE"/>
    <w:rsid w:val="0046777C"/>
    <w:rsid w:val="00470E78"/>
    <w:rsid w:val="00471B29"/>
    <w:rsid w:val="00471C6A"/>
    <w:rsid w:val="00473C28"/>
    <w:rsid w:val="00473D32"/>
    <w:rsid w:val="00474761"/>
    <w:rsid w:val="00475013"/>
    <w:rsid w:val="00475040"/>
    <w:rsid w:val="00476276"/>
    <w:rsid w:val="0047712D"/>
    <w:rsid w:val="00481F3B"/>
    <w:rsid w:val="004827A7"/>
    <w:rsid w:val="00482E7C"/>
    <w:rsid w:val="00484106"/>
    <w:rsid w:val="0048696B"/>
    <w:rsid w:val="00486D65"/>
    <w:rsid w:val="00487B52"/>
    <w:rsid w:val="00490306"/>
    <w:rsid w:val="004905BB"/>
    <w:rsid w:val="004909D4"/>
    <w:rsid w:val="00493B67"/>
    <w:rsid w:val="00494C09"/>
    <w:rsid w:val="00496353"/>
    <w:rsid w:val="004A0379"/>
    <w:rsid w:val="004A2C92"/>
    <w:rsid w:val="004A35A1"/>
    <w:rsid w:val="004A3645"/>
    <w:rsid w:val="004A55F4"/>
    <w:rsid w:val="004A7D1E"/>
    <w:rsid w:val="004B14ED"/>
    <w:rsid w:val="004B202C"/>
    <w:rsid w:val="004B39CA"/>
    <w:rsid w:val="004B50E6"/>
    <w:rsid w:val="004B68A3"/>
    <w:rsid w:val="004C22FF"/>
    <w:rsid w:val="004C2FA9"/>
    <w:rsid w:val="004C3135"/>
    <w:rsid w:val="004C3B77"/>
    <w:rsid w:val="004C6326"/>
    <w:rsid w:val="004C7DC2"/>
    <w:rsid w:val="004D00B3"/>
    <w:rsid w:val="004D0517"/>
    <w:rsid w:val="004D0795"/>
    <w:rsid w:val="004D08AD"/>
    <w:rsid w:val="004D200A"/>
    <w:rsid w:val="004D26A4"/>
    <w:rsid w:val="004D27FE"/>
    <w:rsid w:val="004D3822"/>
    <w:rsid w:val="004D4359"/>
    <w:rsid w:val="004D4B82"/>
    <w:rsid w:val="004D53E0"/>
    <w:rsid w:val="004D5B9F"/>
    <w:rsid w:val="004D5F19"/>
    <w:rsid w:val="004D6745"/>
    <w:rsid w:val="004D7027"/>
    <w:rsid w:val="004D7394"/>
    <w:rsid w:val="004D79B8"/>
    <w:rsid w:val="004E129B"/>
    <w:rsid w:val="004E3011"/>
    <w:rsid w:val="004E3CEE"/>
    <w:rsid w:val="004E4155"/>
    <w:rsid w:val="004E5A2E"/>
    <w:rsid w:val="004E7450"/>
    <w:rsid w:val="004E7B92"/>
    <w:rsid w:val="004E7D19"/>
    <w:rsid w:val="004E7F52"/>
    <w:rsid w:val="004F0DAB"/>
    <w:rsid w:val="004F1CF5"/>
    <w:rsid w:val="004F206F"/>
    <w:rsid w:val="004F2CCA"/>
    <w:rsid w:val="004F3509"/>
    <w:rsid w:val="004F4545"/>
    <w:rsid w:val="004F5052"/>
    <w:rsid w:val="004F6166"/>
    <w:rsid w:val="004F6818"/>
    <w:rsid w:val="004F6CB6"/>
    <w:rsid w:val="004F70F6"/>
    <w:rsid w:val="0050070E"/>
    <w:rsid w:val="00500A82"/>
    <w:rsid w:val="005015B4"/>
    <w:rsid w:val="005023C7"/>
    <w:rsid w:val="00503021"/>
    <w:rsid w:val="00503B61"/>
    <w:rsid w:val="005040D4"/>
    <w:rsid w:val="0050604E"/>
    <w:rsid w:val="005071F5"/>
    <w:rsid w:val="0050723E"/>
    <w:rsid w:val="00507730"/>
    <w:rsid w:val="005112EF"/>
    <w:rsid w:val="005117B3"/>
    <w:rsid w:val="00511FC0"/>
    <w:rsid w:val="00512F55"/>
    <w:rsid w:val="00514121"/>
    <w:rsid w:val="00520318"/>
    <w:rsid w:val="00521B8F"/>
    <w:rsid w:val="0052393B"/>
    <w:rsid w:val="0052579B"/>
    <w:rsid w:val="00526DF1"/>
    <w:rsid w:val="0052708B"/>
    <w:rsid w:val="005273BD"/>
    <w:rsid w:val="00532165"/>
    <w:rsid w:val="00532326"/>
    <w:rsid w:val="00534154"/>
    <w:rsid w:val="0053474B"/>
    <w:rsid w:val="00534B9F"/>
    <w:rsid w:val="005354AB"/>
    <w:rsid w:val="00536B9C"/>
    <w:rsid w:val="005406C6"/>
    <w:rsid w:val="00540DB9"/>
    <w:rsid w:val="0054124C"/>
    <w:rsid w:val="00541A35"/>
    <w:rsid w:val="00541B4B"/>
    <w:rsid w:val="005429D4"/>
    <w:rsid w:val="0054458B"/>
    <w:rsid w:val="005446F2"/>
    <w:rsid w:val="00546B47"/>
    <w:rsid w:val="0055044B"/>
    <w:rsid w:val="00550708"/>
    <w:rsid w:val="0055294C"/>
    <w:rsid w:val="00555902"/>
    <w:rsid w:val="00555D4D"/>
    <w:rsid w:val="00555F0F"/>
    <w:rsid w:val="00557109"/>
    <w:rsid w:val="0055728E"/>
    <w:rsid w:val="005576C4"/>
    <w:rsid w:val="00561BD1"/>
    <w:rsid w:val="005645BD"/>
    <w:rsid w:val="00564F5F"/>
    <w:rsid w:val="00564F7D"/>
    <w:rsid w:val="005663E8"/>
    <w:rsid w:val="00567B97"/>
    <w:rsid w:val="005710F1"/>
    <w:rsid w:val="00573932"/>
    <w:rsid w:val="00574129"/>
    <w:rsid w:val="00574750"/>
    <w:rsid w:val="00575B42"/>
    <w:rsid w:val="005766CE"/>
    <w:rsid w:val="00576DE2"/>
    <w:rsid w:val="00576F56"/>
    <w:rsid w:val="0057788E"/>
    <w:rsid w:val="00580A20"/>
    <w:rsid w:val="00580C85"/>
    <w:rsid w:val="00580D1B"/>
    <w:rsid w:val="00581675"/>
    <w:rsid w:val="00585A15"/>
    <w:rsid w:val="005861A6"/>
    <w:rsid w:val="00586919"/>
    <w:rsid w:val="00587092"/>
    <w:rsid w:val="00591187"/>
    <w:rsid w:val="00592067"/>
    <w:rsid w:val="00592FC3"/>
    <w:rsid w:val="00593AE9"/>
    <w:rsid w:val="00594378"/>
    <w:rsid w:val="005969D1"/>
    <w:rsid w:val="005971FC"/>
    <w:rsid w:val="00597F25"/>
    <w:rsid w:val="005A31A6"/>
    <w:rsid w:val="005A3A11"/>
    <w:rsid w:val="005A531B"/>
    <w:rsid w:val="005A5EF3"/>
    <w:rsid w:val="005A79AD"/>
    <w:rsid w:val="005A7D1D"/>
    <w:rsid w:val="005A7D9E"/>
    <w:rsid w:val="005B006B"/>
    <w:rsid w:val="005B030B"/>
    <w:rsid w:val="005B122F"/>
    <w:rsid w:val="005B1720"/>
    <w:rsid w:val="005B23F7"/>
    <w:rsid w:val="005B5E70"/>
    <w:rsid w:val="005B6066"/>
    <w:rsid w:val="005B6BE2"/>
    <w:rsid w:val="005B6ED6"/>
    <w:rsid w:val="005B713B"/>
    <w:rsid w:val="005C1A54"/>
    <w:rsid w:val="005C2506"/>
    <w:rsid w:val="005C26B8"/>
    <w:rsid w:val="005C32B9"/>
    <w:rsid w:val="005C3935"/>
    <w:rsid w:val="005C4235"/>
    <w:rsid w:val="005C74E0"/>
    <w:rsid w:val="005C7BE5"/>
    <w:rsid w:val="005D0483"/>
    <w:rsid w:val="005D04F5"/>
    <w:rsid w:val="005D1735"/>
    <w:rsid w:val="005D19C7"/>
    <w:rsid w:val="005D19DD"/>
    <w:rsid w:val="005D2424"/>
    <w:rsid w:val="005D29BD"/>
    <w:rsid w:val="005D3134"/>
    <w:rsid w:val="005D385C"/>
    <w:rsid w:val="005D5DAA"/>
    <w:rsid w:val="005D6F66"/>
    <w:rsid w:val="005D7775"/>
    <w:rsid w:val="005E01FB"/>
    <w:rsid w:val="005E0D42"/>
    <w:rsid w:val="005E0E1E"/>
    <w:rsid w:val="005E38F5"/>
    <w:rsid w:val="005E3CC5"/>
    <w:rsid w:val="005E3E48"/>
    <w:rsid w:val="005E7183"/>
    <w:rsid w:val="005E7454"/>
    <w:rsid w:val="005F08EC"/>
    <w:rsid w:val="005F1508"/>
    <w:rsid w:val="005F376E"/>
    <w:rsid w:val="005F51E6"/>
    <w:rsid w:val="005F5245"/>
    <w:rsid w:val="005F5928"/>
    <w:rsid w:val="005F592D"/>
    <w:rsid w:val="005F5949"/>
    <w:rsid w:val="005F7EC4"/>
    <w:rsid w:val="006000E8"/>
    <w:rsid w:val="0060079E"/>
    <w:rsid w:val="00601347"/>
    <w:rsid w:val="00602004"/>
    <w:rsid w:val="0060260B"/>
    <w:rsid w:val="006042C2"/>
    <w:rsid w:val="006045E6"/>
    <w:rsid w:val="0060632B"/>
    <w:rsid w:val="00607B0C"/>
    <w:rsid w:val="00607C6B"/>
    <w:rsid w:val="00610139"/>
    <w:rsid w:val="00610213"/>
    <w:rsid w:val="0061071B"/>
    <w:rsid w:val="00611764"/>
    <w:rsid w:val="00611942"/>
    <w:rsid w:val="006137B3"/>
    <w:rsid w:val="00614998"/>
    <w:rsid w:val="00617F72"/>
    <w:rsid w:val="00620574"/>
    <w:rsid w:val="006206CA"/>
    <w:rsid w:val="00621D95"/>
    <w:rsid w:val="006222BD"/>
    <w:rsid w:val="00622FFA"/>
    <w:rsid w:val="0062363D"/>
    <w:rsid w:val="00624062"/>
    <w:rsid w:val="00626503"/>
    <w:rsid w:val="006272F1"/>
    <w:rsid w:val="0063269A"/>
    <w:rsid w:val="006336C5"/>
    <w:rsid w:val="00633DD9"/>
    <w:rsid w:val="00635002"/>
    <w:rsid w:val="006354D8"/>
    <w:rsid w:val="00635E9C"/>
    <w:rsid w:val="00636A98"/>
    <w:rsid w:val="00636EB4"/>
    <w:rsid w:val="0063708D"/>
    <w:rsid w:val="006373D6"/>
    <w:rsid w:val="00641008"/>
    <w:rsid w:val="00641700"/>
    <w:rsid w:val="006420E5"/>
    <w:rsid w:val="006424FD"/>
    <w:rsid w:val="00643ADB"/>
    <w:rsid w:val="00644026"/>
    <w:rsid w:val="00644170"/>
    <w:rsid w:val="00644827"/>
    <w:rsid w:val="00644A3F"/>
    <w:rsid w:val="00645FBB"/>
    <w:rsid w:val="006472F5"/>
    <w:rsid w:val="00651A49"/>
    <w:rsid w:val="00651C05"/>
    <w:rsid w:val="00654A31"/>
    <w:rsid w:val="006563F8"/>
    <w:rsid w:val="006564CA"/>
    <w:rsid w:val="00657944"/>
    <w:rsid w:val="006603C5"/>
    <w:rsid w:val="00660596"/>
    <w:rsid w:val="0066096A"/>
    <w:rsid w:val="00663B7D"/>
    <w:rsid w:val="00666714"/>
    <w:rsid w:val="006704C9"/>
    <w:rsid w:val="0067089A"/>
    <w:rsid w:val="00670ECA"/>
    <w:rsid w:val="006717E4"/>
    <w:rsid w:val="00674017"/>
    <w:rsid w:val="00676398"/>
    <w:rsid w:val="00680488"/>
    <w:rsid w:val="00680BE6"/>
    <w:rsid w:val="00680F7F"/>
    <w:rsid w:val="00682891"/>
    <w:rsid w:val="006830C2"/>
    <w:rsid w:val="0068429B"/>
    <w:rsid w:val="0068443A"/>
    <w:rsid w:val="006844CF"/>
    <w:rsid w:val="00684834"/>
    <w:rsid w:val="00684E6C"/>
    <w:rsid w:val="006855EB"/>
    <w:rsid w:val="006902B6"/>
    <w:rsid w:val="00690B1B"/>
    <w:rsid w:val="006919B3"/>
    <w:rsid w:val="00692107"/>
    <w:rsid w:val="0069217E"/>
    <w:rsid w:val="00693C99"/>
    <w:rsid w:val="00693D92"/>
    <w:rsid w:val="00694958"/>
    <w:rsid w:val="00697353"/>
    <w:rsid w:val="006A434C"/>
    <w:rsid w:val="006A580A"/>
    <w:rsid w:val="006A73A3"/>
    <w:rsid w:val="006B20CC"/>
    <w:rsid w:val="006B219E"/>
    <w:rsid w:val="006B33A5"/>
    <w:rsid w:val="006B4F0E"/>
    <w:rsid w:val="006B539F"/>
    <w:rsid w:val="006B7017"/>
    <w:rsid w:val="006B7E1E"/>
    <w:rsid w:val="006C13E1"/>
    <w:rsid w:val="006C183C"/>
    <w:rsid w:val="006C29F0"/>
    <w:rsid w:val="006C51C4"/>
    <w:rsid w:val="006C6637"/>
    <w:rsid w:val="006D43F5"/>
    <w:rsid w:val="006D442A"/>
    <w:rsid w:val="006D5BE6"/>
    <w:rsid w:val="006D7889"/>
    <w:rsid w:val="006D7F44"/>
    <w:rsid w:val="006E1FE1"/>
    <w:rsid w:val="006E38F1"/>
    <w:rsid w:val="006E3D59"/>
    <w:rsid w:val="006E4E31"/>
    <w:rsid w:val="006E566B"/>
    <w:rsid w:val="006E5698"/>
    <w:rsid w:val="006E5E28"/>
    <w:rsid w:val="006E600B"/>
    <w:rsid w:val="006E6340"/>
    <w:rsid w:val="006E6E29"/>
    <w:rsid w:val="006F2B98"/>
    <w:rsid w:val="006F3E82"/>
    <w:rsid w:val="006F6111"/>
    <w:rsid w:val="006F714E"/>
    <w:rsid w:val="006F7887"/>
    <w:rsid w:val="00700E76"/>
    <w:rsid w:val="00701A09"/>
    <w:rsid w:val="00702363"/>
    <w:rsid w:val="00704DF4"/>
    <w:rsid w:val="007050CA"/>
    <w:rsid w:val="0070522F"/>
    <w:rsid w:val="00706292"/>
    <w:rsid w:val="007077A4"/>
    <w:rsid w:val="00712A74"/>
    <w:rsid w:val="00713D88"/>
    <w:rsid w:val="0071573C"/>
    <w:rsid w:val="0072013B"/>
    <w:rsid w:val="00720370"/>
    <w:rsid w:val="00720A1A"/>
    <w:rsid w:val="0072305C"/>
    <w:rsid w:val="007233A2"/>
    <w:rsid w:val="00723AF7"/>
    <w:rsid w:val="00725930"/>
    <w:rsid w:val="00725CD4"/>
    <w:rsid w:val="00726164"/>
    <w:rsid w:val="007316DA"/>
    <w:rsid w:val="00732527"/>
    <w:rsid w:val="00733D30"/>
    <w:rsid w:val="00734026"/>
    <w:rsid w:val="007401C5"/>
    <w:rsid w:val="00741040"/>
    <w:rsid w:val="007426C9"/>
    <w:rsid w:val="007429DF"/>
    <w:rsid w:val="00742C81"/>
    <w:rsid w:val="00742CB9"/>
    <w:rsid w:val="00743515"/>
    <w:rsid w:val="00743909"/>
    <w:rsid w:val="007447A5"/>
    <w:rsid w:val="00746DF3"/>
    <w:rsid w:val="00747205"/>
    <w:rsid w:val="00747636"/>
    <w:rsid w:val="00750C41"/>
    <w:rsid w:val="007548F1"/>
    <w:rsid w:val="0075524C"/>
    <w:rsid w:val="007560A2"/>
    <w:rsid w:val="00757303"/>
    <w:rsid w:val="00761A42"/>
    <w:rsid w:val="0076204B"/>
    <w:rsid w:val="00762D59"/>
    <w:rsid w:val="0076338E"/>
    <w:rsid w:val="007641E7"/>
    <w:rsid w:val="0076490D"/>
    <w:rsid w:val="00765812"/>
    <w:rsid w:val="00765B3B"/>
    <w:rsid w:val="00770465"/>
    <w:rsid w:val="007728DF"/>
    <w:rsid w:val="00772A59"/>
    <w:rsid w:val="00772D9A"/>
    <w:rsid w:val="007745F1"/>
    <w:rsid w:val="00775405"/>
    <w:rsid w:val="00776741"/>
    <w:rsid w:val="00776E83"/>
    <w:rsid w:val="00781818"/>
    <w:rsid w:val="00782C8A"/>
    <w:rsid w:val="00785F2E"/>
    <w:rsid w:val="007866F1"/>
    <w:rsid w:val="007870AF"/>
    <w:rsid w:val="00787ABA"/>
    <w:rsid w:val="007910B6"/>
    <w:rsid w:val="0079258D"/>
    <w:rsid w:val="007931E8"/>
    <w:rsid w:val="00794806"/>
    <w:rsid w:val="00794BA2"/>
    <w:rsid w:val="00795803"/>
    <w:rsid w:val="007958E2"/>
    <w:rsid w:val="00795A98"/>
    <w:rsid w:val="00797AC3"/>
    <w:rsid w:val="007A314E"/>
    <w:rsid w:val="007A3852"/>
    <w:rsid w:val="007A394B"/>
    <w:rsid w:val="007A45C3"/>
    <w:rsid w:val="007A62A5"/>
    <w:rsid w:val="007B05EF"/>
    <w:rsid w:val="007B1C90"/>
    <w:rsid w:val="007B343C"/>
    <w:rsid w:val="007B391C"/>
    <w:rsid w:val="007B41B2"/>
    <w:rsid w:val="007B5B22"/>
    <w:rsid w:val="007B648B"/>
    <w:rsid w:val="007B6689"/>
    <w:rsid w:val="007B671A"/>
    <w:rsid w:val="007B7EAE"/>
    <w:rsid w:val="007C35EC"/>
    <w:rsid w:val="007C3B34"/>
    <w:rsid w:val="007C3BF0"/>
    <w:rsid w:val="007C3C15"/>
    <w:rsid w:val="007C4090"/>
    <w:rsid w:val="007C567B"/>
    <w:rsid w:val="007C7351"/>
    <w:rsid w:val="007C7D51"/>
    <w:rsid w:val="007D028D"/>
    <w:rsid w:val="007D1190"/>
    <w:rsid w:val="007D18EA"/>
    <w:rsid w:val="007D2781"/>
    <w:rsid w:val="007D29EF"/>
    <w:rsid w:val="007D3461"/>
    <w:rsid w:val="007D4971"/>
    <w:rsid w:val="007E0D22"/>
    <w:rsid w:val="007E16DE"/>
    <w:rsid w:val="007E1E84"/>
    <w:rsid w:val="007E28B4"/>
    <w:rsid w:val="007E56E9"/>
    <w:rsid w:val="007E6177"/>
    <w:rsid w:val="007E7221"/>
    <w:rsid w:val="007E75F0"/>
    <w:rsid w:val="007E76A4"/>
    <w:rsid w:val="007F0415"/>
    <w:rsid w:val="007F1653"/>
    <w:rsid w:val="007F2718"/>
    <w:rsid w:val="007F286C"/>
    <w:rsid w:val="007F3521"/>
    <w:rsid w:val="007F4FFC"/>
    <w:rsid w:val="007F700C"/>
    <w:rsid w:val="00800F8B"/>
    <w:rsid w:val="0080166F"/>
    <w:rsid w:val="00801B6A"/>
    <w:rsid w:val="008069FC"/>
    <w:rsid w:val="00807AF4"/>
    <w:rsid w:val="00810BF2"/>
    <w:rsid w:val="00810CB1"/>
    <w:rsid w:val="0081206F"/>
    <w:rsid w:val="00813136"/>
    <w:rsid w:val="00813146"/>
    <w:rsid w:val="00814042"/>
    <w:rsid w:val="008144B3"/>
    <w:rsid w:val="0081494F"/>
    <w:rsid w:val="00814D2E"/>
    <w:rsid w:val="00815570"/>
    <w:rsid w:val="00816CA2"/>
    <w:rsid w:val="0081730F"/>
    <w:rsid w:val="00820189"/>
    <w:rsid w:val="00820AC0"/>
    <w:rsid w:val="00820D5D"/>
    <w:rsid w:val="00820EE7"/>
    <w:rsid w:val="008210F2"/>
    <w:rsid w:val="0082172E"/>
    <w:rsid w:val="0082275E"/>
    <w:rsid w:val="00824824"/>
    <w:rsid w:val="00824BCF"/>
    <w:rsid w:val="008251BF"/>
    <w:rsid w:val="008253F8"/>
    <w:rsid w:val="00826193"/>
    <w:rsid w:val="008271B0"/>
    <w:rsid w:val="008302CD"/>
    <w:rsid w:val="00833F7C"/>
    <w:rsid w:val="0083455B"/>
    <w:rsid w:val="0083455F"/>
    <w:rsid w:val="0083767D"/>
    <w:rsid w:val="008426B0"/>
    <w:rsid w:val="00843584"/>
    <w:rsid w:val="008437ED"/>
    <w:rsid w:val="00844B7F"/>
    <w:rsid w:val="008454C1"/>
    <w:rsid w:val="00847EC3"/>
    <w:rsid w:val="00850957"/>
    <w:rsid w:val="008518B7"/>
    <w:rsid w:val="00851D76"/>
    <w:rsid w:val="00852194"/>
    <w:rsid w:val="00852236"/>
    <w:rsid w:val="00852A1E"/>
    <w:rsid w:val="00852A5C"/>
    <w:rsid w:val="008536EF"/>
    <w:rsid w:val="00855225"/>
    <w:rsid w:val="00855D9C"/>
    <w:rsid w:val="00856DF5"/>
    <w:rsid w:val="00856FC7"/>
    <w:rsid w:val="008570EC"/>
    <w:rsid w:val="00857768"/>
    <w:rsid w:val="00857962"/>
    <w:rsid w:val="00860BB7"/>
    <w:rsid w:val="00860D76"/>
    <w:rsid w:val="00862051"/>
    <w:rsid w:val="00862426"/>
    <w:rsid w:val="00862C66"/>
    <w:rsid w:val="00862FA2"/>
    <w:rsid w:val="0086418E"/>
    <w:rsid w:val="008655F0"/>
    <w:rsid w:val="008658EA"/>
    <w:rsid w:val="00866076"/>
    <w:rsid w:val="00866C97"/>
    <w:rsid w:val="00867631"/>
    <w:rsid w:val="008677A9"/>
    <w:rsid w:val="00867B8E"/>
    <w:rsid w:val="0087062C"/>
    <w:rsid w:val="00873E38"/>
    <w:rsid w:val="00874CCA"/>
    <w:rsid w:val="00874FDD"/>
    <w:rsid w:val="008752AF"/>
    <w:rsid w:val="008769E6"/>
    <w:rsid w:val="00880050"/>
    <w:rsid w:val="0088039C"/>
    <w:rsid w:val="00880B83"/>
    <w:rsid w:val="008813FD"/>
    <w:rsid w:val="008820B4"/>
    <w:rsid w:val="0088347C"/>
    <w:rsid w:val="00883BF3"/>
    <w:rsid w:val="00884475"/>
    <w:rsid w:val="0088527D"/>
    <w:rsid w:val="00885F4F"/>
    <w:rsid w:val="0088671B"/>
    <w:rsid w:val="00891809"/>
    <w:rsid w:val="00891AE0"/>
    <w:rsid w:val="00891CF4"/>
    <w:rsid w:val="0089234C"/>
    <w:rsid w:val="00895508"/>
    <w:rsid w:val="008957B4"/>
    <w:rsid w:val="00895F02"/>
    <w:rsid w:val="008A0FBE"/>
    <w:rsid w:val="008A12A2"/>
    <w:rsid w:val="008A1B37"/>
    <w:rsid w:val="008A3245"/>
    <w:rsid w:val="008A4228"/>
    <w:rsid w:val="008A462A"/>
    <w:rsid w:val="008A5855"/>
    <w:rsid w:val="008A5E6D"/>
    <w:rsid w:val="008A73AD"/>
    <w:rsid w:val="008B11CB"/>
    <w:rsid w:val="008B1CF0"/>
    <w:rsid w:val="008B2DAA"/>
    <w:rsid w:val="008B46B6"/>
    <w:rsid w:val="008B63FA"/>
    <w:rsid w:val="008B6F42"/>
    <w:rsid w:val="008B7D25"/>
    <w:rsid w:val="008C0F63"/>
    <w:rsid w:val="008C120B"/>
    <w:rsid w:val="008C3538"/>
    <w:rsid w:val="008C4080"/>
    <w:rsid w:val="008C4087"/>
    <w:rsid w:val="008C543F"/>
    <w:rsid w:val="008C5F08"/>
    <w:rsid w:val="008D1A78"/>
    <w:rsid w:val="008D2682"/>
    <w:rsid w:val="008D2A13"/>
    <w:rsid w:val="008D2CAB"/>
    <w:rsid w:val="008D59CB"/>
    <w:rsid w:val="008D5E57"/>
    <w:rsid w:val="008D607E"/>
    <w:rsid w:val="008E0E01"/>
    <w:rsid w:val="008E0F79"/>
    <w:rsid w:val="008E3141"/>
    <w:rsid w:val="008E33AB"/>
    <w:rsid w:val="008E35A6"/>
    <w:rsid w:val="008E4495"/>
    <w:rsid w:val="008E4C41"/>
    <w:rsid w:val="008E51A7"/>
    <w:rsid w:val="008E5FCD"/>
    <w:rsid w:val="008E77BE"/>
    <w:rsid w:val="008F0501"/>
    <w:rsid w:val="008F10F7"/>
    <w:rsid w:val="008F14BF"/>
    <w:rsid w:val="008F171F"/>
    <w:rsid w:val="008F4A38"/>
    <w:rsid w:val="008F4D4D"/>
    <w:rsid w:val="008F5408"/>
    <w:rsid w:val="008F54DC"/>
    <w:rsid w:val="008F6314"/>
    <w:rsid w:val="009001E6"/>
    <w:rsid w:val="00900F07"/>
    <w:rsid w:val="00902A9C"/>
    <w:rsid w:val="009032CD"/>
    <w:rsid w:val="00903EF2"/>
    <w:rsid w:val="00904009"/>
    <w:rsid w:val="00905381"/>
    <w:rsid w:val="00906593"/>
    <w:rsid w:val="00906D44"/>
    <w:rsid w:val="00907971"/>
    <w:rsid w:val="00911997"/>
    <w:rsid w:val="009127AE"/>
    <w:rsid w:val="00912B31"/>
    <w:rsid w:val="009131A2"/>
    <w:rsid w:val="009134A5"/>
    <w:rsid w:val="009137C1"/>
    <w:rsid w:val="00913B81"/>
    <w:rsid w:val="00914F77"/>
    <w:rsid w:val="00922E1D"/>
    <w:rsid w:val="009233A8"/>
    <w:rsid w:val="00923C85"/>
    <w:rsid w:val="00924246"/>
    <w:rsid w:val="009275AA"/>
    <w:rsid w:val="00927E81"/>
    <w:rsid w:val="00927EB6"/>
    <w:rsid w:val="0093408D"/>
    <w:rsid w:val="00934E70"/>
    <w:rsid w:val="00935795"/>
    <w:rsid w:val="009366D1"/>
    <w:rsid w:val="00937487"/>
    <w:rsid w:val="00937A9A"/>
    <w:rsid w:val="00937AF4"/>
    <w:rsid w:val="0094076A"/>
    <w:rsid w:val="009415E1"/>
    <w:rsid w:val="00943CEC"/>
    <w:rsid w:val="00944672"/>
    <w:rsid w:val="009458C4"/>
    <w:rsid w:val="00946E8C"/>
    <w:rsid w:val="009500A5"/>
    <w:rsid w:val="00950153"/>
    <w:rsid w:val="00951907"/>
    <w:rsid w:val="00951F24"/>
    <w:rsid w:val="00954863"/>
    <w:rsid w:val="00956D90"/>
    <w:rsid w:val="00956EBB"/>
    <w:rsid w:val="0095768C"/>
    <w:rsid w:val="009578BD"/>
    <w:rsid w:val="00960D2C"/>
    <w:rsid w:val="009618AD"/>
    <w:rsid w:val="00961A3B"/>
    <w:rsid w:val="00962945"/>
    <w:rsid w:val="00964374"/>
    <w:rsid w:val="009708A3"/>
    <w:rsid w:val="009720C0"/>
    <w:rsid w:val="00973DAA"/>
    <w:rsid w:val="0097465C"/>
    <w:rsid w:val="0097609B"/>
    <w:rsid w:val="00977044"/>
    <w:rsid w:val="009806E5"/>
    <w:rsid w:val="00982198"/>
    <w:rsid w:val="00982770"/>
    <w:rsid w:val="00982852"/>
    <w:rsid w:val="00982C8A"/>
    <w:rsid w:val="00983C9B"/>
    <w:rsid w:val="00984878"/>
    <w:rsid w:val="00985798"/>
    <w:rsid w:val="009871BE"/>
    <w:rsid w:val="009879D3"/>
    <w:rsid w:val="00987FA8"/>
    <w:rsid w:val="00992343"/>
    <w:rsid w:val="00993A67"/>
    <w:rsid w:val="009A0427"/>
    <w:rsid w:val="009A103D"/>
    <w:rsid w:val="009A1D85"/>
    <w:rsid w:val="009A441D"/>
    <w:rsid w:val="009A50C2"/>
    <w:rsid w:val="009A6384"/>
    <w:rsid w:val="009A7615"/>
    <w:rsid w:val="009A76A0"/>
    <w:rsid w:val="009A7760"/>
    <w:rsid w:val="009A7BAC"/>
    <w:rsid w:val="009B0054"/>
    <w:rsid w:val="009B1894"/>
    <w:rsid w:val="009B28D2"/>
    <w:rsid w:val="009C0FB1"/>
    <w:rsid w:val="009C13AB"/>
    <w:rsid w:val="009C1816"/>
    <w:rsid w:val="009C289F"/>
    <w:rsid w:val="009C314C"/>
    <w:rsid w:val="009C3998"/>
    <w:rsid w:val="009C4D06"/>
    <w:rsid w:val="009C6FA6"/>
    <w:rsid w:val="009C7A88"/>
    <w:rsid w:val="009D2245"/>
    <w:rsid w:val="009D6135"/>
    <w:rsid w:val="009D7233"/>
    <w:rsid w:val="009D7369"/>
    <w:rsid w:val="009D7954"/>
    <w:rsid w:val="009E1C19"/>
    <w:rsid w:val="009E21BC"/>
    <w:rsid w:val="009E25F9"/>
    <w:rsid w:val="009E27A2"/>
    <w:rsid w:val="009E5A5C"/>
    <w:rsid w:val="009E5BB7"/>
    <w:rsid w:val="009E653B"/>
    <w:rsid w:val="009E7E2E"/>
    <w:rsid w:val="009F0EFB"/>
    <w:rsid w:val="009F1AB9"/>
    <w:rsid w:val="009F2036"/>
    <w:rsid w:val="009F29C2"/>
    <w:rsid w:val="009F2B32"/>
    <w:rsid w:val="009F4798"/>
    <w:rsid w:val="009F4F2A"/>
    <w:rsid w:val="009F6F88"/>
    <w:rsid w:val="009F7A2B"/>
    <w:rsid w:val="009F7C76"/>
    <w:rsid w:val="00A00A2A"/>
    <w:rsid w:val="00A00EC4"/>
    <w:rsid w:val="00A03380"/>
    <w:rsid w:val="00A033AF"/>
    <w:rsid w:val="00A04C5D"/>
    <w:rsid w:val="00A05D9B"/>
    <w:rsid w:val="00A0646C"/>
    <w:rsid w:val="00A06EEB"/>
    <w:rsid w:val="00A07264"/>
    <w:rsid w:val="00A07C75"/>
    <w:rsid w:val="00A10FF0"/>
    <w:rsid w:val="00A14913"/>
    <w:rsid w:val="00A1541B"/>
    <w:rsid w:val="00A162D5"/>
    <w:rsid w:val="00A16459"/>
    <w:rsid w:val="00A170B5"/>
    <w:rsid w:val="00A222BB"/>
    <w:rsid w:val="00A227D8"/>
    <w:rsid w:val="00A242FD"/>
    <w:rsid w:val="00A24B3F"/>
    <w:rsid w:val="00A24F70"/>
    <w:rsid w:val="00A25AED"/>
    <w:rsid w:val="00A26613"/>
    <w:rsid w:val="00A26786"/>
    <w:rsid w:val="00A26DAA"/>
    <w:rsid w:val="00A30368"/>
    <w:rsid w:val="00A338EF"/>
    <w:rsid w:val="00A34CFE"/>
    <w:rsid w:val="00A4065C"/>
    <w:rsid w:val="00A409C7"/>
    <w:rsid w:val="00A41331"/>
    <w:rsid w:val="00A41B7E"/>
    <w:rsid w:val="00A430F2"/>
    <w:rsid w:val="00A43DE2"/>
    <w:rsid w:val="00A43F10"/>
    <w:rsid w:val="00A44026"/>
    <w:rsid w:val="00A46924"/>
    <w:rsid w:val="00A479BC"/>
    <w:rsid w:val="00A47C8A"/>
    <w:rsid w:val="00A47F21"/>
    <w:rsid w:val="00A511C2"/>
    <w:rsid w:val="00A512C7"/>
    <w:rsid w:val="00A5204A"/>
    <w:rsid w:val="00A52539"/>
    <w:rsid w:val="00A564EC"/>
    <w:rsid w:val="00A56669"/>
    <w:rsid w:val="00A57EC9"/>
    <w:rsid w:val="00A57F56"/>
    <w:rsid w:val="00A60C6F"/>
    <w:rsid w:val="00A60D46"/>
    <w:rsid w:val="00A640EA"/>
    <w:rsid w:val="00A70050"/>
    <w:rsid w:val="00A706E1"/>
    <w:rsid w:val="00A708CA"/>
    <w:rsid w:val="00A70C81"/>
    <w:rsid w:val="00A72EBC"/>
    <w:rsid w:val="00A7355D"/>
    <w:rsid w:val="00A736D8"/>
    <w:rsid w:val="00A737C9"/>
    <w:rsid w:val="00A73921"/>
    <w:rsid w:val="00A743B8"/>
    <w:rsid w:val="00A745E8"/>
    <w:rsid w:val="00A754FA"/>
    <w:rsid w:val="00A75A9F"/>
    <w:rsid w:val="00A75F65"/>
    <w:rsid w:val="00A76913"/>
    <w:rsid w:val="00A846E6"/>
    <w:rsid w:val="00A84E1B"/>
    <w:rsid w:val="00A84F08"/>
    <w:rsid w:val="00A8629B"/>
    <w:rsid w:val="00A910F1"/>
    <w:rsid w:val="00A91F00"/>
    <w:rsid w:val="00A94242"/>
    <w:rsid w:val="00A9432A"/>
    <w:rsid w:val="00A948CF"/>
    <w:rsid w:val="00A94CC4"/>
    <w:rsid w:val="00A95436"/>
    <w:rsid w:val="00A9687E"/>
    <w:rsid w:val="00A96FD0"/>
    <w:rsid w:val="00A97AC8"/>
    <w:rsid w:val="00AA0342"/>
    <w:rsid w:val="00AA199D"/>
    <w:rsid w:val="00AA5548"/>
    <w:rsid w:val="00AA6392"/>
    <w:rsid w:val="00AA7433"/>
    <w:rsid w:val="00AB04C8"/>
    <w:rsid w:val="00AB3AE6"/>
    <w:rsid w:val="00AB5A1C"/>
    <w:rsid w:val="00AB66F6"/>
    <w:rsid w:val="00AB69E9"/>
    <w:rsid w:val="00AC1516"/>
    <w:rsid w:val="00AC1AA8"/>
    <w:rsid w:val="00AC2F90"/>
    <w:rsid w:val="00AC378C"/>
    <w:rsid w:val="00AC3EAB"/>
    <w:rsid w:val="00AC4B2D"/>
    <w:rsid w:val="00AC4BB4"/>
    <w:rsid w:val="00AC5555"/>
    <w:rsid w:val="00AC7E53"/>
    <w:rsid w:val="00AD0E73"/>
    <w:rsid w:val="00AD1EF2"/>
    <w:rsid w:val="00AD351E"/>
    <w:rsid w:val="00AD4693"/>
    <w:rsid w:val="00AD477F"/>
    <w:rsid w:val="00AD6565"/>
    <w:rsid w:val="00AD74B5"/>
    <w:rsid w:val="00AD75B1"/>
    <w:rsid w:val="00AE1775"/>
    <w:rsid w:val="00AE25EE"/>
    <w:rsid w:val="00AE345D"/>
    <w:rsid w:val="00AE3E84"/>
    <w:rsid w:val="00AE445B"/>
    <w:rsid w:val="00AE616A"/>
    <w:rsid w:val="00AE7189"/>
    <w:rsid w:val="00AF0070"/>
    <w:rsid w:val="00AF1E23"/>
    <w:rsid w:val="00AF20D4"/>
    <w:rsid w:val="00AF4A2E"/>
    <w:rsid w:val="00AF5877"/>
    <w:rsid w:val="00AF5FF5"/>
    <w:rsid w:val="00AF6027"/>
    <w:rsid w:val="00AF6C7F"/>
    <w:rsid w:val="00B009F3"/>
    <w:rsid w:val="00B00FF1"/>
    <w:rsid w:val="00B01D8A"/>
    <w:rsid w:val="00B06030"/>
    <w:rsid w:val="00B0658F"/>
    <w:rsid w:val="00B065E3"/>
    <w:rsid w:val="00B06D21"/>
    <w:rsid w:val="00B0735F"/>
    <w:rsid w:val="00B07D41"/>
    <w:rsid w:val="00B10579"/>
    <w:rsid w:val="00B11D4D"/>
    <w:rsid w:val="00B221BF"/>
    <w:rsid w:val="00B22FBB"/>
    <w:rsid w:val="00B23B22"/>
    <w:rsid w:val="00B2405E"/>
    <w:rsid w:val="00B2621F"/>
    <w:rsid w:val="00B2785A"/>
    <w:rsid w:val="00B32DEC"/>
    <w:rsid w:val="00B3382E"/>
    <w:rsid w:val="00B3399A"/>
    <w:rsid w:val="00B36157"/>
    <w:rsid w:val="00B36883"/>
    <w:rsid w:val="00B36F5F"/>
    <w:rsid w:val="00B41CF4"/>
    <w:rsid w:val="00B42912"/>
    <w:rsid w:val="00B43420"/>
    <w:rsid w:val="00B43E67"/>
    <w:rsid w:val="00B44CAE"/>
    <w:rsid w:val="00B4719B"/>
    <w:rsid w:val="00B51404"/>
    <w:rsid w:val="00B5283B"/>
    <w:rsid w:val="00B539A9"/>
    <w:rsid w:val="00B53A2B"/>
    <w:rsid w:val="00B54951"/>
    <w:rsid w:val="00B55C80"/>
    <w:rsid w:val="00B5665A"/>
    <w:rsid w:val="00B5685F"/>
    <w:rsid w:val="00B579A8"/>
    <w:rsid w:val="00B60E12"/>
    <w:rsid w:val="00B63924"/>
    <w:rsid w:val="00B63D71"/>
    <w:rsid w:val="00B65E51"/>
    <w:rsid w:val="00B65F34"/>
    <w:rsid w:val="00B667AF"/>
    <w:rsid w:val="00B70C67"/>
    <w:rsid w:val="00B727F7"/>
    <w:rsid w:val="00B74DE6"/>
    <w:rsid w:val="00B758AC"/>
    <w:rsid w:val="00B7650D"/>
    <w:rsid w:val="00B76A6B"/>
    <w:rsid w:val="00B82FB3"/>
    <w:rsid w:val="00B87146"/>
    <w:rsid w:val="00B90206"/>
    <w:rsid w:val="00B908E7"/>
    <w:rsid w:val="00B93D5A"/>
    <w:rsid w:val="00B93E91"/>
    <w:rsid w:val="00B94161"/>
    <w:rsid w:val="00B946C7"/>
    <w:rsid w:val="00B95751"/>
    <w:rsid w:val="00B97F16"/>
    <w:rsid w:val="00BA0A61"/>
    <w:rsid w:val="00BA0C0B"/>
    <w:rsid w:val="00BA1055"/>
    <w:rsid w:val="00BA144D"/>
    <w:rsid w:val="00BA1492"/>
    <w:rsid w:val="00BA16B8"/>
    <w:rsid w:val="00BA16BF"/>
    <w:rsid w:val="00BA276E"/>
    <w:rsid w:val="00BA285C"/>
    <w:rsid w:val="00BA36E8"/>
    <w:rsid w:val="00BA4711"/>
    <w:rsid w:val="00BA5576"/>
    <w:rsid w:val="00BA629E"/>
    <w:rsid w:val="00BA7C99"/>
    <w:rsid w:val="00BB0EA5"/>
    <w:rsid w:val="00BB31F0"/>
    <w:rsid w:val="00BC3D44"/>
    <w:rsid w:val="00BC6073"/>
    <w:rsid w:val="00BC6143"/>
    <w:rsid w:val="00BC6185"/>
    <w:rsid w:val="00BC6C05"/>
    <w:rsid w:val="00BC7AE2"/>
    <w:rsid w:val="00BD04D7"/>
    <w:rsid w:val="00BD09BD"/>
    <w:rsid w:val="00BD0C56"/>
    <w:rsid w:val="00BD329B"/>
    <w:rsid w:val="00BD38EC"/>
    <w:rsid w:val="00BD4645"/>
    <w:rsid w:val="00BD6186"/>
    <w:rsid w:val="00BD66C4"/>
    <w:rsid w:val="00BD67D8"/>
    <w:rsid w:val="00BD7029"/>
    <w:rsid w:val="00BE0CDC"/>
    <w:rsid w:val="00BE1466"/>
    <w:rsid w:val="00BE1708"/>
    <w:rsid w:val="00BE198C"/>
    <w:rsid w:val="00BE2A3B"/>
    <w:rsid w:val="00BE45CB"/>
    <w:rsid w:val="00BE5191"/>
    <w:rsid w:val="00BE7331"/>
    <w:rsid w:val="00BF26AB"/>
    <w:rsid w:val="00BF6402"/>
    <w:rsid w:val="00BF77F7"/>
    <w:rsid w:val="00C01720"/>
    <w:rsid w:val="00C02D9E"/>
    <w:rsid w:val="00C03B4E"/>
    <w:rsid w:val="00C03BF2"/>
    <w:rsid w:val="00C053B6"/>
    <w:rsid w:val="00C05609"/>
    <w:rsid w:val="00C066B9"/>
    <w:rsid w:val="00C07254"/>
    <w:rsid w:val="00C07525"/>
    <w:rsid w:val="00C10E31"/>
    <w:rsid w:val="00C10E78"/>
    <w:rsid w:val="00C1136A"/>
    <w:rsid w:val="00C11523"/>
    <w:rsid w:val="00C11CF3"/>
    <w:rsid w:val="00C12D2F"/>
    <w:rsid w:val="00C149A6"/>
    <w:rsid w:val="00C17C97"/>
    <w:rsid w:val="00C23E0D"/>
    <w:rsid w:val="00C24D1B"/>
    <w:rsid w:val="00C25AEE"/>
    <w:rsid w:val="00C3175A"/>
    <w:rsid w:val="00C32C26"/>
    <w:rsid w:val="00C3393B"/>
    <w:rsid w:val="00C33CC6"/>
    <w:rsid w:val="00C3419D"/>
    <w:rsid w:val="00C430F7"/>
    <w:rsid w:val="00C449BE"/>
    <w:rsid w:val="00C45444"/>
    <w:rsid w:val="00C471C6"/>
    <w:rsid w:val="00C47AD0"/>
    <w:rsid w:val="00C52224"/>
    <w:rsid w:val="00C53956"/>
    <w:rsid w:val="00C54254"/>
    <w:rsid w:val="00C57536"/>
    <w:rsid w:val="00C57CFD"/>
    <w:rsid w:val="00C60640"/>
    <w:rsid w:val="00C60B01"/>
    <w:rsid w:val="00C60FDE"/>
    <w:rsid w:val="00C61CDF"/>
    <w:rsid w:val="00C61E82"/>
    <w:rsid w:val="00C6286F"/>
    <w:rsid w:val="00C63457"/>
    <w:rsid w:val="00C65013"/>
    <w:rsid w:val="00C66858"/>
    <w:rsid w:val="00C66FE3"/>
    <w:rsid w:val="00C677CE"/>
    <w:rsid w:val="00C71094"/>
    <w:rsid w:val="00C712AC"/>
    <w:rsid w:val="00C715D1"/>
    <w:rsid w:val="00C72AFE"/>
    <w:rsid w:val="00C7380B"/>
    <w:rsid w:val="00C73A56"/>
    <w:rsid w:val="00C74F1B"/>
    <w:rsid w:val="00C75D9D"/>
    <w:rsid w:val="00C77432"/>
    <w:rsid w:val="00C801C6"/>
    <w:rsid w:val="00C80E88"/>
    <w:rsid w:val="00C82484"/>
    <w:rsid w:val="00C829BA"/>
    <w:rsid w:val="00C83065"/>
    <w:rsid w:val="00C86EA5"/>
    <w:rsid w:val="00C90363"/>
    <w:rsid w:val="00C915B7"/>
    <w:rsid w:val="00C920C2"/>
    <w:rsid w:val="00C95637"/>
    <w:rsid w:val="00C96178"/>
    <w:rsid w:val="00C96A01"/>
    <w:rsid w:val="00C97170"/>
    <w:rsid w:val="00CA0CAD"/>
    <w:rsid w:val="00CA46CD"/>
    <w:rsid w:val="00CA4812"/>
    <w:rsid w:val="00CA5449"/>
    <w:rsid w:val="00CA6436"/>
    <w:rsid w:val="00CA6CEA"/>
    <w:rsid w:val="00CA70EE"/>
    <w:rsid w:val="00CB3D6D"/>
    <w:rsid w:val="00CB4B1D"/>
    <w:rsid w:val="00CB589D"/>
    <w:rsid w:val="00CB688A"/>
    <w:rsid w:val="00CB6A75"/>
    <w:rsid w:val="00CB7827"/>
    <w:rsid w:val="00CC1131"/>
    <w:rsid w:val="00CC12DD"/>
    <w:rsid w:val="00CC1832"/>
    <w:rsid w:val="00CC1FEF"/>
    <w:rsid w:val="00CC3CAF"/>
    <w:rsid w:val="00CC3F52"/>
    <w:rsid w:val="00CC43A2"/>
    <w:rsid w:val="00CC468B"/>
    <w:rsid w:val="00CC4C0D"/>
    <w:rsid w:val="00CC531A"/>
    <w:rsid w:val="00CC6986"/>
    <w:rsid w:val="00CC7E38"/>
    <w:rsid w:val="00CD13D4"/>
    <w:rsid w:val="00CD14ED"/>
    <w:rsid w:val="00CD238D"/>
    <w:rsid w:val="00CD2813"/>
    <w:rsid w:val="00CD2FFF"/>
    <w:rsid w:val="00CD51B1"/>
    <w:rsid w:val="00CD5BC8"/>
    <w:rsid w:val="00CE26D3"/>
    <w:rsid w:val="00CE2909"/>
    <w:rsid w:val="00CE32CF"/>
    <w:rsid w:val="00CE34A1"/>
    <w:rsid w:val="00CE66B0"/>
    <w:rsid w:val="00CE77D3"/>
    <w:rsid w:val="00CE7E34"/>
    <w:rsid w:val="00CF43FD"/>
    <w:rsid w:val="00CF494E"/>
    <w:rsid w:val="00D021F3"/>
    <w:rsid w:val="00D05617"/>
    <w:rsid w:val="00D06E32"/>
    <w:rsid w:val="00D125E7"/>
    <w:rsid w:val="00D129A2"/>
    <w:rsid w:val="00D13906"/>
    <w:rsid w:val="00D13B4B"/>
    <w:rsid w:val="00D1543D"/>
    <w:rsid w:val="00D205EB"/>
    <w:rsid w:val="00D22AEE"/>
    <w:rsid w:val="00D240B5"/>
    <w:rsid w:val="00D27BF5"/>
    <w:rsid w:val="00D27FBB"/>
    <w:rsid w:val="00D3071B"/>
    <w:rsid w:val="00D307E4"/>
    <w:rsid w:val="00D30CF5"/>
    <w:rsid w:val="00D33508"/>
    <w:rsid w:val="00D34362"/>
    <w:rsid w:val="00D35A41"/>
    <w:rsid w:val="00D4057D"/>
    <w:rsid w:val="00D41B7D"/>
    <w:rsid w:val="00D42BDB"/>
    <w:rsid w:val="00D43BA7"/>
    <w:rsid w:val="00D43D09"/>
    <w:rsid w:val="00D44356"/>
    <w:rsid w:val="00D454CB"/>
    <w:rsid w:val="00D455A6"/>
    <w:rsid w:val="00D4626D"/>
    <w:rsid w:val="00D46D53"/>
    <w:rsid w:val="00D47AC6"/>
    <w:rsid w:val="00D53192"/>
    <w:rsid w:val="00D55F69"/>
    <w:rsid w:val="00D57261"/>
    <w:rsid w:val="00D6296C"/>
    <w:rsid w:val="00D62D6D"/>
    <w:rsid w:val="00D6445D"/>
    <w:rsid w:val="00D649A6"/>
    <w:rsid w:val="00D66507"/>
    <w:rsid w:val="00D6713B"/>
    <w:rsid w:val="00D7129C"/>
    <w:rsid w:val="00D721A4"/>
    <w:rsid w:val="00D748E6"/>
    <w:rsid w:val="00D76819"/>
    <w:rsid w:val="00D76C16"/>
    <w:rsid w:val="00D7792D"/>
    <w:rsid w:val="00D80A4A"/>
    <w:rsid w:val="00D81404"/>
    <w:rsid w:val="00D8335C"/>
    <w:rsid w:val="00D8342A"/>
    <w:rsid w:val="00D84401"/>
    <w:rsid w:val="00D84F7F"/>
    <w:rsid w:val="00D90B3C"/>
    <w:rsid w:val="00D90F97"/>
    <w:rsid w:val="00D9167C"/>
    <w:rsid w:val="00D930E4"/>
    <w:rsid w:val="00D950D1"/>
    <w:rsid w:val="00D95E06"/>
    <w:rsid w:val="00D96E36"/>
    <w:rsid w:val="00DA11C7"/>
    <w:rsid w:val="00DA478E"/>
    <w:rsid w:val="00DA7A56"/>
    <w:rsid w:val="00DB1E2B"/>
    <w:rsid w:val="00DB51A4"/>
    <w:rsid w:val="00DB6682"/>
    <w:rsid w:val="00DC08F8"/>
    <w:rsid w:val="00DC19D3"/>
    <w:rsid w:val="00DC1D2F"/>
    <w:rsid w:val="00DC2B10"/>
    <w:rsid w:val="00DC59F7"/>
    <w:rsid w:val="00DC5FA8"/>
    <w:rsid w:val="00DC6790"/>
    <w:rsid w:val="00DC6D08"/>
    <w:rsid w:val="00DC7D7F"/>
    <w:rsid w:val="00DD107D"/>
    <w:rsid w:val="00DD1DE5"/>
    <w:rsid w:val="00DD2D49"/>
    <w:rsid w:val="00DD314B"/>
    <w:rsid w:val="00DD5706"/>
    <w:rsid w:val="00DD6017"/>
    <w:rsid w:val="00DD649E"/>
    <w:rsid w:val="00DD6D50"/>
    <w:rsid w:val="00DD72FE"/>
    <w:rsid w:val="00DE360E"/>
    <w:rsid w:val="00DE44FF"/>
    <w:rsid w:val="00DF063F"/>
    <w:rsid w:val="00DF1D55"/>
    <w:rsid w:val="00DF28E5"/>
    <w:rsid w:val="00DF2CA6"/>
    <w:rsid w:val="00DF30BE"/>
    <w:rsid w:val="00DF52C2"/>
    <w:rsid w:val="00E02202"/>
    <w:rsid w:val="00E038D4"/>
    <w:rsid w:val="00E04DD2"/>
    <w:rsid w:val="00E054EA"/>
    <w:rsid w:val="00E07CAF"/>
    <w:rsid w:val="00E13000"/>
    <w:rsid w:val="00E131CE"/>
    <w:rsid w:val="00E14138"/>
    <w:rsid w:val="00E15456"/>
    <w:rsid w:val="00E166CD"/>
    <w:rsid w:val="00E168B2"/>
    <w:rsid w:val="00E16F63"/>
    <w:rsid w:val="00E1793E"/>
    <w:rsid w:val="00E20D45"/>
    <w:rsid w:val="00E21563"/>
    <w:rsid w:val="00E23D06"/>
    <w:rsid w:val="00E269FC"/>
    <w:rsid w:val="00E307BA"/>
    <w:rsid w:val="00E30BC5"/>
    <w:rsid w:val="00E31482"/>
    <w:rsid w:val="00E32547"/>
    <w:rsid w:val="00E33191"/>
    <w:rsid w:val="00E3487F"/>
    <w:rsid w:val="00E35079"/>
    <w:rsid w:val="00E35085"/>
    <w:rsid w:val="00E35103"/>
    <w:rsid w:val="00E36A68"/>
    <w:rsid w:val="00E37638"/>
    <w:rsid w:val="00E41780"/>
    <w:rsid w:val="00E42629"/>
    <w:rsid w:val="00E42986"/>
    <w:rsid w:val="00E42DB6"/>
    <w:rsid w:val="00E4408B"/>
    <w:rsid w:val="00E441CB"/>
    <w:rsid w:val="00E44D20"/>
    <w:rsid w:val="00E44F23"/>
    <w:rsid w:val="00E468C0"/>
    <w:rsid w:val="00E46967"/>
    <w:rsid w:val="00E4747F"/>
    <w:rsid w:val="00E514F4"/>
    <w:rsid w:val="00E51B44"/>
    <w:rsid w:val="00E551EA"/>
    <w:rsid w:val="00E55265"/>
    <w:rsid w:val="00E563BF"/>
    <w:rsid w:val="00E57380"/>
    <w:rsid w:val="00E57E1F"/>
    <w:rsid w:val="00E60AE7"/>
    <w:rsid w:val="00E64727"/>
    <w:rsid w:val="00E6482A"/>
    <w:rsid w:val="00E64E5E"/>
    <w:rsid w:val="00E6705D"/>
    <w:rsid w:val="00E70770"/>
    <w:rsid w:val="00E71F6F"/>
    <w:rsid w:val="00E72435"/>
    <w:rsid w:val="00E72674"/>
    <w:rsid w:val="00E72F48"/>
    <w:rsid w:val="00E747F1"/>
    <w:rsid w:val="00E76EE2"/>
    <w:rsid w:val="00E7715A"/>
    <w:rsid w:val="00E80439"/>
    <w:rsid w:val="00E80DFD"/>
    <w:rsid w:val="00E81E94"/>
    <w:rsid w:val="00E84918"/>
    <w:rsid w:val="00E85EA0"/>
    <w:rsid w:val="00E85FB5"/>
    <w:rsid w:val="00E87110"/>
    <w:rsid w:val="00E87A96"/>
    <w:rsid w:val="00E9260D"/>
    <w:rsid w:val="00E95AB4"/>
    <w:rsid w:val="00E95F5D"/>
    <w:rsid w:val="00E96220"/>
    <w:rsid w:val="00E9628A"/>
    <w:rsid w:val="00E96D75"/>
    <w:rsid w:val="00E97CAF"/>
    <w:rsid w:val="00EA0135"/>
    <w:rsid w:val="00EA0EC5"/>
    <w:rsid w:val="00EA3037"/>
    <w:rsid w:val="00EA3418"/>
    <w:rsid w:val="00EA3837"/>
    <w:rsid w:val="00EA4573"/>
    <w:rsid w:val="00EA4750"/>
    <w:rsid w:val="00EA7DDD"/>
    <w:rsid w:val="00EB014C"/>
    <w:rsid w:val="00EB1527"/>
    <w:rsid w:val="00EB3762"/>
    <w:rsid w:val="00EB4299"/>
    <w:rsid w:val="00EB451A"/>
    <w:rsid w:val="00EB5D0D"/>
    <w:rsid w:val="00EB7233"/>
    <w:rsid w:val="00EC0A33"/>
    <w:rsid w:val="00EC0E65"/>
    <w:rsid w:val="00EC1886"/>
    <w:rsid w:val="00EC222E"/>
    <w:rsid w:val="00EC300E"/>
    <w:rsid w:val="00EC39DF"/>
    <w:rsid w:val="00EC4D46"/>
    <w:rsid w:val="00EC6E00"/>
    <w:rsid w:val="00EC7831"/>
    <w:rsid w:val="00ED19EA"/>
    <w:rsid w:val="00ED3066"/>
    <w:rsid w:val="00ED4891"/>
    <w:rsid w:val="00ED5C9F"/>
    <w:rsid w:val="00ED7CCC"/>
    <w:rsid w:val="00EE085A"/>
    <w:rsid w:val="00EE25C6"/>
    <w:rsid w:val="00EE28B9"/>
    <w:rsid w:val="00EE2F15"/>
    <w:rsid w:val="00EE3EE9"/>
    <w:rsid w:val="00EE40A4"/>
    <w:rsid w:val="00EE5696"/>
    <w:rsid w:val="00EE5EBB"/>
    <w:rsid w:val="00EE64A5"/>
    <w:rsid w:val="00EE713D"/>
    <w:rsid w:val="00EF691D"/>
    <w:rsid w:val="00EF70A1"/>
    <w:rsid w:val="00EF76B3"/>
    <w:rsid w:val="00F01CB6"/>
    <w:rsid w:val="00F02265"/>
    <w:rsid w:val="00F025C6"/>
    <w:rsid w:val="00F02AF7"/>
    <w:rsid w:val="00F0630E"/>
    <w:rsid w:val="00F06BC6"/>
    <w:rsid w:val="00F07311"/>
    <w:rsid w:val="00F07530"/>
    <w:rsid w:val="00F07662"/>
    <w:rsid w:val="00F120D0"/>
    <w:rsid w:val="00F12957"/>
    <w:rsid w:val="00F12DE7"/>
    <w:rsid w:val="00F135E4"/>
    <w:rsid w:val="00F135F9"/>
    <w:rsid w:val="00F14340"/>
    <w:rsid w:val="00F143C1"/>
    <w:rsid w:val="00F144D3"/>
    <w:rsid w:val="00F175A8"/>
    <w:rsid w:val="00F17B8A"/>
    <w:rsid w:val="00F20467"/>
    <w:rsid w:val="00F21779"/>
    <w:rsid w:val="00F22680"/>
    <w:rsid w:val="00F233A4"/>
    <w:rsid w:val="00F24470"/>
    <w:rsid w:val="00F2544E"/>
    <w:rsid w:val="00F26CE1"/>
    <w:rsid w:val="00F279AC"/>
    <w:rsid w:val="00F30563"/>
    <w:rsid w:val="00F30E4A"/>
    <w:rsid w:val="00F31DD2"/>
    <w:rsid w:val="00F31E60"/>
    <w:rsid w:val="00F32BC9"/>
    <w:rsid w:val="00F333C4"/>
    <w:rsid w:val="00F3406C"/>
    <w:rsid w:val="00F37DEB"/>
    <w:rsid w:val="00F41FBE"/>
    <w:rsid w:val="00F42A23"/>
    <w:rsid w:val="00F43912"/>
    <w:rsid w:val="00F43A42"/>
    <w:rsid w:val="00F5010E"/>
    <w:rsid w:val="00F50246"/>
    <w:rsid w:val="00F51CE7"/>
    <w:rsid w:val="00F53287"/>
    <w:rsid w:val="00F55485"/>
    <w:rsid w:val="00F56892"/>
    <w:rsid w:val="00F605E9"/>
    <w:rsid w:val="00F61379"/>
    <w:rsid w:val="00F621BB"/>
    <w:rsid w:val="00F629C9"/>
    <w:rsid w:val="00F62AAD"/>
    <w:rsid w:val="00F7032E"/>
    <w:rsid w:val="00F755A6"/>
    <w:rsid w:val="00F761D7"/>
    <w:rsid w:val="00F76863"/>
    <w:rsid w:val="00F77E9D"/>
    <w:rsid w:val="00F80EF6"/>
    <w:rsid w:val="00F81A90"/>
    <w:rsid w:val="00F82CEC"/>
    <w:rsid w:val="00F833EB"/>
    <w:rsid w:val="00F8622F"/>
    <w:rsid w:val="00F876AD"/>
    <w:rsid w:val="00F905A9"/>
    <w:rsid w:val="00F91489"/>
    <w:rsid w:val="00F91D56"/>
    <w:rsid w:val="00F922A8"/>
    <w:rsid w:val="00F9296A"/>
    <w:rsid w:val="00F93215"/>
    <w:rsid w:val="00F94561"/>
    <w:rsid w:val="00F95FEA"/>
    <w:rsid w:val="00F964B2"/>
    <w:rsid w:val="00F968DC"/>
    <w:rsid w:val="00F97B5D"/>
    <w:rsid w:val="00F97D56"/>
    <w:rsid w:val="00F97EDA"/>
    <w:rsid w:val="00FA0002"/>
    <w:rsid w:val="00FA15F1"/>
    <w:rsid w:val="00FA367C"/>
    <w:rsid w:val="00FA3CD7"/>
    <w:rsid w:val="00FA3F56"/>
    <w:rsid w:val="00FA48BE"/>
    <w:rsid w:val="00FA51D2"/>
    <w:rsid w:val="00FA5C21"/>
    <w:rsid w:val="00FA7399"/>
    <w:rsid w:val="00FA7488"/>
    <w:rsid w:val="00FB0C04"/>
    <w:rsid w:val="00FB2395"/>
    <w:rsid w:val="00FB26E9"/>
    <w:rsid w:val="00FB2A17"/>
    <w:rsid w:val="00FB2C5D"/>
    <w:rsid w:val="00FB3590"/>
    <w:rsid w:val="00FB37F3"/>
    <w:rsid w:val="00FB57C3"/>
    <w:rsid w:val="00FB5A27"/>
    <w:rsid w:val="00FB5BB7"/>
    <w:rsid w:val="00FB685F"/>
    <w:rsid w:val="00FB6AD5"/>
    <w:rsid w:val="00FB6E35"/>
    <w:rsid w:val="00FB72C7"/>
    <w:rsid w:val="00FB7DAB"/>
    <w:rsid w:val="00FC0719"/>
    <w:rsid w:val="00FC0DB8"/>
    <w:rsid w:val="00FC0DE3"/>
    <w:rsid w:val="00FC1ADD"/>
    <w:rsid w:val="00FC2CD3"/>
    <w:rsid w:val="00FC3773"/>
    <w:rsid w:val="00FC3BA1"/>
    <w:rsid w:val="00FC58E1"/>
    <w:rsid w:val="00FC5935"/>
    <w:rsid w:val="00FC5FB5"/>
    <w:rsid w:val="00FC6659"/>
    <w:rsid w:val="00FC70B9"/>
    <w:rsid w:val="00FD0A0A"/>
    <w:rsid w:val="00FD0A87"/>
    <w:rsid w:val="00FD7202"/>
    <w:rsid w:val="00FD7EB9"/>
    <w:rsid w:val="00FE494B"/>
    <w:rsid w:val="00FE5325"/>
    <w:rsid w:val="00FF087D"/>
    <w:rsid w:val="00FF1623"/>
    <w:rsid w:val="00FF2035"/>
    <w:rsid w:val="00FF2BAB"/>
    <w:rsid w:val="00FF2FB6"/>
    <w:rsid w:val="00FF371C"/>
    <w:rsid w:val="00FF52B1"/>
    <w:rsid w:val="00FF54C2"/>
    <w:rsid w:val="00FF5DA8"/>
    <w:rsid w:val="00FF5E19"/>
    <w:rsid w:val="27F05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AEE915-A35C-48A9-B1C9-2C4D216C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b">
    <w:name w:val="Balloon Text"/>
    <w:basedOn w:val="a"/>
    <w:rPr>
      <w:sz w:val="18"/>
    </w:rPr>
  </w:style>
  <w:style w:type="paragraph" w:styleId="ac">
    <w:name w:val="footer"/>
    <w:basedOn w:val="a"/>
    <w:link w:val="ad"/>
    <w:qFormat/>
    <w:pPr>
      <w:tabs>
        <w:tab w:val="center" w:pos="4153"/>
        <w:tab w:val="right" w:pos="8306"/>
      </w:tabs>
      <w:snapToGrid w:val="0"/>
      <w:jc w:val="left"/>
    </w:pPr>
    <w:rPr>
      <w:sz w:val="18"/>
    </w:rPr>
  </w:style>
  <w:style w:type="paragraph" w:styleId="ae">
    <w:name w:val="header"/>
    <w:basedOn w:val="a"/>
    <w:link w:val="af"/>
    <w:qFormat/>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unhideWhenUsed/>
    <w:qFormat/>
    <w:rPr>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character" w:styleId="af4">
    <w:name w:val="page number"/>
    <w:basedOn w:val="a0"/>
    <w:qFormat/>
  </w:style>
  <w:style w:type="character" w:styleId="af5">
    <w:name w:val="Hyperlink"/>
    <w:uiPriority w:val="99"/>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character" w:customStyle="1" w:styleId="read">
    <w:name w:val="read"/>
    <w:basedOn w:val="a0"/>
  </w:style>
  <w:style w:type="character" w:customStyle="1" w:styleId="af3">
    <w:name w:val="标题 字符"/>
    <w:link w:val="af2"/>
    <w:qFormat/>
    <w:rPr>
      <w:rFonts w:ascii="Cambria" w:hAnsi="Cambria"/>
      <w:b/>
      <w:kern w:val="2"/>
      <w:sz w:val="32"/>
    </w:rPr>
  </w:style>
  <w:style w:type="character" w:customStyle="1" w:styleId="11">
    <w:name w:val="不明显参考1"/>
    <w:qFormat/>
    <w:rPr>
      <w:smallCaps/>
      <w:color w:val="C0504D"/>
      <w:u w:val="single"/>
    </w:rPr>
  </w:style>
  <w:style w:type="character" w:customStyle="1" w:styleId="af">
    <w:name w:val="页眉 字符"/>
    <w:link w:val="ae"/>
    <w:qFormat/>
    <w:rPr>
      <w:kern w:val="2"/>
      <w:sz w:val="18"/>
    </w:rPr>
  </w:style>
  <w:style w:type="character" w:customStyle="1" w:styleId="a9">
    <w:name w:val="正文文本 字符"/>
    <w:link w:val="a8"/>
    <w:rPr>
      <w:rFonts w:ascii="宋体"/>
      <w:kern w:val="0"/>
    </w:rPr>
  </w:style>
  <w:style w:type="character" w:customStyle="1" w:styleId="ad">
    <w:name w:val="页脚 字符"/>
    <w:link w:val="ac"/>
    <w:qFormat/>
    <w:rPr>
      <w:kern w:val="2"/>
      <w:sz w:val="18"/>
    </w:rPr>
  </w:style>
  <w:style w:type="character" w:customStyle="1" w:styleId="unnamed11">
    <w:name w:val="unnamed11"/>
    <w:qFormat/>
    <w:rPr>
      <w:rFonts w:ascii="宋体" w:eastAsia="宋体" w:hAnsi="宋体" w:hint="eastAsia"/>
      <w:sz w:val="18"/>
    </w:rPr>
  </w:style>
  <w:style w:type="character" w:customStyle="1" w:styleId="a5">
    <w:name w:val="批注文字 字符"/>
    <w:link w:val="a4"/>
    <w:rPr>
      <w:kern w:val="2"/>
      <w:sz w:val="21"/>
    </w:rPr>
  </w:style>
  <w:style w:type="paragraph" w:customStyle="1" w:styleId="af8">
    <w:name w:val="正文正文"/>
    <w:basedOn w:val="a"/>
    <w:qFormat/>
    <w:pPr>
      <w:spacing w:afterLines="25" w:line="360" w:lineRule="auto"/>
      <w:ind w:firstLineChars="200" w:firstLine="200"/>
    </w:pPr>
    <w:rPr>
      <w:sz w:val="24"/>
    </w:rPr>
  </w:style>
  <w:style w:type="paragraph" w:customStyle="1" w:styleId="12">
    <w:name w:val="修订1"/>
    <w:rPr>
      <w:kern w:val="2"/>
      <w:sz w:val="21"/>
    </w:rPr>
  </w:style>
  <w:style w:type="paragraph" w:customStyle="1" w:styleId="13">
    <w:name w:val="列出段落1"/>
    <w:basedOn w:val="a"/>
    <w:uiPriority w:val="34"/>
    <w:qFormat/>
    <w:pPr>
      <w:ind w:firstLineChars="200" w:firstLine="420"/>
    </w:pPr>
    <w:rPr>
      <w:szCs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af9">
    <w:name w:val="正文所"/>
    <w:basedOn w:val="a"/>
    <w:qFormat/>
    <w:pPr>
      <w:spacing w:line="360" w:lineRule="auto"/>
      <w:ind w:firstLineChars="200" w:firstLine="420"/>
    </w:pPr>
    <w:rPr>
      <w:rFonts w:ascii="宋体"/>
    </w:rPr>
  </w:style>
  <w:style w:type="paragraph" w:customStyle="1" w:styleId="CharChar1">
    <w:name w:val="Char Char1"/>
    <w:basedOn w:val="a"/>
  </w:style>
  <w:style w:type="paragraph" w:customStyle="1" w:styleId="14">
    <w:name w:val="无间隔1"/>
    <w:qFormat/>
    <w:pPr>
      <w:widowControl w:val="0"/>
      <w:jc w:val="both"/>
    </w:pPr>
    <w:rPr>
      <w:kern w:val="2"/>
      <w:sz w:val="21"/>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CharChar">
    <w:name w:val="Char Char"/>
    <w:basedOn w:val="a"/>
    <w:qFormat/>
  </w:style>
  <w:style w:type="paragraph" w:customStyle="1" w:styleId="Char">
    <w:name w:val="Char"/>
    <w:basedOn w:val="a"/>
    <w:qFormat/>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1">
    <w:name w:val="Char1"/>
    <w:basedOn w:val="a"/>
    <w:qFormat/>
  </w:style>
  <w:style w:type="paragraph" w:customStyle="1" w:styleId="-">
    <w:name w:val="模板-正文"/>
    <w:basedOn w:val="af1"/>
    <w:link w:val="-Char"/>
    <w:qFormat/>
    <w:pPr>
      <w:widowControl/>
      <w:shd w:val="clear" w:color="auto" w:fill="FFFFFF"/>
      <w:snapToGrid w:val="0"/>
      <w:spacing w:line="360" w:lineRule="auto"/>
      <w:ind w:firstLineChars="200" w:firstLine="200"/>
    </w:pPr>
    <w:rPr>
      <w:rFonts w:ascii="宋体" w:hAnsi="宋体"/>
      <w:color w:val="222222"/>
      <w:kern w:val="0"/>
      <w:sz w:val="21"/>
      <w:szCs w:val="21"/>
      <w:lang w:val="zh-CN"/>
    </w:rPr>
  </w:style>
  <w:style w:type="character" w:customStyle="1" w:styleId="-Char">
    <w:name w:val="模板-正文 Char"/>
    <w:link w:val="-"/>
    <w:qFormat/>
    <w:rPr>
      <w:rFonts w:ascii="宋体" w:hAnsi="宋体"/>
      <w:color w:val="222222"/>
      <w:sz w:val="21"/>
      <w:szCs w:val="21"/>
      <w:shd w:val="clear" w:color="auto" w:fill="FFFFFF"/>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27B24-D5F8-432A-8672-E84897A3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11161</Words>
  <Characters>63620</Characters>
  <Application>Microsoft Office Word</Application>
  <DocSecurity>0</DocSecurity>
  <Lines>530</Lines>
  <Paragraphs>149</Paragraphs>
  <ScaleCrop>false</ScaleCrop>
  <Company/>
  <LinksUpToDate>false</LinksUpToDate>
  <CharactersWithSpaces>74632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hezean</dc:creator>
  <cp:lastModifiedBy>邹宇杰</cp:lastModifiedBy>
  <cp:revision>38</cp:revision>
  <cp:lastPrinted>2020-07-28T10:22:00Z</cp:lastPrinted>
  <dcterms:created xsi:type="dcterms:W3CDTF">2020-06-30T01:54:00Z</dcterms:created>
  <dcterms:modified xsi:type="dcterms:W3CDTF">2020-10-14T08:18:00Z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